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103"/>
        <w:gridCol w:w="24"/>
        <w:gridCol w:w="3523"/>
        <w:gridCol w:w="204"/>
        <w:gridCol w:w="12"/>
        <w:gridCol w:w="38"/>
        <w:gridCol w:w="3702"/>
      </w:tblGrid>
      <w:tr w:rsidR="00AE72C5" w:rsidTr="00FC30C7">
        <w:trPr>
          <w:trHeight w:val="558"/>
        </w:trPr>
        <w:tc>
          <w:tcPr>
            <w:tcW w:w="9606" w:type="dxa"/>
            <w:gridSpan w:val="7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bookmarkStart w:id="0" w:name="_GoBack"/>
            <w:bookmarkEnd w:id="0"/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562D77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</w:rPr>
              <w:t>financovaného z </w:t>
            </w:r>
            <w:r w:rsidR="00E71CB7" w:rsidRPr="00562D77">
              <w:rPr>
                <w:rFonts w:asciiTheme="minorHAnsi" w:hAnsiTheme="minorHAnsi" w:cstheme="minorHAnsi"/>
              </w:rPr>
              <w:t>O</w:t>
            </w:r>
            <w:r w:rsidRPr="00562D77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562D77">
              <w:rPr>
                <w:rFonts w:asciiTheme="minorHAnsi" w:hAnsiTheme="minorHAnsi" w:cstheme="minorHAnsi"/>
              </w:rPr>
              <w:t>V</w:t>
            </w:r>
            <w:r w:rsidRPr="00562D77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FC30C7">
        <w:trPr>
          <w:trHeight w:val="277"/>
        </w:trPr>
        <w:tc>
          <w:tcPr>
            <w:tcW w:w="9606" w:type="dxa"/>
            <w:gridSpan w:val="7"/>
            <w:shd w:val="clear" w:color="auto" w:fill="595959" w:themeFill="text1" w:themeFillTint="A6"/>
          </w:tcPr>
          <w:p w:rsidR="0052281E" w:rsidRPr="00562D77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  <w:szCs w:val="24"/>
              </w:rPr>
              <w:t>Faktografické údaje</w:t>
            </w:r>
          </w:p>
        </w:tc>
      </w:tr>
      <w:tr w:rsidR="00AE72C5" w:rsidTr="00FC30C7">
        <w:trPr>
          <w:trHeight w:val="277"/>
        </w:trPr>
        <w:tc>
          <w:tcPr>
            <w:tcW w:w="2127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479" w:type="dxa"/>
            <w:gridSpan w:val="5"/>
          </w:tcPr>
          <w:p w:rsidR="00AE72C5" w:rsidRPr="009967CD" w:rsidRDefault="00037C21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Institut environmentálních technologií</w:t>
            </w:r>
          </w:p>
        </w:tc>
      </w:tr>
      <w:tr w:rsidR="00E71CB7" w:rsidTr="00FC30C7">
        <w:trPr>
          <w:trHeight w:val="277"/>
        </w:trPr>
        <w:tc>
          <w:tcPr>
            <w:tcW w:w="2127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479" w:type="dxa"/>
            <w:gridSpan w:val="5"/>
          </w:tcPr>
          <w:p w:rsidR="00E71CB7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F74C5F" w:rsidTr="00FC30C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Registrační číslo projektu</w:t>
            </w:r>
          </w:p>
        </w:tc>
        <w:tc>
          <w:tcPr>
            <w:tcW w:w="7479" w:type="dxa"/>
            <w:gridSpan w:val="5"/>
          </w:tcPr>
          <w:p w:rsidR="00F74C5F" w:rsidRPr="009967CD" w:rsidRDefault="00FE458C" w:rsidP="0032243C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CZ.1.05/2.1.00/</w:t>
            </w:r>
            <w:r w:rsidR="00037C2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="0032243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</w:t>
            </w:r>
            <w:r w:rsidR="00037C2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="0032243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0100</w:t>
            </w:r>
          </w:p>
        </w:tc>
      </w:tr>
      <w:tr w:rsidR="00F74C5F" w:rsidTr="00FC30C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479" w:type="dxa"/>
            <w:gridSpan w:val="5"/>
          </w:tcPr>
          <w:p w:rsidR="00F74C5F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17. listopadu 15/2172, 708 00 Ostrava - Poruba</w:t>
            </w:r>
          </w:p>
        </w:tc>
      </w:tr>
      <w:tr w:rsidR="00FE458C" w:rsidTr="00FC30C7">
        <w:trPr>
          <w:trHeight w:val="277"/>
        </w:trPr>
        <w:tc>
          <w:tcPr>
            <w:tcW w:w="2127" w:type="dxa"/>
            <w:gridSpan w:val="2"/>
          </w:tcPr>
          <w:p w:rsidR="00FE458C" w:rsidRPr="00F74C5F" w:rsidRDefault="00FE458C" w:rsidP="002D032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479" w:type="dxa"/>
            <w:gridSpan w:val="5"/>
          </w:tcPr>
          <w:p w:rsidR="00FE458C" w:rsidRPr="009967CD" w:rsidRDefault="009967CD" w:rsidP="00127742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2774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Výzva č. </w:t>
            </w:r>
            <w:r w:rsidR="0012774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.2 pro oblast podpory 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2.1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Regionální VaV centra</w:t>
            </w:r>
          </w:p>
        </w:tc>
      </w:tr>
      <w:tr w:rsidR="00F74C5F" w:rsidTr="00FC30C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479" w:type="dxa"/>
            <w:gridSpan w:val="5"/>
          </w:tcPr>
          <w:p w:rsidR="00F74C5F" w:rsidRPr="009967CD" w:rsidRDefault="00127742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20. 12</w:t>
            </w:r>
            <w:r w:rsidR="00562D77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2010</w:t>
            </w:r>
          </w:p>
        </w:tc>
      </w:tr>
      <w:tr w:rsidR="00F74C5F" w:rsidTr="00FC30C7">
        <w:trPr>
          <w:trHeight w:val="623"/>
        </w:trPr>
        <w:tc>
          <w:tcPr>
            <w:tcW w:w="2127" w:type="dxa"/>
            <w:gridSpan w:val="2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777" w:type="dxa"/>
            <w:gridSpan w:val="4"/>
          </w:tcPr>
          <w:p w:rsidR="00F74C5F" w:rsidRPr="00562D77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zahájení </w:t>
            </w:r>
          </w:p>
          <w:p w:rsidR="009373D8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AA442B" w:rsidRPr="00562D77" w:rsidRDefault="003C50CA" w:rsidP="00127742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1. </w:t>
            </w:r>
            <w:r w:rsidR="001277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11</w:t>
            </w: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201</w:t>
            </w:r>
            <w:r w:rsidR="001277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02" w:type="dxa"/>
          </w:tcPr>
          <w:p w:rsidR="00F74C5F" w:rsidRPr="00562D77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ukončení </w:t>
            </w:r>
          </w:p>
          <w:p w:rsidR="009373D8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</w:t>
            </w:r>
            <w:r w:rsidR="00526313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F74C5F" w:rsidRPr="00562D77" w:rsidRDefault="00E35E31" w:rsidP="003C50CA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31. </w:t>
            </w:r>
            <w:r w:rsidR="003C50CA">
              <w:rPr>
                <w:rFonts w:asciiTheme="minorHAnsi" w:hAnsiTheme="minorHAnsi" w:cstheme="minorHAnsi"/>
                <w:sz w:val="18"/>
              </w:rPr>
              <w:t>12. 2013</w:t>
            </w:r>
          </w:p>
        </w:tc>
      </w:tr>
      <w:tr w:rsidR="00F74C5F" w:rsidTr="00FC30C7">
        <w:trPr>
          <w:trHeight w:val="277"/>
        </w:trPr>
        <w:tc>
          <w:tcPr>
            <w:tcW w:w="2127" w:type="dxa"/>
            <w:gridSpan w:val="2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777" w:type="dxa"/>
            <w:gridSpan w:val="4"/>
          </w:tcPr>
          <w:p w:rsidR="00D93717" w:rsidRDefault="00D9371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</w:p>
          <w:p w:rsidR="009373D8" w:rsidRDefault="009967CD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Celková výše dotace v Kč </w:t>
            </w:r>
          </w:p>
          <w:p w:rsidR="009373D8" w:rsidRDefault="007A62D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(částka z RoPD bez snížení):</w:t>
            </w:r>
            <w:r w:rsidR="009967CD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7A62D7" w:rsidRPr="00562D77" w:rsidRDefault="00127742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127742">
              <w:rPr>
                <w:rFonts w:asciiTheme="minorHAnsi" w:hAnsiTheme="minorHAnsi" w:cstheme="minorHAnsi"/>
                <w:sz w:val="18"/>
              </w:rPr>
              <w:t>270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127742">
              <w:rPr>
                <w:rFonts w:asciiTheme="minorHAnsi" w:hAnsiTheme="minorHAnsi" w:cstheme="minorHAnsi"/>
                <w:sz w:val="18"/>
              </w:rPr>
              <w:t>564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127742">
              <w:rPr>
                <w:rFonts w:asciiTheme="minorHAnsi" w:hAnsiTheme="minorHAnsi" w:cstheme="minorHAnsi"/>
                <w:sz w:val="18"/>
              </w:rPr>
              <w:t>199,00</w:t>
            </w:r>
          </w:p>
        </w:tc>
        <w:tc>
          <w:tcPr>
            <w:tcW w:w="3702" w:type="dxa"/>
          </w:tcPr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ze státního rozpočtu v CZK (15 %):</w:t>
            </w:r>
          </w:p>
          <w:p w:rsidR="00127742" w:rsidRDefault="0012774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127742">
              <w:rPr>
                <w:rFonts w:asciiTheme="minorHAnsi" w:hAnsiTheme="minorHAnsi" w:cstheme="minorHAnsi"/>
                <w:sz w:val="18"/>
              </w:rPr>
              <w:t>40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127742">
              <w:rPr>
                <w:rFonts w:asciiTheme="minorHAnsi" w:hAnsiTheme="minorHAnsi" w:cstheme="minorHAnsi"/>
                <w:sz w:val="18"/>
              </w:rPr>
              <w:t>584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127742">
              <w:rPr>
                <w:rFonts w:asciiTheme="minorHAnsi" w:hAnsiTheme="minorHAnsi" w:cstheme="minorHAnsi"/>
                <w:sz w:val="18"/>
              </w:rPr>
              <w:t>629,85</w:t>
            </w:r>
          </w:p>
          <w:p w:rsidR="00F74C5F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 EU v  CZK  (85 %):</w:t>
            </w:r>
          </w:p>
          <w:p w:rsidR="00037C21" w:rsidRPr="00562D77" w:rsidRDefault="00127742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127742">
              <w:rPr>
                <w:rFonts w:asciiTheme="minorHAnsi" w:hAnsiTheme="minorHAnsi" w:cstheme="minorHAnsi"/>
                <w:sz w:val="18"/>
              </w:rPr>
              <w:t>229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127742">
              <w:rPr>
                <w:rFonts w:asciiTheme="minorHAnsi" w:hAnsiTheme="minorHAnsi" w:cstheme="minorHAnsi"/>
                <w:sz w:val="18"/>
              </w:rPr>
              <w:t>979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127742">
              <w:rPr>
                <w:rFonts w:asciiTheme="minorHAnsi" w:hAnsiTheme="minorHAnsi" w:cstheme="minorHAnsi"/>
                <w:sz w:val="18"/>
              </w:rPr>
              <w:t>569,15</w:t>
            </w:r>
          </w:p>
        </w:tc>
      </w:tr>
      <w:tr w:rsidR="00F34368" w:rsidTr="00FC30C7">
        <w:trPr>
          <w:trHeight w:val="277"/>
        </w:trPr>
        <w:tc>
          <w:tcPr>
            <w:tcW w:w="2127" w:type="dxa"/>
            <w:gridSpan w:val="2"/>
          </w:tcPr>
          <w:p w:rsidR="00F34368" w:rsidRPr="00562D77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</w:p>
        </w:tc>
        <w:tc>
          <w:tcPr>
            <w:tcW w:w="7479" w:type="dxa"/>
            <w:gridSpan w:val="5"/>
          </w:tcPr>
          <w:p w:rsidR="00F34368" w:rsidRPr="00562D77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Stavební část: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9376DB">
              <w:rPr>
                <w:rFonts w:asciiTheme="minorHAnsi" w:hAnsiTheme="minorHAnsi" w:cstheme="minorHAnsi"/>
                <w:sz w:val="18"/>
              </w:rPr>
              <w:t>106.376.300,00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Přístrojové vybavení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9376DB">
              <w:rPr>
                <w:rFonts w:asciiTheme="minorHAnsi" w:hAnsiTheme="minorHAnsi" w:cstheme="minorHAnsi"/>
                <w:sz w:val="18"/>
              </w:rPr>
              <w:t>98.672.000,00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Mzdové výdaje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9376DB">
              <w:rPr>
                <w:rFonts w:asciiTheme="minorHAnsi" w:hAnsiTheme="minorHAnsi" w:cstheme="minorHAnsi"/>
                <w:sz w:val="18"/>
              </w:rPr>
              <w:t>45.860.625,00</w:t>
            </w:r>
          </w:p>
          <w:p w:rsidR="00F34368" w:rsidRPr="00562D77" w:rsidRDefault="00F34368" w:rsidP="009376DB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Ostatní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9376DB">
              <w:rPr>
                <w:rFonts w:asciiTheme="minorHAnsi" w:hAnsiTheme="minorHAnsi" w:cstheme="minorHAnsi"/>
                <w:sz w:val="18"/>
              </w:rPr>
              <w:t>19.655.274,00</w:t>
            </w:r>
          </w:p>
        </w:tc>
      </w:tr>
      <w:tr w:rsidR="008353DD" w:rsidTr="00FC30C7">
        <w:trPr>
          <w:trHeight w:val="883"/>
        </w:trPr>
        <w:tc>
          <w:tcPr>
            <w:tcW w:w="2127" w:type="dxa"/>
            <w:gridSpan w:val="2"/>
          </w:tcPr>
          <w:p w:rsidR="008353DD" w:rsidRPr="00562D77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562D77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(zhruba 250 znaků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)</w:t>
            </w:r>
          </w:p>
        </w:tc>
        <w:tc>
          <w:tcPr>
            <w:tcW w:w="7479" w:type="dxa"/>
            <w:gridSpan w:val="5"/>
          </w:tcPr>
          <w:p w:rsidR="008353DD" w:rsidRPr="00127742" w:rsidRDefault="00127742" w:rsidP="001277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2774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Účelem projektu je vybudování regionálního VaV centra zaměřeného na výzkum a vývoj environmentálních technologií. Rozumí se tím výzkum technologií určených k ochraně jednotlivých složek prostředí (ovzduší, voda, půda) a technologií určených k optimálnímu nakládání s odpady (průmyslovými, komunálními, zemědělskými aj.), zejména k jejich materiálovému či energetickému využití, případně zneškodnění přijatelného z hlediska ochrany složek ŽP. </w:t>
            </w:r>
          </w:p>
        </w:tc>
      </w:tr>
      <w:tr w:rsidR="00EC751E" w:rsidTr="00FC30C7">
        <w:trPr>
          <w:trHeight w:val="277"/>
        </w:trPr>
        <w:tc>
          <w:tcPr>
            <w:tcW w:w="2127" w:type="dxa"/>
            <w:gridSpan w:val="2"/>
          </w:tcPr>
          <w:p w:rsidR="00EC751E" w:rsidRPr="00562D77" w:rsidRDefault="00EC751E" w:rsidP="00D93717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Zahájení/ukončení stavby/</w:t>
            </w:r>
            <w:r>
              <w:rPr>
                <w:rFonts w:asciiTheme="minorHAnsi" w:hAnsiTheme="minorHAnsi" w:cstheme="minorHAnsi"/>
                <w:b/>
                <w:sz w:val="22"/>
              </w:rPr>
              <w:t>r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>ekonstrukce</w:t>
            </w:r>
            <w:r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6"/>
              </w:rPr>
              <w:t>(pokud je relevantní)</w:t>
            </w:r>
          </w:p>
        </w:tc>
        <w:tc>
          <w:tcPr>
            <w:tcW w:w="3739" w:type="dxa"/>
            <w:gridSpan w:val="3"/>
            <w:vAlign w:val="center"/>
          </w:tcPr>
          <w:p w:rsidR="00EC751E" w:rsidRDefault="00EC751E" w:rsidP="00A1571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Datum: 25. 5. 2012 (podpis </w:t>
            </w:r>
            <w:r w:rsidR="00A15714">
              <w:rPr>
                <w:rFonts w:asciiTheme="minorHAnsi" w:hAnsiTheme="minorHAnsi" w:cstheme="minorHAnsi"/>
                <w:sz w:val="18"/>
                <w:szCs w:val="18"/>
              </w:rPr>
              <w:t>smlouvy o dílo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A15714" w:rsidRPr="009967CD" w:rsidRDefault="00A15714" w:rsidP="00A1571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Datum: 14. 5. 2013 (kolaudační souhlas)</w:t>
            </w:r>
          </w:p>
        </w:tc>
        <w:tc>
          <w:tcPr>
            <w:tcW w:w="3740" w:type="dxa"/>
            <w:gridSpan w:val="2"/>
            <w:vAlign w:val="center"/>
          </w:tcPr>
          <w:p w:rsidR="00EC751E" w:rsidRPr="009967CD" w:rsidRDefault="00EC751E" w:rsidP="0053565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Generální dodavatel: HOCHTIEF CZ a.s.</w:t>
            </w:r>
          </w:p>
        </w:tc>
      </w:tr>
      <w:tr w:rsidR="008353DD" w:rsidTr="00FC30C7">
        <w:trPr>
          <w:trHeight w:val="1290"/>
        </w:trPr>
        <w:tc>
          <w:tcPr>
            <w:tcW w:w="2127" w:type="dxa"/>
            <w:gridSpan w:val="2"/>
          </w:tcPr>
          <w:p w:rsidR="008353DD" w:rsidRPr="00562D77" w:rsidRDefault="00737A93" w:rsidP="00FD3750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479" w:type="dxa"/>
            <w:gridSpan w:val="5"/>
          </w:tcPr>
          <w:p w:rsidR="00716BEB" w:rsidRDefault="009B7C17" w:rsidP="00D93717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Příjemce měl problémy s dosahováním průběžných hodnot </w:t>
            </w:r>
            <w:r w:rsidR="00443658">
              <w:rPr>
                <w:rFonts w:asciiTheme="minorHAnsi" w:hAnsiTheme="minorHAnsi" w:cstheme="minorHAnsi"/>
                <w:bCs/>
                <w:sz w:val="18"/>
                <w:szCs w:val="18"/>
              </w:rPr>
              <w:t>těchto monitorovacích indikátorů</w:t>
            </w:r>
            <w:r w:rsidR="00716BEB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:rsidR="00716BEB" w:rsidRPr="00716BEB" w:rsidRDefault="00716BEB" w:rsidP="00443658">
            <w:pPr>
              <w:pStyle w:val="Odstavecseseznamem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č. 074901 (počet úspěšných absolventů magisterských studijních programů)</w:t>
            </w:r>
            <w:r w:rsidR="00443658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P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ožadovaného počtu nebylo dosaženo. K datu ukončení realizace projektu dosáhl počet úspěšných absolventů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hodnoty 85 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z plánovaných 133. Skutečně dosažený počet absolventů magisterských studijních programů odpovídá reálně dosažitelnému stavu. Nastavení hodnoty vycházelo z jiných představ o možnosti jeho naplnění.</w:t>
            </w:r>
          </w:p>
          <w:p w:rsidR="00443658" w:rsidRDefault="00443658" w:rsidP="00716B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716BEB" w:rsidRDefault="00716BEB" w:rsidP="00716B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č. 111200 (objem smluvního výzkumu)</w:t>
            </w:r>
            <w:r w:rsidR="00443658">
              <w:rPr>
                <w:rFonts w:asciiTheme="minorHAnsi" w:hAnsiTheme="minorHAnsi" w:cstheme="minorHAnsi"/>
                <w:bCs/>
                <w:sz w:val="18"/>
                <w:szCs w:val="18"/>
              </w:rPr>
              <w:t>. I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ndikátor nebyl splněn. Plán (2011-2013) byl 13.300 tis. Kč 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  <w:t xml:space="preserve">a skutečnost je 2.729 tis. Kč. </w:t>
            </w:r>
            <w:r w:rsidR="00443658">
              <w:rPr>
                <w:rFonts w:asciiTheme="minorHAnsi" w:hAnsiTheme="minorHAnsi" w:cstheme="minorHAnsi"/>
                <w:bCs/>
                <w:sz w:val="18"/>
                <w:szCs w:val="18"/>
              </w:rPr>
              <w:t>Příjemcem uváděné d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ůvody: posun ve výstavbě pavilonu (kolaudace o 8 měsíců později) a s tím související zpoždění instalace poloprovozních technologií spalování odpadů, plazmově-pyrolýzních procesů a anaerobní digesce. Dále</w:t>
            </w:r>
            <w:r w:rsidRPr="0035264D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pokračující ekonomická krize, která se projevila významným úbytkem zájmu průmyslových podniků o smluvní výzkum. Z těchto důvodů byla žádost o snížení podána na ŘO. Tato žádost byla zamítnuta (</w:t>
            </w:r>
            <w:r w:rsidR="00443658">
              <w:rPr>
                <w:rFonts w:asciiTheme="minorHAnsi" w:hAnsiTheme="minorHAnsi" w:cstheme="minorHAnsi"/>
                <w:bCs/>
                <w:sz w:val="18"/>
                <w:szCs w:val="18"/>
              </w:rPr>
              <w:t>ŘO</w:t>
            </w:r>
            <w:r w:rsidRPr="00716BE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připrav</w:t>
            </w:r>
            <w:r w:rsidR="00443658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il</w:t>
            </w:r>
            <w:r w:rsidRPr="00716BE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možnost vydat dodatek k RoPD, kterou však příjemce nevyužil)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:rsidR="00443658" w:rsidRDefault="00443658" w:rsidP="00443658">
            <w:pPr>
              <w:pStyle w:val="Odstavecseseznamem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443658" w:rsidRPr="00443658" w:rsidRDefault="00443658" w:rsidP="00443658">
            <w:pPr>
              <w:pStyle w:val="Odstavecseseznamem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Poznámka: 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č. 110517 </w:t>
            </w:r>
            <w:r w:rsidRPr="00716BEB">
              <w:rPr>
                <w:bCs/>
                <w:sz w:val="18"/>
                <w:szCs w:val="18"/>
              </w:rPr>
              <w:t>(vybudované kapacity - plocha m</w:t>
            </w:r>
            <w:r w:rsidRPr="00716BEB">
              <w:rPr>
                <w:bCs/>
                <w:sz w:val="18"/>
                <w:szCs w:val="18"/>
                <w:vertAlign w:val="superscript"/>
              </w:rPr>
              <w:t>2</w:t>
            </w:r>
            <w:r w:rsidRPr="00716BEB">
              <w:rPr>
                <w:bCs/>
                <w:sz w:val="18"/>
                <w:szCs w:val="18"/>
              </w:rPr>
              <w:t>)</w:t>
            </w:r>
            <w:r>
              <w:rPr>
                <w:bCs/>
                <w:sz w:val="18"/>
                <w:szCs w:val="18"/>
              </w:rPr>
              <w:t>.</w:t>
            </w:r>
            <w:r w:rsidRPr="00716BEB">
              <w:rPr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nížení celkové užitné plochy z 2 729 m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2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na 2701,9 m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2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v předchozích stupních projektové dokumentace byla při určení plochy místnosti č. 2.10 započítávána i plocha otvoru, propojujícího tuto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místnost s místností č. 1.20, 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v rámci dokumentace skutečného provedení byla tato plocha odečtena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  <w:r w:rsidRPr="00716BE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tbl>
            <w:tblPr>
              <w:tblW w:w="730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3193"/>
              <w:gridCol w:w="1134"/>
              <w:gridCol w:w="1117"/>
              <w:gridCol w:w="1010"/>
            </w:tblGrid>
            <w:tr w:rsidR="00416726" w:rsidRPr="00A93E77" w:rsidTr="00A93E77">
              <w:trPr>
                <w:trHeight w:val="1275"/>
              </w:trPr>
              <w:tc>
                <w:tcPr>
                  <w:tcW w:w="40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(plán)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(skutečnost)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31. 12. 2015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44365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64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125,5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161</w:t>
                  </w:r>
                </w:p>
              </w:tc>
            </w:tr>
            <w:tr w:rsidR="00A93E77" w:rsidRPr="00A93E77" w:rsidTr="00A93E77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11900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2729,4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33500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85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249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A93E77" w:rsidRPr="00A93E77" w:rsidTr="00A93E77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D6488E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142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VaV- celkem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26,45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D6488E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29,84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32,45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20,4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D6488E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23,39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25,4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D6488E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13,5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D6488E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  <w:tr w:rsidR="00A93E77" w:rsidRPr="00A93E77" w:rsidTr="00A93E7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2770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2701,9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443658" w:rsidRDefault="0044365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</w:tbl>
          <w:p w:rsidR="00123F0C" w:rsidRPr="00562D77" w:rsidRDefault="00123F0C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</w:p>
        </w:tc>
      </w:tr>
      <w:tr w:rsidR="00235AE1" w:rsidTr="00FC30C7">
        <w:tc>
          <w:tcPr>
            <w:tcW w:w="9606" w:type="dxa"/>
            <w:gridSpan w:val="7"/>
            <w:shd w:val="clear" w:color="auto" w:fill="595959" w:themeFill="text1" w:themeFillTint="A6"/>
          </w:tcPr>
          <w:p w:rsidR="00235AE1" w:rsidRPr="00562D77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451B8F" wp14:editId="043F1E36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562D77" w:rsidRDefault="0004245B" w:rsidP="0004245B">
                                  <w:pPr>
                                    <w:spacing w:after="120"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783E4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6451B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562D77" w:rsidRDefault="0004245B" w:rsidP="0004245B">
                            <w:pPr>
                              <w:spacing w:after="120"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:</w:t>
                            </w:r>
                            <w:r w:rsidR="00783E4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t>Aktuální stav realizace projektu</w:t>
            </w:r>
          </w:p>
        </w:tc>
      </w:tr>
      <w:tr w:rsidR="00F9010E" w:rsidTr="00FC30C7">
        <w:trPr>
          <w:trHeight w:val="847"/>
        </w:trPr>
        <w:tc>
          <w:tcPr>
            <w:tcW w:w="2103" w:type="dxa"/>
          </w:tcPr>
          <w:p w:rsidR="00F9010E" w:rsidRPr="00562D77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547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Jméno a </w:t>
            </w:r>
            <w:r w:rsidR="00F9010E" w:rsidRPr="00562D77">
              <w:rPr>
                <w:rFonts w:asciiTheme="minorHAnsi" w:hAnsiTheme="minorHAnsi" w:cstheme="minorHAnsi"/>
                <w:sz w:val="18"/>
              </w:rPr>
              <w:t xml:space="preserve">pracovní </w:t>
            </w:r>
            <w:r w:rsidRPr="00562D77">
              <w:rPr>
                <w:rFonts w:asciiTheme="minorHAnsi" w:hAnsiTheme="minorHAnsi" w:cstheme="minorHAnsi"/>
                <w:sz w:val="18"/>
              </w:rPr>
              <w:t>pozice:</w:t>
            </w:r>
          </w:p>
          <w:p w:rsidR="00135BFC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prof. Ing. Ivo Vondrák, CSc.</w:t>
            </w:r>
          </w:p>
          <w:p w:rsidR="00135BFC" w:rsidRPr="00562D77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rektor</w:t>
            </w:r>
          </w:p>
        </w:tc>
        <w:tc>
          <w:tcPr>
            <w:tcW w:w="3956" w:type="dxa"/>
            <w:gridSpan w:val="4"/>
          </w:tcPr>
          <w:p w:rsidR="00135BFC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Instituce</w:t>
            </w:r>
            <w:r w:rsidR="00002DBE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135BFC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F9010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002DBE" w:rsidTr="00FC30C7">
        <w:trPr>
          <w:trHeight w:val="1009"/>
        </w:trPr>
        <w:tc>
          <w:tcPr>
            <w:tcW w:w="2103" w:type="dxa"/>
          </w:tcPr>
          <w:p w:rsidR="00002DBE" w:rsidRPr="00562D77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503" w:type="dxa"/>
            <w:gridSpan w:val="6"/>
          </w:tcPr>
          <w:p w:rsidR="00135BFC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Vedoucí projektu (jméno a pracovní pozice)</w:t>
            </w:r>
            <w:r w:rsidR="00135BFC">
              <w:rPr>
                <w:rFonts w:asciiTheme="minorHAnsi" w:hAnsiTheme="minorHAnsi" w:cstheme="minorHAnsi"/>
                <w:sz w:val="18"/>
              </w:rPr>
              <w:t xml:space="preserve">: </w:t>
            </w:r>
          </w:p>
          <w:p w:rsidR="00002DBE" w:rsidRPr="00562D77" w:rsidRDefault="0053565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prof. Ing. </w:t>
            </w:r>
            <w:r w:rsidR="0032243C">
              <w:rPr>
                <w:rFonts w:asciiTheme="minorHAnsi" w:hAnsiTheme="minorHAnsi" w:cstheme="minorHAnsi"/>
                <w:sz w:val="18"/>
              </w:rPr>
              <w:t>Lucie Obalová, Ph.D.</w:t>
            </w:r>
          </w:p>
          <w:p w:rsidR="00002DB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ředitel </w:t>
            </w:r>
          </w:p>
        </w:tc>
      </w:tr>
      <w:tr w:rsidR="00716BEB" w:rsidTr="00FC30C7">
        <w:trPr>
          <w:trHeight w:val="843"/>
        </w:trPr>
        <w:tc>
          <w:tcPr>
            <w:tcW w:w="2103" w:type="dxa"/>
          </w:tcPr>
          <w:p w:rsidR="00716BEB" w:rsidRPr="00562D77" w:rsidRDefault="00716BE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Klíčové schválené změny projektu</w:t>
            </w:r>
          </w:p>
        </w:tc>
        <w:tc>
          <w:tcPr>
            <w:tcW w:w="3751" w:type="dxa"/>
            <w:gridSpan w:val="3"/>
          </w:tcPr>
          <w:p w:rsidR="00716BEB" w:rsidRPr="00716BEB" w:rsidRDefault="00716BEB" w:rsidP="00716BE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BEB">
              <w:rPr>
                <w:rFonts w:asciiTheme="minorHAnsi" w:hAnsiTheme="minorHAnsi" w:cstheme="minorHAnsi"/>
                <w:sz w:val="18"/>
                <w:szCs w:val="18"/>
              </w:rPr>
              <w:t xml:space="preserve">Stručný popis: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</w:rPr>
              <w:t>Úspory ze zakázky na stavební práce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</w:rPr>
              <w:t>(snížení celkových způsobilých výdajů)</w:t>
            </w:r>
          </w:p>
        </w:tc>
        <w:tc>
          <w:tcPr>
            <w:tcW w:w="3752" w:type="dxa"/>
            <w:gridSpan w:val="3"/>
          </w:tcPr>
          <w:p w:rsidR="00716BEB" w:rsidRPr="009B7C17" w:rsidRDefault="00716BEB" w:rsidP="00716BEB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BEB">
              <w:rPr>
                <w:rFonts w:asciiTheme="minorHAnsi" w:hAnsiTheme="minorHAnsi" w:cstheme="minorHAnsi"/>
                <w:sz w:val="18"/>
                <w:szCs w:val="18"/>
              </w:rPr>
              <w:t xml:space="preserve">Finanční dopady: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>-5.360.390,91</w:t>
            </w:r>
          </w:p>
        </w:tc>
      </w:tr>
      <w:tr w:rsidR="0004245B" w:rsidTr="00FC30C7">
        <w:trPr>
          <w:trHeight w:val="1980"/>
        </w:trPr>
        <w:tc>
          <w:tcPr>
            <w:tcW w:w="2103" w:type="dxa"/>
          </w:tcPr>
          <w:p w:rsidR="0004245B" w:rsidRPr="00562D77" w:rsidRDefault="0004245B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Věcná realizace projektu</w:t>
            </w:r>
          </w:p>
        </w:tc>
        <w:tc>
          <w:tcPr>
            <w:tcW w:w="7503" w:type="dxa"/>
            <w:gridSpan w:val="6"/>
          </w:tcPr>
          <w:p w:rsidR="00535653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Stavební část (včetně % naplnění)</w:t>
            </w:r>
            <w:r w:rsidR="005356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27742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  <w:p w:rsidR="00EC751E" w:rsidRPr="00783E42" w:rsidRDefault="00EC751E" w:rsidP="00EC751E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C751E">
              <w:rPr>
                <w:rFonts w:asciiTheme="minorHAnsi" w:hAnsiTheme="minorHAnsi" w:cstheme="minorHAnsi"/>
                <w:sz w:val="18"/>
                <w:szCs w:val="18"/>
              </w:rPr>
              <w:t xml:space="preserve">Novostavba pavilonu IET. </w:t>
            </w:r>
            <w:r w:rsidRPr="00EC751E">
              <w:rPr>
                <w:rFonts w:asciiTheme="minorHAnsi" w:hAnsiTheme="minorHAnsi" w:cstheme="minorHAnsi"/>
                <w:bCs/>
                <w:sz w:val="18"/>
                <w:szCs w:val="18"/>
              </w:rPr>
              <w:t>Součástí</w:t>
            </w:r>
            <w:r w:rsidRPr="0012774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443658">
              <w:rPr>
                <w:rFonts w:asciiTheme="minorHAnsi" w:hAnsiTheme="minorHAnsi" w:cstheme="minorHAnsi"/>
                <w:bCs/>
                <w:sz w:val="18"/>
                <w:szCs w:val="18"/>
              </w:rPr>
              <w:t>jsou</w:t>
            </w:r>
            <w:r w:rsidRPr="0012774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pracoviště určená pro kontrolu dopadů uvedených technologií na prostředí. Projekt se zaměřuje na technické zpracování dále nerecyklovatelných odpadů s využitím jejich energetického potenciálu.</w:t>
            </w:r>
          </w:p>
          <w:p w:rsidR="00A93E77" w:rsidRDefault="0004245B" w:rsidP="0041672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Přístroje 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9B7C17" w:rsidRPr="009B7C17" w:rsidRDefault="00D93717" w:rsidP="00EC751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ŘO provedl kontrolu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EC751E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veřejných zakázek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EC751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Veškeré přístrojové vybavení se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příjemci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podařilo smluvně </w:t>
            </w:r>
            <w:r w:rsidR="00EC751E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vázat. </w:t>
            </w:r>
          </w:p>
          <w:p w:rsidR="00A93E77" w:rsidRDefault="0081392A" w:rsidP="0041672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783E42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135BFC" w:rsidRPr="00EC751E" w:rsidRDefault="00EC751E" w:rsidP="00EC751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C751E">
              <w:rPr>
                <w:rFonts w:asciiTheme="minorHAnsi" w:hAnsiTheme="minorHAnsi" w:cstheme="minorHAnsi"/>
                <w:sz w:val="18"/>
                <w:szCs w:val="18"/>
              </w:rPr>
              <w:t xml:space="preserve">Vedoucí výzkumných programů, Senior Researchers, Junior Researchers a studenti PhD. V roce 2013 bylo zapojeno do projektu 47 výzkumných pracovníků. Každý ze tří výzkumných programů je veden Vedoucím VP, z nichž každý je zaměstnán na centru na částečný úvazek v přepočtu na FTE je to 1,6 úvazku. V centru je dále zaměstnáno na pozici Senior researcher 9 pracovníků na částečné úvazky v přepočtu celkem 4,2 FTE. Na pozicích Junior researcher je zaměstnáno celkem 22 pracovníků v přepočtu na 10 FTE. Na pozicích Ph.D. student je v centru zaměstnáno 13 pracovníků v přepočtu na FTE 5,5 úvazku. </w:t>
            </w:r>
          </w:p>
        </w:tc>
      </w:tr>
      <w:tr w:rsidR="00DA6654" w:rsidTr="00FC30C7">
        <w:tc>
          <w:tcPr>
            <w:tcW w:w="2103" w:type="dxa"/>
          </w:tcPr>
          <w:p w:rsidR="00DA6654" w:rsidRPr="00562D77" w:rsidRDefault="00DA6654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</w:p>
        </w:tc>
        <w:tc>
          <w:tcPr>
            <w:tcW w:w="7503" w:type="dxa"/>
            <w:gridSpan w:val="6"/>
          </w:tcPr>
          <w:p w:rsidR="00535653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Předložené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>:</w:t>
            </w:r>
            <w:r w:rsidR="00B96AF3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113128">
              <w:rPr>
                <w:rFonts w:asciiTheme="minorHAnsi" w:hAnsiTheme="minorHAnsi" w:cstheme="minorHAnsi"/>
                <w:sz w:val="18"/>
              </w:rPr>
              <w:t>262 015 442,01</w:t>
            </w:r>
          </w:p>
          <w:p w:rsidR="00535653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Schválené výdaje</w:t>
            </w:r>
            <w:r w:rsidR="00C92258" w:rsidRPr="00562D77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8"/>
              </w:rPr>
              <w:t>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113128">
              <w:rPr>
                <w:rFonts w:asciiTheme="minorHAnsi" w:hAnsiTheme="minorHAnsi" w:cstheme="minorHAnsi"/>
                <w:sz w:val="18"/>
              </w:rPr>
              <w:t>260 727 132,75</w:t>
            </w:r>
          </w:p>
          <w:p w:rsidR="00DA6654" w:rsidRPr="00562D77" w:rsidRDefault="00DA6654" w:rsidP="00113128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Certifikované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113128" w:rsidRPr="00113128">
              <w:rPr>
                <w:rFonts w:asciiTheme="minorHAnsi" w:hAnsiTheme="minorHAnsi" w:cstheme="minorHAnsi"/>
                <w:sz w:val="18"/>
              </w:rPr>
              <w:t>259</w:t>
            </w:r>
            <w:r w:rsidR="00113128">
              <w:rPr>
                <w:rFonts w:asciiTheme="minorHAnsi" w:hAnsiTheme="minorHAnsi" w:cstheme="minorHAnsi"/>
                <w:sz w:val="18"/>
              </w:rPr>
              <w:t> </w:t>
            </w:r>
            <w:r w:rsidR="00113128" w:rsidRPr="00113128">
              <w:rPr>
                <w:rFonts w:asciiTheme="minorHAnsi" w:hAnsiTheme="minorHAnsi" w:cstheme="minorHAnsi"/>
                <w:sz w:val="18"/>
              </w:rPr>
              <w:t>475</w:t>
            </w:r>
            <w:r w:rsidR="00113128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113128" w:rsidRPr="00113128">
              <w:rPr>
                <w:rFonts w:asciiTheme="minorHAnsi" w:hAnsiTheme="minorHAnsi" w:cstheme="minorHAnsi"/>
                <w:sz w:val="18"/>
              </w:rPr>
              <w:t xml:space="preserve">625,12 </w:t>
            </w:r>
          </w:p>
        </w:tc>
      </w:tr>
      <w:tr w:rsidR="00C43F6D" w:rsidTr="00FC30C7">
        <w:tc>
          <w:tcPr>
            <w:tcW w:w="2103" w:type="dxa"/>
          </w:tcPr>
          <w:p w:rsidR="007A4060" w:rsidRDefault="00EE2A12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 xml:space="preserve">Nezpůsobilé </w:t>
            </w:r>
          </w:p>
          <w:p w:rsidR="00D93717" w:rsidRDefault="00EE2A12" w:rsidP="00C92258">
            <w:pPr>
              <w:spacing w:before="60" w:after="60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výdaje</w:t>
            </w:r>
            <w:r w:rsidR="00C43F6D" w:rsidRPr="00562D77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562D77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:rsidR="00C43F6D" w:rsidRPr="00562D77" w:rsidRDefault="00C43F6D" w:rsidP="00C92258">
            <w:pPr>
              <w:spacing w:before="60" w:after="60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(v Kč i %):</w:t>
            </w:r>
          </w:p>
        </w:tc>
        <w:tc>
          <w:tcPr>
            <w:tcW w:w="7503" w:type="dxa"/>
            <w:gridSpan w:val="6"/>
            <w:vAlign w:val="center"/>
          </w:tcPr>
          <w:p w:rsidR="00C43F6D" w:rsidRPr="00E35E31" w:rsidRDefault="00113128" w:rsidP="0011312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45 933 826,96</w:t>
            </w:r>
            <w:r w:rsidR="00127742" w:rsidRPr="0012774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D2753C" w:rsidTr="00FC30C7">
        <w:trPr>
          <w:trHeight w:val="1389"/>
        </w:trPr>
        <w:tc>
          <w:tcPr>
            <w:tcW w:w="2103" w:type="dxa"/>
          </w:tcPr>
          <w:p w:rsidR="00D2753C" w:rsidRPr="00562D77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562D77" w:rsidRDefault="00D2753C" w:rsidP="00D03FD2">
            <w:pPr>
              <w:spacing w:after="60"/>
              <w:rPr>
                <w:rFonts w:asciiTheme="minorHAnsi" w:hAnsiTheme="minorHAnsi" w:cstheme="minorHAnsi"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(signalizovaná rizika, fázování apod.)</w:t>
            </w:r>
          </w:p>
        </w:tc>
        <w:tc>
          <w:tcPr>
            <w:tcW w:w="7503" w:type="dxa"/>
            <w:gridSpan w:val="6"/>
          </w:tcPr>
          <w:p w:rsidR="00D2753C" w:rsidRPr="00443658" w:rsidRDefault="00443658" w:rsidP="00443658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43658">
              <w:rPr>
                <w:rFonts w:asciiTheme="minorHAnsi" w:hAnsiTheme="minorHAnsi" w:cstheme="minorHAnsi"/>
                <w:sz w:val="18"/>
                <w:szCs w:val="18"/>
              </w:rPr>
              <w:t xml:space="preserve">Rizikem identifikovaným v průběhu projektu bylo riziko porušení rozpočtové kázně (PRK), které vznikalo zejména při pochybení ve VZ. Důsledkem uvedeného rizika byla následná neuznatelnost již vynaložených nákladů jako nezpůsobilých tj. jejich úhrada z vlastních zdrojů, ale také ponížení dotace o tyto neuznané náklady a následná pokuta udělovaná ŘO za PRK. Tomuto riziku bylo možno předcházet pouze velmi důslednou přípravou a kontrolou VZ v celém jejím průběhu, následná opatření byla neúčinná. </w:t>
            </w:r>
          </w:p>
        </w:tc>
      </w:tr>
      <w:tr w:rsidR="00A431A3" w:rsidTr="00FC30C7">
        <w:tc>
          <w:tcPr>
            <w:tcW w:w="9606" w:type="dxa"/>
            <w:gridSpan w:val="7"/>
            <w:shd w:val="clear" w:color="auto" w:fill="404040" w:themeFill="text1" w:themeFillTint="BF"/>
          </w:tcPr>
          <w:p w:rsidR="00A431A3" w:rsidRPr="00562D77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t>Udržitelnost projektu</w:t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503" w:type="dxa"/>
            <w:gridSpan w:val="6"/>
          </w:tcPr>
          <w:p w:rsidR="000828FD" w:rsidRDefault="000828FD" w:rsidP="003B4700">
            <w:pPr>
              <w:spacing w:before="60" w:after="60" w:line="240" w:lineRule="auto"/>
            </w:pPr>
            <w:r w:rsidRPr="00865388">
              <w:rPr>
                <w:sz w:val="18"/>
              </w:rPr>
              <w:t>Požadované zdroje smluvní výzkum a jejich zajištění</w:t>
            </w:r>
            <w:r>
              <w:rPr>
                <w:sz w:val="18"/>
              </w:rPr>
              <w:t xml:space="preserve"> jsou (2014-18)</w:t>
            </w:r>
            <w:r w:rsidRPr="00D516D2">
              <w:rPr>
                <w:sz w:val="18"/>
              </w:rPr>
              <w:t xml:space="preserve"> </w:t>
            </w:r>
            <w:r w:rsidR="00FC30C7">
              <w:rPr>
                <w:sz w:val="18"/>
              </w:rPr>
              <w:t xml:space="preserve">9, 6 </w:t>
            </w:r>
            <w:r w:rsidRPr="00D516D2">
              <w:rPr>
                <w:sz w:val="18"/>
              </w:rPr>
              <w:t>mil. Kč</w:t>
            </w:r>
            <w:r w:rsidR="00FC30C7">
              <w:rPr>
                <w:sz w:val="18"/>
              </w:rPr>
              <w:t>.</w:t>
            </w:r>
            <w:r>
              <w:rPr>
                <w:sz w:val="18"/>
              </w:rPr>
              <w:t xml:space="preserve"> Dosavadní smluvní výzkum v období 201</w:t>
            </w:r>
            <w:r w:rsidR="003B4700">
              <w:rPr>
                <w:sz w:val="18"/>
              </w:rPr>
              <w:t>4</w:t>
            </w:r>
            <w:r>
              <w:rPr>
                <w:sz w:val="18"/>
              </w:rPr>
              <w:t>-201</w:t>
            </w:r>
            <w:r w:rsidR="003B4700">
              <w:rPr>
                <w:sz w:val="18"/>
              </w:rPr>
              <w:t>5</w:t>
            </w:r>
            <w:r>
              <w:rPr>
                <w:sz w:val="18"/>
              </w:rPr>
              <w:t xml:space="preserve"> byl 2</w:t>
            </w:r>
            <w:r w:rsidR="00FC30C7">
              <w:rPr>
                <w:sz w:val="18"/>
              </w:rPr>
              <w:t>, 9</w:t>
            </w:r>
            <w:r>
              <w:rPr>
                <w:sz w:val="18"/>
              </w:rPr>
              <w:t xml:space="preserve"> mil. Kč (plánováno 8,5 mil. Kč). M</w:t>
            </w:r>
            <w:r w:rsidRPr="00D516D2">
              <w:rPr>
                <w:sz w:val="18"/>
              </w:rPr>
              <w:t xml:space="preserve">ezinárodní granty a jejich zajištění: </w:t>
            </w:r>
            <w:r w:rsidR="00FC30C7">
              <w:rPr>
                <w:sz w:val="18"/>
              </w:rPr>
              <w:t>8, 7</w:t>
            </w:r>
            <w:r>
              <w:rPr>
                <w:sz w:val="18"/>
              </w:rPr>
              <w:t xml:space="preserve"> mil Kč.</w:t>
            </w:r>
            <w:r w:rsidRPr="00D516D2">
              <w:rPr>
                <w:sz w:val="18"/>
              </w:rPr>
              <w:t xml:space="preserve"> </w:t>
            </w:r>
            <w:r>
              <w:rPr>
                <w:sz w:val="18"/>
              </w:rPr>
              <w:t>(2014 - 2018). Příjmy</w:t>
            </w:r>
            <w:r w:rsidR="00FC30C7">
              <w:rPr>
                <w:sz w:val="18"/>
              </w:rPr>
              <w:t xml:space="preserve"> z národních grantů jsou 39, 4 mil. K</w:t>
            </w:r>
            <w:r>
              <w:rPr>
                <w:sz w:val="18"/>
              </w:rPr>
              <w:t>č  za dané období. Ostatn</w:t>
            </w:r>
            <w:r w:rsidR="00FC30C7">
              <w:rPr>
                <w:sz w:val="18"/>
              </w:rPr>
              <w:t>í zdroje financování jsou 7, 8</w:t>
            </w:r>
            <w:r>
              <w:rPr>
                <w:sz w:val="18"/>
              </w:rPr>
              <w:t xml:space="preserve"> mil. Kč. </w:t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503" w:type="dxa"/>
            <w:gridSpan w:val="6"/>
          </w:tcPr>
          <w:p w:rsidR="000828FD" w:rsidRDefault="000828FD" w:rsidP="00FC30C7">
            <w:pPr>
              <w:spacing w:before="60" w:after="60" w:line="240" w:lineRule="auto"/>
            </w:pPr>
            <w:r>
              <w:rPr>
                <w:sz w:val="18"/>
              </w:rPr>
              <w:t xml:space="preserve">Požadavky na účelové zdroje centra jsou specifikovány ve výši </w:t>
            </w:r>
            <w:r w:rsidR="00FC30C7">
              <w:rPr>
                <w:sz w:val="18"/>
              </w:rPr>
              <w:t>149, 8</w:t>
            </w:r>
            <w:r>
              <w:rPr>
                <w:sz w:val="18"/>
              </w:rPr>
              <w:t xml:space="preserve"> mil. Kč</w:t>
            </w:r>
            <w:r w:rsidR="003B4700">
              <w:rPr>
                <w:sz w:val="18"/>
              </w:rPr>
              <w:t xml:space="preserve"> (do roku 2020)</w:t>
            </w:r>
            <w:r>
              <w:rPr>
                <w:sz w:val="18"/>
              </w:rPr>
              <w:t xml:space="preserve">. Z toho NPU ve výši </w:t>
            </w:r>
            <w:r w:rsidR="00FC30C7">
              <w:rPr>
                <w:sz w:val="18"/>
              </w:rPr>
              <w:t>66, 8</w:t>
            </w:r>
            <w:r>
              <w:rPr>
                <w:sz w:val="18"/>
              </w:rPr>
              <w:t xml:space="preserve"> mil. Kč. Institucionální pod</w:t>
            </w:r>
            <w:r w:rsidR="003B4700">
              <w:rPr>
                <w:sz w:val="18"/>
              </w:rPr>
              <w:t>pora je předpokládána ve výši 1</w:t>
            </w:r>
            <w:r>
              <w:rPr>
                <w:sz w:val="18"/>
              </w:rPr>
              <w:t>5</w:t>
            </w:r>
            <w:r w:rsidR="003B4700">
              <w:rPr>
                <w:sz w:val="18"/>
              </w:rPr>
              <w:t>,</w:t>
            </w:r>
            <w:r w:rsidR="00FC30C7">
              <w:rPr>
                <w:sz w:val="18"/>
              </w:rPr>
              <w:t>7</w:t>
            </w:r>
            <w:r>
              <w:rPr>
                <w:sz w:val="18"/>
              </w:rPr>
              <w:t xml:space="preserve"> mil. Kč do roku 20</w:t>
            </w:r>
            <w:r w:rsidR="003B4700">
              <w:rPr>
                <w:sz w:val="18"/>
              </w:rPr>
              <w:t>18</w:t>
            </w:r>
            <w:r>
              <w:rPr>
                <w:sz w:val="18"/>
              </w:rPr>
              <w:t xml:space="preserve">. </w:t>
            </w:r>
            <w:r>
              <w:t xml:space="preserve"> </w:t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503" w:type="dxa"/>
            <w:gridSpan w:val="6"/>
          </w:tcPr>
          <w:p w:rsidR="00FC30C7" w:rsidRDefault="00FC30C7" w:rsidP="00FC30C7">
            <w:pPr>
              <w:spacing w:before="60" w:after="60" w:line="240" w:lineRule="auto"/>
              <w:rPr>
                <w:sz w:val="18"/>
              </w:rPr>
            </w:pPr>
            <w:r w:rsidRPr="0001627C">
              <w:rPr>
                <w:sz w:val="18"/>
              </w:rPr>
              <w:t>Současný počet výzkumníků: FTE 28,88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Kvalifikač</w:t>
            </w:r>
            <w:r>
              <w:rPr>
                <w:sz w:val="18"/>
              </w:rPr>
              <w:t xml:space="preserve">ní struktura: </w:t>
            </w:r>
            <w:r w:rsidRPr="0001627C">
              <w:rPr>
                <w:sz w:val="18"/>
              </w:rPr>
              <w:t>senioři 7,36 FTE, junioři 1</w:t>
            </w:r>
            <w:r>
              <w:rPr>
                <w:sz w:val="18"/>
              </w:rPr>
              <w:t>5,66 FTE, Ph.D. 5,86 FTE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FC30C7" w:rsidRDefault="00FC30C7" w:rsidP="00FC30C7">
            <w:pPr>
              <w:spacing w:before="60" w:after="60" w:line="240" w:lineRule="auto"/>
              <w:rPr>
                <w:sz w:val="18"/>
              </w:rPr>
            </w:pPr>
            <w:r w:rsidRPr="0001627C">
              <w:rPr>
                <w:sz w:val="18"/>
              </w:rPr>
              <w:t>Plánovaný počet výzkumníků: FTE 25,5</w:t>
            </w:r>
            <w:r>
              <w:rPr>
                <w:sz w:val="18"/>
              </w:rPr>
              <w:t>, K</w:t>
            </w:r>
            <w:r w:rsidRPr="0001627C">
              <w:rPr>
                <w:sz w:val="18"/>
              </w:rPr>
              <w:t>valifikační struktura: FTE - 6,1 senioři, 11,4 junioři, 8 Ph.D.</w:t>
            </w:r>
            <w:r w:rsidRPr="0001627C">
              <w:rPr>
                <w:sz w:val="18"/>
              </w:rPr>
              <w:tab/>
            </w:r>
            <w:r w:rsidRPr="0069239B">
              <w:rPr>
                <w:sz w:val="18"/>
              </w:rPr>
              <w:t>i</w:t>
            </w:r>
          </w:p>
          <w:p w:rsidR="000828FD" w:rsidRDefault="00FC30C7" w:rsidP="00FC30C7">
            <w:pPr>
              <w:spacing w:before="60" w:after="60" w:line="240" w:lineRule="auto"/>
            </w:pPr>
            <w:r>
              <w:rPr>
                <w:sz w:val="18"/>
              </w:rPr>
              <w:t>Indikátory smluvního výzkumu a indikátory</w:t>
            </w:r>
            <w:r w:rsidRPr="0069239B">
              <w:rPr>
                <w:sz w:val="18"/>
              </w:rPr>
              <w:t xml:space="preserve"> počtu úspěšných absolventů magisterských studijních programů</w:t>
            </w:r>
            <w:r>
              <w:rPr>
                <w:sz w:val="18"/>
              </w:rPr>
              <w:t xml:space="preserve"> byly nastaveny nereálně a nyní činí problém naplnění. </w:t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503" w:type="dxa"/>
            <w:gridSpan w:val="6"/>
          </w:tcPr>
          <w:p w:rsidR="00FC30C7" w:rsidRDefault="0069239B" w:rsidP="0069239B">
            <w:pPr>
              <w:spacing w:before="60" w:after="60" w:line="240" w:lineRule="auto"/>
              <w:rPr>
                <w:sz w:val="18"/>
              </w:rPr>
            </w:pPr>
            <w:r w:rsidRPr="0069239B">
              <w:rPr>
                <w:sz w:val="18"/>
              </w:rPr>
              <w:t>IET je lokalizován v nové, moderní budově, vybudované za cca 94,5 mil. Kč. Celková dotace činila cca 264 mil. Kč.  Jedná se tedy, z hledi</w:t>
            </w:r>
            <w:r w:rsidR="00FC30C7">
              <w:rPr>
                <w:sz w:val="18"/>
              </w:rPr>
              <w:t>ska nákladů o menší centrum</w:t>
            </w:r>
            <w:r w:rsidRPr="0069239B">
              <w:rPr>
                <w:sz w:val="18"/>
              </w:rPr>
              <w:t xml:space="preserve">, které je již rok ve fázi udržitelnosti a které </w:t>
            </w:r>
            <w:r w:rsidR="00FC30C7">
              <w:rPr>
                <w:sz w:val="18"/>
              </w:rPr>
              <w:t>již využívá</w:t>
            </w:r>
            <w:r w:rsidRPr="0069239B">
              <w:rPr>
                <w:sz w:val="18"/>
              </w:rPr>
              <w:t xml:space="preserve"> NPU 1 ve výši cca 66,8 mil. Kč. </w:t>
            </w:r>
          </w:p>
          <w:p w:rsidR="00FC30C7" w:rsidRDefault="0069239B" w:rsidP="0069239B">
            <w:pPr>
              <w:spacing w:before="60" w:after="60" w:line="240" w:lineRule="auto"/>
              <w:rPr>
                <w:sz w:val="18"/>
              </w:rPr>
            </w:pPr>
            <w:r w:rsidRPr="0069239B">
              <w:rPr>
                <w:sz w:val="18"/>
              </w:rPr>
              <w:t xml:space="preserve">IET se zabývá výzkumem energetického využití odpadů, novými technologiemi zpracování odpadních produktů a výzkumem dopadů environmentálních technologií na složky životního prostředí. Tento široce zaměřený projekt má jednoho partnera, tj. Ostravskou universitu v Ostravě.   </w:t>
            </w:r>
          </w:p>
          <w:p w:rsidR="000828FD" w:rsidRPr="005B6C3A" w:rsidRDefault="0069239B" w:rsidP="00FC30C7">
            <w:pPr>
              <w:spacing w:before="60" w:after="60" w:line="240" w:lineRule="auto"/>
              <w:rPr>
                <w:sz w:val="18"/>
              </w:rPr>
            </w:pPr>
            <w:r w:rsidRPr="0069239B">
              <w:rPr>
                <w:sz w:val="18"/>
              </w:rPr>
              <w:t xml:space="preserve">Při řešení tří nosných výzkumných programů využívá IET  i další laboratoře u partnera projektu, tj. na PF Ostravské university. </w:t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503" w:type="dxa"/>
            <w:gridSpan w:val="6"/>
          </w:tcPr>
          <w:p w:rsidR="0001627C" w:rsidRDefault="0001627C" w:rsidP="0001627C">
            <w:pPr>
              <w:spacing w:before="60" w:after="60" w:line="240" w:lineRule="auto"/>
              <w:rPr>
                <w:sz w:val="18"/>
              </w:rPr>
            </w:pPr>
            <w:r w:rsidRPr="0001627C">
              <w:rPr>
                <w:sz w:val="18"/>
              </w:rPr>
              <w:t>Zahraniční výzkumníci v současnosti zapojení do výzkumu : 4 - 2 studenti s úvazkem, 2 stu</w:t>
            </w:r>
            <w:r>
              <w:rPr>
                <w:sz w:val="18"/>
              </w:rPr>
              <w:t>denti na 3měsíční stáži, P</w:t>
            </w:r>
            <w:r w:rsidRPr="0001627C">
              <w:rPr>
                <w:sz w:val="18"/>
              </w:rPr>
              <w:t>rojektem plánovaní zahraniční výzkumníci po realizaci projektu : 2</w:t>
            </w:r>
            <w:r>
              <w:rPr>
                <w:sz w:val="18"/>
              </w:rPr>
              <w:t>.</w:t>
            </w:r>
          </w:p>
          <w:p w:rsidR="0001627C" w:rsidRPr="0001627C" w:rsidRDefault="0001627C" w:rsidP="0001627C">
            <w:pPr>
              <w:spacing w:before="60" w:after="60" w:line="240" w:lineRule="auto"/>
              <w:rPr>
                <w:sz w:val="18"/>
              </w:rPr>
            </w:pPr>
            <w:r w:rsidRPr="0001627C">
              <w:rPr>
                <w:sz w:val="18"/>
              </w:rPr>
              <w:t>Vztahy s tuzemskými průmyslovými partnery</w:t>
            </w:r>
            <w:r>
              <w:rPr>
                <w:sz w:val="18"/>
              </w:rPr>
              <w:t xml:space="preserve">: </w:t>
            </w:r>
            <w:r w:rsidRPr="0001627C">
              <w:rPr>
                <w:sz w:val="18"/>
              </w:rPr>
              <w:t>Nano4people s.r.o.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TECHEM CZ a.s.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SITA CZ a.s.</w:t>
            </w:r>
          </w:p>
          <w:p w:rsidR="0001627C" w:rsidRDefault="0001627C" w:rsidP="0001627C">
            <w:pPr>
              <w:spacing w:before="60" w:after="60" w:line="240" w:lineRule="auto"/>
              <w:rPr>
                <w:sz w:val="18"/>
              </w:rPr>
            </w:pPr>
            <w:r w:rsidRPr="0001627C">
              <w:rPr>
                <w:sz w:val="18"/>
              </w:rPr>
              <w:t xml:space="preserve">Výzkumný ústav anorganické chemie, a.s. část </w:t>
            </w:r>
            <w:proofErr w:type="spellStart"/>
            <w:r w:rsidRPr="0001627C">
              <w:rPr>
                <w:sz w:val="18"/>
              </w:rPr>
              <w:t>UniCRE</w:t>
            </w:r>
            <w:proofErr w:type="spellEnd"/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DEZA a.s.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Strojírny Olšovec s.r.o.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Capital</w:t>
            </w:r>
            <w:proofErr w:type="spellEnd"/>
            <w:r w:rsidRPr="0001627C">
              <w:rPr>
                <w:sz w:val="18"/>
              </w:rPr>
              <w:t xml:space="preserve"> </w:t>
            </w:r>
            <w:proofErr w:type="spellStart"/>
            <w:r w:rsidRPr="0001627C">
              <w:rPr>
                <w:sz w:val="18"/>
              </w:rPr>
              <w:t>Refractories</w:t>
            </w:r>
            <w:proofErr w:type="spellEnd"/>
            <w:r w:rsidRPr="0001627C">
              <w:rPr>
                <w:sz w:val="18"/>
              </w:rPr>
              <w:t xml:space="preserve"> s.r.o.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Yeti</w:t>
            </w:r>
            <w:proofErr w:type="spellEnd"/>
            <w:r w:rsidRPr="0001627C">
              <w:rPr>
                <w:sz w:val="18"/>
              </w:rPr>
              <w:t xml:space="preserve"> </w:t>
            </w:r>
            <w:proofErr w:type="spellStart"/>
            <w:r w:rsidRPr="0001627C">
              <w:rPr>
                <w:sz w:val="18"/>
              </w:rPr>
              <w:t>energo</w:t>
            </w:r>
            <w:proofErr w:type="spellEnd"/>
            <w:r w:rsidRPr="0001627C">
              <w:rPr>
                <w:sz w:val="18"/>
              </w:rPr>
              <w:t xml:space="preserve"> a.s.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Viadrus</w:t>
            </w:r>
            <w:proofErr w:type="spellEnd"/>
            <w:r w:rsidRPr="0001627C">
              <w:rPr>
                <w:sz w:val="18"/>
              </w:rPr>
              <w:t xml:space="preserve"> a.s.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Evraz</w:t>
            </w:r>
            <w:proofErr w:type="spellEnd"/>
            <w:r w:rsidRPr="0001627C">
              <w:rPr>
                <w:sz w:val="18"/>
              </w:rPr>
              <w:t xml:space="preserve"> Vítkovice Steel a.s.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BosodChem</w:t>
            </w:r>
            <w:proofErr w:type="spellEnd"/>
            <w:r w:rsidRPr="0001627C">
              <w:rPr>
                <w:sz w:val="18"/>
              </w:rPr>
              <w:t xml:space="preserve"> MCHZ, s.r.o.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Výzkumný ústav pro hnědé uhlí a.s.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OKD HBZS (Hlavní báňská záchranná stanice)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OKD, a.s.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IHAS, s.r.o.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Teplotechna</w:t>
            </w:r>
            <w:proofErr w:type="spellEnd"/>
            <w:r w:rsidRPr="0001627C">
              <w:rPr>
                <w:sz w:val="18"/>
              </w:rPr>
              <w:t xml:space="preserve"> Ostrava a.s.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Statutární město Opava</w:t>
            </w:r>
            <w:r>
              <w:rPr>
                <w:sz w:val="18"/>
              </w:rPr>
              <w:t xml:space="preserve">, </w:t>
            </w:r>
            <w:proofErr w:type="spellStart"/>
            <w:r w:rsidRPr="0001627C">
              <w:rPr>
                <w:sz w:val="18"/>
              </w:rPr>
              <w:t>Elvac</w:t>
            </w:r>
            <w:proofErr w:type="spellEnd"/>
            <w:r w:rsidRPr="0001627C">
              <w:rPr>
                <w:sz w:val="18"/>
              </w:rPr>
              <w:t xml:space="preserve"> </w:t>
            </w:r>
            <w:proofErr w:type="spellStart"/>
            <w:r w:rsidRPr="0001627C">
              <w:rPr>
                <w:sz w:val="18"/>
              </w:rPr>
              <w:t>Ekotechnika</w:t>
            </w:r>
            <w:proofErr w:type="spellEnd"/>
            <w:r w:rsidRPr="0001627C">
              <w:rPr>
                <w:sz w:val="18"/>
              </w:rPr>
              <w:t xml:space="preserve"> s.r.o.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AGRO - EKO spol. s r.o.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MODIT, spol. s r.o.</w:t>
            </w:r>
            <w:r>
              <w:rPr>
                <w:sz w:val="18"/>
              </w:rPr>
              <w:t xml:space="preserve">, </w:t>
            </w:r>
            <w:r w:rsidRPr="0001627C">
              <w:rPr>
                <w:sz w:val="18"/>
              </w:rPr>
              <w:t>UDIMO, spol. s r.o.</w:t>
            </w:r>
          </w:p>
          <w:p w:rsidR="000828FD" w:rsidRDefault="005B724F" w:rsidP="005B724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Mezinárodní spolupráce: </w:t>
            </w:r>
            <w:r w:rsidRPr="005B724F">
              <w:rPr>
                <w:sz w:val="18"/>
              </w:rPr>
              <w:t>A.I.T. - DRIVEX, a.s.</w:t>
            </w:r>
            <w:r>
              <w:rPr>
                <w:sz w:val="18"/>
              </w:rPr>
              <w:t xml:space="preserve">, </w:t>
            </w:r>
            <w:r w:rsidRPr="005B724F">
              <w:rPr>
                <w:sz w:val="18"/>
              </w:rPr>
              <w:t xml:space="preserve">Institut </w:t>
            </w:r>
            <w:proofErr w:type="spellStart"/>
            <w:r w:rsidRPr="005B724F">
              <w:rPr>
                <w:sz w:val="18"/>
              </w:rPr>
              <w:t>Nowum-Energy</w:t>
            </w:r>
            <w:proofErr w:type="spellEnd"/>
            <w:r w:rsidRPr="005B724F">
              <w:rPr>
                <w:sz w:val="18"/>
              </w:rPr>
              <w:t xml:space="preserve"> </w:t>
            </w:r>
            <w:proofErr w:type="spellStart"/>
            <w:r w:rsidRPr="005B724F">
              <w:rPr>
                <w:sz w:val="18"/>
              </w:rPr>
              <w:t>Aachen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 w:rsidRPr="005B724F">
              <w:rPr>
                <w:sz w:val="18"/>
              </w:rPr>
              <w:t>Technische</w:t>
            </w:r>
            <w:proofErr w:type="spellEnd"/>
            <w:r w:rsidRPr="005B724F">
              <w:rPr>
                <w:sz w:val="18"/>
              </w:rPr>
              <w:t xml:space="preserve"> </w:t>
            </w:r>
            <w:proofErr w:type="spellStart"/>
            <w:r w:rsidRPr="005B724F">
              <w:rPr>
                <w:sz w:val="18"/>
              </w:rPr>
              <w:t>Universität</w:t>
            </w:r>
            <w:proofErr w:type="spellEnd"/>
            <w:r w:rsidRPr="005B724F">
              <w:rPr>
                <w:sz w:val="18"/>
              </w:rPr>
              <w:t xml:space="preserve"> </w:t>
            </w:r>
            <w:proofErr w:type="spellStart"/>
            <w:r w:rsidRPr="005B724F">
              <w:rPr>
                <w:sz w:val="18"/>
              </w:rPr>
              <w:t>Bergakademie</w:t>
            </w:r>
            <w:proofErr w:type="spellEnd"/>
            <w:r w:rsidRPr="005B724F">
              <w:rPr>
                <w:sz w:val="18"/>
              </w:rPr>
              <w:t xml:space="preserve"> </w:t>
            </w:r>
            <w:proofErr w:type="spellStart"/>
            <w:r w:rsidRPr="005B724F">
              <w:rPr>
                <w:sz w:val="18"/>
              </w:rPr>
              <w:t>Freiberg</w:t>
            </w:r>
            <w:proofErr w:type="spellEnd"/>
            <w:r>
              <w:rPr>
                <w:sz w:val="18"/>
              </w:rPr>
              <w:t xml:space="preserve">, </w:t>
            </w:r>
            <w:r w:rsidRPr="005B724F">
              <w:rPr>
                <w:sz w:val="18"/>
              </w:rPr>
              <w:t xml:space="preserve">Jagellonská Univerzita </w:t>
            </w:r>
            <w:proofErr w:type="spellStart"/>
            <w:r w:rsidRPr="005B724F">
              <w:rPr>
                <w:sz w:val="18"/>
              </w:rPr>
              <w:t>Krakow</w:t>
            </w:r>
            <w:proofErr w:type="spellEnd"/>
            <w:r>
              <w:rPr>
                <w:sz w:val="18"/>
              </w:rPr>
              <w:t xml:space="preserve">, </w:t>
            </w:r>
            <w:r w:rsidRPr="005B724F">
              <w:rPr>
                <w:sz w:val="18"/>
              </w:rPr>
              <w:t xml:space="preserve">University </w:t>
            </w:r>
            <w:proofErr w:type="spellStart"/>
            <w:r w:rsidRPr="005B724F">
              <w:rPr>
                <w:sz w:val="18"/>
              </w:rPr>
              <w:t>of</w:t>
            </w:r>
            <w:proofErr w:type="spellEnd"/>
            <w:r w:rsidRPr="005B724F">
              <w:rPr>
                <w:sz w:val="18"/>
              </w:rPr>
              <w:t xml:space="preserve"> </w:t>
            </w:r>
            <w:proofErr w:type="spellStart"/>
            <w:r w:rsidRPr="005B724F">
              <w:rPr>
                <w:sz w:val="18"/>
              </w:rPr>
              <w:t>Oulu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 w:rsidRPr="005B724F">
              <w:rPr>
                <w:sz w:val="18"/>
              </w:rPr>
              <w:t>National</w:t>
            </w:r>
            <w:proofErr w:type="spellEnd"/>
            <w:r w:rsidRPr="005B724F">
              <w:rPr>
                <w:sz w:val="18"/>
              </w:rPr>
              <w:t xml:space="preserve"> </w:t>
            </w:r>
            <w:proofErr w:type="spellStart"/>
            <w:r w:rsidRPr="005B724F">
              <w:rPr>
                <w:sz w:val="18"/>
              </w:rPr>
              <w:t>Taiwan</w:t>
            </w:r>
            <w:proofErr w:type="spellEnd"/>
            <w:r w:rsidRPr="005B724F">
              <w:rPr>
                <w:sz w:val="18"/>
              </w:rPr>
              <w:t xml:space="preserve"> University </w:t>
            </w:r>
            <w:proofErr w:type="spellStart"/>
            <w:r w:rsidRPr="005B724F">
              <w:rPr>
                <w:sz w:val="18"/>
              </w:rPr>
              <w:t>Tai-Pei</w:t>
            </w:r>
            <w:proofErr w:type="spellEnd"/>
            <w:r>
              <w:rPr>
                <w:sz w:val="18"/>
              </w:rPr>
              <w:t xml:space="preserve">, </w:t>
            </w:r>
            <w:r w:rsidRPr="005B724F">
              <w:rPr>
                <w:sz w:val="18"/>
              </w:rPr>
              <w:t>Žilinská univerzita v Žilině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503" w:type="dxa"/>
            <w:gridSpan w:val="6"/>
          </w:tcPr>
          <w:p w:rsidR="000828FD" w:rsidRDefault="00FC30C7" w:rsidP="00592280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0828FD" w:rsidTr="00FC30C7">
        <w:tc>
          <w:tcPr>
            <w:tcW w:w="2103" w:type="dxa"/>
          </w:tcPr>
          <w:p w:rsidR="000828FD" w:rsidRDefault="000828FD" w:rsidP="0059228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503" w:type="dxa"/>
            <w:gridSpan w:val="6"/>
          </w:tcPr>
          <w:p w:rsidR="000828FD" w:rsidRDefault="000828FD" w:rsidP="00592280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1627C"/>
    <w:rsid w:val="00037C21"/>
    <w:rsid w:val="0004245B"/>
    <w:rsid w:val="0005178F"/>
    <w:rsid w:val="000828FD"/>
    <w:rsid w:val="000A69DE"/>
    <w:rsid w:val="000B4982"/>
    <w:rsid w:val="000B7BB7"/>
    <w:rsid w:val="000F0945"/>
    <w:rsid w:val="0010270A"/>
    <w:rsid w:val="00113128"/>
    <w:rsid w:val="00123F0C"/>
    <w:rsid w:val="00127742"/>
    <w:rsid w:val="00135BFC"/>
    <w:rsid w:val="0018459D"/>
    <w:rsid w:val="001845D5"/>
    <w:rsid w:val="001B09DB"/>
    <w:rsid w:val="001B2134"/>
    <w:rsid w:val="00235AE1"/>
    <w:rsid w:val="002A102B"/>
    <w:rsid w:val="002B4A3E"/>
    <w:rsid w:val="002C69A4"/>
    <w:rsid w:val="003013A1"/>
    <w:rsid w:val="0032243C"/>
    <w:rsid w:val="003B4700"/>
    <w:rsid w:val="003C50CA"/>
    <w:rsid w:val="00416726"/>
    <w:rsid w:val="00431B1E"/>
    <w:rsid w:val="00443658"/>
    <w:rsid w:val="004C4832"/>
    <w:rsid w:val="004D6F6B"/>
    <w:rsid w:val="00500997"/>
    <w:rsid w:val="0052281E"/>
    <w:rsid w:val="00526313"/>
    <w:rsid w:val="00535653"/>
    <w:rsid w:val="00562D77"/>
    <w:rsid w:val="00595603"/>
    <w:rsid w:val="005B724F"/>
    <w:rsid w:val="005D613D"/>
    <w:rsid w:val="005F27AE"/>
    <w:rsid w:val="00614800"/>
    <w:rsid w:val="00686EA8"/>
    <w:rsid w:val="0069239B"/>
    <w:rsid w:val="007011BD"/>
    <w:rsid w:val="00716BEB"/>
    <w:rsid w:val="00716E96"/>
    <w:rsid w:val="00737A93"/>
    <w:rsid w:val="00742563"/>
    <w:rsid w:val="00747C0D"/>
    <w:rsid w:val="00774A9C"/>
    <w:rsid w:val="00783E42"/>
    <w:rsid w:val="007A4060"/>
    <w:rsid w:val="007A62D7"/>
    <w:rsid w:val="0081225A"/>
    <w:rsid w:val="0081392A"/>
    <w:rsid w:val="008146D9"/>
    <w:rsid w:val="008353DD"/>
    <w:rsid w:val="008968D5"/>
    <w:rsid w:val="009360DE"/>
    <w:rsid w:val="009372B3"/>
    <w:rsid w:val="009373D8"/>
    <w:rsid w:val="009376DB"/>
    <w:rsid w:val="009967CD"/>
    <w:rsid w:val="009B7C17"/>
    <w:rsid w:val="009E437E"/>
    <w:rsid w:val="00A0019C"/>
    <w:rsid w:val="00A15714"/>
    <w:rsid w:val="00A431A3"/>
    <w:rsid w:val="00A74241"/>
    <w:rsid w:val="00A7545D"/>
    <w:rsid w:val="00A93E77"/>
    <w:rsid w:val="00AA442B"/>
    <w:rsid w:val="00AD65D3"/>
    <w:rsid w:val="00AE72C5"/>
    <w:rsid w:val="00AF6EBB"/>
    <w:rsid w:val="00B03F7A"/>
    <w:rsid w:val="00B07516"/>
    <w:rsid w:val="00B31B5B"/>
    <w:rsid w:val="00B96AF3"/>
    <w:rsid w:val="00BD1371"/>
    <w:rsid w:val="00C217DD"/>
    <w:rsid w:val="00C43F6D"/>
    <w:rsid w:val="00C56390"/>
    <w:rsid w:val="00C638EF"/>
    <w:rsid w:val="00C92258"/>
    <w:rsid w:val="00CC6243"/>
    <w:rsid w:val="00D03FD2"/>
    <w:rsid w:val="00D2753C"/>
    <w:rsid w:val="00D6488E"/>
    <w:rsid w:val="00D93717"/>
    <w:rsid w:val="00DA6654"/>
    <w:rsid w:val="00DA7033"/>
    <w:rsid w:val="00DD26D3"/>
    <w:rsid w:val="00E02DA3"/>
    <w:rsid w:val="00E05352"/>
    <w:rsid w:val="00E20092"/>
    <w:rsid w:val="00E35E31"/>
    <w:rsid w:val="00E43C3D"/>
    <w:rsid w:val="00E71CB7"/>
    <w:rsid w:val="00EC3BBE"/>
    <w:rsid w:val="00EC751E"/>
    <w:rsid w:val="00EE2A12"/>
    <w:rsid w:val="00F0067F"/>
    <w:rsid w:val="00F34368"/>
    <w:rsid w:val="00F74C5F"/>
    <w:rsid w:val="00F9010E"/>
    <w:rsid w:val="00FA0F95"/>
    <w:rsid w:val="00FC30C7"/>
    <w:rsid w:val="00FD3750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FE458C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EC751E"/>
    <w:rPr>
      <w:rFonts w:ascii="Calibri" w:eastAsia="Times New Roman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FE458C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EC751E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CDD58-65AB-429F-8DED-B07A00DC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1384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2015-03-20T08:01:00Z</dcterms:created>
  <dcterms:modified xsi:type="dcterms:W3CDTF">2015-03-20T08:01:00Z</dcterms:modified>
</cp:coreProperties>
</file>