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72"/>
        <w:gridCol w:w="53"/>
        <w:gridCol w:w="1674"/>
        <w:gridCol w:w="1326"/>
        <w:gridCol w:w="41"/>
        <w:gridCol w:w="4722"/>
      </w:tblGrid>
      <w:tr w:rsidR="00AE72C5" w:rsidTr="00636A94">
        <w:trPr>
          <w:trHeight w:val="558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636A94">
        <w:trPr>
          <w:trHeight w:val="277"/>
        </w:trPr>
        <w:tc>
          <w:tcPr>
            <w:tcW w:w="5000" w:type="pct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A5FD6">
        <w:trPr>
          <w:trHeight w:val="277"/>
        </w:trPr>
        <w:tc>
          <w:tcPr>
            <w:tcW w:w="817" w:type="pct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4183" w:type="pct"/>
            <w:gridSpan w:val="4"/>
          </w:tcPr>
          <w:p w:rsidR="00AE72C5" w:rsidRPr="00AE72C5" w:rsidRDefault="008419E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8419E8">
              <w:rPr>
                <w:rFonts w:ascii="Arial" w:hAnsi="Arial" w:cs="Arial"/>
              </w:rPr>
              <w:t>Membránové inovační centrum</w:t>
            </w:r>
          </w:p>
        </w:tc>
      </w:tr>
      <w:tr w:rsidR="00E71CB7" w:rsidTr="00FA5FD6">
        <w:trPr>
          <w:trHeight w:val="277"/>
        </w:trPr>
        <w:tc>
          <w:tcPr>
            <w:tcW w:w="817" w:type="pct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4183" w:type="pct"/>
            <w:gridSpan w:val="4"/>
          </w:tcPr>
          <w:p w:rsidR="00E71CB7" w:rsidRPr="00AE72C5" w:rsidRDefault="008419E8" w:rsidP="008419E8">
            <w:pPr>
              <w:tabs>
                <w:tab w:val="left" w:pos="930"/>
              </w:tabs>
              <w:spacing w:before="120" w:after="60" w:line="240" w:lineRule="auto"/>
              <w:rPr>
                <w:rFonts w:ascii="Arial" w:hAnsi="Arial" w:cs="Arial"/>
              </w:rPr>
            </w:pPr>
            <w:proofErr w:type="spellStart"/>
            <w:r w:rsidRPr="008419E8">
              <w:rPr>
                <w:rFonts w:ascii="Arial" w:hAnsi="Arial" w:cs="Arial"/>
              </w:rPr>
              <w:t>MemBrain</w:t>
            </w:r>
            <w:proofErr w:type="spellEnd"/>
            <w:r w:rsidRPr="008419E8">
              <w:rPr>
                <w:rFonts w:ascii="Arial" w:hAnsi="Arial" w:cs="Arial"/>
              </w:rPr>
              <w:t xml:space="preserve"> s.r.o.</w:t>
            </w:r>
          </w:p>
        </w:tc>
      </w:tr>
      <w:tr w:rsidR="00E71CB7" w:rsidTr="00FA5FD6">
        <w:trPr>
          <w:trHeight w:val="277"/>
        </w:trPr>
        <w:tc>
          <w:tcPr>
            <w:tcW w:w="817" w:type="pct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4183" w:type="pct"/>
            <w:gridSpan w:val="4"/>
          </w:tcPr>
          <w:p w:rsidR="00E71CB7" w:rsidRPr="00AE72C5" w:rsidRDefault="008419E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8419E8">
              <w:rPr>
                <w:rFonts w:ascii="Arial" w:hAnsi="Arial" w:cs="Arial"/>
              </w:rPr>
              <w:t>CZ.1.05/2.1.00/03.0084</w:t>
            </w:r>
          </w:p>
        </w:tc>
      </w:tr>
      <w:tr w:rsidR="00F74C5F" w:rsidTr="00FA5FD6">
        <w:trPr>
          <w:trHeight w:val="277"/>
        </w:trPr>
        <w:tc>
          <w:tcPr>
            <w:tcW w:w="817" w:type="pct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4183" w:type="pct"/>
            <w:gridSpan w:val="4"/>
          </w:tcPr>
          <w:p w:rsidR="00F74C5F" w:rsidRPr="00AE72C5" w:rsidRDefault="008419E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8419E8">
              <w:rPr>
                <w:rFonts w:ascii="Arial" w:hAnsi="Arial" w:cs="Arial"/>
              </w:rPr>
              <w:t>Pod Vinicí 87, 471 27 Stráž pod Ralskem</w:t>
            </w:r>
          </w:p>
        </w:tc>
      </w:tr>
      <w:tr w:rsidR="00F74C5F" w:rsidTr="00FA5FD6">
        <w:trPr>
          <w:trHeight w:val="277"/>
        </w:trPr>
        <w:tc>
          <w:tcPr>
            <w:tcW w:w="817" w:type="pct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4183" w:type="pct"/>
            <w:gridSpan w:val="4"/>
          </w:tcPr>
          <w:p w:rsidR="00F74C5F" w:rsidRPr="00AE72C5" w:rsidRDefault="008419E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8419E8">
              <w:rPr>
                <w:rFonts w:ascii="Arial" w:hAnsi="Arial" w:cs="Arial"/>
              </w:rPr>
              <w:t xml:space="preserve">2.2 – Regionální </w:t>
            </w:r>
            <w:proofErr w:type="spellStart"/>
            <w:r w:rsidRPr="008419E8">
              <w:rPr>
                <w:rFonts w:ascii="Arial" w:hAnsi="Arial" w:cs="Arial"/>
              </w:rPr>
              <w:t>VaV</w:t>
            </w:r>
            <w:proofErr w:type="spellEnd"/>
            <w:r w:rsidRPr="008419E8">
              <w:rPr>
                <w:rFonts w:ascii="Arial" w:hAnsi="Arial" w:cs="Arial"/>
              </w:rPr>
              <w:t xml:space="preserve"> centra</w:t>
            </w:r>
          </w:p>
        </w:tc>
      </w:tr>
      <w:tr w:rsidR="00F74C5F" w:rsidTr="00FA5FD6">
        <w:trPr>
          <w:trHeight w:val="277"/>
        </w:trPr>
        <w:tc>
          <w:tcPr>
            <w:tcW w:w="817" w:type="pct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4183" w:type="pct"/>
            <w:gridSpan w:val="4"/>
          </w:tcPr>
          <w:p w:rsidR="00F74C5F" w:rsidRPr="00AE72C5" w:rsidRDefault="00061AA5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28.2. 2012</w:t>
            </w:r>
            <w:proofErr w:type="gramEnd"/>
          </w:p>
        </w:tc>
      </w:tr>
      <w:tr w:rsidR="00F74C5F" w:rsidTr="00FA5FD6">
        <w:trPr>
          <w:trHeight w:val="623"/>
        </w:trPr>
        <w:tc>
          <w:tcPr>
            <w:tcW w:w="817" w:type="pct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1617" w:type="pct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741BA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741BA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741BA">
              <w:rPr>
                <w:sz w:val="18"/>
              </w:rPr>
              <w:t>realizace projektu:</w:t>
            </w:r>
            <w:r w:rsidR="00061AA5">
              <w:rPr>
                <w:sz w:val="18"/>
              </w:rPr>
              <w:t xml:space="preserve"> </w:t>
            </w:r>
            <w:proofErr w:type="gramStart"/>
            <w:r w:rsidR="00061AA5">
              <w:rPr>
                <w:sz w:val="18"/>
              </w:rPr>
              <w:t>1.3. 2012</w:t>
            </w:r>
            <w:proofErr w:type="gramEnd"/>
            <w:r w:rsidR="00061AA5">
              <w:rPr>
                <w:sz w:val="18"/>
              </w:rPr>
              <w:t xml:space="preserve"> (1.1. 2009</w:t>
            </w:r>
            <w:r w:rsidR="00A741BA">
              <w:rPr>
                <w:sz w:val="18"/>
              </w:rPr>
              <w:t xml:space="preserve"> – zahájení projektu</w:t>
            </w:r>
            <w:r w:rsidR="00061AA5">
              <w:rPr>
                <w:sz w:val="18"/>
              </w:rPr>
              <w:t>)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2566" w:type="pct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8419E8">
              <w:rPr>
                <w:sz w:val="18"/>
              </w:rPr>
              <w:t xml:space="preserve"> </w:t>
            </w:r>
            <w:proofErr w:type="gramStart"/>
            <w:r w:rsidR="008419E8">
              <w:rPr>
                <w:sz w:val="18"/>
              </w:rPr>
              <w:t>31.12. 2014</w:t>
            </w:r>
            <w:proofErr w:type="gramEnd"/>
          </w:p>
        </w:tc>
      </w:tr>
      <w:tr w:rsidR="00F74C5F" w:rsidTr="00FA5FD6">
        <w:trPr>
          <w:trHeight w:val="277"/>
        </w:trPr>
        <w:tc>
          <w:tcPr>
            <w:tcW w:w="817" w:type="pct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1617" w:type="pct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061AA5" w:rsidRPr="00AA442B" w:rsidRDefault="00AC33F3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>
              <w:rPr>
                <w:sz w:val="18"/>
              </w:rPr>
              <w:t xml:space="preserve">370 854 000 </w:t>
            </w:r>
            <w:r w:rsidR="00061AA5">
              <w:rPr>
                <w:sz w:val="18"/>
              </w:rPr>
              <w:t>Kč</w:t>
            </w:r>
          </w:p>
        </w:tc>
        <w:tc>
          <w:tcPr>
            <w:tcW w:w="2566" w:type="pct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061AA5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55</w:t>
            </w:r>
            <w:r w:rsidR="00AC33F3">
              <w:rPr>
                <w:sz w:val="18"/>
              </w:rPr>
              <w:t> 628 100</w:t>
            </w:r>
            <w:r>
              <w:rPr>
                <w:sz w:val="18"/>
              </w:rPr>
              <w:t xml:space="preserve"> Kč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AC33F3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315 225 900</w:t>
            </w:r>
            <w:r w:rsidR="00061AA5">
              <w:rPr>
                <w:sz w:val="18"/>
              </w:rPr>
              <w:t xml:space="preserve"> Kč</w:t>
            </w:r>
          </w:p>
        </w:tc>
      </w:tr>
      <w:tr w:rsidR="00F34368" w:rsidTr="00FA5FD6">
        <w:trPr>
          <w:trHeight w:val="277"/>
        </w:trPr>
        <w:tc>
          <w:tcPr>
            <w:tcW w:w="817" w:type="pct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25FAF"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4183" w:type="pct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F25FAF">
              <w:rPr>
                <w:sz w:val="18"/>
              </w:rPr>
              <w:t xml:space="preserve"> </w:t>
            </w:r>
            <w:r w:rsidR="00F25FAF" w:rsidRPr="00F25FAF">
              <w:rPr>
                <w:sz w:val="18"/>
              </w:rPr>
              <w:t>154 668 807,02</w:t>
            </w:r>
            <w:r w:rsidR="00F25FAF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F25FAF">
              <w:rPr>
                <w:sz w:val="18"/>
              </w:rPr>
              <w:t xml:space="preserve"> </w:t>
            </w:r>
            <w:r w:rsidR="00F25FAF" w:rsidRPr="00F25FAF">
              <w:rPr>
                <w:sz w:val="18"/>
              </w:rPr>
              <w:t>102 427 247,36</w:t>
            </w:r>
            <w:r w:rsidR="00F25FAF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F25FAF">
              <w:rPr>
                <w:sz w:val="18"/>
              </w:rPr>
              <w:t xml:space="preserve"> </w:t>
            </w:r>
            <w:r w:rsidR="00F25FAF" w:rsidRPr="00F25FAF">
              <w:rPr>
                <w:sz w:val="18"/>
              </w:rPr>
              <w:t>45 140 378,00</w:t>
            </w:r>
            <w:r w:rsidR="00F25FAF">
              <w:rPr>
                <w:sz w:val="18"/>
              </w:rPr>
              <w:t xml:space="preserve"> Kč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F25FAF">
              <w:rPr>
                <w:sz w:val="18"/>
              </w:rPr>
              <w:t xml:space="preserve"> 64 596 481,46 Kč</w:t>
            </w:r>
          </w:p>
        </w:tc>
      </w:tr>
      <w:tr w:rsidR="008353DD" w:rsidTr="00FA5FD6">
        <w:trPr>
          <w:trHeight w:val="1116"/>
        </w:trPr>
        <w:tc>
          <w:tcPr>
            <w:tcW w:w="817" w:type="pct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83" w:type="pct"/>
            <w:gridSpan w:val="4"/>
          </w:tcPr>
          <w:p w:rsidR="008353DD" w:rsidRDefault="008659D7" w:rsidP="00F34368">
            <w:pPr>
              <w:spacing w:before="60" w:after="60" w:line="240" w:lineRule="auto"/>
              <w:rPr>
                <w:sz w:val="16"/>
              </w:rPr>
            </w:pPr>
            <w:r w:rsidRPr="008659D7">
              <w:rPr>
                <w:sz w:val="16"/>
              </w:rPr>
              <w:t>Podstatou projektu Membránového inovačního centra-</w:t>
            </w:r>
            <w:proofErr w:type="spellStart"/>
            <w:r w:rsidRPr="008659D7">
              <w:rPr>
                <w:sz w:val="16"/>
              </w:rPr>
              <w:t>MemBrain</w:t>
            </w:r>
            <w:proofErr w:type="spellEnd"/>
            <w:r w:rsidRPr="008659D7">
              <w:rPr>
                <w:sz w:val="16"/>
              </w:rPr>
              <w:t xml:space="preserve"> (MIC-</w:t>
            </w:r>
            <w:proofErr w:type="spellStart"/>
            <w:r w:rsidRPr="008659D7">
              <w:rPr>
                <w:sz w:val="16"/>
              </w:rPr>
              <w:t>MemBrain</w:t>
            </w:r>
            <w:proofErr w:type="spellEnd"/>
            <w:r w:rsidRPr="008659D7">
              <w:rPr>
                <w:sz w:val="16"/>
              </w:rPr>
              <w:t xml:space="preserve">) je realizace základního a aplikovaného výzkumu na poli </w:t>
            </w:r>
            <w:proofErr w:type="spellStart"/>
            <w:r w:rsidRPr="008659D7">
              <w:rPr>
                <w:sz w:val="16"/>
              </w:rPr>
              <w:t>komplex.membránového</w:t>
            </w:r>
            <w:proofErr w:type="spellEnd"/>
            <w:r w:rsidRPr="008659D7">
              <w:rPr>
                <w:sz w:val="16"/>
              </w:rPr>
              <w:t xml:space="preserve"> programu se strategií účelného a efektivního propojení požadovaných vědních disciplín, zahrnující oblast membránových materiálů s následnými vazbami na zařízení a vlastní technologické </w:t>
            </w:r>
            <w:proofErr w:type="spellStart"/>
            <w:proofErr w:type="gramStart"/>
            <w:r w:rsidRPr="008659D7">
              <w:rPr>
                <w:sz w:val="16"/>
              </w:rPr>
              <w:t>aplikace.K</w:t>
            </w:r>
            <w:proofErr w:type="spellEnd"/>
            <w:r w:rsidRPr="008659D7">
              <w:rPr>
                <w:sz w:val="16"/>
              </w:rPr>
              <w:t xml:space="preserve"> dosažení</w:t>
            </w:r>
            <w:proofErr w:type="gramEnd"/>
            <w:r w:rsidRPr="008659D7">
              <w:rPr>
                <w:sz w:val="16"/>
              </w:rPr>
              <w:t xml:space="preserve"> těchto cílů je nezbytné, aby pokud možno vždy byla strategicky sledována vazba od vlastní syntézy membránových materiálů až po technologickou aplikaci.</w:t>
            </w:r>
          </w:p>
        </w:tc>
      </w:tr>
      <w:tr w:rsidR="00526313" w:rsidTr="00FA5FD6">
        <w:trPr>
          <w:trHeight w:val="277"/>
        </w:trPr>
        <w:tc>
          <w:tcPr>
            <w:tcW w:w="817" w:type="pct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1617" w:type="pct"/>
            <w:gridSpan w:val="2"/>
          </w:tcPr>
          <w:p w:rsidR="00526313" w:rsidRPr="00E20092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18303B">
              <w:rPr>
                <w:sz w:val="18"/>
              </w:rPr>
              <w:t xml:space="preserve"> </w:t>
            </w:r>
            <w:proofErr w:type="gramStart"/>
            <w:r w:rsidR="0018303B">
              <w:rPr>
                <w:sz w:val="18"/>
              </w:rPr>
              <w:t>22.8. 2012/13.6</w:t>
            </w:r>
            <w:proofErr w:type="gramEnd"/>
            <w:r w:rsidR="0018303B">
              <w:rPr>
                <w:sz w:val="18"/>
              </w:rPr>
              <w:t>. 2014</w:t>
            </w:r>
            <w:r w:rsidR="00AC33F3">
              <w:rPr>
                <w:sz w:val="18"/>
              </w:rPr>
              <w:t>(kolaudace stavby)</w:t>
            </w:r>
          </w:p>
        </w:tc>
        <w:tc>
          <w:tcPr>
            <w:tcW w:w="2566" w:type="pct"/>
            <w:gridSpan w:val="2"/>
          </w:tcPr>
          <w:p w:rsidR="00526313" w:rsidRPr="00E20092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0D4BAD">
              <w:rPr>
                <w:sz w:val="18"/>
              </w:rPr>
              <w:t xml:space="preserve"> </w:t>
            </w:r>
            <w:r w:rsidR="000D4BAD" w:rsidRPr="000D4BAD">
              <w:rPr>
                <w:sz w:val="18"/>
              </w:rPr>
              <w:t>SYNER s.r.o.</w:t>
            </w:r>
          </w:p>
        </w:tc>
      </w:tr>
      <w:tr w:rsidR="008353DD" w:rsidTr="00FA5FD6">
        <w:trPr>
          <w:trHeight w:val="1290"/>
        </w:trPr>
        <w:tc>
          <w:tcPr>
            <w:tcW w:w="817" w:type="pct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83" w:type="pct"/>
            <w:gridSpan w:val="4"/>
          </w:tcPr>
          <w:p w:rsidR="008353DD" w:rsidRDefault="00581F3A" w:rsidP="00836189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Závěrečná  monitorovací zpráva bude předložena k </w:t>
            </w:r>
            <w:proofErr w:type="gramStart"/>
            <w:r>
              <w:rPr>
                <w:sz w:val="16"/>
              </w:rPr>
              <w:t>28.2</w:t>
            </w:r>
            <w:proofErr w:type="gramEnd"/>
            <w:r>
              <w:rPr>
                <w:sz w:val="16"/>
              </w:rPr>
              <w:t>. 2</w:t>
            </w:r>
            <w:r w:rsidR="007A2A35">
              <w:rPr>
                <w:sz w:val="16"/>
              </w:rPr>
              <w:t>0</w:t>
            </w:r>
            <w:r>
              <w:rPr>
                <w:sz w:val="16"/>
              </w:rPr>
              <w:t>15, v </w:t>
            </w:r>
            <w:proofErr w:type="spellStart"/>
            <w:r>
              <w:rPr>
                <w:sz w:val="16"/>
              </w:rPr>
              <w:t>součastné</w:t>
            </w:r>
            <w:proofErr w:type="spellEnd"/>
            <w:r>
              <w:rPr>
                <w:sz w:val="16"/>
              </w:rPr>
              <w:t xml:space="preserve"> době nelze uvést, zda došlo k naplnění všech MI  ke konci realizace projektu</w:t>
            </w:r>
            <w:r w:rsidR="000E495E">
              <w:rPr>
                <w:sz w:val="16"/>
              </w:rPr>
              <w:t xml:space="preserve"> (tudíž  i hodnot za </w:t>
            </w:r>
            <w:r w:rsidR="00636A94">
              <w:rPr>
                <w:sz w:val="16"/>
              </w:rPr>
              <w:t xml:space="preserve">celý </w:t>
            </w:r>
            <w:r w:rsidR="000E495E">
              <w:rPr>
                <w:sz w:val="16"/>
              </w:rPr>
              <w:t>rok 2014)</w:t>
            </w:r>
            <w:r>
              <w:rPr>
                <w:sz w:val="16"/>
              </w:rPr>
              <w:t xml:space="preserve">. </w:t>
            </w:r>
            <w:r w:rsidR="00636A94">
              <w:rPr>
                <w:sz w:val="16"/>
              </w:rPr>
              <w:t xml:space="preserve"> V tabulce jsou uvedeny hodnoty k </w:t>
            </w:r>
            <w:proofErr w:type="gramStart"/>
            <w:r w:rsidR="00636A94">
              <w:rPr>
                <w:sz w:val="16"/>
              </w:rPr>
              <w:t>18.11. 2014</w:t>
            </w:r>
            <w:proofErr w:type="gramEnd"/>
            <w:r w:rsidR="00636A94">
              <w:rPr>
                <w:sz w:val="16"/>
              </w:rPr>
              <w:t>, kdy byla předložena dosud poslední MZ.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20"/>
              <w:gridCol w:w="4399"/>
              <w:gridCol w:w="803"/>
              <w:gridCol w:w="855"/>
              <w:gridCol w:w="860"/>
            </w:tblGrid>
            <w:tr w:rsidR="00636A94" w:rsidRPr="00636A94" w:rsidTr="00636A94">
              <w:trPr>
                <w:trHeight w:val="866"/>
              </w:trPr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K datu ukončení</w:t>
                  </w:r>
                </w:p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realizace projektu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Stav k </w:t>
                  </w:r>
                  <w:proofErr w:type="gramStart"/>
                  <w:r w:rsidRPr="00636A94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18.11. 2014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16"/>
                      <w:lang w:eastAsia="cs-CZ"/>
                    </w:rPr>
                  </w:pPr>
                  <w:proofErr w:type="gramStart"/>
                  <w:r w:rsidRPr="00636A94">
                    <w:rPr>
                      <w:b/>
                      <w:bCs/>
                      <w:sz w:val="16"/>
                      <w:szCs w:val="16"/>
                      <w:lang w:eastAsia="cs-CZ"/>
                    </w:rPr>
                    <w:t>31.12.2015</w:t>
                  </w:r>
                  <w:proofErr w:type="gramEnd"/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166</w:t>
                  </w:r>
                </w:p>
              </w:tc>
            </w:tr>
            <w:tr w:rsidR="00636A94" w:rsidRPr="00636A94" w:rsidTr="00636A94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lastRenderedPageBreak/>
                    <w:t>110504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cr/>
                    <w:t>94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18 000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13639,268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48 000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0" w:type="auto"/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9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2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636A94">
                    <w:rPr>
                      <w:sz w:val="16"/>
                      <w:szCs w:val="16"/>
                      <w:lang w:eastAsia="cs-CZ"/>
                    </w:rPr>
                    <w:t>VaV</w:t>
                  </w:r>
                  <w:proofErr w:type="spellEnd"/>
                  <w:r w:rsidRPr="00636A94">
                    <w:rPr>
                      <w:sz w:val="16"/>
                      <w:szCs w:val="16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12</w:t>
                  </w:r>
                </w:p>
              </w:tc>
            </w:tr>
            <w:tr w:rsidR="00636A94" w:rsidRPr="00636A94" w:rsidTr="00636A94">
              <w:trPr>
                <w:trHeight w:val="51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43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636A94">
                    <w:rPr>
                      <w:sz w:val="16"/>
                      <w:szCs w:val="16"/>
                      <w:lang w:eastAsia="cs-CZ"/>
                    </w:rPr>
                    <w:t>VaV</w:t>
                  </w:r>
                  <w:proofErr w:type="spellEnd"/>
                  <w:r w:rsidRPr="00636A94">
                    <w:rPr>
                      <w:sz w:val="16"/>
                      <w:szCs w:val="16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56,15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50,95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56,60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30,15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23,46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30,60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15,00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18,39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16,00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  <w:tr w:rsidR="00636A94" w:rsidRPr="00636A94" w:rsidTr="00636A9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3 858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3864,14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36A94" w:rsidRPr="00636A94" w:rsidRDefault="00636A94" w:rsidP="00E5149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636A94">
                    <w:rPr>
                      <w:sz w:val="16"/>
                      <w:szCs w:val="16"/>
                      <w:lang w:eastAsia="cs-CZ"/>
                    </w:rPr>
                    <w:t>-</w:t>
                  </w:r>
                </w:p>
              </w:tc>
            </w:tr>
          </w:tbl>
          <w:p w:rsidR="0026353D" w:rsidRDefault="0026353D" w:rsidP="00FB7657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636A94">
        <w:tc>
          <w:tcPr>
            <w:tcW w:w="5000" w:type="pct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8B4508" wp14:editId="4CE44455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0E495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0E495E">
                                    <w:rPr>
                                      <w:sz w:val="18"/>
                                      <w:szCs w:val="18"/>
                                    </w:rPr>
                                    <w:t>6.2. 2014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8B45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0E495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0E495E">
                              <w:rPr>
                                <w:sz w:val="18"/>
                                <w:szCs w:val="18"/>
                              </w:rPr>
                              <w:t>6.2. 2014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FA5FD6">
        <w:trPr>
          <w:trHeight w:val="847"/>
        </w:trPr>
        <w:tc>
          <w:tcPr>
            <w:tcW w:w="787" w:type="pct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932" w:type="pct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0D4BAD" w:rsidRPr="005F27AE" w:rsidRDefault="000D4BAD" w:rsidP="00002DBE">
            <w:pPr>
              <w:spacing w:before="60" w:after="60" w:line="240" w:lineRule="auto"/>
              <w:rPr>
                <w:sz w:val="18"/>
              </w:rPr>
            </w:pPr>
            <w:r w:rsidRPr="000D4BAD">
              <w:rPr>
                <w:sz w:val="18"/>
              </w:rPr>
              <w:t>Ing. Aleš Černín, Ph.D.</w:t>
            </w:r>
            <w:r>
              <w:rPr>
                <w:sz w:val="18"/>
              </w:rPr>
              <w:t xml:space="preserve"> - Ředitel Centra</w:t>
            </w:r>
          </w:p>
        </w:tc>
        <w:tc>
          <w:tcPr>
            <w:tcW w:w="3281" w:type="pct"/>
            <w:gridSpan w:val="3"/>
          </w:tcPr>
          <w:p w:rsidR="00F9010E" w:rsidRPr="005F27A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0D4BAD">
              <w:rPr>
                <w:sz w:val="18"/>
              </w:rPr>
              <w:t xml:space="preserve"> </w:t>
            </w:r>
            <w:proofErr w:type="spellStart"/>
            <w:r w:rsidR="000D4BAD" w:rsidRPr="000D4BAD">
              <w:rPr>
                <w:sz w:val="18"/>
              </w:rPr>
              <w:t>MemBrain</w:t>
            </w:r>
            <w:proofErr w:type="spellEnd"/>
            <w:r w:rsidR="000D4BAD" w:rsidRPr="000D4BAD">
              <w:rPr>
                <w:sz w:val="18"/>
              </w:rPr>
              <w:t xml:space="preserve"> s.r.o.</w:t>
            </w:r>
          </w:p>
        </w:tc>
      </w:tr>
      <w:tr w:rsidR="00002DBE" w:rsidTr="00FA5FD6">
        <w:trPr>
          <w:trHeight w:val="1009"/>
        </w:trPr>
        <w:tc>
          <w:tcPr>
            <w:tcW w:w="787" w:type="pct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4213" w:type="pct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0D4BAD">
              <w:rPr>
                <w:sz w:val="18"/>
              </w:rPr>
              <w:t xml:space="preserve">: </w:t>
            </w:r>
            <w:r w:rsidR="000D4BAD" w:rsidRPr="000D4BAD">
              <w:rPr>
                <w:sz w:val="18"/>
              </w:rPr>
              <w:t>Ing. Lukáš Hartych</w:t>
            </w:r>
            <w:r w:rsidR="000D4BAD">
              <w:rPr>
                <w:sz w:val="18"/>
              </w:rPr>
              <w:t xml:space="preserve"> (projektový manažer)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</w:p>
          <w:p w:rsidR="00002DBE" w:rsidRPr="005F27A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836189">
              <w:rPr>
                <w:sz w:val="18"/>
              </w:rPr>
              <w:t xml:space="preserve">: </w:t>
            </w:r>
            <w:r w:rsidR="00836189" w:rsidRPr="00836189">
              <w:rPr>
                <w:sz w:val="18"/>
              </w:rPr>
              <w:t>Miloslava Kinčlová</w:t>
            </w:r>
          </w:p>
        </w:tc>
      </w:tr>
      <w:tr w:rsidR="0004245B" w:rsidTr="00FA5FD6">
        <w:trPr>
          <w:trHeight w:val="1266"/>
        </w:trPr>
        <w:tc>
          <w:tcPr>
            <w:tcW w:w="787" w:type="pct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1670" w:type="pct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A741BA" w:rsidRPr="00540B7F" w:rsidRDefault="00540B7F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>
              <w:rPr>
                <w:sz w:val="18"/>
              </w:rPr>
              <w:t xml:space="preserve">- </w:t>
            </w:r>
            <w:r w:rsidR="00A741BA" w:rsidRPr="00540B7F">
              <w:rPr>
                <w:sz w:val="16"/>
                <w:szCs w:val="16"/>
              </w:rPr>
              <w:t>Úspora vzniklá v rámci zakázky na stavební práce, dle kapitoly 5.6.1 Příručky pro příjemce, a její užití.</w:t>
            </w:r>
            <w:r w:rsidR="003C1C4E" w:rsidRPr="00540B7F">
              <w:rPr>
                <w:sz w:val="16"/>
                <w:szCs w:val="16"/>
              </w:rPr>
              <w:t xml:space="preserve"> (30% úspor ze stavby)</w:t>
            </w:r>
          </w:p>
          <w:p w:rsidR="003C1C4E" w:rsidRPr="00540B7F" w:rsidRDefault="00540B7F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 w:rsidRPr="00540B7F">
              <w:rPr>
                <w:sz w:val="16"/>
                <w:szCs w:val="16"/>
              </w:rPr>
              <w:t xml:space="preserve">- </w:t>
            </w:r>
            <w:r w:rsidR="003C1C4E" w:rsidRPr="00540B7F">
              <w:rPr>
                <w:sz w:val="16"/>
                <w:szCs w:val="16"/>
              </w:rPr>
              <w:t>Změna klíčových pracovníků</w:t>
            </w:r>
          </w:p>
          <w:p w:rsidR="003C1C4E" w:rsidRPr="00540B7F" w:rsidRDefault="00540B7F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 w:rsidRPr="00540B7F">
              <w:rPr>
                <w:sz w:val="16"/>
                <w:szCs w:val="16"/>
              </w:rPr>
              <w:t xml:space="preserve">- </w:t>
            </w:r>
            <w:r w:rsidR="003C1C4E" w:rsidRPr="00540B7F">
              <w:rPr>
                <w:sz w:val="16"/>
                <w:szCs w:val="16"/>
              </w:rPr>
              <w:t>Přesuny v rozpočtu projektu</w:t>
            </w:r>
          </w:p>
          <w:p w:rsidR="003C1C4E" w:rsidRPr="00540B7F" w:rsidRDefault="00540B7F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 w:rsidRPr="00540B7F">
              <w:rPr>
                <w:sz w:val="16"/>
                <w:szCs w:val="16"/>
              </w:rPr>
              <w:t xml:space="preserve">- </w:t>
            </w:r>
            <w:r w:rsidR="003C1C4E" w:rsidRPr="00540B7F">
              <w:rPr>
                <w:sz w:val="16"/>
                <w:szCs w:val="16"/>
              </w:rPr>
              <w:t xml:space="preserve">Změna v klíčovém vybavení </w:t>
            </w:r>
            <w:r w:rsidRPr="00540B7F">
              <w:rPr>
                <w:sz w:val="16"/>
                <w:szCs w:val="16"/>
              </w:rPr>
              <w:t xml:space="preserve">- vyřazení, doplnění a </w:t>
            </w:r>
            <w:proofErr w:type="gramStart"/>
            <w:r w:rsidRPr="00540B7F">
              <w:rPr>
                <w:sz w:val="16"/>
                <w:szCs w:val="16"/>
              </w:rPr>
              <w:t>úpravu   předpokládaných</w:t>
            </w:r>
            <w:proofErr w:type="gramEnd"/>
            <w:r w:rsidRPr="00540B7F">
              <w:rPr>
                <w:sz w:val="16"/>
                <w:szCs w:val="16"/>
              </w:rPr>
              <w:t xml:space="preserve"> cen vybraných přístrojů</w:t>
            </w:r>
          </w:p>
          <w:p w:rsidR="00A741BA" w:rsidRPr="00540B7F" w:rsidRDefault="00540B7F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 w:rsidRPr="00540B7F">
              <w:rPr>
                <w:sz w:val="16"/>
                <w:szCs w:val="16"/>
              </w:rPr>
              <w:t xml:space="preserve">- </w:t>
            </w:r>
            <w:r w:rsidR="003C1C4E" w:rsidRPr="00540B7F">
              <w:rPr>
                <w:sz w:val="16"/>
                <w:szCs w:val="16"/>
              </w:rPr>
              <w:t xml:space="preserve">Posun termínu dosažení milníku </w:t>
            </w:r>
            <w:proofErr w:type="gramStart"/>
            <w:r w:rsidR="003C1C4E" w:rsidRPr="00540B7F">
              <w:rPr>
                <w:sz w:val="16"/>
                <w:szCs w:val="16"/>
              </w:rPr>
              <w:t xml:space="preserve">D1.4 </w:t>
            </w:r>
            <w:proofErr w:type="spellStart"/>
            <w:r w:rsidR="003C1C4E" w:rsidRPr="00540B7F">
              <w:rPr>
                <w:sz w:val="16"/>
                <w:szCs w:val="16"/>
              </w:rPr>
              <w:t>Ko</w:t>
            </w:r>
            <w:proofErr w:type="spellEnd"/>
            <w:r w:rsidR="003C1C4E" w:rsidRPr="00540B7F">
              <w:rPr>
                <w:sz w:val="16"/>
                <w:szCs w:val="16"/>
              </w:rPr>
              <w:t>-extruzní</w:t>
            </w:r>
            <w:proofErr w:type="gramEnd"/>
            <w:r w:rsidR="003C1C4E" w:rsidRPr="00540B7F">
              <w:rPr>
                <w:sz w:val="16"/>
                <w:szCs w:val="16"/>
              </w:rPr>
              <w:t xml:space="preserve"> linka – výzkumná linka pro vývoj vysoce plněných polymerních </w:t>
            </w:r>
            <w:proofErr w:type="spellStart"/>
            <w:r w:rsidR="003C1C4E" w:rsidRPr="00540B7F">
              <w:rPr>
                <w:sz w:val="16"/>
                <w:szCs w:val="16"/>
              </w:rPr>
              <w:t>kompozitů</w:t>
            </w:r>
            <w:proofErr w:type="spellEnd"/>
            <w:r w:rsidR="003C1C4E" w:rsidRPr="00540B7F">
              <w:rPr>
                <w:sz w:val="16"/>
                <w:szCs w:val="16"/>
              </w:rPr>
              <w:t xml:space="preserve"> </w:t>
            </w:r>
          </w:p>
          <w:p w:rsidR="00A741BA" w:rsidRDefault="00A741BA" w:rsidP="00A741BA">
            <w:pPr>
              <w:spacing w:before="60" w:after="60" w:line="240" w:lineRule="auto"/>
              <w:rPr>
                <w:sz w:val="18"/>
              </w:rPr>
            </w:pPr>
          </w:p>
          <w:p w:rsidR="00A741BA" w:rsidRDefault="00A741BA" w:rsidP="00A741BA">
            <w:pPr>
              <w:spacing w:before="60" w:after="60" w:line="240" w:lineRule="auto"/>
              <w:rPr>
                <w:sz w:val="18"/>
              </w:rPr>
            </w:pPr>
          </w:p>
          <w:p w:rsidR="00A741BA" w:rsidRDefault="00A741BA" w:rsidP="00A741BA">
            <w:pPr>
              <w:spacing w:before="60" w:after="60" w:line="240" w:lineRule="auto"/>
              <w:rPr>
                <w:sz w:val="18"/>
              </w:rPr>
            </w:pPr>
          </w:p>
          <w:p w:rsidR="00A741BA" w:rsidRDefault="00A741BA" w:rsidP="00A741BA">
            <w:pPr>
              <w:spacing w:before="60" w:after="60" w:line="240" w:lineRule="auto"/>
              <w:rPr>
                <w:sz w:val="18"/>
              </w:rPr>
            </w:pPr>
          </w:p>
          <w:p w:rsidR="00A741BA" w:rsidRPr="00A741BA" w:rsidRDefault="00A741BA" w:rsidP="00A741BA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2543" w:type="pct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A741BA" w:rsidRPr="00540B7F" w:rsidRDefault="009C3E72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 xml:space="preserve">- </w:t>
            </w:r>
            <w:r w:rsidR="00540B7F" w:rsidRPr="00540B7F">
              <w:rPr>
                <w:sz w:val="16"/>
                <w:szCs w:val="16"/>
                <w:u w:val="single"/>
              </w:rPr>
              <w:t>30% úspor ze stavby</w:t>
            </w:r>
            <w:r w:rsidR="00540B7F" w:rsidRPr="00540B7F">
              <w:rPr>
                <w:sz w:val="16"/>
                <w:szCs w:val="16"/>
              </w:rPr>
              <w:t xml:space="preserve"> - c</w:t>
            </w:r>
            <w:r w:rsidR="00A741BA" w:rsidRPr="00540B7F">
              <w:rPr>
                <w:sz w:val="16"/>
                <w:szCs w:val="16"/>
              </w:rPr>
              <w:t>elkové investiční způsobilé výdaje projektu jsou nově 288 500 715,- Kč. Celkové neinvestiční způsobilé výdaje projektu nejsou touto změnou dotčeny.</w:t>
            </w:r>
          </w:p>
          <w:p w:rsidR="00540B7F" w:rsidRDefault="00A741BA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 w:rsidRPr="00540B7F">
              <w:rPr>
                <w:sz w:val="16"/>
                <w:szCs w:val="16"/>
              </w:rPr>
              <w:t>Zbývající částka představující 30% stavebních úspor, tj. 1 7</w:t>
            </w:r>
            <w:r w:rsidR="009C3E72">
              <w:rPr>
                <w:sz w:val="16"/>
                <w:szCs w:val="16"/>
              </w:rPr>
              <w:t>04 121,- Kč</w:t>
            </w:r>
          </w:p>
          <w:p w:rsidR="009C3E72" w:rsidRDefault="009C3E72" w:rsidP="00A741BA">
            <w:pPr>
              <w:spacing w:before="60" w:after="60" w:line="240" w:lineRule="auto"/>
              <w:rPr>
                <w:sz w:val="16"/>
                <w:szCs w:val="16"/>
              </w:rPr>
            </w:pPr>
          </w:p>
          <w:p w:rsidR="009C3E72" w:rsidRPr="009C3E72" w:rsidRDefault="009C3E72" w:rsidP="00A741BA">
            <w:pPr>
              <w:spacing w:before="60" w:after="6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-přesuny v rozpočtu</w:t>
            </w:r>
          </w:p>
        </w:tc>
      </w:tr>
      <w:tr w:rsidR="0004245B" w:rsidTr="00FA5FD6">
        <w:trPr>
          <w:trHeight w:val="869"/>
        </w:trPr>
        <w:tc>
          <w:tcPr>
            <w:tcW w:w="787" w:type="pct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4213" w:type="pct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3974A1">
              <w:rPr>
                <w:sz w:val="16"/>
              </w:rPr>
              <w:t>: 100</w:t>
            </w:r>
            <w:r w:rsidR="00836189">
              <w:rPr>
                <w:sz w:val="16"/>
              </w:rPr>
              <w:t>%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3974A1">
              <w:rPr>
                <w:sz w:val="16"/>
              </w:rPr>
              <w:t>: 100%</w:t>
            </w:r>
          </w:p>
          <w:p w:rsidR="0004245B" w:rsidRPr="00AF6EB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3974A1">
              <w:rPr>
                <w:sz w:val="16"/>
              </w:rPr>
              <w:t>: 100%</w:t>
            </w:r>
          </w:p>
        </w:tc>
      </w:tr>
      <w:tr w:rsidR="00DA6654" w:rsidTr="00FA5FD6">
        <w:tc>
          <w:tcPr>
            <w:tcW w:w="787" w:type="pct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25FAF"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4213" w:type="pct"/>
            <w:gridSpan w:val="5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282FE9">
              <w:rPr>
                <w:sz w:val="18"/>
              </w:rPr>
              <w:t xml:space="preserve">: </w:t>
            </w:r>
            <w:r w:rsidR="00282FE9" w:rsidRPr="00282FE9">
              <w:rPr>
                <w:sz w:val="18"/>
              </w:rPr>
              <w:t>284 873 458,37</w:t>
            </w:r>
            <w:r w:rsidR="00282FE9">
              <w:rPr>
                <w:sz w:val="18"/>
              </w:rPr>
              <w:t xml:space="preserve"> Kč, 77,65 %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282FE9">
              <w:rPr>
                <w:sz w:val="18"/>
              </w:rPr>
              <w:t>:</w:t>
            </w:r>
            <w:r w:rsidR="00006444">
              <w:rPr>
                <w:sz w:val="18"/>
              </w:rPr>
              <w:t xml:space="preserve"> </w:t>
            </w:r>
            <w:r w:rsidR="00006444" w:rsidRPr="00006444">
              <w:rPr>
                <w:sz w:val="18"/>
              </w:rPr>
              <w:t>284 310 656,93</w:t>
            </w:r>
            <w:r w:rsidR="00006444">
              <w:rPr>
                <w:sz w:val="18"/>
              </w:rPr>
              <w:t xml:space="preserve"> Kč, 77,49 %</w:t>
            </w:r>
          </w:p>
          <w:p w:rsidR="00DA6654" w:rsidRDefault="00DA6654" w:rsidP="00DD26D3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006444">
              <w:rPr>
                <w:sz w:val="18"/>
              </w:rPr>
              <w:t xml:space="preserve">: </w:t>
            </w:r>
            <w:r w:rsidR="00006444" w:rsidRPr="00006444">
              <w:rPr>
                <w:sz w:val="18"/>
              </w:rPr>
              <w:t>284 310 656,93</w:t>
            </w:r>
            <w:r w:rsidR="00006444">
              <w:rPr>
                <w:sz w:val="18"/>
              </w:rPr>
              <w:t xml:space="preserve"> Kč, 77,49 %</w:t>
            </w:r>
          </w:p>
        </w:tc>
      </w:tr>
      <w:tr w:rsidR="00C43F6D" w:rsidTr="00FA5FD6">
        <w:tc>
          <w:tcPr>
            <w:tcW w:w="787" w:type="pct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F25FAF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F25FAF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F25FAF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4213" w:type="pct"/>
            <w:gridSpan w:val="5"/>
          </w:tcPr>
          <w:p w:rsidR="00C43F6D" w:rsidRDefault="00006444" w:rsidP="00DD26D3">
            <w:pPr>
              <w:spacing w:before="60" w:after="60" w:line="240" w:lineRule="auto"/>
              <w:rPr>
                <w:sz w:val="16"/>
              </w:rPr>
            </w:pPr>
            <w:r w:rsidRPr="00006444">
              <w:rPr>
                <w:sz w:val="16"/>
              </w:rPr>
              <w:t>27 545 189,52</w:t>
            </w:r>
            <w:r>
              <w:rPr>
                <w:sz w:val="16"/>
              </w:rPr>
              <w:t xml:space="preserve"> Kč, 6,98 %</w:t>
            </w:r>
          </w:p>
        </w:tc>
      </w:tr>
      <w:tr w:rsidR="00D2753C" w:rsidTr="00FA5FD6">
        <w:tc>
          <w:tcPr>
            <w:tcW w:w="787" w:type="pct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Ostatní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4213" w:type="pct"/>
            <w:gridSpan w:val="5"/>
          </w:tcPr>
          <w:p w:rsidR="00D2753C" w:rsidRDefault="00636A94" w:rsidP="00DD26D3">
            <w:pPr>
              <w:spacing w:before="60" w:after="60" w:line="240" w:lineRule="auto"/>
            </w:pPr>
            <w:r>
              <w:lastRenderedPageBreak/>
              <w:t>NR</w:t>
            </w:r>
          </w:p>
        </w:tc>
      </w:tr>
      <w:tr w:rsidR="00A431A3" w:rsidTr="00636A94">
        <w:tc>
          <w:tcPr>
            <w:tcW w:w="5000" w:type="pct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Udržitelnost projektu</w:t>
            </w:r>
          </w:p>
        </w:tc>
      </w:tr>
      <w:tr w:rsidR="00FA5FD6" w:rsidTr="00FA5FD6">
        <w:tc>
          <w:tcPr>
            <w:tcW w:w="787" w:type="pct"/>
          </w:tcPr>
          <w:p w:rsidR="00FA5FD6" w:rsidRDefault="00FA5FD6" w:rsidP="003437FB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4213" w:type="pct"/>
            <w:gridSpan w:val="5"/>
          </w:tcPr>
          <w:p w:rsidR="00FA5FD6" w:rsidRDefault="00FA5FD6" w:rsidP="00FA5FD6">
            <w:pPr>
              <w:tabs>
                <w:tab w:val="left" w:pos="2780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A5FD6">
              <w:rPr>
                <w:sz w:val="18"/>
                <w:szCs w:val="18"/>
              </w:rPr>
              <w:t>Požadované zdroje smluvní výzkum a jejich zajištění: 2015 - 2019: 121,5 mil. Kč. Představuje částku za poskytování služeb výzkumu a vývoje na zakázku, cca v 1 roce čá</w:t>
            </w:r>
            <w:r>
              <w:rPr>
                <w:sz w:val="18"/>
                <w:szCs w:val="18"/>
              </w:rPr>
              <w:t xml:space="preserve">stku 24,3 mil. Kč. </w:t>
            </w:r>
            <w:r w:rsidRPr="00FA5FD6">
              <w:rPr>
                <w:sz w:val="18"/>
                <w:szCs w:val="18"/>
              </w:rPr>
              <w:t xml:space="preserve">Mezinárodní granty a jejich zajištění: 2015 - 2019: 7,588 mil. </w:t>
            </w:r>
            <w:r>
              <w:rPr>
                <w:sz w:val="18"/>
                <w:szCs w:val="18"/>
              </w:rPr>
              <w:t xml:space="preserve">Kč - H2020, EUREKA. </w:t>
            </w:r>
            <w:r w:rsidRPr="00FA5FD6">
              <w:rPr>
                <w:sz w:val="18"/>
                <w:szCs w:val="18"/>
              </w:rPr>
              <w:t>Ostatní zdroje financování: nepředpokládáme</w:t>
            </w:r>
            <w:r>
              <w:rPr>
                <w:sz w:val="18"/>
                <w:szCs w:val="18"/>
              </w:rPr>
              <w:t xml:space="preserve">. </w:t>
            </w:r>
            <w:r w:rsidRPr="00FA5FD6">
              <w:rPr>
                <w:sz w:val="18"/>
                <w:szCs w:val="18"/>
              </w:rPr>
              <w:t>Dosavadní smluvní výzkum</w:t>
            </w:r>
            <w:r w:rsidR="00501D7A">
              <w:rPr>
                <w:sz w:val="18"/>
                <w:szCs w:val="18"/>
              </w:rPr>
              <w:t xml:space="preserve"> v letech</w:t>
            </w:r>
            <w:r w:rsidRPr="00FA5FD6">
              <w:rPr>
                <w:sz w:val="18"/>
                <w:szCs w:val="18"/>
              </w:rPr>
              <w:t xml:space="preserve"> 2012 a 2013 </w:t>
            </w:r>
            <w:proofErr w:type="spellStart"/>
            <w:r w:rsidRPr="00FA5FD6">
              <w:rPr>
                <w:sz w:val="18"/>
                <w:szCs w:val="18"/>
              </w:rPr>
              <w:t>či</w:t>
            </w:r>
            <w:r>
              <w:rPr>
                <w:sz w:val="18"/>
                <w:szCs w:val="18"/>
              </w:rPr>
              <w:t>ní</w:t>
            </w:r>
            <w:r w:rsidR="00501D7A">
              <w:rPr>
                <w:sz w:val="18"/>
                <w:szCs w:val="18"/>
              </w:rPr>
              <w:t>l</w:t>
            </w:r>
            <w:proofErr w:type="spellEnd"/>
            <w:r>
              <w:rPr>
                <w:sz w:val="18"/>
                <w:szCs w:val="18"/>
              </w:rPr>
              <w:t xml:space="preserve"> 13.639 tis. Kč. </w:t>
            </w:r>
          </w:p>
          <w:p w:rsidR="00FA5FD6" w:rsidRPr="00FA5FD6" w:rsidRDefault="00FA5FD6" w:rsidP="00501D7A">
            <w:pPr>
              <w:tabs>
                <w:tab w:val="left" w:pos="2780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A5FD6">
              <w:rPr>
                <w:sz w:val="18"/>
                <w:szCs w:val="18"/>
              </w:rPr>
              <w:t>Předpokládaný smluvní výzkum po realizaci projektu: Indikátory projektu MIC v době udržitelnosti uvádí hodnoty (postupně od roku 2015 v mil. Kč):</w:t>
            </w:r>
            <w:r>
              <w:rPr>
                <w:sz w:val="18"/>
                <w:szCs w:val="18"/>
              </w:rPr>
              <w:t xml:space="preserve"> 30, 31, 32, 34, 35.</w:t>
            </w:r>
            <w:r w:rsidRPr="00FA5FD6">
              <w:rPr>
                <w:sz w:val="18"/>
                <w:szCs w:val="18"/>
              </w:rPr>
              <w:tab/>
            </w:r>
          </w:p>
        </w:tc>
      </w:tr>
      <w:tr w:rsidR="00FA5FD6" w:rsidTr="00FA5FD6">
        <w:tc>
          <w:tcPr>
            <w:tcW w:w="787" w:type="pct"/>
          </w:tcPr>
          <w:p w:rsidR="00FA5FD6" w:rsidRDefault="00FA5FD6" w:rsidP="003437FB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4213" w:type="pct"/>
            <w:gridSpan w:val="5"/>
          </w:tcPr>
          <w:p w:rsidR="00FA5FD6" w:rsidRDefault="00FA5FD6" w:rsidP="00FA5FD6">
            <w:pPr>
              <w:spacing w:before="60" w:after="60" w:line="240" w:lineRule="auto"/>
              <w:rPr>
                <w:sz w:val="18"/>
                <w:szCs w:val="18"/>
              </w:rPr>
            </w:pPr>
            <w:r w:rsidRPr="00FA5FD6">
              <w:rPr>
                <w:sz w:val="18"/>
                <w:szCs w:val="18"/>
              </w:rPr>
              <w:t>Požadavky na účelové zdroje celkem: 201</w:t>
            </w:r>
            <w:r>
              <w:rPr>
                <w:sz w:val="18"/>
                <w:szCs w:val="18"/>
              </w:rPr>
              <w:t>5 - 2019: 170,912 mil. Kč.</w:t>
            </w:r>
          </w:p>
          <w:p w:rsidR="00FA5FD6" w:rsidRPr="00501D7A" w:rsidRDefault="00501D7A" w:rsidP="00FA5FD6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 toho NPÚ: 150 mil. Kč – částka účelové podpory poskytnuta v rámci 3. výzvy NPU na pětileté období. </w:t>
            </w:r>
            <w:r w:rsidR="00FA5FD6" w:rsidRPr="00FA5FD6">
              <w:rPr>
                <w:sz w:val="18"/>
                <w:szCs w:val="18"/>
              </w:rPr>
              <w:t>Institucionální podpora: 0 Kč</w:t>
            </w:r>
            <w:r w:rsidR="00FA5FD6" w:rsidRPr="00FA5FD6">
              <w:rPr>
                <w:sz w:val="18"/>
                <w:szCs w:val="18"/>
              </w:rPr>
              <w:tab/>
            </w:r>
            <w:r w:rsidR="00FA5FD6">
              <w:tab/>
            </w:r>
            <w:r w:rsidR="00FA5FD6">
              <w:tab/>
            </w:r>
            <w:r w:rsidR="00FA5FD6">
              <w:tab/>
            </w:r>
            <w:r w:rsidR="00FA5FD6">
              <w:tab/>
            </w:r>
            <w:r w:rsidR="00FA5FD6">
              <w:tab/>
            </w:r>
          </w:p>
          <w:p w:rsidR="00FA5FD6" w:rsidRPr="00FA5FD6" w:rsidRDefault="00FA5FD6" w:rsidP="00FA5FD6">
            <w:pPr>
              <w:spacing w:before="60" w:after="60" w:line="240" w:lineRule="auto"/>
            </w:pPr>
          </w:p>
        </w:tc>
      </w:tr>
      <w:tr w:rsidR="009E437E" w:rsidTr="00FA5FD6">
        <w:tc>
          <w:tcPr>
            <w:tcW w:w="787" w:type="pct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4213" w:type="pct"/>
            <w:gridSpan w:val="5"/>
          </w:tcPr>
          <w:p w:rsidR="00501D7A" w:rsidRDefault="00501D7A" w:rsidP="00501D7A">
            <w:pPr>
              <w:spacing w:before="60" w:after="60" w:line="240" w:lineRule="auto"/>
              <w:rPr>
                <w:sz w:val="18"/>
              </w:rPr>
            </w:pPr>
            <w:r w:rsidRPr="00FA5FD6">
              <w:rPr>
                <w:sz w:val="18"/>
              </w:rPr>
              <w:t>Současný počet</w:t>
            </w:r>
            <w:r>
              <w:rPr>
                <w:sz w:val="18"/>
              </w:rPr>
              <w:t xml:space="preserve"> výzkumníků: 28,17 FTE.</w:t>
            </w:r>
          </w:p>
          <w:p w:rsidR="00501D7A" w:rsidRDefault="00501D7A" w:rsidP="00501D7A">
            <w:pPr>
              <w:spacing w:before="60" w:after="60" w:line="240" w:lineRule="auto"/>
              <w:rPr>
                <w:sz w:val="18"/>
              </w:rPr>
            </w:pPr>
            <w:r w:rsidRPr="00FA5FD6">
              <w:rPr>
                <w:sz w:val="18"/>
              </w:rPr>
              <w:t xml:space="preserve">Kvalifikační struktura: garanti jednotlivých výzkumných programů (3,0 FTE), senior </w:t>
            </w:r>
            <w:proofErr w:type="spellStart"/>
            <w:r w:rsidRPr="00FA5FD6">
              <w:rPr>
                <w:sz w:val="18"/>
              </w:rPr>
              <w:t>researcher</w:t>
            </w:r>
            <w:proofErr w:type="spellEnd"/>
            <w:r w:rsidRPr="00FA5FD6">
              <w:rPr>
                <w:sz w:val="18"/>
              </w:rPr>
              <w:t xml:space="preserve"> (7,79 FTE), junior </w:t>
            </w:r>
            <w:proofErr w:type="spellStart"/>
            <w:r w:rsidRPr="00FA5FD6">
              <w:rPr>
                <w:sz w:val="18"/>
              </w:rPr>
              <w:t>researcher</w:t>
            </w:r>
            <w:proofErr w:type="spellEnd"/>
            <w:r w:rsidRPr="00FA5FD6">
              <w:rPr>
                <w:sz w:val="18"/>
              </w:rPr>
              <w:t xml:space="preserve"> (16,18 FT</w:t>
            </w:r>
            <w:r>
              <w:rPr>
                <w:sz w:val="18"/>
              </w:rPr>
              <w:t>E), studenti (1,2 FTE).</w:t>
            </w:r>
          </w:p>
          <w:p w:rsidR="00501D7A" w:rsidRDefault="00501D7A" w:rsidP="00501D7A">
            <w:pPr>
              <w:spacing w:before="60" w:after="60" w:line="240" w:lineRule="auto"/>
              <w:rPr>
                <w:sz w:val="18"/>
              </w:rPr>
            </w:pPr>
            <w:r w:rsidRPr="00FA5FD6">
              <w:rPr>
                <w:sz w:val="18"/>
              </w:rPr>
              <w:t xml:space="preserve">Plánovaný počet </w:t>
            </w:r>
            <w:r>
              <w:rPr>
                <w:sz w:val="18"/>
              </w:rPr>
              <w:t>výzkumníků:  30,15 FTE.</w:t>
            </w:r>
          </w:p>
          <w:p w:rsidR="00501D7A" w:rsidRDefault="00501D7A" w:rsidP="00501D7A">
            <w:pPr>
              <w:spacing w:before="60" w:after="60" w:line="240" w:lineRule="auto"/>
              <w:rPr>
                <w:sz w:val="18"/>
              </w:rPr>
            </w:pPr>
            <w:r w:rsidRPr="00FA5FD6">
              <w:rPr>
                <w:sz w:val="18"/>
              </w:rPr>
              <w:t xml:space="preserve">Kvalifikační struktura: garanti jednotlivých výzkumných programů (3,0 FTE), senior </w:t>
            </w:r>
            <w:proofErr w:type="spellStart"/>
            <w:r w:rsidRPr="00FA5FD6">
              <w:rPr>
                <w:sz w:val="18"/>
              </w:rPr>
              <w:t>researcher</w:t>
            </w:r>
            <w:proofErr w:type="spellEnd"/>
            <w:r w:rsidRPr="00FA5FD6">
              <w:rPr>
                <w:sz w:val="18"/>
              </w:rPr>
              <w:t xml:space="preserve"> (8 FTE), junior </w:t>
            </w:r>
            <w:proofErr w:type="spellStart"/>
            <w:r w:rsidRPr="00FA5FD6">
              <w:rPr>
                <w:sz w:val="18"/>
              </w:rPr>
              <w:t>researcher</w:t>
            </w:r>
            <w:proofErr w:type="spellEnd"/>
            <w:r w:rsidRPr="00FA5FD6">
              <w:rPr>
                <w:sz w:val="18"/>
              </w:rPr>
              <w:t xml:space="preserve"> (16 FTE), studenti (3,6 FTE)</w:t>
            </w:r>
            <w:r>
              <w:rPr>
                <w:sz w:val="18"/>
              </w:rPr>
              <w:t>.</w:t>
            </w:r>
          </w:p>
          <w:p w:rsidR="009E437E" w:rsidRDefault="00FA5FD6" w:rsidP="00501D7A">
            <w:pPr>
              <w:spacing w:before="60" w:after="60" w:line="240" w:lineRule="auto"/>
            </w:pPr>
            <w:r w:rsidRPr="00FA5FD6">
              <w:rPr>
                <w:sz w:val="18"/>
                <w:szCs w:val="18"/>
              </w:rPr>
              <w:t xml:space="preserve">Na udržitelnost resp. finanční zajištění centra však může mít i vliv dosahování </w:t>
            </w:r>
            <w:proofErr w:type="spellStart"/>
            <w:r w:rsidRPr="00FA5FD6">
              <w:rPr>
                <w:sz w:val="18"/>
                <w:szCs w:val="18"/>
              </w:rPr>
              <w:t>stanovenéh</w:t>
            </w:r>
            <w:proofErr w:type="spellEnd"/>
            <w:r w:rsidRPr="00FA5FD6">
              <w:rPr>
                <w:sz w:val="18"/>
                <w:szCs w:val="18"/>
              </w:rPr>
              <w:t xml:space="preserve"> počtu výsledků výzkumu a vývoje (publikace, patenty, aplikované výsledky apod.), bude-li za ně přidělována institucionální podpora. Tuto podporu zatím </w:t>
            </w:r>
            <w:proofErr w:type="spellStart"/>
            <w:r w:rsidRPr="00FA5FD6">
              <w:rPr>
                <w:sz w:val="18"/>
                <w:szCs w:val="18"/>
              </w:rPr>
              <w:t>MemBr</w:t>
            </w:r>
            <w:r w:rsidR="00501D7A">
              <w:rPr>
                <w:sz w:val="18"/>
                <w:szCs w:val="18"/>
              </w:rPr>
              <w:t>ain</w:t>
            </w:r>
            <w:proofErr w:type="spellEnd"/>
            <w:r w:rsidR="00501D7A">
              <w:rPr>
                <w:sz w:val="18"/>
                <w:szCs w:val="18"/>
              </w:rPr>
              <w:t xml:space="preserve"> nečerpal, ale předpokládá,</w:t>
            </w:r>
            <w:r w:rsidRPr="00FA5FD6">
              <w:rPr>
                <w:sz w:val="18"/>
                <w:szCs w:val="18"/>
              </w:rPr>
              <w:t xml:space="preserve"> že díky infrastruktuře a většímu počtu zaměstnanců může mít nárok až na 2 mil. Kč ročně. </w:t>
            </w:r>
          </w:p>
        </w:tc>
      </w:tr>
      <w:tr w:rsidR="00D2753C" w:rsidTr="00FA5FD6">
        <w:tc>
          <w:tcPr>
            <w:tcW w:w="787" w:type="pct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4213" w:type="pct"/>
            <w:gridSpan w:val="5"/>
          </w:tcPr>
          <w:p w:rsidR="00D2753C" w:rsidRDefault="00405BDC" w:rsidP="00501D7A">
            <w:pPr>
              <w:spacing w:before="60" w:after="60" w:line="240" w:lineRule="auto"/>
            </w:pPr>
            <w:r w:rsidRPr="008A395D">
              <w:rPr>
                <w:sz w:val="18"/>
                <w:szCs w:val="18"/>
              </w:rPr>
              <w:t xml:space="preserve">Centrum je po stavební , </w:t>
            </w:r>
            <w:proofErr w:type="gramStart"/>
            <w:r w:rsidRPr="008A395D">
              <w:rPr>
                <w:sz w:val="18"/>
                <w:szCs w:val="18"/>
              </w:rPr>
              <w:t>přístrojové  a personální</w:t>
            </w:r>
            <w:proofErr w:type="gramEnd"/>
            <w:r w:rsidRPr="008A395D">
              <w:rPr>
                <w:sz w:val="18"/>
                <w:szCs w:val="18"/>
              </w:rPr>
              <w:t xml:space="preserve"> stránce</w:t>
            </w:r>
            <w:r w:rsidR="00501D7A">
              <w:rPr>
                <w:sz w:val="18"/>
                <w:szCs w:val="18"/>
              </w:rPr>
              <w:t xml:space="preserve"> je</w:t>
            </w:r>
            <w:r w:rsidRPr="008A395D">
              <w:rPr>
                <w:sz w:val="18"/>
                <w:szCs w:val="18"/>
              </w:rPr>
              <w:t xml:space="preserve"> na velmi dobré úrovni. I přes jeho umístění ve St</w:t>
            </w:r>
            <w:r w:rsidR="008A395D" w:rsidRPr="008A395D">
              <w:rPr>
                <w:sz w:val="18"/>
                <w:szCs w:val="18"/>
              </w:rPr>
              <w:t xml:space="preserve">ráži pod Ralskem úzce </w:t>
            </w:r>
            <w:proofErr w:type="gramStart"/>
            <w:r w:rsidR="008A395D" w:rsidRPr="008A395D">
              <w:rPr>
                <w:sz w:val="18"/>
                <w:szCs w:val="18"/>
              </w:rPr>
              <w:t>spolupracuje  s vysokými</w:t>
            </w:r>
            <w:proofErr w:type="gramEnd"/>
            <w:r w:rsidR="008A395D" w:rsidRPr="008A395D">
              <w:rPr>
                <w:sz w:val="18"/>
                <w:szCs w:val="18"/>
              </w:rPr>
              <w:t xml:space="preserve"> školami a průmyslem. </w:t>
            </w:r>
          </w:p>
        </w:tc>
      </w:tr>
      <w:tr w:rsidR="00D2753C" w:rsidTr="00FA5FD6">
        <w:tc>
          <w:tcPr>
            <w:tcW w:w="787" w:type="pct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4213" w:type="pct"/>
            <w:gridSpan w:val="5"/>
          </w:tcPr>
          <w:p w:rsidR="00FA5FD6" w:rsidRDefault="00FA5FD6" w:rsidP="00FA5FD6">
            <w:pPr>
              <w:spacing w:before="60" w:after="60" w:line="240" w:lineRule="auto"/>
              <w:rPr>
                <w:sz w:val="18"/>
              </w:rPr>
            </w:pPr>
            <w:r w:rsidRPr="00501D7A">
              <w:rPr>
                <w:b/>
                <w:i/>
                <w:sz w:val="18"/>
              </w:rPr>
              <w:t>Tuzemští partneři:</w:t>
            </w:r>
            <w:r>
              <w:rPr>
                <w:sz w:val="18"/>
              </w:rPr>
              <w:tab/>
            </w:r>
            <w:r w:rsidRPr="00FA5FD6">
              <w:rPr>
                <w:sz w:val="18"/>
              </w:rPr>
              <w:t xml:space="preserve">po dobu realizace projektu MIC (od 2012): </w:t>
            </w:r>
            <w:proofErr w:type="spellStart"/>
            <w:r w:rsidRPr="00FA5FD6">
              <w:rPr>
                <w:sz w:val="18"/>
              </w:rPr>
              <w:t>Original</w:t>
            </w:r>
            <w:proofErr w:type="spellEnd"/>
            <w:r w:rsidRPr="00FA5FD6">
              <w:rPr>
                <w:sz w:val="18"/>
              </w:rPr>
              <w:t xml:space="preserve"> </w:t>
            </w:r>
            <w:proofErr w:type="spellStart"/>
            <w:r w:rsidRPr="00FA5FD6">
              <w:rPr>
                <w:sz w:val="18"/>
              </w:rPr>
              <w:t>Karlsbader</w:t>
            </w:r>
            <w:proofErr w:type="spellEnd"/>
            <w:r w:rsidRPr="00FA5FD6">
              <w:rPr>
                <w:sz w:val="18"/>
              </w:rPr>
              <w:t xml:space="preserve"> </w:t>
            </w:r>
            <w:proofErr w:type="spellStart"/>
            <w:r w:rsidRPr="00FA5FD6">
              <w:rPr>
                <w:sz w:val="18"/>
              </w:rPr>
              <w:t>Sprudelsalz</w:t>
            </w:r>
            <w:proofErr w:type="spellEnd"/>
            <w:r w:rsidRPr="00FA5FD6">
              <w:rPr>
                <w:sz w:val="18"/>
              </w:rPr>
              <w:t xml:space="preserve">, </w:t>
            </w:r>
            <w:proofErr w:type="spellStart"/>
            <w:r w:rsidRPr="00FA5FD6">
              <w:rPr>
                <w:sz w:val="18"/>
              </w:rPr>
              <w:t>Kemifloc</w:t>
            </w:r>
            <w:proofErr w:type="spellEnd"/>
            <w:r w:rsidRPr="00FA5FD6">
              <w:rPr>
                <w:sz w:val="18"/>
              </w:rPr>
              <w:t xml:space="preserve">, Compaq, </w:t>
            </w:r>
            <w:proofErr w:type="spellStart"/>
            <w:r w:rsidRPr="00FA5FD6">
              <w:rPr>
                <w:sz w:val="18"/>
              </w:rPr>
              <w:t>Mega</w:t>
            </w:r>
            <w:proofErr w:type="spellEnd"/>
            <w:r w:rsidRPr="00FA5FD6">
              <w:rPr>
                <w:sz w:val="18"/>
              </w:rPr>
              <w:t xml:space="preserve">, </w:t>
            </w:r>
            <w:proofErr w:type="spellStart"/>
            <w:r w:rsidRPr="00FA5FD6">
              <w:rPr>
                <w:sz w:val="18"/>
              </w:rPr>
              <w:t>Boca</w:t>
            </w:r>
            <w:proofErr w:type="spellEnd"/>
            <w:r w:rsidRPr="00FA5FD6">
              <w:rPr>
                <w:sz w:val="18"/>
              </w:rPr>
              <w:t xml:space="preserve">, ČEZ, </w:t>
            </w:r>
            <w:proofErr w:type="spellStart"/>
            <w:r w:rsidRPr="00FA5FD6">
              <w:rPr>
                <w:sz w:val="18"/>
              </w:rPr>
              <w:t>MetoKote</w:t>
            </w:r>
            <w:proofErr w:type="spellEnd"/>
            <w:r w:rsidRPr="00FA5FD6">
              <w:rPr>
                <w:sz w:val="18"/>
              </w:rPr>
              <w:t xml:space="preserve">, Vítkovice </w:t>
            </w:r>
            <w:proofErr w:type="spellStart"/>
            <w:r w:rsidRPr="00FA5FD6">
              <w:rPr>
                <w:sz w:val="18"/>
              </w:rPr>
              <w:t>Power</w:t>
            </w:r>
            <w:proofErr w:type="spellEnd"/>
            <w:r w:rsidRPr="00FA5FD6">
              <w:rPr>
                <w:sz w:val="18"/>
              </w:rPr>
              <w:t xml:space="preserve"> </w:t>
            </w:r>
            <w:proofErr w:type="spellStart"/>
            <w:r w:rsidRPr="00FA5FD6">
              <w:rPr>
                <w:sz w:val="18"/>
              </w:rPr>
              <w:t>Engineering</w:t>
            </w:r>
            <w:proofErr w:type="spellEnd"/>
            <w:r w:rsidRPr="00FA5FD6">
              <w:rPr>
                <w:sz w:val="18"/>
              </w:rPr>
              <w:t xml:space="preserve">, </w:t>
            </w:r>
            <w:proofErr w:type="spellStart"/>
            <w:r w:rsidRPr="00FA5FD6">
              <w:rPr>
                <w:sz w:val="18"/>
              </w:rPr>
              <w:t>Lonza</w:t>
            </w:r>
            <w:proofErr w:type="spellEnd"/>
            <w:r w:rsidRPr="00FA5FD6">
              <w:rPr>
                <w:sz w:val="18"/>
              </w:rPr>
              <w:t xml:space="preserve"> </w:t>
            </w:r>
            <w:proofErr w:type="spellStart"/>
            <w:r w:rsidRPr="00FA5FD6">
              <w:rPr>
                <w:sz w:val="18"/>
              </w:rPr>
              <w:t>Biotec</w:t>
            </w:r>
            <w:proofErr w:type="spellEnd"/>
            <w:r w:rsidRPr="00FA5FD6">
              <w:rPr>
                <w:sz w:val="18"/>
              </w:rPr>
              <w:t xml:space="preserve">, </w:t>
            </w:r>
            <w:proofErr w:type="spellStart"/>
            <w:r w:rsidRPr="00FA5FD6">
              <w:rPr>
                <w:sz w:val="18"/>
              </w:rPr>
              <w:t>Safina</w:t>
            </w:r>
            <w:proofErr w:type="spellEnd"/>
            <w:r w:rsidRPr="00FA5FD6">
              <w:rPr>
                <w:sz w:val="18"/>
              </w:rPr>
              <w:t xml:space="preserve">, Moravia </w:t>
            </w:r>
            <w:proofErr w:type="spellStart"/>
            <w:r w:rsidRPr="00FA5FD6">
              <w:rPr>
                <w:sz w:val="18"/>
              </w:rPr>
              <w:t>Lacto</w:t>
            </w:r>
            <w:proofErr w:type="spellEnd"/>
            <w:r w:rsidRPr="00FA5FD6">
              <w:rPr>
                <w:sz w:val="18"/>
              </w:rPr>
              <w:t>, Č</w:t>
            </w:r>
            <w:r>
              <w:rPr>
                <w:sz w:val="18"/>
              </w:rPr>
              <w:t>EZ Energetické produkty.</w:t>
            </w:r>
          </w:p>
          <w:p w:rsidR="00D2753C" w:rsidRDefault="00FA5FD6" w:rsidP="00FA5FD6">
            <w:pPr>
              <w:spacing w:before="60" w:after="60" w:line="240" w:lineRule="auto"/>
              <w:rPr>
                <w:sz w:val="18"/>
              </w:rPr>
            </w:pPr>
            <w:r w:rsidRPr="00501D7A">
              <w:rPr>
                <w:b/>
                <w:i/>
                <w:sz w:val="18"/>
              </w:rPr>
              <w:t>Zahraničí partneři výzkumu:</w:t>
            </w:r>
            <w:r>
              <w:rPr>
                <w:sz w:val="18"/>
              </w:rPr>
              <w:tab/>
            </w:r>
            <w:r w:rsidRPr="00FA5FD6">
              <w:rPr>
                <w:sz w:val="18"/>
              </w:rPr>
              <w:t xml:space="preserve">po dobu realizace projektu MIC (od 2012): </w:t>
            </w:r>
            <w:proofErr w:type="spellStart"/>
            <w:r w:rsidRPr="00FA5FD6">
              <w:rPr>
                <w:sz w:val="18"/>
              </w:rPr>
              <w:t>Novase</w:t>
            </w:r>
            <w:r w:rsidR="00405BDC">
              <w:rPr>
                <w:sz w:val="18"/>
              </w:rPr>
              <w:t>p</w:t>
            </w:r>
            <w:proofErr w:type="spellEnd"/>
            <w:r w:rsidR="00405BDC">
              <w:rPr>
                <w:sz w:val="18"/>
              </w:rPr>
              <w:t xml:space="preserve"> </w:t>
            </w:r>
            <w:proofErr w:type="spellStart"/>
            <w:r w:rsidR="00405BDC">
              <w:rPr>
                <w:sz w:val="18"/>
              </w:rPr>
              <w:t>Process</w:t>
            </w:r>
            <w:proofErr w:type="spellEnd"/>
            <w:r w:rsidR="00405BDC">
              <w:rPr>
                <w:sz w:val="18"/>
              </w:rPr>
              <w:t xml:space="preserve">, UTB </w:t>
            </w:r>
            <w:proofErr w:type="spellStart"/>
            <w:r w:rsidR="00405BDC">
              <w:rPr>
                <w:sz w:val="18"/>
              </w:rPr>
              <w:t>Envirotec</w:t>
            </w:r>
            <w:proofErr w:type="spellEnd"/>
            <w:r w:rsidR="00405BDC">
              <w:rPr>
                <w:sz w:val="18"/>
              </w:rPr>
              <w:t>.</w:t>
            </w:r>
            <w:r w:rsidRPr="00FA5FD6">
              <w:rPr>
                <w:sz w:val="18"/>
              </w:rPr>
              <w:tab/>
            </w:r>
            <w:r w:rsidRPr="00FA5FD6">
              <w:rPr>
                <w:sz w:val="18"/>
              </w:rPr>
              <w:tab/>
            </w:r>
            <w:r w:rsidRPr="00FA5FD6">
              <w:rPr>
                <w:sz w:val="18"/>
              </w:rPr>
              <w:tab/>
            </w:r>
            <w:r w:rsidRPr="00FA5FD6">
              <w:rPr>
                <w:sz w:val="18"/>
              </w:rPr>
              <w:tab/>
            </w:r>
            <w:r w:rsidRPr="00FA5FD6">
              <w:rPr>
                <w:sz w:val="18"/>
              </w:rPr>
              <w:tab/>
            </w:r>
            <w:r w:rsidRPr="00FA5FD6">
              <w:rPr>
                <w:sz w:val="18"/>
              </w:rPr>
              <w:tab/>
            </w:r>
          </w:p>
        </w:tc>
      </w:tr>
      <w:tr w:rsidR="00D2753C" w:rsidTr="00FA5FD6">
        <w:tc>
          <w:tcPr>
            <w:tcW w:w="787" w:type="pct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4213" w:type="pct"/>
            <w:gridSpan w:val="5"/>
          </w:tcPr>
          <w:p w:rsidR="00D2753C" w:rsidRDefault="00501D7A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  <w:bookmarkStart w:id="0" w:name="_GoBack"/>
            <w:bookmarkEnd w:id="0"/>
          </w:p>
        </w:tc>
      </w:tr>
      <w:tr w:rsidR="00D2753C" w:rsidTr="00FA5FD6">
        <w:tc>
          <w:tcPr>
            <w:tcW w:w="787" w:type="pct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4213" w:type="pct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246612FB"/>
    <w:multiLevelType w:val="hybridMultilevel"/>
    <w:tmpl w:val="80D28E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70A1E"/>
    <w:multiLevelType w:val="hybridMultilevel"/>
    <w:tmpl w:val="96E2C82A"/>
    <w:lvl w:ilvl="0" w:tplc="01DEFF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8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3"/>
  </w:num>
  <w:num w:numId="19">
    <w:abstractNumId w:val="0"/>
  </w:num>
  <w:num w:numId="20">
    <w:abstractNumId w:val="9"/>
  </w:num>
  <w:num w:numId="21">
    <w:abstractNumId w:val="10"/>
  </w:num>
  <w:num w:numId="22">
    <w:abstractNumId w:val="3"/>
  </w:num>
  <w:num w:numId="23">
    <w:abstractNumId w:val="11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06444"/>
    <w:rsid w:val="0004245B"/>
    <w:rsid w:val="0005178F"/>
    <w:rsid w:val="00061AA5"/>
    <w:rsid w:val="000A69DE"/>
    <w:rsid w:val="000B7BB7"/>
    <w:rsid w:val="000D4BAD"/>
    <w:rsid w:val="000E495E"/>
    <w:rsid w:val="000F0945"/>
    <w:rsid w:val="0010270A"/>
    <w:rsid w:val="0018303B"/>
    <w:rsid w:val="0018459D"/>
    <w:rsid w:val="001845D5"/>
    <w:rsid w:val="001B09DB"/>
    <w:rsid w:val="001B2134"/>
    <w:rsid w:val="00235AE1"/>
    <w:rsid w:val="0026353D"/>
    <w:rsid w:val="00282FE9"/>
    <w:rsid w:val="002A102B"/>
    <w:rsid w:val="002B4A3E"/>
    <w:rsid w:val="002C579A"/>
    <w:rsid w:val="002C69A4"/>
    <w:rsid w:val="003974A1"/>
    <w:rsid w:val="003C1C4E"/>
    <w:rsid w:val="00405BDC"/>
    <w:rsid w:val="00431B1E"/>
    <w:rsid w:val="004C4832"/>
    <w:rsid w:val="004D6F6B"/>
    <w:rsid w:val="00500997"/>
    <w:rsid w:val="00501D7A"/>
    <w:rsid w:val="0052281E"/>
    <w:rsid w:val="00526313"/>
    <w:rsid w:val="00540B7F"/>
    <w:rsid w:val="00581F3A"/>
    <w:rsid w:val="00595603"/>
    <w:rsid w:val="005D613D"/>
    <w:rsid w:val="005F27AE"/>
    <w:rsid w:val="00636A94"/>
    <w:rsid w:val="00686EA8"/>
    <w:rsid w:val="007011BD"/>
    <w:rsid w:val="00737A93"/>
    <w:rsid w:val="00742563"/>
    <w:rsid w:val="00774A9C"/>
    <w:rsid w:val="007A2A35"/>
    <w:rsid w:val="007A62D7"/>
    <w:rsid w:val="0081225A"/>
    <w:rsid w:val="0081392A"/>
    <w:rsid w:val="008146D9"/>
    <w:rsid w:val="008353DD"/>
    <w:rsid w:val="00836189"/>
    <w:rsid w:val="008419E8"/>
    <w:rsid w:val="008659D7"/>
    <w:rsid w:val="008A395D"/>
    <w:rsid w:val="009360DE"/>
    <w:rsid w:val="009372B3"/>
    <w:rsid w:val="009C3E72"/>
    <w:rsid w:val="009E437E"/>
    <w:rsid w:val="00A0019C"/>
    <w:rsid w:val="00A431A3"/>
    <w:rsid w:val="00A741BA"/>
    <w:rsid w:val="00A74241"/>
    <w:rsid w:val="00A7545D"/>
    <w:rsid w:val="00AA442B"/>
    <w:rsid w:val="00AC33F3"/>
    <w:rsid w:val="00AD65D3"/>
    <w:rsid w:val="00AE72C5"/>
    <w:rsid w:val="00AF6EBB"/>
    <w:rsid w:val="00B07516"/>
    <w:rsid w:val="00B31B5B"/>
    <w:rsid w:val="00BD1371"/>
    <w:rsid w:val="00C217DD"/>
    <w:rsid w:val="00C43F6D"/>
    <w:rsid w:val="00C56390"/>
    <w:rsid w:val="00C866FC"/>
    <w:rsid w:val="00C92258"/>
    <w:rsid w:val="00CC6243"/>
    <w:rsid w:val="00D03FD2"/>
    <w:rsid w:val="00D2753C"/>
    <w:rsid w:val="00DA6654"/>
    <w:rsid w:val="00DA7033"/>
    <w:rsid w:val="00DD26D3"/>
    <w:rsid w:val="00E05352"/>
    <w:rsid w:val="00E20092"/>
    <w:rsid w:val="00E43C3D"/>
    <w:rsid w:val="00E71CB7"/>
    <w:rsid w:val="00EC3BBE"/>
    <w:rsid w:val="00EE2A12"/>
    <w:rsid w:val="00F0067F"/>
    <w:rsid w:val="00F25FAF"/>
    <w:rsid w:val="00F34368"/>
    <w:rsid w:val="00F74C5F"/>
    <w:rsid w:val="00F9010E"/>
    <w:rsid w:val="00FA0F95"/>
    <w:rsid w:val="00FA5FD6"/>
    <w:rsid w:val="00FB7657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09BAB-8D65-40DA-BB43-79CC60ED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2D720-818B-4144-BA6F-51D08A72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cp:lastPrinted>2015-02-05T09:34:00Z</cp:lastPrinted>
  <dcterms:created xsi:type="dcterms:W3CDTF">2015-03-25T21:00:00Z</dcterms:created>
  <dcterms:modified xsi:type="dcterms:W3CDTF">2015-03-25T21:00:00Z</dcterms:modified>
</cp:coreProperties>
</file>