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060"/>
        <w:gridCol w:w="386"/>
        <w:gridCol w:w="3088"/>
        <w:gridCol w:w="372"/>
        <w:gridCol w:w="714"/>
        <w:gridCol w:w="2986"/>
      </w:tblGrid>
      <w:tr w:rsidR="00AE72C5" w:rsidTr="00380CBE">
        <w:trPr>
          <w:trHeight w:val="558"/>
        </w:trPr>
        <w:tc>
          <w:tcPr>
            <w:tcW w:w="9606" w:type="dxa"/>
            <w:gridSpan w:val="6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>ýzkum a vývoj pro inovace (OP VaVpI)</w:t>
            </w:r>
          </w:p>
        </w:tc>
      </w:tr>
      <w:tr w:rsidR="0052281E" w:rsidTr="00380CBE">
        <w:trPr>
          <w:trHeight w:val="277"/>
        </w:trPr>
        <w:tc>
          <w:tcPr>
            <w:tcW w:w="9606" w:type="dxa"/>
            <w:gridSpan w:val="6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380CBE">
        <w:trPr>
          <w:trHeight w:val="277"/>
        </w:trPr>
        <w:tc>
          <w:tcPr>
            <w:tcW w:w="2446" w:type="dxa"/>
            <w:gridSpan w:val="2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7160" w:type="dxa"/>
            <w:gridSpan w:val="4"/>
          </w:tcPr>
          <w:p w:rsidR="00AE72C5" w:rsidRPr="000623BF" w:rsidRDefault="00D85363" w:rsidP="0052281E">
            <w:pPr>
              <w:spacing w:before="120" w:after="60" w:line="240" w:lineRule="auto"/>
              <w:rPr>
                <w:rFonts w:cs="Times New Roman"/>
                <w:sz w:val="20"/>
                <w:szCs w:val="20"/>
              </w:rPr>
            </w:pPr>
            <w:r w:rsidRPr="000623BF">
              <w:rPr>
                <w:rFonts w:cs="Times New Roman"/>
                <w:sz w:val="20"/>
                <w:szCs w:val="20"/>
              </w:rPr>
              <w:t>Centrum Excelence IT4Innovations</w:t>
            </w:r>
          </w:p>
        </w:tc>
      </w:tr>
      <w:tr w:rsidR="00E71CB7" w:rsidTr="00380CBE">
        <w:trPr>
          <w:trHeight w:val="277"/>
        </w:trPr>
        <w:tc>
          <w:tcPr>
            <w:tcW w:w="244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7160" w:type="dxa"/>
            <w:gridSpan w:val="4"/>
          </w:tcPr>
          <w:p w:rsidR="00E71CB7" w:rsidRPr="000623BF" w:rsidRDefault="001655C7" w:rsidP="0052281E">
            <w:pPr>
              <w:spacing w:before="120" w:after="60" w:line="240" w:lineRule="auto"/>
              <w:rPr>
                <w:rFonts w:cs="Times New Roman"/>
                <w:sz w:val="20"/>
                <w:szCs w:val="20"/>
              </w:rPr>
            </w:pPr>
            <w:r w:rsidRPr="000623BF">
              <w:rPr>
                <w:rFonts w:cs="Times New Roman"/>
                <w:sz w:val="20"/>
                <w:szCs w:val="20"/>
              </w:rPr>
              <w:t>Vysoká škola báňská – Technická univerzita Ostrava (VŠB-TUO)</w:t>
            </w:r>
          </w:p>
        </w:tc>
      </w:tr>
      <w:tr w:rsidR="00E71CB7" w:rsidTr="00380CBE">
        <w:trPr>
          <w:trHeight w:val="277"/>
        </w:trPr>
        <w:tc>
          <w:tcPr>
            <w:tcW w:w="244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F74C5F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F74C5F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7160" w:type="dxa"/>
            <w:gridSpan w:val="4"/>
          </w:tcPr>
          <w:p w:rsidR="00E71CB7" w:rsidRPr="000623BF" w:rsidRDefault="001655C7" w:rsidP="0052281E">
            <w:pPr>
              <w:spacing w:before="120" w:after="60" w:line="240" w:lineRule="auto"/>
              <w:rPr>
                <w:rFonts w:cs="Times New Roman"/>
                <w:sz w:val="20"/>
                <w:szCs w:val="20"/>
              </w:rPr>
            </w:pPr>
            <w:r w:rsidRPr="000623BF">
              <w:rPr>
                <w:rFonts w:cs="Times New Roman"/>
                <w:sz w:val="20"/>
                <w:szCs w:val="20"/>
              </w:rPr>
              <w:t>CZ.1.05/1.1.00/02.0070</w:t>
            </w:r>
          </w:p>
        </w:tc>
      </w:tr>
      <w:tr w:rsidR="00F74C5F" w:rsidTr="00380CBE">
        <w:trPr>
          <w:trHeight w:val="277"/>
        </w:trPr>
        <w:tc>
          <w:tcPr>
            <w:tcW w:w="244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7160" w:type="dxa"/>
            <w:gridSpan w:val="4"/>
          </w:tcPr>
          <w:p w:rsidR="00F74C5F" w:rsidRPr="000623BF" w:rsidRDefault="00BB609B" w:rsidP="0052281E">
            <w:pPr>
              <w:spacing w:before="120" w:after="60" w:line="240" w:lineRule="auto"/>
              <w:rPr>
                <w:rFonts w:cs="Times New Roman"/>
                <w:sz w:val="20"/>
                <w:szCs w:val="20"/>
              </w:rPr>
            </w:pPr>
            <w:r w:rsidRPr="000623BF">
              <w:rPr>
                <w:rFonts w:cs="Times New Roman"/>
                <w:sz w:val="20"/>
                <w:szCs w:val="20"/>
              </w:rPr>
              <w:t>17. listopadu 2172/15, Ostrava 708 00</w:t>
            </w:r>
          </w:p>
        </w:tc>
      </w:tr>
      <w:tr w:rsidR="00F74C5F" w:rsidTr="00380CBE">
        <w:trPr>
          <w:trHeight w:val="277"/>
        </w:trPr>
        <w:tc>
          <w:tcPr>
            <w:tcW w:w="244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7160" w:type="dxa"/>
            <w:gridSpan w:val="4"/>
          </w:tcPr>
          <w:p w:rsidR="00F74C5F" w:rsidRPr="000623BF" w:rsidRDefault="00BB609B" w:rsidP="0052281E">
            <w:pPr>
              <w:spacing w:before="120" w:after="60" w:line="240" w:lineRule="auto"/>
              <w:rPr>
                <w:rFonts w:cs="Times New Roman"/>
                <w:sz w:val="20"/>
                <w:szCs w:val="20"/>
              </w:rPr>
            </w:pPr>
            <w:r w:rsidRPr="000623BF">
              <w:rPr>
                <w:rFonts w:cs="Times New Roman"/>
                <w:sz w:val="20"/>
                <w:szCs w:val="20"/>
              </w:rPr>
              <w:t xml:space="preserve">1.1 Evropská centra excelence </w:t>
            </w:r>
          </w:p>
        </w:tc>
      </w:tr>
      <w:tr w:rsidR="00F74C5F" w:rsidTr="00380CBE">
        <w:trPr>
          <w:trHeight w:val="277"/>
        </w:trPr>
        <w:tc>
          <w:tcPr>
            <w:tcW w:w="244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7160" w:type="dxa"/>
            <w:gridSpan w:val="4"/>
          </w:tcPr>
          <w:p w:rsidR="00F74C5F" w:rsidRPr="000623BF" w:rsidRDefault="0012530A" w:rsidP="0052281E">
            <w:pPr>
              <w:spacing w:before="120" w:after="60" w:line="240" w:lineRule="auto"/>
              <w:rPr>
                <w:rFonts w:cs="Times New Roman"/>
                <w:sz w:val="20"/>
                <w:szCs w:val="20"/>
              </w:rPr>
            </w:pPr>
            <w:r w:rsidRPr="000623BF">
              <w:rPr>
                <w:rFonts w:cs="Times New Roman"/>
                <w:sz w:val="20"/>
                <w:szCs w:val="20"/>
              </w:rPr>
              <w:t>30. 6. 2011</w:t>
            </w:r>
          </w:p>
        </w:tc>
      </w:tr>
      <w:tr w:rsidR="00F74C5F" w:rsidTr="00380CBE">
        <w:trPr>
          <w:trHeight w:val="623"/>
        </w:trPr>
        <w:tc>
          <w:tcPr>
            <w:tcW w:w="244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Období realizace projektu</w:t>
            </w:r>
          </w:p>
        </w:tc>
        <w:tc>
          <w:tcPr>
            <w:tcW w:w="3460" w:type="dxa"/>
            <w:gridSpan w:val="2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F74C5F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projektu:</w:t>
            </w:r>
            <w:r w:rsidR="00446052">
              <w:rPr>
                <w:sz w:val="18"/>
              </w:rPr>
              <w:t xml:space="preserve"> </w:t>
            </w:r>
            <w:r w:rsidR="0012530A">
              <w:rPr>
                <w:sz w:val="18"/>
              </w:rPr>
              <w:t>1. 7. 2011</w:t>
            </w:r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3700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BB609B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0F6EEF">
              <w:rPr>
                <w:sz w:val="18"/>
              </w:rPr>
              <w:t xml:space="preserve"> </w:t>
            </w:r>
            <w:r w:rsidR="0012530A">
              <w:rPr>
                <w:sz w:val="18"/>
              </w:rPr>
              <w:t>31. 12. 2015</w:t>
            </w:r>
          </w:p>
        </w:tc>
      </w:tr>
      <w:tr w:rsidR="00F74C5F" w:rsidTr="00380CBE">
        <w:trPr>
          <w:trHeight w:val="277"/>
        </w:trPr>
        <w:tc>
          <w:tcPr>
            <w:tcW w:w="244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460" w:type="dxa"/>
            <w:gridSpan w:val="2"/>
          </w:tcPr>
          <w:p w:rsidR="00526313" w:rsidRPr="00AA442B" w:rsidRDefault="00526313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Celková výše dotace v Kč:</w:t>
            </w:r>
            <w:r w:rsidR="00CB0663">
              <w:rPr>
                <w:sz w:val="18"/>
              </w:rPr>
              <w:t xml:space="preserve"> 1 819 490 241,- </w:t>
            </w:r>
          </w:p>
          <w:p w:rsidR="007A62D7" w:rsidRPr="00AA442B" w:rsidRDefault="007A62D7" w:rsidP="00285137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(částka z</w:t>
            </w:r>
            <w:r w:rsidR="00285137">
              <w:rPr>
                <w:sz w:val="18"/>
              </w:rPr>
              <w:t> </w:t>
            </w:r>
            <w:proofErr w:type="spellStart"/>
            <w:r w:rsidRPr="00AA442B">
              <w:rPr>
                <w:sz w:val="18"/>
              </w:rPr>
              <w:t>RoPD</w:t>
            </w:r>
            <w:proofErr w:type="spellEnd"/>
            <w:r w:rsidR="00285137">
              <w:rPr>
                <w:sz w:val="18"/>
              </w:rPr>
              <w:t xml:space="preserve"> bez snížení</w:t>
            </w:r>
            <w:r w:rsidRPr="00AA442B">
              <w:rPr>
                <w:sz w:val="18"/>
              </w:rPr>
              <w:t>):</w:t>
            </w:r>
            <w:r w:rsidR="00446052">
              <w:t xml:space="preserve"> </w:t>
            </w:r>
          </w:p>
        </w:tc>
        <w:tc>
          <w:tcPr>
            <w:tcW w:w="3700" w:type="dxa"/>
            <w:gridSpan w:val="2"/>
          </w:tcPr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ze státního rozpočtu v CZK (15 %):</w:t>
            </w:r>
            <w:r w:rsidR="00CB0663">
              <w:rPr>
                <w:sz w:val="18"/>
              </w:rPr>
              <w:t xml:space="preserve"> 272 923 536,15</w:t>
            </w:r>
          </w:p>
          <w:p w:rsidR="00F74C5F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 EU v  CZK  (85 %):</w:t>
            </w:r>
            <w:r w:rsidR="00CB0663">
              <w:rPr>
                <w:sz w:val="18"/>
              </w:rPr>
              <w:t xml:space="preserve"> 1 546 566 704,85</w:t>
            </w:r>
          </w:p>
          <w:p w:rsidR="00F34368" w:rsidRPr="00AA442B" w:rsidRDefault="00F34368" w:rsidP="00B81893">
            <w:pPr>
              <w:spacing w:before="60" w:after="60" w:line="240" w:lineRule="auto"/>
              <w:rPr>
                <w:sz w:val="18"/>
              </w:rPr>
            </w:pPr>
          </w:p>
        </w:tc>
      </w:tr>
      <w:tr w:rsidR="00F34368" w:rsidTr="00380CBE">
        <w:trPr>
          <w:trHeight w:val="277"/>
        </w:trPr>
        <w:tc>
          <w:tcPr>
            <w:tcW w:w="2446" w:type="dxa"/>
            <w:gridSpan w:val="2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7160" w:type="dxa"/>
            <w:gridSpan w:val="4"/>
          </w:tcPr>
          <w:p w:rsidR="00F34368" w:rsidRPr="00AA442B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Stavební část:</w:t>
            </w:r>
            <w:r w:rsidR="00C13A71">
              <w:rPr>
                <w:sz w:val="18"/>
              </w:rPr>
              <w:t xml:space="preserve"> </w:t>
            </w:r>
            <w:r w:rsidR="00CB0663">
              <w:rPr>
                <w:sz w:val="18"/>
              </w:rPr>
              <w:t xml:space="preserve"> 484 367 714,- </w:t>
            </w:r>
            <w:r w:rsidR="001A3A66" w:rsidRPr="001A3A66">
              <w:rPr>
                <w:sz w:val="18"/>
              </w:rPr>
              <w:t>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Přístrojové vybavení</w:t>
            </w:r>
            <w:r w:rsidR="0018459D" w:rsidRPr="00AA442B">
              <w:rPr>
                <w:sz w:val="18"/>
              </w:rPr>
              <w:t>:</w:t>
            </w:r>
            <w:r w:rsidR="00CB0663">
              <w:rPr>
                <w:sz w:val="18"/>
              </w:rPr>
              <w:t xml:space="preserve"> 704 634 075,-</w:t>
            </w:r>
            <w:r w:rsidR="001A3A66" w:rsidRPr="001A3A66">
              <w:rPr>
                <w:sz w:val="18"/>
              </w:rPr>
              <w:t xml:space="preserve">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Mzdové výdaje</w:t>
            </w:r>
            <w:r w:rsidR="0018459D" w:rsidRPr="00AA442B">
              <w:rPr>
                <w:sz w:val="18"/>
              </w:rPr>
              <w:t>:</w:t>
            </w:r>
            <w:r w:rsidR="00B568DC">
              <w:rPr>
                <w:sz w:val="18"/>
              </w:rPr>
              <w:t xml:space="preserve"> </w:t>
            </w:r>
            <w:r w:rsidR="00CB0663">
              <w:rPr>
                <w:sz w:val="18"/>
              </w:rPr>
              <w:t xml:space="preserve">297 760 443,- </w:t>
            </w:r>
            <w:r w:rsidR="001A3A66" w:rsidRPr="001A3A66">
              <w:rPr>
                <w:sz w:val="18"/>
              </w:rPr>
              <w:t>Kč</w:t>
            </w:r>
          </w:p>
          <w:p w:rsidR="00F34368" w:rsidRDefault="00F34368" w:rsidP="00BB3902">
            <w:pPr>
              <w:spacing w:before="60" w:after="60" w:line="240" w:lineRule="auto"/>
              <w:rPr>
                <w:sz w:val="16"/>
              </w:rPr>
            </w:pPr>
            <w:r w:rsidRPr="00AA442B">
              <w:rPr>
                <w:sz w:val="18"/>
              </w:rPr>
              <w:t>Ostatní</w:t>
            </w:r>
            <w:r w:rsidR="0018459D" w:rsidRPr="00AA442B">
              <w:rPr>
                <w:sz w:val="18"/>
              </w:rPr>
              <w:t>:</w:t>
            </w:r>
            <w:r w:rsidR="00B568DC">
              <w:rPr>
                <w:sz w:val="18"/>
              </w:rPr>
              <w:t xml:space="preserve"> </w:t>
            </w:r>
            <w:r w:rsidR="00CB0663">
              <w:rPr>
                <w:sz w:val="18"/>
              </w:rPr>
              <w:t xml:space="preserve">332 728 009,-  </w:t>
            </w:r>
            <w:r w:rsidR="00B81893" w:rsidRPr="00B81893">
              <w:rPr>
                <w:sz w:val="18"/>
              </w:rPr>
              <w:t>Kč</w:t>
            </w:r>
          </w:p>
        </w:tc>
      </w:tr>
      <w:tr w:rsidR="008353DD" w:rsidTr="00380CBE">
        <w:trPr>
          <w:trHeight w:val="1116"/>
        </w:trPr>
        <w:tc>
          <w:tcPr>
            <w:tcW w:w="2446" w:type="dxa"/>
            <w:gridSpan w:val="2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7160" w:type="dxa"/>
            <w:gridSpan w:val="4"/>
          </w:tcPr>
          <w:p w:rsidR="000623BF" w:rsidRPr="000623BF" w:rsidRDefault="000623BF" w:rsidP="000623BF">
            <w:pPr>
              <w:spacing w:before="60" w:after="60" w:line="240" w:lineRule="auto"/>
              <w:rPr>
                <w:sz w:val="16"/>
              </w:rPr>
            </w:pPr>
            <w:r w:rsidRPr="000623BF">
              <w:rPr>
                <w:sz w:val="16"/>
              </w:rPr>
              <w:t xml:space="preserve">Globálním cílem projektu je vybudovat v České republice národní centrum excelentního výzkumu v oblasti informačních technologií. Globální cíl projektu je dále rozčleněn do 3 specifických cílů: </w:t>
            </w:r>
          </w:p>
          <w:p w:rsidR="000623BF" w:rsidRPr="000623BF" w:rsidRDefault="000623BF" w:rsidP="000623BF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- </w:t>
            </w:r>
            <w:r w:rsidRPr="000623BF">
              <w:rPr>
                <w:sz w:val="16"/>
              </w:rPr>
              <w:t>vytvořit výzkumné prostředí, které umožní realizovat výzkum v předmětné oblasti produkující mezinárodně uznávané výsledky</w:t>
            </w:r>
          </w:p>
          <w:p w:rsidR="000623BF" w:rsidRPr="000623BF" w:rsidRDefault="000623BF" w:rsidP="000623BF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- </w:t>
            </w:r>
            <w:r w:rsidRPr="000623BF">
              <w:rPr>
                <w:sz w:val="16"/>
              </w:rPr>
              <w:t>vytvořit inovativní výzkumné prostředí, které umožní realizovat výzkum v předmětné oblasti, na němž má zájem participovat či o jehož výsledky má velký zájem aplikační sféra</w:t>
            </w:r>
          </w:p>
          <w:p w:rsidR="008353DD" w:rsidRDefault="000623BF" w:rsidP="000623BF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- </w:t>
            </w:r>
            <w:r w:rsidRPr="000623BF">
              <w:rPr>
                <w:sz w:val="16"/>
              </w:rPr>
              <w:t>vybudovat v České republice kompetenční centrum v oblasti řešení výpočetně náročných úloh, tzv. superpočítačové centrum</w:t>
            </w:r>
          </w:p>
        </w:tc>
      </w:tr>
      <w:tr w:rsidR="00526313" w:rsidTr="00380CBE">
        <w:trPr>
          <w:trHeight w:val="277"/>
        </w:trPr>
        <w:tc>
          <w:tcPr>
            <w:tcW w:w="2446" w:type="dxa"/>
            <w:gridSpan w:val="2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3460" w:type="dxa"/>
            <w:gridSpan w:val="2"/>
          </w:tcPr>
          <w:p w:rsidR="00651B0F" w:rsidRDefault="00651B0F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Ostrava – Stavba I (budova Superpočítačového centra)</w:t>
            </w:r>
          </w:p>
          <w:p w:rsidR="00526313" w:rsidRDefault="00526313" w:rsidP="00F34368">
            <w:pPr>
              <w:spacing w:before="60" w:after="60" w:line="240" w:lineRule="auto"/>
              <w:rPr>
                <w:sz w:val="18"/>
              </w:rPr>
            </w:pPr>
            <w:r w:rsidRPr="00E20092">
              <w:rPr>
                <w:sz w:val="18"/>
              </w:rPr>
              <w:t>Datum</w:t>
            </w:r>
            <w:r w:rsidR="00651B0F">
              <w:rPr>
                <w:sz w:val="18"/>
              </w:rPr>
              <w:t xml:space="preserve"> zahájení: </w:t>
            </w:r>
            <w:r w:rsidR="0012530A">
              <w:rPr>
                <w:sz w:val="18"/>
              </w:rPr>
              <w:t>27. 11. 2012</w:t>
            </w:r>
          </w:p>
          <w:p w:rsidR="00651B0F" w:rsidRDefault="00651B0F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Datum ukončení: </w:t>
            </w:r>
            <w:r w:rsidR="0012530A">
              <w:rPr>
                <w:sz w:val="18"/>
              </w:rPr>
              <w:t>26. 8. 2014</w:t>
            </w:r>
            <w:r w:rsidR="006A3EE8">
              <w:rPr>
                <w:sz w:val="18"/>
              </w:rPr>
              <w:t xml:space="preserve"> (slavnostní otevření</w:t>
            </w:r>
            <w:r w:rsidR="00CD56E8">
              <w:rPr>
                <w:sz w:val="18"/>
              </w:rPr>
              <w:t>)</w:t>
            </w:r>
          </w:p>
          <w:p w:rsidR="00CD56E8" w:rsidRDefault="00CD56E8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Ostrava - Stavba II (SCC IT4I Infrastruktura pro Velký cluster)</w:t>
            </w:r>
          </w:p>
          <w:p w:rsidR="00CD56E8" w:rsidRDefault="00CD56E8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Datum zahájení: </w:t>
            </w:r>
            <w:r w:rsidR="0012530A">
              <w:rPr>
                <w:sz w:val="18"/>
              </w:rPr>
              <w:t>13. 8. 2014</w:t>
            </w:r>
          </w:p>
          <w:p w:rsidR="00CD56E8" w:rsidRDefault="00CD56E8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Datum ukončení: stavba probíhá, plán </w:t>
            </w:r>
            <w:r w:rsidR="0012530A">
              <w:rPr>
                <w:sz w:val="18"/>
              </w:rPr>
              <w:t>1. 6. 2015</w:t>
            </w:r>
          </w:p>
          <w:p w:rsidR="00CD56E8" w:rsidRDefault="00CD56E8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Ostrava </w:t>
            </w:r>
            <w:r w:rsidR="00237CA7">
              <w:rPr>
                <w:sz w:val="18"/>
              </w:rPr>
              <w:t>–</w:t>
            </w:r>
            <w:r>
              <w:rPr>
                <w:sz w:val="18"/>
              </w:rPr>
              <w:t xml:space="preserve"> Stavba</w:t>
            </w:r>
            <w:r w:rsidR="00237CA7">
              <w:rPr>
                <w:sz w:val="18"/>
              </w:rPr>
              <w:t xml:space="preserve"> III (datová přípojka)</w:t>
            </w:r>
          </w:p>
          <w:p w:rsidR="00237CA7" w:rsidRDefault="00237CA7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Datum zahájení: </w:t>
            </w:r>
            <w:r w:rsidR="0012530A">
              <w:rPr>
                <w:sz w:val="18"/>
              </w:rPr>
              <w:t>20. 3. 2014</w:t>
            </w:r>
          </w:p>
          <w:p w:rsidR="00237CA7" w:rsidRDefault="00237CA7" w:rsidP="00237CA7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Datum ukončení: </w:t>
            </w:r>
            <w:r w:rsidR="0012530A">
              <w:rPr>
                <w:sz w:val="18"/>
              </w:rPr>
              <w:t>25. 7. 2014</w:t>
            </w:r>
            <w:r>
              <w:rPr>
                <w:sz w:val="18"/>
              </w:rPr>
              <w:t xml:space="preserve"> (kolaudační souhlas)</w:t>
            </w:r>
          </w:p>
          <w:p w:rsidR="00237CA7" w:rsidRDefault="006A3EE8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Brno: rekonstrukce spojená s výstavbou Výzkumné centrum informačních technologií</w:t>
            </w:r>
          </w:p>
          <w:p w:rsidR="006A3EE8" w:rsidRDefault="006A3EE8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Datum zahájení: </w:t>
            </w:r>
            <w:r w:rsidR="0012530A">
              <w:rPr>
                <w:sz w:val="18"/>
              </w:rPr>
              <w:t>6. 12. 2011</w:t>
            </w:r>
          </w:p>
          <w:p w:rsidR="006A3EE8" w:rsidRDefault="006A3EE8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Datum ukončení: </w:t>
            </w:r>
            <w:r w:rsidR="0012530A">
              <w:rPr>
                <w:sz w:val="18"/>
              </w:rPr>
              <w:t>6. 12. 2013</w:t>
            </w:r>
            <w:r w:rsidR="00E747CC">
              <w:rPr>
                <w:sz w:val="18"/>
              </w:rPr>
              <w:t xml:space="preserve"> (kolaudační </w:t>
            </w:r>
            <w:r w:rsidR="00E747CC">
              <w:rPr>
                <w:sz w:val="18"/>
              </w:rPr>
              <w:lastRenderedPageBreak/>
              <w:t>souhlas)</w:t>
            </w:r>
          </w:p>
          <w:p w:rsidR="008334DE" w:rsidRPr="00E20092" w:rsidRDefault="008334DE" w:rsidP="00F34368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3700" w:type="dxa"/>
            <w:gridSpan w:val="2"/>
          </w:tcPr>
          <w:p w:rsidR="00526313" w:rsidRDefault="00002DBE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lastRenderedPageBreak/>
              <w:t>Generální dodavatel:</w:t>
            </w:r>
            <w:r w:rsidR="00CD56E8">
              <w:rPr>
                <w:sz w:val="18"/>
              </w:rPr>
              <w:t xml:space="preserve"> IMOS Brno a.s.</w:t>
            </w:r>
          </w:p>
          <w:p w:rsidR="008334DE" w:rsidRDefault="008334DE" w:rsidP="00F34368">
            <w:pPr>
              <w:spacing w:before="60" w:after="60" w:line="240" w:lineRule="auto"/>
              <w:rPr>
                <w:sz w:val="18"/>
              </w:rPr>
            </w:pPr>
          </w:p>
          <w:p w:rsidR="00CD56E8" w:rsidRDefault="00CD56E8" w:rsidP="00F34368">
            <w:pPr>
              <w:spacing w:before="60" w:after="60" w:line="240" w:lineRule="auto"/>
              <w:rPr>
                <w:sz w:val="18"/>
              </w:rPr>
            </w:pPr>
          </w:p>
          <w:p w:rsidR="00CD56E8" w:rsidRDefault="00CD56E8" w:rsidP="00F34368">
            <w:pPr>
              <w:spacing w:before="60" w:after="60" w:line="240" w:lineRule="auto"/>
              <w:rPr>
                <w:sz w:val="18"/>
              </w:rPr>
            </w:pPr>
          </w:p>
          <w:p w:rsidR="00CD56E8" w:rsidRDefault="00CD56E8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Generální dodavatel: </w:t>
            </w:r>
            <w:r w:rsidR="00237CA7">
              <w:rPr>
                <w:sz w:val="18"/>
              </w:rPr>
              <w:t>PRONIX s.r.o.</w:t>
            </w:r>
          </w:p>
          <w:p w:rsidR="00CD56E8" w:rsidRDefault="00CD56E8" w:rsidP="00F34368">
            <w:pPr>
              <w:spacing w:before="60" w:after="60" w:line="240" w:lineRule="auto"/>
              <w:rPr>
                <w:sz w:val="18"/>
              </w:rPr>
            </w:pPr>
          </w:p>
          <w:p w:rsidR="00237CA7" w:rsidRDefault="00237CA7" w:rsidP="00F34368">
            <w:pPr>
              <w:spacing w:before="60" w:after="60" w:line="240" w:lineRule="auto"/>
              <w:rPr>
                <w:sz w:val="18"/>
              </w:rPr>
            </w:pPr>
          </w:p>
          <w:p w:rsidR="00237CA7" w:rsidRDefault="00237CA7" w:rsidP="00F34368">
            <w:pPr>
              <w:spacing w:before="60" w:after="60" w:line="240" w:lineRule="auto"/>
              <w:rPr>
                <w:sz w:val="18"/>
              </w:rPr>
            </w:pPr>
          </w:p>
          <w:p w:rsidR="00237CA7" w:rsidRDefault="00237CA7" w:rsidP="00F34368">
            <w:pPr>
              <w:spacing w:before="60" w:after="60" w:line="240" w:lineRule="auto"/>
              <w:rPr>
                <w:sz w:val="18"/>
              </w:rPr>
            </w:pPr>
          </w:p>
          <w:p w:rsidR="00237CA7" w:rsidRDefault="00237CA7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Generální dodavatel: SITEL, spol. s.r.o.</w:t>
            </w:r>
          </w:p>
          <w:p w:rsidR="00237CA7" w:rsidRDefault="00237CA7" w:rsidP="00F34368">
            <w:pPr>
              <w:spacing w:before="60" w:after="60" w:line="240" w:lineRule="auto"/>
              <w:rPr>
                <w:sz w:val="18"/>
              </w:rPr>
            </w:pPr>
          </w:p>
          <w:p w:rsidR="00237CA7" w:rsidRDefault="00237CA7" w:rsidP="00F34368">
            <w:pPr>
              <w:spacing w:before="60" w:after="60" w:line="240" w:lineRule="auto"/>
              <w:rPr>
                <w:sz w:val="18"/>
              </w:rPr>
            </w:pPr>
          </w:p>
          <w:p w:rsidR="006A3EE8" w:rsidRDefault="006A3EE8" w:rsidP="00F34368">
            <w:pPr>
              <w:spacing w:before="60" w:after="60" w:line="240" w:lineRule="auto"/>
              <w:rPr>
                <w:sz w:val="18"/>
              </w:rPr>
            </w:pPr>
          </w:p>
          <w:p w:rsidR="006A3EE8" w:rsidRDefault="00F46FEF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Generální dodavatel: IMOS Brno</w:t>
            </w:r>
            <w:r w:rsidR="006A3EE8">
              <w:rPr>
                <w:sz w:val="18"/>
              </w:rPr>
              <w:t xml:space="preserve"> a.s.</w:t>
            </w:r>
          </w:p>
          <w:p w:rsidR="006A3EE8" w:rsidRDefault="006A3EE8" w:rsidP="00F34368">
            <w:pPr>
              <w:spacing w:before="60" w:after="60" w:line="240" w:lineRule="auto"/>
              <w:rPr>
                <w:sz w:val="18"/>
              </w:rPr>
            </w:pPr>
          </w:p>
          <w:p w:rsidR="006A3EE8" w:rsidRPr="00E20092" w:rsidRDefault="006A3EE8" w:rsidP="00F34368">
            <w:pPr>
              <w:spacing w:before="60" w:after="60" w:line="240" w:lineRule="auto"/>
              <w:rPr>
                <w:sz w:val="18"/>
              </w:rPr>
            </w:pPr>
          </w:p>
        </w:tc>
      </w:tr>
      <w:tr w:rsidR="008353DD" w:rsidTr="00380CBE">
        <w:trPr>
          <w:trHeight w:val="1290"/>
        </w:trPr>
        <w:tc>
          <w:tcPr>
            <w:tcW w:w="2446" w:type="dxa"/>
            <w:gridSpan w:val="2"/>
          </w:tcPr>
          <w:p w:rsidR="008353DD" w:rsidRDefault="00737A93" w:rsidP="00FD3750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>(popis hlavních dosažených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7160" w:type="dxa"/>
            <w:gridSpan w:val="4"/>
          </w:tcPr>
          <w:p w:rsidR="000C5836" w:rsidRPr="00903378" w:rsidRDefault="000C5836" w:rsidP="000C5836">
            <w:pPr>
              <w:pStyle w:val="Odstavecseseznamem"/>
              <w:spacing w:line="240" w:lineRule="auto"/>
              <w:ind w:left="0"/>
              <w:rPr>
                <w:rFonts w:ascii="Times New Roman" w:hAnsi="Times New Roman"/>
                <w:b/>
              </w:rPr>
            </w:pPr>
            <w:r w:rsidRPr="00903378">
              <w:rPr>
                <w:rFonts w:ascii="Times New Roman" w:hAnsi="Times New Roman"/>
                <w:b/>
              </w:rPr>
              <w:t>Milníky a očekávané výstupy:</w:t>
            </w:r>
          </w:p>
          <w:p w:rsidR="000C5836" w:rsidRDefault="000C5836" w:rsidP="000C5836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</w:pPr>
            <w:r>
              <w:t xml:space="preserve">nejpozději 3 měsíce po vydání Rozhodnutí – ustavení řídících struktur Centra excelence IT4Innovations   </w:t>
            </w:r>
          </w:p>
          <w:p w:rsidR="000C5836" w:rsidRDefault="000C5836" w:rsidP="000C5836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</w:pPr>
            <w:r>
              <w:t>nejpozději 3 měsíce po vydání Rozhodnutí – schválení Kariérního řádu a zavedení Kompetenčního modelu CEIT4I</w:t>
            </w:r>
          </w:p>
          <w:p w:rsidR="000C5836" w:rsidRDefault="000C5836" w:rsidP="000C5836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</w:pPr>
            <w:r>
              <w:t xml:space="preserve">III/2011 – zahájení výzkumných  programů 6 – 8 </w:t>
            </w:r>
          </w:p>
          <w:p w:rsidR="000C5836" w:rsidRDefault="000C5836" w:rsidP="000C5836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</w:pPr>
            <w:r>
              <w:t>IV/2011 - schválení 1. plánu činnosti CE IT4Innovations</w:t>
            </w:r>
          </w:p>
          <w:p w:rsidR="000C5836" w:rsidRDefault="000C5836" w:rsidP="000C5836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</w:pPr>
            <w:r>
              <w:t xml:space="preserve">III/2011 – zahájení výzkumných programů č. 1 – 5  </w:t>
            </w:r>
          </w:p>
          <w:p w:rsidR="000C5836" w:rsidRDefault="000C5836" w:rsidP="000C5836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</w:pPr>
            <w:r>
              <w:t>II/2012 – instalace a zprovoznění přístrojů a zařízení souvisejících s výzkumným programem 4</w:t>
            </w:r>
          </w:p>
          <w:p w:rsidR="000C5836" w:rsidRDefault="000C5836" w:rsidP="000C5836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</w:pPr>
            <w:r>
              <w:t xml:space="preserve">III/2012- obsazení všech klíčových pozic v CE IT4I, včetně pozice ředitele CE IT4I </w:t>
            </w:r>
          </w:p>
          <w:p w:rsidR="000C5836" w:rsidRDefault="000C5836" w:rsidP="000C5836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</w:pPr>
            <w:r>
              <w:t>IV/2012 – první výzkumné výsledky v podobě publikace odborných článků</w:t>
            </w:r>
          </w:p>
          <w:p w:rsidR="000C5836" w:rsidRDefault="000C5836" w:rsidP="000C5836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</w:pPr>
            <w:r>
              <w:t xml:space="preserve">II/2013 – ukončení 1. výzvy k podávání žádostí o přidělení výpočetního času  </w:t>
            </w:r>
          </w:p>
          <w:p w:rsidR="000C5836" w:rsidRDefault="000C5836" w:rsidP="000C5836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</w:pPr>
            <w:r>
              <w:t>II/2013 – zahájení využívání superpočítače (část: malý cluster a související zařízení) externími subjekty na základě výsledků 1. výzvy</w:t>
            </w:r>
          </w:p>
          <w:p w:rsidR="000C5836" w:rsidRDefault="000C5836" w:rsidP="000C5836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</w:pPr>
            <w:r>
              <w:t xml:space="preserve">IV/2013-  ukončení výstavby Výzkumného centra informačních technologií při VUT </w:t>
            </w:r>
          </w:p>
          <w:p w:rsidR="000C5836" w:rsidRDefault="000C5836" w:rsidP="000C5836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</w:pPr>
            <w:r>
              <w:t xml:space="preserve">I/2014 – registrace prvních patentů  </w:t>
            </w:r>
          </w:p>
          <w:p w:rsidR="000C5836" w:rsidRPr="005F3467" w:rsidRDefault="000C5836" w:rsidP="000C5836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</w:pPr>
            <w:r>
              <w:t xml:space="preserve">IV/2014 – instalace a zprovoznění dalších strojů a zařízení souvisejících s výzkumným programem 4 a 6 </w:t>
            </w:r>
            <w:r w:rsidRPr="005F3467">
              <w:t xml:space="preserve"> </w:t>
            </w:r>
          </w:p>
          <w:p w:rsidR="000C5836" w:rsidRDefault="000C5836" w:rsidP="000C5836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</w:pPr>
            <w:r>
              <w:t>II/2014 - vyhodnocení výzkumných programů mezinárodní peer-</w:t>
            </w:r>
            <w:proofErr w:type="spellStart"/>
            <w:r>
              <w:t>review</w:t>
            </w:r>
            <w:proofErr w:type="spellEnd"/>
            <w:r>
              <w:t xml:space="preserve"> komisí  </w:t>
            </w:r>
          </w:p>
          <w:p w:rsidR="000C5836" w:rsidRDefault="000C5836" w:rsidP="000C5836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</w:pPr>
            <w:r>
              <w:t>IV/2014 – instalace a zprovoznění hlavní části superpočítačové technologie (část: velký cluster a související zařízení)</w:t>
            </w:r>
          </w:p>
          <w:p w:rsidR="000C5836" w:rsidRPr="00A7415C" w:rsidRDefault="000C5836" w:rsidP="000C5836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</w:pPr>
            <w:r>
              <w:t>I/2015 - ukončení výstavby Superpočítačového centra IT4I (VŠB-TUO)</w:t>
            </w:r>
          </w:p>
          <w:p w:rsidR="000C5836" w:rsidRDefault="000C5836" w:rsidP="000C5836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</w:pPr>
            <w:r>
              <w:t>IV/2015 – podání žádosti o registraci prvního mezinárodního patentu, který bude zaregistrován pravděpodobně v roce 2016</w:t>
            </w:r>
          </w:p>
          <w:p w:rsidR="000C5836" w:rsidRDefault="000C5836" w:rsidP="000C5836">
            <w:pPr>
              <w:numPr>
                <w:ilvl w:val="0"/>
                <w:numId w:val="25"/>
              </w:numPr>
              <w:spacing w:after="0" w:line="240" w:lineRule="auto"/>
              <w:ind w:left="714" w:hanging="357"/>
            </w:pPr>
            <w:r>
              <w:t xml:space="preserve">IV/2015 - ustavení </w:t>
            </w:r>
            <w:r>
              <w:rPr>
                <w:lang w:val="en-GB"/>
              </w:rPr>
              <w:t>Graduate School for Computational Science</w:t>
            </w:r>
          </w:p>
          <w:p w:rsidR="000C5836" w:rsidRPr="00E91C8F" w:rsidRDefault="000C5836" w:rsidP="000C5836">
            <w:pPr>
              <w:pStyle w:val="Odstavecseseznamem"/>
              <w:ind w:left="0"/>
              <w:rPr>
                <w:rFonts w:ascii="Times New Roman" w:hAnsi="Times New Roman"/>
              </w:rPr>
            </w:pPr>
          </w:p>
          <w:tbl>
            <w:tblPr>
              <w:tblW w:w="6815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637"/>
              <w:gridCol w:w="4042"/>
              <w:gridCol w:w="833"/>
              <w:gridCol w:w="1303"/>
            </w:tblGrid>
            <w:tr w:rsidR="000C5836" w:rsidRPr="00B2004E" w:rsidTr="00B2004E">
              <w:trPr>
                <w:trHeight w:val="1275"/>
              </w:trPr>
              <w:tc>
                <w:tcPr>
                  <w:tcW w:w="46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rPr>
                      <w:b/>
                      <w:bCs/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b/>
                      <w:bCs/>
                      <w:sz w:val="16"/>
                      <w:szCs w:val="20"/>
                      <w:lang w:eastAsia="cs-CZ"/>
                    </w:rPr>
                    <w:t>Závazné hodnoty monitorovacích indikátorů:</w:t>
                  </w:r>
                </w:p>
              </w:tc>
              <w:tc>
                <w:tcPr>
                  <w:tcW w:w="8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836" w:rsidRPr="00B2004E" w:rsidRDefault="000C5836" w:rsidP="00B766E2">
                  <w:pPr>
                    <w:spacing w:after="0" w:line="240" w:lineRule="auto"/>
                    <w:jc w:val="center"/>
                    <w:rPr>
                      <w:b/>
                      <w:bCs/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b/>
                      <w:bCs/>
                      <w:sz w:val="16"/>
                      <w:szCs w:val="20"/>
                      <w:lang w:eastAsia="cs-CZ"/>
                    </w:rPr>
                    <w:t>K datu ukončení realizace projektu</w:t>
                  </w: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836" w:rsidRPr="00B2004E" w:rsidRDefault="0012530A" w:rsidP="00B766E2">
                  <w:pPr>
                    <w:spacing w:after="0" w:line="240" w:lineRule="auto"/>
                    <w:jc w:val="center"/>
                    <w:rPr>
                      <w:b/>
                      <w:bCs/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b/>
                      <w:bCs/>
                      <w:sz w:val="16"/>
                      <w:szCs w:val="20"/>
                      <w:lang w:eastAsia="cs-CZ"/>
                    </w:rPr>
                    <w:t>31. 12. 2015</w:t>
                  </w:r>
                </w:p>
              </w:tc>
            </w:tr>
            <w:tr w:rsidR="000C5836" w:rsidRPr="00B2004E" w:rsidTr="00B2004E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110502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987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987</w:t>
                  </w:r>
                </w:p>
              </w:tc>
            </w:tr>
            <w:tr w:rsidR="000C5836" w:rsidRPr="00B2004E" w:rsidTr="00B2004E">
              <w:trPr>
                <w:trHeight w:val="510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110503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</w:t>
                  </w:r>
                </w:p>
              </w:tc>
            </w:tr>
            <w:tr w:rsidR="000C5836" w:rsidRPr="00B2004E" w:rsidTr="00B2004E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110504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Aplikované výsledky výzkumu (dle metodiky RVV)</w:t>
                  </w: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121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121</w:t>
                  </w:r>
                </w:p>
              </w:tc>
            </w:tr>
            <w:tr w:rsidR="000C5836" w:rsidRPr="00B2004E" w:rsidTr="00B2004E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111200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Objem smluvního výzkumu (tis. Kč)</w:t>
                  </w: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74 910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74 910</w:t>
                  </w:r>
                </w:p>
              </w:tc>
            </w:tr>
            <w:tr w:rsidR="000C5836" w:rsidRPr="00B2004E" w:rsidTr="00B2004E">
              <w:trPr>
                <w:trHeight w:val="255"/>
              </w:trPr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111300</w:t>
                  </w:r>
                </w:p>
              </w:tc>
              <w:tc>
                <w:tcPr>
                  <w:tcW w:w="40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 xml:space="preserve">Objem prostředků na </w:t>
                  </w:r>
                  <w:proofErr w:type="spellStart"/>
                  <w:r w:rsidRPr="00B2004E">
                    <w:rPr>
                      <w:sz w:val="16"/>
                      <w:szCs w:val="20"/>
                      <w:lang w:eastAsia="cs-CZ"/>
                    </w:rPr>
                    <w:t>VaV</w:t>
                  </w:r>
                  <w:proofErr w:type="spellEnd"/>
                  <w:r w:rsidRPr="00B2004E">
                    <w:rPr>
                      <w:sz w:val="16"/>
                      <w:szCs w:val="20"/>
                      <w:lang w:eastAsia="cs-CZ"/>
                    </w:rPr>
                    <w:t xml:space="preserve"> získaný ze zahraničních zdrojů</w:t>
                  </w:r>
                </w:p>
              </w:tc>
              <w:tc>
                <w:tcPr>
                  <w:tcW w:w="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81 300</w:t>
                  </w: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81 300</w:t>
                  </w:r>
                </w:p>
              </w:tc>
            </w:tr>
            <w:tr w:rsidR="000C5836" w:rsidRPr="00B2004E" w:rsidTr="00B2004E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074902</w:t>
                  </w:r>
                </w:p>
              </w:tc>
              <w:tc>
                <w:tcPr>
                  <w:tcW w:w="40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Počet úspěšných absolventů doktorských studijních programů</w:t>
                  </w: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22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22</w:t>
                  </w:r>
                </w:p>
              </w:tc>
            </w:tr>
            <w:tr w:rsidR="000C5836" w:rsidRPr="00B2004E" w:rsidTr="00B2004E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lastRenderedPageBreak/>
                    <w:t>110710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C5836" w:rsidRPr="00B2004E" w:rsidRDefault="000C5836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</w:rPr>
                    <w:t xml:space="preserve">Počet projektů spolupráce aplikační sféry s centry excelence </w:t>
                  </w: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-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28</w:t>
                  </w:r>
                </w:p>
              </w:tc>
            </w:tr>
            <w:tr w:rsidR="000C5836" w:rsidRPr="00B2004E" w:rsidTr="00B2004E">
              <w:trPr>
                <w:trHeight w:val="510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110820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Počet studentů magisterských a doktorských studijních programů využívajících vybudovanou infrastrukturu</w:t>
                  </w: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-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406</w:t>
                  </w:r>
                </w:p>
              </w:tc>
            </w:tr>
            <w:tr w:rsidR="000C5836" w:rsidRPr="00B2004E" w:rsidTr="00B2004E">
              <w:trPr>
                <w:trHeight w:val="510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110810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Počet výzkumných pracovníků využívajících vybudovanou infrastrukturu</w:t>
                  </w: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-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308</w:t>
                  </w:r>
                </w:p>
              </w:tc>
            </w:tr>
            <w:tr w:rsidR="000C5836" w:rsidRPr="00B2004E" w:rsidTr="00B2004E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110830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Podíl kapacit nových infrastruktur využívaných jinými subjekty</w:t>
                  </w: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-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30 %</w:t>
                  </w:r>
                </w:p>
              </w:tc>
            </w:tr>
            <w:tr w:rsidR="000C5836" w:rsidRPr="00B2004E" w:rsidTr="00B2004E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110300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 xml:space="preserve">Počet nově vytvořených pracovních míst, zaměstnanci </w:t>
                  </w:r>
                  <w:proofErr w:type="spellStart"/>
                  <w:r w:rsidRPr="00B2004E">
                    <w:rPr>
                      <w:sz w:val="16"/>
                      <w:szCs w:val="20"/>
                      <w:lang w:eastAsia="cs-CZ"/>
                    </w:rPr>
                    <w:t>VaV</w:t>
                  </w:r>
                  <w:proofErr w:type="spellEnd"/>
                  <w:r w:rsidRPr="00B2004E">
                    <w:rPr>
                      <w:sz w:val="16"/>
                      <w:szCs w:val="20"/>
                      <w:lang w:eastAsia="cs-CZ"/>
                    </w:rPr>
                    <w:t xml:space="preserve"> - celkem  </w:t>
                  </w: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200,3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200,3</w:t>
                  </w:r>
                </w:p>
              </w:tc>
            </w:tr>
            <w:tr w:rsidR="000C5836" w:rsidRPr="00B2004E" w:rsidTr="00B2004E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071700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148,5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148,5</w:t>
                  </w:r>
                </w:p>
              </w:tc>
            </w:tr>
            <w:tr w:rsidR="000C5836" w:rsidRPr="00B2004E" w:rsidTr="00B2004E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071900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70,8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70,8</w:t>
                  </w:r>
                </w:p>
              </w:tc>
            </w:tr>
            <w:tr w:rsidR="000C5836" w:rsidRPr="00B2004E" w:rsidTr="00B2004E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110516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Rozšířené nebo zrekonstruované kapacity</w:t>
                  </w: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550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-</w:t>
                  </w:r>
                </w:p>
              </w:tc>
            </w:tr>
            <w:tr w:rsidR="000C5836" w:rsidRPr="00B2004E" w:rsidTr="00B2004E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110517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Vybudované kapacity</w:t>
                  </w:r>
                </w:p>
              </w:tc>
              <w:tc>
                <w:tcPr>
                  <w:tcW w:w="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11 280</w:t>
                  </w:r>
                </w:p>
              </w:tc>
              <w:tc>
                <w:tcPr>
                  <w:tcW w:w="1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C5836" w:rsidRPr="00B2004E" w:rsidRDefault="000C583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-</w:t>
                  </w:r>
                </w:p>
              </w:tc>
            </w:tr>
          </w:tbl>
          <w:p w:rsidR="000C5836" w:rsidRDefault="000C5836" w:rsidP="000C5836">
            <w:pPr>
              <w:pStyle w:val="Odstavecseseznamem"/>
              <w:ind w:left="-360" w:right="-776"/>
              <w:rPr>
                <w:rFonts w:ascii="Times New Roman" w:hAnsi="Times New Roman"/>
                <w:b/>
                <w:sz w:val="20"/>
                <w:szCs w:val="20"/>
              </w:rPr>
            </w:pPr>
            <w:r w:rsidRPr="00E91C8F">
              <w:rPr>
                <w:rFonts w:ascii="Times New Roman" w:hAnsi="Times New Roman"/>
                <w:b/>
                <w:sz w:val="20"/>
                <w:szCs w:val="20"/>
              </w:rPr>
              <w:t xml:space="preserve">            </w:t>
            </w:r>
          </w:p>
          <w:p w:rsidR="000C5836" w:rsidRPr="002161D9" w:rsidRDefault="000C5836" w:rsidP="000C5836">
            <w:pPr>
              <w:pStyle w:val="Odstavecseseznamem"/>
              <w:ind w:left="-360" w:right="-776" w:firstLine="360"/>
              <w:rPr>
                <w:rFonts w:ascii="Times New Roman" w:hAnsi="Times New Roman"/>
                <w:sz w:val="20"/>
                <w:szCs w:val="20"/>
              </w:rPr>
            </w:pPr>
            <w:r w:rsidRPr="002161D9">
              <w:rPr>
                <w:rFonts w:ascii="Times New Roman" w:hAnsi="Times New Roman"/>
                <w:b/>
                <w:sz w:val="20"/>
                <w:szCs w:val="20"/>
              </w:rPr>
              <w:t>Pro zajištění udržitelnosti musí být:</w:t>
            </w:r>
          </w:p>
          <w:p w:rsidR="000C5836" w:rsidRPr="002161D9" w:rsidRDefault="000C5836" w:rsidP="000C5836">
            <w:pPr>
              <w:pStyle w:val="Odstavecseseznamem"/>
              <w:numPr>
                <w:ilvl w:val="0"/>
                <w:numId w:val="24"/>
              </w:num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2161D9">
              <w:rPr>
                <w:rFonts w:ascii="Times New Roman" w:hAnsi="Times New Roman"/>
                <w:b/>
                <w:sz w:val="20"/>
                <w:szCs w:val="20"/>
              </w:rPr>
              <w:t xml:space="preserve">hodnoty indikátorů č. </w:t>
            </w:r>
            <w:smartTag w:uri="urn:schemas-microsoft-com:office:smarttags" w:element="metricconverter">
              <w:smartTagPr>
                <w:attr w:name="ProductID" w:val="110300 a"/>
              </w:smartTagPr>
              <w:r w:rsidRPr="002161D9">
                <w:rPr>
                  <w:rFonts w:ascii="Times New Roman" w:hAnsi="Times New Roman"/>
                  <w:b/>
                  <w:sz w:val="20"/>
                  <w:szCs w:val="20"/>
                </w:rPr>
                <w:t>110300 a</w:t>
              </w:r>
            </w:smartTag>
            <w:r w:rsidRPr="002161D9">
              <w:rPr>
                <w:rFonts w:ascii="Times New Roman" w:hAnsi="Times New Roman"/>
                <w:b/>
                <w:sz w:val="20"/>
                <w:szCs w:val="20"/>
              </w:rPr>
              <w:t xml:space="preserve"> č. 071700, jichž bude dosaženo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 datu ukončení realizace</w:t>
            </w:r>
            <w:r w:rsidRPr="002161D9">
              <w:rPr>
                <w:rFonts w:ascii="Times New Roman" w:hAnsi="Times New Roman"/>
                <w:b/>
                <w:sz w:val="20"/>
                <w:szCs w:val="20"/>
              </w:rPr>
              <w:t xml:space="preserve"> projektu, udrženy minimálně na této úrovni po dobu </w:t>
            </w:r>
            <w:r w:rsidRPr="002161D9">
              <w:rPr>
                <w:rFonts w:ascii="Times New Roman" w:hAnsi="Times New Roman"/>
                <w:b/>
                <w:sz w:val="18"/>
                <w:szCs w:val="18"/>
              </w:rPr>
              <w:t>následujících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161D9">
              <w:rPr>
                <w:rFonts w:ascii="Times New Roman" w:hAnsi="Times New Roman"/>
                <w:b/>
                <w:sz w:val="20"/>
                <w:szCs w:val="20"/>
              </w:rPr>
              <w:t xml:space="preserve">5 let. </w:t>
            </w:r>
          </w:p>
          <w:p w:rsidR="000C5836" w:rsidRDefault="000C5836" w:rsidP="000C5836">
            <w:pPr>
              <w:pStyle w:val="Odstavecseseznamem"/>
              <w:numPr>
                <w:ilvl w:val="0"/>
                <w:numId w:val="24"/>
              </w:numPr>
              <w:ind w:right="106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2161D9">
              <w:rPr>
                <w:rFonts w:ascii="Times New Roman" w:hAnsi="Times New Roman"/>
                <w:b/>
                <w:sz w:val="20"/>
                <w:szCs w:val="20"/>
              </w:rPr>
              <w:t xml:space="preserve">hodnoty indikátorů č. </w:t>
            </w:r>
            <w:smartTag w:uri="urn:schemas-microsoft-com:office:smarttags" w:element="metricconverter">
              <w:smartTagPr>
                <w:attr w:name="ProductID" w:val="110516 a"/>
              </w:smartTagPr>
              <w:r w:rsidRPr="002161D9">
                <w:rPr>
                  <w:rFonts w:ascii="Times New Roman" w:hAnsi="Times New Roman"/>
                  <w:b/>
                  <w:sz w:val="20"/>
                  <w:szCs w:val="20"/>
                </w:rPr>
                <w:t>110516 a</w:t>
              </w:r>
            </w:smartTag>
            <w:r w:rsidRPr="002161D9">
              <w:rPr>
                <w:rFonts w:ascii="Times New Roman" w:hAnsi="Times New Roman"/>
                <w:b/>
                <w:sz w:val="20"/>
                <w:szCs w:val="20"/>
              </w:rPr>
              <w:t xml:space="preserve"> č. 110517 udrženy v užívání pro původní účel, tj. po dobu </w:t>
            </w:r>
            <w:r w:rsidRPr="002161D9">
              <w:rPr>
                <w:rFonts w:ascii="Times New Roman" w:hAnsi="Times New Roman"/>
                <w:b/>
                <w:sz w:val="18"/>
                <w:szCs w:val="18"/>
              </w:rPr>
              <w:t>následujících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161D9">
              <w:rPr>
                <w:rFonts w:ascii="Times New Roman" w:hAnsi="Times New Roman"/>
                <w:b/>
                <w:sz w:val="20"/>
                <w:szCs w:val="20"/>
              </w:rPr>
              <w:t xml:space="preserve">5 let. </w:t>
            </w:r>
          </w:p>
          <w:p w:rsidR="000C5836" w:rsidRDefault="000C5836" w:rsidP="000C5836">
            <w:pPr>
              <w:spacing w:before="60" w:after="60" w:line="240" w:lineRule="auto"/>
              <w:rPr>
                <w:b/>
                <w:sz w:val="20"/>
                <w:szCs w:val="24"/>
              </w:rPr>
            </w:pPr>
            <w:r w:rsidRPr="00C76E2C">
              <w:rPr>
                <w:b/>
                <w:sz w:val="20"/>
                <w:szCs w:val="24"/>
              </w:rPr>
              <w:t>V případě projektů, kde se jedná o vystěhování z</w:t>
            </w:r>
            <w:r>
              <w:rPr>
                <w:b/>
                <w:sz w:val="20"/>
                <w:szCs w:val="24"/>
              </w:rPr>
              <w:t> </w:t>
            </w:r>
            <w:r w:rsidRPr="00C76E2C">
              <w:rPr>
                <w:b/>
                <w:sz w:val="20"/>
                <w:szCs w:val="24"/>
              </w:rPr>
              <w:t>Prahy</w:t>
            </w:r>
            <w:r>
              <w:rPr>
                <w:b/>
                <w:sz w:val="20"/>
                <w:szCs w:val="24"/>
              </w:rPr>
              <w:t>, musí být splněna podmínka, aby nové Centrum mělo k datu ukončení realizace projektu minimálně 50% nových pracovníků, tj. minimálně 50% hodnoty FTE u indikátoru 071700 musí k datu ukončení realizace projektu tvořit noví pracovníci. Pokud projekt končí v průběhu roku, stává se základnou pro výpočet 50% nových pracovníků adekvátní podíl hodnoty FTE za počet měsíců realizace v posledním kalendářním roce projektu.</w:t>
            </w:r>
          </w:p>
          <w:p w:rsidR="00B2004E" w:rsidRDefault="00B2004E" w:rsidP="000C5836">
            <w:pPr>
              <w:spacing w:before="60" w:after="60" w:line="240" w:lineRule="auto"/>
              <w:rPr>
                <w:b/>
                <w:sz w:val="20"/>
                <w:szCs w:val="24"/>
              </w:rPr>
            </w:pPr>
          </w:p>
          <w:p w:rsidR="00B2004E" w:rsidRDefault="00B2004E" w:rsidP="00B2004E">
            <w:pPr>
              <w:pStyle w:val="Odstavecseseznamem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E91C8F">
              <w:rPr>
                <w:rFonts w:ascii="Times New Roman" w:hAnsi="Times New Roman"/>
                <w:b/>
              </w:rPr>
              <w:t>Soupis výzkumných programů:</w:t>
            </w:r>
          </w:p>
          <w:p w:rsidR="00B2004E" w:rsidRDefault="00B2004E" w:rsidP="00B2004E">
            <w:pPr>
              <w:pStyle w:val="Odstavecseseznamem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  <w:p w:rsidR="00B2004E" w:rsidRDefault="00B2004E" w:rsidP="00B2004E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03378">
              <w:rPr>
                <w:rFonts w:ascii="Times New Roman" w:hAnsi="Times New Roman"/>
              </w:rPr>
              <w:t>IT pro řešení krizových situací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2004E" w:rsidRPr="00903378" w:rsidRDefault="00B2004E" w:rsidP="00B2004E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Garant: VŠB – TUO </w:t>
            </w:r>
          </w:p>
          <w:p w:rsidR="00B2004E" w:rsidRPr="00903378" w:rsidRDefault="00B2004E" w:rsidP="00B2004E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03378">
              <w:rPr>
                <w:rFonts w:ascii="Times New Roman" w:hAnsi="Times New Roman"/>
              </w:rPr>
              <w:t>Numerické modelování pro řešení inženýrských problémů</w:t>
            </w:r>
          </w:p>
          <w:p w:rsidR="00B2004E" w:rsidRDefault="00B2004E" w:rsidP="00B2004E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Garant: ÚGN a VŠB – TUO </w:t>
            </w:r>
          </w:p>
          <w:p w:rsidR="00B2004E" w:rsidRDefault="00B2004E" w:rsidP="00B2004E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03378">
              <w:rPr>
                <w:rFonts w:ascii="Times New Roman" w:hAnsi="Times New Roman"/>
              </w:rPr>
              <w:t>Knihovny pro paralelní výpočty</w:t>
            </w:r>
          </w:p>
          <w:p w:rsidR="00B2004E" w:rsidRPr="00903378" w:rsidRDefault="00B2004E" w:rsidP="00B2004E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Garant: VŠB – TUO </w:t>
            </w:r>
          </w:p>
          <w:p w:rsidR="00B2004E" w:rsidRDefault="00B2004E" w:rsidP="00B2004E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03378">
              <w:rPr>
                <w:rFonts w:ascii="Times New Roman" w:hAnsi="Times New Roman"/>
              </w:rPr>
              <w:t>Modelování pro nanotechnologie</w:t>
            </w:r>
          </w:p>
          <w:p w:rsidR="00B2004E" w:rsidRPr="00903378" w:rsidRDefault="00B2004E" w:rsidP="00B2004E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Garant: VŠB – TUO </w:t>
            </w:r>
          </w:p>
          <w:p w:rsidR="00B2004E" w:rsidRDefault="00B2004E" w:rsidP="00B2004E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03378">
              <w:rPr>
                <w:rFonts w:ascii="Times New Roman" w:hAnsi="Times New Roman"/>
              </w:rPr>
              <w:t>IT pro zpracování znalostí</w:t>
            </w:r>
          </w:p>
          <w:p w:rsidR="00B2004E" w:rsidRPr="00903378" w:rsidRDefault="00B2004E" w:rsidP="00B2004E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Garant: VŠB – TUO </w:t>
            </w:r>
          </w:p>
          <w:p w:rsidR="00B2004E" w:rsidRPr="00903378" w:rsidRDefault="00B2004E" w:rsidP="00B2004E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03378">
              <w:rPr>
                <w:rFonts w:ascii="Times New Roman" w:hAnsi="Times New Roman"/>
              </w:rPr>
              <w:t xml:space="preserve">Metody soft </w:t>
            </w:r>
            <w:proofErr w:type="spellStart"/>
            <w:r w:rsidRPr="00903378">
              <w:rPr>
                <w:rFonts w:ascii="Times New Roman" w:hAnsi="Times New Roman"/>
              </w:rPr>
              <w:t>computing</w:t>
            </w:r>
            <w:proofErr w:type="spellEnd"/>
            <w:r w:rsidRPr="00903378">
              <w:rPr>
                <w:rFonts w:ascii="Times New Roman" w:hAnsi="Times New Roman"/>
              </w:rPr>
              <w:t xml:space="preserve"> s aplikacemi pro superpočítač</w:t>
            </w:r>
          </w:p>
          <w:p w:rsidR="00B2004E" w:rsidRDefault="00B2004E" w:rsidP="00B2004E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Garant: OU </w:t>
            </w:r>
          </w:p>
          <w:p w:rsidR="00B2004E" w:rsidRDefault="00B2004E" w:rsidP="00B2004E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903378">
              <w:rPr>
                <w:rFonts w:ascii="Times New Roman" w:hAnsi="Times New Roman"/>
              </w:rPr>
              <w:t>Rozpoznávání a prezentace informací z multimediálních dat</w:t>
            </w:r>
          </w:p>
          <w:p w:rsidR="00B2004E" w:rsidRPr="00903378" w:rsidRDefault="00B2004E" w:rsidP="00B2004E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Garant: VUT  </w:t>
            </w:r>
          </w:p>
          <w:p w:rsidR="00B2004E" w:rsidRPr="00903378" w:rsidRDefault="00B2004E" w:rsidP="00B2004E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378">
              <w:rPr>
                <w:rFonts w:ascii="Times New Roman" w:hAnsi="Times New Roman"/>
              </w:rPr>
              <w:t>Bezpečné a spolehlivé architektury, sítě a protokoly</w:t>
            </w:r>
          </w:p>
          <w:p w:rsidR="00B2004E" w:rsidRPr="00E91C8F" w:rsidRDefault="00B2004E" w:rsidP="00B2004E">
            <w:pPr>
              <w:pStyle w:val="Odstavecseseznamem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          Garant: VUT</w:t>
            </w:r>
          </w:p>
          <w:p w:rsidR="00B2004E" w:rsidRDefault="00B2004E" w:rsidP="000C5836">
            <w:pPr>
              <w:spacing w:before="60" w:after="60" w:line="240" w:lineRule="auto"/>
              <w:rPr>
                <w:b/>
                <w:sz w:val="20"/>
                <w:szCs w:val="24"/>
              </w:rPr>
            </w:pPr>
          </w:p>
          <w:p w:rsidR="000C5836" w:rsidRDefault="000C5836" w:rsidP="000C5836">
            <w:pPr>
              <w:spacing w:before="60" w:after="60" w:line="240" w:lineRule="auto"/>
              <w:rPr>
                <w:sz w:val="16"/>
              </w:rPr>
            </w:pPr>
          </w:p>
        </w:tc>
      </w:tr>
      <w:tr w:rsidR="00235AE1" w:rsidTr="00380CBE">
        <w:tc>
          <w:tcPr>
            <w:tcW w:w="9606" w:type="dxa"/>
            <w:gridSpan w:val="6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97A9FC" wp14:editId="5460E071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42467E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12530A">
                                    <w:rPr>
                                      <w:sz w:val="18"/>
                                      <w:szCs w:val="18"/>
                                    </w:rPr>
                                    <w:t>6. 2. 2015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42467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2530A">
                              <w:rPr>
                                <w:sz w:val="18"/>
                                <w:szCs w:val="18"/>
                              </w:rPr>
                              <w:t>6. 2. 2015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380CBE">
        <w:trPr>
          <w:trHeight w:val="847"/>
        </w:trPr>
        <w:tc>
          <w:tcPr>
            <w:tcW w:w="2060" w:type="dxa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Statutární orgán projektu</w:t>
            </w:r>
          </w:p>
        </w:tc>
        <w:tc>
          <w:tcPr>
            <w:tcW w:w="3474" w:type="dxa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Jméno a </w:t>
            </w:r>
            <w:r w:rsidR="00F9010E">
              <w:rPr>
                <w:sz w:val="18"/>
              </w:rPr>
              <w:t xml:space="preserve">pracovní </w:t>
            </w:r>
            <w:r>
              <w:rPr>
                <w:sz w:val="18"/>
              </w:rPr>
              <w:t>pozice:</w:t>
            </w:r>
          </w:p>
          <w:p w:rsidR="000A2304" w:rsidRDefault="0042467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Prof. Ing. Ivo Vondrák, CSc.</w:t>
            </w:r>
            <w:r w:rsidR="000A2304">
              <w:rPr>
                <w:sz w:val="18"/>
              </w:rPr>
              <w:t xml:space="preserve"> - </w:t>
            </w:r>
            <w:r w:rsidR="008334DE">
              <w:rPr>
                <w:sz w:val="18"/>
              </w:rPr>
              <w:t>rektor</w:t>
            </w:r>
            <w:r w:rsidR="000A2304">
              <w:rPr>
                <w:sz w:val="18"/>
              </w:rPr>
              <w:t xml:space="preserve">, </w:t>
            </w:r>
          </w:p>
          <w:p w:rsidR="008334DE" w:rsidRPr="005F27AE" w:rsidRDefault="008334DE" w:rsidP="00002DBE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4072" w:type="dxa"/>
            <w:gridSpan w:val="3"/>
          </w:tcPr>
          <w:p w:rsidR="00F9010E" w:rsidRDefault="00F9010E" w:rsidP="00DD26D3">
            <w:pPr>
              <w:spacing w:before="60" w:after="60" w:line="240" w:lineRule="auto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</w:p>
          <w:p w:rsidR="008334DE" w:rsidRPr="005F27AE" w:rsidRDefault="0042467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Vysoká škola báňská –</w:t>
            </w:r>
            <w:r w:rsidR="0002697D">
              <w:rPr>
                <w:sz w:val="18"/>
              </w:rPr>
              <w:t xml:space="preserve"> T</w:t>
            </w:r>
            <w:r>
              <w:rPr>
                <w:sz w:val="18"/>
              </w:rPr>
              <w:t>echnická univerzita Ostrava (VŠB-TUO)</w:t>
            </w:r>
          </w:p>
        </w:tc>
      </w:tr>
      <w:tr w:rsidR="00002DBE" w:rsidTr="00380CBE">
        <w:trPr>
          <w:trHeight w:val="1009"/>
        </w:trPr>
        <w:tc>
          <w:tcPr>
            <w:tcW w:w="2060" w:type="dxa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7546" w:type="dxa"/>
            <w:gridSpan w:val="5"/>
          </w:tcPr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Vedoucí projektu (jméno a pracovní pozice)</w:t>
            </w:r>
          </w:p>
          <w:p w:rsidR="00002DBE" w:rsidRDefault="0002697D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20"/>
                <w:szCs w:val="20"/>
              </w:rPr>
              <w:t>Ing. Martin Palkovič, Ph.D.</w:t>
            </w:r>
          </w:p>
          <w:p w:rsidR="008334DE" w:rsidRPr="005F27AE" w:rsidRDefault="0002697D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ředitel IT4Innovations </w:t>
            </w:r>
          </w:p>
        </w:tc>
      </w:tr>
      <w:tr w:rsidR="0004245B" w:rsidTr="00380CBE">
        <w:trPr>
          <w:trHeight w:val="843"/>
        </w:trPr>
        <w:tc>
          <w:tcPr>
            <w:tcW w:w="2060" w:type="dxa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4560" w:type="dxa"/>
            <w:gridSpan w:val="4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Stručný popis</w:t>
            </w:r>
          </w:p>
          <w:p w:rsidR="007159DB" w:rsidRDefault="007159DB" w:rsidP="00DD26D3">
            <w:pPr>
              <w:spacing w:before="60" w:after="60" w:line="240" w:lineRule="auto"/>
              <w:rPr>
                <w:sz w:val="18"/>
              </w:rPr>
            </w:pPr>
          </w:p>
          <w:p w:rsidR="007159DB" w:rsidRDefault="007159D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PZ 4 s dodatkem mění poměr </w:t>
            </w:r>
            <w:proofErr w:type="spellStart"/>
            <w:r>
              <w:rPr>
                <w:sz w:val="18"/>
              </w:rPr>
              <w:t>inv</w:t>
            </w:r>
            <w:proofErr w:type="spellEnd"/>
            <w:r>
              <w:rPr>
                <w:sz w:val="18"/>
              </w:rPr>
              <w:t xml:space="preserve">. a </w:t>
            </w:r>
            <w:proofErr w:type="spellStart"/>
            <w:r>
              <w:rPr>
                <w:sz w:val="18"/>
              </w:rPr>
              <w:t>neinv</w:t>
            </w:r>
            <w:proofErr w:type="spellEnd"/>
            <w:r>
              <w:rPr>
                <w:sz w:val="18"/>
              </w:rPr>
              <w:t>. v rozpočtu projektu</w:t>
            </w:r>
            <w:r w:rsidR="002C109E">
              <w:rPr>
                <w:sz w:val="18"/>
              </w:rPr>
              <w:t xml:space="preserve">, lokalitu umístění Malého clusteru, posouvá milník zahájení stavby I a obsazení pozic </w:t>
            </w:r>
            <w:proofErr w:type="spellStart"/>
            <w:r w:rsidR="002C109E">
              <w:rPr>
                <w:sz w:val="18"/>
              </w:rPr>
              <w:t>Sea</w:t>
            </w:r>
            <w:r w:rsidR="00E95642">
              <w:rPr>
                <w:sz w:val="18"/>
              </w:rPr>
              <w:t>r</w:t>
            </w:r>
            <w:r w:rsidR="002C109E">
              <w:rPr>
                <w:sz w:val="18"/>
              </w:rPr>
              <w:t>ch</w:t>
            </w:r>
            <w:proofErr w:type="spellEnd"/>
            <w:r w:rsidR="002C109E">
              <w:rPr>
                <w:sz w:val="18"/>
              </w:rPr>
              <w:t xml:space="preserve"> </w:t>
            </w:r>
            <w:proofErr w:type="spellStart"/>
            <w:r w:rsidR="002C109E">
              <w:rPr>
                <w:sz w:val="18"/>
              </w:rPr>
              <w:t>Committee</w:t>
            </w:r>
            <w:proofErr w:type="spellEnd"/>
            <w:r w:rsidR="002C109E">
              <w:rPr>
                <w:sz w:val="18"/>
              </w:rPr>
              <w:t>.</w:t>
            </w:r>
          </w:p>
          <w:p w:rsidR="007159DB" w:rsidRDefault="007159DB" w:rsidP="00DD26D3">
            <w:pPr>
              <w:spacing w:before="60" w:after="60" w:line="240" w:lineRule="auto"/>
              <w:rPr>
                <w:sz w:val="18"/>
              </w:rPr>
            </w:pPr>
          </w:p>
          <w:p w:rsidR="002C109E" w:rsidRDefault="002C109E" w:rsidP="00DD26D3">
            <w:pPr>
              <w:spacing w:before="60" w:after="60" w:line="240" w:lineRule="auto"/>
              <w:rPr>
                <w:sz w:val="18"/>
              </w:rPr>
            </w:pPr>
          </w:p>
          <w:p w:rsidR="002C109E" w:rsidRDefault="002C109E" w:rsidP="00DD26D3">
            <w:pPr>
              <w:spacing w:before="60" w:after="60" w:line="240" w:lineRule="auto"/>
              <w:rPr>
                <w:sz w:val="18"/>
              </w:rPr>
            </w:pPr>
          </w:p>
          <w:p w:rsidR="002C109E" w:rsidRDefault="002C109E" w:rsidP="00DD26D3">
            <w:pPr>
              <w:spacing w:before="60" w:after="60" w:line="240" w:lineRule="auto"/>
              <w:rPr>
                <w:sz w:val="18"/>
              </w:rPr>
            </w:pPr>
          </w:p>
          <w:p w:rsidR="002C109E" w:rsidRDefault="002C109E" w:rsidP="00DD26D3">
            <w:pPr>
              <w:spacing w:before="60" w:after="60" w:line="240" w:lineRule="auto"/>
              <w:rPr>
                <w:sz w:val="18"/>
              </w:rPr>
            </w:pPr>
          </w:p>
          <w:p w:rsidR="002C109E" w:rsidRDefault="002C109E" w:rsidP="00DD26D3">
            <w:pPr>
              <w:spacing w:before="60" w:after="60" w:line="240" w:lineRule="auto"/>
              <w:rPr>
                <w:sz w:val="18"/>
              </w:rPr>
            </w:pPr>
          </w:p>
          <w:p w:rsidR="00992D8B" w:rsidRDefault="00992D8B" w:rsidP="00DD26D3">
            <w:pPr>
              <w:spacing w:before="60" w:after="60" w:line="240" w:lineRule="auto"/>
              <w:rPr>
                <w:sz w:val="18"/>
              </w:rPr>
            </w:pPr>
          </w:p>
          <w:p w:rsidR="00992D8B" w:rsidRDefault="00992D8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PZ 7 a 8 byly administrovány společně. Jedná se o PZ s Dodatkem. Změnou dochází k výměně na pozici Senior </w:t>
            </w:r>
            <w:proofErr w:type="spellStart"/>
            <w:r>
              <w:rPr>
                <w:sz w:val="18"/>
              </w:rPr>
              <w:t>Researchera</w:t>
            </w:r>
            <w:proofErr w:type="spellEnd"/>
            <w:r>
              <w:rPr>
                <w:sz w:val="18"/>
              </w:rPr>
              <w:t xml:space="preserve">, posunu milníku a změně v poměru </w:t>
            </w:r>
            <w:proofErr w:type="spellStart"/>
            <w:r>
              <w:rPr>
                <w:sz w:val="18"/>
              </w:rPr>
              <w:t>inv</w:t>
            </w:r>
            <w:proofErr w:type="spellEnd"/>
            <w:r>
              <w:rPr>
                <w:sz w:val="18"/>
              </w:rPr>
              <w:t xml:space="preserve">. a </w:t>
            </w:r>
            <w:proofErr w:type="spellStart"/>
            <w:r>
              <w:rPr>
                <w:sz w:val="18"/>
              </w:rPr>
              <w:t>neinv</w:t>
            </w:r>
            <w:proofErr w:type="spellEnd"/>
            <w:r>
              <w:rPr>
                <w:sz w:val="18"/>
              </w:rPr>
              <w:t>. projektu.</w:t>
            </w:r>
          </w:p>
          <w:p w:rsidR="002C109E" w:rsidRDefault="002C109E" w:rsidP="00DD26D3">
            <w:pPr>
              <w:spacing w:before="60" w:after="60" w:line="240" w:lineRule="auto"/>
              <w:rPr>
                <w:sz w:val="18"/>
              </w:rPr>
            </w:pPr>
          </w:p>
          <w:p w:rsidR="00992D8B" w:rsidRDefault="00992D8B" w:rsidP="00DD26D3">
            <w:pPr>
              <w:spacing w:before="60" w:after="60" w:line="240" w:lineRule="auto"/>
              <w:rPr>
                <w:sz w:val="18"/>
              </w:rPr>
            </w:pPr>
          </w:p>
          <w:p w:rsidR="00992D8B" w:rsidRDefault="00992D8B" w:rsidP="00DD26D3">
            <w:pPr>
              <w:spacing w:before="60" w:after="60" w:line="240" w:lineRule="auto"/>
              <w:rPr>
                <w:sz w:val="18"/>
              </w:rPr>
            </w:pPr>
          </w:p>
          <w:p w:rsidR="00992D8B" w:rsidRDefault="00992D8B" w:rsidP="00DD26D3">
            <w:pPr>
              <w:spacing w:before="60" w:after="60" w:line="240" w:lineRule="auto"/>
              <w:rPr>
                <w:sz w:val="18"/>
              </w:rPr>
            </w:pPr>
          </w:p>
          <w:p w:rsidR="00992D8B" w:rsidRDefault="00992D8B" w:rsidP="00DD26D3">
            <w:pPr>
              <w:spacing w:before="60" w:after="60" w:line="240" w:lineRule="auto"/>
              <w:rPr>
                <w:sz w:val="18"/>
              </w:rPr>
            </w:pPr>
          </w:p>
          <w:p w:rsidR="00992D8B" w:rsidRDefault="00992D8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PZ 11 a 12 administrovány společně</w:t>
            </w:r>
            <w:r w:rsidR="00230B68">
              <w:rPr>
                <w:sz w:val="18"/>
              </w:rPr>
              <w:t xml:space="preserve">. Změnou dochází k přesunu </w:t>
            </w:r>
            <w:proofErr w:type="spellStart"/>
            <w:r w:rsidR="00230B68">
              <w:rPr>
                <w:sz w:val="18"/>
              </w:rPr>
              <w:t>fin</w:t>
            </w:r>
            <w:proofErr w:type="spellEnd"/>
            <w:r w:rsidR="00230B68">
              <w:rPr>
                <w:sz w:val="18"/>
              </w:rPr>
              <w:t xml:space="preserve">. </w:t>
            </w:r>
            <w:proofErr w:type="gramStart"/>
            <w:r w:rsidR="00230B68">
              <w:rPr>
                <w:sz w:val="18"/>
              </w:rPr>
              <w:t>prostředků</w:t>
            </w:r>
            <w:proofErr w:type="gramEnd"/>
            <w:r w:rsidR="00230B68">
              <w:rPr>
                <w:sz w:val="18"/>
              </w:rPr>
              <w:t xml:space="preserve"> partnera projektu a k posunu milníku.</w:t>
            </w:r>
          </w:p>
          <w:p w:rsidR="00230B68" w:rsidRDefault="00230B68" w:rsidP="00DD26D3">
            <w:pPr>
              <w:spacing w:before="60" w:after="60" w:line="240" w:lineRule="auto"/>
              <w:rPr>
                <w:sz w:val="18"/>
              </w:rPr>
            </w:pPr>
          </w:p>
          <w:p w:rsidR="00230B68" w:rsidRDefault="00230B68" w:rsidP="00DD26D3">
            <w:pPr>
              <w:spacing w:before="60" w:after="60" w:line="240" w:lineRule="auto"/>
              <w:rPr>
                <w:sz w:val="18"/>
              </w:rPr>
            </w:pPr>
          </w:p>
          <w:p w:rsidR="00230B68" w:rsidRDefault="00230B68" w:rsidP="00DD26D3">
            <w:pPr>
              <w:spacing w:before="60" w:after="60" w:line="240" w:lineRule="auto"/>
              <w:rPr>
                <w:sz w:val="18"/>
              </w:rPr>
            </w:pPr>
          </w:p>
          <w:p w:rsidR="005C037B" w:rsidRDefault="00B65FF2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PZ 13 (s dodatkem) přesouvá </w:t>
            </w:r>
            <w:proofErr w:type="spellStart"/>
            <w:r>
              <w:rPr>
                <w:sz w:val="18"/>
              </w:rPr>
              <w:t>fin</w:t>
            </w:r>
            <w:proofErr w:type="spellEnd"/>
            <w:r>
              <w:rPr>
                <w:sz w:val="18"/>
              </w:rPr>
              <w:t xml:space="preserve"> prostředky mezi IT4I a jeho partnerem VUT.</w:t>
            </w:r>
          </w:p>
          <w:p w:rsidR="005C037B" w:rsidRDefault="005C037B" w:rsidP="00DD26D3">
            <w:pPr>
              <w:spacing w:before="60" w:after="60" w:line="240" w:lineRule="auto"/>
              <w:rPr>
                <w:sz w:val="18"/>
              </w:rPr>
            </w:pPr>
          </w:p>
          <w:p w:rsidR="005C037B" w:rsidRDefault="005C037B" w:rsidP="00DD26D3">
            <w:pPr>
              <w:spacing w:before="60" w:after="60" w:line="240" w:lineRule="auto"/>
              <w:rPr>
                <w:sz w:val="18"/>
              </w:rPr>
            </w:pPr>
          </w:p>
          <w:p w:rsidR="005C037B" w:rsidRDefault="005C037B" w:rsidP="00DD26D3">
            <w:pPr>
              <w:spacing w:before="60" w:after="60" w:line="240" w:lineRule="auto"/>
              <w:rPr>
                <w:sz w:val="18"/>
              </w:rPr>
            </w:pPr>
          </w:p>
          <w:p w:rsidR="005C037B" w:rsidRDefault="005C037B" w:rsidP="00DD26D3">
            <w:pPr>
              <w:spacing w:before="60" w:after="60" w:line="240" w:lineRule="auto"/>
              <w:rPr>
                <w:sz w:val="18"/>
              </w:rPr>
            </w:pPr>
          </w:p>
          <w:p w:rsidR="005C037B" w:rsidRDefault="005C037B" w:rsidP="00DD26D3">
            <w:pPr>
              <w:spacing w:before="60" w:after="60" w:line="240" w:lineRule="auto"/>
              <w:rPr>
                <w:sz w:val="18"/>
              </w:rPr>
            </w:pPr>
          </w:p>
          <w:p w:rsidR="000872A2" w:rsidRDefault="000872A2" w:rsidP="00DD26D3">
            <w:pPr>
              <w:spacing w:before="60" w:after="60" w:line="240" w:lineRule="auto"/>
              <w:rPr>
                <w:sz w:val="18"/>
              </w:rPr>
            </w:pPr>
          </w:p>
          <w:p w:rsidR="000872A2" w:rsidRDefault="000872A2" w:rsidP="00DD26D3">
            <w:pPr>
              <w:spacing w:before="60" w:after="60" w:line="240" w:lineRule="auto"/>
              <w:rPr>
                <w:sz w:val="18"/>
              </w:rPr>
            </w:pPr>
          </w:p>
          <w:p w:rsidR="000872A2" w:rsidRDefault="000872A2" w:rsidP="00DD26D3">
            <w:pPr>
              <w:spacing w:before="60" w:after="60" w:line="240" w:lineRule="auto"/>
              <w:rPr>
                <w:sz w:val="18"/>
              </w:rPr>
            </w:pPr>
          </w:p>
          <w:p w:rsidR="005C037B" w:rsidRDefault="005C037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PZ č. 16 s dodatkem řeší přejmenování položky klíčového vybavení a s tím spojené přesuny v rozpočtu projektu.</w:t>
            </w:r>
          </w:p>
          <w:p w:rsidR="005C037B" w:rsidRDefault="005C037B" w:rsidP="00DD26D3">
            <w:pPr>
              <w:spacing w:before="60" w:after="60" w:line="240" w:lineRule="auto"/>
              <w:rPr>
                <w:sz w:val="18"/>
              </w:rPr>
            </w:pPr>
          </w:p>
          <w:p w:rsidR="005C037B" w:rsidRDefault="005C037B" w:rsidP="00DD26D3">
            <w:pPr>
              <w:spacing w:before="60" w:after="60" w:line="240" w:lineRule="auto"/>
              <w:rPr>
                <w:sz w:val="18"/>
              </w:rPr>
            </w:pPr>
          </w:p>
          <w:p w:rsidR="005C037B" w:rsidRDefault="005C037B" w:rsidP="00DD26D3">
            <w:pPr>
              <w:spacing w:before="60" w:after="60" w:line="240" w:lineRule="auto"/>
              <w:rPr>
                <w:sz w:val="18"/>
              </w:rPr>
            </w:pPr>
          </w:p>
          <w:p w:rsidR="005C037B" w:rsidRDefault="005C037B" w:rsidP="00DD26D3">
            <w:pPr>
              <w:spacing w:before="60" w:after="60" w:line="240" w:lineRule="auto"/>
              <w:rPr>
                <w:sz w:val="18"/>
              </w:rPr>
            </w:pPr>
          </w:p>
          <w:p w:rsidR="000872A2" w:rsidRDefault="000872A2" w:rsidP="00DD26D3">
            <w:pPr>
              <w:spacing w:before="60" w:after="60" w:line="240" w:lineRule="auto"/>
              <w:rPr>
                <w:sz w:val="18"/>
              </w:rPr>
            </w:pPr>
          </w:p>
          <w:p w:rsidR="000872A2" w:rsidRDefault="000872A2" w:rsidP="00DD26D3">
            <w:pPr>
              <w:spacing w:before="60" w:after="60" w:line="240" w:lineRule="auto"/>
              <w:rPr>
                <w:sz w:val="18"/>
              </w:rPr>
            </w:pPr>
          </w:p>
          <w:p w:rsidR="005C037B" w:rsidRDefault="005C037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PZ 17 s Dodatkem  - dochází k vyškrtnutí technologie Specializovaného systému (vč. s tím spojeného snížení </w:t>
            </w:r>
            <w:r>
              <w:rPr>
                <w:sz w:val="18"/>
              </w:rPr>
              <w:lastRenderedPageBreak/>
              <w:t>rozpočtu) a vydání přílohy Sankce.</w:t>
            </w:r>
          </w:p>
          <w:p w:rsidR="005C037B" w:rsidRDefault="005C037B" w:rsidP="00DD26D3">
            <w:pPr>
              <w:spacing w:before="60" w:after="60" w:line="240" w:lineRule="auto"/>
              <w:rPr>
                <w:sz w:val="18"/>
              </w:rPr>
            </w:pPr>
          </w:p>
          <w:p w:rsidR="005C037B" w:rsidRDefault="005C037B" w:rsidP="00DD26D3">
            <w:pPr>
              <w:spacing w:before="60" w:after="60" w:line="240" w:lineRule="auto"/>
              <w:rPr>
                <w:sz w:val="18"/>
              </w:rPr>
            </w:pPr>
          </w:p>
          <w:p w:rsidR="005C037B" w:rsidRDefault="005C037B" w:rsidP="00DD26D3">
            <w:pPr>
              <w:spacing w:before="60" w:after="60" w:line="240" w:lineRule="auto"/>
              <w:rPr>
                <w:sz w:val="18"/>
              </w:rPr>
            </w:pPr>
          </w:p>
          <w:p w:rsidR="005C037B" w:rsidRDefault="005C037B" w:rsidP="00DD26D3">
            <w:pPr>
              <w:spacing w:before="60" w:after="60" w:line="240" w:lineRule="auto"/>
              <w:rPr>
                <w:sz w:val="18"/>
              </w:rPr>
            </w:pPr>
          </w:p>
          <w:p w:rsidR="005C037B" w:rsidRDefault="005C037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PZ 19 (PZ s dodatkem)</w:t>
            </w:r>
            <w:r w:rsidR="00762820">
              <w:rPr>
                <w:sz w:val="18"/>
              </w:rPr>
              <w:t xml:space="preserve"> využití 30% úspor projektu. </w:t>
            </w:r>
          </w:p>
          <w:p w:rsidR="005C037B" w:rsidRDefault="005C037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:rsidR="008C5780" w:rsidRDefault="008C5780" w:rsidP="00DD26D3">
            <w:pPr>
              <w:spacing w:before="60" w:after="60" w:line="240" w:lineRule="auto"/>
              <w:rPr>
                <w:sz w:val="18"/>
              </w:rPr>
            </w:pPr>
          </w:p>
          <w:p w:rsidR="008C5780" w:rsidRDefault="008C5780" w:rsidP="00DD26D3">
            <w:pPr>
              <w:spacing w:before="60" w:after="60" w:line="240" w:lineRule="auto"/>
              <w:rPr>
                <w:sz w:val="18"/>
              </w:rPr>
            </w:pPr>
          </w:p>
          <w:p w:rsidR="008C5780" w:rsidRDefault="008C5780" w:rsidP="00DD26D3">
            <w:pPr>
              <w:spacing w:before="60" w:after="60" w:line="240" w:lineRule="auto"/>
              <w:rPr>
                <w:sz w:val="18"/>
              </w:rPr>
            </w:pPr>
          </w:p>
          <w:p w:rsidR="008C5780" w:rsidRPr="005F27AE" w:rsidRDefault="008C5780" w:rsidP="00DD26D3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2986" w:type="dxa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lastRenderedPageBreak/>
              <w:t>Finanční dopady</w:t>
            </w:r>
          </w:p>
          <w:p w:rsidR="002C109E" w:rsidRDefault="002C109E" w:rsidP="00DD26D3">
            <w:pPr>
              <w:spacing w:before="60" w:after="60" w:line="240" w:lineRule="auto"/>
              <w:rPr>
                <w:sz w:val="18"/>
              </w:rPr>
            </w:pPr>
          </w:p>
          <w:p w:rsidR="002C109E" w:rsidRDefault="002C109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Celkové způsobilé výdaje </w:t>
            </w:r>
            <w:proofErr w:type="spellStart"/>
            <w:r>
              <w:rPr>
                <w:sz w:val="18"/>
              </w:rPr>
              <w:t>inv</w:t>
            </w:r>
            <w:proofErr w:type="spellEnd"/>
            <w:r>
              <w:rPr>
                <w:sz w:val="18"/>
              </w:rPr>
              <w:t xml:space="preserve">. se mění z hodnoty   </w:t>
            </w:r>
          </w:p>
          <w:p w:rsidR="002C109E" w:rsidRDefault="002C109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                   </w:t>
            </w:r>
            <w:r w:rsidRPr="002C109E">
              <w:rPr>
                <w:sz w:val="18"/>
              </w:rPr>
              <w:t>1 360 595 033,00</w:t>
            </w:r>
            <w:r w:rsidRPr="002C109E">
              <w:rPr>
                <w:sz w:val="18"/>
              </w:rPr>
              <w:tab/>
            </w:r>
          </w:p>
          <w:p w:rsidR="002C109E" w:rsidRDefault="002C109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na hodnotu </w:t>
            </w:r>
            <w:r w:rsidRPr="002C109E">
              <w:rPr>
                <w:sz w:val="18"/>
              </w:rPr>
              <w:t>1 343 017 833,00</w:t>
            </w:r>
          </w:p>
          <w:p w:rsidR="002C109E" w:rsidRDefault="002C109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Celkové způsobilé výdaje </w:t>
            </w:r>
            <w:proofErr w:type="spellStart"/>
            <w:r>
              <w:rPr>
                <w:sz w:val="18"/>
              </w:rPr>
              <w:t>neinv</w:t>
            </w:r>
            <w:proofErr w:type="spellEnd"/>
            <w:r>
              <w:rPr>
                <w:sz w:val="18"/>
              </w:rPr>
              <w:t>. se mění z:</w:t>
            </w:r>
          </w:p>
          <w:p w:rsidR="002C109E" w:rsidRDefault="002C109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                    </w:t>
            </w:r>
            <w:r w:rsidRPr="002C109E">
              <w:rPr>
                <w:sz w:val="18"/>
              </w:rPr>
              <w:t>458 895 208,00</w:t>
            </w:r>
            <w:r w:rsidRPr="002C109E">
              <w:rPr>
                <w:sz w:val="18"/>
              </w:rPr>
              <w:tab/>
            </w:r>
          </w:p>
          <w:p w:rsidR="002C109E" w:rsidRDefault="002C109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                    </w:t>
            </w:r>
            <w:r w:rsidRPr="002C109E">
              <w:rPr>
                <w:sz w:val="18"/>
              </w:rPr>
              <w:t>476 472 408,00</w:t>
            </w:r>
          </w:p>
          <w:p w:rsidR="002C109E" w:rsidRDefault="002C109E" w:rsidP="00DD26D3">
            <w:pPr>
              <w:spacing w:before="60" w:after="60" w:line="240" w:lineRule="auto"/>
              <w:rPr>
                <w:sz w:val="18"/>
              </w:rPr>
            </w:pPr>
          </w:p>
          <w:p w:rsidR="00992D8B" w:rsidRDefault="00992D8B" w:rsidP="00992D8B">
            <w:pPr>
              <w:spacing w:before="60" w:after="60" w:line="240" w:lineRule="auto"/>
              <w:rPr>
                <w:sz w:val="18"/>
              </w:rPr>
            </w:pPr>
          </w:p>
          <w:p w:rsidR="00992D8B" w:rsidRDefault="00992D8B" w:rsidP="00992D8B">
            <w:pPr>
              <w:rPr>
                <w:sz w:val="18"/>
              </w:rPr>
            </w:pPr>
            <w:r w:rsidRPr="00992D8B">
              <w:rPr>
                <w:sz w:val="18"/>
              </w:rPr>
              <w:t>Nová výše investiční části činí 1.334.507.833,- Kč a neinvestiční pak 484.982.408,- Kč (resp. 1 328 252 967,62 Kč a 484 982 408,00 Kč dle Oznámení č. P-0070/02/02 o pozastavení plateb (</w:t>
            </w:r>
            <w:proofErr w:type="gramStart"/>
            <w:r w:rsidRPr="00992D8B">
              <w:rPr>
                <w:sz w:val="18"/>
              </w:rPr>
              <w:t>č.j.</w:t>
            </w:r>
            <w:proofErr w:type="gramEnd"/>
            <w:r w:rsidRPr="00992D8B">
              <w:rPr>
                <w:sz w:val="18"/>
              </w:rPr>
              <w:t xml:space="preserve"> MŠMT-7626/2013-442)</w:t>
            </w:r>
          </w:p>
          <w:p w:rsidR="000C5836" w:rsidRDefault="000C5836" w:rsidP="00992D8B">
            <w:pPr>
              <w:rPr>
                <w:sz w:val="18"/>
              </w:rPr>
            </w:pPr>
          </w:p>
          <w:p w:rsidR="00230B68" w:rsidRDefault="00230B68" w:rsidP="00992D8B">
            <w:pPr>
              <w:rPr>
                <w:sz w:val="18"/>
              </w:rPr>
            </w:pPr>
            <w:r>
              <w:rPr>
                <w:sz w:val="18"/>
              </w:rPr>
              <w:t xml:space="preserve">Přesun v rozpočtu Slezské univerzity. </w:t>
            </w:r>
            <w:proofErr w:type="gramStart"/>
            <w:r>
              <w:rPr>
                <w:sz w:val="18"/>
              </w:rPr>
              <w:t xml:space="preserve">Částka  </w:t>
            </w:r>
            <w:r w:rsidRPr="00230B68">
              <w:rPr>
                <w:sz w:val="18"/>
              </w:rPr>
              <w:t>841.186,</w:t>
            </w:r>
            <w:proofErr w:type="gramEnd"/>
            <w:r w:rsidRPr="00230B68">
              <w:rPr>
                <w:sz w:val="18"/>
              </w:rPr>
              <w:t xml:space="preserve">- Kč z podkapitoly </w:t>
            </w:r>
            <w:r>
              <w:rPr>
                <w:sz w:val="18"/>
              </w:rPr>
              <w:t xml:space="preserve">se přesune do </w:t>
            </w:r>
            <w:r w:rsidRPr="00230B68">
              <w:rPr>
                <w:sz w:val="18"/>
              </w:rPr>
              <w:t>7.3 Ostatní režijní výdaje (full-</w:t>
            </w:r>
            <w:proofErr w:type="spellStart"/>
            <w:r w:rsidRPr="00230B68">
              <w:rPr>
                <w:sz w:val="18"/>
              </w:rPr>
              <w:t>cost</w:t>
            </w:r>
            <w:proofErr w:type="spellEnd"/>
            <w:r w:rsidRPr="00230B68">
              <w:rPr>
                <w:sz w:val="18"/>
              </w:rPr>
              <w:t>) do podkapitoly 3.1 Drobný dlouhodobý majetek.</w:t>
            </w:r>
          </w:p>
          <w:p w:rsidR="005C037B" w:rsidRDefault="005C037B" w:rsidP="00992D8B">
            <w:pPr>
              <w:rPr>
                <w:sz w:val="18"/>
              </w:rPr>
            </w:pPr>
            <w:r>
              <w:rPr>
                <w:sz w:val="18"/>
              </w:rPr>
              <w:t>S</w:t>
            </w:r>
            <w:r w:rsidRPr="005C037B">
              <w:rPr>
                <w:sz w:val="18"/>
              </w:rPr>
              <w:t>nížení investiční kapitoly IT4I 1.1.1 CAD/CAM/CAE z 38.798.576,- Kč na 26.977.108,30 Kč a zvýšení investiční kapitoly VUT 2.3.2.1 Výdaje stavební části z 125.097.307,61 na 136.918.775,31 Kč.</w:t>
            </w:r>
          </w:p>
          <w:p w:rsidR="000C5836" w:rsidRDefault="000C5836" w:rsidP="00992D8B">
            <w:pPr>
              <w:rPr>
                <w:sz w:val="18"/>
              </w:rPr>
            </w:pPr>
          </w:p>
          <w:p w:rsidR="005C037B" w:rsidRDefault="005C037B" w:rsidP="00992D8B">
            <w:pPr>
              <w:rPr>
                <w:sz w:val="18"/>
              </w:rPr>
            </w:pPr>
            <w:r w:rsidRPr="005C037B">
              <w:rPr>
                <w:sz w:val="18"/>
              </w:rPr>
              <w:t xml:space="preserve">Celkové způsobilé výdaje projektu zůstávají v hodnotě 1 692 512 441,- Kč. Investiční náklady budou navýšeny z 1 207 530 033,- Kč na 1 252 107 374,22 Kč, </w:t>
            </w:r>
            <w:proofErr w:type="spellStart"/>
            <w:r w:rsidRPr="005C037B">
              <w:rPr>
                <w:sz w:val="18"/>
              </w:rPr>
              <w:t>neinv</w:t>
            </w:r>
            <w:proofErr w:type="spellEnd"/>
            <w:r w:rsidRPr="005C037B">
              <w:rPr>
                <w:sz w:val="18"/>
              </w:rPr>
              <w:t xml:space="preserve">. </w:t>
            </w:r>
            <w:proofErr w:type="gramStart"/>
            <w:r w:rsidRPr="005C037B">
              <w:rPr>
                <w:sz w:val="18"/>
              </w:rPr>
              <w:t>poklesnou z 484 982 407,</w:t>
            </w:r>
            <w:proofErr w:type="gramEnd"/>
            <w:r w:rsidRPr="005C037B">
              <w:rPr>
                <w:sz w:val="18"/>
              </w:rPr>
              <w:t xml:space="preserve">- Kč na 440 405 066,78 Kč, tj. dojde k přesunu částky mezi </w:t>
            </w:r>
            <w:proofErr w:type="spellStart"/>
            <w:r w:rsidRPr="005C037B">
              <w:rPr>
                <w:sz w:val="18"/>
              </w:rPr>
              <w:t>inv</w:t>
            </w:r>
            <w:proofErr w:type="spellEnd"/>
            <w:r w:rsidRPr="005C037B">
              <w:rPr>
                <w:sz w:val="18"/>
              </w:rPr>
              <w:t xml:space="preserve">. v </w:t>
            </w:r>
            <w:proofErr w:type="spellStart"/>
            <w:r w:rsidRPr="005C037B">
              <w:rPr>
                <w:sz w:val="18"/>
              </w:rPr>
              <w:t>neinv</w:t>
            </w:r>
            <w:proofErr w:type="spellEnd"/>
            <w:r w:rsidRPr="005C037B">
              <w:rPr>
                <w:sz w:val="18"/>
              </w:rPr>
              <w:t>. ve výši 44 577 341,22 Kč.</w:t>
            </w:r>
          </w:p>
          <w:p w:rsidR="005C037B" w:rsidRDefault="005C037B" w:rsidP="00992D8B">
            <w:pPr>
              <w:rPr>
                <w:sz w:val="18"/>
              </w:rPr>
            </w:pPr>
            <w:r w:rsidRPr="005C037B">
              <w:rPr>
                <w:sz w:val="18"/>
              </w:rPr>
              <w:t xml:space="preserve">Celkové způsobilé výdaje projektu budou sníženy z 1 819 490 241,- Kč </w:t>
            </w:r>
            <w:r w:rsidRPr="005C037B">
              <w:rPr>
                <w:sz w:val="18"/>
              </w:rPr>
              <w:lastRenderedPageBreak/>
              <w:t>na 1 692 512 441,- Kč. Investiční náklady poklesnou z 1 334 507 833,- Kč na 1 207 530 033,- Kč.</w:t>
            </w:r>
          </w:p>
          <w:p w:rsidR="008C5780" w:rsidRPr="008C5780" w:rsidRDefault="008C5780" w:rsidP="000872A2">
            <w:pPr>
              <w:spacing w:after="40"/>
              <w:rPr>
                <w:sz w:val="18"/>
              </w:rPr>
            </w:pPr>
            <w:r>
              <w:rPr>
                <w:sz w:val="18"/>
              </w:rPr>
              <w:t>Změna</w:t>
            </w:r>
            <w:r w:rsidRPr="008C5780">
              <w:rPr>
                <w:sz w:val="18"/>
              </w:rPr>
              <w:t xml:space="preserve"> celkových způsobilých výdajů projektu z:</w:t>
            </w:r>
          </w:p>
          <w:p w:rsidR="008C5780" w:rsidRPr="008C5780" w:rsidRDefault="008C5780" w:rsidP="000872A2">
            <w:pPr>
              <w:spacing w:after="40"/>
              <w:rPr>
                <w:sz w:val="18"/>
              </w:rPr>
            </w:pPr>
            <w:r>
              <w:rPr>
                <w:sz w:val="18"/>
              </w:rPr>
              <w:t xml:space="preserve">1 692 512 441,- Kč na </w:t>
            </w:r>
            <w:r w:rsidRPr="008C5780">
              <w:rPr>
                <w:sz w:val="18"/>
              </w:rPr>
              <w:t xml:space="preserve">1 606 931 185,40 Kč </w:t>
            </w:r>
          </w:p>
          <w:p w:rsidR="008C5780" w:rsidRDefault="008C5780" w:rsidP="000872A2">
            <w:pPr>
              <w:spacing w:after="40"/>
              <w:rPr>
                <w:sz w:val="18"/>
              </w:rPr>
            </w:pPr>
            <w:r>
              <w:rPr>
                <w:sz w:val="18"/>
              </w:rPr>
              <w:t>Změna</w:t>
            </w:r>
            <w:r w:rsidRPr="008C5780">
              <w:rPr>
                <w:sz w:val="18"/>
              </w:rPr>
              <w:t xml:space="preserve"> celkových i</w:t>
            </w:r>
            <w:r>
              <w:rPr>
                <w:sz w:val="18"/>
              </w:rPr>
              <w:t>nvestičních nákladů projektu z 1 252 107 374,22- Kč 1 166 526 118,62 Kč</w:t>
            </w:r>
          </w:p>
          <w:p w:rsidR="008C5780" w:rsidRPr="00992D8B" w:rsidRDefault="008C5780" w:rsidP="000872A2">
            <w:pPr>
              <w:spacing w:after="40"/>
              <w:rPr>
                <w:sz w:val="18"/>
              </w:rPr>
            </w:pPr>
            <w:r w:rsidRPr="008C5780">
              <w:rPr>
                <w:sz w:val="18"/>
              </w:rPr>
              <w:t>Celkové neinvestiční náklady projektu zůstávají nezměněny.</w:t>
            </w:r>
          </w:p>
        </w:tc>
      </w:tr>
      <w:tr w:rsidR="0004245B" w:rsidTr="00380CBE">
        <w:trPr>
          <w:trHeight w:val="869"/>
        </w:trPr>
        <w:tc>
          <w:tcPr>
            <w:tcW w:w="2060" w:type="dxa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Věcná realizace projektu</w:t>
            </w:r>
          </w:p>
        </w:tc>
        <w:tc>
          <w:tcPr>
            <w:tcW w:w="7546" w:type="dxa"/>
            <w:gridSpan w:val="5"/>
          </w:tcPr>
          <w:p w:rsidR="0004245B" w:rsidRDefault="0004245B" w:rsidP="00DD26D3">
            <w:pPr>
              <w:spacing w:before="60" w:after="60" w:line="240" w:lineRule="auto"/>
              <w:rPr>
                <w:sz w:val="20"/>
              </w:rPr>
            </w:pPr>
            <w:r w:rsidRPr="004256C6">
              <w:rPr>
                <w:b/>
                <w:sz w:val="20"/>
              </w:rPr>
              <w:t>Stavební část (včetně % naplnění</w:t>
            </w:r>
            <w:r w:rsidRPr="004256C6">
              <w:rPr>
                <w:sz w:val="20"/>
              </w:rPr>
              <w:t>)</w:t>
            </w:r>
            <w:r w:rsidR="008C5780" w:rsidRPr="004256C6">
              <w:rPr>
                <w:sz w:val="20"/>
              </w:rPr>
              <w:t xml:space="preserve"> – </w:t>
            </w:r>
            <w:proofErr w:type="gramStart"/>
            <w:r w:rsidR="008C5780" w:rsidRPr="004256C6">
              <w:rPr>
                <w:sz w:val="20"/>
              </w:rPr>
              <w:t>Stavba I , III</w:t>
            </w:r>
            <w:proofErr w:type="gramEnd"/>
            <w:r w:rsidR="008C5780" w:rsidRPr="004256C6">
              <w:rPr>
                <w:sz w:val="20"/>
              </w:rPr>
              <w:t xml:space="preserve"> a budova  FIT jsou ukončeny. Práce na stavbě II budou ukončeny v červnu 2015 </w:t>
            </w:r>
            <w:r w:rsidR="008C5780" w:rsidRPr="004256C6">
              <w:rPr>
                <w:sz w:val="20"/>
              </w:rPr>
              <w:sym w:font="Wingdings" w:char="F0E0"/>
            </w:r>
            <w:r w:rsidR="008C5780" w:rsidRPr="004256C6">
              <w:rPr>
                <w:sz w:val="20"/>
              </w:rPr>
              <w:t xml:space="preserve"> 90%. </w:t>
            </w:r>
          </w:p>
          <w:p w:rsidR="004256C6" w:rsidRPr="004256C6" w:rsidRDefault="004256C6" w:rsidP="00DD26D3">
            <w:pPr>
              <w:spacing w:before="60" w:after="60" w:line="240" w:lineRule="auto"/>
              <w:rPr>
                <w:sz w:val="20"/>
              </w:rPr>
            </w:pPr>
          </w:p>
          <w:p w:rsidR="0004245B" w:rsidRDefault="0004245B" w:rsidP="00DD26D3">
            <w:pPr>
              <w:spacing w:before="60" w:after="60" w:line="240" w:lineRule="auto"/>
              <w:rPr>
                <w:sz w:val="20"/>
              </w:rPr>
            </w:pPr>
            <w:r w:rsidRPr="004256C6">
              <w:rPr>
                <w:b/>
                <w:sz w:val="20"/>
              </w:rPr>
              <w:t>Přístroje (včetně % naplnění)</w:t>
            </w:r>
            <w:r w:rsidR="00BB67C2" w:rsidRPr="004256C6">
              <w:rPr>
                <w:sz w:val="20"/>
              </w:rPr>
              <w:t xml:space="preserve"> </w:t>
            </w:r>
            <w:r w:rsidR="00A009AD" w:rsidRPr="004256C6">
              <w:rPr>
                <w:sz w:val="20"/>
              </w:rPr>
              <w:t>–</w:t>
            </w:r>
            <w:r w:rsidR="00BB67C2" w:rsidRPr="004256C6">
              <w:rPr>
                <w:sz w:val="20"/>
              </w:rPr>
              <w:t xml:space="preserve"> </w:t>
            </w:r>
            <w:r w:rsidR="00A009AD" w:rsidRPr="004256C6">
              <w:rPr>
                <w:sz w:val="20"/>
              </w:rPr>
              <w:t>příjemce se snaží postupovat v souladu s nastaveným harmonogramem nákupu klíčového vybavení. V několika případech Velký cluster, sestava automotivních robotů došlo ke zpoždění vzhledem k nutnosti opakování VŘ. 70%</w:t>
            </w:r>
          </w:p>
          <w:p w:rsidR="004256C6" w:rsidRPr="004256C6" w:rsidRDefault="004256C6" w:rsidP="00DD26D3">
            <w:pPr>
              <w:spacing w:before="60" w:after="60" w:line="240" w:lineRule="auto"/>
              <w:rPr>
                <w:sz w:val="20"/>
              </w:rPr>
            </w:pPr>
          </w:p>
          <w:p w:rsidR="0004245B" w:rsidRPr="004256C6" w:rsidRDefault="0081392A" w:rsidP="00DD26D3">
            <w:pPr>
              <w:spacing w:before="60" w:after="60" w:line="240" w:lineRule="auto"/>
              <w:rPr>
                <w:sz w:val="20"/>
              </w:rPr>
            </w:pPr>
            <w:r w:rsidRPr="004256C6">
              <w:rPr>
                <w:b/>
                <w:sz w:val="20"/>
              </w:rPr>
              <w:t xml:space="preserve">Personální zajištění </w:t>
            </w:r>
            <w:r w:rsidR="00AF6EBB" w:rsidRPr="004256C6">
              <w:rPr>
                <w:b/>
                <w:sz w:val="20"/>
              </w:rPr>
              <w:t>(včetně % naplnění</w:t>
            </w:r>
            <w:r w:rsidR="00AF6EBB" w:rsidRPr="004256C6">
              <w:rPr>
                <w:sz w:val="20"/>
              </w:rPr>
              <w:t>)</w:t>
            </w:r>
            <w:r w:rsidR="00BB67C2" w:rsidRPr="004256C6">
              <w:rPr>
                <w:sz w:val="20"/>
              </w:rPr>
              <w:t xml:space="preserve"> </w:t>
            </w:r>
            <w:r w:rsidR="00087705" w:rsidRPr="004256C6">
              <w:rPr>
                <w:sz w:val="20"/>
              </w:rPr>
              <w:t>– 100% s prognózou překročení (navzdory nařízení ŘO o nutnosti snížení úvazků)</w:t>
            </w:r>
          </w:p>
          <w:p w:rsidR="00B2004E" w:rsidRPr="004256C6" w:rsidRDefault="00B2004E" w:rsidP="00DD26D3">
            <w:pPr>
              <w:spacing w:before="60" w:after="60" w:line="240" w:lineRule="auto"/>
              <w:rPr>
                <w:sz w:val="20"/>
              </w:rPr>
            </w:pPr>
          </w:p>
          <w:p w:rsidR="00B2004E" w:rsidRPr="004256C6" w:rsidRDefault="00B2004E" w:rsidP="00DD26D3">
            <w:pPr>
              <w:spacing w:before="60" w:after="60" w:line="240" w:lineRule="auto"/>
              <w:rPr>
                <w:sz w:val="20"/>
              </w:rPr>
            </w:pPr>
            <w:r w:rsidRPr="004256C6">
              <w:rPr>
                <w:sz w:val="20"/>
              </w:rPr>
              <w:t xml:space="preserve">Projekt se vyrovnal s nutností posunu termínů naplnění staveb a pořízení klíčové technologie velkého clusteru – významná VŘ se podařilo úspěšně uzavřít do podzimu roku 2014. Provedenými přesuny v rozpočtu a podstatnými změnami projekt situaci narovnal. Realizace aktivit projektu by měla proběhnout v souladu s aktualizovaným harmonogramem do konce </w:t>
            </w:r>
            <w:r w:rsidR="00CD15B6" w:rsidRPr="004256C6">
              <w:rPr>
                <w:sz w:val="20"/>
              </w:rPr>
              <w:t>roku 2015</w:t>
            </w:r>
            <w:r w:rsidRPr="004256C6">
              <w:rPr>
                <w:sz w:val="20"/>
              </w:rPr>
              <w:t xml:space="preserve">. </w:t>
            </w:r>
          </w:p>
          <w:p w:rsidR="00B2004E" w:rsidRDefault="00B2004E" w:rsidP="00DD26D3">
            <w:pPr>
              <w:spacing w:before="60" w:after="60" w:line="240" w:lineRule="auto"/>
              <w:rPr>
                <w:sz w:val="16"/>
              </w:rPr>
            </w:pPr>
          </w:p>
          <w:tbl>
            <w:tblPr>
              <w:tblW w:w="6617" w:type="dxa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637"/>
              <w:gridCol w:w="4042"/>
              <w:gridCol w:w="1158"/>
              <w:gridCol w:w="780"/>
            </w:tblGrid>
            <w:tr w:rsidR="00CD15B6" w:rsidRPr="00B2004E" w:rsidTr="00D32D72">
              <w:trPr>
                <w:trHeight w:val="1275"/>
              </w:trPr>
              <w:tc>
                <w:tcPr>
                  <w:tcW w:w="46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rPr>
                      <w:b/>
                      <w:bCs/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b/>
                      <w:bCs/>
                      <w:sz w:val="16"/>
                      <w:szCs w:val="20"/>
                      <w:lang w:eastAsia="cs-CZ"/>
                    </w:rPr>
                    <w:t>Závazné hodnoty monitorovacích indikátorů: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04E" w:rsidRDefault="00B2004E" w:rsidP="00B766E2">
                  <w:pPr>
                    <w:spacing w:after="0" w:line="240" w:lineRule="auto"/>
                    <w:jc w:val="center"/>
                    <w:rPr>
                      <w:b/>
                      <w:bCs/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b/>
                      <w:bCs/>
                      <w:sz w:val="16"/>
                      <w:szCs w:val="20"/>
                      <w:lang w:eastAsia="cs-CZ"/>
                    </w:rPr>
                    <w:t>K datu ukončení realizace projektu</w:t>
                  </w:r>
                </w:p>
                <w:p w:rsidR="00D32D72" w:rsidRPr="00B2004E" w:rsidRDefault="00D32D72" w:rsidP="00B766E2">
                  <w:pPr>
                    <w:spacing w:after="0" w:line="240" w:lineRule="auto"/>
                    <w:jc w:val="center"/>
                    <w:rPr>
                      <w:b/>
                      <w:bCs/>
                      <w:sz w:val="16"/>
                      <w:szCs w:val="20"/>
                      <w:lang w:eastAsia="cs-CZ"/>
                    </w:rPr>
                  </w:pPr>
                  <w:r>
                    <w:rPr>
                      <w:b/>
                      <w:bCs/>
                      <w:sz w:val="16"/>
                      <w:szCs w:val="20"/>
                      <w:lang w:eastAsia="cs-CZ"/>
                    </w:rPr>
                    <w:t>/</w:t>
                  </w:r>
                  <w:r w:rsidR="0012530A">
                    <w:rPr>
                      <w:b/>
                      <w:bCs/>
                      <w:sz w:val="16"/>
                      <w:szCs w:val="20"/>
                      <w:lang w:eastAsia="cs-CZ"/>
                    </w:rPr>
                    <w:t>31. 12. 2015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04E" w:rsidRPr="00B2004E" w:rsidRDefault="00CD15B6" w:rsidP="00B766E2">
                  <w:pPr>
                    <w:spacing w:after="0" w:line="240" w:lineRule="auto"/>
                    <w:jc w:val="center"/>
                    <w:rPr>
                      <w:b/>
                      <w:bCs/>
                      <w:sz w:val="16"/>
                      <w:szCs w:val="20"/>
                      <w:lang w:eastAsia="cs-CZ"/>
                    </w:rPr>
                  </w:pPr>
                  <w:r>
                    <w:rPr>
                      <w:b/>
                      <w:bCs/>
                      <w:sz w:val="16"/>
                      <w:szCs w:val="20"/>
                      <w:lang w:eastAsia="cs-CZ"/>
                    </w:rPr>
                    <w:t>Aktuálně</w:t>
                  </w:r>
                </w:p>
              </w:tc>
            </w:tr>
            <w:tr w:rsidR="00A47B9B" w:rsidRPr="00B2004E" w:rsidTr="00D32D72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110502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Odborné publikace (dle metodiky RVV)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987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2004E" w:rsidRPr="00B2004E" w:rsidRDefault="00CD15B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>
                    <w:rPr>
                      <w:sz w:val="16"/>
                      <w:szCs w:val="20"/>
                      <w:lang w:eastAsia="cs-CZ"/>
                    </w:rPr>
                    <w:t>1075,03</w:t>
                  </w:r>
                </w:p>
              </w:tc>
            </w:tr>
            <w:tr w:rsidR="00A47B9B" w:rsidRPr="00B2004E" w:rsidTr="00D32D72">
              <w:trPr>
                <w:trHeight w:val="510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110503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2004E" w:rsidRPr="00B2004E" w:rsidRDefault="00CD15B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>
                    <w:rPr>
                      <w:sz w:val="16"/>
                      <w:szCs w:val="20"/>
                      <w:lang w:eastAsia="cs-CZ"/>
                    </w:rPr>
                    <w:t>1,86</w:t>
                  </w:r>
                </w:p>
              </w:tc>
            </w:tr>
            <w:tr w:rsidR="00A47B9B" w:rsidRPr="00B2004E" w:rsidTr="00D32D72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110504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Aplikované výsledky výzkumu (dle metodiky RVV)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2004E" w:rsidRPr="00B2004E" w:rsidRDefault="00CD15B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>
                    <w:rPr>
                      <w:sz w:val="16"/>
                      <w:szCs w:val="20"/>
                      <w:lang w:eastAsia="cs-CZ"/>
                    </w:rPr>
                    <w:t>98,30</w:t>
                  </w:r>
                </w:p>
              </w:tc>
            </w:tr>
            <w:tr w:rsidR="00A47B9B" w:rsidRPr="00B2004E" w:rsidTr="00D32D72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111200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Objem smluvního výzkumu (tis. Kč)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74 910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2004E" w:rsidRPr="00B2004E" w:rsidRDefault="00CD15B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>
                    <w:rPr>
                      <w:sz w:val="16"/>
                      <w:szCs w:val="20"/>
                      <w:lang w:eastAsia="cs-CZ"/>
                    </w:rPr>
                    <w:t>50 810,38</w:t>
                  </w:r>
                </w:p>
              </w:tc>
            </w:tr>
            <w:tr w:rsidR="00A47B9B" w:rsidRPr="00B2004E" w:rsidTr="00D32D72">
              <w:trPr>
                <w:trHeight w:val="255"/>
              </w:trPr>
              <w:tc>
                <w:tcPr>
                  <w:tcW w:w="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111300</w:t>
                  </w:r>
                </w:p>
              </w:tc>
              <w:tc>
                <w:tcPr>
                  <w:tcW w:w="40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 xml:space="preserve">Objem prostředků na </w:t>
                  </w:r>
                  <w:proofErr w:type="spellStart"/>
                  <w:r w:rsidRPr="00B2004E">
                    <w:rPr>
                      <w:sz w:val="16"/>
                      <w:szCs w:val="20"/>
                      <w:lang w:eastAsia="cs-CZ"/>
                    </w:rPr>
                    <w:t>VaV</w:t>
                  </w:r>
                  <w:proofErr w:type="spellEnd"/>
                  <w:r w:rsidRPr="00B2004E">
                    <w:rPr>
                      <w:sz w:val="16"/>
                      <w:szCs w:val="20"/>
                      <w:lang w:eastAsia="cs-CZ"/>
                    </w:rPr>
                    <w:t xml:space="preserve"> získaný ze zahraničních zdrojů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81 300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2004E" w:rsidRPr="00B2004E" w:rsidRDefault="00CD15B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>
                    <w:rPr>
                      <w:sz w:val="16"/>
                      <w:szCs w:val="20"/>
                      <w:lang w:eastAsia="cs-CZ"/>
                    </w:rPr>
                    <w:t>96 348,3</w:t>
                  </w:r>
                </w:p>
              </w:tc>
            </w:tr>
            <w:tr w:rsidR="00A47B9B" w:rsidRPr="00B2004E" w:rsidTr="00D32D72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074902</w:t>
                  </w:r>
                </w:p>
              </w:tc>
              <w:tc>
                <w:tcPr>
                  <w:tcW w:w="40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Počet úspěšných absolventů doktorských studijních programů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22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2004E" w:rsidRPr="00B2004E" w:rsidRDefault="00CD15B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>
                    <w:rPr>
                      <w:sz w:val="16"/>
                      <w:szCs w:val="20"/>
                      <w:lang w:eastAsia="cs-CZ"/>
                    </w:rPr>
                    <w:t>39</w:t>
                  </w:r>
                </w:p>
              </w:tc>
            </w:tr>
            <w:tr w:rsidR="00A47B9B" w:rsidRPr="00B2004E" w:rsidTr="00D32D72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110710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04E" w:rsidRPr="00B2004E" w:rsidRDefault="00B2004E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</w:rPr>
                    <w:t xml:space="preserve">Počet projektů spolupráce aplikační sféry s centry excelence 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2004E" w:rsidRPr="00B2004E" w:rsidRDefault="00CD15B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>
                    <w:rPr>
                      <w:sz w:val="16"/>
                      <w:szCs w:val="20"/>
                      <w:lang w:eastAsia="cs-CZ"/>
                    </w:rPr>
                    <w:t>28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28</w:t>
                  </w:r>
                </w:p>
              </w:tc>
            </w:tr>
            <w:tr w:rsidR="00A47B9B" w:rsidRPr="00B2004E" w:rsidTr="00D32D72">
              <w:trPr>
                <w:trHeight w:val="510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110820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Počet studentů magisterských a doktorských studijních programů využívajících vybudovanou infrastrukturu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2004E" w:rsidRPr="00B2004E" w:rsidRDefault="00CD15B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>
                    <w:rPr>
                      <w:sz w:val="16"/>
                      <w:szCs w:val="20"/>
                      <w:lang w:eastAsia="cs-CZ"/>
                    </w:rPr>
                    <w:t>406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2004E" w:rsidRPr="00B2004E" w:rsidRDefault="00CD15B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>
                    <w:rPr>
                      <w:sz w:val="16"/>
                      <w:szCs w:val="20"/>
                      <w:lang w:eastAsia="cs-CZ"/>
                    </w:rPr>
                    <w:t>0</w:t>
                  </w:r>
                </w:p>
              </w:tc>
            </w:tr>
            <w:tr w:rsidR="00A47B9B" w:rsidRPr="00B2004E" w:rsidTr="00D32D72">
              <w:trPr>
                <w:trHeight w:val="510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110810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Počet výzkumných pracovníků využívajících vybudovanou infrastrukturu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2004E" w:rsidRPr="00B2004E" w:rsidRDefault="00CD15B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>
                    <w:rPr>
                      <w:sz w:val="16"/>
                      <w:szCs w:val="20"/>
                      <w:lang w:eastAsia="cs-CZ"/>
                    </w:rPr>
                    <w:t>308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2004E" w:rsidRPr="00B2004E" w:rsidRDefault="00CD15B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>
                    <w:rPr>
                      <w:sz w:val="16"/>
                      <w:szCs w:val="20"/>
                      <w:lang w:eastAsia="cs-CZ"/>
                    </w:rPr>
                    <w:t>210</w:t>
                  </w:r>
                </w:p>
              </w:tc>
            </w:tr>
            <w:tr w:rsidR="00A47B9B" w:rsidRPr="00B2004E" w:rsidTr="00D32D72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110830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Podíl kapacit nových infrastruktur využívaných jinými subjekty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2004E" w:rsidRPr="00B2004E" w:rsidRDefault="00CD15B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>
                    <w:rPr>
                      <w:sz w:val="16"/>
                      <w:szCs w:val="20"/>
                      <w:lang w:eastAsia="cs-CZ"/>
                    </w:rPr>
                    <w:t>30%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2004E" w:rsidRPr="00B2004E" w:rsidRDefault="00CD15B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>
                    <w:rPr>
                      <w:sz w:val="16"/>
                      <w:szCs w:val="20"/>
                      <w:lang w:eastAsia="cs-CZ"/>
                    </w:rPr>
                    <w:t>41,34</w:t>
                  </w:r>
                  <w:r w:rsidR="00B2004E" w:rsidRPr="00B2004E">
                    <w:rPr>
                      <w:sz w:val="16"/>
                      <w:szCs w:val="20"/>
                      <w:lang w:eastAsia="cs-CZ"/>
                    </w:rPr>
                    <w:t xml:space="preserve"> %</w:t>
                  </w:r>
                </w:p>
              </w:tc>
            </w:tr>
            <w:tr w:rsidR="00A47B9B" w:rsidRPr="00B2004E" w:rsidTr="00D32D72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110300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 xml:space="preserve">Počet nově vytvořených pracovních míst, zaměstnanci </w:t>
                  </w:r>
                  <w:proofErr w:type="spellStart"/>
                  <w:r w:rsidRPr="00B2004E">
                    <w:rPr>
                      <w:sz w:val="16"/>
                      <w:szCs w:val="20"/>
                      <w:lang w:eastAsia="cs-CZ"/>
                    </w:rPr>
                    <w:t>VaV</w:t>
                  </w:r>
                  <w:proofErr w:type="spellEnd"/>
                  <w:r w:rsidRPr="00B2004E">
                    <w:rPr>
                      <w:sz w:val="16"/>
                      <w:szCs w:val="20"/>
                      <w:lang w:eastAsia="cs-CZ"/>
                    </w:rPr>
                    <w:t xml:space="preserve"> - celkem  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200,3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2004E" w:rsidRPr="00B2004E" w:rsidRDefault="00CD15B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>
                    <w:rPr>
                      <w:sz w:val="16"/>
                      <w:szCs w:val="20"/>
                      <w:lang w:eastAsia="cs-CZ"/>
                    </w:rPr>
                    <w:t>201,18</w:t>
                  </w:r>
                </w:p>
              </w:tc>
            </w:tr>
            <w:tr w:rsidR="00A47B9B" w:rsidRPr="00B2004E" w:rsidTr="00D32D72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071700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148,5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148,</w:t>
                  </w:r>
                  <w:r w:rsidR="00CD15B6">
                    <w:rPr>
                      <w:sz w:val="16"/>
                      <w:szCs w:val="20"/>
                      <w:lang w:eastAsia="cs-CZ"/>
                    </w:rPr>
                    <w:t>0</w:t>
                  </w:r>
                  <w:r w:rsidRPr="00B2004E">
                    <w:rPr>
                      <w:sz w:val="16"/>
                      <w:szCs w:val="20"/>
                      <w:lang w:eastAsia="cs-CZ"/>
                    </w:rPr>
                    <w:t>5</w:t>
                  </w:r>
                </w:p>
              </w:tc>
            </w:tr>
            <w:tr w:rsidR="00A47B9B" w:rsidRPr="00B2004E" w:rsidTr="00D32D72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071900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70,8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2004E" w:rsidRPr="00B2004E" w:rsidRDefault="00CD15B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>
                    <w:rPr>
                      <w:sz w:val="16"/>
                      <w:szCs w:val="20"/>
                      <w:lang w:eastAsia="cs-CZ"/>
                    </w:rPr>
                    <w:t>87,12</w:t>
                  </w:r>
                </w:p>
              </w:tc>
            </w:tr>
            <w:tr w:rsidR="00A47B9B" w:rsidRPr="00B2004E" w:rsidTr="00D32D72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110516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Rozšířené nebo zrekonstruované kapacity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550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2004E" w:rsidRPr="00B2004E" w:rsidRDefault="00CD15B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>
                    <w:rPr>
                      <w:sz w:val="16"/>
                      <w:szCs w:val="20"/>
                      <w:lang w:eastAsia="cs-CZ"/>
                    </w:rPr>
                    <w:t>552,24</w:t>
                  </w:r>
                </w:p>
              </w:tc>
            </w:tr>
            <w:tr w:rsidR="00A47B9B" w:rsidRPr="00B2004E" w:rsidTr="00D32D72">
              <w:trPr>
                <w:trHeight w:val="255"/>
              </w:trPr>
              <w:tc>
                <w:tcPr>
                  <w:tcW w:w="6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center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lastRenderedPageBreak/>
                    <w:t>110517</w:t>
                  </w:r>
                </w:p>
              </w:tc>
              <w:tc>
                <w:tcPr>
                  <w:tcW w:w="4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Vybudované kapacity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B2004E" w:rsidRPr="00B2004E" w:rsidRDefault="00B2004E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 w:rsidRPr="00B2004E">
                    <w:rPr>
                      <w:sz w:val="16"/>
                      <w:szCs w:val="20"/>
                      <w:lang w:eastAsia="cs-CZ"/>
                    </w:rPr>
                    <w:t>11 280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B2004E" w:rsidRPr="00B2004E" w:rsidRDefault="00CD15B6" w:rsidP="00B766E2">
                  <w:pPr>
                    <w:spacing w:after="0" w:line="240" w:lineRule="auto"/>
                    <w:jc w:val="right"/>
                    <w:rPr>
                      <w:sz w:val="16"/>
                      <w:szCs w:val="20"/>
                      <w:lang w:eastAsia="cs-CZ"/>
                    </w:rPr>
                  </w:pPr>
                  <w:r>
                    <w:rPr>
                      <w:sz w:val="16"/>
                      <w:szCs w:val="20"/>
                      <w:lang w:eastAsia="cs-CZ"/>
                    </w:rPr>
                    <w:t>11 391,60</w:t>
                  </w:r>
                </w:p>
              </w:tc>
            </w:tr>
          </w:tbl>
          <w:p w:rsidR="00B2004E" w:rsidRDefault="00B2004E" w:rsidP="00DD26D3">
            <w:pPr>
              <w:spacing w:before="60" w:after="60" w:line="240" w:lineRule="auto"/>
              <w:rPr>
                <w:sz w:val="16"/>
              </w:rPr>
            </w:pPr>
          </w:p>
          <w:p w:rsidR="00B2004E" w:rsidRPr="00AF6EBB" w:rsidRDefault="00B2004E" w:rsidP="00DD26D3">
            <w:pPr>
              <w:spacing w:before="60" w:after="60" w:line="240" w:lineRule="auto"/>
              <w:rPr>
                <w:sz w:val="16"/>
              </w:rPr>
            </w:pPr>
          </w:p>
        </w:tc>
      </w:tr>
      <w:tr w:rsidR="00DA6654" w:rsidTr="00380CBE">
        <w:tc>
          <w:tcPr>
            <w:tcW w:w="2060" w:type="dxa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Finanční čerpání projektu</w:t>
            </w:r>
          </w:p>
        </w:tc>
        <w:tc>
          <w:tcPr>
            <w:tcW w:w="7546" w:type="dxa"/>
            <w:gridSpan w:val="5"/>
          </w:tcPr>
          <w:p w:rsidR="00562EFB" w:rsidRDefault="00DA6654" w:rsidP="00DD26D3">
            <w:pPr>
              <w:spacing w:before="60" w:after="60" w:line="240" w:lineRule="auto"/>
              <w:rPr>
                <w:sz w:val="20"/>
              </w:rPr>
            </w:pPr>
            <w:r w:rsidRPr="004256C6">
              <w:rPr>
                <w:sz w:val="20"/>
              </w:rPr>
              <w:t xml:space="preserve">Předložené výdaje </w:t>
            </w:r>
            <w:r w:rsidR="003E529E">
              <w:rPr>
                <w:sz w:val="20"/>
              </w:rPr>
              <w:t xml:space="preserve"> 779 938 700,99 Kč</w:t>
            </w:r>
          </w:p>
          <w:p w:rsidR="00DA6654" w:rsidRPr="004256C6" w:rsidRDefault="00DA6654" w:rsidP="00DD26D3">
            <w:pPr>
              <w:spacing w:before="60" w:after="60" w:line="240" w:lineRule="auto"/>
              <w:rPr>
                <w:sz w:val="20"/>
              </w:rPr>
            </w:pPr>
            <w:r w:rsidRPr="004256C6">
              <w:rPr>
                <w:sz w:val="20"/>
              </w:rPr>
              <w:t>Schválené výdaje</w:t>
            </w:r>
            <w:r w:rsidR="00C92258" w:rsidRPr="004256C6">
              <w:rPr>
                <w:sz w:val="20"/>
              </w:rPr>
              <w:t xml:space="preserve"> </w:t>
            </w:r>
            <w:r w:rsidRPr="004256C6">
              <w:rPr>
                <w:sz w:val="20"/>
              </w:rPr>
              <w:t>(v Kč i %)</w:t>
            </w:r>
            <w:r w:rsidR="00733362" w:rsidRPr="004256C6">
              <w:rPr>
                <w:sz w:val="20"/>
              </w:rPr>
              <w:t xml:space="preserve"> </w:t>
            </w:r>
            <w:r w:rsidR="009E1A0F" w:rsidRPr="004256C6">
              <w:rPr>
                <w:sz w:val="20"/>
              </w:rPr>
              <w:t>715 189 185,45</w:t>
            </w:r>
            <w:r w:rsidR="00733362" w:rsidRPr="004256C6">
              <w:rPr>
                <w:sz w:val="20"/>
              </w:rPr>
              <w:t xml:space="preserve"> Kč, </w:t>
            </w:r>
            <w:proofErr w:type="spellStart"/>
            <w:r w:rsidR="00733362" w:rsidRPr="004256C6">
              <w:rPr>
                <w:sz w:val="20"/>
              </w:rPr>
              <w:t>tj</w:t>
            </w:r>
            <w:proofErr w:type="spellEnd"/>
            <w:r w:rsidR="00733362" w:rsidRPr="004256C6">
              <w:rPr>
                <w:sz w:val="20"/>
              </w:rPr>
              <w:t xml:space="preserve">: </w:t>
            </w:r>
            <w:r w:rsidR="006567A2" w:rsidRPr="004256C6">
              <w:rPr>
                <w:sz w:val="20"/>
              </w:rPr>
              <w:t xml:space="preserve">42,25 </w:t>
            </w:r>
            <w:r w:rsidR="00733362" w:rsidRPr="004256C6">
              <w:rPr>
                <w:sz w:val="20"/>
              </w:rPr>
              <w:t xml:space="preserve">% </w:t>
            </w:r>
            <w:r w:rsidR="008F072B" w:rsidRPr="004256C6">
              <w:rPr>
                <w:sz w:val="20"/>
              </w:rPr>
              <w:t>způsobilých výdajů dle rozpočtu</w:t>
            </w:r>
          </w:p>
          <w:p w:rsidR="00DA6654" w:rsidRPr="004256C6" w:rsidRDefault="00DA6654" w:rsidP="00733362">
            <w:pPr>
              <w:spacing w:before="60" w:after="60" w:line="240" w:lineRule="auto"/>
              <w:rPr>
                <w:sz w:val="20"/>
              </w:rPr>
            </w:pPr>
            <w:r w:rsidRPr="004256C6">
              <w:rPr>
                <w:sz w:val="20"/>
              </w:rPr>
              <w:t>Certifikované výdaje (v Kč i %)</w:t>
            </w:r>
            <w:r w:rsidR="00733362" w:rsidRPr="004256C6">
              <w:rPr>
                <w:sz w:val="20"/>
              </w:rPr>
              <w:t xml:space="preserve"> </w:t>
            </w:r>
            <w:r w:rsidR="004137B3" w:rsidRPr="004256C6">
              <w:rPr>
                <w:sz w:val="20"/>
              </w:rPr>
              <w:t>714 056 495,58</w:t>
            </w:r>
          </w:p>
        </w:tc>
      </w:tr>
      <w:tr w:rsidR="00C43F6D" w:rsidTr="00380CBE">
        <w:tc>
          <w:tcPr>
            <w:tcW w:w="2060" w:type="dxa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D03FD2">
              <w:rPr>
                <w:rFonts w:ascii="Arial" w:hAnsi="Arial" w:cs="Arial"/>
                <w:b/>
                <w:sz w:val="20"/>
              </w:rPr>
              <w:t>Nezpůsobilé výdaje</w:t>
            </w:r>
            <w:r w:rsidR="00C43F6D" w:rsidRPr="00D03FD2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D03FD2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7546" w:type="dxa"/>
            <w:gridSpan w:val="5"/>
            <w:vAlign w:val="center"/>
          </w:tcPr>
          <w:p w:rsidR="00C43F6D" w:rsidRPr="004256C6" w:rsidRDefault="00650886" w:rsidP="008F072B">
            <w:pPr>
              <w:spacing w:before="60" w:after="60" w:line="240" w:lineRule="auto"/>
              <w:rPr>
                <w:sz w:val="20"/>
              </w:rPr>
            </w:pPr>
            <w:r w:rsidRPr="004256C6">
              <w:rPr>
                <w:sz w:val="20"/>
              </w:rPr>
              <w:t xml:space="preserve">Celkové způsobilé výdaje projektu 1 692 512 441,00 Kč, tj.   </w:t>
            </w:r>
            <w:r w:rsidR="009E1A0F" w:rsidRPr="004256C6">
              <w:rPr>
                <w:sz w:val="20"/>
              </w:rPr>
              <w:t>73,6%</w:t>
            </w:r>
          </w:p>
          <w:p w:rsidR="00650886" w:rsidRPr="004256C6" w:rsidRDefault="00650886" w:rsidP="008F072B">
            <w:pPr>
              <w:spacing w:before="60" w:after="60" w:line="240" w:lineRule="auto"/>
              <w:rPr>
                <w:sz w:val="20"/>
              </w:rPr>
            </w:pPr>
            <w:r w:rsidRPr="004256C6">
              <w:rPr>
                <w:sz w:val="20"/>
              </w:rPr>
              <w:t>Celkové nezpůsobilé výdaje projektu 607 118 092,47 Kč, tj. 26,4%</w:t>
            </w:r>
          </w:p>
        </w:tc>
      </w:tr>
      <w:tr w:rsidR="00D2753C" w:rsidTr="00380CBE">
        <w:tc>
          <w:tcPr>
            <w:tcW w:w="2060" w:type="dxa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Ostatní 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t>(signalizovaná rizika, fázování apod.)</w:t>
            </w:r>
          </w:p>
        </w:tc>
        <w:tc>
          <w:tcPr>
            <w:tcW w:w="7546" w:type="dxa"/>
            <w:gridSpan w:val="5"/>
          </w:tcPr>
          <w:p w:rsidR="00D2753C" w:rsidRDefault="000D4560" w:rsidP="00DD26D3">
            <w:pPr>
              <w:spacing w:before="60" w:after="60" w:line="240" w:lineRule="auto"/>
            </w:pPr>
            <w:r>
              <w:t>NR</w:t>
            </w:r>
          </w:p>
        </w:tc>
      </w:tr>
      <w:tr w:rsidR="00A431A3" w:rsidTr="00380CBE">
        <w:tc>
          <w:tcPr>
            <w:tcW w:w="9606" w:type="dxa"/>
            <w:gridSpan w:val="6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Udržitelnost projektu</w:t>
            </w:r>
          </w:p>
        </w:tc>
      </w:tr>
      <w:tr w:rsidR="00380CBE" w:rsidTr="00380CBE">
        <w:tc>
          <w:tcPr>
            <w:tcW w:w="2060" w:type="dxa"/>
          </w:tcPr>
          <w:p w:rsidR="00380CBE" w:rsidRDefault="00380CBE" w:rsidP="00100B26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546" w:type="dxa"/>
            <w:gridSpan w:val="5"/>
          </w:tcPr>
          <w:p w:rsidR="00F1609A" w:rsidRPr="008F5BA3" w:rsidRDefault="00F1609A" w:rsidP="00F1609A">
            <w:pPr>
              <w:spacing w:before="60" w:after="60" w:line="240" w:lineRule="auto"/>
              <w:rPr>
                <w:rFonts w:cs="Times New Roman"/>
                <w:sz w:val="20"/>
                <w:szCs w:val="24"/>
              </w:rPr>
            </w:pPr>
            <w:r w:rsidRPr="008F5BA3">
              <w:rPr>
                <w:rFonts w:cs="Times New Roman"/>
                <w:sz w:val="20"/>
                <w:szCs w:val="24"/>
              </w:rPr>
              <w:t xml:space="preserve">Smluvní výzkum: r. </w:t>
            </w:r>
            <w:r>
              <w:rPr>
                <w:rFonts w:cs="Times New Roman"/>
                <w:sz w:val="20"/>
                <w:szCs w:val="24"/>
              </w:rPr>
              <w:t>2015 - 25.5 mil. Kč, r. 2016 - 27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 a celkový příjem ze smluvní</w:t>
            </w:r>
            <w:r>
              <w:rPr>
                <w:rFonts w:cs="Times New Roman"/>
                <w:sz w:val="20"/>
                <w:szCs w:val="24"/>
              </w:rPr>
              <w:t>ho výzkumu za r. 2016-20 cca 147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  <w:p w:rsidR="00F1609A" w:rsidRPr="008F5BA3" w:rsidRDefault="00F1609A" w:rsidP="00F1609A">
            <w:pPr>
              <w:spacing w:before="60" w:after="60" w:line="240" w:lineRule="auto"/>
              <w:rPr>
                <w:rFonts w:cs="Times New Roman"/>
                <w:sz w:val="20"/>
                <w:szCs w:val="24"/>
              </w:rPr>
            </w:pPr>
            <w:r w:rsidRPr="008F5BA3">
              <w:rPr>
                <w:rFonts w:cs="Times New Roman"/>
                <w:sz w:val="20"/>
                <w:szCs w:val="24"/>
              </w:rPr>
              <w:t>M</w:t>
            </w:r>
            <w:r>
              <w:rPr>
                <w:rFonts w:cs="Times New Roman"/>
                <w:sz w:val="20"/>
                <w:szCs w:val="24"/>
              </w:rPr>
              <w:t xml:space="preserve">ezinárodní </w:t>
            </w:r>
            <w:proofErr w:type="gramStart"/>
            <w:r>
              <w:rPr>
                <w:rFonts w:cs="Times New Roman"/>
                <w:sz w:val="20"/>
                <w:szCs w:val="24"/>
              </w:rPr>
              <w:t>granty:  r.</w:t>
            </w:r>
            <w:proofErr w:type="gramEnd"/>
            <w:r>
              <w:rPr>
                <w:rFonts w:cs="Times New Roman"/>
                <w:sz w:val="20"/>
                <w:szCs w:val="24"/>
              </w:rPr>
              <w:t xml:space="preserve"> 2015 - 26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Kč, r. 2016 </w:t>
            </w:r>
            <w:r>
              <w:rPr>
                <w:rFonts w:cs="Times New Roman"/>
                <w:sz w:val="20"/>
                <w:szCs w:val="24"/>
              </w:rPr>
              <w:t xml:space="preserve">– 26,5 </w:t>
            </w:r>
            <w:r>
              <w:rPr>
                <w:rFonts w:cs="Times New Roman"/>
                <w:sz w:val="20"/>
                <w:szCs w:val="24"/>
              </w:rPr>
              <w:t xml:space="preserve"> mil. Kč a celkový příjem z mezinárodních grantů </w:t>
            </w:r>
            <w:r>
              <w:rPr>
                <w:rFonts w:cs="Times New Roman"/>
                <w:sz w:val="20"/>
                <w:szCs w:val="24"/>
              </w:rPr>
              <w:t xml:space="preserve"> za r. 2016-20 cca 2138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  <w:p w:rsidR="00380CBE" w:rsidRDefault="00F1609A" w:rsidP="00F1609A">
            <w:pPr>
              <w:spacing w:before="60" w:after="60" w:line="240" w:lineRule="auto"/>
            </w:pPr>
            <w:r w:rsidRPr="008F5BA3">
              <w:rPr>
                <w:rFonts w:cs="Times New Roman"/>
                <w:sz w:val="20"/>
                <w:szCs w:val="24"/>
              </w:rPr>
              <w:t>Institu</w:t>
            </w:r>
            <w:r>
              <w:rPr>
                <w:rFonts w:cs="Times New Roman"/>
                <w:sz w:val="20"/>
                <w:szCs w:val="24"/>
              </w:rPr>
              <w:t>cionální prostředky: r. 2015 – 40 mil. Kč, r. 2016 - 42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 a celkový příjem </w:t>
            </w:r>
            <w:proofErr w:type="gramStart"/>
            <w:r w:rsidRPr="008F5BA3">
              <w:rPr>
                <w:rFonts w:cs="Times New Roman"/>
                <w:sz w:val="20"/>
                <w:szCs w:val="24"/>
              </w:rPr>
              <w:t xml:space="preserve">ze </w:t>
            </w:r>
            <w:r>
              <w:rPr>
                <w:rFonts w:cs="Times New Roman"/>
                <w:sz w:val="20"/>
                <w:szCs w:val="24"/>
              </w:rPr>
              <w:t>institucionální</w:t>
            </w:r>
            <w:proofErr w:type="gramEnd"/>
            <w:r>
              <w:rPr>
                <w:rFonts w:cs="Times New Roman"/>
                <w:sz w:val="20"/>
                <w:szCs w:val="24"/>
              </w:rPr>
              <w:t xml:space="preserve"> podporu</w:t>
            </w:r>
            <w:r>
              <w:rPr>
                <w:rFonts w:cs="Times New Roman"/>
                <w:sz w:val="20"/>
                <w:szCs w:val="24"/>
              </w:rPr>
              <w:t xml:space="preserve"> za r. 2016-20 cca 242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</w:tc>
      </w:tr>
      <w:tr w:rsidR="00380CBE" w:rsidTr="00380CBE">
        <w:tc>
          <w:tcPr>
            <w:tcW w:w="2060" w:type="dxa"/>
          </w:tcPr>
          <w:p w:rsidR="00380CBE" w:rsidRDefault="00380CBE" w:rsidP="00100B26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546" w:type="dxa"/>
            <w:gridSpan w:val="5"/>
          </w:tcPr>
          <w:p w:rsidR="00F1609A" w:rsidRPr="008F5BA3" w:rsidRDefault="00F1609A" w:rsidP="00F1609A">
            <w:pPr>
              <w:spacing w:before="60" w:after="60" w:line="240" w:lineRule="auto"/>
              <w:rPr>
                <w:rFonts w:cs="Times New Roman"/>
                <w:sz w:val="20"/>
                <w:szCs w:val="24"/>
              </w:rPr>
            </w:pPr>
            <w:r w:rsidRPr="008F5BA3">
              <w:rPr>
                <w:rFonts w:cs="Times New Roman"/>
                <w:sz w:val="20"/>
                <w:szCs w:val="24"/>
              </w:rPr>
              <w:t xml:space="preserve">Účelové </w:t>
            </w:r>
            <w:r>
              <w:rPr>
                <w:rFonts w:cs="Times New Roman"/>
                <w:sz w:val="20"/>
                <w:szCs w:val="24"/>
              </w:rPr>
              <w:t>prostředky celkem: r. 2015 – 42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Kč, r. 2016 - </w:t>
            </w:r>
            <w:r>
              <w:rPr>
                <w:rFonts w:cs="Times New Roman"/>
                <w:sz w:val="20"/>
                <w:szCs w:val="24"/>
              </w:rPr>
              <w:t>207</w:t>
            </w:r>
            <w:r>
              <w:rPr>
                <w:rFonts w:cs="Times New Roman"/>
                <w:sz w:val="20"/>
                <w:szCs w:val="24"/>
              </w:rPr>
              <w:t xml:space="preserve"> mil. Kč a celkový příjem z účelových prost</w:t>
            </w:r>
            <w:r>
              <w:rPr>
                <w:rFonts w:cs="Times New Roman"/>
                <w:sz w:val="20"/>
                <w:szCs w:val="24"/>
              </w:rPr>
              <w:t>ř</w:t>
            </w:r>
            <w:r>
              <w:rPr>
                <w:rFonts w:cs="Times New Roman"/>
                <w:sz w:val="20"/>
                <w:szCs w:val="24"/>
              </w:rPr>
              <w:t>edků</w:t>
            </w:r>
            <w:r>
              <w:rPr>
                <w:rFonts w:cs="Times New Roman"/>
                <w:sz w:val="20"/>
                <w:szCs w:val="24"/>
              </w:rPr>
              <w:t>. 2016-20 cca 1495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  <w:p w:rsidR="00380CBE" w:rsidRDefault="00F1609A" w:rsidP="00F1609A">
            <w:pPr>
              <w:spacing w:before="60" w:after="60" w:line="240" w:lineRule="auto"/>
            </w:pPr>
            <w:r>
              <w:rPr>
                <w:rFonts w:cs="Times New Roman"/>
                <w:sz w:val="20"/>
                <w:szCs w:val="24"/>
              </w:rPr>
              <w:t>Z toho NPU: r. 2016 – 68.7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 a celkový </w:t>
            </w:r>
            <w:proofErr w:type="gramStart"/>
            <w:r w:rsidRPr="008F5BA3">
              <w:rPr>
                <w:rFonts w:cs="Times New Roman"/>
                <w:sz w:val="20"/>
                <w:szCs w:val="24"/>
              </w:rPr>
              <w:t xml:space="preserve">příjem </w:t>
            </w:r>
            <w:r>
              <w:rPr>
                <w:rFonts w:cs="Times New Roman"/>
                <w:sz w:val="20"/>
                <w:szCs w:val="24"/>
              </w:rPr>
              <w:t xml:space="preserve"> </w:t>
            </w:r>
            <w:r>
              <w:rPr>
                <w:rFonts w:cs="Times New Roman"/>
                <w:sz w:val="20"/>
                <w:szCs w:val="24"/>
              </w:rPr>
              <w:t>za</w:t>
            </w:r>
            <w:proofErr w:type="gramEnd"/>
            <w:r>
              <w:rPr>
                <w:rFonts w:cs="Times New Roman"/>
                <w:sz w:val="20"/>
                <w:szCs w:val="24"/>
              </w:rPr>
              <w:t xml:space="preserve"> r. 2016-20 cca 375.4</w:t>
            </w:r>
            <w:bookmarkStart w:id="0" w:name="_GoBack"/>
            <w:bookmarkEnd w:id="0"/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</w:tc>
      </w:tr>
      <w:tr w:rsidR="00380CBE" w:rsidTr="00380CBE">
        <w:tc>
          <w:tcPr>
            <w:tcW w:w="2060" w:type="dxa"/>
          </w:tcPr>
          <w:p w:rsidR="00380CBE" w:rsidRDefault="00380CBE" w:rsidP="00100B26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546" w:type="dxa"/>
            <w:gridSpan w:val="5"/>
          </w:tcPr>
          <w:p w:rsidR="00380CBE" w:rsidRPr="00E16F6F" w:rsidRDefault="00F1609A" w:rsidP="00100B26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 rozhodující většině jsou plněny.</w:t>
            </w:r>
          </w:p>
        </w:tc>
      </w:tr>
      <w:tr w:rsidR="00380CBE" w:rsidTr="00380CBE">
        <w:tc>
          <w:tcPr>
            <w:tcW w:w="2060" w:type="dxa"/>
          </w:tcPr>
          <w:p w:rsidR="00380CBE" w:rsidRDefault="00380CBE" w:rsidP="00100B26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546" w:type="dxa"/>
            <w:gridSpan w:val="5"/>
          </w:tcPr>
          <w:p w:rsidR="007A4760" w:rsidRPr="007A4760" w:rsidRDefault="00676E01" w:rsidP="007A4760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Hlavní budova centra je v provozu, j</w:t>
            </w:r>
            <w:r w:rsidR="007A4760" w:rsidRPr="007A4760">
              <w:rPr>
                <w:sz w:val="18"/>
              </w:rPr>
              <w:t xml:space="preserve">e upravován prostor skladů a rovněž i místo pro umístění superpočítače, vstupní část je hotová a náležitě zabezpečená. Centrum excelence patří pod PO1 se způsobilou částí dotace ve výši 1,82 </w:t>
            </w:r>
            <w:proofErr w:type="spellStart"/>
            <w:r w:rsidR="007A4760" w:rsidRPr="007A4760">
              <w:rPr>
                <w:sz w:val="18"/>
              </w:rPr>
              <w:t>mld</w:t>
            </w:r>
            <w:proofErr w:type="spellEnd"/>
            <w:r w:rsidR="007A4760" w:rsidRPr="007A4760">
              <w:rPr>
                <w:sz w:val="18"/>
              </w:rPr>
              <w:t xml:space="preserve"> Kč. Z toho je 4 partnerům projektu určeno 298 mil Kč, tedy 1/6 základní dotace.  </w:t>
            </w:r>
          </w:p>
          <w:p w:rsidR="007A4760" w:rsidRPr="007A4760" w:rsidRDefault="007A4760" w:rsidP="007A4760">
            <w:pPr>
              <w:spacing w:before="60" w:after="60" w:line="240" w:lineRule="auto"/>
              <w:rPr>
                <w:sz w:val="18"/>
              </w:rPr>
            </w:pPr>
            <w:r w:rsidRPr="007A4760">
              <w:rPr>
                <w:sz w:val="18"/>
              </w:rPr>
              <w:t xml:space="preserve">Počítač v hodnotě cca 250 mil Kč je </w:t>
            </w:r>
            <w:proofErr w:type="spellStart"/>
            <w:r w:rsidRPr="007A4760">
              <w:rPr>
                <w:sz w:val="18"/>
              </w:rPr>
              <w:t>nakontrahován</w:t>
            </w:r>
            <w:proofErr w:type="spellEnd"/>
            <w:r w:rsidRPr="007A4760">
              <w:rPr>
                <w:sz w:val="18"/>
              </w:rPr>
              <w:t xml:space="preserve"> a měl by být spuštěn jako 50. největší počítač na světě v červenci 2015. Superpočítač běží nepřetržitě 365 dní a je využit na 70%.</w:t>
            </w:r>
          </w:p>
          <w:p w:rsidR="00E16F6F" w:rsidRDefault="007A4760" w:rsidP="007A4760">
            <w:pPr>
              <w:spacing w:before="60" w:after="60" w:line="240" w:lineRule="auto"/>
              <w:rPr>
                <w:sz w:val="18"/>
              </w:rPr>
            </w:pPr>
            <w:r w:rsidRPr="007A4760">
              <w:rPr>
                <w:sz w:val="18"/>
              </w:rPr>
              <w:t xml:space="preserve">IT4Inn má kromě Poruby ještě pobočku v Brně a stavební náklady činily 190 mil, </w:t>
            </w:r>
            <w:proofErr w:type="gramStart"/>
            <w:r w:rsidRPr="007A4760">
              <w:rPr>
                <w:sz w:val="18"/>
              </w:rPr>
              <w:t>resp.135</w:t>
            </w:r>
            <w:proofErr w:type="gramEnd"/>
            <w:r w:rsidRPr="007A4760">
              <w:rPr>
                <w:sz w:val="18"/>
              </w:rPr>
              <w:t xml:space="preserve"> mil Kč pro Porubu či Brno. </w:t>
            </w:r>
            <w:r w:rsidR="00E16F6F">
              <w:rPr>
                <w:sz w:val="18"/>
              </w:rPr>
              <w:t>Centrum má k dispozici „malý počítač“</w:t>
            </w:r>
            <w:r w:rsidRPr="007A4760">
              <w:rPr>
                <w:sz w:val="18"/>
              </w:rPr>
              <w:t>, který má cca 20x menší výkonnost než superpočítač.</w:t>
            </w:r>
          </w:p>
          <w:p w:rsidR="007A4760" w:rsidRPr="007A4760" w:rsidRDefault="007A4760" w:rsidP="007A4760">
            <w:pPr>
              <w:spacing w:before="60" w:after="60" w:line="240" w:lineRule="auto"/>
              <w:rPr>
                <w:sz w:val="18"/>
              </w:rPr>
            </w:pPr>
            <w:r w:rsidRPr="007A4760">
              <w:rPr>
                <w:sz w:val="18"/>
              </w:rPr>
              <w:t>Hlavními partnery</w:t>
            </w:r>
            <w:r w:rsidR="00E16F6F">
              <w:rPr>
                <w:sz w:val="18"/>
              </w:rPr>
              <w:t xml:space="preserve"> </w:t>
            </w:r>
            <w:proofErr w:type="spellStart"/>
            <w:r w:rsidR="00E16F6F">
              <w:rPr>
                <w:sz w:val="18"/>
              </w:rPr>
              <w:t>Cebtra</w:t>
            </w:r>
            <w:proofErr w:type="spellEnd"/>
            <w:r w:rsidRPr="007A4760">
              <w:rPr>
                <w:sz w:val="18"/>
              </w:rPr>
              <w:t xml:space="preserve"> jsou </w:t>
            </w:r>
            <w:proofErr w:type="spellStart"/>
            <w:r w:rsidRPr="007A4760">
              <w:rPr>
                <w:sz w:val="18"/>
              </w:rPr>
              <w:t>ÚOChB</w:t>
            </w:r>
            <w:proofErr w:type="spellEnd"/>
            <w:r w:rsidRPr="007A4760">
              <w:rPr>
                <w:sz w:val="18"/>
              </w:rPr>
              <w:t xml:space="preserve"> (prof. </w:t>
            </w:r>
            <w:proofErr w:type="spellStart"/>
            <w:r w:rsidRPr="007A4760">
              <w:rPr>
                <w:sz w:val="18"/>
              </w:rPr>
              <w:t>Hostomský</w:t>
            </w:r>
            <w:proofErr w:type="spellEnd"/>
            <w:r w:rsidRPr="007A4760">
              <w:rPr>
                <w:sz w:val="18"/>
              </w:rPr>
              <w:t xml:space="preserve"> a Hobza) a CEITEC (prof. </w:t>
            </w:r>
            <w:proofErr w:type="spellStart"/>
            <w:r w:rsidRPr="007A4760">
              <w:rPr>
                <w:sz w:val="18"/>
              </w:rPr>
              <w:t>Koča</w:t>
            </w:r>
            <w:proofErr w:type="spellEnd"/>
            <w:r w:rsidRPr="007A4760">
              <w:rPr>
                <w:sz w:val="18"/>
              </w:rPr>
              <w:t xml:space="preserve">) pro výzkum a simulaci účinku léčiv, dále pak BIOMEDREG (doc. </w:t>
            </w:r>
            <w:proofErr w:type="spellStart"/>
            <w:r w:rsidRPr="007A4760">
              <w:rPr>
                <w:sz w:val="18"/>
              </w:rPr>
              <w:t>Hajdúch</w:t>
            </w:r>
            <w:proofErr w:type="spellEnd"/>
            <w:r w:rsidRPr="007A4760">
              <w:rPr>
                <w:sz w:val="18"/>
              </w:rPr>
              <w:t xml:space="preserve">) a RHODOS (dopravní služba pro ČR). Bezúplatně spolupracují také </w:t>
            </w:r>
            <w:proofErr w:type="gramStart"/>
            <w:r w:rsidRPr="007A4760">
              <w:rPr>
                <w:sz w:val="18"/>
              </w:rPr>
              <w:t>se ŠKODA</w:t>
            </w:r>
            <w:proofErr w:type="gramEnd"/>
            <w:r w:rsidRPr="007A4760">
              <w:rPr>
                <w:sz w:val="18"/>
              </w:rPr>
              <w:t xml:space="preserve"> Auto, se kterými si vyměňují informace a vzájemně si proškolují zaměstnance. Rovněž počítají s přímou spoluprací s </w:t>
            </w:r>
            <w:proofErr w:type="spellStart"/>
            <w:r w:rsidRPr="007A4760">
              <w:rPr>
                <w:sz w:val="18"/>
              </w:rPr>
              <w:t>CERNem</w:t>
            </w:r>
            <w:proofErr w:type="spellEnd"/>
            <w:r w:rsidRPr="007A4760">
              <w:rPr>
                <w:sz w:val="18"/>
              </w:rPr>
              <w:t xml:space="preserve"> a ELI, jehož 2 pracovníci jsou zaměstnáni v centru.</w:t>
            </w:r>
          </w:p>
          <w:p w:rsidR="00380CBE" w:rsidRPr="007A4760" w:rsidRDefault="007A4760" w:rsidP="00E16F6F">
            <w:pPr>
              <w:spacing w:before="60" w:after="60" w:line="240" w:lineRule="auto"/>
              <w:rPr>
                <w:sz w:val="18"/>
              </w:rPr>
            </w:pPr>
            <w:r w:rsidRPr="007A4760">
              <w:rPr>
                <w:sz w:val="18"/>
              </w:rPr>
              <w:t xml:space="preserve">Centrum bude soutěžit o NPU II, přičemž provozní náklady výzkumné struktury činí 248 mil/rok  na celý subjekt vč. partnerů. Průměrně 100 mil Kč/rok budou muset financovat sami z programu HPC. Požadovaná částka pro centrum ze strany NPU II činí 425/5 let. </w:t>
            </w:r>
          </w:p>
        </w:tc>
      </w:tr>
      <w:tr w:rsidR="00380CBE" w:rsidTr="00380CBE">
        <w:tc>
          <w:tcPr>
            <w:tcW w:w="2060" w:type="dxa"/>
          </w:tcPr>
          <w:p w:rsidR="00380CBE" w:rsidRDefault="00380CBE" w:rsidP="00100B26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546" w:type="dxa"/>
            <w:gridSpan w:val="5"/>
          </w:tcPr>
          <w:p w:rsidR="00380CBE" w:rsidRDefault="00380CBE" w:rsidP="00100B26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Centrum má transparentní strukturu výzkumných týmů. Současný počet výzkumníků zaměstnaných v centru je  </w:t>
            </w:r>
            <w:r w:rsidR="007A4760">
              <w:rPr>
                <w:sz w:val="18"/>
              </w:rPr>
              <w:t>144,58</w:t>
            </w:r>
            <w:r>
              <w:rPr>
                <w:sz w:val="18"/>
              </w:rPr>
              <w:t xml:space="preserve"> FTE k 31.12.2014 (</w:t>
            </w:r>
            <w:r w:rsidR="007A4760">
              <w:rPr>
                <w:sz w:val="18"/>
              </w:rPr>
              <w:t>VVP 5,5 FTE,</w:t>
            </w:r>
            <w:r>
              <w:rPr>
                <w:sz w:val="18"/>
              </w:rPr>
              <w:t xml:space="preserve"> </w:t>
            </w:r>
            <w:proofErr w:type="gramStart"/>
            <w:r w:rsidR="007A4760">
              <w:rPr>
                <w:sz w:val="18"/>
              </w:rPr>
              <w:t>senior</w:t>
            </w:r>
            <w:r>
              <w:rPr>
                <w:sz w:val="18"/>
              </w:rPr>
              <w:t>.</w:t>
            </w:r>
            <w:r w:rsidR="007A4760">
              <w:rPr>
                <w:sz w:val="18"/>
              </w:rPr>
              <w:t>29,56</w:t>
            </w:r>
            <w:proofErr w:type="gramEnd"/>
            <w:r w:rsidR="007A4760">
              <w:rPr>
                <w:sz w:val="18"/>
              </w:rPr>
              <w:t xml:space="preserve"> FTE,</w:t>
            </w:r>
            <w:r>
              <w:rPr>
                <w:sz w:val="18"/>
              </w:rPr>
              <w:t xml:space="preserve"> </w:t>
            </w:r>
            <w:r w:rsidR="007A4760">
              <w:rPr>
                <w:sz w:val="18"/>
              </w:rPr>
              <w:t xml:space="preserve">junior </w:t>
            </w:r>
            <w:proofErr w:type="spellStart"/>
            <w:r w:rsidR="007A4760">
              <w:rPr>
                <w:sz w:val="18"/>
              </w:rPr>
              <w:t>researcher</w:t>
            </w:r>
            <w:proofErr w:type="spellEnd"/>
            <w:r w:rsidR="007A4760">
              <w:rPr>
                <w:sz w:val="18"/>
              </w:rPr>
              <w:t xml:space="preserve"> 68,92</w:t>
            </w:r>
            <w:r>
              <w:rPr>
                <w:sz w:val="18"/>
              </w:rPr>
              <w:t>, 40</w:t>
            </w:r>
            <w:r w:rsidR="007A4760">
              <w:rPr>
                <w:sz w:val="18"/>
              </w:rPr>
              <w:t>,60 FTE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Ph.D.</w:t>
            </w:r>
            <w:r w:rsidR="007A4760">
              <w:rPr>
                <w:sz w:val="18"/>
              </w:rPr>
              <w:t>student</w:t>
            </w:r>
            <w:proofErr w:type="spellEnd"/>
            <w:r>
              <w:rPr>
                <w:sz w:val="18"/>
              </w:rPr>
              <w:t>).</w:t>
            </w:r>
          </w:p>
          <w:p w:rsidR="007A4760" w:rsidRDefault="00380CBE" w:rsidP="00100B26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Plánovaný počet výzkumníků je </w:t>
            </w:r>
            <w:r w:rsidR="007A4760">
              <w:rPr>
                <w:sz w:val="18"/>
              </w:rPr>
              <w:t>148,50</w:t>
            </w:r>
            <w:r>
              <w:rPr>
                <w:sz w:val="18"/>
              </w:rPr>
              <w:t xml:space="preserve"> FTE se strukturou: </w:t>
            </w:r>
            <w:r w:rsidR="007A4760">
              <w:rPr>
                <w:sz w:val="18"/>
              </w:rPr>
              <w:t xml:space="preserve">VVP 5,1 FTE, </w:t>
            </w:r>
            <w:proofErr w:type="gramStart"/>
            <w:r w:rsidR="007A4760">
              <w:rPr>
                <w:sz w:val="18"/>
              </w:rPr>
              <w:t>senior.26,20</w:t>
            </w:r>
            <w:proofErr w:type="gramEnd"/>
            <w:r w:rsidR="007A4760">
              <w:rPr>
                <w:sz w:val="18"/>
              </w:rPr>
              <w:t xml:space="preserve"> FTE, junior </w:t>
            </w:r>
            <w:proofErr w:type="spellStart"/>
            <w:r w:rsidR="007A4760">
              <w:rPr>
                <w:sz w:val="18"/>
              </w:rPr>
              <w:t>researcher</w:t>
            </w:r>
            <w:proofErr w:type="spellEnd"/>
            <w:r w:rsidR="007A4760">
              <w:rPr>
                <w:sz w:val="18"/>
              </w:rPr>
              <w:t xml:space="preserve"> 68,65, 47,55 FTE </w:t>
            </w:r>
            <w:proofErr w:type="spellStart"/>
            <w:r w:rsidR="007A4760">
              <w:rPr>
                <w:sz w:val="18"/>
              </w:rPr>
              <w:t>Ph.D.student</w:t>
            </w:r>
            <w:proofErr w:type="spellEnd"/>
            <w:r w:rsidR="007A4760">
              <w:rPr>
                <w:sz w:val="18"/>
              </w:rPr>
              <w:t xml:space="preserve">). </w:t>
            </w:r>
            <w:r w:rsidR="007A4760" w:rsidRPr="007A4760">
              <w:rPr>
                <w:sz w:val="18"/>
              </w:rPr>
              <w:t>Aktuálně působí na CE IT4Innovations celkem 33 zahraničních výzkumníků</w:t>
            </w:r>
            <w:r w:rsidR="007A4760">
              <w:rPr>
                <w:sz w:val="18"/>
              </w:rPr>
              <w:t xml:space="preserve"> (nebyli plánováni v projektu)</w:t>
            </w:r>
            <w:r w:rsidR="007A4760" w:rsidRPr="007A4760">
              <w:rPr>
                <w:sz w:val="18"/>
              </w:rPr>
              <w:t>.</w:t>
            </w:r>
          </w:p>
          <w:p w:rsidR="007A4760" w:rsidRDefault="00380CBE" w:rsidP="00100B26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Centrum má tuzemské i zahraniční partnery výzkumu. Mezi tuzemské partnery patří </w:t>
            </w:r>
          </w:p>
          <w:p w:rsidR="007A4760" w:rsidRPr="007A4760" w:rsidRDefault="007A4760" w:rsidP="007A4760">
            <w:pPr>
              <w:spacing w:before="60" w:after="60" w:line="240" w:lineRule="auto"/>
              <w:rPr>
                <w:sz w:val="18"/>
              </w:rPr>
            </w:pPr>
            <w:r w:rsidRPr="007A4760">
              <w:rPr>
                <w:sz w:val="18"/>
              </w:rPr>
              <w:t>Veřejná sféra:</w:t>
            </w:r>
          </w:p>
          <w:p w:rsidR="007A4760" w:rsidRPr="007A4760" w:rsidRDefault="007A4760" w:rsidP="007A4760">
            <w:pPr>
              <w:spacing w:before="60" w:after="60" w:line="240" w:lineRule="auto"/>
              <w:rPr>
                <w:sz w:val="18"/>
              </w:rPr>
            </w:pPr>
            <w:r w:rsidRPr="007A4760">
              <w:rPr>
                <w:sz w:val="18"/>
              </w:rPr>
              <w:t xml:space="preserve">CEITEC, ELI, CESNET, Ústav organické chemie a biochemie AV ČR, </w:t>
            </w:r>
            <w:proofErr w:type="spellStart"/>
            <w:r w:rsidRPr="007A4760">
              <w:rPr>
                <w:sz w:val="18"/>
              </w:rPr>
              <w:t>v.v.i</w:t>
            </w:r>
            <w:proofErr w:type="spellEnd"/>
            <w:r w:rsidRPr="007A4760">
              <w:rPr>
                <w:sz w:val="18"/>
              </w:rPr>
              <w:t xml:space="preserve">., Fyzikální ústav AV </w:t>
            </w:r>
            <w:r w:rsidRPr="007A4760">
              <w:rPr>
                <w:sz w:val="18"/>
              </w:rPr>
              <w:lastRenderedPageBreak/>
              <w:t xml:space="preserve">ČR, Univerzity Palackého v Olomouci, MATEMATICKO-FYZIKÁLNÍ FAKULTA UK, Ústav molekulární genetiky AV ČR, v. v. i., Ústav fyzikální chemie J. Heyrovského, Technická univerzita v Liberci, ČVUT </w:t>
            </w:r>
            <w:proofErr w:type="gramStart"/>
            <w:r w:rsidRPr="007A4760">
              <w:rPr>
                <w:sz w:val="18"/>
              </w:rPr>
              <w:t>Praha,....</w:t>
            </w:r>
            <w:proofErr w:type="gramEnd"/>
          </w:p>
          <w:p w:rsidR="007A4760" w:rsidRPr="007A4760" w:rsidRDefault="007A4760" w:rsidP="007A4760">
            <w:pPr>
              <w:spacing w:before="60" w:after="60" w:line="240" w:lineRule="auto"/>
              <w:rPr>
                <w:sz w:val="18"/>
              </w:rPr>
            </w:pPr>
            <w:r w:rsidRPr="007A4760">
              <w:rPr>
                <w:sz w:val="18"/>
              </w:rPr>
              <w:t>Aplikační sféra:</w:t>
            </w:r>
          </w:p>
          <w:p w:rsidR="007A4760" w:rsidRDefault="007A4760" w:rsidP="007A4760">
            <w:pPr>
              <w:spacing w:before="60" w:after="60" w:line="240" w:lineRule="auto"/>
              <w:rPr>
                <w:sz w:val="18"/>
              </w:rPr>
            </w:pPr>
            <w:r w:rsidRPr="007A4760">
              <w:rPr>
                <w:sz w:val="18"/>
              </w:rPr>
              <w:t xml:space="preserve">BONATRANS GROUP a.s., BORCAD </w:t>
            </w:r>
            <w:proofErr w:type="spellStart"/>
            <w:r w:rsidRPr="007A4760">
              <w:rPr>
                <w:sz w:val="18"/>
              </w:rPr>
              <w:t>cz</w:t>
            </w:r>
            <w:proofErr w:type="spellEnd"/>
            <w:r w:rsidRPr="007A4760">
              <w:rPr>
                <w:sz w:val="18"/>
              </w:rPr>
              <w:t xml:space="preserve"> s.r.o., CAMEA, spol. s r.o., CE-</w:t>
            </w:r>
            <w:proofErr w:type="spellStart"/>
            <w:r w:rsidRPr="007A4760">
              <w:rPr>
                <w:sz w:val="18"/>
              </w:rPr>
              <w:t>Traffic</w:t>
            </w:r>
            <w:proofErr w:type="spellEnd"/>
            <w:r w:rsidRPr="007A4760">
              <w:rPr>
                <w:sz w:val="18"/>
              </w:rPr>
              <w:t xml:space="preserve">, a.s., </w:t>
            </w:r>
            <w:proofErr w:type="spellStart"/>
            <w:r w:rsidRPr="007A4760">
              <w:rPr>
                <w:sz w:val="18"/>
              </w:rPr>
              <w:t>Central</w:t>
            </w:r>
            <w:proofErr w:type="spellEnd"/>
            <w:r w:rsidRPr="007A4760">
              <w:rPr>
                <w:sz w:val="18"/>
              </w:rPr>
              <w:t xml:space="preserve"> </w:t>
            </w:r>
            <w:proofErr w:type="spellStart"/>
            <w:r w:rsidRPr="007A4760">
              <w:rPr>
                <w:sz w:val="18"/>
              </w:rPr>
              <w:t>European</w:t>
            </w:r>
            <w:proofErr w:type="spellEnd"/>
            <w:r w:rsidRPr="007A4760">
              <w:rPr>
                <w:sz w:val="18"/>
              </w:rPr>
              <w:t xml:space="preserve"> Data </w:t>
            </w:r>
            <w:proofErr w:type="spellStart"/>
            <w:r w:rsidRPr="007A4760">
              <w:rPr>
                <w:sz w:val="18"/>
              </w:rPr>
              <w:t>Agency</w:t>
            </w:r>
            <w:proofErr w:type="spellEnd"/>
            <w:r w:rsidRPr="007A4760">
              <w:rPr>
                <w:sz w:val="18"/>
              </w:rPr>
              <w:t xml:space="preserve">, a.s., </w:t>
            </w:r>
            <w:proofErr w:type="spellStart"/>
            <w:r w:rsidRPr="007A4760">
              <w:rPr>
                <w:sz w:val="18"/>
              </w:rPr>
              <w:t>Kapsch</w:t>
            </w:r>
            <w:proofErr w:type="spellEnd"/>
            <w:r w:rsidRPr="007A4760">
              <w:rPr>
                <w:sz w:val="18"/>
              </w:rPr>
              <w:t xml:space="preserve"> </w:t>
            </w:r>
            <w:proofErr w:type="spellStart"/>
            <w:r w:rsidRPr="007A4760">
              <w:rPr>
                <w:sz w:val="18"/>
              </w:rPr>
              <w:t>Telematic</w:t>
            </w:r>
            <w:proofErr w:type="spellEnd"/>
            <w:r w:rsidRPr="007A4760">
              <w:rPr>
                <w:sz w:val="18"/>
              </w:rPr>
              <w:t xml:space="preserve"> </w:t>
            </w:r>
            <w:proofErr w:type="spellStart"/>
            <w:r w:rsidRPr="007A4760">
              <w:rPr>
                <w:sz w:val="18"/>
              </w:rPr>
              <w:t>Services</w:t>
            </w:r>
            <w:proofErr w:type="spellEnd"/>
            <w:r w:rsidRPr="007A4760">
              <w:rPr>
                <w:sz w:val="18"/>
              </w:rPr>
              <w:t xml:space="preserve"> spol. s r.o., KVADOS, a.s., EXBIO Praha, a.s., GENERI BIOTECH s.r.o., </w:t>
            </w:r>
            <w:proofErr w:type="spellStart"/>
            <w:r w:rsidRPr="007A4760">
              <w:rPr>
                <w:sz w:val="18"/>
              </w:rPr>
              <w:t>Sofigen</w:t>
            </w:r>
            <w:proofErr w:type="spellEnd"/>
            <w:r w:rsidRPr="007A4760">
              <w:rPr>
                <w:sz w:val="18"/>
              </w:rPr>
              <w:t xml:space="preserve"> spol. s.r.o., </w:t>
            </w:r>
            <w:proofErr w:type="spellStart"/>
            <w:r w:rsidRPr="007A4760">
              <w:rPr>
                <w:sz w:val="18"/>
              </w:rPr>
              <w:t>IntellMed</w:t>
            </w:r>
            <w:proofErr w:type="spellEnd"/>
            <w:r w:rsidRPr="007A4760">
              <w:rPr>
                <w:sz w:val="18"/>
              </w:rPr>
              <w:t xml:space="preserve">, s.r.o., </w:t>
            </w:r>
            <w:proofErr w:type="spellStart"/>
            <w:r w:rsidRPr="007A4760">
              <w:rPr>
                <w:sz w:val="18"/>
              </w:rPr>
              <w:t>Honeywell</w:t>
            </w:r>
            <w:proofErr w:type="spellEnd"/>
            <w:r w:rsidRPr="007A4760">
              <w:rPr>
                <w:sz w:val="18"/>
              </w:rPr>
              <w:t xml:space="preserve"> International s.r.o., </w:t>
            </w:r>
            <w:proofErr w:type="spellStart"/>
            <w:r w:rsidRPr="007A4760">
              <w:rPr>
                <w:sz w:val="18"/>
              </w:rPr>
              <w:t>Aircraft</w:t>
            </w:r>
            <w:proofErr w:type="spellEnd"/>
            <w:r w:rsidRPr="007A4760">
              <w:rPr>
                <w:sz w:val="18"/>
              </w:rPr>
              <w:t xml:space="preserve"> </w:t>
            </w:r>
            <w:proofErr w:type="spellStart"/>
            <w:r w:rsidRPr="007A4760">
              <w:rPr>
                <w:sz w:val="18"/>
              </w:rPr>
              <w:t>Industries</w:t>
            </w:r>
            <w:proofErr w:type="spellEnd"/>
            <w:r w:rsidRPr="007A4760">
              <w:rPr>
                <w:sz w:val="18"/>
              </w:rPr>
              <w:t xml:space="preserve">, a.s., MESIT přístroje spol. s r.o., CAMEA, spol. s r.o., UNIS, a.s., </w:t>
            </w:r>
            <w:proofErr w:type="spellStart"/>
            <w:r w:rsidRPr="007A4760">
              <w:rPr>
                <w:sz w:val="18"/>
              </w:rPr>
              <w:t>Eyedea</w:t>
            </w:r>
            <w:proofErr w:type="spellEnd"/>
            <w:r w:rsidRPr="007A4760">
              <w:rPr>
                <w:sz w:val="18"/>
              </w:rPr>
              <w:t xml:space="preserve"> </w:t>
            </w:r>
            <w:proofErr w:type="spellStart"/>
            <w:r w:rsidRPr="007A4760">
              <w:rPr>
                <w:sz w:val="18"/>
              </w:rPr>
              <w:t>Recognition</w:t>
            </w:r>
            <w:proofErr w:type="spellEnd"/>
            <w:r w:rsidRPr="007A4760">
              <w:rPr>
                <w:sz w:val="18"/>
              </w:rPr>
              <w:t xml:space="preserve"> s.r.o., </w:t>
            </w:r>
            <w:proofErr w:type="spellStart"/>
            <w:r w:rsidRPr="007A4760">
              <w:rPr>
                <w:sz w:val="18"/>
              </w:rPr>
              <w:t>Phonexia</w:t>
            </w:r>
            <w:proofErr w:type="spellEnd"/>
            <w:r w:rsidRPr="007A4760">
              <w:rPr>
                <w:sz w:val="18"/>
              </w:rPr>
              <w:t xml:space="preserve"> s.r.o., VR Group, a.s., </w:t>
            </w:r>
            <w:proofErr w:type="spellStart"/>
            <w:r w:rsidRPr="007A4760">
              <w:rPr>
                <w:sz w:val="18"/>
              </w:rPr>
              <w:t>Precioza</w:t>
            </w:r>
            <w:proofErr w:type="spellEnd"/>
            <w:r w:rsidRPr="007A4760">
              <w:rPr>
                <w:sz w:val="18"/>
              </w:rPr>
              <w:t xml:space="preserve">, a.s., </w:t>
            </w:r>
            <w:proofErr w:type="spellStart"/>
            <w:r w:rsidRPr="007A4760">
              <w:rPr>
                <w:sz w:val="18"/>
              </w:rPr>
              <w:t>ReplayWell</w:t>
            </w:r>
            <w:proofErr w:type="spellEnd"/>
            <w:r w:rsidRPr="007A4760">
              <w:rPr>
                <w:sz w:val="18"/>
              </w:rPr>
              <w:t xml:space="preserve">, s.r.o., </w:t>
            </w:r>
            <w:proofErr w:type="spellStart"/>
            <w:r w:rsidRPr="007A4760">
              <w:rPr>
                <w:sz w:val="18"/>
              </w:rPr>
              <w:t>Touchles</w:t>
            </w:r>
            <w:proofErr w:type="spellEnd"/>
            <w:r w:rsidRPr="007A4760">
              <w:rPr>
                <w:sz w:val="18"/>
              </w:rPr>
              <w:t xml:space="preserve"> </w:t>
            </w:r>
            <w:proofErr w:type="spellStart"/>
            <w:r w:rsidRPr="007A4760">
              <w:rPr>
                <w:sz w:val="18"/>
              </w:rPr>
              <w:t>Biometric</w:t>
            </w:r>
            <w:proofErr w:type="spellEnd"/>
            <w:r w:rsidRPr="007A4760">
              <w:rPr>
                <w:sz w:val="18"/>
              </w:rPr>
              <w:t xml:space="preserve"> Systems, s.r.</w:t>
            </w:r>
            <w:proofErr w:type="gramStart"/>
            <w:r w:rsidRPr="007A4760">
              <w:rPr>
                <w:sz w:val="18"/>
              </w:rPr>
              <w:t>o., ....</w:t>
            </w:r>
            <w:proofErr w:type="gramEnd"/>
          </w:p>
          <w:p w:rsidR="007A4760" w:rsidRDefault="007A4760" w:rsidP="00100B26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Zahraniční sféra:</w:t>
            </w:r>
          </w:p>
          <w:p w:rsidR="00380CBE" w:rsidRDefault="007A4760" w:rsidP="00100B26">
            <w:pPr>
              <w:spacing w:before="60" w:after="60" w:line="240" w:lineRule="auto"/>
              <w:rPr>
                <w:sz w:val="18"/>
              </w:rPr>
            </w:pPr>
            <w:r w:rsidRPr="007A4760">
              <w:rPr>
                <w:sz w:val="18"/>
              </w:rPr>
              <w:t xml:space="preserve">CSC Finsko, IMEC, NASA, CERN, Intel, University </w:t>
            </w:r>
            <w:proofErr w:type="spellStart"/>
            <w:r w:rsidRPr="007A4760">
              <w:rPr>
                <w:sz w:val="18"/>
              </w:rPr>
              <w:t>of</w:t>
            </w:r>
            <w:proofErr w:type="spellEnd"/>
            <w:r w:rsidRPr="007A4760">
              <w:rPr>
                <w:sz w:val="18"/>
              </w:rPr>
              <w:t xml:space="preserve"> </w:t>
            </w:r>
            <w:proofErr w:type="spellStart"/>
            <w:r w:rsidRPr="007A4760">
              <w:rPr>
                <w:sz w:val="18"/>
              </w:rPr>
              <w:t>Antwerpen</w:t>
            </w:r>
            <w:proofErr w:type="spellEnd"/>
            <w:r w:rsidRPr="007A4760">
              <w:rPr>
                <w:sz w:val="18"/>
              </w:rPr>
              <w:t xml:space="preserve">, </w:t>
            </w:r>
            <w:proofErr w:type="spellStart"/>
            <w:r w:rsidRPr="007A4760">
              <w:rPr>
                <w:sz w:val="18"/>
              </w:rPr>
              <w:t>Stanford</w:t>
            </w:r>
            <w:proofErr w:type="spellEnd"/>
            <w:r w:rsidRPr="007A4760">
              <w:rPr>
                <w:sz w:val="18"/>
              </w:rPr>
              <w:t xml:space="preserve"> University, INRIA (Francie), TU Graz, EDF France, DHI (Dánsko), University </w:t>
            </w:r>
            <w:proofErr w:type="spellStart"/>
            <w:r w:rsidRPr="007A4760">
              <w:rPr>
                <w:sz w:val="18"/>
              </w:rPr>
              <w:t>of</w:t>
            </w:r>
            <w:proofErr w:type="spellEnd"/>
            <w:r w:rsidRPr="007A4760">
              <w:rPr>
                <w:sz w:val="18"/>
              </w:rPr>
              <w:t xml:space="preserve"> </w:t>
            </w:r>
            <w:proofErr w:type="spellStart"/>
            <w:r w:rsidRPr="007A4760">
              <w:rPr>
                <w:sz w:val="18"/>
              </w:rPr>
              <w:t>Lugano</w:t>
            </w:r>
            <w:proofErr w:type="spellEnd"/>
            <w:r w:rsidRPr="007A4760">
              <w:rPr>
                <w:sz w:val="18"/>
              </w:rPr>
              <w:t xml:space="preserve">, STFC </w:t>
            </w:r>
            <w:proofErr w:type="spellStart"/>
            <w:r w:rsidRPr="007A4760">
              <w:rPr>
                <w:sz w:val="18"/>
              </w:rPr>
              <w:t>Daresbury</w:t>
            </w:r>
            <w:proofErr w:type="spellEnd"/>
            <w:r w:rsidRPr="007A4760">
              <w:rPr>
                <w:sz w:val="18"/>
              </w:rPr>
              <w:t xml:space="preserve"> (UK), Radon Institute </w:t>
            </w:r>
            <w:proofErr w:type="spellStart"/>
            <w:r w:rsidRPr="007A4760">
              <w:rPr>
                <w:sz w:val="18"/>
              </w:rPr>
              <w:t>for</w:t>
            </w:r>
            <w:proofErr w:type="spellEnd"/>
            <w:r w:rsidRPr="007A4760">
              <w:rPr>
                <w:sz w:val="18"/>
              </w:rPr>
              <w:t xml:space="preserve"> </w:t>
            </w:r>
            <w:proofErr w:type="spellStart"/>
            <w:r w:rsidRPr="007A4760">
              <w:rPr>
                <w:sz w:val="18"/>
              </w:rPr>
              <w:t>Computational</w:t>
            </w:r>
            <w:proofErr w:type="spellEnd"/>
            <w:r w:rsidRPr="007A4760">
              <w:rPr>
                <w:sz w:val="18"/>
              </w:rPr>
              <w:t xml:space="preserve"> and </w:t>
            </w:r>
            <w:proofErr w:type="spellStart"/>
            <w:r w:rsidRPr="007A4760">
              <w:rPr>
                <w:sz w:val="18"/>
              </w:rPr>
              <w:t>Applied</w:t>
            </w:r>
            <w:proofErr w:type="spellEnd"/>
            <w:r w:rsidRPr="007A4760">
              <w:rPr>
                <w:sz w:val="18"/>
              </w:rPr>
              <w:t xml:space="preserve"> </w:t>
            </w:r>
            <w:proofErr w:type="spellStart"/>
            <w:r w:rsidRPr="007A4760">
              <w:rPr>
                <w:sz w:val="18"/>
              </w:rPr>
              <w:t>Mathematics</w:t>
            </w:r>
            <w:proofErr w:type="spellEnd"/>
            <w:r w:rsidRPr="007A4760">
              <w:rPr>
                <w:sz w:val="18"/>
              </w:rPr>
              <w:t xml:space="preserve"> (RICAM) </w:t>
            </w:r>
            <w:proofErr w:type="spellStart"/>
            <w:r w:rsidRPr="007A4760">
              <w:rPr>
                <w:sz w:val="18"/>
              </w:rPr>
              <w:t>Linz</w:t>
            </w:r>
            <w:proofErr w:type="spellEnd"/>
            <w:r w:rsidRPr="007A4760">
              <w:rPr>
                <w:sz w:val="18"/>
              </w:rPr>
              <w:t xml:space="preserve">, </w:t>
            </w:r>
            <w:proofErr w:type="spellStart"/>
            <w:r w:rsidRPr="007A4760">
              <w:rPr>
                <w:sz w:val="18"/>
              </w:rPr>
              <w:t>Université</w:t>
            </w:r>
            <w:proofErr w:type="spellEnd"/>
            <w:r w:rsidRPr="007A4760">
              <w:rPr>
                <w:sz w:val="18"/>
              </w:rPr>
              <w:t xml:space="preserve"> Paul </w:t>
            </w:r>
            <w:proofErr w:type="spellStart"/>
            <w:r w:rsidRPr="007A4760">
              <w:rPr>
                <w:sz w:val="18"/>
              </w:rPr>
              <w:t>Sabatier</w:t>
            </w:r>
            <w:proofErr w:type="spellEnd"/>
            <w:r w:rsidRPr="007A4760">
              <w:rPr>
                <w:sz w:val="18"/>
              </w:rPr>
              <w:t xml:space="preserve"> &amp; CNRS, Toulouse; HLRS, Stuttgart; </w:t>
            </w:r>
            <w:proofErr w:type="spellStart"/>
            <w:r w:rsidRPr="007A4760">
              <w:rPr>
                <w:sz w:val="18"/>
              </w:rPr>
              <w:t>Cadwork</w:t>
            </w:r>
            <w:proofErr w:type="spellEnd"/>
            <w:r w:rsidRPr="007A4760">
              <w:rPr>
                <w:sz w:val="18"/>
              </w:rPr>
              <w:t xml:space="preserve"> Informatik CI AG, </w:t>
            </w:r>
            <w:proofErr w:type="spellStart"/>
            <w:r w:rsidRPr="007A4760">
              <w:rPr>
                <w:sz w:val="18"/>
              </w:rPr>
              <w:t>Raytheon</w:t>
            </w:r>
            <w:proofErr w:type="spellEnd"/>
            <w:r w:rsidRPr="007A4760">
              <w:rPr>
                <w:sz w:val="18"/>
              </w:rPr>
              <w:t xml:space="preserve"> BBN Technologies, OPIFER, RED HAT, </w:t>
            </w:r>
            <w:proofErr w:type="spellStart"/>
            <w:r w:rsidRPr="007A4760">
              <w:rPr>
                <w:sz w:val="18"/>
              </w:rPr>
              <w:t>goHDR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380CBE" w:rsidTr="00380CBE">
        <w:tc>
          <w:tcPr>
            <w:tcW w:w="2060" w:type="dxa"/>
          </w:tcPr>
          <w:p w:rsidR="00380CBE" w:rsidRDefault="00380CBE" w:rsidP="00100B26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Zařazení projektu do rizikové skupiny z hlediska udržitelnosti</w:t>
            </w:r>
          </w:p>
        </w:tc>
        <w:tc>
          <w:tcPr>
            <w:tcW w:w="7546" w:type="dxa"/>
            <w:gridSpan w:val="5"/>
          </w:tcPr>
          <w:p w:rsidR="00380CBE" w:rsidRDefault="00115A21" w:rsidP="00100B26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C – z důvodu:</w:t>
            </w:r>
          </w:p>
          <w:p w:rsidR="00115A21" w:rsidRDefault="00115A21" w:rsidP="00115A21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Pořízení, instalace a zprovoznění superpočítače do k. r. 2015.</w:t>
            </w:r>
          </w:p>
          <w:p w:rsidR="00115A21" w:rsidRDefault="00115A21" w:rsidP="00115A21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Vysoké náklady na provoz a udržitelnost centra.</w:t>
            </w:r>
          </w:p>
          <w:p w:rsidR="00115A21" w:rsidRPr="00115A21" w:rsidRDefault="00115A21" w:rsidP="00115A21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Zatím nízký smluvní výzkum. </w:t>
            </w:r>
          </w:p>
        </w:tc>
      </w:tr>
      <w:tr w:rsidR="00380CBE" w:rsidTr="00380CBE">
        <w:tc>
          <w:tcPr>
            <w:tcW w:w="2060" w:type="dxa"/>
          </w:tcPr>
          <w:p w:rsidR="00380CBE" w:rsidRDefault="00380CBE" w:rsidP="00100B26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546" w:type="dxa"/>
            <w:gridSpan w:val="5"/>
          </w:tcPr>
          <w:p w:rsidR="00380CBE" w:rsidRDefault="00380CBE" w:rsidP="00100B26">
            <w:pPr>
              <w:spacing w:before="60" w:after="60" w:line="240" w:lineRule="auto"/>
              <w:rPr>
                <w:sz w:val="18"/>
              </w:rPr>
            </w:pP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1A167E8D"/>
    <w:multiLevelType w:val="hybridMultilevel"/>
    <w:tmpl w:val="DFC4E526"/>
    <w:lvl w:ilvl="0" w:tplc="4B740B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493E066F"/>
    <w:multiLevelType w:val="hybridMultilevel"/>
    <w:tmpl w:val="F8A0B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464E39"/>
    <w:multiLevelType w:val="hybridMultilevel"/>
    <w:tmpl w:val="4C9668F2"/>
    <w:lvl w:ilvl="0" w:tplc="8D04450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8"/>
  </w:num>
  <w:num w:numId="5">
    <w:abstractNumId w:val="8"/>
  </w:num>
  <w:num w:numId="6">
    <w:abstractNumId w:val="0"/>
  </w:num>
  <w:num w:numId="7">
    <w:abstractNumId w:val="11"/>
  </w:num>
  <w:num w:numId="8">
    <w:abstractNumId w:val="12"/>
  </w:num>
  <w:num w:numId="9">
    <w:abstractNumId w:val="3"/>
  </w:num>
  <w:num w:numId="10">
    <w:abstractNumId w:val="13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  <w:num w:numId="15">
    <w:abstractNumId w:val="1"/>
  </w:num>
  <w:num w:numId="16">
    <w:abstractNumId w:val="8"/>
  </w:num>
  <w:num w:numId="17">
    <w:abstractNumId w:val="8"/>
  </w:num>
  <w:num w:numId="18">
    <w:abstractNumId w:val="14"/>
  </w:num>
  <w:num w:numId="19">
    <w:abstractNumId w:val="0"/>
  </w:num>
  <w:num w:numId="20">
    <w:abstractNumId w:val="11"/>
  </w:num>
  <w:num w:numId="21">
    <w:abstractNumId w:val="12"/>
  </w:num>
  <w:num w:numId="22">
    <w:abstractNumId w:val="3"/>
  </w:num>
  <w:num w:numId="23">
    <w:abstractNumId w:val="13"/>
  </w:num>
  <w:num w:numId="24">
    <w:abstractNumId w:val="2"/>
  </w:num>
  <w:num w:numId="2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2DBE"/>
    <w:rsid w:val="0002697D"/>
    <w:rsid w:val="000325A3"/>
    <w:rsid w:val="0004245B"/>
    <w:rsid w:val="0005178F"/>
    <w:rsid w:val="000623BF"/>
    <w:rsid w:val="000872A2"/>
    <w:rsid w:val="00087705"/>
    <w:rsid w:val="000A2304"/>
    <w:rsid w:val="000A69DE"/>
    <w:rsid w:val="000B7BB7"/>
    <w:rsid w:val="000C5836"/>
    <w:rsid w:val="000D4560"/>
    <w:rsid w:val="000F0945"/>
    <w:rsid w:val="000F6EEF"/>
    <w:rsid w:val="0010270A"/>
    <w:rsid w:val="00115A21"/>
    <w:rsid w:val="0012530A"/>
    <w:rsid w:val="001655C7"/>
    <w:rsid w:val="0018459D"/>
    <w:rsid w:val="001845D5"/>
    <w:rsid w:val="001A3A66"/>
    <w:rsid w:val="001B09DB"/>
    <w:rsid w:val="001B2134"/>
    <w:rsid w:val="001C0B4E"/>
    <w:rsid w:val="0022040E"/>
    <w:rsid w:val="00230B68"/>
    <w:rsid w:val="00235AE1"/>
    <w:rsid w:val="00235E3E"/>
    <w:rsid w:val="00237CA7"/>
    <w:rsid w:val="002437DA"/>
    <w:rsid w:val="00285137"/>
    <w:rsid w:val="002A102B"/>
    <w:rsid w:val="002B4A3E"/>
    <w:rsid w:val="002C109E"/>
    <w:rsid w:val="002C69A4"/>
    <w:rsid w:val="002E3B40"/>
    <w:rsid w:val="00301F44"/>
    <w:rsid w:val="00306F3A"/>
    <w:rsid w:val="003249B3"/>
    <w:rsid w:val="00380CBE"/>
    <w:rsid w:val="003E142B"/>
    <w:rsid w:val="003E4DF2"/>
    <w:rsid w:val="003E529E"/>
    <w:rsid w:val="00407B26"/>
    <w:rsid w:val="004137B3"/>
    <w:rsid w:val="0042467E"/>
    <w:rsid w:val="004256C6"/>
    <w:rsid w:val="00431B1E"/>
    <w:rsid w:val="00446052"/>
    <w:rsid w:val="00463491"/>
    <w:rsid w:val="004C4832"/>
    <w:rsid w:val="004D6F6B"/>
    <w:rsid w:val="00500997"/>
    <w:rsid w:val="0052190C"/>
    <w:rsid w:val="0052281E"/>
    <w:rsid w:val="00526313"/>
    <w:rsid w:val="0054354F"/>
    <w:rsid w:val="00561D92"/>
    <w:rsid w:val="00562EFB"/>
    <w:rsid w:val="00584B17"/>
    <w:rsid w:val="00595603"/>
    <w:rsid w:val="005C037B"/>
    <w:rsid w:val="005D613D"/>
    <w:rsid w:val="005F27AE"/>
    <w:rsid w:val="0062629F"/>
    <w:rsid w:val="00650886"/>
    <w:rsid w:val="00650AB0"/>
    <w:rsid w:val="00651B0F"/>
    <w:rsid w:val="006567A2"/>
    <w:rsid w:val="00676E01"/>
    <w:rsid w:val="00686054"/>
    <w:rsid w:val="00686EA8"/>
    <w:rsid w:val="006A3EE8"/>
    <w:rsid w:val="006D2560"/>
    <w:rsid w:val="007011BD"/>
    <w:rsid w:val="007159DB"/>
    <w:rsid w:val="00733362"/>
    <w:rsid w:val="00737A93"/>
    <w:rsid w:val="00742563"/>
    <w:rsid w:val="00762820"/>
    <w:rsid w:val="00774A9C"/>
    <w:rsid w:val="00781649"/>
    <w:rsid w:val="007A4760"/>
    <w:rsid w:val="007A62D7"/>
    <w:rsid w:val="00811A86"/>
    <w:rsid w:val="0081225A"/>
    <w:rsid w:val="0081392A"/>
    <w:rsid w:val="008146D9"/>
    <w:rsid w:val="008334DE"/>
    <w:rsid w:val="008353DD"/>
    <w:rsid w:val="00857492"/>
    <w:rsid w:val="008A53E1"/>
    <w:rsid w:val="008B3DF5"/>
    <w:rsid w:val="008B4A6B"/>
    <w:rsid w:val="008B4CE2"/>
    <w:rsid w:val="008C5780"/>
    <w:rsid w:val="008D64A0"/>
    <w:rsid w:val="008F072B"/>
    <w:rsid w:val="009360DE"/>
    <w:rsid w:val="009372B3"/>
    <w:rsid w:val="00966BB8"/>
    <w:rsid w:val="00992D8B"/>
    <w:rsid w:val="009E1A0F"/>
    <w:rsid w:val="009E437E"/>
    <w:rsid w:val="00A0019C"/>
    <w:rsid w:val="00A009AD"/>
    <w:rsid w:val="00A431A3"/>
    <w:rsid w:val="00A47B9B"/>
    <w:rsid w:val="00A74241"/>
    <w:rsid w:val="00A7545D"/>
    <w:rsid w:val="00AA442B"/>
    <w:rsid w:val="00AB610C"/>
    <w:rsid w:val="00AD65D3"/>
    <w:rsid w:val="00AE72C5"/>
    <w:rsid w:val="00AF6EBB"/>
    <w:rsid w:val="00AF7545"/>
    <w:rsid w:val="00B0089A"/>
    <w:rsid w:val="00B07516"/>
    <w:rsid w:val="00B2004E"/>
    <w:rsid w:val="00B31B5B"/>
    <w:rsid w:val="00B568DC"/>
    <w:rsid w:val="00B65FF2"/>
    <w:rsid w:val="00B81893"/>
    <w:rsid w:val="00BA1491"/>
    <w:rsid w:val="00BB3902"/>
    <w:rsid w:val="00BB609B"/>
    <w:rsid w:val="00BB67C2"/>
    <w:rsid w:val="00BD0FE5"/>
    <w:rsid w:val="00BD1371"/>
    <w:rsid w:val="00C13A71"/>
    <w:rsid w:val="00C217DD"/>
    <w:rsid w:val="00C43F6D"/>
    <w:rsid w:val="00C56390"/>
    <w:rsid w:val="00C92258"/>
    <w:rsid w:val="00CB0663"/>
    <w:rsid w:val="00CC6243"/>
    <w:rsid w:val="00CD15B6"/>
    <w:rsid w:val="00CD56E8"/>
    <w:rsid w:val="00CE6475"/>
    <w:rsid w:val="00D03FD2"/>
    <w:rsid w:val="00D2753C"/>
    <w:rsid w:val="00D32D72"/>
    <w:rsid w:val="00D85363"/>
    <w:rsid w:val="00DA6654"/>
    <w:rsid w:val="00DA7033"/>
    <w:rsid w:val="00DD26D3"/>
    <w:rsid w:val="00E05352"/>
    <w:rsid w:val="00E16F6F"/>
    <w:rsid w:val="00E20092"/>
    <w:rsid w:val="00E43C3D"/>
    <w:rsid w:val="00E46567"/>
    <w:rsid w:val="00E7198F"/>
    <w:rsid w:val="00E71CB7"/>
    <w:rsid w:val="00E747CC"/>
    <w:rsid w:val="00E93EB3"/>
    <w:rsid w:val="00E95642"/>
    <w:rsid w:val="00EC3BBE"/>
    <w:rsid w:val="00EC4408"/>
    <w:rsid w:val="00EE2A12"/>
    <w:rsid w:val="00F0067F"/>
    <w:rsid w:val="00F1609A"/>
    <w:rsid w:val="00F2542A"/>
    <w:rsid w:val="00F34368"/>
    <w:rsid w:val="00F46FEF"/>
    <w:rsid w:val="00F74C5F"/>
    <w:rsid w:val="00F9010E"/>
    <w:rsid w:val="00FA0F95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cíl se seznamem,List Paragraph"/>
    <w:basedOn w:val="Normln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cíl se seznamem,List Paragraph"/>
    <w:basedOn w:val="Normln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89676-0E7D-4D13-8E12-EADB1693A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2344</Words>
  <Characters>13836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16148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2015-04-01T08:10:00Z</dcterms:created>
  <dcterms:modified xsi:type="dcterms:W3CDTF">2015-04-01T08:10:00Z</dcterms:modified>
</cp:coreProperties>
</file>