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98"/>
        <w:gridCol w:w="538"/>
        <w:gridCol w:w="2126"/>
        <w:gridCol w:w="808"/>
        <w:gridCol w:w="373"/>
        <w:gridCol w:w="1371"/>
        <w:gridCol w:w="2551"/>
      </w:tblGrid>
      <w:tr w:rsidR="00AE72C5" w:rsidTr="00737282">
        <w:trPr>
          <w:trHeight w:val="558"/>
        </w:trPr>
        <w:tc>
          <w:tcPr>
            <w:tcW w:w="10065" w:type="dxa"/>
            <w:gridSpan w:val="7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737282">
        <w:trPr>
          <w:trHeight w:val="277"/>
        </w:trPr>
        <w:tc>
          <w:tcPr>
            <w:tcW w:w="10065" w:type="dxa"/>
            <w:gridSpan w:val="7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737282">
        <w:trPr>
          <w:trHeight w:val="277"/>
        </w:trPr>
        <w:tc>
          <w:tcPr>
            <w:tcW w:w="2836" w:type="dxa"/>
            <w:gridSpan w:val="2"/>
          </w:tcPr>
          <w:p w:rsidR="00AE72C5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229" w:type="dxa"/>
            <w:gridSpan w:val="5"/>
          </w:tcPr>
          <w:p w:rsidR="00AE72C5" w:rsidRPr="00AA6F42" w:rsidRDefault="00AA6F4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Centrum regionu Haná pro biotechnologický a zemědělský výzkum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příjemce</w:t>
            </w:r>
          </w:p>
        </w:tc>
        <w:tc>
          <w:tcPr>
            <w:tcW w:w="7229" w:type="dxa"/>
            <w:gridSpan w:val="5"/>
          </w:tcPr>
          <w:p w:rsidR="00E71CB7" w:rsidRPr="00AA6F42" w:rsidRDefault="00AA6F4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Univerzita Palackého v Olomouci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 xml:space="preserve"> Registrační číslo </w:t>
            </w:r>
            <w:r w:rsidR="00F74C5F" w:rsidRPr="00AA6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AA6F42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7229" w:type="dxa"/>
            <w:gridSpan w:val="5"/>
          </w:tcPr>
          <w:p w:rsidR="00E71CB7" w:rsidRPr="00AA6F42" w:rsidRDefault="00AA6F4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CZ.1.05/2.1.00/01.0007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Sídlo příjemce</w:t>
            </w:r>
          </w:p>
        </w:tc>
        <w:tc>
          <w:tcPr>
            <w:tcW w:w="7229" w:type="dxa"/>
            <w:gridSpan w:val="5"/>
          </w:tcPr>
          <w:p w:rsidR="00AA6F42" w:rsidRPr="00AA6F42" w:rsidRDefault="00AA6F4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 xml:space="preserve">Křížkovského 511/8, 779 00 Olomouc </w:t>
            </w:r>
          </w:p>
          <w:p w:rsidR="00AB4932" w:rsidRPr="00AA6F42" w:rsidRDefault="00AB4932" w:rsidP="00AB4932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(sídlo projektu:</w:t>
            </w:r>
          </w:p>
          <w:p w:rsidR="00AA6F42" w:rsidRPr="00AA6F42" w:rsidRDefault="00AA6F42" w:rsidP="00AA6F42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Přírodovědecká fakulta Univerzity Palackého v Olomouci</w:t>
            </w:r>
          </w:p>
          <w:p w:rsidR="00AA6F42" w:rsidRPr="00AA6F42" w:rsidRDefault="00AA6F42" w:rsidP="00AA6F42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Šlechtitelů 21, 783 71 Olomouc – Holice)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Číslo a název výzvy</w:t>
            </w:r>
          </w:p>
        </w:tc>
        <w:tc>
          <w:tcPr>
            <w:tcW w:w="7229" w:type="dxa"/>
            <w:gridSpan w:val="5"/>
          </w:tcPr>
          <w:p w:rsidR="00F74C5F" w:rsidRPr="00D90A28" w:rsidRDefault="00D90A28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1.2 Regionální </w:t>
            </w:r>
            <w:proofErr w:type="spellStart"/>
            <w:r w:rsidRPr="00D90A28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 centra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Datum podpisu Rozhodnutí</w:t>
            </w:r>
          </w:p>
        </w:tc>
        <w:tc>
          <w:tcPr>
            <w:tcW w:w="7229" w:type="dxa"/>
            <w:gridSpan w:val="5"/>
          </w:tcPr>
          <w:p w:rsidR="00F74C5F" w:rsidRPr="00D90A28" w:rsidRDefault="009D7B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90A28">
              <w:rPr>
                <w:rFonts w:asciiTheme="minorHAnsi" w:hAnsiTheme="minorHAnsi" w:cstheme="minorHAnsi"/>
                <w:sz w:val="20"/>
                <w:szCs w:val="20"/>
              </w:rPr>
              <w:t>15. 2. 2010</w:t>
            </w:r>
          </w:p>
        </w:tc>
      </w:tr>
      <w:tr w:rsidR="00F74C5F" w:rsidTr="00737282">
        <w:trPr>
          <w:trHeight w:val="623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Období realizace projektu</w:t>
            </w:r>
          </w:p>
        </w:tc>
        <w:tc>
          <w:tcPr>
            <w:tcW w:w="3307" w:type="dxa"/>
            <w:gridSpan w:val="3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Pr="0041441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A442B">
              <w:rPr>
                <w:sz w:val="18"/>
              </w:rPr>
              <w:t>realizace projektu:</w:t>
            </w:r>
            <w:r w:rsidR="00414418">
              <w:rPr>
                <w:sz w:val="18"/>
              </w:rPr>
              <w:t xml:space="preserve"> </w:t>
            </w:r>
            <w:r w:rsidR="009D7B53" w:rsidRPr="00414418">
              <w:rPr>
                <w:rFonts w:asciiTheme="minorHAnsi" w:hAnsiTheme="minorHAnsi" w:cstheme="minorHAnsi"/>
                <w:sz w:val="20"/>
                <w:szCs w:val="20"/>
              </w:rPr>
              <w:t>01. 03. 2010</w:t>
            </w:r>
            <w:r w:rsidR="00414418" w:rsidRPr="0041441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922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414418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414418">
              <w:rPr>
                <w:sz w:val="18"/>
              </w:rPr>
              <w:t xml:space="preserve"> </w:t>
            </w:r>
            <w:r w:rsidR="009D7B53">
              <w:rPr>
                <w:rFonts w:asciiTheme="minorHAnsi" w:hAnsiTheme="minorHAnsi" w:cstheme="minorHAnsi"/>
                <w:sz w:val="20"/>
                <w:szCs w:val="20"/>
              </w:rPr>
              <w:t>31. 12. 2013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Výše podpory</w:t>
            </w:r>
          </w:p>
        </w:tc>
        <w:tc>
          <w:tcPr>
            <w:tcW w:w="3307" w:type="dxa"/>
            <w:gridSpan w:val="3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010F0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7010F0">
              <w:rPr>
                <w:sz w:val="18"/>
              </w:rPr>
              <w:t xml:space="preserve"> </w:t>
            </w:r>
          </w:p>
          <w:p w:rsidR="007A62D7" w:rsidRPr="00AA442B" w:rsidRDefault="007010F0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7010F0">
              <w:rPr>
                <w:rFonts w:asciiTheme="minorHAnsi" w:hAnsiTheme="minorHAnsi" w:cstheme="minorHAnsi"/>
                <w:sz w:val="20"/>
                <w:szCs w:val="20"/>
              </w:rPr>
              <w:t>832.938.232,- Kč</w:t>
            </w:r>
          </w:p>
        </w:tc>
        <w:tc>
          <w:tcPr>
            <w:tcW w:w="3922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C74F1B" w:rsidRDefault="00C74F1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940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734,8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 Kč</w:t>
            </w:r>
          </w:p>
          <w:p w:rsidR="00F74C5F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C74F1B" w:rsidRPr="00C74F1B" w:rsidRDefault="00C74F1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707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997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74F1B">
              <w:rPr>
                <w:rFonts w:asciiTheme="minorHAnsi" w:hAnsiTheme="minorHAnsi" w:cstheme="minorHAnsi"/>
                <w:sz w:val="20"/>
                <w:szCs w:val="20"/>
              </w:rPr>
              <w:t>497,2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737282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7229" w:type="dxa"/>
            <w:gridSpan w:val="5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057E24">
              <w:rPr>
                <w:sz w:val="18"/>
              </w:rPr>
              <w:t xml:space="preserve"> 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514.352.000,-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120.341.857,-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135.175.379,- Kč</w:t>
            </w:r>
          </w:p>
          <w:p w:rsidR="00F34368" w:rsidRDefault="00F34368" w:rsidP="0074608E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74608E">
              <w:rPr>
                <w:sz w:val="18"/>
              </w:rPr>
              <w:t>72.499.397,- Kč (celkové výdaje jsou 842.368.633,- Kč včetně plánovaného příjmu za prodej pozemku, který nenastal)</w:t>
            </w:r>
          </w:p>
        </w:tc>
      </w:tr>
      <w:tr w:rsidR="008353DD" w:rsidTr="00737282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935B1E" w:rsidRPr="00585D8A" w:rsidRDefault="00935B1E" w:rsidP="00585D8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Centrum je výsledkem spolupráce mezi Univerzitou Palackého v Olomouci a olomouckými pracovišti Výzkumného ústavu rostlinné výroby, </w:t>
            </w:r>
            <w:proofErr w:type="spellStart"/>
            <w:proofErr w:type="gramStart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>v.v.</w:t>
            </w:r>
            <w:proofErr w:type="gramEnd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. (VÚRV - oddělení zelenin a speciálních plodin) a Ústavu experimentální botaniky AV ČR, </w:t>
            </w:r>
            <w:proofErr w:type="spellStart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>v.v.i</w:t>
            </w:r>
            <w:proofErr w:type="spellEnd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. (ÚEB AVČR - laboratoře molekulární cytogenetiky, </w:t>
            </w:r>
            <w:proofErr w:type="spellStart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>cytometrie</w:t>
            </w:r>
            <w:proofErr w:type="spellEnd"/>
            <w:r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 a cytoskeletu). Projekt přináší do odvětví nové metody zejména v oblasti molekulární genetiky a biotechnologie</w:t>
            </w:r>
            <w:r w:rsidR="00585D8A"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585D8A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585D8A">
              <w:rPr>
                <w:rFonts w:asciiTheme="minorHAnsi" w:hAnsiTheme="minorHAnsi" w:cstheme="minorHAnsi"/>
                <w:sz w:val="20"/>
                <w:szCs w:val="20"/>
              </w:rPr>
              <w:t> jeho cílům patří</w:t>
            </w:r>
            <w:r w:rsidRPr="00585D8A">
              <w:rPr>
                <w:rFonts w:asciiTheme="minorHAnsi" w:hAnsiTheme="minorHAnsi" w:cstheme="minorHAnsi"/>
                <w:sz w:val="20"/>
                <w:szCs w:val="20"/>
              </w:rPr>
              <w:t xml:space="preserve"> např. využití nových růstových regulátorů či nové generace zemědělských plodin, které disponují vysokou odolností vůči stresovým a patologickým vlivům. </w:t>
            </w:r>
          </w:p>
          <w:p w:rsidR="008353DD" w:rsidRDefault="008353DD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526313" w:rsidTr="00737282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2126" w:type="dxa"/>
          </w:tcPr>
          <w:p w:rsidR="00526313" w:rsidRPr="00E20092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3C6DB6">
              <w:rPr>
                <w:sz w:val="18"/>
              </w:rPr>
              <w:t xml:space="preserve"> </w:t>
            </w:r>
            <w:r w:rsidR="003C6DB6" w:rsidRPr="003C6DB6">
              <w:rPr>
                <w:rFonts w:asciiTheme="minorHAnsi" w:hAnsiTheme="minorHAnsi" w:cstheme="minorHAnsi"/>
                <w:sz w:val="20"/>
                <w:szCs w:val="20"/>
              </w:rPr>
              <w:t>2. 2. 2011</w:t>
            </w:r>
            <w:r w:rsidR="00554468">
              <w:rPr>
                <w:rFonts w:asciiTheme="minorHAnsi" w:hAnsiTheme="minorHAnsi" w:cstheme="minorHAnsi"/>
                <w:sz w:val="20"/>
                <w:szCs w:val="20"/>
              </w:rPr>
              <w:t xml:space="preserve"> - -</w:t>
            </w:r>
            <w:r w:rsidR="00554468" w:rsidRPr="00453AAF">
              <w:rPr>
                <w:rFonts w:asciiTheme="minorHAnsi" w:hAnsiTheme="minorHAnsi" w:cstheme="minorHAnsi"/>
                <w:sz w:val="20"/>
                <w:szCs w:val="20"/>
              </w:rPr>
              <w:t xml:space="preserve">předání stavby od zhotovitele </w:t>
            </w:r>
            <w:r w:rsidR="00554468">
              <w:rPr>
                <w:rFonts w:asciiTheme="minorHAnsi" w:hAnsiTheme="minorHAnsi" w:cstheme="minorHAnsi"/>
                <w:sz w:val="20"/>
                <w:szCs w:val="20"/>
              </w:rPr>
              <w:t>17. 6. 2013</w:t>
            </w:r>
          </w:p>
        </w:tc>
        <w:tc>
          <w:tcPr>
            <w:tcW w:w="5103" w:type="dxa"/>
            <w:gridSpan w:val="4"/>
          </w:tcPr>
          <w:p w:rsidR="005760E4" w:rsidRDefault="00002DBE" w:rsidP="005760E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3C6DB6">
              <w:rPr>
                <w:sz w:val="18"/>
              </w:rPr>
              <w:t xml:space="preserve"> </w:t>
            </w:r>
            <w:r w:rsidR="005760E4">
              <w:rPr>
                <w:sz w:val="18"/>
              </w:rPr>
              <w:t xml:space="preserve"> </w:t>
            </w:r>
          </w:p>
          <w:p w:rsidR="005760E4" w:rsidRPr="005760E4" w:rsidRDefault="005760E4" w:rsidP="005760E4">
            <w:pPr>
              <w:pStyle w:val="Odstavecseseznamem"/>
              <w:ind w:left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60E4">
              <w:rPr>
                <w:rFonts w:asciiTheme="minorHAnsi" w:hAnsiTheme="minorHAnsi" w:cstheme="minorHAnsi"/>
                <w:sz w:val="20"/>
                <w:szCs w:val="20"/>
              </w:rPr>
              <w:t>Sdružení: VCES a.</w:t>
            </w:r>
            <w:proofErr w:type="gramStart"/>
            <w:r w:rsidRPr="005760E4">
              <w:rPr>
                <w:rFonts w:asciiTheme="minorHAnsi" w:hAnsiTheme="minorHAnsi" w:cstheme="minorHAnsi"/>
                <w:sz w:val="20"/>
                <w:szCs w:val="20"/>
              </w:rPr>
              <w:t>s.(IČ</w:t>
            </w:r>
            <w:proofErr w:type="gramEnd"/>
            <w:r w:rsidRPr="005760E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526313" w:rsidRPr="00E20092" w:rsidRDefault="005760E4" w:rsidP="005760E4">
            <w:pPr>
              <w:pStyle w:val="Odstavecseseznamem"/>
              <w:ind w:left="0"/>
              <w:contextualSpacing/>
              <w:rPr>
                <w:sz w:val="18"/>
              </w:rPr>
            </w:pPr>
            <w:r w:rsidRPr="005760E4">
              <w:rPr>
                <w:rFonts w:asciiTheme="minorHAnsi" w:hAnsiTheme="minorHAnsi" w:cstheme="minorHAnsi"/>
                <w:sz w:val="20"/>
                <w:szCs w:val="20"/>
              </w:rPr>
              <w:t xml:space="preserve">26746573),EUROGEMA CZ a.s. (IČ: 26801001) a </w:t>
            </w:r>
            <w:proofErr w:type="spellStart"/>
            <w:r w:rsidRPr="005760E4">
              <w:rPr>
                <w:rFonts w:asciiTheme="minorHAnsi" w:hAnsiTheme="minorHAnsi" w:cstheme="minorHAnsi"/>
                <w:sz w:val="20"/>
                <w:szCs w:val="20"/>
              </w:rPr>
              <w:t>MERCI,s.r.o</w:t>
            </w:r>
            <w:proofErr w:type="spellEnd"/>
            <w:r w:rsidRPr="005760E4">
              <w:rPr>
                <w:rFonts w:asciiTheme="minorHAnsi" w:hAnsiTheme="minorHAnsi" w:cstheme="minorHAnsi"/>
                <w:sz w:val="20"/>
                <w:szCs w:val="20"/>
              </w:rPr>
              <w:t>. (IČ:46966447).</w:t>
            </w:r>
          </w:p>
        </w:tc>
      </w:tr>
      <w:tr w:rsidR="008353DD" w:rsidTr="00737282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985CB5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 xml:space="preserve">(popis hlavních </w:t>
            </w:r>
            <w:r w:rsidR="00985CB5">
              <w:rPr>
                <w:rFonts w:ascii="Arial" w:hAnsi="Arial" w:cs="Arial"/>
                <w:sz w:val="16"/>
              </w:rPr>
              <w:t>plánovaných</w:t>
            </w:r>
            <w:r w:rsidR="00FD3750" w:rsidRPr="00FD3750">
              <w:rPr>
                <w:rFonts w:ascii="Arial" w:hAnsi="Arial" w:cs="Arial"/>
                <w:sz w:val="16"/>
              </w:rPr>
              <w:t xml:space="preserve">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8353DD" w:rsidRPr="00737282" w:rsidRDefault="00737282" w:rsidP="00F34368">
            <w:pPr>
              <w:spacing w:before="60" w:after="60" w:line="240" w:lineRule="auto"/>
              <w:rPr>
                <w:sz w:val="18"/>
              </w:rPr>
            </w:pPr>
            <w:r w:rsidRPr="00737282">
              <w:rPr>
                <w:sz w:val="18"/>
              </w:rPr>
              <w:t>Monitorovací indikátory:</w:t>
            </w:r>
          </w:p>
          <w:tbl>
            <w:tblPr>
              <w:tblW w:w="6966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68"/>
              <w:gridCol w:w="3975"/>
              <w:gridCol w:w="1012"/>
              <w:gridCol w:w="1011"/>
            </w:tblGrid>
            <w:tr w:rsidR="00985CB5" w:rsidRPr="00737282" w:rsidTr="00985CB5">
              <w:trPr>
                <w:trHeight w:val="428"/>
              </w:trPr>
              <w:tc>
                <w:tcPr>
                  <w:tcW w:w="49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projektových indikátorů: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konce projektu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K </w:t>
                  </w:r>
                  <w:r w:rsidR="009D7B53"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326</w:t>
                  </w:r>
                </w:p>
              </w:tc>
            </w:tr>
            <w:tr w:rsidR="00985CB5" w:rsidRPr="00737282" w:rsidTr="00985CB5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111200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Objem smluvního výzkumu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(tis. Kč)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17000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72000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95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190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985CB5" w:rsidRPr="00737282" w:rsidTr="00985CB5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200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170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116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119</w:t>
                  </w:r>
                </w:p>
              </w:tc>
            </w:tr>
            <w:tr w:rsidR="00985CB5" w:rsidRPr="00737282" w:rsidTr="00985CB5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</w:tr>
            <w:tr w:rsidR="00985CB5" w:rsidRPr="00737282" w:rsidTr="00985CB5">
              <w:trPr>
                <w:trHeight w:val="291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Vybudované kapacity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(m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7 220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737282" w:rsidRPr="00737282" w:rsidRDefault="00737282" w:rsidP="008903DE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7220</w:t>
                  </w:r>
                </w:p>
              </w:tc>
            </w:tr>
          </w:tbl>
          <w:p w:rsidR="00737282" w:rsidRDefault="00737282" w:rsidP="00F34368">
            <w:pPr>
              <w:spacing w:before="60" w:after="60" w:line="240" w:lineRule="auto"/>
              <w:rPr>
                <w:sz w:val="16"/>
              </w:rPr>
            </w:pPr>
          </w:p>
          <w:p w:rsidR="00737282" w:rsidRDefault="00FE5328" w:rsidP="00F34368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Cíle projektu:</w:t>
            </w:r>
          </w:p>
          <w:p w:rsidR="00C87DCA" w:rsidRDefault="00FE5328" w:rsidP="00FE532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>Vybudování Centra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tj. </w:t>
            </w:r>
            <w:r w:rsidRPr="000345C5">
              <w:rPr>
                <w:rFonts w:asciiTheme="minorHAnsi" w:hAnsiTheme="minorHAnsi" w:cstheme="minorHAnsi"/>
                <w:b/>
                <w:sz w:val="20"/>
                <w:szCs w:val="20"/>
              </w:rPr>
              <w:t>postavení nových budov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 pro spolupráci mezi univerzitou a olomouckými pracovišti Výzkumného ústavu rostlinné výroby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Ústavu experimentální botaniky AV ČR, </w:t>
            </w:r>
            <w:r w:rsidR="00C87DCA">
              <w:rPr>
                <w:rFonts w:asciiTheme="minorHAnsi" w:hAnsiTheme="minorHAnsi" w:cstheme="minorHAnsi"/>
                <w:sz w:val="20"/>
                <w:szCs w:val="20"/>
              </w:rPr>
              <w:t>pro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 rozšíření výzkumných kapacit univerzity a</w:t>
            </w:r>
            <w:r w:rsidR="00C87DC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jejích partnerů a ke koncentraci vědeckého potenciálu do jednoho centra, </w:t>
            </w:r>
          </w:p>
          <w:p w:rsidR="00C87DCA" w:rsidRDefault="00C87DCA" w:rsidP="00FE532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Vytvoření podmínek</w:t>
            </w:r>
            <w:r w:rsidR="00FE5328"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 pro efektivní transfer výsledků výzkumu do praxe, </w:t>
            </w:r>
          </w:p>
          <w:p w:rsidR="00FE5328" w:rsidRPr="00FE5328" w:rsidRDefault="00FE5328" w:rsidP="00FE532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4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vývoj pokročilých rostlinných biotechnologií 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>a pos</w:t>
            </w:r>
            <w:r w:rsidR="00C87DCA">
              <w:rPr>
                <w:rFonts w:asciiTheme="minorHAnsi" w:hAnsiTheme="minorHAnsi" w:cstheme="minorHAnsi"/>
                <w:sz w:val="20"/>
                <w:szCs w:val="20"/>
              </w:rPr>
              <w:t xml:space="preserve">ílení 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oblasti </w:t>
            </w:r>
            <w:r w:rsidRPr="000345C5">
              <w:rPr>
                <w:rFonts w:asciiTheme="minorHAnsi" w:hAnsiTheme="minorHAnsi" w:cstheme="minorHAnsi"/>
                <w:b/>
                <w:sz w:val="20"/>
                <w:szCs w:val="20"/>
              </w:rPr>
              <w:t>zemědělské produkce a šlechtitelství</w:t>
            </w:r>
          </w:p>
          <w:p w:rsidR="00FE5328" w:rsidRPr="00FE5328" w:rsidRDefault="00FE5328" w:rsidP="00FE5328">
            <w:pPr>
              <w:pStyle w:val="Odstavecseseznamem"/>
              <w:spacing w:after="0" w:line="240" w:lineRule="auto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87DCA" w:rsidRDefault="00FE5328" w:rsidP="00FE532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>Zintenzivnění biotechnologického a s ním souvisejícího zemědělského výzkumu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vývoje i následná aplikace výsledků do praxe </w:t>
            </w:r>
          </w:p>
          <w:p w:rsidR="00FE5328" w:rsidRDefault="00FE5328" w:rsidP="00FE5328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účast mladých </w:t>
            </w:r>
            <w:r w:rsidRPr="000345C5">
              <w:rPr>
                <w:rFonts w:asciiTheme="minorHAnsi" w:hAnsiTheme="minorHAnsi" w:cstheme="minorHAnsi"/>
                <w:b/>
                <w:sz w:val="20"/>
                <w:szCs w:val="20"/>
              </w:rPr>
              <w:t>vědeckých pracovníků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 xml:space="preserve"> a doktorandů a jejich setrvání v kraji. Spolupráce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E5328">
              <w:rPr>
                <w:rFonts w:asciiTheme="minorHAnsi" w:hAnsiTheme="minorHAnsi" w:cstheme="minorHAnsi"/>
                <w:sz w:val="20"/>
                <w:szCs w:val="20"/>
              </w:rPr>
              <w:t>aplikační sférou zabezpečí jejich zapojení v aplikačním výzkumu a při transferu nejnovějších technologií do praxe.</w:t>
            </w:r>
          </w:p>
          <w:p w:rsidR="00A04AD9" w:rsidRDefault="00A04AD9" w:rsidP="00A04AD9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04AD9" w:rsidRPr="00A04AD9" w:rsidRDefault="00A04AD9" w:rsidP="00A04AD9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4AD9">
              <w:rPr>
                <w:rFonts w:asciiTheme="minorHAnsi" w:hAnsiTheme="minorHAnsi" w:cstheme="minorHAnsi"/>
                <w:b/>
                <w:sz w:val="20"/>
                <w:szCs w:val="20"/>
              </w:rPr>
              <w:t>Nové technologie:</w:t>
            </w:r>
            <w:r w:rsidRPr="00A04AD9">
              <w:rPr>
                <w:rFonts w:asciiTheme="minorHAnsi" w:hAnsiTheme="minorHAnsi" w:cstheme="minorHAnsi"/>
                <w:sz w:val="20"/>
                <w:szCs w:val="20"/>
              </w:rPr>
              <w:t xml:space="preserve"> Technologie přípravy </w:t>
            </w:r>
            <w:proofErr w:type="spellStart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biosensorů</w:t>
            </w:r>
            <w:proofErr w:type="spellEnd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 xml:space="preserve"> na bázi rostlinných enzymů pro využití v potravinářském průmyslu, Nové růstové regulátory a technologie jejich aplikace při pěstování zemědělských plodin, DNA </w:t>
            </w:r>
            <w:proofErr w:type="spellStart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markery</w:t>
            </w:r>
            <w:proofErr w:type="spellEnd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 xml:space="preserve"> v těsné vazbě na agronomicky vyznané znaky pro využití při šlechtění pomocí </w:t>
            </w:r>
            <w:proofErr w:type="spellStart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markerů</w:t>
            </w:r>
            <w:proofErr w:type="spellEnd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, Transgenní linie zemědělských plodin se zvýšenu rezistencí vůči chorobám a se zlepšenou kvalitou</w:t>
            </w:r>
          </w:p>
          <w:p w:rsidR="00A04AD9" w:rsidRPr="00A04AD9" w:rsidRDefault="00A04AD9" w:rsidP="00A04AD9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04AD9" w:rsidRPr="00A04AD9" w:rsidRDefault="00A04AD9" w:rsidP="00A04AD9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B4663">
              <w:rPr>
                <w:rFonts w:asciiTheme="minorHAnsi" w:hAnsiTheme="minorHAnsi" w:cstheme="minorHAnsi"/>
                <w:b/>
                <w:sz w:val="20"/>
                <w:szCs w:val="20"/>
              </w:rPr>
              <w:t>Výzkumné programy:</w:t>
            </w:r>
            <w:r w:rsidRPr="00A04AD9">
              <w:rPr>
                <w:rFonts w:asciiTheme="minorHAnsi" w:hAnsiTheme="minorHAnsi" w:cstheme="minorHAnsi"/>
                <w:sz w:val="20"/>
                <w:szCs w:val="20"/>
              </w:rPr>
              <w:t xml:space="preserve"> 1. Proteinová biotechnologie, 2. Chemická biologie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genetika, 3. Nové materiály a metody šlechtění rostlin, 4. Rostlinné biotechnologie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A04AD9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proofErr w:type="spellStart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Fytofarma</w:t>
            </w:r>
            <w:proofErr w:type="spellEnd"/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, genetické zdroje zelenin, léčivých, aromatických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04AD9">
              <w:rPr>
                <w:rFonts w:asciiTheme="minorHAnsi" w:hAnsiTheme="minorHAnsi" w:cstheme="minorHAnsi"/>
                <w:sz w:val="20"/>
                <w:szCs w:val="20"/>
              </w:rPr>
              <w:t>kořeninových rostlin</w:t>
            </w:r>
          </w:p>
          <w:p w:rsidR="00737282" w:rsidRDefault="00737282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737282">
        <w:tc>
          <w:tcPr>
            <w:tcW w:w="10065" w:type="dxa"/>
            <w:gridSpan w:val="7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6E7432" wp14:editId="4B6CA849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9D7B53">
                                    <w:rPr>
                                      <w:sz w:val="18"/>
                                      <w:szCs w:val="18"/>
                                    </w:rPr>
                                    <w:t xml:space="preserve"> 6. 2. 2015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9D7B53">
                              <w:rPr>
                                <w:sz w:val="18"/>
                                <w:szCs w:val="18"/>
                              </w:rPr>
                              <w:t xml:space="preserve"> 6. 2. 2015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73728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3"/>
          </w:tcPr>
          <w:p w:rsidR="005104EF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  <w:r w:rsidR="005104EF">
              <w:rPr>
                <w:sz w:val="18"/>
              </w:rPr>
              <w:t xml:space="preserve"> </w:t>
            </w:r>
          </w:p>
          <w:p w:rsidR="005104EF" w:rsidRDefault="005104EF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04EF">
              <w:rPr>
                <w:rFonts w:asciiTheme="minorHAnsi" w:hAnsiTheme="minorHAnsi" w:cstheme="minorHAnsi"/>
                <w:sz w:val="20"/>
                <w:szCs w:val="20"/>
              </w:rPr>
              <w:t xml:space="preserve">prof. Mgr. Jaroslav Miller, </w:t>
            </w:r>
            <w:proofErr w:type="gramStart"/>
            <w:r w:rsidRPr="005104EF">
              <w:rPr>
                <w:rFonts w:asciiTheme="minorHAnsi" w:hAnsiTheme="minorHAnsi" w:cstheme="minorHAnsi"/>
                <w:sz w:val="20"/>
                <w:szCs w:val="20"/>
              </w:rPr>
              <w:t>M.A.</w:t>
            </w:r>
            <w:proofErr w:type="gramEnd"/>
            <w:r w:rsidRPr="005104EF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5104EF" w:rsidRPr="005104EF" w:rsidRDefault="005104EF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rektor</w:t>
            </w:r>
          </w:p>
        </w:tc>
        <w:tc>
          <w:tcPr>
            <w:tcW w:w="4295" w:type="dxa"/>
            <w:gridSpan w:val="3"/>
          </w:tcPr>
          <w:p w:rsidR="00AA6F42" w:rsidRDefault="00F9010E" w:rsidP="00AA6F42">
            <w:pPr>
              <w:pStyle w:val="slovanseznam"/>
              <w:spacing w:line="280" w:lineRule="exact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AA6F42">
              <w:rPr>
                <w:sz w:val="18"/>
              </w:rPr>
              <w:t xml:space="preserve">  </w:t>
            </w:r>
          </w:p>
          <w:p w:rsidR="00AA6F42" w:rsidRPr="00AA6F42" w:rsidRDefault="00AA6F42" w:rsidP="00AA6F42">
            <w:pPr>
              <w:pStyle w:val="slovanseznam"/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b/>
                <w:sz w:val="20"/>
                <w:szCs w:val="20"/>
              </w:rPr>
              <w:t>Univerzita Palackého v Olomouci</w:t>
            </w:r>
          </w:p>
          <w:p w:rsidR="00AA6F42" w:rsidRPr="00AA6F42" w:rsidRDefault="00AA6F42" w:rsidP="00AA6F42">
            <w:pPr>
              <w:pStyle w:val="slovanseznam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Křížkovského 511/8</w:t>
            </w:r>
          </w:p>
          <w:p w:rsidR="00AA6F42" w:rsidRPr="00AA6F42" w:rsidRDefault="00AA6F42" w:rsidP="00AA6F42">
            <w:pPr>
              <w:pStyle w:val="slovanseznam"/>
              <w:spacing w:line="280" w:lineRule="exact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proofErr w:type="gramStart"/>
            <w:r w:rsidRPr="00AA6F42">
              <w:rPr>
                <w:rFonts w:asciiTheme="minorHAnsi" w:hAnsiTheme="minorHAnsi" w:cstheme="minorHAnsi"/>
                <w:sz w:val="20"/>
                <w:szCs w:val="20"/>
              </w:rPr>
              <w:t>779 00  Olomouc</w:t>
            </w:r>
            <w:proofErr w:type="gramEnd"/>
          </w:p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002DBE" w:rsidTr="000B180D">
        <w:trPr>
          <w:trHeight w:val="416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767" w:type="dxa"/>
            <w:gridSpan w:val="6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60421B" w:rsidRPr="00244EA7" w:rsidRDefault="0060421B" w:rsidP="0060421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4EA7">
              <w:rPr>
                <w:rFonts w:asciiTheme="minorHAnsi" w:hAnsiTheme="minorHAnsi" w:cstheme="minorHAnsi"/>
                <w:sz w:val="20"/>
                <w:szCs w:val="20"/>
              </w:rPr>
              <w:t>prof. RNDr. Ivo Frébort, CSc., Ph.D., ředitel Centre</w:t>
            </w:r>
          </w:p>
          <w:p w:rsidR="00244EA7" w:rsidRDefault="00002DBE" w:rsidP="0060421B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Ekonom</w:t>
            </w:r>
            <w:r w:rsidR="0060421B">
              <w:rPr>
                <w:sz w:val="18"/>
              </w:rPr>
              <w:t xml:space="preserve"> :</w:t>
            </w:r>
            <w:proofErr w:type="gramEnd"/>
            <w:r w:rsidR="0060421B">
              <w:rPr>
                <w:sz w:val="18"/>
              </w:rPr>
              <w:t xml:space="preserve"> </w:t>
            </w:r>
          </w:p>
          <w:p w:rsidR="00002DBE" w:rsidRDefault="0060421B" w:rsidP="0060421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4EA7">
              <w:rPr>
                <w:rFonts w:asciiTheme="minorHAnsi" w:hAnsiTheme="minorHAnsi" w:cstheme="minorHAnsi"/>
                <w:sz w:val="20"/>
                <w:szCs w:val="20"/>
              </w:rPr>
              <w:t>Ing. Jana Zimová, vedoucí Technicko-hospodářského oddělení, zástupce pro stavbu</w:t>
            </w:r>
          </w:p>
          <w:p w:rsidR="000B180D" w:rsidRPr="005F27AE" w:rsidRDefault="000B180D" w:rsidP="0060421B">
            <w:pPr>
              <w:spacing w:before="60" w:after="60" w:line="240" w:lineRule="auto"/>
              <w:rPr>
                <w:sz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Ing. Lucie Havlíková, projektová manažerka</w:t>
            </w:r>
          </w:p>
        </w:tc>
      </w:tr>
      <w:tr w:rsidR="0004245B" w:rsidTr="00500A48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5216" w:type="dxa"/>
            <w:gridSpan w:val="5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  <w:r w:rsidR="00846ED8">
              <w:rPr>
                <w:sz w:val="18"/>
              </w:rPr>
              <w:t>:</w:t>
            </w:r>
          </w:p>
          <w:p w:rsidR="00846ED8" w:rsidRDefault="00846ED8" w:rsidP="00846ED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46ED8">
              <w:rPr>
                <w:rFonts w:asciiTheme="minorHAnsi" w:hAnsiTheme="minorHAnsi" w:cstheme="minorHAnsi"/>
                <w:sz w:val="20"/>
                <w:szCs w:val="20"/>
              </w:rPr>
              <w:t>V průběhu realizace došlo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několika přesunům v rozpočtu, což se taktéž dotklo rozvržení části za partnery, dále projekt zažádal o využití 30 % stavebních </w:t>
            </w:r>
            <w:r w:rsidRPr="00846ED8">
              <w:rPr>
                <w:rFonts w:asciiTheme="minorHAnsi" w:hAnsiTheme="minorHAnsi" w:cstheme="minorHAnsi"/>
                <w:sz w:val="20"/>
                <w:szCs w:val="20"/>
              </w:rPr>
              <w:t>úspor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taktéž</w:t>
            </w:r>
            <w:r w:rsidRPr="00846ED8">
              <w:rPr>
                <w:rFonts w:asciiTheme="minorHAnsi" w:hAnsiTheme="minorHAnsi" w:cstheme="minorHAnsi"/>
                <w:sz w:val="20"/>
                <w:szCs w:val="20"/>
              </w:rPr>
              <w:t xml:space="preserve"> došlo k</w:t>
            </w:r>
            <w:r w:rsidR="004C6555">
              <w:rPr>
                <w:rFonts w:asciiTheme="minorHAnsi" w:hAnsiTheme="minorHAnsi" w:cstheme="minorHAnsi"/>
                <w:sz w:val="20"/>
                <w:szCs w:val="20"/>
              </w:rPr>
              <w:t xml:space="preserve"> drobným úpravám v klíčovém vybavení projektu a k </w:t>
            </w:r>
            <w:r w:rsidRPr="00846ED8">
              <w:rPr>
                <w:rFonts w:asciiTheme="minorHAnsi" w:hAnsiTheme="minorHAnsi" w:cstheme="minorHAnsi"/>
                <w:sz w:val="20"/>
                <w:szCs w:val="20"/>
              </w:rPr>
              <w:t xml:space="preserve">nákupu přístrojů nad rámec původního plánu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projektu.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B180D">
              <w:rPr>
                <w:rFonts w:asciiTheme="minorHAnsi" w:hAnsiTheme="minorHAnsi" w:cstheme="minorHAnsi"/>
                <w:sz w:val="20"/>
                <w:szCs w:val="20"/>
              </w:rPr>
              <w:t>Projektu byly schváleny změny hodnot monitorovacích indikátorů 074901, 074902 a 110815: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>a) Počet absolventů doktorských studijních programů (MI 074902)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 xml:space="preserve">    2013 – snížení z hodnoty 32 na hodnotu 25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 xml:space="preserve">    2015 – snížení z hodnoty 67 na hodnotu 45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>b) Počet absolventů magisterských studijních programů (MI 074901)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 xml:space="preserve">    2013 – snížení z hodnoty 95 na hodnotu 40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 xml:space="preserve">    2015 – snížení z hodnoty 190 na hodnotu 110 </w:t>
            </w:r>
          </w:p>
          <w:p w:rsidR="000B180D" w:rsidRPr="000B180D" w:rsidRDefault="000B180D" w:rsidP="000B180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>c) Počet studentů všech stupňů, kteří využívají vybudovanou infrastrukturu/  zapojených do činnosti centra (110815):</w:t>
            </w:r>
          </w:p>
          <w:p w:rsidR="000B180D" w:rsidRPr="005F27AE" w:rsidRDefault="000B180D" w:rsidP="000B180D">
            <w:pPr>
              <w:spacing w:before="60" w:after="60" w:line="240" w:lineRule="auto"/>
              <w:rPr>
                <w:sz w:val="18"/>
              </w:rPr>
            </w:pPr>
            <w:r w:rsidRPr="000B180D">
              <w:rPr>
                <w:rFonts w:asciiTheme="minorHAnsi" w:hAnsiTheme="minorHAnsi" w:cstheme="minorHAnsi"/>
                <w:sz w:val="18"/>
                <w:szCs w:val="18"/>
              </w:rPr>
              <w:t xml:space="preserve">    2015 – zvýšení z hodnoty 200 na hodnotu 400</w:t>
            </w:r>
          </w:p>
        </w:tc>
        <w:tc>
          <w:tcPr>
            <w:tcW w:w="2551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  <w:r w:rsidR="00846ED8">
              <w:rPr>
                <w:sz w:val="18"/>
              </w:rPr>
              <w:t>:</w:t>
            </w:r>
          </w:p>
          <w:p w:rsidR="00F32491" w:rsidRPr="005F27AE" w:rsidRDefault="00F32491" w:rsidP="00DD26D3">
            <w:pPr>
              <w:spacing w:before="60" w:after="60" w:line="240" w:lineRule="auto"/>
              <w:rPr>
                <w:sz w:val="18"/>
              </w:rPr>
            </w:pPr>
            <w:r w:rsidRPr="00F32491">
              <w:rPr>
                <w:rFonts w:asciiTheme="minorHAnsi" w:hAnsiTheme="minorHAnsi" w:cstheme="minorHAnsi"/>
                <w:sz w:val="20"/>
                <w:szCs w:val="20"/>
              </w:rPr>
              <w:t>Využití 30 % úspor ze stavební části znamenalo částku 14.795.761,- Kč.</w:t>
            </w:r>
          </w:p>
        </w:tc>
      </w:tr>
      <w:tr w:rsidR="0004245B" w:rsidTr="0073728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767" w:type="dxa"/>
            <w:gridSpan w:val="6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04245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87476D" w:rsidRDefault="0087476D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Popis:</w:t>
            </w:r>
          </w:p>
          <w:p w:rsidR="0087476D" w:rsidRDefault="00B53380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87476D" w:rsidRPr="007F3570">
              <w:rPr>
                <w:rFonts w:asciiTheme="minorHAnsi" w:hAnsiTheme="minorHAnsi" w:cstheme="minorHAnsi"/>
                <w:sz w:val="20"/>
                <w:szCs w:val="20"/>
              </w:rPr>
              <w:t>šechny plánované 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odnoty indikátorů byly naplněny, resp. často </w:t>
            </w:r>
            <w:r w:rsidR="0087476D" w:rsidRPr="007F3570">
              <w:rPr>
                <w:rFonts w:asciiTheme="minorHAnsi" w:hAnsiTheme="minorHAnsi" w:cstheme="minorHAnsi"/>
                <w:sz w:val="20"/>
                <w:szCs w:val="20"/>
              </w:rPr>
              <w:t>překročeny.</w:t>
            </w:r>
            <w:r w:rsidR="00A16648">
              <w:rPr>
                <w:rFonts w:asciiTheme="minorHAnsi" w:hAnsiTheme="minorHAnsi" w:cstheme="minorHAnsi"/>
                <w:sz w:val="20"/>
                <w:szCs w:val="20"/>
              </w:rPr>
              <w:t xml:space="preserve"> Stavební část odpovídá plánovaným metrům čtverečním, bylo nakoupeno klíčové vybavení projektu, vědecké týmy jsou stabilní a vykazující plánované výsledky.</w:t>
            </w:r>
          </w:p>
          <w:p w:rsidR="008A3F32" w:rsidRDefault="008A3F32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6966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132"/>
              <w:gridCol w:w="4650"/>
              <w:gridCol w:w="1184"/>
            </w:tblGrid>
            <w:tr w:rsidR="008A3F32" w:rsidRPr="00737282" w:rsidTr="006A097F">
              <w:trPr>
                <w:trHeight w:val="428"/>
              </w:trPr>
              <w:tc>
                <w:tcPr>
                  <w:tcW w:w="49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projektových indikátorů: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konce projektu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224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Objem smluvního výzkumu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(tis. Kč)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9459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21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331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179,20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5338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78,80</w:t>
                  </w:r>
                </w:p>
              </w:tc>
            </w:tr>
            <w:tr w:rsidR="008A3F32" w:rsidRPr="00737282" w:rsidTr="006A097F">
              <w:trPr>
                <w:trHeight w:val="291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Vybudované kapacity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(m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5338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8613,83</w:t>
                  </w:r>
                </w:p>
              </w:tc>
            </w:tr>
          </w:tbl>
          <w:p w:rsidR="008A3F32" w:rsidRPr="007F3570" w:rsidRDefault="008A3F32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76D" w:rsidRPr="00AF6EBB" w:rsidRDefault="0087476D" w:rsidP="00DD26D3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73728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767" w:type="dxa"/>
            <w:gridSpan w:val="6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C45BC4">
              <w:rPr>
                <w:sz w:val="18"/>
              </w:rPr>
              <w:t xml:space="preserve"> </w:t>
            </w:r>
            <w:r w:rsidR="002C1DBA">
              <w:rPr>
                <w:rFonts w:asciiTheme="minorHAnsi" w:hAnsiTheme="minorHAnsi" w:cstheme="minorHAnsi"/>
                <w:sz w:val="20"/>
                <w:szCs w:val="20"/>
              </w:rPr>
              <w:t>806.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927</w:t>
            </w:r>
            <w:r w:rsidR="002C1D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534,37 Kč, tj. 99,97%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71020E">
              <w:rPr>
                <w:sz w:val="18"/>
              </w:rPr>
              <w:t xml:space="preserve"> 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806</w:t>
            </w:r>
            <w:r w:rsidR="002C1D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428</w:t>
            </w:r>
            <w:r w:rsidR="002C1D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411,81 Kč, tj. 99,91%</w:t>
            </w:r>
          </w:p>
          <w:p w:rsidR="00DA6654" w:rsidRDefault="00DA6654" w:rsidP="002C1DBA">
            <w:pPr>
              <w:spacing w:before="60" w:after="60" w:line="240" w:lineRule="auto"/>
            </w:pPr>
            <w:r w:rsidRPr="0004245B">
              <w:rPr>
                <w:sz w:val="18"/>
              </w:rPr>
              <w:lastRenderedPageBreak/>
              <w:t>Certifikované</w:t>
            </w:r>
            <w:r>
              <w:rPr>
                <w:sz w:val="18"/>
              </w:rPr>
              <w:t xml:space="preserve"> výdaje (v Kč i %)</w:t>
            </w:r>
            <w:r w:rsidR="00C45BC4">
              <w:rPr>
                <w:sz w:val="18"/>
              </w:rPr>
              <w:t xml:space="preserve"> </w:t>
            </w:r>
            <w:r w:rsidR="00C45BC4" w:rsidRPr="00EE6BF1">
              <w:rPr>
                <w:rFonts w:asciiTheme="minorHAnsi" w:hAnsiTheme="minorHAnsi" w:cstheme="minorHAnsi"/>
                <w:sz w:val="20"/>
                <w:szCs w:val="20"/>
              </w:rPr>
              <w:t>802</w:t>
            </w:r>
            <w:r w:rsidR="002C1DBA">
              <w:rPr>
                <w:rFonts w:asciiTheme="minorHAnsi" w:hAnsiTheme="minorHAnsi" w:cstheme="minorHAnsi"/>
                <w:sz w:val="20"/>
                <w:szCs w:val="20"/>
              </w:rPr>
              <w:t>.791.</w:t>
            </w:r>
            <w:r w:rsidR="00C45BC4" w:rsidRPr="00EE6BF1">
              <w:rPr>
                <w:rFonts w:asciiTheme="minorHAnsi" w:hAnsiTheme="minorHAnsi" w:cstheme="minorHAnsi"/>
                <w:sz w:val="20"/>
                <w:szCs w:val="20"/>
              </w:rPr>
              <w:t>125,34 Kč</w:t>
            </w:r>
            <w:r w:rsidR="0071020E" w:rsidRPr="00EE6BF1">
              <w:rPr>
                <w:rFonts w:asciiTheme="minorHAnsi" w:hAnsiTheme="minorHAnsi" w:cstheme="minorHAnsi"/>
                <w:sz w:val="20"/>
                <w:szCs w:val="20"/>
              </w:rPr>
              <w:t>, tj. 99,46%</w:t>
            </w:r>
          </w:p>
        </w:tc>
      </w:tr>
      <w:tr w:rsidR="00C43F6D" w:rsidTr="0073728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lastRenderedPageBreak/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767" w:type="dxa"/>
            <w:gridSpan w:val="6"/>
          </w:tcPr>
          <w:p w:rsidR="00C43F6D" w:rsidRDefault="00020CD6" w:rsidP="002C1DBA">
            <w:pPr>
              <w:spacing w:before="60" w:after="60" w:line="240" w:lineRule="auto"/>
              <w:rPr>
                <w:sz w:val="16"/>
              </w:rPr>
            </w:pPr>
            <w:r w:rsidRPr="00EE6BF1">
              <w:rPr>
                <w:rFonts w:asciiTheme="minorHAnsi" w:hAnsiTheme="minorHAnsi" w:cstheme="minorHAnsi"/>
                <w:sz w:val="20"/>
                <w:szCs w:val="20"/>
              </w:rPr>
              <w:t>259.442.183,25 Kč, tj. 24,31%</w:t>
            </w:r>
          </w:p>
        </w:tc>
      </w:tr>
      <w:tr w:rsidR="00D2753C" w:rsidTr="0073728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767" w:type="dxa"/>
            <w:gridSpan w:val="6"/>
          </w:tcPr>
          <w:p w:rsidR="00D2753C" w:rsidRDefault="00244EA7" w:rsidP="00DD26D3">
            <w:pPr>
              <w:spacing w:before="60" w:after="60" w:line="240" w:lineRule="auto"/>
            </w:pPr>
            <w:r w:rsidRPr="00244EA7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</w:p>
        </w:tc>
      </w:tr>
      <w:tr w:rsidR="00A431A3" w:rsidTr="00737282">
        <w:tc>
          <w:tcPr>
            <w:tcW w:w="10065" w:type="dxa"/>
            <w:gridSpan w:val="7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767" w:type="dxa"/>
            <w:gridSpan w:val="6"/>
          </w:tcPr>
          <w:p w:rsidR="00C973EC" w:rsidRDefault="00C973EC" w:rsidP="00F16DFF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Požadované zdroje smluvní výzkum a jejich zajištění: Výše příjmů ze smluvního výzkumu bude pravděpodobně nižší</w:t>
            </w:r>
            <w:r w:rsidR="0060286D">
              <w:rPr>
                <w:sz w:val="18"/>
              </w:rPr>
              <w:t>,</w:t>
            </w:r>
            <w:r w:rsidRPr="00C973EC">
              <w:rPr>
                <w:sz w:val="18"/>
              </w:rPr>
              <w:t xml:space="preserve"> než byla plánována ve studii proveditelnosti ESOP (266 mil. Kč). Vzhledem k vyšším </w:t>
            </w:r>
            <w:proofErr w:type="gramStart"/>
            <w:r w:rsidRPr="00C973EC">
              <w:rPr>
                <w:sz w:val="18"/>
              </w:rPr>
              <w:t>příjmů</w:t>
            </w:r>
            <w:proofErr w:type="gramEnd"/>
            <w:r w:rsidRPr="00C973EC">
              <w:rPr>
                <w:sz w:val="18"/>
              </w:rPr>
              <w:t xml:space="preserve"> z ostatní zdrojů toto neohrozí udržitelnost centra</w:t>
            </w:r>
            <w:r>
              <w:rPr>
                <w:sz w:val="18"/>
              </w:rPr>
              <w:t>.</w:t>
            </w:r>
          </w:p>
          <w:p w:rsid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Mezinárodní granty a jejich zajištění: Předpoklad cca 80 mil. Kč</w:t>
            </w:r>
            <w:r>
              <w:rPr>
                <w:sz w:val="18"/>
              </w:rPr>
              <w:t>.</w:t>
            </w:r>
          </w:p>
          <w:p w:rsid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Ostatní zdroje financování:  Předpoklad cca 104 mil. Kč (zejm. OP VVV)</w:t>
            </w:r>
            <w:r>
              <w:rPr>
                <w:sz w:val="18"/>
              </w:rPr>
              <w:t>.</w:t>
            </w:r>
          </w:p>
          <w:p w:rsid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Dosavadní smluvní výzkum: 19,46 mil. Kč za období realizační fáze projektu </w:t>
            </w:r>
            <w:proofErr w:type="spellStart"/>
            <w:r w:rsidRPr="00C973EC">
              <w:rPr>
                <w:sz w:val="18"/>
              </w:rPr>
              <w:t>VaVpI</w:t>
            </w:r>
            <w:proofErr w:type="spellEnd"/>
            <w:r w:rsidRPr="00C973EC">
              <w:rPr>
                <w:sz w:val="18"/>
              </w:rPr>
              <w:t xml:space="preserve"> (2010 - 2013), předpokládaný objem v roce 2014: cca 17,2 mil. Kč</w:t>
            </w:r>
            <w:r>
              <w:rPr>
                <w:sz w:val="18"/>
              </w:rPr>
              <w:t>. Předpokládaný smluvní výzkum 20 mil. Kč ročně.</w:t>
            </w:r>
          </w:p>
          <w:p w:rsidR="00C973EC" w:rsidRPr="00C973EC" w:rsidRDefault="00C973EC" w:rsidP="00C973EC">
            <w:pPr>
              <w:spacing w:before="60" w:after="60" w:line="240" w:lineRule="auto"/>
              <w:rPr>
                <w:sz w:val="18"/>
              </w:rPr>
            </w:pPr>
          </w:p>
        </w:tc>
      </w:tr>
      <w:tr w:rsidR="00C973EC" w:rsidTr="0060286D">
        <w:trPr>
          <w:trHeight w:val="1150"/>
        </w:trPr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767" w:type="dxa"/>
            <w:gridSpan w:val="6"/>
          </w:tcPr>
          <w:p w:rsid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Požadavky na účelové zdroje celkem 2014-2020: </w:t>
            </w:r>
          </w:p>
          <w:p w:rsidR="00C973EC" w:rsidRP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795,2 mil. Kč (započítány: národní granty; příspěvek na</w:t>
            </w:r>
            <w:r>
              <w:rPr>
                <w:sz w:val="18"/>
              </w:rPr>
              <w:t xml:space="preserve"> vzdělávací činnost;  NPU).</w:t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  <w:p w:rsidR="00C973EC" w:rsidRP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Z toho NPÚ: 393,155 </w:t>
            </w:r>
            <w:proofErr w:type="spellStart"/>
            <w:proofErr w:type="gramStart"/>
            <w:r w:rsidRPr="00C973EC">
              <w:rPr>
                <w:sz w:val="18"/>
              </w:rPr>
              <w:t>mil.Kč</w:t>
            </w:r>
            <w:proofErr w:type="spellEnd"/>
            <w:proofErr w:type="gramEnd"/>
            <w:r>
              <w:rPr>
                <w:sz w:val="18"/>
              </w:rPr>
              <w:t>.</w:t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  <w:p w:rsidR="00C973EC" w:rsidRPr="0060286D" w:rsidRDefault="00C973EC" w:rsidP="00C973EC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Institucionální podpora: 402,6 </w:t>
            </w:r>
            <w:proofErr w:type="spellStart"/>
            <w:proofErr w:type="gramStart"/>
            <w:r w:rsidRPr="00C973EC">
              <w:rPr>
                <w:sz w:val="18"/>
              </w:rPr>
              <w:t>mil.Kč</w:t>
            </w:r>
            <w:proofErr w:type="spellEnd"/>
            <w:proofErr w:type="gramEnd"/>
            <w:r>
              <w:rPr>
                <w:sz w:val="18"/>
              </w:rPr>
              <w:t>.</w:t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767" w:type="dxa"/>
            <w:gridSpan w:val="6"/>
          </w:tcPr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 xml:space="preserve">Plnění závazných indikátorů udržitelnosti: Uvádíme výpis indikátorů s požadovanou hodnotou naplnění k datu ukončení realizační fáze projektu (tzn. </w:t>
            </w:r>
            <w:proofErr w:type="gramStart"/>
            <w:r w:rsidRPr="00C973EC">
              <w:rPr>
                <w:sz w:val="18"/>
              </w:rPr>
              <w:t>31.12.2013</w:t>
            </w:r>
            <w:proofErr w:type="gramEnd"/>
            <w:r w:rsidRPr="00C973EC">
              <w:rPr>
                <w:sz w:val="18"/>
              </w:rPr>
              <w:t>). Indikátory projektu NPU neby</w:t>
            </w:r>
            <w:r w:rsidR="0060286D">
              <w:rPr>
                <w:sz w:val="18"/>
              </w:rPr>
              <w:t>ly prozatím vykazovány.</w:t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="0060286D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"(kód - název - požadovaná hodnota ke konci projektu (</w:t>
            </w:r>
            <w:proofErr w:type="gramStart"/>
            <w:r w:rsidRPr="00C973EC">
              <w:rPr>
                <w:sz w:val="18"/>
              </w:rPr>
              <w:t>31.12.2013</w:t>
            </w:r>
            <w:proofErr w:type="gramEnd"/>
            <w:r w:rsidRPr="00C973EC">
              <w:rPr>
                <w:sz w:val="18"/>
              </w:rPr>
              <w:t>) - skutečně dosažená hodnota k 31.12.2013‌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110502 Odborné publikace (dle metodiky RVV) - 125 - 224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110503 Výsledky výzkumu chráněné na základě zvláštního právního předpisu (dle metodiky RVV</w:t>
            </w:r>
            <w:r w:rsidR="0060286D">
              <w:rPr>
                <w:sz w:val="18"/>
              </w:rPr>
              <w:t>I</w:t>
            </w:r>
            <w:r w:rsidRPr="00C973EC">
              <w:rPr>
                <w:sz w:val="18"/>
              </w:rPr>
              <w:t>) - 1 - 13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110504 Aplikované výsledky výzkumu (dle metodiky RVV</w:t>
            </w:r>
            <w:r w:rsidR="0060286D">
              <w:rPr>
                <w:sz w:val="18"/>
              </w:rPr>
              <w:t>I</w:t>
            </w:r>
            <w:r w:rsidRPr="00C973EC">
              <w:rPr>
                <w:sz w:val="18"/>
              </w:rPr>
              <w:t>) - 2 - 10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111200 Objem smluvního výzkumu - 17 mil. Kč - 19,46 mil. Kč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074901 Počet úspěšných absolventů magisterských studijních programů - 40 - 40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074902 Počet úspěšných absolventů doktorských studijních programů - 25 - 25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 xml:space="preserve">110300 Počet nově vytvořených pracovních míst, zaměstnanci </w:t>
            </w:r>
            <w:proofErr w:type="spellStart"/>
            <w:r w:rsidRPr="00C973EC">
              <w:rPr>
                <w:sz w:val="18"/>
              </w:rPr>
              <w:t>VaV</w:t>
            </w:r>
            <w:proofErr w:type="spellEnd"/>
            <w:r w:rsidRPr="00C973EC">
              <w:rPr>
                <w:sz w:val="18"/>
              </w:rPr>
              <w:t xml:space="preserve"> - celkem - 164 - 179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071700 Počet nově vytvořených pracovních míst, výzkumní pracovníci celkem - 116 - 121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071900 Počet nově vytvořených pracovních míst, výzkumní pracovníci do 35 let - 60 - 79</w:t>
            </w:r>
          </w:p>
          <w:p w:rsidR="00C973EC" w:rsidRPr="00C973EC" w:rsidRDefault="00C973EC" w:rsidP="0060286D">
            <w:pPr>
              <w:spacing w:after="0" w:line="240" w:lineRule="atLeast"/>
              <w:rPr>
                <w:sz w:val="18"/>
              </w:rPr>
            </w:pPr>
            <w:r w:rsidRPr="00C973EC">
              <w:rPr>
                <w:sz w:val="18"/>
              </w:rPr>
              <w:t>110516 Rozšířené nebo zrekonstruované kapacity - 35 m2 - 38,95 m2</w:t>
            </w:r>
          </w:p>
          <w:p w:rsidR="0060286D" w:rsidRDefault="00C973EC" w:rsidP="0060286D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110517 Vybudované kapac</w:t>
            </w:r>
            <w:r w:rsidR="0060286D">
              <w:rPr>
                <w:sz w:val="18"/>
              </w:rPr>
              <w:t>ity - 8060 m2 - 8613,83 m2"</w:t>
            </w:r>
            <w:r w:rsidR="0060286D">
              <w:rPr>
                <w:sz w:val="18"/>
              </w:rPr>
              <w:tab/>
            </w:r>
          </w:p>
          <w:p w:rsidR="0060286D" w:rsidRPr="00C973EC" w:rsidRDefault="0060286D" w:rsidP="0060286D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Současný počet výzkumníků: 129,71 FTE (počet všech pracovníků: 179,21 FTE)</w:t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  <w:p w:rsidR="0060286D" w:rsidRPr="00C973EC" w:rsidRDefault="0060286D" w:rsidP="0060286D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Kvalifikační struktura (výzkumní pracovníci): vedoucí VP: 6,5 FTE, senior </w:t>
            </w:r>
            <w:proofErr w:type="spellStart"/>
            <w:r w:rsidRPr="00C973EC">
              <w:rPr>
                <w:sz w:val="18"/>
              </w:rPr>
              <w:t>researcher</w:t>
            </w:r>
            <w:proofErr w:type="spellEnd"/>
            <w:r w:rsidRPr="00C973EC">
              <w:rPr>
                <w:sz w:val="18"/>
              </w:rPr>
              <w:t xml:space="preserve">: 16,90 FTE, junior </w:t>
            </w:r>
            <w:proofErr w:type="spellStart"/>
            <w:r w:rsidRPr="00C973EC">
              <w:rPr>
                <w:sz w:val="18"/>
              </w:rPr>
              <w:t>researcher</w:t>
            </w:r>
            <w:proofErr w:type="spellEnd"/>
            <w:r w:rsidRPr="00C973EC">
              <w:rPr>
                <w:sz w:val="18"/>
              </w:rPr>
              <w:t xml:space="preserve">: 59,99 </w:t>
            </w:r>
            <w:proofErr w:type="gramStart"/>
            <w:r w:rsidRPr="00C973EC">
              <w:rPr>
                <w:sz w:val="18"/>
              </w:rPr>
              <w:t>FTE,  Ph.</w:t>
            </w:r>
            <w:proofErr w:type="gramEnd"/>
            <w:r w:rsidRPr="00C973EC">
              <w:rPr>
                <w:sz w:val="18"/>
              </w:rPr>
              <w:t xml:space="preserve">D. studenti: 37,81 FTE ostatní vědečtí pracovníci: 8,51 FTE </w:t>
            </w:r>
            <w:r>
              <w:rPr>
                <w:sz w:val="18"/>
              </w:rPr>
              <w:tab/>
            </w:r>
          </w:p>
          <w:p w:rsidR="0060286D" w:rsidRPr="00C973EC" w:rsidRDefault="0060286D" w:rsidP="0060286D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>Plánovan</w:t>
            </w:r>
            <w:r>
              <w:rPr>
                <w:sz w:val="18"/>
              </w:rPr>
              <w:t>ý počet výzkumníků:  115,9 FTE</w:t>
            </w:r>
          </w:p>
          <w:p w:rsidR="0060286D" w:rsidRDefault="0060286D" w:rsidP="0060286D">
            <w:pPr>
              <w:spacing w:before="60" w:after="60" w:line="240" w:lineRule="auto"/>
              <w:rPr>
                <w:sz w:val="18"/>
              </w:rPr>
            </w:pPr>
            <w:r w:rsidRPr="00C973EC">
              <w:rPr>
                <w:sz w:val="18"/>
              </w:rPr>
              <w:t xml:space="preserve">Kvalifikační struktura: vedoucí VP: 6 FTE, senior </w:t>
            </w:r>
            <w:proofErr w:type="spellStart"/>
            <w:r w:rsidRPr="00C973EC">
              <w:rPr>
                <w:sz w:val="18"/>
              </w:rPr>
              <w:t>researcher</w:t>
            </w:r>
            <w:proofErr w:type="spellEnd"/>
            <w:r w:rsidRPr="00C973EC">
              <w:rPr>
                <w:sz w:val="18"/>
              </w:rPr>
              <w:t xml:space="preserve">: 17 FTE, junior </w:t>
            </w:r>
            <w:proofErr w:type="spellStart"/>
            <w:r w:rsidRPr="00C973EC">
              <w:rPr>
                <w:sz w:val="18"/>
              </w:rPr>
              <w:t>researcher</w:t>
            </w:r>
            <w:proofErr w:type="spellEnd"/>
            <w:r w:rsidRPr="00C973EC">
              <w:rPr>
                <w:sz w:val="18"/>
              </w:rPr>
              <w:t xml:space="preserve">: 54,9 </w:t>
            </w:r>
            <w:proofErr w:type="gramStart"/>
            <w:r w:rsidRPr="00C973EC">
              <w:rPr>
                <w:sz w:val="18"/>
              </w:rPr>
              <w:t>FTE,</w:t>
            </w:r>
            <w:r>
              <w:rPr>
                <w:sz w:val="18"/>
              </w:rPr>
              <w:t xml:space="preserve">  Ph.</w:t>
            </w:r>
            <w:proofErr w:type="gramEnd"/>
            <w:r>
              <w:rPr>
                <w:sz w:val="18"/>
              </w:rPr>
              <w:t>D. studenti: 38 FTE    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C973EC" w:rsidRDefault="0060286D" w:rsidP="0060286D">
            <w:pPr>
              <w:spacing w:after="0" w:line="240" w:lineRule="atLeast"/>
            </w:pPr>
            <w:r w:rsidRPr="00C973EC">
              <w:rPr>
                <w:sz w:val="18"/>
              </w:rPr>
              <w:t>Zahraniční výzkumníci v současnosti za</w:t>
            </w:r>
            <w:r>
              <w:rPr>
                <w:sz w:val="18"/>
              </w:rPr>
              <w:t xml:space="preserve">pojení do </w:t>
            </w:r>
            <w:proofErr w:type="gramStart"/>
            <w:r>
              <w:rPr>
                <w:sz w:val="18"/>
              </w:rPr>
              <w:t>výzkumu : 25,14</w:t>
            </w:r>
            <w:proofErr w:type="gramEnd"/>
            <w:r>
              <w:rPr>
                <w:sz w:val="18"/>
              </w:rPr>
              <w:t xml:space="preserve"> FTE 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767" w:type="dxa"/>
            <w:gridSpan w:val="6"/>
          </w:tcPr>
          <w:p w:rsidR="00E34F99" w:rsidRPr="00E34F99" w:rsidRDefault="0060286D" w:rsidP="0060286D">
            <w:pPr>
              <w:spacing w:after="0" w:line="240" w:lineRule="atLeast"/>
              <w:rPr>
                <w:sz w:val="18"/>
              </w:rPr>
            </w:pPr>
            <w:r>
              <w:rPr>
                <w:sz w:val="18"/>
              </w:rPr>
              <w:t>C</w:t>
            </w:r>
            <w:r w:rsidR="00E34F99" w:rsidRPr="00E34F99">
              <w:rPr>
                <w:sz w:val="18"/>
              </w:rPr>
              <w:t>entrum má všechny předpoklady nejen k úspěšnému dokončení</w:t>
            </w:r>
            <w:r>
              <w:rPr>
                <w:sz w:val="18"/>
              </w:rPr>
              <w:t xml:space="preserve"> </w:t>
            </w:r>
            <w:r w:rsidR="00E34F99" w:rsidRPr="00E34F99">
              <w:rPr>
                <w:sz w:val="18"/>
              </w:rPr>
              <w:t>období udržitelnosti, ale i k dalšímu velmi úspěšnému rozvoji v budoucnosti. Závazné</w:t>
            </w:r>
          </w:p>
          <w:p w:rsidR="00E34F99" w:rsidRPr="00E34F99" w:rsidRDefault="00E34F99" w:rsidP="0060286D">
            <w:pPr>
              <w:spacing w:after="0" w:line="240" w:lineRule="atLeast"/>
              <w:rPr>
                <w:b/>
                <w:bCs/>
                <w:sz w:val="18"/>
              </w:rPr>
            </w:pPr>
            <w:r w:rsidRPr="00E34F99">
              <w:rPr>
                <w:sz w:val="18"/>
              </w:rPr>
              <w:t>indikátory centrum nejen plní, ale i překračuje (např. v počtech publikací, v počtu patentů,</w:t>
            </w:r>
          </w:p>
          <w:p w:rsidR="00E34F99" w:rsidRPr="00E34F99" w:rsidRDefault="00E34F99" w:rsidP="0060286D">
            <w:pPr>
              <w:spacing w:after="0" w:line="240" w:lineRule="atLeast"/>
              <w:rPr>
                <w:sz w:val="18"/>
              </w:rPr>
            </w:pPr>
            <w:r w:rsidRPr="00E34F99">
              <w:rPr>
                <w:sz w:val="18"/>
              </w:rPr>
              <w:t>v zahraniční spolupráci, v grantech atd. Ze zahraničí zde pracují nejen doktorandi, ale</w:t>
            </w:r>
          </w:p>
          <w:p w:rsidR="00E34F99" w:rsidRPr="00E34F99" w:rsidRDefault="00E34F99" w:rsidP="0060286D">
            <w:pPr>
              <w:spacing w:after="0" w:line="240" w:lineRule="atLeast"/>
              <w:rPr>
                <w:b/>
                <w:bCs/>
                <w:sz w:val="18"/>
              </w:rPr>
            </w:pPr>
            <w:r w:rsidRPr="00E34F99">
              <w:rPr>
                <w:sz w:val="18"/>
              </w:rPr>
              <w:t>i senioři, a to z velmi vyspělých zemí, celkem je zde zastoupeno celkem 13 národností.</w:t>
            </w:r>
          </w:p>
          <w:p w:rsidR="00E34F99" w:rsidRPr="00E34F99" w:rsidRDefault="00E34F99" w:rsidP="0060286D">
            <w:pPr>
              <w:spacing w:after="0" w:line="240" w:lineRule="atLeast"/>
              <w:rPr>
                <w:sz w:val="18"/>
              </w:rPr>
            </w:pPr>
            <w:proofErr w:type="spellStart"/>
            <w:r w:rsidRPr="00E34F99">
              <w:rPr>
                <w:sz w:val="18"/>
              </w:rPr>
              <w:t>Např</w:t>
            </w:r>
            <w:proofErr w:type="spellEnd"/>
            <w:r w:rsidRPr="00E34F99">
              <w:rPr>
                <w:sz w:val="18"/>
              </w:rPr>
              <w:t>, profesor z Japonska si zde sestavil z českých studentů výzkumný tým. Jeden</w:t>
            </w:r>
          </w:p>
          <w:p w:rsidR="00E34F99" w:rsidRPr="00E34F99" w:rsidRDefault="00E34F99" w:rsidP="0060286D">
            <w:pPr>
              <w:spacing w:after="0" w:line="240" w:lineRule="atLeast"/>
              <w:rPr>
                <w:sz w:val="18"/>
              </w:rPr>
            </w:pPr>
            <w:r w:rsidRPr="00E34F99">
              <w:rPr>
                <w:sz w:val="18"/>
              </w:rPr>
              <w:t>pracovník z USA si v Olomouci s jednou vědeckou pracovnicí z Francie zakoupili</w:t>
            </w:r>
          </w:p>
          <w:p w:rsidR="00E34F99" w:rsidRPr="00E34F99" w:rsidRDefault="00E34F99" w:rsidP="0060286D">
            <w:pPr>
              <w:spacing w:after="0" w:line="240" w:lineRule="atLeast"/>
              <w:rPr>
                <w:sz w:val="18"/>
              </w:rPr>
            </w:pPr>
            <w:r w:rsidRPr="00E34F99">
              <w:rPr>
                <w:sz w:val="18"/>
              </w:rPr>
              <w:t>byt a uvažují o delším pobytu v ČR. Někteří zahraniční pracovníci pracují v tomto centru,</w:t>
            </w:r>
          </w:p>
          <w:p w:rsidR="00E34F99" w:rsidRPr="00E34F99" w:rsidRDefault="00E34F99" w:rsidP="0060286D">
            <w:pPr>
              <w:spacing w:after="0" w:line="240" w:lineRule="atLeast"/>
              <w:rPr>
                <w:sz w:val="18"/>
              </w:rPr>
            </w:pPr>
            <w:r w:rsidRPr="00E34F99">
              <w:rPr>
                <w:sz w:val="18"/>
              </w:rPr>
              <w:t>resp. na Přírodovědecké fakultě UP již několik let a naučili se plynně hovořit česky.</w:t>
            </w:r>
          </w:p>
          <w:p w:rsidR="00E34F99" w:rsidRPr="00E34F99" w:rsidRDefault="0060286D" w:rsidP="0060286D">
            <w:pPr>
              <w:spacing w:after="0" w:line="240" w:lineRule="atLeast"/>
              <w:rPr>
                <w:sz w:val="18"/>
              </w:rPr>
            </w:pPr>
            <w:proofErr w:type="spellStart"/>
            <w:r>
              <w:rPr>
                <w:sz w:val="18"/>
              </w:rPr>
              <w:t>V</w:t>
            </w:r>
            <w:r w:rsidR="00E34F99" w:rsidRPr="00E34F99">
              <w:rPr>
                <w:sz w:val="18"/>
              </w:rPr>
              <w:t>každé</w:t>
            </w:r>
            <w:proofErr w:type="spellEnd"/>
            <w:r w:rsidR="00E34F99" w:rsidRPr="00E34F99">
              <w:rPr>
                <w:sz w:val="18"/>
              </w:rPr>
              <w:t xml:space="preserve"> druhé laboratoři se hovoří anglicky.</w:t>
            </w:r>
          </w:p>
          <w:p w:rsidR="00E34F99" w:rsidRPr="00E34F99" w:rsidRDefault="00E34F99" w:rsidP="0060286D">
            <w:pPr>
              <w:spacing w:after="0" w:line="240" w:lineRule="atLeast"/>
              <w:rPr>
                <w:b/>
                <w:bCs/>
                <w:sz w:val="18"/>
              </w:rPr>
            </w:pPr>
            <w:r w:rsidRPr="00E34F99">
              <w:rPr>
                <w:sz w:val="18"/>
              </w:rPr>
              <w:t xml:space="preserve">Je zřejmé, že v tomto nově budovaném areálu Přírodovědecké fakulty UP v Olomouci – </w:t>
            </w:r>
            <w:proofErr w:type="spellStart"/>
            <w:r w:rsidRPr="00E34F99">
              <w:rPr>
                <w:sz w:val="18"/>
              </w:rPr>
              <w:t>Holici</w:t>
            </w:r>
            <w:proofErr w:type="spellEnd"/>
            <w:r w:rsidRPr="00E34F99">
              <w:rPr>
                <w:sz w:val="18"/>
              </w:rPr>
              <w:t xml:space="preserve">, kde je </w:t>
            </w:r>
            <w:r w:rsidRPr="00E34F99">
              <w:rPr>
                <w:sz w:val="18"/>
              </w:rPr>
              <w:lastRenderedPageBreak/>
              <w:t>kromě centra Haná lokalizován také Výzkumný ústav rostlinné výroby, došlo k unikátnímu soustředění vědeckého bádání o rostlinách, a to nejen z hlediska ČR, ale i z hlediska celoevropského. Bohužel, i když se zde částečně věnují i zelenině, nemohou nahradit dřívější a již zaniklý a „rozprášený“ český zelinářský výzkum.</w:t>
            </w:r>
          </w:p>
          <w:p w:rsidR="00C973EC" w:rsidRPr="0060286D" w:rsidRDefault="00E34F99" w:rsidP="0060286D">
            <w:pPr>
              <w:spacing w:before="60" w:after="60" w:line="240" w:lineRule="auto"/>
              <w:rPr>
                <w:b/>
                <w:bCs/>
                <w:sz w:val="18"/>
              </w:rPr>
            </w:pPr>
            <w:r w:rsidRPr="00E34F99">
              <w:rPr>
                <w:sz w:val="18"/>
              </w:rPr>
              <w:t xml:space="preserve">Za úspěchy </w:t>
            </w:r>
            <w:r w:rsidR="0060286D">
              <w:rPr>
                <w:sz w:val="18"/>
              </w:rPr>
              <w:t xml:space="preserve">v zahraniční spolupráci </w:t>
            </w:r>
            <w:r w:rsidRPr="00E34F99">
              <w:rPr>
                <w:sz w:val="18"/>
              </w:rPr>
              <w:t>stojí řada universitních profesorů z Přírodovědecké fakulty v Olomouci, jejich osobní vztahy a již po mnoho let budovaná spolupráce se zahraničními vědeckými pracovišti.</w:t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Poznatky z návštěvy týmu zmocněnce pro udržitelnost</w:t>
            </w:r>
          </w:p>
        </w:tc>
        <w:tc>
          <w:tcPr>
            <w:tcW w:w="7767" w:type="dxa"/>
            <w:gridSpan w:val="6"/>
          </w:tcPr>
          <w:p w:rsidR="00C973EC" w:rsidRP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C973EC" w:rsidRDefault="00C973EC" w:rsidP="00C973EC">
            <w:pPr>
              <w:spacing w:before="60" w:after="60" w:line="240" w:lineRule="auto"/>
            </w:pPr>
            <w:r w:rsidRPr="00C973EC">
              <w:rPr>
                <w:sz w:val="18"/>
              </w:rPr>
              <w:t xml:space="preserve">Projektem plánovaní zahraniční výzkumníci po realizaci </w:t>
            </w:r>
            <w:proofErr w:type="gramStart"/>
            <w:r w:rsidRPr="00C973EC">
              <w:rPr>
                <w:sz w:val="18"/>
              </w:rPr>
              <w:t>projektu : nerelevantní</w:t>
            </w:r>
            <w:proofErr w:type="gramEnd"/>
            <w:r w:rsidRPr="00C973EC">
              <w:rPr>
                <w:sz w:val="18"/>
              </w:rPr>
              <w:t xml:space="preserve"> (nebylo plánováno)</w:t>
            </w:r>
            <w:r>
              <w:t xml:space="preserve"> </w:t>
            </w:r>
          </w:p>
          <w:p w:rsidR="00C973EC" w:rsidRDefault="00C973EC" w:rsidP="00C973EC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Partneři projektu: C</w:t>
            </w:r>
            <w:r w:rsidRPr="00C973EC">
              <w:rPr>
                <w:sz w:val="18"/>
              </w:rPr>
              <w:t xml:space="preserve">ca 50 tuzemských </w:t>
            </w:r>
            <w:r>
              <w:rPr>
                <w:sz w:val="18"/>
              </w:rPr>
              <w:t xml:space="preserve">a 50 zahraničních </w:t>
            </w:r>
            <w:r w:rsidRPr="00C973EC">
              <w:rPr>
                <w:sz w:val="18"/>
              </w:rPr>
              <w:t>firem, partnerů z veřejné aplikační sféry a akademických partnerů</w:t>
            </w:r>
            <w:r>
              <w:rPr>
                <w:sz w:val="18"/>
              </w:rPr>
              <w:t>.</w:t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  <w:r w:rsidRPr="00C973EC">
              <w:rPr>
                <w:sz w:val="18"/>
              </w:rPr>
              <w:tab/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767" w:type="dxa"/>
            <w:gridSpan w:val="6"/>
          </w:tcPr>
          <w:p w:rsidR="00C973EC" w:rsidRDefault="0060286D" w:rsidP="00F16DF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A </w:t>
            </w:r>
          </w:p>
        </w:tc>
      </w:tr>
      <w:tr w:rsidR="00C973EC" w:rsidTr="00737282">
        <w:tc>
          <w:tcPr>
            <w:tcW w:w="2298" w:type="dxa"/>
          </w:tcPr>
          <w:p w:rsidR="00C973EC" w:rsidRDefault="00C973EC" w:rsidP="00F16DF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767" w:type="dxa"/>
            <w:gridSpan w:val="6"/>
          </w:tcPr>
          <w:p w:rsidR="00C973EC" w:rsidRPr="0060286D" w:rsidRDefault="0060286D" w:rsidP="0060286D">
            <w:pPr>
              <w:spacing w:before="60" w:after="60" w:line="240" w:lineRule="auto"/>
              <w:rPr>
                <w:b/>
                <w:bCs/>
                <w:sz w:val="18"/>
              </w:rPr>
            </w:pPr>
            <w:r w:rsidRPr="00E34F99">
              <w:rPr>
                <w:sz w:val="18"/>
              </w:rPr>
              <w:t>Tak vysokou a efektivní úroveň (publikace, patenty, licenční smlouvy, smluvní výzkum) vědecké činnosti s těžištěm na základní výzkum a mezinárodní spolupráci</w:t>
            </w:r>
            <w:r>
              <w:rPr>
                <w:sz w:val="18"/>
              </w:rPr>
              <w:t xml:space="preserve"> posuzovatelé centr</w:t>
            </w:r>
            <w:bookmarkStart w:id="0" w:name="_GoBack"/>
            <w:bookmarkEnd w:id="0"/>
            <w:r w:rsidRPr="00E34F99">
              <w:rPr>
                <w:sz w:val="18"/>
              </w:rPr>
              <w:t xml:space="preserve"> ještě doposud nikde neviděli</w:t>
            </w:r>
            <w:r>
              <w:rPr>
                <w:sz w:val="18"/>
              </w:rPr>
              <w:t>.</w:t>
            </w: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575CF9"/>
    <w:multiLevelType w:val="hybridMultilevel"/>
    <w:tmpl w:val="43C8C9E8"/>
    <w:lvl w:ilvl="0" w:tplc="104460C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2A38"/>
    <w:multiLevelType w:val="hybridMultilevel"/>
    <w:tmpl w:val="79D8F7C6"/>
    <w:lvl w:ilvl="0" w:tplc="55448AE8">
      <w:start w:val="779"/>
      <w:numFmt w:val="bullet"/>
      <w:lvlText w:val="-"/>
      <w:lvlJc w:val="left"/>
      <w:pPr>
        <w:ind w:left="37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8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2"/>
  </w:num>
  <w:num w:numId="16">
    <w:abstractNumId w:val="8"/>
  </w:num>
  <w:num w:numId="17">
    <w:abstractNumId w:val="8"/>
  </w:num>
  <w:num w:numId="18">
    <w:abstractNumId w:val="14"/>
  </w:num>
  <w:num w:numId="19">
    <w:abstractNumId w:val="1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3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20CD6"/>
    <w:rsid w:val="000345C5"/>
    <w:rsid w:val="0004245B"/>
    <w:rsid w:val="0005178F"/>
    <w:rsid w:val="00057E24"/>
    <w:rsid w:val="00064D70"/>
    <w:rsid w:val="000A5B3C"/>
    <w:rsid w:val="000A69DE"/>
    <w:rsid w:val="000B180D"/>
    <w:rsid w:val="000B4663"/>
    <w:rsid w:val="000B7BB7"/>
    <w:rsid w:val="000F0945"/>
    <w:rsid w:val="0010270A"/>
    <w:rsid w:val="0010363A"/>
    <w:rsid w:val="00104F69"/>
    <w:rsid w:val="0018459D"/>
    <w:rsid w:val="001845D5"/>
    <w:rsid w:val="001B09DB"/>
    <w:rsid w:val="001B2134"/>
    <w:rsid w:val="00235AE1"/>
    <w:rsid w:val="00244EA7"/>
    <w:rsid w:val="002A102B"/>
    <w:rsid w:val="002B4A3E"/>
    <w:rsid w:val="002C1DBA"/>
    <w:rsid w:val="002C69A4"/>
    <w:rsid w:val="00340E7C"/>
    <w:rsid w:val="00364E08"/>
    <w:rsid w:val="003C6DB6"/>
    <w:rsid w:val="00414418"/>
    <w:rsid w:val="00431B1E"/>
    <w:rsid w:val="004C4832"/>
    <w:rsid w:val="004C6555"/>
    <w:rsid w:val="004D6F6B"/>
    <w:rsid w:val="00500997"/>
    <w:rsid w:val="00500A48"/>
    <w:rsid w:val="005104EF"/>
    <w:rsid w:val="0052281E"/>
    <w:rsid w:val="00526313"/>
    <w:rsid w:val="00554468"/>
    <w:rsid w:val="005760E4"/>
    <w:rsid w:val="005771D9"/>
    <w:rsid w:val="00585D8A"/>
    <w:rsid w:val="00595603"/>
    <w:rsid w:val="005D613D"/>
    <w:rsid w:val="005F27AE"/>
    <w:rsid w:val="0060286D"/>
    <w:rsid w:val="0060421B"/>
    <w:rsid w:val="006411AF"/>
    <w:rsid w:val="0067265A"/>
    <w:rsid w:val="00686EA8"/>
    <w:rsid w:val="007010F0"/>
    <w:rsid w:val="007011BD"/>
    <w:rsid w:val="0071020E"/>
    <w:rsid w:val="00737282"/>
    <w:rsid w:val="00737A93"/>
    <w:rsid w:val="00742563"/>
    <w:rsid w:val="0074608E"/>
    <w:rsid w:val="00774A9C"/>
    <w:rsid w:val="007A62D7"/>
    <w:rsid w:val="007F3570"/>
    <w:rsid w:val="0081225A"/>
    <w:rsid w:val="0081392A"/>
    <w:rsid w:val="008146D9"/>
    <w:rsid w:val="008353DD"/>
    <w:rsid w:val="00846ED8"/>
    <w:rsid w:val="0087476D"/>
    <w:rsid w:val="008A3F32"/>
    <w:rsid w:val="008D3982"/>
    <w:rsid w:val="00935B1E"/>
    <w:rsid w:val="009360DE"/>
    <w:rsid w:val="009372B3"/>
    <w:rsid w:val="00985CB5"/>
    <w:rsid w:val="009D7B53"/>
    <w:rsid w:val="009E437E"/>
    <w:rsid w:val="00A0019C"/>
    <w:rsid w:val="00A04AD9"/>
    <w:rsid w:val="00A16648"/>
    <w:rsid w:val="00A431A3"/>
    <w:rsid w:val="00A74241"/>
    <w:rsid w:val="00A7545D"/>
    <w:rsid w:val="00AA442B"/>
    <w:rsid w:val="00AA6F42"/>
    <w:rsid w:val="00AB4932"/>
    <w:rsid w:val="00AD65D3"/>
    <w:rsid w:val="00AE72C5"/>
    <w:rsid w:val="00AF6EBB"/>
    <w:rsid w:val="00B07516"/>
    <w:rsid w:val="00B31B5B"/>
    <w:rsid w:val="00B53380"/>
    <w:rsid w:val="00BD1371"/>
    <w:rsid w:val="00C217DD"/>
    <w:rsid w:val="00C3513A"/>
    <w:rsid w:val="00C43F6D"/>
    <w:rsid w:val="00C45BC4"/>
    <w:rsid w:val="00C56390"/>
    <w:rsid w:val="00C63A64"/>
    <w:rsid w:val="00C74F1B"/>
    <w:rsid w:val="00C87DCA"/>
    <w:rsid w:val="00C92258"/>
    <w:rsid w:val="00C973EC"/>
    <w:rsid w:val="00CC6243"/>
    <w:rsid w:val="00D027E0"/>
    <w:rsid w:val="00D03FD2"/>
    <w:rsid w:val="00D15BF1"/>
    <w:rsid w:val="00D2753C"/>
    <w:rsid w:val="00D477CB"/>
    <w:rsid w:val="00D90A28"/>
    <w:rsid w:val="00D90EA2"/>
    <w:rsid w:val="00DA6654"/>
    <w:rsid w:val="00DA7033"/>
    <w:rsid w:val="00DD26D3"/>
    <w:rsid w:val="00DE71E2"/>
    <w:rsid w:val="00E05352"/>
    <w:rsid w:val="00E20092"/>
    <w:rsid w:val="00E34F99"/>
    <w:rsid w:val="00E43C3D"/>
    <w:rsid w:val="00E71CB7"/>
    <w:rsid w:val="00EC3BBE"/>
    <w:rsid w:val="00EE2A12"/>
    <w:rsid w:val="00EE6BF1"/>
    <w:rsid w:val="00F0067F"/>
    <w:rsid w:val="00F32491"/>
    <w:rsid w:val="00F34368"/>
    <w:rsid w:val="00F74C5F"/>
    <w:rsid w:val="00F9010E"/>
    <w:rsid w:val="00FA0F95"/>
    <w:rsid w:val="00FC56C0"/>
    <w:rsid w:val="00FD3750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AA6F4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AA6F4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D7980-EEE5-46D1-9891-9A4C6FCBF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1793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2015-03-19T14:45:00Z</dcterms:created>
  <dcterms:modified xsi:type="dcterms:W3CDTF">2015-03-19T14:45:00Z</dcterms:modified>
</cp:coreProperties>
</file>