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1496"/>
        <w:gridCol w:w="3722"/>
        <w:gridCol w:w="4388"/>
      </w:tblGrid>
      <w:tr w:rsidR="00AE72C5" w:rsidTr="005C7876">
        <w:trPr>
          <w:trHeight w:val="558"/>
        </w:trPr>
        <w:tc>
          <w:tcPr>
            <w:tcW w:w="9606" w:type="dxa"/>
            <w:gridSpan w:val="3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5C7876">
        <w:trPr>
          <w:trHeight w:val="277"/>
        </w:trPr>
        <w:tc>
          <w:tcPr>
            <w:tcW w:w="9606" w:type="dxa"/>
            <w:gridSpan w:val="3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2850B8" w:rsidRPr="00FE2D61" w:rsidTr="005C7876">
        <w:trPr>
          <w:trHeight w:val="277"/>
        </w:trPr>
        <w:tc>
          <w:tcPr>
            <w:tcW w:w="1686" w:type="dxa"/>
          </w:tcPr>
          <w:p w:rsidR="00AE72C5" w:rsidRPr="00FE2D61" w:rsidRDefault="00E71CB7" w:rsidP="00F74C5F">
            <w:pPr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Název projektu</w:t>
            </w:r>
          </w:p>
        </w:tc>
        <w:tc>
          <w:tcPr>
            <w:tcW w:w="7920" w:type="dxa"/>
            <w:gridSpan w:val="2"/>
          </w:tcPr>
          <w:p w:rsidR="00AE72C5" w:rsidRPr="00FE2D61" w:rsidRDefault="00EE5B77" w:rsidP="0052281E">
            <w:pPr>
              <w:spacing w:before="120" w:after="60" w:line="240" w:lineRule="auto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Udržitelná energetika</w:t>
            </w:r>
          </w:p>
        </w:tc>
      </w:tr>
      <w:tr w:rsidR="002850B8" w:rsidRPr="00FE2D61" w:rsidTr="005C7876">
        <w:trPr>
          <w:trHeight w:val="277"/>
        </w:trPr>
        <w:tc>
          <w:tcPr>
            <w:tcW w:w="1686" w:type="dxa"/>
          </w:tcPr>
          <w:p w:rsidR="00E71CB7" w:rsidRPr="00FE2D61" w:rsidRDefault="00E71CB7" w:rsidP="00F74C5F">
            <w:pPr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Název příjemce</w:t>
            </w:r>
          </w:p>
        </w:tc>
        <w:tc>
          <w:tcPr>
            <w:tcW w:w="7920" w:type="dxa"/>
            <w:gridSpan w:val="2"/>
          </w:tcPr>
          <w:p w:rsidR="00E71CB7" w:rsidRPr="00FE2D61" w:rsidRDefault="00EE5B77" w:rsidP="0052281E">
            <w:pPr>
              <w:spacing w:before="120" w:after="60" w:line="240" w:lineRule="auto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Centrum výzkumu řež, s.r.o.</w:t>
            </w:r>
          </w:p>
        </w:tc>
      </w:tr>
      <w:tr w:rsidR="002850B8" w:rsidRPr="00FE2D61" w:rsidTr="005C7876">
        <w:trPr>
          <w:trHeight w:val="277"/>
        </w:trPr>
        <w:tc>
          <w:tcPr>
            <w:tcW w:w="1686" w:type="dxa"/>
          </w:tcPr>
          <w:p w:rsidR="00E71CB7" w:rsidRPr="00FE2D61" w:rsidRDefault="00E71CB7" w:rsidP="00F74C5F">
            <w:pPr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 xml:space="preserve"> Registrační číslo </w:t>
            </w:r>
            <w:r w:rsidR="00F74C5F" w:rsidRPr="00FE2D61">
              <w:rPr>
                <w:rFonts w:cs="Times New Roman"/>
                <w:b/>
                <w:szCs w:val="24"/>
              </w:rPr>
              <w:t>p</w:t>
            </w:r>
            <w:r w:rsidRPr="00FE2D61">
              <w:rPr>
                <w:rFonts w:cs="Times New Roman"/>
                <w:b/>
                <w:szCs w:val="24"/>
              </w:rPr>
              <w:t>rojektu</w:t>
            </w:r>
          </w:p>
        </w:tc>
        <w:tc>
          <w:tcPr>
            <w:tcW w:w="7920" w:type="dxa"/>
            <w:gridSpan w:val="2"/>
          </w:tcPr>
          <w:p w:rsidR="00EE5B77" w:rsidRPr="007152DA" w:rsidRDefault="00EE5B77" w:rsidP="00EE5B77">
            <w:pPr>
              <w:pStyle w:val="Odstavecseseznamem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2DA">
              <w:rPr>
                <w:rFonts w:ascii="Times New Roman" w:hAnsi="Times New Roman" w:cs="Times New Roman"/>
                <w:sz w:val="24"/>
                <w:szCs w:val="24"/>
              </w:rPr>
              <w:t>CZ.1.05/2.1.00/03.0108</w:t>
            </w:r>
          </w:p>
          <w:p w:rsidR="00E71CB7" w:rsidRPr="00FE2D61" w:rsidRDefault="00E71CB7" w:rsidP="0052281E">
            <w:pPr>
              <w:spacing w:before="120" w:after="60" w:line="240" w:lineRule="auto"/>
              <w:rPr>
                <w:rFonts w:cs="Times New Roman"/>
                <w:szCs w:val="24"/>
              </w:rPr>
            </w:pPr>
          </w:p>
        </w:tc>
      </w:tr>
      <w:tr w:rsidR="002850B8" w:rsidRPr="00FE2D61" w:rsidTr="005C7876">
        <w:trPr>
          <w:trHeight w:val="277"/>
        </w:trPr>
        <w:tc>
          <w:tcPr>
            <w:tcW w:w="1686" w:type="dxa"/>
          </w:tcPr>
          <w:p w:rsidR="00F74C5F" w:rsidRPr="00FE2D61" w:rsidRDefault="00F74C5F" w:rsidP="00F74C5F">
            <w:pPr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Sídlo příjemce</w:t>
            </w:r>
          </w:p>
        </w:tc>
        <w:tc>
          <w:tcPr>
            <w:tcW w:w="7920" w:type="dxa"/>
            <w:gridSpan w:val="2"/>
          </w:tcPr>
          <w:p w:rsidR="00F74C5F" w:rsidRPr="00FE2D61" w:rsidRDefault="00EE5B77" w:rsidP="0052281E">
            <w:pPr>
              <w:spacing w:before="120" w:after="60" w:line="240" w:lineRule="auto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Husinec – Řež, Hlavní 130, 250 68 Řež</w:t>
            </w:r>
          </w:p>
        </w:tc>
      </w:tr>
      <w:tr w:rsidR="002850B8" w:rsidRPr="00FE2D61" w:rsidTr="005C7876">
        <w:trPr>
          <w:trHeight w:val="277"/>
        </w:trPr>
        <w:tc>
          <w:tcPr>
            <w:tcW w:w="1686" w:type="dxa"/>
          </w:tcPr>
          <w:p w:rsidR="00F74C5F" w:rsidRPr="00FE2D61" w:rsidRDefault="00F74C5F" w:rsidP="00F74C5F">
            <w:pPr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Číslo a název výzvy</w:t>
            </w:r>
          </w:p>
        </w:tc>
        <w:tc>
          <w:tcPr>
            <w:tcW w:w="7920" w:type="dxa"/>
            <w:gridSpan w:val="2"/>
          </w:tcPr>
          <w:p w:rsidR="00F74C5F" w:rsidRPr="00FE2D61" w:rsidRDefault="00EE5B77" w:rsidP="0052281E">
            <w:pPr>
              <w:spacing w:before="120" w:after="60" w:line="240" w:lineRule="auto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2 - Regionální VaV centra</w:t>
            </w:r>
          </w:p>
        </w:tc>
      </w:tr>
      <w:tr w:rsidR="002850B8" w:rsidRPr="00FE2D61" w:rsidTr="005C7876">
        <w:trPr>
          <w:trHeight w:val="277"/>
        </w:trPr>
        <w:tc>
          <w:tcPr>
            <w:tcW w:w="1686" w:type="dxa"/>
          </w:tcPr>
          <w:p w:rsidR="00F74C5F" w:rsidRPr="00FE2D61" w:rsidRDefault="00F74C5F" w:rsidP="00F74C5F">
            <w:pPr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Datum podpisu Rozhodnutí</w:t>
            </w:r>
          </w:p>
        </w:tc>
        <w:tc>
          <w:tcPr>
            <w:tcW w:w="7920" w:type="dxa"/>
            <w:gridSpan w:val="2"/>
          </w:tcPr>
          <w:p w:rsidR="00F74C5F" w:rsidRPr="00FE2D61" w:rsidRDefault="00EE5B77" w:rsidP="0052281E">
            <w:pPr>
              <w:spacing w:before="120" w:after="60" w:line="240" w:lineRule="auto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13. 12. 2011</w:t>
            </w:r>
          </w:p>
        </w:tc>
      </w:tr>
      <w:tr w:rsidR="002850B8" w:rsidRPr="00FE2D61" w:rsidTr="005C7876">
        <w:trPr>
          <w:trHeight w:val="623"/>
        </w:trPr>
        <w:tc>
          <w:tcPr>
            <w:tcW w:w="1686" w:type="dxa"/>
          </w:tcPr>
          <w:p w:rsidR="00F74C5F" w:rsidRPr="00FE2D61" w:rsidRDefault="00F74C5F" w:rsidP="00F74C5F">
            <w:pPr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Období realizace projektu</w:t>
            </w:r>
          </w:p>
        </w:tc>
        <w:tc>
          <w:tcPr>
            <w:tcW w:w="3496" w:type="dxa"/>
          </w:tcPr>
          <w:p w:rsidR="00E20092" w:rsidRPr="00FE2D61" w:rsidRDefault="00E20092" w:rsidP="00526313">
            <w:pPr>
              <w:spacing w:before="120" w:after="60" w:line="240" w:lineRule="auto"/>
              <w:contextualSpacing/>
              <w:rPr>
                <w:rFonts w:cs="Times New Roman"/>
                <w:szCs w:val="24"/>
              </w:rPr>
            </w:pPr>
          </w:p>
          <w:p w:rsidR="00F74C5F" w:rsidRPr="00FE2D61" w:rsidRDefault="00F74C5F" w:rsidP="00526313">
            <w:pPr>
              <w:spacing w:before="120" w:after="60" w:line="240" w:lineRule="auto"/>
              <w:contextualSpacing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 xml:space="preserve">Datum zahájení </w:t>
            </w:r>
          </w:p>
          <w:p w:rsidR="00F74C5F" w:rsidRPr="00FE2D61" w:rsidRDefault="00F74C5F" w:rsidP="00526313">
            <w:pPr>
              <w:spacing w:before="120" w:after="60" w:line="240" w:lineRule="auto"/>
              <w:contextualSpacing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realizace projektu:</w:t>
            </w:r>
            <w:r w:rsidR="00EE5B77" w:rsidRPr="00FE2D61">
              <w:rPr>
                <w:rFonts w:cs="Times New Roman"/>
                <w:szCs w:val="24"/>
              </w:rPr>
              <w:t xml:space="preserve"> 1. 1. 2012</w:t>
            </w:r>
          </w:p>
          <w:p w:rsidR="00AA442B" w:rsidRPr="00FE2D61" w:rsidRDefault="00AA442B" w:rsidP="00526313">
            <w:pPr>
              <w:spacing w:before="120" w:after="60" w:line="240" w:lineRule="auto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4424" w:type="dxa"/>
          </w:tcPr>
          <w:p w:rsidR="000F0945" w:rsidRPr="00FE2D61" w:rsidRDefault="000F0945" w:rsidP="00526313">
            <w:pPr>
              <w:spacing w:before="120" w:after="0" w:line="240" w:lineRule="auto"/>
              <w:contextualSpacing/>
              <w:rPr>
                <w:rFonts w:cs="Times New Roman"/>
                <w:szCs w:val="24"/>
              </w:rPr>
            </w:pPr>
          </w:p>
          <w:p w:rsidR="00F74C5F" w:rsidRPr="00FE2D61" w:rsidRDefault="00F74C5F" w:rsidP="00526313">
            <w:pPr>
              <w:spacing w:before="120" w:after="0" w:line="240" w:lineRule="auto"/>
              <w:contextualSpacing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 xml:space="preserve">Datum ukončení </w:t>
            </w:r>
          </w:p>
          <w:p w:rsidR="00F74C5F" w:rsidRPr="00FE2D61" w:rsidRDefault="00F74C5F" w:rsidP="00526313">
            <w:pPr>
              <w:spacing w:before="120" w:after="0" w:line="240" w:lineRule="auto"/>
              <w:contextualSpacing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realizace projektu</w:t>
            </w:r>
            <w:r w:rsidR="00526313" w:rsidRPr="00FE2D61">
              <w:rPr>
                <w:rFonts w:cs="Times New Roman"/>
                <w:szCs w:val="24"/>
              </w:rPr>
              <w:t>:</w:t>
            </w:r>
            <w:r w:rsidR="00EE5B77" w:rsidRPr="00FE2D61">
              <w:rPr>
                <w:rFonts w:cs="Times New Roman"/>
                <w:szCs w:val="24"/>
              </w:rPr>
              <w:t xml:space="preserve"> 31. 12. 2015</w:t>
            </w:r>
          </w:p>
        </w:tc>
      </w:tr>
      <w:tr w:rsidR="002850B8" w:rsidRPr="00FE2D61" w:rsidTr="005C7876">
        <w:trPr>
          <w:trHeight w:val="277"/>
        </w:trPr>
        <w:tc>
          <w:tcPr>
            <w:tcW w:w="1686" w:type="dxa"/>
          </w:tcPr>
          <w:p w:rsidR="00F74C5F" w:rsidRPr="00FE2D61" w:rsidRDefault="00F74C5F" w:rsidP="00F74C5F">
            <w:pPr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Výše podpory</w:t>
            </w:r>
          </w:p>
        </w:tc>
        <w:tc>
          <w:tcPr>
            <w:tcW w:w="3496" w:type="dxa"/>
          </w:tcPr>
          <w:p w:rsidR="00526313" w:rsidRPr="00FE2D61" w:rsidRDefault="00526313" w:rsidP="0052281E">
            <w:pPr>
              <w:spacing w:before="120" w:after="60" w:line="240" w:lineRule="auto"/>
              <w:contextualSpacing/>
              <w:rPr>
                <w:rFonts w:cs="Times New Roman"/>
                <w:szCs w:val="24"/>
              </w:rPr>
            </w:pPr>
          </w:p>
          <w:p w:rsidR="00F74C5F" w:rsidRPr="00FE2D61" w:rsidRDefault="00F74C5F" w:rsidP="0052281E">
            <w:pPr>
              <w:spacing w:before="120" w:after="60" w:line="240" w:lineRule="auto"/>
              <w:contextualSpacing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Celková výše dotace v Kč:</w:t>
            </w:r>
          </w:p>
          <w:p w:rsidR="007A62D7" w:rsidRPr="00FE2D61" w:rsidRDefault="007A62D7" w:rsidP="0052281E">
            <w:pPr>
              <w:spacing w:before="120" w:after="60" w:line="240" w:lineRule="auto"/>
              <w:contextualSpacing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(částka z RoPD bez snížení):</w:t>
            </w:r>
          </w:p>
          <w:p w:rsidR="00EE5B77" w:rsidRPr="00FE2D61" w:rsidRDefault="00EE5B77" w:rsidP="0052281E">
            <w:pPr>
              <w:spacing w:before="120" w:after="60" w:line="240" w:lineRule="auto"/>
              <w:contextualSpacing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2 450 696 000 Kč</w:t>
            </w:r>
          </w:p>
        </w:tc>
        <w:tc>
          <w:tcPr>
            <w:tcW w:w="4424" w:type="dxa"/>
          </w:tcPr>
          <w:p w:rsidR="00F34368" w:rsidRPr="00FE2D61" w:rsidRDefault="00F34368" w:rsidP="00F34368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Podíl ze státního rozpočtu v CZK (15 %):</w:t>
            </w:r>
          </w:p>
          <w:p w:rsidR="00EE5B77" w:rsidRPr="00FE2D61" w:rsidRDefault="00EE5B77" w:rsidP="00F34368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367 604 400 Kč</w:t>
            </w:r>
          </w:p>
          <w:p w:rsidR="00F34368" w:rsidRPr="00FE2D61" w:rsidRDefault="00F34368" w:rsidP="00F34368">
            <w:pPr>
              <w:spacing w:before="60" w:after="60" w:line="240" w:lineRule="auto"/>
              <w:rPr>
                <w:rFonts w:cs="Times New Roman"/>
                <w:szCs w:val="24"/>
              </w:rPr>
            </w:pPr>
          </w:p>
          <w:p w:rsidR="00F74C5F" w:rsidRPr="00FE2D61" w:rsidRDefault="00F34368" w:rsidP="00F34368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Podíl z EU v  CZK  (85 %):</w:t>
            </w:r>
          </w:p>
          <w:p w:rsidR="00EE5B77" w:rsidRPr="00FE2D61" w:rsidRDefault="00EE5B77" w:rsidP="00F34368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2 083 091 600 Kč</w:t>
            </w:r>
          </w:p>
          <w:p w:rsidR="00F34368" w:rsidRPr="00FE2D61" w:rsidRDefault="00F34368" w:rsidP="00F34368">
            <w:pPr>
              <w:spacing w:before="60" w:after="60" w:line="240" w:lineRule="auto"/>
              <w:rPr>
                <w:rFonts w:cs="Times New Roman"/>
                <w:szCs w:val="24"/>
              </w:rPr>
            </w:pPr>
          </w:p>
        </w:tc>
      </w:tr>
      <w:tr w:rsidR="002850B8" w:rsidRPr="00FE2D61" w:rsidTr="005C7876">
        <w:trPr>
          <w:trHeight w:val="277"/>
        </w:trPr>
        <w:tc>
          <w:tcPr>
            <w:tcW w:w="1686" w:type="dxa"/>
          </w:tcPr>
          <w:p w:rsidR="00F34368" w:rsidRPr="00FE2D61" w:rsidRDefault="00F34368" w:rsidP="00F74C5F">
            <w:pPr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Struktura výdajů</w:t>
            </w:r>
          </w:p>
        </w:tc>
        <w:tc>
          <w:tcPr>
            <w:tcW w:w="7920" w:type="dxa"/>
            <w:gridSpan w:val="2"/>
          </w:tcPr>
          <w:p w:rsidR="00F34368" w:rsidRPr="001F7588" w:rsidRDefault="0018459D" w:rsidP="001F7588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1F7588">
              <w:rPr>
                <w:rFonts w:cs="Times New Roman"/>
                <w:szCs w:val="24"/>
              </w:rPr>
              <w:t>Stavební část:</w:t>
            </w:r>
            <w:r w:rsidR="001F7588" w:rsidRPr="001F7588">
              <w:rPr>
                <w:rFonts w:cs="Times New Roman"/>
                <w:szCs w:val="24"/>
              </w:rPr>
              <w:t xml:space="preserve"> 568 653 000 Kč – stavba a pozemky</w:t>
            </w:r>
            <w:r w:rsidR="001F7588">
              <w:rPr>
                <w:rFonts w:cs="Times New Roman"/>
                <w:szCs w:val="24"/>
              </w:rPr>
              <w:t>,</w:t>
            </w:r>
          </w:p>
          <w:p w:rsidR="00F34368" w:rsidRPr="001F7588" w:rsidRDefault="00F34368" w:rsidP="00F34368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1F7588">
              <w:rPr>
                <w:rFonts w:cs="Times New Roman"/>
                <w:szCs w:val="24"/>
              </w:rPr>
              <w:t>Přístrojové vybavení</w:t>
            </w:r>
            <w:r w:rsidR="0018459D" w:rsidRPr="001F7588">
              <w:rPr>
                <w:rFonts w:cs="Times New Roman"/>
                <w:szCs w:val="24"/>
              </w:rPr>
              <w:t>:</w:t>
            </w:r>
            <w:r w:rsidR="001F7588" w:rsidRPr="001F7588">
              <w:rPr>
                <w:rFonts w:cs="Times New Roman"/>
                <w:szCs w:val="24"/>
              </w:rPr>
              <w:t xml:space="preserve"> 1 348 429 000 Kč – stroje a zařízení, ostatní vybavení</w:t>
            </w:r>
            <w:r w:rsidR="001F7588">
              <w:rPr>
                <w:rFonts w:cs="Times New Roman"/>
                <w:szCs w:val="24"/>
              </w:rPr>
              <w:t>,</w:t>
            </w:r>
          </w:p>
          <w:p w:rsidR="00F34368" w:rsidRPr="001F7588" w:rsidRDefault="00F34368" w:rsidP="00F34368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1F7588">
              <w:rPr>
                <w:rFonts w:cs="Times New Roman"/>
                <w:szCs w:val="24"/>
              </w:rPr>
              <w:t>Mzdové výdaje</w:t>
            </w:r>
            <w:r w:rsidR="0018459D" w:rsidRPr="001F7588">
              <w:rPr>
                <w:rFonts w:cs="Times New Roman"/>
                <w:szCs w:val="24"/>
              </w:rPr>
              <w:t>:</w:t>
            </w:r>
            <w:r w:rsidR="001F7588" w:rsidRPr="001F7588">
              <w:rPr>
                <w:rFonts w:cs="Times New Roman"/>
                <w:szCs w:val="24"/>
              </w:rPr>
              <w:t xml:space="preserve"> 197 643 000 Kč</w:t>
            </w:r>
            <w:r w:rsidR="001F7588">
              <w:rPr>
                <w:rFonts w:cs="Times New Roman"/>
                <w:szCs w:val="24"/>
              </w:rPr>
              <w:t>,</w:t>
            </w:r>
          </w:p>
          <w:p w:rsidR="00F34368" w:rsidRPr="001F7588" w:rsidRDefault="00F34368" w:rsidP="001F7588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1F7588">
              <w:rPr>
                <w:rFonts w:cs="Times New Roman"/>
                <w:szCs w:val="24"/>
              </w:rPr>
              <w:t>Ostatní</w:t>
            </w:r>
            <w:r w:rsidR="0018459D" w:rsidRPr="001F7588">
              <w:rPr>
                <w:rFonts w:cs="Times New Roman"/>
                <w:szCs w:val="24"/>
              </w:rPr>
              <w:t>:</w:t>
            </w:r>
            <w:r w:rsidR="001F7588" w:rsidRPr="001F7588">
              <w:rPr>
                <w:rFonts w:cs="Times New Roman"/>
                <w:szCs w:val="24"/>
              </w:rPr>
              <w:t xml:space="preserve"> 325 081 794,96 Kč</w:t>
            </w:r>
            <w:r w:rsidR="001F7588">
              <w:rPr>
                <w:rFonts w:cs="Times New Roman"/>
                <w:szCs w:val="24"/>
              </w:rPr>
              <w:t>.</w:t>
            </w:r>
          </w:p>
        </w:tc>
      </w:tr>
      <w:tr w:rsidR="002850B8" w:rsidRPr="00FE2D61" w:rsidTr="005C7876">
        <w:trPr>
          <w:trHeight w:val="1116"/>
        </w:trPr>
        <w:tc>
          <w:tcPr>
            <w:tcW w:w="1686" w:type="dxa"/>
          </w:tcPr>
          <w:p w:rsidR="008353DD" w:rsidRPr="00FE2D61" w:rsidRDefault="008353DD" w:rsidP="008353DD">
            <w:pPr>
              <w:spacing w:before="60" w:after="60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Stručný popis projektu</w:t>
            </w:r>
          </w:p>
          <w:p w:rsidR="008353DD" w:rsidRPr="00FE2D61" w:rsidRDefault="008353DD" w:rsidP="008353DD">
            <w:pPr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szCs w:val="24"/>
              </w:rPr>
              <w:t>(zhruba 250 znaků</w:t>
            </w:r>
            <w:r w:rsidR="00FD3750" w:rsidRPr="00FE2D61">
              <w:rPr>
                <w:rFonts w:cs="Times New Roman"/>
                <w:szCs w:val="24"/>
              </w:rPr>
              <w:t>)</w:t>
            </w:r>
          </w:p>
        </w:tc>
        <w:tc>
          <w:tcPr>
            <w:tcW w:w="7920" w:type="dxa"/>
            <w:gridSpan w:val="2"/>
          </w:tcPr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Hlavním cílem projektu Udržitelná energetika je vybudování významného dvou-regionálního centra (NUTS 2 Jihozápad a Střední Čechy) výzkumu a vývoje v oblasti dlouhodobě udržitelné energetiky s úzkou vazbou na evropský výzkumný prostor.</w:t>
            </w:r>
          </w:p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Prostřednictvím rozšíření a modernizace výzkumné infrastruktury bude vytvořeno špičkové pracoviště zaměřené především na klíčové segmenty jaderné energetiky.</w:t>
            </w:r>
          </w:p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Z hlediska časového rámce lze rozlišit dva základní strategické cíle projektu:</w:t>
            </w:r>
          </w:p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•</w:t>
            </w:r>
            <w:r w:rsidRPr="00FE2D61">
              <w:rPr>
                <w:rFonts w:cs="Times New Roman"/>
                <w:szCs w:val="24"/>
              </w:rPr>
              <w:tab/>
              <w:t xml:space="preserve">Přispět výzkumnými a vývojovými aktivitami k zajištění bezpečného, spolehlivého a dlouhodobě udržitelného provozu stávajících energetických zařízení, tj. zejména jaderných elektráren typu GII a GIII, a to  prostřednictvím prodloužení jejich životnosti o 20 – 40 let. Cílem projektu je rovněž výzkum a </w:t>
            </w:r>
            <w:r w:rsidRPr="00FE2D61">
              <w:rPr>
                <w:rFonts w:cs="Times New Roman"/>
                <w:szCs w:val="24"/>
              </w:rPr>
              <w:lastRenderedPageBreak/>
              <w:t xml:space="preserve">vývoj nových technologií s vysokou účinností v oblasti klasické energetiky. Konkrétní aplikace budou realizovány bezprostředně po dokončení instalace potřebných technologií. </w:t>
            </w:r>
          </w:p>
          <w:p w:rsidR="00EE5B77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•</w:t>
            </w:r>
            <w:r w:rsidRPr="00FE2D61">
              <w:rPr>
                <w:rFonts w:cs="Times New Roman"/>
                <w:szCs w:val="24"/>
              </w:rPr>
              <w:tab/>
              <w:t>Prostřednictvím generovaných výsledků výzkumu a vývoje přispět k plynulému přechodu na jaderné reaktory nových generací, tzn. GIII+ a GIV. S nasazením těchto tzv. pokročilých jaderných reaktorů v rámci ostrého provozu se počítá po roce 2030. V rámci dlouhodobého horizontu je předmětem projektu také výzkum a vývoj špičkových technologií a materiálů v oblasti termojaderné fúze.</w:t>
            </w:r>
          </w:p>
          <w:p w:rsidR="002850B8" w:rsidRPr="00FE2D61" w:rsidRDefault="002850B8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Partnerem projektu je Západočeská univerzita v Plzni.</w:t>
            </w:r>
          </w:p>
        </w:tc>
      </w:tr>
      <w:tr w:rsidR="002850B8" w:rsidRPr="00FE2D61" w:rsidTr="005C7876">
        <w:trPr>
          <w:trHeight w:val="277"/>
        </w:trPr>
        <w:tc>
          <w:tcPr>
            <w:tcW w:w="1686" w:type="dxa"/>
          </w:tcPr>
          <w:p w:rsidR="00526313" w:rsidRPr="00FE2D61" w:rsidRDefault="00526313" w:rsidP="00F74C5F">
            <w:pPr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lastRenderedPageBreak/>
              <w:t xml:space="preserve">Zahájení / ukončení stavby / rekonstrukce </w:t>
            </w:r>
            <w:r w:rsidRPr="00FE2D61">
              <w:rPr>
                <w:rFonts w:cs="Times New Roman"/>
                <w:szCs w:val="24"/>
              </w:rPr>
              <w:t>(pokud je relevantní)</w:t>
            </w:r>
          </w:p>
        </w:tc>
        <w:tc>
          <w:tcPr>
            <w:tcW w:w="3496" w:type="dxa"/>
          </w:tcPr>
          <w:p w:rsidR="007152DA" w:rsidRDefault="00526313" w:rsidP="00F34368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Datum</w:t>
            </w:r>
            <w:r w:rsidR="00002DBE" w:rsidRPr="00FE2D61">
              <w:rPr>
                <w:rFonts w:cs="Times New Roman"/>
                <w:szCs w:val="24"/>
              </w:rPr>
              <w:t>:</w:t>
            </w:r>
            <w:r w:rsidR="002850B8">
              <w:rPr>
                <w:rFonts w:cs="Times New Roman"/>
                <w:szCs w:val="24"/>
              </w:rPr>
              <w:t xml:space="preserve"> zahájení: </w:t>
            </w:r>
          </w:p>
          <w:p w:rsidR="00526313" w:rsidRDefault="007152DA" w:rsidP="00F34368">
            <w:pPr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1) </w:t>
            </w:r>
            <w:r w:rsidR="002850B8">
              <w:rPr>
                <w:rFonts w:cs="Times New Roman"/>
                <w:szCs w:val="24"/>
              </w:rPr>
              <w:t xml:space="preserve">stavba Řež: zahájení: </w:t>
            </w:r>
            <w:r w:rsidR="002850B8" w:rsidRPr="002850B8">
              <w:rPr>
                <w:rFonts w:cs="Times New Roman"/>
                <w:szCs w:val="24"/>
              </w:rPr>
              <w:t>27.</w:t>
            </w:r>
            <w:r>
              <w:rPr>
                <w:rFonts w:cs="Times New Roman"/>
                <w:szCs w:val="24"/>
              </w:rPr>
              <w:t xml:space="preserve"> </w:t>
            </w:r>
            <w:r w:rsidR="002850B8" w:rsidRPr="002850B8">
              <w:rPr>
                <w:rFonts w:cs="Times New Roman"/>
                <w:szCs w:val="24"/>
              </w:rPr>
              <w:t>11.</w:t>
            </w:r>
            <w:r>
              <w:rPr>
                <w:rFonts w:cs="Times New Roman"/>
                <w:szCs w:val="24"/>
              </w:rPr>
              <w:t xml:space="preserve"> </w:t>
            </w:r>
            <w:r w:rsidR="002850B8" w:rsidRPr="002850B8">
              <w:rPr>
                <w:rFonts w:cs="Times New Roman"/>
                <w:szCs w:val="24"/>
              </w:rPr>
              <w:t>2012</w:t>
            </w:r>
            <w:r w:rsidR="002850B8">
              <w:rPr>
                <w:rFonts w:cs="Times New Roman"/>
                <w:szCs w:val="24"/>
              </w:rPr>
              <w:t xml:space="preserve">, ukončení části staveb: 1. </w:t>
            </w:r>
            <w:r>
              <w:rPr>
                <w:rFonts w:cs="Times New Roman"/>
                <w:szCs w:val="24"/>
              </w:rPr>
              <w:t>k</w:t>
            </w:r>
            <w:r w:rsidR="002850B8">
              <w:rPr>
                <w:rFonts w:cs="Times New Roman"/>
                <w:szCs w:val="24"/>
              </w:rPr>
              <w:t>vartál 2014</w:t>
            </w:r>
            <w:r>
              <w:rPr>
                <w:rFonts w:cs="Times New Roman"/>
                <w:szCs w:val="24"/>
              </w:rPr>
              <w:t xml:space="preserve"> (část staveb)</w:t>
            </w:r>
          </w:p>
          <w:p w:rsidR="002850B8" w:rsidRPr="00FE2D61" w:rsidRDefault="007152DA" w:rsidP="00F34368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0A08F2">
              <w:rPr>
                <w:rFonts w:cs="Times New Roman"/>
                <w:szCs w:val="24"/>
              </w:rPr>
              <w:t>2) s</w:t>
            </w:r>
            <w:r w:rsidR="002850B8" w:rsidRPr="000A08F2">
              <w:rPr>
                <w:rFonts w:cs="Times New Roman"/>
                <w:szCs w:val="24"/>
              </w:rPr>
              <w:t xml:space="preserve">tavba Plzeň – </w:t>
            </w:r>
            <w:r w:rsidR="000A08F2" w:rsidRPr="000A08F2">
              <w:rPr>
                <w:rFonts w:cs="Times New Roman"/>
                <w:szCs w:val="24"/>
              </w:rPr>
              <w:t xml:space="preserve">zahájení 10. 12. 2012, </w:t>
            </w:r>
            <w:r w:rsidR="002850B8" w:rsidRPr="000A08F2">
              <w:rPr>
                <w:rFonts w:cs="Times New Roman"/>
                <w:szCs w:val="24"/>
              </w:rPr>
              <w:t>ukončení 13.</w:t>
            </w:r>
            <w:r w:rsidRPr="000A08F2">
              <w:rPr>
                <w:rFonts w:cs="Times New Roman"/>
                <w:szCs w:val="24"/>
              </w:rPr>
              <w:t xml:space="preserve"> </w:t>
            </w:r>
            <w:r w:rsidR="002850B8" w:rsidRPr="000A08F2">
              <w:rPr>
                <w:rFonts w:cs="Times New Roman"/>
                <w:szCs w:val="24"/>
              </w:rPr>
              <w:t>4.</w:t>
            </w:r>
            <w:r w:rsidRPr="000A08F2">
              <w:rPr>
                <w:rFonts w:cs="Times New Roman"/>
                <w:szCs w:val="24"/>
              </w:rPr>
              <w:t xml:space="preserve"> </w:t>
            </w:r>
            <w:r w:rsidR="002850B8" w:rsidRPr="000A08F2">
              <w:rPr>
                <w:rFonts w:cs="Times New Roman"/>
                <w:szCs w:val="24"/>
              </w:rPr>
              <w:t>2014</w:t>
            </w:r>
            <w:r w:rsidR="002850B8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4424" w:type="dxa"/>
          </w:tcPr>
          <w:p w:rsidR="00526313" w:rsidRPr="00FE2D61" w:rsidRDefault="00002DBE" w:rsidP="00F34368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Generální dodavatel:</w:t>
            </w:r>
          </w:p>
          <w:p w:rsidR="002850B8" w:rsidRDefault="002850B8" w:rsidP="00F34368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Metrostav a.s.</w:t>
            </w:r>
            <w:r>
              <w:rPr>
                <w:rFonts w:cs="Times New Roman"/>
                <w:szCs w:val="24"/>
              </w:rPr>
              <w:t xml:space="preserve"> (Řež)</w:t>
            </w:r>
          </w:p>
          <w:p w:rsidR="00EE5B77" w:rsidRPr="00FE2D61" w:rsidRDefault="00EE5B77" w:rsidP="00F34368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Zlínstav a.s.</w:t>
            </w:r>
            <w:r w:rsidR="002850B8">
              <w:rPr>
                <w:rFonts w:cs="Times New Roman"/>
                <w:szCs w:val="24"/>
              </w:rPr>
              <w:t xml:space="preserve"> (Plzeň)</w:t>
            </w:r>
          </w:p>
          <w:p w:rsidR="00EE5B77" w:rsidRPr="00FE2D61" w:rsidRDefault="00EE5B77" w:rsidP="00F34368">
            <w:pPr>
              <w:spacing w:before="60" w:after="60" w:line="240" w:lineRule="auto"/>
              <w:rPr>
                <w:rFonts w:cs="Times New Roman"/>
                <w:szCs w:val="24"/>
              </w:rPr>
            </w:pPr>
          </w:p>
        </w:tc>
      </w:tr>
      <w:tr w:rsidR="002850B8" w:rsidRPr="00FE2D61" w:rsidTr="005C7876">
        <w:trPr>
          <w:trHeight w:val="1290"/>
        </w:trPr>
        <w:tc>
          <w:tcPr>
            <w:tcW w:w="1686" w:type="dxa"/>
          </w:tcPr>
          <w:p w:rsidR="008353DD" w:rsidRPr="00FE2D61" w:rsidRDefault="00737A93" w:rsidP="00FD3750">
            <w:pPr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Výstupy projektu</w:t>
            </w:r>
            <w:r w:rsidR="00FD3750" w:rsidRPr="00FE2D61">
              <w:rPr>
                <w:rFonts w:cs="Times New Roman"/>
                <w:b/>
                <w:szCs w:val="24"/>
              </w:rPr>
              <w:t xml:space="preserve"> </w:t>
            </w:r>
            <w:r w:rsidR="00FD3750" w:rsidRPr="00FE2D61">
              <w:rPr>
                <w:rFonts w:cs="Times New Roman"/>
                <w:szCs w:val="24"/>
              </w:rPr>
              <w:t>(popis hlavních dosažených výstupů včetně uvedení závazných monitorovacích indikátorů v době ukončení projektu plán/skutečnost a plán na rok 2015)</w:t>
            </w:r>
          </w:p>
        </w:tc>
        <w:tc>
          <w:tcPr>
            <w:tcW w:w="7920" w:type="dxa"/>
            <w:gridSpan w:val="2"/>
          </w:tcPr>
          <w:p w:rsidR="00EE5B77" w:rsidRPr="00FE2D61" w:rsidRDefault="00EE5B77" w:rsidP="00EE5B77">
            <w:pPr>
              <w:pStyle w:val="Odstavecseseznamem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Milníky - stavební část </w:t>
            </w:r>
          </w:p>
          <w:tbl>
            <w:tblPr>
              <w:tblW w:w="912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833"/>
              <w:gridCol w:w="1043"/>
              <w:gridCol w:w="3249"/>
            </w:tblGrid>
            <w:tr w:rsidR="00EE5B77" w:rsidRPr="00FE2D61" w:rsidTr="005C7876">
              <w:tc>
                <w:tcPr>
                  <w:tcW w:w="4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Stavba 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Lokalita</w:t>
                  </w:r>
                </w:p>
              </w:tc>
              <w:tc>
                <w:tcPr>
                  <w:tcW w:w="3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2D61" w:rsidRDefault="00EE5B77" w:rsidP="00296C8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Milník </w:t>
                  </w:r>
                  <w:r w:rsidR="00FE2D61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–</w:t>
                  </w:r>
                  <w:r w:rsidRPr="00FE2D61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</w:t>
                  </w:r>
                </w:p>
                <w:p w:rsidR="00FE2D61" w:rsidRDefault="00EE5B77" w:rsidP="00296C8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kolaudace </w:t>
                  </w:r>
                </w:p>
                <w:p w:rsidR="00EE5B77" w:rsidRPr="00FE2D61" w:rsidRDefault="00EE5B77" w:rsidP="00296C8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stavby</w:t>
                  </w:r>
                </w:p>
              </w:tc>
            </w:tr>
            <w:tr w:rsidR="00EE5B77" w:rsidRPr="00FE2D61" w:rsidTr="005C7876">
              <w:tc>
                <w:tcPr>
                  <w:tcW w:w="4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271 “Diagnostické centrum”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Řež</w:t>
                  </w:r>
                </w:p>
              </w:tc>
              <w:tc>
                <w:tcPr>
                  <w:tcW w:w="3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II/2014</w:t>
                  </w:r>
                </w:p>
              </w:tc>
            </w:tr>
            <w:tr w:rsidR="00EE5B77" w:rsidRPr="00FE2D61" w:rsidTr="005C7876">
              <w:tc>
                <w:tcPr>
                  <w:tcW w:w="4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261 “Laboratoře pro geologické ukládání RAO”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Řež</w:t>
                  </w:r>
                </w:p>
              </w:tc>
              <w:tc>
                <w:tcPr>
                  <w:tcW w:w="3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I/2014</w:t>
                  </w:r>
                </w:p>
              </w:tc>
            </w:tr>
            <w:tr w:rsidR="00EE5B77" w:rsidRPr="00FE2D61" w:rsidTr="005C7876">
              <w:tc>
                <w:tcPr>
                  <w:tcW w:w="4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211/3 “Malé zbytky”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Řež</w:t>
                  </w:r>
                </w:p>
              </w:tc>
              <w:tc>
                <w:tcPr>
                  <w:tcW w:w="3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I/2014</w:t>
                  </w:r>
                </w:p>
              </w:tc>
            </w:tr>
            <w:tr w:rsidR="00EE5B77" w:rsidRPr="00FE2D61" w:rsidTr="005C7876">
              <w:tc>
                <w:tcPr>
                  <w:tcW w:w="4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254 “Horké komory”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Řež</w:t>
                  </w:r>
                </w:p>
              </w:tc>
              <w:tc>
                <w:tcPr>
                  <w:tcW w:w="3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IV/2014</w:t>
                  </w:r>
                </w:p>
              </w:tc>
            </w:tr>
            <w:tr w:rsidR="00EE5B77" w:rsidRPr="00FE2D61" w:rsidTr="005C7876">
              <w:tc>
                <w:tcPr>
                  <w:tcW w:w="4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 “Technologické experimentální okruhy”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Řež</w:t>
                  </w:r>
                </w:p>
              </w:tc>
              <w:tc>
                <w:tcPr>
                  <w:tcW w:w="3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II/2014</w:t>
                  </w:r>
                </w:p>
              </w:tc>
            </w:tr>
            <w:tr w:rsidR="00EE5B77" w:rsidRPr="00FE2D61" w:rsidTr="005C7876">
              <w:tc>
                <w:tcPr>
                  <w:tcW w:w="4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211/12 “Technologické okruhy SCWR”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Řež</w:t>
                  </w:r>
                </w:p>
              </w:tc>
              <w:tc>
                <w:tcPr>
                  <w:tcW w:w="3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I/2014</w:t>
                  </w:r>
                </w:p>
              </w:tc>
            </w:tr>
            <w:tr w:rsidR="00EE5B77" w:rsidRPr="00FE2D61" w:rsidTr="005C7876">
              <w:tc>
                <w:tcPr>
                  <w:tcW w:w="4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Experimentální hala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Plzeň</w:t>
                  </w:r>
                </w:p>
              </w:tc>
              <w:tc>
                <w:tcPr>
                  <w:tcW w:w="3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IV/2014</w:t>
                  </w:r>
                </w:p>
              </w:tc>
            </w:tr>
          </w:tbl>
          <w:p w:rsidR="00575D74" w:rsidRPr="00FE2D61" w:rsidRDefault="00575D74" w:rsidP="00296C86">
            <w:pPr>
              <w:pStyle w:val="Odstavecseseznamem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5B77" w:rsidRPr="00FE2D61" w:rsidRDefault="00EE5B77" w:rsidP="00296C86">
            <w:pPr>
              <w:pStyle w:val="Odstavecseseznamem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Milníky - technologická část </w:t>
            </w:r>
          </w:p>
          <w:tbl>
            <w:tblPr>
              <w:tblW w:w="912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165"/>
              <w:gridCol w:w="1210"/>
              <w:gridCol w:w="2750"/>
            </w:tblGrid>
            <w:tr w:rsidR="00EE5B77" w:rsidRPr="00FE2D61" w:rsidTr="00CB2591">
              <w:tc>
                <w:tcPr>
                  <w:tcW w:w="5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Milník</w:t>
                  </w:r>
                </w:p>
              </w:tc>
              <w:tc>
                <w:tcPr>
                  <w:tcW w:w="1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Lokalita</w:t>
                  </w:r>
                </w:p>
              </w:tc>
              <w:tc>
                <w:tcPr>
                  <w:tcW w:w="2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2D61" w:rsidRDefault="00EE5B77" w:rsidP="00296C8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Milník </w:t>
                  </w:r>
                </w:p>
                <w:p w:rsidR="00FE2D61" w:rsidRDefault="00EE5B77" w:rsidP="00296C8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- kolaudace </w:t>
                  </w:r>
                </w:p>
                <w:p w:rsidR="00EE5B77" w:rsidRPr="00FE2D61" w:rsidRDefault="00EE5B77" w:rsidP="00296C8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stavby</w:t>
                  </w:r>
                </w:p>
              </w:tc>
            </w:tr>
            <w:tr w:rsidR="00EE5B77" w:rsidRPr="00FE2D61" w:rsidTr="00CB2591">
              <w:tc>
                <w:tcPr>
                  <w:tcW w:w="5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0" w:name="OLE_LINK4"/>
                  <w:bookmarkStart w:id="1" w:name="OLE_LINK5"/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Vytvoření Komise pro zprovoznění výzkumné infrastruktury (národní a mezinárodní experti)</w:t>
                  </w:r>
                  <w:bookmarkEnd w:id="0"/>
                  <w:bookmarkEnd w:id="1"/>
                </w:p>
              </w:tc>
              <w:tc>
                <w:tcPr>
                  <w:tcW w:w="1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Řež/ Plzeň</w:t>
                  </w:r>
                </w:p>
              </w:tc>
              <w:tc>
                <w:tcPr>
                  <w:tcW w:w="2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II/2013</w:t>
                  </w:r>
                </w:p>
              </w:tc>
            </w:tr>
            <w:tr w:rsidR="00EE5B77" w:rsidRPr="00FE2D61" w:rsidTr="00CB2591">
              <w:tc>
                <w:tcPr>
                  <w:tcW w:w="5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Slavnostní otevření Diagnostického centra za účasti Komise pro zprovoznění výzkumné infrastruktury</w:t>
                  </w:r>
                </w:p>
              </w:tc>
              <w:tc>
                <w:tcPr>
                  <w:tcW w:w="1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Řež</w:t>
                  </w:r>
                </w:p>
              </w:tc>
              <w:tc>
                <w:tcPr>
                  <w:tcW w:w="2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III/2014</w:t>
                  </w:r>
                </w:p>
              </w:tc>
            </w:tr>
            <w:tr w:rsidR="00EE5B77" w:rsidRPr="00FE2D61" w:rsidTr="00CB2591">
              <w:tc>
                <w:tcPr>
                  <w:tcW w:w="5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Slavnostní otevření Laboratoře pro geologické ukládání RAO za účasti Komise pro zprovoznění výzkumné infrastruktury</w:t>
                  </w:r>
                </w:p>
              </w:tc>
              <w:tc>
                <w:tcPr>
                  <w:tcW w:w="1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Řež</w:t>
                  </w:r>
                </w:p>
              </w:tc>
              <w:tc>
                <w:tcPr>
                  <w:tcW w:w="2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II/2014</w:t>
                  </w:r>
                </w:p>
              </w:tc>
            </w:tr>
            <w:tr w:rsidR="00EE5B77" w:rsidRPr="00FE2D61" w:rsidTr="00CB2591">
              <w:tc>
                <w:tcPr>
                  <w:tcW w:w="5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Slavnostní otevření komplexu nových Horkých </w:t>
                  </w: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komor za účasti Komise pro zprovoznění výzkumné infrastruktury</w:t>
                  </w:r>
                </w:p>
              </w:tc>
              <w:tc>
                <w:tcPr>
                  <w:tcW w:w="1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Řež</w:t>
                  </w:r>
                </w:p>
              </w:tc>
              <w:tc>
                <w:tcPr>
                  <w:tcW w:w="2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296C8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III/2015</w:t>
                  </w:r>
                </w:p>
              </w:tc>
            </w:tr>
            <w:tr w:rsidR="00EE5B77" w:rsidRPr="00FE2D61" w:rsidTr="00CB2591">
              <w:tc>
                <w:tcPr>
                  <w:tcW w:w="5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5C787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Slavnostní zahájení provozu Centra SSD za účasti Komise pro zprovoznění výzkumné infrastruktury</w:t>
                  </w:r>
                </w:p>
              </w:tc>
              <w:tc>
                <w:tcPr>
                  <w:tcW w:w="1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5C787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Plzeň</w:t>
                  </w:r>
                </w:p>
              </w:tc>
              <w:tc>
                <w:tcPr>
                  <w:tcW w:w="2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5C787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III/2014</w:t>
                  </w:r>
                </w:p>
              </w:tc>
            </w:tr>
            <w:tr w:rsidR="00EE5B77" w:rsidRPr="00FE2D61" w:rsidTr="00CB2591">
              <w:tc>
                <w:tcPr>
                  <w:tcW w:w="5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5C787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Slavnostní zahájení provozu Materiálového centra za účasti Komise pro zprovoznění výzkumné infrastruktury</w:t>
                  </w:r>
                </w:p>
              </w:tc>
              <w:tc>
                <w:tcPr>
                  <w:tcW w:w="1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5C787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Plzeň</w:t>
                  </w:r>
                </w:p>
              </w:tc>
              <w:tc>
                <w:tcPr>
                  <w:tcW w:w="2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5C787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III/2014</w:t>
                  </w:r>
                </w:p>
              </w:tc>
            </w:tr>
            <w:tr w:rsidR="00EE5B77" w:rsidRPr="00FE2D61" w:rsidTr="00CB2591">
              <w:tc>
                <w:tcPr>
                  <w:tcW w:w="5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5C787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Slavnostní zahájení provozu technologií umístěných v Experimentální hale v lokalitě Plzeň za účasti Komise pro zprovoznění výzkumné infrastruktury</w:t>
                  </w:r>
                </w:p>
              </w:tc>
              <w:tc>
                <w:tcPr>
                  <w:tcW w:w="1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5C7876">
                  <w:pPr>
                    <w:pStyle w:val="Odstavecseseznamem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Plzeň</w:t>
                  </w:r>
                </w:p>
              </w:tc>
              <w:tc>
                <w:tcPr>
                  <w:tcW w:w="2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5B77" w:rsidRPr="00FE2D61" w:rsidRDefault="00EE5B77" w:rsidP="005C7876">
                  <w:pPr>
                    <w:pStyle w:val="Odstavecseseznamem"/>
                    <w:tabs>
                      <w:tab w:val="left" w:pos="2972"/>
                    </w:tabs>
                    <w:spacing w:after="0"/>
                    <w:ind w:left="0" w:right="1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IV/2015</w:t>
                  </w:r>
                </w:p>
              </w:tc>
            </w:tr>
          </w:tbl>
          <w:p w:rsidR="00EE5B77" w:rsidRPr="00FE2D61" w:rsidRDefault="00EE5B77" w:rsidP="00EE5B77">
            <w:pPr>
              <w:spacing w:before="60" w:after="60" w:line="240" w:lineRule="auto"/>
              <w:rPr>
                <w:rFonts w:cs="Times New Roman"/>
                <w:szCs w:val="24"/>
              </w:rPr>
            </w:pPr>
          </w:p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 xml:space="preserve">Očekávané hlavní výstupy/ výsledky - výzkumná část </w:t>
            </w:r>
          </w:p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Výstup 1: Zprovoznění laboratoře tavného svařování. Termín 12/2013.</w:t>
            </w:r>
          </w:p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Výstup 2: Aktivní zprovoznění zařízení pro popis a modelování tzv. těžkých havárií jaderných reaktorů. Termín 9/2014.</w:t>
            </w:r>
          </w:p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Výstup 3: Realizace demonstračního zařízení pro minimalizaci objemu kapalných RAO na pětinu stávající produkce. Termín 06/2015.</w:t>
            </w:r>
          </w:p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Výstup 4: Zprovoznění zařízení pro simulaci těžké havárie JE. Termín: 06/2015.</w:t>
            </w:r>
          </w:p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Výstup 5: Zprovoznění experimentální palivové smyčky se superkritickými parametry vody pro aplikace vývoje evropské řady reaktorů SCWR. Termín: 12/2015.</w:t>
            </w:r>
          </w:p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Výstup 6: Zprovoznění experimentální heliové smyčky pro testování vybraných komponent a odvodu tepla. Termín: 12/2015.</w:t>
            </w:r>
          </w:p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Výstup 7: Zprovoznění zařízení vysokoteplotní výroby vodíku z vody při parametrech vysokoteplotního helia s rekuperací tepla. Termín: 12/2015.</w:t>
            </w:r>
          </w:p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Výstup 8: Vybudování testovacího zařízení pro ověření postupů dálkové manipulace při montáži a opravách ozářených částí technologického okruhu s eutektikem olovo – lithium (Pb-Li). Termín: 12/2015.</w:t>
            </w:r>
          </w:p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Výstup 9: Zprovoznění zařízení pro výzkum interakcí 14 MeV neutronů s materiály pro fúzní aplikace. Termín: 12/2015</w:t>
            </w:r>
          </w:p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Výstup 10: Zprovoznění komplexu celkem 10 nových horkých komor - 8 komor pro výzkumný program SSD a 2 komory pro program JPC. Všechny komory budou umístěny v objektu 254. Termín: 12/2015.</w:t>
            </w:r>
          </w:p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Výstup 11: Zprovoznění prototypu vysokoteplotní technologie zneškodňování RAO s minimálně dvojnásobným redukčním faktorem objemu oproti v současnosti používaným postupům na českých jaderných elektrárnách (JE). Termín 12/2015.</w:t>
            </w:r>
          </w:p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Výstup 12 Zprovoznění technologické linky FERDA 2 pro práci s modelovým palivem (dokončení procesu licencování). Termín: 12/2016.</w:t>
            </w:r>
          </w:p>
          <w:p w:rsidR="00EE5B77" w:rsidRPr="00FE2D61" w:rsidRDefault="00EE5B77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 xml:space="preserve">Další výstupy a výsledky jsou popsány v oddílu II. u jednotlivých výzkumných programů 1-4. </w:t>
            </w:r>
          </w:p>
          <w:p w:rsidR="001F7588" w:rsidRDefault="001F7588" w:rsidP="00EE5B77">
            <w:pPr>
              <w:spacing w:before="60" w:after="60" w:line="240" w:lineRule="auto"/>
              <w:rPr>
                <w:rFonts w:cs="Times New Roman"/>
                <w:b/>
                <w:szCs w:val="24"/>
              </w:rPr>
            </w:pPr>
          </w:p>
          <w:p w:rsidR="001F7588" w:rsidRDefault="001F7588" w:rsidP="00EE5B77">
            <w:pPr>
              <w:spacing w:before="60" w:after="60" w:line="240" w:lineRule="auto"/>
              <w:rPr>
                <w:rFonts w:cs="Times New Roman"/>
                <w:b/>
                <w:szCs w:val="24"/>
              </w:rPr>
            </w:pPr>
          </w:p>
          <w:p w:rsidR="001F7588" w:rsidRDefault="001F7588" w:rsidP="00EE5B77">
            <w:pPr>
              <w:spacing w:before="60" w:after="60" w:line="240" w:lineRule="auto"/>
              <w:rPr>
                <w:rFonts w:cs="Times New Roman"/>
                <w:b/>
                <w:szCs w:val="24"/>
              </w:rPr>
            </w:pPr>
          </w:p>
          <w:p w:rsidR="00FE2D61" w:rsidRPr="00FE2D61" w:rsidRDefault="00FE2D61" w:rsidP="00EE5B77">
            <w:pPr>
              <w:spacing w:before="60" w:after="60" w:line="240" w:lineRule="auto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Monitorovací indikátory:</w:t>
            </w:r>
          </w:p>
          <w:tbl>
            <w:tblPr>
              <w:tblW w:w="81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39"/>
              <w:gridCol w:w="887"/>
              <w:gridCol w:w="3765"/>
              <w:gridCol w:w="1306"/>
              <w:gridCol w:w="887"/>
            </w:tblGrid>
            <w:tr w:rsidR="002850B8" w:rsidRPr="00FE2D61" w:rsidTr="00EE5B77">
              <w:trPr>
                <w:trHeight w:val="1455"/>
              </w:trPr>
              <w:tc>
                <w:tcPr>
                  <w:tcW w:w="1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Kód indikátoru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Prioritní osa</w:t>
                  </w:r>
                </w:p>
              </w:tc>
              <w:tc>
                <w:tcPr>
                  <w:tcW w:w="41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Indikátor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k 30.</w:t>
                  </w:r>
                  <w:r w:rsidR="0082306C" w:rsidRPr="00FE2D61">
                    <w:rPr>
                      <w:rFonts w:eastAsia="Times New Roman" w:cs="Times New Roman"/>
                      <w:szCs w:val="24"/>
                      <w:lang w:eastAsia="cs-CZ"/>
                    </w:rPr>
                    <w:t xml:space="preserve"> </w:t>
                  </w: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9.</w:t>
                  </w:r>
                  <w:r w:rsidR="0082306C" w:rsidRPr="00FE2D61">
                    <w:rPr>
                      <w:rFonts w:eastAsia="Times New Roman" w:cs="Times New Roman"/>
                      <w:szCs w:val="24"/>
                      <w:lang w:eastAsia="cs-CZ"/>
                    </w:rPr>
                    <w:t xml:space="preserve"> </w:t>
                  </w: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2014 (poslední schválená monitorovací zpráva)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2015</w:t>
                  </w:r>
                </w:p>
              </w:tc>
            </w:tr>
            <w:tr w:rsidR="002850B8" w:rsidRPr="00FE2D61" w:rsidTr="00EE5B77">
              <w:trPr>
                <w:trHeight w:val="300"/>
              </w:trPr>
              <w:tc>
                <w:tcPr>
                  <w:tcW w:w="1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</w:p>
              </w:tc>
              <w:tc>
                <w:tcPr>
                  <w:tcW w:w="41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plán</w:t>
                  </w:r>
                </w:p>
              </w:tc>
            </w:tr>
            <w:tr w:rsidR="002850B8" w:rsidRPr="00FE2D61" w:rsidTr="00EE5B77">
              <w:trPr>
                <w:trHeight w:val="78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110815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 2</w:t>
                  </w:r>
                </w:p>
              </w:tc>
              <w:tc>
                <w:tcPr>
                  <w:tcW w:w="4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19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55</w:t>
                  </w:r>
                </w:p>
              </w:tc>
            </w:tr>
            <w:tr w:rsidR="002850B8" w:rsidRPr="00FE2D61" w:rsidTr="00EE5B77">
              <w:trPr>
                <w:trHeight w:val="525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110300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 1 / 2</w:t>
                  </w:r>
                </w:p>
              </w:tc>
              <w:tc>
                <w:tcPr>
                  <w:tcW w:w="4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82306C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FE2D61">
                    <w:rPr>
                      <w:rFonts w:eastAsia="Times New Roman" w:cs="Times New Roman"/>
                      <w:szCs w:val="24"/>
                      <w:lang w:eastAsia="cs-CZ"/>
                    </w:rPr>
                    <w:t xml:space="preserve">Počet nově vytvořených </w:t>
                  </w:r>
                  <w:r w:rsidR="00EE5B77"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 xml:space="preserve">pracovních míst, zaměstnanci VaV - celkem 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92,558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128</w:t>
                  </w:r>
                </w:p>
              </w:tc>
            </w:tr>
            <w:tr w:rsidR="002850B8" w:rsidRPr="00FE2D61" w:rsidTr="00EE5B77">
              <w:trPr>
                <w:trHeight w:val="525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071700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 1 / 2</w:t>
                  </w:r>
                </w:p>
              </w:tc>
              <w:tc>
                <w:tcPr>
                  <w:tcW w:w="4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53,747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71</w:t>
                  </w:r>
                </w:p>
              </w:tc>
            </w:tr>
            <w:tr w:rsidR="002850B8" w:rsidRPr="00FE2D61" w:rsidTr="00EE5B77">
              <w:trPr>
                <w:trHeight w:val="525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071900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 1 / 2</w:t>
                  </w:r>
                </w:p>
              </w:tc>
              <w:tc>
                <w:tcPr>
                  <w:tcW w:w="4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31,481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25</w:t>
                  </w:r>
                </w:p>
              </w:tc>
            </w:tr>
            <w:tr w:rsidR="002850B8" w:rsidRPr="00FE2D61" w:rsidTr="00EE5B77">
              <w:trPr>
                <w:trHeight w:val="525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074901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 2</w:t>
                  </w:r>
                </w:p>
              </w:tc>
              <w:tc>
                <w:tcPr>
                  <w:tcW w:w="4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8</w:t>
                  </w:r>
                </w:p>
              </w:tc>
            </w:tr>
            <w:tr w:rsidR="002850B8" w:rsidRPr="00FE2D61" w:rsidTr="00EE5B77">
              <w:trPr>
                <w:trHeight w:val="525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074902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 1 / 2</w:t>
                  </w:r>
                </w:p>
              </w:tc>
              <w:tc>
                <w:tcPr>
                  <w:tcW w:w="4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 </w:t>
                  </w:r>
                  <w:r w:rsidR="000426F8" w:rsidRPr="00FE2D61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1</w:t>
                  </w:r>
                </w:p>
              </w:tc>
            </w:tr>
            <w:tr w:rsidR="002850B8" w:rsidRPr="00FE2D61" w:rsidTr="00EE5B77">
              <w:trPr>
                <w:trHeight w:val="375"/>
              </w:trPr>
              <w:tc>
                <w:tcPr>
                  <w:tcW w:w="10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110502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 1 / 2</w:t>
                  </w:r>
                </w:p>
              </w:tc>
              <w:tc>
                <w:tcPr>
                  <w:tcW w:w="4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Publikace (impaktované časopisy) (Jimp)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25</w:t>
                  </w:r>
                </w:p>
              </w:tc>
            </w:tr>
            <w:tr w:rsidR="002850B8" w:rsidRPr="00FE2D61" w:rsidTr="00EE5B77">
              <w:trPr>
                <w:trHeight w:val="375"/>
              </w:trPr>
              <w:tc>
                <w:tcPr>
                  <w:tcW w:w="10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</w:p>
              </w:tc>
              <w:tc>
                <w:tcPr>
                  <w:tcW w:w="4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Publikace (ostatní)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43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95</w:t>
                  </w:r>
                </w:p>
              </w:tc>
            </w:tr>
            <w:tr w:rsidR="002850B8" w:rsidRPr="00EE5B77" w:rsidTr="00EE5B77">
              <w:trPr>
                <w:trHeight w:val="375"/>
              </w:trPr>
              <w:tc>
                <w:tcPr>
                  <w:tcW w:w="10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</w:p>
              </w:tc>
              <w:tc>
                <w:tcPr>
                  <w:tcW w:w="4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Odborné publikace</w:t>
                  </w:r>
                  <w:r w:rsidRPr="00EE5B77">
                    <w:rPr>
                      <w:rFonts w:eastAsia="Times New Roman" w:cs="Times New Roman"/>
                      <w:szCs w:val="24"/>
                      <w:vertAlign w:val="superscript"/>
                      <w:lang w:eastAsia="cs-CZ"/>
                    </w:rPr>
                    <w:t xml:space="preserve"> 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54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120</w:t>
                  </w:r>
                </w:p>
              </w:tc>
            </w:tr>
            <w:tr w:rsidR="002850B8" w:rsidRPr="00FE2D61" w:rsidTr="00EE5B77">
              <w:trPr>
                <w:trHeight w:val="300"/>
              </w:trPr>
              <w:tc>
                <w:tcPr>
                  <w:tcW w:w="10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110503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 1 / 2</w:t>
                  </w:r>
                </w:p>
              </w:tc>
              <w:tc>
                <w:tcPr>
                  <w:tcW w:w="4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Patenty (národní)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 </w:t>
                  </w:r>
                  <w:r w:rsidR="000426F8" w:rsidRPr="00FE2D61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1</w:t>
                  </w:r>
                </w:p>
              </w:tc>
            </w:tr>
            <w:tr w:rsidR="002850B8" w:rsidRPr="00FE2D61" w:rsidTr="00EE5B77">
              <w:trPr>
                <w:trHeight w:val="525"/>
              </w:trPr>
              <w:tc>
                <w:tcPr>
                  <w:tcW w:w="10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</w:p>
              </w:tc>
              <w:tc>
                <w:tcPr>
                  <w:tcW w:w="4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Patenty (mezinárodní, triadické (EU, US, Japonsko))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0426F8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FE2D61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0</w:t>
                  </w:r>
                  <w:r w:rsidR="00EE5B77"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0426F8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FE2D61">
                    <w:rPr>
                      <w:rFonts w:eastAsia="Times New Roman" w:cs="Times New Roman"/>
                      <w:szCs w:val="24"/>
                      <w:lang w:eastAsia="cs-CZ"/>
                    </w:rPr>
                    <w:t>0</w:t>
                  </w:r>
                </w:p>
              </w:tc>
            </w:tr>
            <w:tr w:rsidR="002850B8" w:rsidRPr="00FE2D61" w:rsidTr="00EE5B77">
              <w:trPr>
                <w:trHeight w:val="675"/>
              </w:trPr>
              <w:tc>
                <w:tcPr>
                  <w:tcW w:w="10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</w:p>
              </w:tc>
              <w:tc>
                <w:tcPr>
                  <w:tcW w:w="4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Výsledky výzkumu chráněné na základě zvláštního právního předpisu</w:t>
                  </w:r>
                  <w:r w:rsidRPr="00EE5B77">
                    <w:rPr>
                      <w:rFonts w:eastAsia="Times New Roman" w:cs="Times New Roman"/>
                      <w:szCs w:val="24"/>
                      <w:vertAlign w:val="superscript"/>
                      <w:lang w:eastAsia="cs-CZ"/>
                    </w:rPr>
                    <w:t xml:space="preserve"> 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 </w:t>
                  </w:r>
                  <w:r w:rsidR="000426F8" w:rsidRPr="00FE2D61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1</w:t>
                  </w:r>
                </w:p>
              </w:tc>
            </w:tr>
            <w:tr w:rsidR="002850B8" w:rsidRPr="00FE2D61" w:rsidTr="00EE5B77">
              <w:trPr>
                <w:trHeight w:val="525"/>
              </w:trPr>
              <w:tc>
                <w:tcPr>
                  <w:tcW w:w="10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110504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 1 / 2</w:t>
                  </w:r>
                </w:p>
              </w:tc>
              <w:tc>
                <w:tcPr>
                  <w:tcW w:w="4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Poloprovoz, ověřená technologie, odrůda … (Z, T)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 </w:t>
                  </w:r>
                  <w:r w:rsidR="000426F8" w:rsidRPr="00FE2D61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4</w:t>
                  </w:r>
                </w:p>
              </w:tc>
            </w:tr>
            <w:tr w:rsidR="002850B8" w:rsidRPr="00FE2D61" w:rsidTr="00EE5B77">
              <w:trPr>
                <w:trHeight w:val="300"/>
              </w:trPr>
              <w:tc>
                <w:tcPr>
                  <w:tcW w:w="10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</w:p>
              </w:tc>
              <w:tc>
                <w:tcPr>
                  <w:tcW w:w="4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Prototyp, metodika, užitný a prům. vzor, ... (S)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 </w:t>
                  </w:r>
                  <w:r w:rsidR="000426F8" w:rsidRPr="00FE2D61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5</w:t>
                  </w:r>
                </w:p>
              </w:tc>
            </w:tr>
            <w:tr w:rsidR="002850B8" w:rsidRPr="00FE2D61" w:rsidTr="00EE5B77">
              <w:trPr>
                <w:trHeight w:val="375"/>
              </w:trPr>
              <w:tc>
                <w:tcPr>
                  <w:tcW w:w="10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</w:p>
              </w:tc>
              <w:tc>
                <w:tcPr>
                  <w:tcW w:w="4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 xml:space="preserve">Aplikované výsledky výzkumu </w:t>
                  </w:r>
                  <w:r w:rsidRPr="00EE5B77">
                    <w:rPr>
                      <w:rFonts w:eastAsia="Times New Roman" w:cs="Times New Roman"/>
                      <w:szCs w:val="24"/>
                      <w:vertAlign w:val="superscript"/>
                      <w:lang w:eastAsia="cs-CZ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0426F8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FE2D61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0</w:t>
                  </w:r>
                  <w:r w:rsidR="00EE5B77"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9</w:t>
                  </w:r>
                </w:p>
              </w:tc>
            </w:tr>
            <w:tr w:rsidR="002850B8" w:rsidRPr="00FE2D61" w:rsidTr="00EE5B77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111200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 1 / 2</w:t>
                  </w:r>
                </w:p>
              </w:tc>
              <w:tc>
                <w:tcPr>
                  <w:tcW w:w="4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Objem smluvního výzkumu (tis. CZK)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 </w:t>
                  </w:r>
                  <w:r w:rsidR="000426F8" w:rsidRPr="00FE2D61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31000</w:t>
                  </w:r>
                </w:p>
              </w:tc>
            </w:tr>
            <w:tr w:rsidR="002850B8" w:rsidRPr="00FE2D61" w:rsidTr="00EE5B77">
              <w:trPr>
                <w:trHeight w:val="525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110720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 2</w:t>
                  </w:r>
                </w:p>
              </w:tc>
              <w:tc>
                <w:tcPr>
                  <w:tcW w:w="4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Počet projektů spolupráce aplikační sféry s regionálními VaV centry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 </w:t>
                  </w:r>
                  <w:r w:rsidR="000426F8" w:rsidRPr="00FE2D61">
                    <w:rPr>
                      <w:rFonts w:eastAsia="Times New Roman" w:cs="Times New Roman"/>
                      <w:color w:val="000000"/>
                      <w:szCs w:val="24"/>
                      <w:lang w:eastAsia="cs-CZ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5B77" w:rsidRPr="00EE5B77" w:rsidRDefault="00EE5B77" w:rsidP="00296C86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cs-CZ"/>
                    </w:rPr>
                  </w:pPr>
                  <w:r w:rsidRPr="00EE5B77">
                    <w:rPr>
                      <w:rFonts w:eastAsia="Times New Roman" w:cs="Times New Roman"/>
                      <w:szCs w:val="24"/>
                      <w:lang w:eastAsia="cs-CZ"/>
                    </w:rPr>
                    <w:t>15</w:t>
                  </w:r>
                </w:p>
              </w:tc>
            </w:tr>
          </w:tbl>
          <w:p w:rsidR="00EE5B77" w:rsidRPr="00FE2D61" w:rsidRDefault="00EE5B77" w:rsidP="00EE5B77">
            <w:pPr>
              <w:spacing w:before="60" w:after="60" w:line="240" w:lineRule="auto"/>
              <w:rPr>
                <w:rFonts w:cs="Times New Roman"/>
                <w:szCs w:val="24"/>
              </w:rPr>
            </w:pPr>
          </w:p>
        </w:tc>
      </w:tr>
    </w:tbl>
    <w:p w:rsidR="005C7876" w:rsidRDefault="005C7876">
      <w:r>
        <w:lastRenderedPageBreak/>
        <w:br w:type="page"/>
      </w:r>
    </w:p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1616"/>
        <w:gridCol w:w="511"/>
        <w:gridCol w:w="2728"/>
        <w:gridCol w:w="1089"/>
        <w:gridCol w:w="3662"/>
      </w:tblGrid>
      <w:tr w:rsidR="00235AE1" w:rsidRPr="00FE2D61" w:rsidTr="005C7876">
        <w:tc>
          <w:tcPr>
            <w:tcW w:w="9606" w:type="dxa"/>
            <w:gridSpan w:val="5"/>
            <w:shd w:val="clear" w:color="auto" w:fill="595959" w:themeFill="text1" w:themeFillTint="A6"/>
          </w:tcPr>
          <w:p w:rsidR="00235AE1" w:rsidRPr="00FE2D61" w:rsidRDefault="0004245B" w:rsidP="00A431A3">
            <w:pPr>
              <w:spacing w:before="60" w:after="60" w:line="240" w:lineRule="auto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FE2D61">
              <w:rPr>
                <w:rFonts w:cs="Times New Roman"/>
                <w:b/>
                <w:noProof/>
                <w:color w:val="FFFFFF" w:themeColor="background1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608F42" wp14:editId="2164BA1C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0426F8">
                                    <w:rPr>
                                      <w:sz w:val="18"/>
                                      <w:szCs w:val="18"/>
                                    </w:rPr>
                                    <w:t xml:space="preserve"> 5. 2. 2015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0426F8">
                              <w:rPr>
                                <w:sz w:val="18"/>
                                <w:szCs w:val="18"/>
                              </w:rPr>
                              <w:t xml:space="preserve"> 5. 2. 2015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FE2D61">
              <w:rPr>
                <w:rFonts w:cs="Times New Roman"/>
                <w:b/>
                <w:color w:val="FFFFFF" w:themeColor="background1"/>
                <w:szCs w:val="24"/>
              </w:rPr>
              <w:t>Aktuální stav realizace projektu</w:t>
            </w:r>
          </w:p>
        </w:tc>
      </w:tr>
      <w:tr w:rsidR="002850B8" w:rsidRPr="00FE2D61" w:rsidTr="00573B4D">
        <w:trPr>
          <w:trHeight w:val="847"/>
        </w:trPr>
        <w:tc>
          <w:tcPr>
            <w:tcW w:w="1616" w:type="dxa"/>
          </w:tcPr>
          <w:p w:rsidR="00F9010E" w:rsidRPr="00FE2D61" w:rsidRDefault="00F9010E" w:rsidP="00C92258">
            <w:pPr>
              <w:spacing w:before="60" w:after="60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Statutární orgán projektu</w:t>
            </w:r>
          </w:p>
        </w:tc>
        <w:tc>
          <w:tcPr>
            <w:tcW w:w="3239" w:type="dxa"/>
            <w:gridSpan w:val="2"/>
          </w:tcPr>
          <w:p w:rsidR="00F9010E" w:rsidRPr="00FE2D61" w:rsidRDefault="00002DBE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 xml:space="preserve">Jméno a </w:t>
            </w:r>
            <w:r w:rsidR="00F9010E" w:rsidRPr="00FE2D61">
              <w:rPr>
                <w:rFonts w:cs="Times New Roman"/>
                <w:szCs w:val="24"/>
              </w:rPr>
              <w:t xml:space="preserve">pracovní </w:t>
            </w:r>
            <w:r w:rsidRPr="00FE2D61">
              <w:rPr>
                <w:rFonts w:cs="Times New Roman"/>
                <w:szCs w:val="24"/>
              </w:rPr>
              <w:t>pozice:</w:t>
            </w:r>
          </w:p>
          <w:p w:rsidR="000426F8" w:rsidRDefault="000426F8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Ing. Jan Rábl – jednatel, zástupce ředitele</w:t>
            </w:r>
            <w:r w:rsidR="001F7588">
              <w:rPr>
                <w:rFonts w:cs="Times New Roman"/>
                <w:szCs w:val="24"/>
              </w:rPr>
              <w:t>,</w:t>
            </w:r>
          </w:p>
          <w:p w:rsidR="001F7588" w:rsidRPr="00FE2D61" w:rsidRDefault="001F7588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0426F8" w:rsidRDefault="000426F8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Ing. Jiří Richter – jednatel</w:t>
            </w:r>
            <w:r w:rsidR="00FE2D61">
              <w:rPr>
                <w:rFonts w:cs="Times New Roman"/>
                <w:szCs w:val="24"/>
              </w:rPr>
              <w:t>,</w:t>
            </w:r>
          </w:p>
          <w:p w:rsidR="001F7588" w:rsidRPr="00FE2D61" w:rsidRDefault="001F7588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0426F8" w:rsidRPr="00FE2D61" w:rsidRDefault="000426F8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Ing. Martin Ruščák, CSc., MBA – jednatel, ředitel</w:t>
            </w:r>
          </w:p>
        </w:tc>
        <w:tc>
          <w:tcPr>
            <w:tcW w:w="4751" w:type="dxa"/>
            <w:gridSpan w:val="2"/>
          </w:tcPr>
          <w:p w:rsidR="00F9010E" w:rsidRPr="00FE2D61" w:rsidRDefault="00F9010E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Instituce</w:t>
            </w:r>
            <w:r w:rsidR="00002DBE" w:rsidRPr="00FE2D61">
              <w:rPr>
                <w:rFonts w:cs="Times New Roman"/>
                <w:szCs w:val="24"/>
              </w:rPr>
              <w:t>:</w:t>
            </w:r>
            <w:r w:rsidR="000426F8" w:rsidRPr="00FE2D61">
              <w:rPr>
                <w:rFonts w:cs="Times New Roman"/>
                <w:szCs w:val="24"/>
              </w:rPr>
              <w:t xml:space="preserve"> Centrum výzkumu Řež, s.r.o.</w:t>
            </w:r>
          </w:p>
        </w:tc>
      </w:tr>
      <w:tr w:rsidR="002850B8" w:rsidRPr="00FE2D61" w:rsidTr="00573B4D">
        <w:trPr>
          <w:trHeight w:val="1009"/>
        </w:trPr>
        <w:tc>
          <w:tcPr>
            <w:tcW w:w="1616" w:type="dxa"/>
          </w:tcPr>
          <w:p w:rsidR="00002DBE" w:rsidRPr="00FE2D61" w:rsidRDefault="00002DBE" w:rsidP="00C92258">
            <w:pPr>
              <w:spacing w:before="60" w:after="60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Kontaktní osoba projektu</w:t>
            </w:r>
          </w:p>
        </w:tc>
        <w:tc>
          <w:tcPr>
            <w:tcW w:w="7990" w:type="dxa"/>
            <w:gridSpan w:val="4"/>
          </w:tcPr>
          <w:p w:rsidR="00FE2D61" w:rsidRDefault="00002DBE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Vedoucí projektu (jméno a pracovní pozice)</w:t>
            </w:r>
            <w:r w:rsidR="000426F8" w:rsidRPr="00FE2D61">
              <w:rPr>
                <w:rFonts w:cs="Times New Roman"/>
                <w:szCs w:val="24"/>
              </w:rPr>
              <w:t xml:space="preserve">: </w:t>
            </w:r>
          </w:p>
          <w:p w:rsidR="000426F8" w:rsidRPr="00FE2D61" w:rsidRDefault="000426F8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Ing. Jiří Richter – hlavní projektový manažer</w:t>
            </w:r>
          </w:p>
          <w:p w:rsidR="00002DBE" w:rsidRPr="00FE2D61" w:rsidRDefault="00002DBE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FE2D61" w:rsidRDefault="00002DBE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Ekonom</w:t>
            </w:r>
            <w:r w:rsidR="000426F8" w:rsidRPr="00FE2D61">
              <w:rPr>
                <w:rFonts w:cs="Times New Roman"/>
                <w:szCs w:val="24"/>
              </w:rPr>
              <w:t xml:space="preserve">: </w:t>
            </w:r>
          </w:p>
          <w:p w:rsidR="000426F8" w:rsidRPr="00FE2D61" w:rsidRDefault="000426F8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Ing. Petra Ježdíková</w:t>
            </w:r>
          </w:p>
        </w:tc>
      </w:tr>
      <w:tr w:rsidR="002850B8" w:rsidRPr="00FE2D61" w:rsidTr="00573B4D">
        <w:trPr>
          <w:trHeight w:val="843"/>
        </w:trPr>
        <w:tc>
          <w:tcPr>
            <w:tcW w:w="1616" w:type="dxa"/>
          </w:tcPr>
          <w:p w:rsidR="0004245B" w:rsidRPr="00FE2D61" w:rsidRDefault="0004245B" w:rsidP="00C92258">
            <w:pPr>
              <w:spacing w:before="60" w:after="60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Klíčové</w:t>
            </w:r>
            <w:r w:rsidR="00AF6EBB" w:rsidRPr="00FE2D61">
              <w:rPr>
                <w:rFonts w:cs="Times New Roman"/>
                <w:b/>
                <w:szCs w:val="24"/>
              </w:rPr>
              <w:t xml:space="preserve"> schválené</w:t>
            </w:r>
            <w:r w:rsidRPr="00FE2D61">
              <w:rPr>
                <w:rFonts w:cs="Times New Roman"/>
                <w:b/>
                <w:szCs w:val="24"/>
              </w:rPr>
              <w:t xml:space="preserve"> změny projektu</w:t>
            </w:r>
          </w:p>
        </w:tc>
        <w:tc>
          <w:tcPr>
            <w:tcW w:w="4328" w:type="dxa"/>
            <w:gridSpan w:val="3"/>
          </w:tcPr>
          <w:p w:rsidR="0004245B" w:rsidRPr="00FE2D61" w:rsidRDefault="0004245B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Stručný popis</w:t>
            </w:r>
          </w:p>
          <w:p w:rsidR="00575D74" w:rsidRPr="00FE2D61" w:rsidRDefault="00575D7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1) personální změny</w:t>
            </w:r>
            <w:r w:rsidR="00296C86">
              <w:rPr>
                <w:rFonts w:cs="Times New Roman"/>
                <w:szCs w:val="24"/>
              </w:rPr>
              <w:t xml:space="preserve"> -</w:t>
            </w:r>
            <w:r w:rsidR="00F53F73" w:rsidRPr="00FE2D61">
              <w:rPr>
                <w:rFonts w:cs="Times New Roman"/>
                <w:szCs w:val="24"/>
              </w:rPr>
              <w:t xml:space="preserve"> </w:t>
            </w:r>
            <w:r w:rsidR="00296C86">
              <w:rPr>
                <w:rFonts w:cs="Times New Roman"/>
                <w:szCs w:val="24"/>
              </w:rPr>
              <w:t xml:space="preserve">na </w:t>
            </w:r>
            <w:proofErr w:type="gramStart"/>
            <w:r w:rsidRPr="00FE2D61">
              <w:rPr>
                <w:rFonts w:cs="Times New Roman"/>
                <w:szCs w:val="24"/>
              </w:rPr>
              <w:t>senior</w:t>
            </w:r>
            <w:proofErr w:type="gramEnd"/>
            <w:r w:rsidRPr="00FE2D61">
              <w:rPr>
                <w:rFonts w:cs="Times New Roman"/>
                <w:szCs w:val="24"/>
              </w:rPr>
              <w:t xml:space="preserve"> researcher u</w:t>
            </w:r>
            <w:r w:rsidR="00DC3E84" w:rsidRPr="00FE2D61">
              <w:rPr>
                <w:rFonts w:cs="Times New Roman"/>
                <w:szCs w:val="24"/>
              </w:rPr>
              <w:t xml:space="preserve"> výzkumných programů 1 a 4</w:t>
            </w:r>
            <w:r w:rsidR="00F53F73" w:rsidRPr="00FE2D61">
              <w:rPr>
                <w:rFonts w:cs="Times New Roman"/>
                <w:szCs w:val="24"/>
              </w:rPr>
              <w:t>,</w:t>
            </w: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DC3E84" w:rsidRDefault="00575D7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2) personální změna</w:t>
            </w:r>
            <w:r w:rsidR="00296C86">
              <w:rPr>
                <w:rFonts w:cs="Times New Roman"/>
                <w:szCs w:val="24"/>
              </w:rPr>
              <w:t xml:space="preserve"> - </w:t>
            </w:r>
            <w:r w:rsidRPr="00FE2D61">
              <w:rPr>
                <w:rFonts w:cs="Times New Roman"/>
                <w:szCs w:val="24"/>
              </w:rPr>
              <w:t>hlavní manažer projektu</w:t>
            </w:r>
            <w:r w:rsidR="00296C86">
              <w:rPr>
                <w:rFonts w:cs="Times New Roman"/>
                <w:szCs w:val="24"/>
              </w:rPr>
              <w:t>,</w:t>
            </w:r>
          </w:p>
          <w:p w:rsidR="00296C86" w:rsidRPr="00FE2D61" w:rsidRDefault="00296C86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B840EA" w:rsidRPr="00FE2D61" w:rsidRDefault="00B840EA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3) personální změna</w:t>
            </w:r>
            <w:r w:rsidR="00296C86">
              <w:rPr>
                <w:rFonts w:cs="Times New Roman"/>
                <w:szCs w:val="24"/>
              </w:rPr>
              <w:t xml:space="preserve"> -</w:t>
            </w:r>
            <w:r w:rsidRPr="00FE2D61">
              <w:rPr>
                <w:rFonts w:cs="Times New Roman"/>
                <w:szCs w:val="24"/>
              </w:rPr>
              <w:t xml:space="preserve"> senior </w:t>
            </w:r>
            <w:proofErr w:type="spellStart"/>
            <w:r w:rsidRPr="00FE2D61">
              <w:rPr>
                <w:rFonts w:cs="Times New Roman"/>
                <w:szCs w:val="24"/>
              </w:rPr>
              <w:t>researcher</w:t>
            </w:r>
            <w:proofErr w:type="spellEnd"/>
            <w:r w:rsidRPr="00FE2D61">
              <w:rPr>
                <w:rFonts w:cs="Times New Roman"/>
                <w:szCs w:val="24"/>
              </w:rPr>
              <w:t xml:space="preserve"> u výzkumného programu 1 – doplnění týmu,</w:t>
            </w: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B840EA" w:rsidRPr="00FE2D61" w:rsidRDefault="00296C86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4) z</w:t>
            </w:r>
            <w:r w:rsidR="00B840EA" w:rsidRPr="00FE2D61">
              <w:rPr>
                <w:rFonts w:cs="Times New Roman"/>
                <w:szCs w:val="24"/>
              </w:rPr>
              <w:t>měna zahájení stavebních prací v lokalitách Husinec-Ře</w:t>
            </w:r>
            <w:r w:rsidR="00F53F73" w:rsidRPr="00FE2D61">
              <w:rPr>
                <w:rFonts w:cs="Times New Roman"/>
                <w:szCs w:val="24"/>
              </w:rPr>
              <w:t>ž a Plzeň z III/2012 na IV/2012,</w:t>
            </w: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B840EA" w:rsidRPr="00FE2D61" w:rsidRDefault="00DC3E8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 xml:space="preserve">5) personální změna </w:t>
            </w:r>
            <w:r w:rsidR="00296C86">
              <w:rPr>
                <w:rFonts w:cs="Times New Roman"/>
                <w:szCs w:val="24"/>
              </w:rPr>
              <w:t>- vedoucí</w:t>
            </w:r>
            <w:r w:rsidRPr="00FE2D61">
              <w:rPr>
                <w:rFonts w:cs="Times New Roman"/>
                <w:szCs w:val="24"/>
              </w:rPr>
              <w:t xml:space="preserve"> výzkumného programu 2,</w:t>
            </w: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DC3E84" w:rsidRPr="00FE2D61" w:rsidRDefault="00DC3E8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6) personální změna</w:t>
            </w:r>
            <w:r w:rsidR="00296C86">
              <w:rPr>
                <w:rFonts w:cs="Times New Roman"/>
                <w:szCs w:val="24"/>
              </w:rPr>
              <w:t xml:space="preserve"> -</w:t>
            </w:r>
            <w:r w:rsidRPr="00FE2D61">
              <w:rPr>
                <w:rFonts w:cs="Times New Roman"/>
                <w:szCs w:val="24"/>
              </w:rPr>
              <w:t xml:space="preserve"> senior </w:t>
            </w:r>
            <w:proofErr w:type="spellStart"/>
            <w:r w:rsidRPr="00FE2D61">
              <w:rPr>
                <w:rFonts w:cs="Times New Roman"/>
                <w:szCs w:val="24"/>
              </w:rPr>
              <w:t>researcher</w:t>
            </w:r>
            <w:proofErr w:type="spellEnd"/>
            <w:r w:rsidRPr="00FE2D61">
              <w:rPr>
                <w:rFonts w:cs="Times New Roman"/>
                <w:szCs w:val="24"/>
              </w:rPr>
              <w:t xml:space="preserve"> – Ing. Slavomír Entler schválený s podmínkou (min. 6 publikací v časopisech s </w:t>
            </w:r>
            <w:proofErr w:type="gramStart"/>
            <w:r w:rsidRPr="00FE2D61">
              <w:rPr>
                <w:rFonts w:cs="Times New Roman"/>
                <w:szCs w:val="24"/>
              </w:rPr>
              <w:t>impakt</w:t>
            </w:r>
            <w:proofErr w:type="gramEnd"/>
            <w:r w:rsidRPr="00FE2D61">
              <w:rPr>
                <w:rFonts w:cs="Times New Roman"/>
                <w:szCs w:val="24"/>
              </w:rPr>
              <w:t xml:space="preserve"> faktorem do 31. 12. 2016),</w:t>
            </w: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DC3E84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7) personální změna – výzkumný program 1 – nový senior researcher, výzkumný program 2 – přechod jednoho ze zaměstnanců z pozice junior researcher na pozici senior researcher,</w:t>
            </w: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F53F73" w:rsidRPr="00FE2D61" w:rsidRDefault="00296C86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8) e</w:t>
            </w:r>
            <w:r w:rsidR="00F53F73" w:rsidRPr="00FE2D61">
              <w:rPr>
                <w:rFonts w:cs="Times New Roman"/>
                <w:szCs w:val="24"/>
              </w:rPr>
              <w:t xml:space="preserve">xperimentální heliová smyčka Řež (úprava teploty pro zkoušky materiálů komponent uvnitř reaktorů) – </w:t>
            </w:r>
            <w:r>
              <w:rPr>
                <w:rFonts w:cs="Times New Roman"/>
                <w:szCs w:val="24"/>
              </w:rPr>
              <w:t>s</w:t>
            </w:r>
            <w:r w:rsidR="00F53F73" w:rsidRPr="00FE2D61">
              <w:rPr>
                <w:rFonts w:cs="Times New Roman"/>
                <w:szCs w:val="24"/>
              </w:rPr>
              <w:t>nížení teploty z 1000°C na 900°C ve výzkumném programu 1, cíl 3: vybudování experimentálních okruhů s vysokoteplotním heliem o možnosti zkoušek materiálů pro vnitroreaktorové komponenty, je reflexí současného výzkumu a vývoje materiálů, které dosud neumožňují realizaci zařízení s odolností na tak vysoké teploty,</w:t>
            </w: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F53F73" w:rsidRPr="00FE2D61" w:rsidRDefault="00296C86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9) p</w:t>
            </w:r>
            <w:r w:rsidR="00F53F73" w:rsidRPr="00FE2D61">
              <w:rPr>
                <w:rFonts w:cs="Times New Roman"/>
                <w:szCs w:val="24"/>
              </w:rPr>
              <w:t>řesun finančních prostředků v rámci přípravné fáze projektu z kapitoly 7.2 a 7.3 rozpočtu do kapitoly 4.1.,</w:t>
            </w: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10) personální změna</w:t>
            </w:r>
            <w:r w:rsidR="00296C86">
              <w:rPr>
                <w:rFonts w:cs="Times New Roman"/>
                <w:szCs w:val="24"/>
              </w:rPr>
              <w:t xml:space="preserve"> -</w:t>
            </w:r>
            <w:r w:rsidRPr="00FE2D61">
              <w:rPr>
                <w:rFonts w:cs="Times New Roman"/>
                <w:szCs w:val="24"/>
              </w:rPr>
              <w:t xml:space="preserve"> obsazení pozice manažera pro aplikaci VaV,</w:t>
            </w: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10) personální změna</w:t>
            </w:r>
            <w:r w:rsidR="00296C86">
              <w:rPr>
                <w:rFonts w:cs="Times New Roman"/>
                <w:szCs w:val="24"/>
              </w:rPr>
              <w:t xml:space="preserve"> - senior </w:t>
            </w:r>
            <w:proofErr w:type="spellStart"/>
            <w:r w:rsidR="00296C86">
              <w:rPr>
                <w:rFonts w:cs="Times New Roman"/>
                <w:szCs w:val="24"/>
              </w:rPr>
              <w:t>reseacher</w:t>
            </w:r>
            <w:proofErr w:type="spellEnd"/>
            <w:r w:rsidRPr="00FE2D61">
              <w:rPr>
                <w:rFonts w:cs="Times New Roman"/>
                <w:szCs w:val="24"/>
              </w:rPr>
              <w:t xml:space="preserve"> u partnera</w:t>
            </w:r>
            <w:r w:rsidR="00296C86">
              <w:rPr>
                <w:rFonts w:cs="Times New Roman"/>
                <w:szCs w:val="24"/>
              </w:rPr>
              <w:t xml:space="preserve"> projektu</w:t>
            </w:r>
            <w:r w:rsidRPr="00FE2D61">
              <w:rPr>
                <w:rFonts w:cs="Times New Roman"/>
                <w:szCs w:val="24"/>
              </w:rPr>
              <w:t>,</w:t>
            </w: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F53F73" w:rsidRPr="00FE2D61" w:rsidRDefault="00296C86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11) v</w:t>
            </w:r>
            <w:r w:rsidR="00F53F73" w:rsidRPr="00FE2D61">
              <w:rPr>
                <w:rFonts w:cs="Times New Roman"/>
                <w:szCs w:val="24"/>
              </w:rPr>
              <w:t>yčíslení 30% a 70% úspor ze stavebních zakázek</w:t>
            </w:r>
          </w:p>
          <w:p w:rsidR="00575D74" w:rsidRPr="00FE2D61" w:rsidRDefault="00575D7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3662" w:type="dxa"/>
          </w:tcPr>
          <w:p w:rsidR="0004245B" w:rsidRPr="00FE2D61" w:rsidRDefault="0004245B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lastRenderedPageBreak/>
              <w:t>Finanční dopady</w:t>
            </w:r>
            <w:r w:rsidR="00FE2D61">
              <w:rPr>
                <w:rFonts w:cs="Times New Roman"/>
                <w:szCs w:val="24"/>
              </w:rPr>
              <w:t>:</w:t>
            </w:r>
          </w:p>
          <w:p w:rsidR="00575D74" w:rsidRPr="00FE2D61" w:rsidRDefault="00575D7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 xml:space="preserve">1) </w:t>
            </w:r>
            <w:r w:rsidR="00F53F73" w:rsidRPr="00FE2D61">
              <w:rPr>
                <w:rFonts w:cs="Times New Roman"/>
                <w:szCs w:val="24"/>
              </w:rPr>
              <w:t xml:space="preserve"> - 8) a 10) </w:t>
            </w:r>
            <w:r w:rsidRPr="00FE2D61">
              <w:rPr>
                <w:rFonts w:cs="Times New Roman"/>
                <w:szCs w:val="24"/>
              </w:rPr>
              <w:t>bez dopadu,</w:t>
            </w: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575D74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9) V rozpočtu projektu na rok 2011 byly plánovány prostředky v rámci rozpočtových kapitol nájem a režijní výdaje; bohužel nebylo včas zohledněno zdržení počátku realizační fáze.  S ohledem na tuto skutečnost prostředky správně náleží do kapitoly 4.1 (jakkoli se věcně jedná o tytéž náklady).  Výdaje dosud nebyly Řídicím orgánem schváleny z důvodů pozastavení do došetření podezření na nesrovnalost.  ŘO schvaluje tento přesun v rozpočtu tak, aby bylo možno způsobilé výdaje po korekci v rámci projektu uplatnit a z dotačních prostředků refundovat.</w:t>
            </w: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 xml:space="preserve">11) úspora z VŘ004: </w:t>
            </w: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Úspora v projektu celkem = 103 315 028,99 Kč</w:t>
            </w: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Úspora ve výši 30% = 30 994 508,69 Kč</w:t>
            </w: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Úspora ve výši 70% = 72 320 520,30 Kč</w:t>
            </w:r>
          </w:p>
          <w:p w:rsidR="00F53F73" w:rsidRPr="00FE2D61" w:rsidRDefault="00F53F73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1421E4" w:rsidRPr="00FE2D61" w:rsidRDefault="001421E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 xml:space="preserve">Příjemci dle PPP, kapitola 5.6.1, </w:t>
            </w:r>
            <w:r w:rsidRPr="00FE2D61">
              <w:rPr>
                <w:rFonts w:cs="Times New Roman"/>
                <w:szCs w:val="24"/>
              </w:rPr>
              <w:lastRenderedPageBreak/>
              <w:t>náleží 30% úspora ze stavebních prací ve výši 30 994 508,69 Kč.</w:t>
            </w:r>
          </w:p>
          <w:p w:rsidR="001421E4" w:rsidRPr="00FE2D61" w:rsidRDefault="001421E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Využití 30 % úspory: Příjemce z této částky užije 2 319 823,09 bez DPH (2 612 120,72 včetně způsobilé části DPH) na částečnou fakturaci dodatku č. 2 generální dodávky staveb v areálu Řež VPUE/12/07.</w:t>
            </w:r>
          </w:p>
          <w:p w:rsidR="001421E4" w:rsidRPr="00FE2D61" w:rsidRDefault="001421E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Na využití zbývající č</w:t>
            </w:r>
            <w:r w:rsidR="00FE2D61">
              <w:rPr>
                <w:rFonts w:cs="Times New Roman"/>
                <w:szCs w:val="24"/>
              </w:rPr>
              <w:t xml:space="preserve">ásti ponechané úspory ve výši </w:t>
            </w:r>
            <w:r w:rsidRPr="00FE2D61">
              <w:rPr>
                <w:rFonts w:cs="Times New Roman"/>
                <w:szCs w:val="24"/>
              </w:rPr>
              <w:t>28 382 387,97 Kč příjemce předloží do 6 měsíců příslušnou žádost o podstatnou změnu projektu dle kapitoly 5.6.1 Příručky pro příjemce.</w:t>
            </w:r>
          </w:p>
          <w:p w:rsidR="001421E4" w:rsidRPr="00FE2D61" w:rsidRDefault="001421E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Změny v tomto okamžiku nemají vliv na celkový rozpočet projektu, a zároveň těmito změnami nedochází ke změně poměru investičních a neinvestičních výdajů projektu.</w:t>
            </w:r>
          </w:p>
          <w:p w:rsidR="001421E4" w:rsidRPr="00FE2D61" w:rsidRDefault="001421E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Příjemci dle metodického pokynu č. 24 k PPP náleží 72 320 520,30Kč (částka vč. způsobilé části DPH), které lze využít v souladu s tímto metodickým pokynem.</w:t>
            </w:r>
          </w:p>
          <w:p w:rsidR="001421E4" w:rsidRPr="00FE2D61" w:rsidRDefault="001421E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1421E4" w:rsidRPr="00FE2D61" w:rsidRDefault="001421E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Využití 70 % úspor:</w:t>
            </w:r>
          </w:p>
          <w:p w:rsidR="001421E4" w:rsidRPr="00FE2D61" w:rsidRDefault="001421E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Částka 40 504 307,90 vč. způsobilé části DPH, bude v rámci projektu využita takto:</w:t>
            </w:r>
          </w:p>
          <w:p w:rsidR="001421E4" w:rsidRPr="00FE2D61" w:rsidRDefault="001421E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•</w:t>
            </w:r>
            <w:r w:rsidRPr="00FE2D61">
              <w:rPr>
                <w:rFonts w:cs="Times New Roman"/>
                <w:szCs w:val="24"/>
              </w:rPr>
              <w:tab/>
              <w:t>Stavební práce vyplývající ze smlouvy VPUE/12/07 a jejího dodatku č. 3. Jedná se o částku navýšení na základě schválených ZL ke splněným milníkům, které byly fakturovány v původní výši nebo ve výši dle dodatku č. 2 (22 148 989,15 bez DPH, což je 24 939 761,78 Kč vč. způsobilé části DPH).</w:t>
            </w:r>
          </w:p>
          <w:p w:rsidR="001421E4" w:rsidRPr="00FE2D61" w:rsidRDefault="001421E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•</w:t>
            </w:r>
            <w:r w:rsidRPr="00FE2D61">
              <w:rPr>
                <w:rFonts w:cs="Times New Roman"/>
                <w:szCs w:val="24"/>
              </w:rPr>
              <w:tab/>
              <w:t>Č</w:t>
            </w:r>
            <w:r w:rsidR="00FE2D61">
              <w:rPr>
                <w:rFonts w:cs="Times New Roman"/>
                <w:szCs w:val="24"/>
              </w:rPr>
              <w:t>ást zálohy</w:t>
            </w:r>
            <w:r w:rsidRPr="00FE2D61">
              <w:rPr>
                <w:rFonts w:cs="Times New Roman"/>
                <w:szCs w:val="24"/>
              </w:rPr>
              <w:t xml:space="preserve"> dle smlouvy VPUE/12/07 a jejího dodatku č. 3, připadající na navýšení ceny u milníků, které nebyly ještě splněny (ani fakturovány). (5 871 364,76 </w:t>
            </w:r>
            <w:r w:rsidRPr="00FE2D61">
              <w:rPr>
                <w:rFonts w:cs="Times New Roman"/>
                <w:szCs w:val="24"/>
              </w:rPr>
              <w:lastRenderedPageBreak/>
              <w:t>bez DPH, což je 6 611 156,72 Kč vč. způsobilé části DPH).</w:t>
            </w:r>
          </w:p>
          <w:p w:rsidR="001421E4" w:rsidRPr="00FE2D61" w:rsidRDefault="001421E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•</w:t>
            </w:r>
            <w:r w:rsidRPr="00FE2D61">
              <w:rPr>
                <w:rFonts w:cs="Times New Roman"/>
                <w:szCs w:val="24"/>
              </w:rPr>
              <w:tab/>
              <w:t>Stavební práce vyplývající ze smlouvy VPUE/12/08 a jejího dodatku č. 1. Jedná se o částku navýšení na základě schválených ZL ke splněným milníkům (2 992 822,82 bez DPH, což je 3 369 918,50Kč vč. způsobilé části DPH).</w:t>
            </w:r>
          </w:p>
          <w:p w:rsidR="001421E4" w:rsidRPr="00FE2D61" w:rsidRDefault="001421E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•</w:t>
            </w:r>
            <w:r w:rsidRPr="00FE2D61">
              <w:rPr>
                <w:rFonts w:cs="Times New Roman"/>
                <w:szCs w:val="24"/>
              </w:rPr>
              <w:tab/>
              <w:t>Odstranění RAO – stavba Řež – zakázka se připravuje – záloha (4 958 677,60 bez DPH, což je 5 583 470,90 Kč vč. způsobilé části DPH).</w:t>
            </w:r>
          </w:p>
          <w:p w:rsidR="001421E4" w:rsidRPr="00FE2D61" w:rsidRDefault="001421E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 xml:space="preserve">Příjemce má povinnost aktualizovat rozpočet projektu, v němž bude uvedena samostatná položka v rámci kapitoly 2.3, v níž bude vyčíslena zbývající část 70% stavebních úspor, tj. 31 816 212,40 Kč. </w:t>
            </w:r>
          </w:p>
          <w:p w:rsidR="00F53F73" w:rsidRPr="00FE2D61" w:rsidRDefault="001421E4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Změny v tomto okamžiku nemají vliv na celkový rozpočet projektu, a zároveň těmito změnami nedochází ke změně poměru investičních a neinvestičních výdajů projektu</w:t>
            </w:r>
          </w:p>
        </w:tc>
      </w:tr>
      <w:tr w:rsidR="002850B8" w:rsidRPr="00FE2D61" w:rsidTr="00573B4D">
        <w:trPr>
          <w:trHeight w:val="869"/>
        </w:trPr>
        <w:tc>
          <w:tcPr>
            <w:tcW w:w="1616" w:type="dxa"/>
          </w:tcPr>
          <w:p w:rsidR="0004245B" w:rsidRPr="00FE2D61" w:rsidRDefault="0004245B" w:rsidP="00D03FD2">
            <w:pPr>
              <w:spacing w:before="60" w:after="60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lastRenderedPageBreak/>
              <w:t>Věcná realizace projektu</w:t>
            </w:r>
          </w:p>
        </w:tc>
        <w:tc>
          <w:tcPr>
            <w:tcW w:w="7990" w:type="dxa"/>
            <w:gridSpan w:val="4"/>
          </w:tcPr>
          <w:p w:rsidR="00F205FD" w:rsidRPr="00F205FD" w:rsidRDefault="0004245B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BC6366">
              <w:rPr>
                <w:rFonts w:cs="Times New Roman"/>
                <w:b/>
                <w:szCs w:val="24"/>
              </w:rPr>
              <w:t>Stavební část (včetně % naplnění)</w:t>
            </w:r>
            <w:r w:rsidR="001421E4" w:rsidRPr="00BC6366">
              <w:rPr>
                <w:rFonts w:cs="Times New Roman"/>
                <w:b/>
                <w:szCs w:val="24"/>
              </w:rPr>
              <w:t xml:space="preserve">: </w:t>
            </w:r>
            <w:r w:rsidR="00F205FD" w:rsidRPr="00F205FD">
              <w:rPr>
                <w:rFonts w:cs="Times New Roman"/>
                <w:szCs w:val="24"/>
              </w:rPr>
              <w:t>K 30.</w:t>
            </w:r>
            <w:r w:rsidR="00F205FD">
              <w:rPr>
                <w:rFonts w:cs="Times New Roman"/>
                <w:szCs w:val="24"/>
              </w:rPr>
              <w:t xml:space="preserve"> </w:t>
            </w:r>
            <w:r w:rsidR="00F205FD" w:rsidRPr="00F205FD">
              <w:rPr>
                <w:rFonts w:cs="Times New Roman"/>
                <w:szCs w:val="24"/>
              </w:rPr>
              <w:t>9.</w:t>
            </w:r>
            <w:r w:rsidR="00F205FD">
              <w:rPr>
                <w:rFonts w:cs="Times New Roman"/>
                <w:szCs w:val="24"/>
              </w:rPr>
              <w:t xml:space="preserve"> </w:t>
            </w:r>
            <w:r w:rsidR="00F205FD" w:rsidRPr="00F205FD">
              <w:rPr>
                <w:rFonts w:cs="Times New Roman"/>
                <w:szCs w:val="24"/>
              </w:rPr>
              <w:t>2014 v lokalitě Hus</w:t>
            </w:r>
            <w:r w:rsidR="00F205FD">
              <w:rPr>
                <w:rFonts w:cs="Times New Roman"/>
                <w:szCs w:val="24"/>
              </w:rPr>
              <w:t>in</w:t>
            </w:r>
            <w:r w:rsidR="00F205FD" w:rsidRPr="00F205FD">
              <w:rPr>
                <w:rFonts w:cs="Times New Roman"/>
                <w:szCs w:val="24"/>
              </w:rPr>
              <w:t>ec – Řež probíhá finální výstavba gen</w:t>
            </w:r>
            <w:r w:rsidR="00F205FD">
              <w:rPr>
                <w:rFonts w:cs="Times New Roman"/>
                <w:szCs w:val="24"/>
              </w:rPr>
              <w:t>e</w:t>
            </w:r>
            <w:r w:rsidR="00F205FD" w:rsidRPr="00F205FD">
              <w:rPr>
                <w:rFonts w:cs="Times New Roman"/>
                <w:szCs w:val="24"/>
              </w:rPr>
              <w:t>rálním dodavatelem. Většina budov byla zkolaudována.</w:t>
            </w:r>
          </w:p>
          <w:p w:rsidR="00F205FD" w:rsidRDefault="00F205FD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F205FD">
              <w:rPr>
                <w:rFonts w:cs="Times New Roman"/>
                <w:szCs w:val="24"/>
              </w:rPr>
              <w:t>Jsou zkol</w:t>
            </w:r>
            <w:r>
              <w:rPr>
                <w:rFonts w:cs="Times New Roman"/>
                <w:szCs w:val="24"/>
              </w:rPr>
              <w:t xml:space="preserve">audovány laboratoře pro výzkum </w:t>
            </w:r>
            <w:r w:rsidRPr="00F205FD">
              <w:rPr>
                <w:rFonts w:cs="Times New Roman"/>
                <w:szCs w:val="24"/>
              </w:rPr>
              <w:t>geologického ukládání radioaktivních odpadů, objekt neutronového zdroje, objekt malých zbytků a přístavbu reaktorové haly. Všechny tyto objekty byly zkolaudované v</w:t>
            </w:r>
            <w:r w:rsidR="001F7588">
              <w:rPr>
                <w:rFonts w:cs="Times New Roman"/>
                <w:szCs w:val="24"/>
              </w:rPr>
              <w:t> </w:t>
            </w:r>
            <w:r w:rsidRPr="00F205FD">
              <w:rPr>
                <w:rFonts w:cs="Times New Roman"/>
                <w:szCs w:val="24"/>
              </w:rPr>
              <w:t>předstihu</w:t>
            </w:r>
            <w:r w:rsidR="001F7588">
              <w:rPr>
                <w:rFonts w:cs="Times New Roman"/>
                <w:szCs w:val="24"/>
              </w:rPr>
              <w:t>/</w:t>
            </w:r>
            <w:r w:rsidRPr="00F205FD">
              <w:rPr>
                <w:rFonts w:cs="Times New Roman"/>
                <w:szCs w:val="24"/>
              </w:rPr>
              <w:t>v  termínu</w:t>
            </w:r>
            <w:r w:rsidR="001F7588">
              <w:rPr>
                <w:rFonts w:cs="Times New Roman"/>
                <w:szCs w:val="24"/>
              </w:rPr>
              <w:t>.</w:t>
            </w:r>
            <w:r w:rsidRPr="00F205FD">
              <w:rPr>
                <w:rFonts w:cs="Times New Roman"/>
                <w:szCs w:val="24"/>
              </w:rPr>
              <w:t xml:space="preserve"> Rekonstrukce objektu 254 - horké komory bude dokončena v 4/2014. Budovy v Plzni budou dokončeny také v II/2015, příjemce žádá o podstatnou změnu projektu (doplňuje analýzu rizik). Administrativní a halová část budovy diagnostického centra byla dokončena v 5/2014, část objektu pro zvláště citlivé přístroje bude dokončena až na v I/2015 (skluz cca 3měsíce oproti technickému annexu (řešení antivibra</w:t>
            </w:r>
            <w:r>
              <w:rPr>
                <w:rFonts w:cs="Times New Roman"/>
                <w:szCs w:val="24"/>
              </w:rPr>
              <w:t>čních opatření). Příjemce požádal</w:t>
            </w:r>
            <w:r w:rsidRPr="00F205FD">
              <w:rPr>
                <w:rFonts w:cs="Times New Roman"/>
                <w:szCs w:val="24"/>
              </w:rPr>
              <w:t xml:space="preserve"> o změnu projektu vzhledem posunu milníků.</w:t>
            </w:r>
          </w:p>
          <w:p w:rsidR="0004245B" w:rsidRDefault="00296C86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odhad 75</w:t>
            </w:r>
            <w:r w:rsidR="001421E4" w:rsidRPr="00FE2D61">
              <w:rPr>
                <w:rFonts w:cs="Times New Roman"/>
                <w:szCs w:val="24"/>
              </w:rPr>
              <w:t>%</w:t>
            </w:r>
            <w:r w:rsidR="001F7588">
              <w:rPr>
                <w:rFonts w:cs="Times New Roman"/>
                <w:szCs w:val="24"/>
              </w:rPr>
              <w:t>*.</w:t>
            </w:r>
          </w:p>
          <w:p w:rsidR="00F205FD" w:rsidRPr="00FE2D61" w:rsidRDefault="00F205FD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04245B" w:rsidRDefault="0004245B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BC6366">
              <w:rPr>
                <w:rFonts w:cs="Times New Roman"/>
                <w:b/>
                <w:szCs w:val="24"/>
              </w:rPr>
              <w:t>Přístroje (včetně % naplnění)</w:t>
            </w:r>
            <w:r w:rsidR="001421E4" w:rsidRPr="00BC6366">
              <w:rPr>
                <w:rFonts w:cs="Times New Roman"/>
                <w:b/>
                <w:szCs w:val="24"/>
              </w:rPr>
              <w:t>:</w:t>
            </w:r>
            <w:r w:rsidR="001421E4" w:rsidRPr="00FE2D61">
              <w:rPr>
                <w:rFonts w:cs="Times New Roman"/>
                <w:szCs w:val="24"/>
              </w:rPr>
              <w:t xml:space="preserve"> </w:t>
            </w:r>
            <w:r w:rsidR="00F205FD">
              <w:rPr>
                <w:rFonts w:cs="Times New Roman"/>
                <w:szCs w:val="24"/>
              </w:rPr>
              <w:t xml:space="preserve">řada veřejných zakázek na specializované přístroje není dosud ukončena (jsou opakovaně soutěženy) - </w:t>
            </w:r>
            <w:r w:rsidR="001421E4" w:rsidRPr="00FE2D61">
              <w:rPr>
                <w:rFonts w:cs="Times New Roman"/>
                <w:szCs w:val="24"/>
              </w:rPr>
              <w:t>odhad 40 %</w:t>
            </w:r>
            <w:r w:rsidR="001F7588">
              <w:rPr>
                <w:rFonts w:cs="Times New Roman"/>
                <w:szCs w:val="24"/>
              </w:rPr>
              <w:t>*,</w:t>
            </w:r>
          </w:p>
          <w:p w:rsidR="001F7588" w:rsidRPr="00FE2D61" w:rsidRDefault="001F7588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04245B" w:rsidRDefault="0081392A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 w:rsidRPr="00BC6366">
              <w:rPr>
                <w:rFonts w:cs="Times New Roman"/>
                <w:b/>
                <w:szCs w:val="24"/>
              </w:rPr>
              <w:t xml:space="preserve">Personální zajištění </w:t>
            </w:r>
            <w:r w:rsidR="00AF6EBB" w:rsidRPr="00BC6366">
              <w:rPr>
                <w:rFonts w:cs="Times New Roman"/>
                <w:b/>
                <w:szCs w:val="24"/>
              </w:rPr>
              <w:t>(včetně % naplnění)</w:t>
            </w:r>
            <w:r w:rsidR="001421E4" w:rsidRPr="00BC6366">
              <w:rPr>
                <w:rFonts w:cs="Times New Roman"/>
                <w:b/>
                <w:szCs w:val="24"/>
              </w:rPr>
              <w:t>:</w:t>
            </w:r>
            <w:r w:rsidR="001421E4" w:rsidRPr="00FE2D61">
              <w:rPr>
                <w:rFonts w:cs="Times New Roman"/>
                <w:szCs w:val="24"/>
              </w:rPr>
              <w:t xml:space="preserve"> </w:t>
            </w:r>
            <w:r w:rsidR="001F7588">
              <w:rPr>
                <w:rFonts w:cs="Times New Roman"/>
                <w:szCs w:val="24"/>
              </w:rPr>
              <w:t xml:space="preserve">všechny klíčové pozice jsou </w:t>
            </w:r>
            <w:r w:rsidR="001F7588">
              <w:rPr>
                <w:rFonts w:cs="Times New Roman"/>
                <w:szCs w:val="24"/>
              </w:rPr>
              <w:lastRenderedPageBreak/>
              <w:t xml:space="preserve">obsazeny, </w:t>
            </w:r>
            <w:r w:rsidR="001421E4" w:rsidRPr="00FE2D61">
              <w:rPr>
                <w:rFonts w:cs="Times New Roman"/>
                <w:szCs w:val="24"/>
              </w:rPr>
              <w:t xml:space="preserve">odhad </w:t>
            </w:r>
            <w:r w:rsidR="009510EC" w:rsidRPr="00FE2D61">
              <w:rPr>
                <w:rFonts w:cs="Times New Roman"/>
                <w:szCs w:val="24"/>
              </w:rPr>
              <w:t>72%</w:t>
            </w:r>
            <w:r w:rsidR="001F7588">
              <w:rPr>
                <w:rFonts w:cs="Times New Roman"/>
                <w:szCs w:val="24"/>
              </w:rPr>
              <w:t>*,</w:t>
            </w:r>
          </w:p>
          <w:p w:rsidR="001F7588" w:rsidRDefault="001F7588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</w:p>
          <w:p w:rsidR="00FE2D61" w:rsidRPr="00FE2D61" w:rsidRDefault="001F7588" w:rsidP="001F7588">
            <w:pPr>
              <w:spacing w:before="60" w:after="6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*</w:t>
            </w:r>
            <w:r w:rsidR="00FE2D61">
              <w:rPr>
                <w:rFonts w:cs="Times New Roman"/>
                <w:szCs w:val="24"/>
              </w:rPr>
              <w:t>Odhady % naplnění vycházejí z poslední schválené monitorovací zprávy, tj. jedná se o data aktuální k 30. 9. 2014</w:t>
            </w:r>
          </w:p>
        </w:tc>
      </w:tr>
      <w:tr w:rsidR="002850B8" w:rsidRPr="00FE2D61" w:rsidTr="00573B4D">
        <w:tc>
          <w:tcPr>
            <w:tcW w:w="1616" w:type="dxa"/>
          </w:tcPr>
          <w:p w:rsidR="00DA6654" w:rsidRPr="00296C86" w:rsidRDefault="00DA6654" w:rsidP="00D03FD2">
            <w:pPr>
              <w:spacing w:before="60" w:after="60"/>
              <w:rPr>
                <w:rFonts w:cs="Times New Roman"/>
                <w:b/>
                <w:szCs w:val="24"/>
              </w:rPr>
            </w:pPr>
            <w:r w:rsidRPr="00296C86">
              <w:rPr>
                <w:rFonts w:cs="Times New Roman"/>
                <w:b/>
                <w:szCs w:val="24"/>
              </w:rPr>
              <w:lastRenderedPageBreak/>
              <w:t>Finanční čerpání projektu</w:t>
            </w:r>
          </w:p>
        </w:tc>
        <w:tc>
          <w:tcPr>
            <w:tcW w:w="7990" w:type="dxa"/>
            <w:gridSpan w:val="4"/>
          </w:tcPr>
          <w:p w:rsidR="00DA6654" w:rsidRPr="00296C86" w:rsidRDefault="00DA6654" w:rsidP="00DD26D3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296C86">
              <w:rPr>
                <w:rFonts w:cs="Times New Roman"/>
                <w:szCs w:val="24"/>
              </w:rPr>
              <w:t>Předložené výdaje (v Kč i %)</w:t>
            </w:r>
            <w:r w:rsidR="006A6FA7" w:rsidRPr="00296C86">
              <w:rPr>
                <w:rFonts w:cs="Times New Roman"/>
                <w:szCs w:val="24"/>
              </w:rPr>
              <w:t xml:space="preserve">: </w:t>
            </w:r>
            <w:r w:rsidR="00296C86" w:rsidRPr="00296C86">
              <w:rPr>
                <w:rFonts w:cs="Times New Roman"/>
                <w:szCs w:val="24"/>
              </w:rPr>
              <w:t>669 026 789,32 Kč (27,3 %)</w:t>
            </w:r>
          </w:p>
          <w:p w:rsidR="00296C86" w:rsidRPr="00296C86" w:rsidRDefault="00DA6654" w:rsidP="00296C86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296C86">
              <w:rPr>
                <w:rFonts w:cs="Times New Roman"/>
                <w:szCs w:val="24"/>
              </w:rPr>
              <w:t>Schválené výdaje</w:t>
            </w:r>
            <w:r w:rsidR="00C92258" w:rsidRPr="00296C86">
              <w:rPr>
                <w:rFonts w:cs="Times New Roman"/>
                <w:szCs w:val="24"/>
              </w:rPr>
              <w:t xml:space="preserve"> </w:t>
            </w:r>
            <w:r w:rsidRPr="00296C86">
              <w:rPr>
                <w:rFonts w:cs="Times New Roman"/>
                <w:szCs w:val="24"/>
              </w:rPr>
              <w:t>(v Kč i %)</w:t>
            </w:r>
            <w:r w:rsidR="00296C86" w:rsidRPr="00296C86">
              <w:rPr>
                <w:rFonts w:cs="Times New Roman"/>
                <w:szCs w:val="24"/>
              </w:rPr>
              <w:t>: 659 289 111,28 Kč (26,9 %)</w:t>
            </w:r>
          </w:p>
          <w:p w:rsidR="00DA6654" w:rsidRDefault="00DA6654" w:rsidP="00DD26D3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296C86">
              <w:rPr>
                <w:rFonts w:cs="Times New Roman"/>
                <w:szCs w:val="24"/>
              </w:rPr>
              <w:t>Certifikované výdaje (v Kč i %)</w:t>
            </w:r>
            <w:r w:rsidR="00296C86">
              <w:rPr>
                <w:rFonts w:cs="Times New Roman"/>
                <w:szCs w:val="24"/>
              </w:rPr>
              <w:t>:</w:t>
            </w:r>
            <w:r w:rsidR="00296C86" w:rsidRPr="00296C86">
              <w:rPr>
                <w:rFonts w:cs="Times New Roman"/>
                <w:szCs w:val="24"/>
              </w:rPr>
              <w:t xml:space="preserve"> 659 289 111,28 Kč (26,9 %)</w:t>
            </w:r>
          </w:p>
          <w:p w:rsidR="00296C86" w:rsidRPr="00296C86" w:rsidRDefault="00296C86" w:rsidP="00DD26D3">
            <w:pPr>
              <w:spacing w:before="60" w:after="60" w:line="240" w:lineRule="auto"/>
              <w:rPr>
                <w:rFonts w:cs="Times New Roman"/>
                <w:szCs w:val="24"/>
              </w:rPr>
            </w:pPr>
          </w:p>
          <w:p w:rsidR="00296C86" w:rsidRPr="00296C86" w:rsidRDefault="00296C86" w:rsidP="00DD26D3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296C86">
              <w:rPr>
                <w:rFonts w:cs="Times New Roman"/>
                <w:szCs w:val="24"/>
              </w:rPr>
              <w:t>% jsou počítána z celkových způsobilých výdajů projektu</w:t>
            </w:r>
          </w:p>
        </w:tc>
      </w:tr>
      <w:tr w:rsidR="002850B8" w:rsidRPr="00FE2D61" w:rsidTr="00573B4D">
        <w:tc>
          <w:tcPr>
            <w:tcW w:w="1616" w:type="dxa"/>
          </w:tcPr>
          <w:p w:rsidR="00C43F6D" w:rsidRPr="00FE2D61" w:rsidRDefault="00EE2A12" w:rsidP="00C92258">
            <w:pPr>
              <w:spacing w:before="60" w:after="60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Nezpůsobilé výdaje</w:t>
            </w:r>
            <w:r w:rsidR="00C43F6D" w:rsidRPr="00FE2D61">
              <w:rPr>
                <w:rFonts w:cs="Times New Roman"/>
                <w:b/>
                <w:szCs w:val="24"/>
              </w:rPr>
              <w:t xml:space="preserve"> projektu</w:t>
            </w:r>
            <w:r w:rsidR="00C43F6D" w:rsidRPr="00FE2D61">
              <w:rPr>
                <w:rFonts w:cs="Times New Roman"/>
                <w:szCs w:val="24"/>
              </w:rPr>
              <w:t xml:space="preserve"> (v Kč i %):</w:t>
            </w:r>
          </w:p>
        </w:tc>
        <w:tc>
          <w:tcPr>
            <w:tcW w:w="7990" w:type="dxa"/>
            <w:gridSpan w:val="4"/>
          </w:tcPr>
          <w:p w:rsidR="00C43F6D" w:rsidRDefault="00296C86" w:rsidP="00296C86">
            <w:pPr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9 737 678,04 Kč (0,4 %)</w:t>
            </w:r>
            <w:r w:rsidR="001F7588">
              <w:rPr>
                <w:rFonts w:cs="Times New Roman"/>
                <w:szCs w:val="24"/>
              </w:rPr>
              <w:t xml:space="preserve"> </w:t>
            </w:r>
          </w:p>
          <w:p w:rsidR="00296C86" w:rsidRDefault="00296C86" w:rsidP="00296C86">
            <w:pPr>
              <w:spacing w:before="60" w:after="60" w:line="240" w:lineRule="auto"/>
              <w:rPr>
                <w:rFonts w:cs="Times New Roman"/>
                <w:szCs w:val="24"/>
              </w:rPr>
            </w:pPr>
          </w:p>
          <w:p w:rsidR="00296C86" w:rsidRDefault="00296C86" w:rsidP="00296C86">
            <w:pPr>
              <w:spacing w:before="60" w:after="60" w:line="240" w:lineRule="auto"/>
              <w:rPr>
                <w:rFonts w:cs="Times New Roman"/>
                <w:szCs w:val="24"/>
              </w:rPr>
            </w:pPr>
          </w:p>
          <w:p w:rsidR="00296C86" w:rsidRPr="00FE2D61" w:rsidRDefault="00296C86" w:rsidP="00296C86">
            <w:pPr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% jsou počítána z celkových způsobilých výdajů projektu</w:t>
            </w:r>
          </w:p>
        </w:tc>
      </w:tr>
      <w:tr w:rsidR="002850B8" w:rsidRPr="00FE2D61" w:rsidTr="00573B4D">
        <w:tc>
          <w:tcPr>
            <w:tcW w:w="1616" w:type="dxa"/>
          </w:tcPr>
          <w:p w:rsidR="00D2753C" w:rsidRPr="00FE2D61" w:rsidRDefault="00D2753C" w:rsidP="00D03FD2">
            <w:pPr>
              <w:spacing w:before="60" w:after="0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Ostatní informace</w:t>
            </w:r>
          </w:p>
          <w:p w:rsidR="00D2753C" w:rsidRPr="00FE2D61" w:rsidRDefault="00D2753C" w:rsidP="00D03FD2">
            <w:pPr>
              <w:spacing w:after="60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(signalizovaná rizika, fázování apod.)</w:t>
            </w:r>
          </w:p>
        </w:tc>
        <w:tc>
          <w:tcPr>
            <w:tcW w:w="7990" w:type="dxa"/>
            <w:gridSpan w:val="4"/>
          </w:tcPr>
          <w:p w:rsidR="00D2753C" w:rsidRPr="00FE2D61" w:rsidRDefault="00575D74" w:rsidP="00DD26D3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>Fázování projektu – v</w:t>
            </w:r>
            <w:r w:rsidR="00BC6366">
              <w:rPr>
                <w:rFonts w:cs="Times New Roman"/>
                <w:szCs w:val="24"/>
              </w:rPr>
              <w:t> </w:t>
            </w:r>
            <w:r w:rsidRPr="00FE2D61">
              <w:rPr>
                <w:rFonts w:cs="Times New Roman"/>
                <w:szCs w:val="24"/>
              </w:rPr>
              <w:t>jednání</w:t>
            </w:r>
            <w:r w:rsidR="00BC6366">
              <w:rPr>
                <w:rFonts w:cs="Times New Roman"/>
                <w:szCs w:val="24"/>
              </w:rPr>
              <w:t>,</w:t>
            </w:r>
          </w:p>
          <w:p w:rsidR="00575D74" w:rsidRDefault="00575D74" w:rsidP="00DD26D3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FE2D61">
              <w:rPr>
                <w:rFonts w:cs="Times New Roman"/>
                <w:szCs w:val="24"/>
              </w:rPr>
              <w:t xml:space="preserve">Nízké čerpání </w:t>
            </w:r>
            <w:r w:rsidR="006A6FA7" w:rsidRPr="00FE2D61">
              <w:rPr>
                <w:rFonts w:cs="Times New Roman"/>
                <w:szCs w:val="24"/>
              </w:rPr>
              <w:t>dotace</w:t>
            </w:r>
            <w:r w:rsidR="006A6FA7">
              <w:rPr>
                <w:rFonts w:cs="Times New Roman"/>
                <w:szCs w:val="24"/>
              </w:rPr>
              <w:t xml:space="preserve"> (ke 12</w:t>
            </w:r>
            <w:r w:rsidR="001F7588">
              <w:rPr>
                <w:rFonts w:cs="Times New Roman"/>
                <w:szCs w:val="24"/>
              </w:rPr>
              <w:t>. ŽoP asi 25%)</w:t>
            </w:r>
            <w:r w:rsidR="00BC6366">
              <w:rPr>
                <w:rFonts w:cs="Times New Roman"/>
                <w:szCs w:val="24"/>
              </w:rPr>
              <w:t>,</w:t>
            </w:r>
          </w:p>
          <w:p w:rsidR="001F7588" w:rsidRPr="00FE2D61" w:rsidRDefault="001F7588" w:rsidP="00DD26D3">
            <w:pPr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Veřejné zakázky – velký počet zrušených VŘ (nedostatečný počet nabídek k hodnocení)</w:t>
            </w:r>
            <w:r w:rsidR="00BC6366">
              <w:rPr>
                <w:rFonts w:cs="Times New Roman"/>
                <w:szCs w:val="24"/>
              </w:rPr>
              <w:t>.</w:t>
            </w:r>
          </w:p>
        </w:tc>
      </w:tr>
      <w:tr w:rsidR="00A431A3" w:rsidRPr="00FE2D61" w:rsidTr="005C7876">
        <w:tc>
          <w:tcPr>
            <w:tcW w:w="9606" w:type="dxa"/>
            <w:gridSpan w:val="5"/>
            <w:shd w:val="clear" w:color="auto" w:fill="404040" w:themeFill="text1" w:themeFillTint="BF"/>
          </w:tcPr>
          <w:p w:rsidR="00A431A3" w:rsidRPr="00FE2D61" w:rsidRDefault="00A431A3" w:rsidP="00A431A3">
            <w:pPr>
              <w:spacing w:before="60" w:after="60" w:line="240" w:lineRule="auto"/>
              <w:jc w:val="center"/>
              <w:rPr>
                <w:rFonts w:cs="Times New Roman"/>
                <w:b/>
                <w:color w:val="FFFFFF" w:themeColor="background1"/>
                <w:szCs w:val="24"/>
              </w:rPr>
            </w:pPr>
            <w:r w:rsidRPr="00FE2D61">
              <w:rPr>
                <w:rFonts w:cs="Times New Roman"/>
                <w:b/>
                <w:color w:val="FFFFFF" w:themeColor="background1"/>
                <w:szCs w:val="24"/>
              </w:rPr>
              <w:t>Udržitelnost projektu</w:t>
            </w:r>
          </w:p>
        </w:tc>
      </w:tr>
      <w:tr w:rsidR="00573B4D" w:rsidRPr="00FE2D61" w:rsidTr="001B4239">
        <w:tc>
          <w:tcPr>
            <w:tcW w:w="2127" w:type="dxa"/>
            <w:gridSpan w:val="2"/>
          </w:tcPr>
          <w:p w:rsidR="00573B4D" w:rsidRDefault="00573B4D" w:rsidP="00C16725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479" w:type="dxa"/>
            <w:gridSpan w:val="3"/>
          </w:tcPr>
          <w:p w:rsidR="00573B4D" w:rsidRPr="008F5BA3" w:rsidRDefault="008F5BA3" w:rsidP="00DD26D3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>Smluvní výzkum: r. 2015 - 36.5 mil. Kč, r. 2016 - 46 mil. Kč a celkový příjem ze smluvního výzkumu za r. 2016-20 cca 251 mil. Kč</w:t>
            </w:r>
          </w:p>
          <w:p w:rsidR="008F5BA3" w:rsidRPr="008F5BA3" w:rsidRDefault="008F5BA3" w:rsidP="008F5BA3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 xml:space="preserve">Mezinárodní </w:t>
            </w:r>
            <w:proofErr w:type="gramStart"/>
            <w:r w:rsidRPr="008F5BA3">
              <w:rPr>
                <w:rFonts w:cs="Times New Roman"/>
                <w:sz w:val="20"/>
                <w:szCs w:val="24"/>
              </w:rPr>
              <w:t>granty:  r.</w:t>
            </w:r>
            <w:proofErr w:type="gramEnd"/>
            <w:r w:rsidRPr="008F5BA3">
              <w:rPr>
                <w:rFonts w:cs="Times New Roman"/>
                <w:sz w:val="20"/>
                <w:szCs w:val="24"/>
              </w:rPr>
              <w:t xml:space="preserve"> 2015 - 10 mil. Kč, r. 2016 -</w:t>
            </w:r>
            <w:r w:rsidR="007600D8">
              <w:rPr>
                <w:rFonts w:cs="Times New Roman"/>
                <w:sz w:val="20"/>
                <w:szCs w:val="24"/>
              </w:rPr>
              <w:t xml:space="preserve"> 31 mil. Kč a celkový příjem z mezinárodních grantů </w:t>
            </w:r>
            <w:r w:rsidRPr="008F5BA3">
              <w:rPr>
                <w:rFonts w:cs="Times New Roman"/>
                <w:sz w:val="20"/>
                <w:szCs w:val="24"/>
              </w:rPr>
              <w:t xml:space="preserve"> za r. 2016-20 cca 157 mil. Kč</w:t>
            </w:r>
          </w:p>
          <w:p w:rsidR="008F5BA3" w:rsidRPr="00FE2D61" w:rsidRDefault="008F5BA3" w:rsidP="007600D8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 xml:space="preserve">Institucionální prostředky: r. 2015 - 7 mil. Kč, r. 2016 - 26 mil. Kč a celkový příjem </w:t>
            </w:r>
            <w:proofErr w:type="gramStart"/>
            <w:r w:rsidRPr="008F5BA3">
              <w:rPr>
                <w:rFonts w:cs="Times New Roman"/>
                <w:sz w:val="20"/>
                <w:szCs w:val="24"/>
              </w:rPr>
              <w:t xml:space="preserve">ze </w:t>
            </w:r>
            <w:r w:rsidR="007600D8">
              <w:rPr>
                <w:rFonts w:cs="Times New Roman"/>
                <w:sz w:val="20"/>
                <w:szCs w:val="24"/>
              </w:rPr>
              <w:t>institucionální</w:t>
            </w:r>
            <w:proofErr w:type="gramEnd"/>
            <w:r w:rsidR="007600D8">
              <w:rPr>
                <w:rFonts w:cs="Times New Roman"/>
                <w:sz w:val="20"/>
                <w:szCs w:val="24"/>
              </w:rPr>
              <w:t xml:space="preserve"> podporu</w:t>
            </w:r>
            <w:r w:rsidRPr="008F5BA3">
              <w:rPr>
                <w:rFonts w:cs="Times New Roman"/>
                <w:sz w:val="20"/>
                <w:szCs w:val="24"/>
              </w:rPr>
              <w:t xml:space="preserve"> za r. 2016-20 cca 105 mil. Kč</w:t>
            </w:r>
          </w:p>
        </w:tc>
      </w:tr>
      <w:tr w:rsidR="00573B4D" w:rsidRPr="00FE2D61" w:rsidTr="001B4239">
        <w:tc>
          <w:tcPr>
            <w:tcW w:w="2127" w:type="dxa"/>
            <w:gridSpan w:val="2"/>
          </w:tcPr>
          <w:p w:rsidR="00573B4D" w:rsidRDefault="00573B4D" w:rsidP="00C16725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479" w:type="dxa"/>
            <w:gridSpan w:val="3"/>
          </w:tcPr>
          <w:p w:rsidR="008F5BA3" w:rsidRPr="008F5BA3" w:rsidRDefault="008F5BA3" w:rsidP="008F5BA3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 xml:space="preserve">Účelové prostředky celkem: r. 2015 – 5.5 mil. Kč, r. 2016 - </w:t>
            </w:r>
            <w:r w:rsidR="00806229">
              <w:rPr>
                <w:rFonts w:cs="Times New Roman"/>
                <w:sz w:val="20"/>
                <w:szCs w:val="24"/>
              </w:rPr>
              <w:t>122 mil. Kč a celkový příjem z účelových prostedků</w:t>
            </w:r>
            <w:r w:rsidRPr="008F5BA3">
              <w:rPr>
                <w:rFonts w:cs="Times New Roman"/>
                <w:sz w:val="20"/>
                <w:szCs w:val="24"/>
              </w:rPr>
              <w:t>. 2016-20 cca 697 mil. Kč</w:t>
            </w:r>
          </w:p>
          <w:p w:rsidR="00573B4D" w:rsidRPr="008F5BA3" w:rsidRDefault="008F5BA3" w:rsidP="004A0BFB">
            <w:pPr>
              <w:spacing w:before="60" w:after="60" w:line="240" w:lineRule="auto"/>
              <w:rPr>
                <w:rFonts w:cs="Times New Roman"/>
                <w:sz w:val="22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 xml:space="preserve">Z toho NPU: r. 2016 - 100 mil. Kč a celkový příjem </w:t>
            </w:r>
            <w:r w:rsidR="004A0BFB">
              <w:rPr>
                <w:rFonts w:cs="Times New Roman"/>
                <w:sz w:val="20"/>
                <w:szCs w:val="24"/>
              </w:rPr>
              <w:t xml:space="preserve"> </w:t>
            </w:r>
            <w:bookmarkStart w:id="2" w:name="_GoBack"/>
            <w:bookmarkEnd w:id="2"/>
            <w:r w:rsidRPr="008F5BA3">
              <w:rPr>
                <w:rFonts w:cs="Times New Roman"/>
                <w:sz w:val="20"/>
                <w:szCs w:val="24"/>
              </w:rPr>
              <w:t>za r. 2016-20 cca 542 mil. Kč</w:t>
            </w:r>
          </w:p>
        </w:tc>
      </w:tr>
      <w:tr w:rsidR="002850B8" w:rsidRPr="00FE2D61" w:rsidTr="001B4239">
        <w:tc>
          <w:tcPr>
            <w:tcW w:w="2127" w:type="dxa"/>
            <w:gridSpan w:val="2"/>
          </w:tcPr>
          <w:p w:rsidR="009E437E" w:rsidRPr="00FE2D61" w:rsidRDefault="009E437E" w:rsidP="009E437E">
            <w:pPr>
              <w:spacing w:before="60" w:after="60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Monitorovací indikátory v období udržitelnosti</w:t>
            </w:r>
          </w:p>
        </w:tc>
        <w:tc>
          <w:tcPr>
            <w:tcW w:w="7479" w:type="dxa"/>
            <w:gridSpan w:val="3"/>
          </w:tcPr>
          <w:p w:rsidR="009E437E" w:rsidRPr="00FE2D61" w:rsidRDefault="00D95A67" w:rsidP="00DD26D3">
            <w:pPr>
              <w:spacing w:before="60" w:after="60" w:line="240" w:lineRule="auto"/>
              <w:rPr>
                <w:rFonts w:cs="Times New Roman"/>
                <w:szCs w:val="24"/>
              </w:rPr>
            </w:pPr>
            <w:r w:rsidRPr="00D95A67">
              <w:rPr>
                <w:rFonts w:cs="Times New Roman"/>
                <w:sz w:val="18"/>
                <w:szCs w:val="24"/>
              </w:rPr>
              <w:t xml:space="preserve">Určené pro stádium výstavby se plní. </w:t>
            </w:r>
          </w:p>
        </w:tc>
      </w:tr>
      <w:tr w:rsidR="002850B8" w:rsidRPr="00FE2D61" w:rsidTr="001B4239">
        <w:tc>
          <w:tcPr>
            <w:tcW w:w="2127" w:type="dxa"/>
            <w:gridSpan w:val="2"/>
          </w:tcPr>
          <w:p w:rsidR="00D2753C" w:rsidRPr="00FE2D61" w:rsidRDefault="009E437E" w:rsidP="009E437E">
            <w:pPr>
              <w:spacing w:before="60" w:after="60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Hodnocení výzkumného centra</w:t>
            </w:r>
          </w:p>
        </w:tc>
        <w:tc>
          <w:tcPr>
            <w:tcW w:w="7479" w:type="dxa"/>
            <w:gridSpan w:val="3"/>
          </w:tcPr>
          <w:p w:rsidR="001C04F9" w:rsidRDefault="001C04F9" w:rsidP="001B4239">
            <w:pPr>
              <w:spacing w:after="0" w:line="240" w:lineRule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 xml:space="preserve">Výstavba objektů určených k výzkumu probíhá jednak v Řeži, jednak na Borských polích v Plzni, </w:t>
            </w:r>
            <w:proofErr w:type="gramStart"/>
            <w:r>
              <w:rPr>
                <w:rFonts w:cs="Times New Roman"/>
                <w:sz w:val="18"/>
              </w:rPr>
              <w:t>kde  hala</w:t>
            </w:r>
            <w:proofErr w:type="gramEnd"/>
            <w:r>
              <w:rPr>
                <w:rFonts w:cs="Times New Roman"/>
                <w:sz w:val="18"/>
              </w:rPr>
              <w:t xml:space="preserve"> G2 představuje experimentální základnu Centra SUSEN, která je součástí plzeňského Vědecko-technologického parku.</w:t>
            </w:r>
          </w:p>
          <w:p w:rsidR="001C04F9" w:rsidRDefault="001C04F9" w:rsidP="001B4239">
            <w:pPr>
              <w:spacing w:after="0" w:line="240" w:lineRule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 xml:space="preserve">Centrum SUSEN řeší čtyři výzkumné programy, první zaměřený na vývoj nových technologií a materiálů IV generace, </w:t>
            </w:r>
            <w:r w:rsidR="00FE260C">
              <w:rPr>
                <w:rFonts w:cs="Times New Roman"/>
                <w:sz w:val="18"/>
              </w:rPr>
              <w:t>druhý na podporu prodlužování životnosti jaderných elektráren, současné II. a III. generace, třetí na výzkum nakládání s radioaktivními odpady a použitým jaderným palivem.</w:t>
            </w:r>
            <w:r w:rsidR="00FE260C">
              <w:rPr>
                <w:rFonts w:cs="Times New Roman"/>
                <w:sz w:val="18"/>
                <w:szCs w:val="24"/>
              </w:rPr>
              <w:t xml:space="preserve"> Výzkumné zaměření těchto tří programů má charakter základního výzkumu, čtvrtý výzkumný program „materiálový výzkum“ je zaměřen na výzkum materiálů pro jadernou energetiku, ale předpokládá se zapojení i v oblastech klasické energetiky, </w:t>
            </w:r>
            <w:proofErr w:type="gramStart"/>
            <w:r w:rsidR="00FE260C">
              <w:rPr>
                <w:rFonts w:cs="Times New Roman"/>
                <w:sz w:val="18"/>
                <w:szCs w:val="24"/>
              </w:rPr>
              <w:t>tzn. že</w:t>
            </w:r>
            <w:proofErr w:type="gramEnd"/>
            <w:r w:rsidR="00FE260C">
              <w:rPr>
                <w:rFonts w:cs="Times New Roman"/>
                <w:sz w:val="18"/>
                <w:szCs w:val="24"/>
              </w:rPr>
              <w:t xml:space="preserve"> výsledky budou přímo aplikovatelné v energetickém průmyslu.</w:t>
            </w:r>
          </w:p>
          <w:p w:rsidR="00D2753C" w:rsidRPr="001B4239" w:rsidRDefault="001B4239" w:rsidP="001B4239">
            <w:pPr>
              <w:spacing w:after="0" w:line="240" w:lineRule="auto"/>
              <w:rPr>
                <w:rFonts w:cs="Times New Roman"/>
                <w:color w:val="1F497D"/>
                <w:sz w:val="22"/>
              </w:rPr>
            </w:pPr>
            <w:r w:rsidRPr="001B4239">
              <w:rPr>
                <w:rFonts w:cs="Times New Roman"/>
                <w:sz w:val="18"/>
              </w:rPr>
              <w:t xml:space="preserve">Klíčovými oblastmi pro zapojování centra SUSEN do mezinárodních aktivit jsou výzkum a vývoj 4. generace jaderných reaktorů a fúzních reaktorů. Experimentální data získaná povozem centra SUSEN mohou být použita pro zlepšení databáze materiálových charakteristik (např. pokud jde o jejich chování, vliv na stavební materiály či tepelně-dynamické a termo-hydraulické charakteristiky) a tím přispět k jejich využití při stavbě těchto reaktorů. Část centra SUSEN slouží také pro výzkum </w:t>
            </w:r>
            <w:r w:rsidRPr="001B4239">
              <w:rPr>
                <w:rFonts w:cs="Times New Roman"/>
                <w:sz w:val="18"/>
              </w:rPr>
              <w:lastRenderedPageBreak/>
              <w:t>výroby vodíku za použití vysokoteplotní elektrolýzy. Neméně podstatnou oblastí centra SUSEN je výzkum pro prodlužování životnosti stávajících jaderných elektráren.</w:t>
            </w:r>
          </w:p>
        </w:tc>
      </w:tr>
      <w:tr w:rsidR="002850B8" w:rsidRPr="00FE2D61" w:rsidTr="001B4239">
        <w:tc>
          <w:tcPr>
            <w:tcW w:w="2127" w:type="dxa"/>
            <w:gridSpan w:val="2"/>
          </w:tcPr>
          <w:p w:rsidR="00D2753C" w:rsidRPr="00FE2D61" w:rsidRDefault="00D2753C" w:rsidP="000B7BB7">
            <w:pPr>
              <w:spacing w:before="60" w:after="60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lastRenderedPageBreak/>
              <w:t>Poznatky z návštěvy týmu zmocněnce pro udržitelnost</w:t>
            </w:r>
          </w:p>
        </w:tc>
        <w:tc>
          <w:tcPr>
            <w:tcW w:w="7479" w:type="dxa"/>
            <w:gridSpan w:val="3"/>
          </w:tcPr>
          <w:p w:rsidR="00D2753C" w:rsidRDefault="001B4239" w:rsidP="00DD26D3">
            <w:pPr>
              <w:spacing w:before="60" w:after="60" w:line="240" w:lineRule="auto"/>
              <w:rPr>
                <w:rFonts w:cs="Times New Roman"/>
                <w:sz w:val="18"/>
                <w:szCs w:val="24"/>
              </w:rPr>
            </w:pPr>
            <w:r w:rsidRPr="001B4239">
              <w:rPr>
                <w:rFonts w:cs="Times New Roman"/>
                <w:sz w:val="18"/>
                <w:szCs w:val="24"/>
              </w:rPr>
              <w:t xml:space="preserve">SUSEN svým výzkumným portfoliem podporuje a bude podporovat přípravné a konstrukční fáze velkých evropských projektů zavádějících koncepty nových technologií reaktorů 4. generace ALFRED (olovem chlazené technologie) a ALLEGRO (heliové technologie). Část centra SUSEN byla také zahrnuta do nového návrhu distribuované výzkumné infrastruktury </w:t>
            </w:r>
            <w:proofErr w:type="spellStart"/>
            <w:r w:rsidRPr="001B4239">
              <w:rPr>
                <w:rFonts w:cs="Times New Roman"/>
                <w:sz w:val="18"/>
                <w:szCs w:val="24"/>
              </w:rPr>
              <w:t>iCRADLE</w:t>
            </w:r>
            <w:proofErr w:type="spellEnd"/>
            <w:r w:rsidRPr="001B4239">
              <w:rPr>
                <w:rFonts w:cs="Times New Roman"/>
                <w:sz w:val="18"/>
                <w:szCs w:val="24"/>
              </w:rPr>
              <w:t xml:space="preserve"> zaměřené právě na výzkum olovem chlazených technologií, která byla Rumunskem předložena pro zařazení do aktualizované Cestovní mapy ESFRI. Dalším z využití centra SUSEN je jeho zapojení do fúzního výzkumu v souvislosti s výstavbou reaktoru ITER a později projektu DEMO. Zapojení centra SUSEN do mezinárodních aktivit se také děje prostřednictvím připravovaných projektů do výzev Horizontu 2020 či Euratomu.</w:t>
            </w:r>
          </w:p>
          <w:p w:rsidR="00D95A67" w:rsidRPr="00FE2D61" w:rsidRDefault="00D95A67" w:rsidP="00DD26D3">
            <w:pPr>
              <w:spacing w:before="60" w:after="60" w:line="240" w:lineRule="auto"/>
              <w:rPr>
                <w:rFonts w:cs="Times New Roman"/>
                <w:szCs w:val="24"/>
              </w:rPr>
            </w:pPr>
          </w:p>
        </w:tc>
      </w:tr>
      <w:tr w:rsidR="002850B8" w:rsidRPr="00FE2D61" w:rsidTr="001B4239">
        <w:tc>
          <w:tcPr>
            <w:tcW w:w="2127" w:type="dxa"/>
            <w:gridSpan w:val="2"/>
          </w:tcPr>
          <w:p w:rsidR="00D2753C" w:rsidRPr="00FE2D61" w:rsidRDefault="00D2753C" w:rsidP="000B7BB7">
            <w:pPr>
              <w:spacing w:before="60" w:after="60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Zařazení projektu do rizikové skupiny</w:t>
            </w:r>
            <w:r w:rsidR="00C43F6D" w:rsidRPr="00FE2D61">
              <w:rPr>
                <w:rFonts w:cs="Times New Roman"/>
                <w:b/>
                <w:szCs w:val="24"/>
              </w:rPr>
              <w:t xml:space="preserve"> z hlediska udržitelnosti</w:t>
            </w:r>
          </w:p>
        </w:tc>
        <w:tc>
          <w:tcPr>
            <w:tcW w:w="7479" w:type="dxa"/>
            <w:gridSpan w:val="3"/>
          </w:tcPr>
          <w:p w:rsidR="00D2753C" w:rsidRPr="00FE260C" w:rsidRDefault="001B4239" w:rsidP="00DD26D3">
            <w:pPr>
              <w:spacing w:before="60" w:after="60" w:line="240" w:lineRule="auto"/>
              <w:rPr>
                <w:rFonts w:cs="Times New Roman"/>
                <w:sz w:val="20"/>
                <w:szCs w:val="20"/>
              </w:rPr>
            </w:pPr>
            <w:r w:rsidRPr="00FE260C">
              <w:rPr>
                <w:rFonts w:cs="Times New Roman"/>
                <w:sz w:val="20"/>
                <w:szCs w:val="20"/>
              </w:rPr>
              <w:t>C  - zdůvodnění</w:t>
            </w:r>
          </w:p>
          <w:p w:rsidR="001B4239" w:rsidRPr="00FE260C" w:rsidRDefault="00FE260C" w:rsidP="00D95A67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 centra se plánuje fázování, viz výše. </w:t>
            </w:r>
          </w:p>
          <w:p w:rsidR="001B4239" w:rsidRPr="00FE260C" w:rsidRDefault="001B4239" w:rsidP="00D95A67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60C">
              <w:rPr>
                <w:rFonts w:ascii="Times New Roman" w:hAnsi="Times New Roman" w:cs="Times New Roman"/>
                <w:sz w:val="20"/>
                <w:szCs w:val="20"/>
              </w:rPr>
              <w:t>Fázování vyvolává řadu otázek</w:t>
            </w:r>
          </w:p>
          <w:p w:rsidR="001B4239" w:rsidRPr="00FE260C" w:rsidRDefault="00D95A67" w:rsidP="00D95A67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60C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1B4239" w:rsidRPr="00FE260C">
              <w:rPr>
                <w:rFonts w:ascii="Times New Roman" w:hAnsi="Times New Roman" w:cs="Times New Roman"/>
                <w:sz w:val="20"/>
                <w:szCs w:val="20"/>
              </w:rPr>
              <w:t>ermín dokončení a zprovoznění celého centra</w:t>
            </w:r>
            <w:r w:rsidRPr="00FE260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95A67" w:rsidRPr="00FE260C" w:rsidRDefault="00D95A67" w:rsidP="00D95A67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60C">
              <w:rPr>
                <w:rFonts w:ascii="Times New Roman" w:hAnsi="Times New Roman" w:cs="Times New Roman"/>
                <w:sz w:val="20"/>
                <w:szCs w:val="20"/>
              </w:rPr>
              <w:t>v případě, že centrum bude žádat o podporu z NPU nyní, poběží od r. 2016 pět let, tj. do roku 2020, ale centrum bude muset zabezpečit udržitelnost pět let až od okamžiku komplexní dostavby,</w:t>
            </w:r>
          </w:p>
          <w:p w:rsidR="00D95A67" w:rsidRPr="001B4239" w:rsidRDefault="00D95A67" w:rsidP="00D95A67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rPr>
                <w:rFonts w:cs="Times New Roman"/>
                <w:szCs w:val="24"/>
              </w:rPr>
            </w:pPr>
            <w:r w:rsidRPr="00FE260C">
              <w:rPr>
                <w:rFonts w:ascii="Times New Roman" w:hAnsi="Times New Roman" w:cs="Times New Roman"/>
                <w:sz w:val="20"/>
                <w:szCs w:val="20"/>
              </w:rPr>
              <w:t>pokud část prostředků na dostavbu centra bude financována od r. 2016 z nového OP VVV, bude muset centrum zabezpečit kofinancování z vlastních prostředků ve výši 5</w:t>
            </w:r>
            <w:r w:rsidR="00FE26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260C">
              <w:rPr>
                <w:rFonts w:ascii="Times New Roman" w:hAnsi="Times New Roman" w:cs="Times New Roman"/>
                <w:sz w:val="20"/>
                <w:szCs w:val="20"/>
              </w:rPr>
              <w:t>procent.</w:t>
            </w:r>
            <w:r w:rsidRPr="00FE260C">
              <w:rPr>
                <w:rFonts w:cs="Times New Roman"/>
                <w:sz w:val="20"/>
                <w:szCs w:val="24"/>
              </w:rPr>
              <w:t xml:space="preserve"> </w:t>
            </w:r>
          </w:p>
        </w:tc>
      </w:tr>
      <w:tr w:rsidR="002850B8" w:rsidRPr="00FE2D61" w:rsidTr="001B4239">
        <w:tc>
          <w:tcPr>
            <w:tcW w:w="2127" w:type="dxa"/>
            <w:gridSpan w:val="2"/>
          </w:tcPr>
          <w:p w:rsidR="00D2753C" w:rsidRPr="00FE2D61" w:rsidRDefault="00D2753C" w:rsidP="000B7BB7">
            <w:pPr>
              <w:spacing w:before="60" w:after="60"/>
              <w:rPr>
                <w:rFonts w:cs="Times New Roman"/>
                <w:b/>
                <w:szCs w:val="24"/>
              </w:rPr>
            </w:pPr>
            <w:r w:rsidRPr="00FE2D61">
              <w:rPr>
                <w:rFonts w:cs="Times New Roman"/>
                <w:b/>
                <w:szCs w:val="24"/>
              </w:rPr>
              <w:t>Poznámka</w:t>
            </w:r>
          </w:p>
        </w:tc>
        <w:tc>
          <w:tcPr>
            <w:tcW w:w="7479" w:type="dxa"/>
            <w:gridSpan w:val="3"/>
          </w:tcPr>
          <w:p w:rsidR="00D2753C" w:rsidRPr="00FE2D61" w:rsidRDefault="00D2753C" w:rsidP="00DD26D3">
            <w:pPr>
              <w:spacing w:before="60" w:after="60" w:line="240" w:lineRule="auto"/>
              <w:rPr>
                <w:rFonts w:cs="Times New Roman"/>
                <w:szCs w:val="24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23B4794D"/>
    <w:multiLevelType w:val="hybridMultilevel"/>
    <w:tmpl w:val="9C304A0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42D05DDE"/>
    <w:multiLevelType w:val="hybridMultilevel"/>
    <w:tmpl w:val="8C88E11A"/>
    <w:lvl w:ilvl="0" w:tplc="9C94440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1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8"/>
  </w:num>
  <w:num w:numId="5">
    <w:abstractNumId w:val="8"/>
  </w:num>
  <w:num w:numId="6">
    <w:abstractNumId w:val="0"/>
  </w:num>
  <w:num w:numId="7">
    <w:abstractNumId w:val="10"/>
  </w:num>
  <w:num w:numId="8">
    <w:abstractNumId w:val="11"/>
  </w:num>
  <w:num w:numId="9">
    <w:abstractNumId w:val="3"/>
  </w:num>
  <w:num w:numId="10">
    <w:abstractNumId w:val="12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  <w:num w:numId="15">
    <w:abstractNumId w:val="1"/>
  </w:num>
  <w:num w:numId="16">
    <w:abstractNumId w:val="8"/>
  </w:num>
  <w:num w:numId="17">
    <w:abstractNumId w:val="8"/>
  </w:num>
  <w:num w:numId="18">
    <w:abstractNumId w:val="13"/>
  </w:num>
  <w:num w:numId="19">
    <w:abstractNumId w:val="0"/>
  </w:num>
  <w:num w:numId="20">
    <w:abstractNumId w:val="10"/>
  </w:num>
  <w:num w:numId="21">
    <w:abstractNumId w:val="11"/>
  </w:num>
  <w:num w:numId="22">
    <w:abstractNumId w:val="3"/>
  </w:num>
  <w:num w:numId="23">
    <w:abstractNumId w:val="12"/>
  </w:num>
  <w:num w:numId="24">
    <w:abstractNumId w:val="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2DBE"/>
    <w:rsid w:val="0004245B"/>
    <w:rsid w:val="000426F8"/>
    <w:rsid w:val="0005178F"/>
    <w:rsid w:val="000A08F2"/>
    <w:rsid w:val="000A69DE"/>
    <w:rsid w:val="000B7BB7"/>
    <w:rsid w:val="000F0945"/>
    <w:rsid w:val="0010270A"/>
    <w:rsid w:val="001421E4"/>
    <w:rsid w:val="0018459D"/>
    <w:rsid w:val="001845D5"/>
    <w:rsid w:val="001935B4"/>
    <w:rsid w:val="001B09DB"/>
    <w:rsid w:val="001B2134"/>
    <w:rsid w:val="001B4239"/>
    <w:rsid w:val="001C04F9"/>
    <w:rsid w:val="001F7588"/>
    <w:rsid w:val="00235AE1"/>
    <w:rsid w:val="002850B8"/>
    <w:rsid w:val="00296C86"/>
    <w:rsid w:val="002A102B"/>
    <w:rsid w:val="002B4A3E"/>
    <w:rsid w:val="002C69A4"/>
    <w:rsid w:val="00350A23"/>
    <w:rsid w:val="00431B1E"/>
    <w:rsid w:val="004A0BFB"/>
    <w:rsid w:val="004C4832"/>
    <w:rsid w:val="004D6F6B"/>
    <w:rsid w:val="00500997"/>
    <w:rsid w:val="00501017"/>
    <w:rsid w:val="0052281E"/>
    <w:rsid w:val="00526313"/>
    <w:rsid w:val="00573B4D"/>
    <w:rsid w:val="00575D74"/>
    <w:rsid w:val="00595603"/>
    <w:rsid w:val="005C7876"/>
    <w:rsid w:val="005D613D"/>
    <w:rsid w:val="005F27AE"/>
    <w:rsid w:val="00686EA8"/>
    <w:rsid w:val="006A6FA7"/>
    <w:rsid w:val="007011BD"/>
    <w:rsid w:val="007152DA"/>
    <w:rsid w:val="00737A93"/>
    <w:rsid w:val="00742563"/>
    <w:rsid w:val="007600D8"/>
    <w:rsid w:val="00774A9C"/>
    <w:rsid w:val="007A62D7"/>
    <w:rsid w:val="00806229"/>
    <w:rsid w:val="0081225A"/>
    <w:rsid w:val="0081392A"/>
    <w:rsid w:val="008146D9"/>
    <w:rsid w:val="0082306C"/>
    <w:rsid w:val="008353DD"/>
    <w:rsid w:val="008F5BA3"/>
    <w:rsid w:val="009360DE"/>
    <w:rsid w:val="009372B3"/>
    <w:rsid w:val="009510EC"/>
    <w:rsid w:val="009E437E"/>
    <w:rsid w:val="00A0019C"/>
    <w:rsid w:val="00A431A3"/>
    <w:rsid w:val="00A74241"/>
    <w:rsid w:val="00A7545D"/>
    <w:rsid w:val="00AA442B"/>
    <w:rsid w:val="00AD65D3"/>
    <w:rsid w:val="00AE72C5"/>
    <w:rsid w:val="00AF6EBB"/>
    <w:rsid w:val="00B07516"/>
    <w:rsid w:val="00B31B5B"/>
    <w:rsid w:val="00B47B5F"/>
    <w:rsid w:val="00B840EA"/>
    <w:rsid w:val="00BA2D2F"/>
    <w:rsid w:val="00BC6366"/>
    <w:rsid w:val="00BD1371"/>
    <w:rsid w:val="00C217DD"/>
    <w:rsid w:val="00C43F6D"/>
    <w:rsid w:val="00C56390"/>
    <w:rsid w:val="00C92258"/>
    <w:rsid w:val="00CC6243"/>
    <w:rsid w:val="00D03FD2"/>
    <w:rsid w:val="00D2753C"/>
    <w:rsid w:val="00D95A67"/>
    <w:rsid w:val="00DA6654"/>
    <w:rsid w:val="00DA7033"/>
    <w:rsid w:val="00DC3E84"/>
    <w:rsid w:val="00DD26D3"/>
    <w:rsid w:val="00E05352"/>
    <w:rsid w:val="00E20092"/>
    <w:rsid w:val="00E43C3D"/>
    <w:rsid w:val="00E71CB7"/>
    <w:rsid w:val="00EC3BBE"/>
    <w:rsid w:val="00EE2A12"/>
    <w:rsid w:val="00EE5B77"/>
    <w:rsid w:val="00F0067F"/>
    <w:rsid w:val="00F205FD"/>
    <w:rsid w:val="00F34368"/>
    <w:rsid w:val="00F53F73"/>
    <w:rsid w:val="00F74C5F"/>
    <w:rsid w:val="00F9010E"/>
    <w:rsid w:val="00FA0F95"/>
    <w:rsid w:val="00FD3750"/>
    <w:rsid w:val="00FE260C"/>
    <w:rsid w:val="00FE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94AE0-4B7C-471B-8102-B87DF261F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2535</Words>
  <Characters>14963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17464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6</cp:revision>
  <dcterms:created xsi:type="dcterms:W3CDTF">2015-04-01T07:26:00Z</dcterms:created>
  <dcterms:modified xsi:type="dcterms:W3CDTF">2015-04-01T07:58:00Z</dcterms:modified>
</cp:coreProperties>
</file>