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katabulky"/>
        <w:tblW w:w="0" w:type="auto"/>
        <w:tblInd w:w="-318" w:type="dxa"/>
        <w:tblLook w:val="04A0" w:firstRow="1" w:lastRow="0" w:firstColumn="1" w:lastColumn="0" w:noHBand="0" w:noVBand="1"/>
      </w:tblPr>
      <w:tblGrid>
        <w:gridCol w:w="2298"/>
        <w:gridCol w:w="538"/>
        <w:gridCol w:w="2934"/>
        <w:gridCol w:w="373"/>
        <w:gridCol w:w="761"/>
        <w:gridCol w:w="2546"/>
      </w:tblGrid>
      <w:tr w:rsidR="00AE72C5" w:rsidTr="00F74C5F">
        <w:trPr>
          <w:trHeight w:val="558"/>
        </w:trPr>
        <w:tc>
          <w:tcPr>
            <w:tcW w:w="9450" w:type="dxa"/>
            <w:gridSpan w:val="6"/>
            <w:shd w:val="clear" w:color="auto" w:fill="D9D9D9" w:themeFill="background1" w:themeFillShade="D9"/>
          </w:tcPr>
          <w:p w:rsidR="00AE72C5" w:rsidRDefault="00AE72C5" w:rsidP="00AE72C5">
            <w:pPr>
              <w:pStyle w:val="Nzev"/>
              <w:jc w:val="center"/>
              <w:rPr>
                <w:rFonts w:asciiTheme="minorHAnsi" w:hAnsiTheme="minorHAnsi" w:cs="Aharoni"/>
                <w:b/>
                <w:sz w:val="44"/>
              </w:rPr>
            </w:pPr>
            <w:r w:rsidRPr="00AE72C5">
              <w:rPr>
                <w:rFonts w:asciiTheme="minorHAnsi" w:hAnsiTheme="minorHAnsi" w:cs="Aharoni"/>
                <w:b/>
                <w:sz w:val="44"/>
              </w:rPr>
              <w:t>Karta výzkumného centra</w:t>
            </w:r>
          </w:p>
          <w:p w:rsidR="00AE72C5" w:rsidRPr="00AE72C5" w:rsidRDefault="00AE72C5" w:rsidP="00AE72C5">
            <w:pPr>
              <w:spacing w:after="0"/>
              <w:jc w:val="center"/>
            </w:pPr>
            <w:r>
              <w:t>financovaného z </w:t>
            </w:r>
            <w:r w:rsidR="00E71CB7">
              <w:t>O</w:t>
            </w:r>
            <w:r>
              <w:t xml:space="preserve">peračního programu </w:t>
            </w:r>
            <w:r w:rsidR="00E71CB7">
              <w:t>V</w:t>
            </w:r>
            <w:r>
              <w:t>ýzkum a vývoj pro inovace (OP VaVpI)</w:t>
            </w:r>
          </w:p>
        </w:tc>
      </w:tr>
      <w:tr w:rsidR="0052281E" w:rsidTr="00F74C5F">
        <w:trPr>
          <w:trHeight w:val="277"/>
        </w:trPr>
        <w:tc>
          <w:tcPr>
            <w:tcW w:w="9450" w:type="dxa"/>
            <w:gridSpan w:val="6"/>
            <w:shd w:val="clear" w:color="auto" w:fill="595959" w:themeFill="text1" w:themeFillTint="A6"/>
          </w:tcPr>
          <w:p w:rsidR="0052281E" w:rsidRPr="0052281E" w:rsidRDefault="0052281E" w:rsidP="0052281E">
            <w:pPr>
              <w:spacing w:before="60" w:after="60" w:line="240" w:lineRule="auto"/>
              <w:jc w:val="center"/>
              <w:rPr>
                <w:rFonts w:ascii="Arial" w:hAnsi="Arial" w:cs="Arial"/>
                <w:b/>
              </w:rPr>
            </w:pPr>
            <w:r w:rsidRPr="0052281E">
              <w:rPr>
                <w:rFonts w:ascii="Arial" w:hAnsi="Arial" w:cs="Arial"/>
                <w:b/>
                <w:color w:val="FFFFFF" w:themeColor="background1"/>
                <w:sz w:val="22"/>
              </w:rPr>
              <w:t>Faktografické údaje</w:t>
            </w:r>
          </w:p>
        </w:tc>
      </w:tr>
      <w:tr w:rsidR="00AE72C5" w:rsidTr="00F74C5F">
        <w:trPr>
          <w:trHeight w:val="277"/>
        </w:trPr>
        <w:tc>
          <w:tcPr>
            <w:tcW w:w="2836" w:type="dxa"/>
            <w:gridSpan w:val="2"/>
          </w:tcPr>
          <w:p w:rsidR="00AE72C5" w:rsidRPr="00F74C5F" w:rsidRDefault="00E71CB7" w:rsidP="00F74C5F">
            <w:pPr>
              <w:spacing w:before="60" w:after="60" w:line="240" w:lineRule="auto"/>
              <w:rPr>
                <w:rFonts w:asciiTheme="minorHAnsi" w:hAnsiTheme="minorHAnsi" w:cstheme="minorHAnsi"/>
                <w:b/>
                <w:sz w:val="22"/>
              </w:rPr>
            </w:pPr>
            <w:r w:rsidRPr="00F74C5F">
              <w:rPr>
                <w:rFonts w:asciiTheme="minorHAnsi" w:hAnsiTheme="minorHAnsi" w:cstheme="minorHAnsi"/>
                <w:b/>
                <w:sz w:val="22"/>
              </w:rPr>
              <w:t>Název projektu</w:t>
            </w:r>
          </w:p>
        </w:tc>
        <w:tc>
          <w:tcPr>
            <w:tcW w:w="6614" w:type="dxa"/>
            <w:gridSpan w:val="4"/>
          </w:tcPr>
          <w:p w:rsidR="00393A32" w:rsidRPr="00602BAC" w:rsidRDefault="00AA5954" w:rsidP="003F667A">
            <w:pPr>
              <w:spacing w:before="120" w:after="60" w:line="240" w:lineRule="auto"/>
              <w:rPr>
                <w:rFonts w:ascii="Arial" w:hAnsi="Arial" w:cs="Arial"/>
              </w:rPr>
            </w:pPr>
            <w:r w:rsidRPr="00AA5954">
              <w:rPr>
                <w:rFonts w:ascii="Arial" w:hAnsi="Arial" w:cs="Arial"/>
              </w:rPr>
              <w:t>Centrum polymerních systémů</w:t>
            </w:r>
          </w:p>
        </w:tc>
      </w:tr>
      <w:tr w:rsidR="00E71CB7" w:rsidTr="00F74C5F">
        <w:trPr>
          <w:trHeight w:val="277"/>
        </w:trPr>
        <w:tc>
          <w:tcPr>
            <w:tcW w:w="2836" w:type="dxa"/>
            <w:gridSpan w:val="2"/>
          </w:tcPr>
          <w:p w:rsidR="00E71CB7" w:rsidRPr="00F74C5F" w:rsidRDefault="00E71CB7" w:rsidP="00F74C5F">
            <w:pPr>
              <w:spacing w:before="60" w:after="60" w:line="240" w:lineRule="auto"/>
              <w:rPr>
                <w:rFonts w:asciiTheme="minorHAnsi" w:hAnsiTheme="minorHAnsi" w:cstheme="minorHAnsi"/>
                <w:b/>
                <w:sz w:val="22"/>
              </w:rPr>
            </w:pPr>
            <w:r w:rsidRPr="00F74C5F">
              <w:rPr>
                <w:rFonts w:asciiTheme="minorHAnsi" w:hAnsiTheme="minorHAnsi" w:cstheme="minorHAnsi"/>
                <w:b/>
                <w:sz w:val="22"/>
              </w:rPr>
              <w:t>Název příjemce</w:t>
            </w:r>
          </w:p>
        </w:tc>
        <w:tc>
          <w:tcPr>
            <w:tcW w:w="6614" w:type="dxa"/>
            <w:gridSpan w:val="4"/>
          </w:tcPr>
          <w:p w:rsidR="00393A32" w:rsidRPr="00602BAC" w:rsidRDefault="00393A32" w:rsidP="00393A32">
            <w:pPr>
              <w:spacing w:before="120" w:after="60" w:line="240" w:lineRule="auto"/>
              <w:rPr>
                <w:rFonts w:ascii="Arial" w:hAnsi="Arial" w:cs="Arial"/>
              </w:rPr>
            </w:pPr>
            <w:r w:rsidRPr="00393A32">
              <w:rPr>
                <w:rFonts w:ascii="Arial" w:hAnsi="Arial" w:cs="Arial"/>
              </w:rPr>
              <w:t>Univerzita Tomáše Bati ve Zlíně</w:t>
            </w:r>
          </w:p>
        </w:tc>
      </w:tr>
      <w:tr w:rsidR="00E71CB7" w:rsidTr="00F74C5F">
        <w:trPr>
          <w:trHeight w:val="277"/>
        </w:trPr>
        <w:tc>
          <w:tcPr>
            <w:tcW w:w="2836" w:type="dxa"/>
            <w:gridSpan w:val="2"/>
          </w:tcPr>
          <w:p w:rsidR="00E71CB7" w:rsidRPr="00F74C5F" w:rsidRDefault="00E71CB7" w:rsidP="00F74C5F">
            <w:pPr>
              <w:spacing w:before="60" w:after="60" w:line="240" w:lineRule="auto"/>
              <w:rPr>
                <w:rFonts w:asciiTheme="minorHAnsi" w:hAnsiTheme="minorHAnsi" w:cstheme="minorHAnsi"/>
                <w:b/>
                <w:sz w:val="22"/>
              </w:rPr>
            </w:pPr>
            <w:r w:rsidRPr="00F74C5F">
              <w:rPr>
                <w:rFonts w:asciiTheme="minorHAnsi" w:hAnsiTheme="minorHAnsi" w:cstheme="minorHAnsi"/>
                <w:b/>
                <w:sz w:val="22"/>
              </w:rPr>
              <w:t xml:space="preserve">Registrační číslo </w:t>
            </w:r>
            <w:r w:rsidR="00F74C5F" w:rsidRPr="00F74C5F">
              <w:rPr>
                <w:rFonts w:asciiTheme="minorHAnsi" w:hAnsiTheme="minorHAnsi" w:cstheme="minorHAnsi"/>
                <w:b/>
                <w:sz w:val="22"/>
              </w:rPr>
              <w:t>p</w:t>
            </w:r>
            <w:r w:rsidRPr="00F74C5F">
              <w:rPr>
                <w:rFonts w:asciiTheme="minorHAnsi" w:hAnsiTheme="minorHAnsi" w:cstheme="minorHAnsi"/>
                <w:b/>
                <w:sz w:val="22"/>
              </w:rPr>
              <w:t>rojektu</w:t>
            </w:r>
          </w:p>
        </w:tc>
        <w:tc>
          <w:tcPr>
            <w:tcW w:w="6614" w:type="dxa"/>
            <w:gridSpan w:val="4"/>
          </w:tcPr>
          <w:p w:rsidR="00E71CB7" w:rsidRPr="00602BAC" w:rsidRDefault="00AA5954" w:rsidP="00393A32">
            <w:pPr>
              <w:spacing w:before="120" w:after="60" w:line="240" w:lineRule="auto"/>
              <w:rPr>
                <w:rFonts w:ascii="Arial" w:hAnsi="Arial" w:cs="Arial"/>
              </w:rPr>
            </w:pPr>
            <w:r w:rsidRPr="00AA5954">
              <w:rPr>
                <w:rFonts w:ascii="Arial" w:hAnsi="Arial" w:cs="Arial"/>
              </w:rPr>
              <w:t>CZ.1.05/2.1.00/03.0111</w:t>
            </w:r>
          </w:p>
        </w:tc>
      </w:tr>
      <w:tr w:rsidR="00F74C5F" w:rsidTr="00F74C5F">
        <w:trPr>
          <w:trHeight w:val="277"/>
        </w:trPr>
        <w:tc>
          <w:tcPr>
            <w:tcW w:w="2836" w:type="dxa"/>
            <w:gridSpan w:val="2"/>
          </w:tcPr>
          <w:p w:rsidR="00F74C5F" w:rsidRPr="00F74C5F" w:rsidRDefault="00F74C5F" w:rsidP="00F74C5F">
            <w:pPr>
              <w:spacing w:before="60" w:after="60" w:line="240" w:lineRule="auto"/>
              <w:rPr>
                <w:rFonts w:asciiTheme="minorHAnsi" w:hAnsiTheme="minorHAnsi" w:cstheme="minorHAnsi"/>
                <w:b/>
                <w:sz w:val="22"/>
              </w:rPr>
            </w:pPr>
            <w:r w:rsidRPr="00F74C5F">
              <w:rPr>
                <w:rFonts w:asciiTheme="minorHAnsi" w:hAnsiTheme="minorHAnsi" w:cstheme="minorHAnsi"/>
                <w:b/>
                <w:sz w:val="22"/>
              </w:rPr>
              <w:t>Sídlo příjemce</w:t>
            </w:r>
          </w:p>
        </w:tc>
        <w:tc>
          <w:tcPr>
            <w:tcW w:w="6614" w:type="dxa"/>
            <w:gridSpan w:val="4"/>
          </w:tcPr>
          <w:p w:rsidR="006025C6" w:rsidRPr="00602BAC" w:rsidRDefault="00393A32" w:rsidP="00393A32">
            <w:pPr>
              <w:spacing w:before="120" w:after="60" w:line="240" w:lineRule="auto"/>
              <w:rPr>
                <w:rFonts w:ascii="Arial" w:hAnsi="Arial" w:cs="Arial"/>
              </w:rPr>
            </w:pPr>
            <w:r w:rsidRPr="00393A32">
              <w:rPr>
                <w:rFonts w:ascii="Arial" w:hAnsi="Arial" w:cs="Arial"/>
              </w:rPr>
              <w:t>nám. T. G. Masaryka 5555, 760 01 Zlín</w:t>
            </w:r>
          </w:p>
        </w:tc>
      </w:tr>
      <w:tr w:rsidR="00F74C5F" w:rsidTr="00F74C5F">
        <w:trPr>
          <w:trHeight w:val="277"/>
        </w:trPr>
        <w:tc>
          <w:tcPr>
            <w:tcW w:w="2836" w:type="dxa"/>
            <w:gridSpan w:val="2"/>
          </w:tcPr>
          <w:p w:rsidR="00F74C5F" w:rsidRPr="00F74C5F" w:rsidRDefault="00F74C5F" w:rsidP="00F74C5F">
            <w:pPr>
              <w:spacing w:before="60" w:after="60" w:line="240" w:lineRule="auto"/>
              <w:rPr>
                <w:rFonts w:asciiTheme="minorHAnsi" w:hAnsiTheme="minorHAnsi" w:cstheme="minorHAnsi"/>
                <w:b/>
                <w:sz w:val="22"/>
              </w:rPr>
            </w:pPr>
            <w:r w:rsidRPr="00F74C5F">
              <w:rPr>
                <w:rFonts w:asciiTheme="minorHAnsi" w:hAnsiTheme="minorHAnsi" w:cstheme="minorHAnsi"/>
                <w:b/>
                <w:sz w:val="22"/>
              </w:rPr>
              <w:t>Číslo a název výzvy</w:t>
            </w:r>
          </w:p>
        </w:tc>
        <w:tc>
          <w:tcPr>
            <w:tcW w:w="6614" w:type="dxa"/>
            <w:gridSpan w:val="4"/>
          </w:tcPr>
          <w:p w:rsidR="00F74C5F" w:rsidRPr="00602BAC" w:rsidRDefault="00D46201" w:rsidP="005E60A5">
            <w:pPr>
              <w:spacing w:before="120" w:after="60" w:line="240" w:lineRule="auto"/>
              <w:rPr>
                <w:rFonts w:ascii="Arial" w:hAnsi="Arial" w:cs="Arial"/>
              </w:rPr>
            </w:pPr>
            <w:r>
              <w:rPr>
                <w:rFonts w:ascii="Arial" w:hAnsi="Arial" w:cs="Arial"/>
                <w:sz w:val="22"/>
              </w:rPr>
              <w:t xml:space="preserve">2.2. Regionální </w:t>
            </w:r>
            <w:proofErr w:type="spellStart"/>
            <w:r>
              <w:rPr>
                <w:rFonts w:ascii="Arial" w:hAnsi="Arial" w:cs="Arial"/>
                <w:sz w:val="22"/>
              </w:rPr>
              <w:t>VaV</w:t>
            </w:r>
            <w:proofErr w:type="spellEnd"/>
            <w:r>
              <w:rPr>
                <w:rFonts w:ascii="Arial" w:hAnsi="Arial" w:cs="Arial"/>
                <w:sz w:val="22"/>
              </w:rPr>
              <w:t xml:space="preserve"> centra</w:t>
            </w:r>
          </w:p>
        </w:tc>
      </w:tr>
      <w:tr w:rsidR="00F74C5F" w:rsidTr="00F74C5F">
        <w:trPr>
          <w:trHeight w:val="277"/>
        </w:trPr>
        <w:tc>
          <w:tcPr>
            <w:tcW w:w="2836" w:type="dxa"/>
            <w:gridSpan w:val="2"/>
          </w:tcPr>
          <w:p w:rsidR="00F74C5F" w:rsidRPr="00F74C5F" w:rsidRDefault="00F74C5F" w:rsidP="00F74C5F">
            <w:pPr>
              <w:spacing w:before="60" w:after="60" w:line="240" w:lineRule="auto"/>
              <w:rPr>
                <w:rFonts w:asciiTheme="minorHAnsi" w:hAnsiTheme="minorHAnsi" w:cstheme="minorHAnsi"/>
                <w:b/>
                <w:sz w:val="22"/>
              </w:rPr>
            </w:pPr>
            <w:r w:rsidRPr="00F74C5F">
              <w:rPr>
                <w:rFonts w:asciiTheme="minorHAnsi" w:hAnsiTheme="minorHAnsi" w:cstheme="minorHAnsi"/>
                <w:b/>
                <w:sz w:val="22"/>
              </w:rPr>
              <w:t>Datum podpisu Rozhodnutí</w:t>
            </w:r>
          </w:p>
        </w:tc>
        <w:tc>
          <w:tcPr>
            <w:tcW w:w="6614" w:type="dxa"/>
            <w:gridSpan w:val="4"/>
          </w:tcPr>
          <w:p w:rsidR="00F74C5F" w:rsidRPr="00AE72C5" w:rsidRDefault="00AA5954" w:rsidP="00F4119B">
            <w:pPr>
              <w:spacing w:before="120" w:after="60" w:line="240" w:lineRule="auto"/>
              <w:rPr>
                <w:rFonts w:ascii="Arial" w:hAnsi="Arial" w:cs="Arial"/>
              </w:rPr>
            </w:pPr>
            <w:r>
              <w:rPr>
                <w:rFonts w:ascii="Arial" w:hAnsi="Arial" w:cs="Arial"/>
              </w:rPr>
              <w:t>20</w:t>
            </w:r>
            <w:r w:rsidR="00A02D48" w:rsidRPr="00602BAC">
              <w:rPr>
                <w:rFonts w:ascii="Arial" w:hAnsi="Arial" w:cs="Arial"/>
              </w:rPr>
              <w:t>.</w:t>
            </w:r>
            <w:r w:rsidR="00EA5BB7" w:rsidRPr="00602BAC">
              <w:rPr>
                <w:rFonts w:ascii="Arial" w:hAnsi="Arial" w:cs="Arial"/>
              </w:rPr>
              <w:t xml:space="preserve"> </w:t>
            </w:r>
            <w:r w:rsidR="00F4119B">
              <w:rPr>
                <w:rFonts w:ascii="Arial" w:hAnsi="Arial" w:cs="Arial"/>
              </w:rPr>
              <w:t>1</w:t>
            </w:r>
            <w:r>
              <w:rPr>
                <w:rFonts w:ascii="Arial" w:hAnsi="Arial" w:cs="Arial"/>
              </w:rPr>
              <w:t>2</w:t>
            </w:r>
            <w:r w:rsidR="00EA5BB7" w:rsidRPr="00602BAC">
              <w:rPr>
                <w:rFonts w:ascii="Arial" w:hAnsi="Arial" w:cs="Arial"/>
              </w:rPr>
              <w:t>. 20</w:t>
            </w:r>
            <w:r>
              <w:rPr>
                <w:rFonts w:ascii="Arial" w:hAnsi="Arial" w:cs="Arial"/>
              </w:rPr>
              <w:t>10</w:t>
            </w:r>
          </w:p>
        </w:tc>
      </w:tr>
      <w:tr w:rsidR="00F74C5F" w:rsidTr="00F74C5F">
        <w:trPr>
          <w:trHeight w:val="623"/>
        </w:trPr>
        <w:tc>
          <w:tcPr>
            <w:tcW w:w="2836" w:type="dxa"/>
            <w:gridSpan w:val="2"/>
          </w:tcPr>
          <w:p w:rsidR="00F74C5F" w:rsidRPr="00F74C5F" w:rsidRDefault="00F74C5F" w:rsidP="00F74C5F">
            <w:pPr>
              <w:spacing w:before="60" w:after="60" w:line="240" w:lineRule="auto"/>
              <w:rPr>
                <w:rFonts w:asciiTheme="minorHAnsi" w:hAnsiTheme="minorHAnsi" w:cstheme="minorHAnsi"/>
                <w:b/>
                <w:sz w:val="22"/>
              </w:rPr>
            </w:pPr>
            <w:r>
              <w:rPr>
                <w:rFonts w:ascii="Arial" w:hAnsi="Arial" w:cs="Arial"/>
                <w:b/>
                <w:sz w:val="20"/>
              </w:rPr>
              <w:t>Období realizace projektu</w:t>
            </w:r>
          </w:p>
        </w:tc>
        <w:tc>
          <w:tcPr>
            <w:tcW w:w="3307" w:type="dxa"/>
            <w:gridSpan w:val="2"/>
          </w:tcPr>
          <w:p w:rsidR="00E20092" w:rsidRDefault="00E20092" w:rsidP="00526313">
            <w:pPr>
              <w:spacing w:before="120" w:after="60" w:line="240" w:lineRule="auto"/>
              <w:contextualSpacing/>
              <w:rPr>
                <w:sz w:val="18"/>
              </w:rPr>
            </w:pPr>
          </w:p>
          <w:p w:rsidR="00F74C5F" w:rsidRPr="00AA442B" w:rsidRDefault="00F74C5F" w:rsidP="00526313">
            <w:pPr>
              <w:spacing w:before="120" w:after="60" w:line="240" w:lineRule="auto"/>
              <w:contextualSpacing/>
              <w:rPr>
                <w:sz w:val="18"/>
              </w:rPr>
            </w:pPr>
            <w:r w:rsidRPr="00AA442B">
              <w:rPr>
                <w:sz w:val="18"/>
              </w:rPr>
              <w:t xml:space="preserve">Datum zahájení </w:t>
            </w:r>
          </w:p>
          <w:p w:rsidR="00F74C5F" w:rsidRDefault="00F74C5F" w:rsidP="00526313">
            <w:pPr>
              <w:spacing w:before="120" w:after="60" w:line="240" w:lineRule="auto"/>
              <w:contextualSpacing/>
              <w:rPr>
                <w:sz w:val="18"/>
              </w:rPr>
            </w:pPr>
            <w:r w:rsidRPr="00AA442B">
              <w:rPr>
                <w:sz w:val="18"/>
              </w:rPr>
              <w:t>realizace projektu:</w:t>
            </w:r>
            <w:r w:rsidR="00A02D48">
              <w:rPr>
                <w:sz w:val="18"/>
              </w:rPr>
              <w:t xml:space="preserve"> </w:t>
            </w:r>
            <w:r w:rsidR="00A02D48" w:rsidRPr="00602BAC">
              <w:rPr>
                <w:sz w:val="18"/>
              </w:rPr>
              <w:t>1. </w:t>
            </w:r>
            <w:r w:rsidR="00AA5954">
              <w:rPr>
                <w:sz w:val="18"/>
              </w:rPr>
              <w:t>1</w:t>
            </w:r>
            <w:r w:rsidR="00E42722" w:rsidRPr="00602BAC">
              <w:rPr>
                <w:sz w:val="18"/>
              </w:rPr>
              <w:t>. 201</w:t>
            </w:r>
            <w:r w:rsidR="00F4119B">
              <w:rPr>
                <w:sz w:val="18"/>
              </w:rPr>
              <w:t>1</w:t>
            </w:r>
          </w:p>
          <w:p w:rsidR="00AA442B" w:rsidRPr="00AA442B" w:rsidRDefault="00AA442B" w:rsidP="00526313">
            <w:pPr>
              <w:spacing w:before="120" w:after="60" w:line="240" w:lineRule="auto"/>
              <w:contextualSpacing/>
              <w:rPr>
                <w:sz w:val="18"/>
              </w:rPr>
            </w:pPr>
          </w:p>
        </w:tc>
        <w:tc>
          <w:tcPr>
            <w:tcW w:w="3307" w:type="dxa"/>
            <w:gridSpan w:val="2"/>
          </w:tcPr>
          <w:p w:rsidR="000F0945" w:rsidRPr="00AA442B" w:rsidRDefault="000F0945" w:rsidP="00526313">
            <w:pPr>
              <w:spacing w:before="120" w:after="0" w:line="240" w:lineRule="auto"/>
              <w:contextualSpacing/>
              <w:rPr>
                <w:sz w:val="18"/>
              </w:rPr>
            </w:pPr>
          </w:p>
          <w:p w:rsidR="00F74C5F" w:rsidRPr="00AA442B" w:rsidRDefault="00F74C5F" w:rsidP="00526313">
            <w:pPr>
              <w:spacing w:before="120" w:after="0" w:line="240" w:lineRule="auto"/>
              <w:contextualSpacing/>
              <w:rPr>
                <w:sz w:val="18"/>
              </w:rPr>
            </w:pPr>
            <w:r w:rsidRPr="00AA442B">
              <w:rPr>
                <w:sz w:val="18"/>
              </w:rPr>
              <w:t xml:space="preserve">Datum ukončení </w:t>
            </w:r>
          </w:p>
          <w:p w:rsidR="00F74C5F" w:rsidRPr="00AA442B" w:rsidRDefault="00F74C5F" w:rsidP="00AA5954">
            <w:pPr>
              <w:spacing w:before="120" w:after="0" w:line="240" w:lineRule="auto"/>
              <w:contextualSpacing/>
              <w:rPr>
                <w:sz w:val="18"/>
              </w:rPr>
            </w:pPr>
            <w:r w:rsidRPr="00AA442B">
              <w:rPr>
                <w:sz w:val="18"/>
              </w:rPr>
              <w:t>realizace projektu</w:t>
            </w:r>
            <w:r w:rsidR="00526313" w:rsidRPr="00AA442B">
              <w:rPr>
                <w:sz w:val="18"/>
              </w:rPr>
              <w:t>:</w:t>
            </w:r>
            <w:r w:rsidR="00A02D48">
              <w:rPr>
                <w:sz w:val="18"/>
              </w:rPr>
              <w:t xml:space="preserve"> </w:t>
            </w:r>
            <w:r w:rsidR="00F4119B">
              <w:rPr>
                <w:sz w:val="18"/>
              </w:rPr>
              <w:t>30. </w:t>
            </w:r>
            <w:r w:rsidR="00AA5954">
              <w:rPr>
                <w:sz w:val="18"/>
              </w:rPr>
              <w:t>4. 2015</w:t>
            </w:r>
          </w:p>
        </w:tc>
      </w:tr>
      <w:tr w:rsidR="00F74C5F" w:rsidTr="00B04EB5">
        <w:trPr>
          <w:trHeight w:val="277"/>
        </w:trPr>
        <w:tc>
          <w:tcPr>
            <w:tcW w:w="2836" w:type="dxa"/>
            <w:gridSpan w:val="2"/>
          </w:tcPr>
          <w:p w:rsidR="00F74C5F" w:rsidRPr="00F74C5F" w:rsidRDefault="00F74C5F" w:rsidP="00F74C5F">
            <w:pPr>
              <w:spacing w:before="60" w:after="60" w:line="240" w:lineRule="auto"/>
              <w:rPr>
                <w:rFonts w:asciiTheme="minorHAnsi" w:hAnsiTheme="minorHAnsi" w:cstheme="minorHAnsi"/>
                <w:b/>
                <w:sz w:val="22"/>
              </w:rPr>
            </w:pPr>
            <w:r>
              <w:rPr>
                <w:rFonts w:asciiTheme="minorHAnsi" w:hAnsiTheme="minorHAnsi" w:cstheme="minorHAnsi"/>
                <w:b/>
                <w:sz w:val="22"/>
              </w:rPr>
              <w:t>Výše podpory</w:t>
            </w:r>
          </w:p>
        </w:tc>
        <w:tc>
          <w:tcPr>
            <w:tcW w:w="3307" w:type="dxa"/>
            <w:gridSpan w:val="2"/>
          </w:tcPr>
          <w:p w:rsidR="00526313" w:rsidRPr="00393A32" w:rsidRDefault="00526313" w:rsidP="0052281E">
            <w:pPr>
              <w:spacing w:before="120" w:after="60" w:line="240" w:lineRule="auto"/>
              <w:contextualSpacing/>
              <w:rPr>
                <w:sz w:val="18"/>
                <w:highlight w:val="yellow"/>
              </w:rPr>
            </w:pPr>
          </w:p>
          <w:p w:rsidR="00F74C5F" w:rsidRPr="00264D03" w:rsidRDefault="00F74C5F" w:rsidP="0052281E">
            <w:pPr>
              <w:spacing w:before="120" w:after="60" w:line="240" w:lineRule="auto"/>
              <w:contextualSpacing/>
              <w:rPr>
                <w:sz w:val="18"/>
              </w:rPr>
            </w:pPr>
            <w:r w:rsidRPr="00264D03">
              <w:rPr>
                <w:sz w:val="18"/>
              </w:rPr>
              <w:t>Celková výše dotace v Kč:</w:t>
            </w:r>
          </w:p>
          <w:p w:rsidR="007A62D7" w:rsidRPr="00264D03" w:rsidRDefault="007A62D7" w:rsidP="0052281E">
            <w:pPr>
              <w:spacing w:before="120" w:after="60" w:line="240" w:lineRule="auto"/>
              <w:contextualSpacing/>
              <w:rPr>
                <w:sz w:val="18"/>
              </w:rPr>
            </w:pPr>
            <w:r w:rsidRPr="00264D03">
              <w:rPr>
                <w:sz w:val="18"/>
              </w:rPr>
              <w:t>(částka z RoPD bez snížení):</w:t>
            </w:r>
          </w:p>
          <w:p w:rsidR="00A02D48" w:rsidRPr="00393A32" w:rsidRDefault="00807A9D" w:rsidP="00807A9D">
            <w:pPr>
              <w:spacing w:before="120" w:after="60" w:line="240" w:lineRule="auto"/>
              <w:contextualSpacing/>
              <w:rPr>
                <w:sz w:val="18"/>
                <w:highlight w:val="yellow"/>
              </w:rPr>
            </w:pPr>
            <w:r>
              <w:rPr>
                <w:sz w:val="18"/>
              </w:rPr>
              <w:t>754 042 805</w:t>
            </w:r>
          </w:p>
        </w:tc>
        <w:tc>
          <w:tcPr>
            <w:tcW w:w="3307" w:type="dxa"/>
            <w:gridSpan w:val="2"/>
          </w:tcPr>
          <w:p w:rsidR="00F34368" w:rsidRPr="00264D03" w:rsidRDefault="00F34368" w:rsidP="00F34368">
            <w:pPr>
              <w:spacing w:before="60" w:after="60" w:line="240" w:lineRule="auto"/>
              <w:rPr>
                <w:sz w:val="18"/>
              </w:rPr>
            </w:pPr>
            <w:r w:rsidRPr="00264D03">
              <w:rPr>
                <w:sz w:val="18"/>
              </w:rPr>
              <w:t>Podíl ze státního rozpočtu v CZK (15 %):</w:t>
            </w:r>
          </w:p>
          <w:p w:rsidR="00F34368" w:rsidRPr="00264D03" w:rsidRDefault="00807A9D" w:rsidP="00F34368">
            <w:pPr>
              <w:spacing w:before="60" w:after="60" w:line="240" w:lineRule="auto"/>
              <w:rPr>
                <w:sz w:val="18"/>
              </w:rPr>
            </w:pPr>
            <w:r>
              <w:rPr>
                <w:sz w:val="18"/>
              </w:rPr>
              <w:t>113 106</w:t>
            </w:r>
            <w:r w:rsidR="00C74456">
              <w:rPr>
                <w:sz w:val="18"/>
              </w:rPr>
              <w:t> 420,75</w:t>
            </w:r>
          </w:p>
          <w:p w:rsidR="00F74C5F" w:rsidRPr="00264D03" w:rsidRDefault="00F34368" w:rsidP="00F34368">
            <w:pPr>
              <w:spacing w:before="60" w:after="60" w:line="240" w:lineRule="auto"/>
              <w:rPr>
                <w:sz w:val="18"/>
              </w:rPr>
            </w:pPr>
            <w:r w:rsidRPr="00264D03">
              <w:rPr>
                <w:sz w:val="18"/>
              </w:rPr>
              <w:t>Podíl z EU v  CZK  (85 %):</w:t>
            </w:r>
          </w:p>
          <w:p w:rsidR="00F34368" w:rsidRPr="00393A32" w:rsidRDefault="00807A9D" w:rsidP="00807A9D">
            <w:pPr>
              <w:spacing w:before="60" w:after="60" w:line="240" w:lineRule="auto"/>
              <w:rPr>
                <w:sz w:val="18"/>
                <w:highlight w:val="yellow"/>
              </w:rPr>
            </w:pPr>
            <w:r>
              <w:rPr>
                <w:sz w:val="18"/>
              </w:rPr>
              <w:t>640 936</w:t>
            </w:r>
            <w:r w:rsidR="00C74456">
              <w:rPr>
                <w:sz w:val="18"/>
              </w:rPr>
              <w:t> </w:t>
            </w:r>
            <w:r>
              <w:rPr>
                <w:sz w:val="18"/>
              </w:rPr>
              <w:t>384</w:t>
            </w:r>
            <w:r w:rsidR="00C74456">
              <w:rPr>
                <w:sz w:val="18"/>
              </w:rPr>
              <w:t>,25</w:t>
            </w:r>
          </w:p>
        </w:tc>
      </w:tr>
      <w:tr w:rsidR="00F34368" w:rsidTr="000A341F">
        <w:trPr>
          <w:trHeight w:val="277"/>
        </w:trPr>
        <w:tc>
          <w:tcPr>
            <w:tcW w:w="2836" w:type="dxa"/>
            <w:gridSpan w:val="2"/>
          </w:tcPr>
          <w:p w:rsidR="00F34368" w:rsidRDefault="00F34368" w:rsidP="00F74C5F">
            <w:pPr>
              <w:spacing w:before="60" w:after="60" w:line="240" w:lineRule="auto"/>
              <w:rPr>
                <w:rFonts w:asciiTheme="minorHAnsi" w:hAnsiTheme="minorHAnsi" w:cstheme="minorHAnsi"/>
                <w:b/>
                <w:sz w:val="22"/>
              </w:rPr>
            </w:pPr>
            <w:r>
              <w:rPr>
                <w:rFonts w:ascii="Arial" w:hAnsi="Arial" w:cs="Arial"/>
                <w:b/>
                <w:sz w:val="20"/>
              </w:rPr>
              <w:t>Struktura výdajů</w:t>
            </w:r>
          </w:p>
        </w:tc>
        <w:tc>
          <w:tcPr>
            <w:tcW w:w="6614" w:type="dxa"/>
            <w:gridSpan w:val="4"/>
          </w:tcPr>
          <w:p w:rsidR="00F34368" w:rsidRPr="00602BAC" w:rsidRDefault="0018459D" w:rsidP="00F34368">
            <w:pPr>
              <w:spacing w:before="60" w:after="60" w:line="240" w:lineRule="auto"/>
              <w:rPr>
                <w:sz w:val="18"/>
              </w:rPr>
            </w:pPr>
            <w:r w:rsidRPr="00602BAC">
              <w:rPr>
                <w:sz w:val="18"/>
              </w:rPr>
              <w:t>Stavební část:</w:t>
            </w:r>
            <w:r w:rsidR="00393A32">
              <w:rPr>
                <w:sz w:val="18"/>
              </w:rPr>
              <w:t xml:space="preserve"> </w:t>
            </w:r>
            <w:r w:rsidR="00264D03">
              <w:rPr>
                <w:sz w:val="18"/>
              </w:rPr>
              <w:t>není relevantní –</w:t>
            </w:r>
            <w:r w:rsidR="00907110">
              <w:rPr>
                <w:sz w:val="18"/>
              </w:rPr>
              <w:t xml:space="preserve"> 442 975 864</w:t>
            </w:r>
          </w:p>
          <w:p w:rsidR="00F34368" w:rsidRPr="00264D03" w:rsidRDefault="00F34368" w:rsidP="00F34368">
            <w:pPr>
              <w:spacing w:before="60" w:after="60" w:line="240" w:lineRule="auto"/>
              <w:rPr>
                <w:sz w:val="18"/>
              </w:rPr>
            </w:pPr>
            <w:r w:rsidRPr="00264D03">
              <w:rPr>
                <w:sz w:val="18"/>
              </w:rPr>
              <w:t>Přístrojové vybavení</w:t>
            </w:r>
            <w:r w:rsidR="0018459D" w:rsidRPr="00264D03">
              <w:rPr>
                <w:sz w:val="18"/>
              </w:rPr>
              <w:t>:</w:t>
            </w:r>
            <w:r w:rsidR="00A02D48" w:rsidRPr="00264D03">
              <w:rPr>
                <w:sz w:val="18"/>
              </w:rPr>
              <w:t xml:space="preserve"> </w:t>
            </w:r>
            <w:r w:rsidR="00907110">
              <w:rPr>
                <w:sz w:val="18"/>
              </w:rPr>
              <w:t>175 893 587</w:t>
            </w:r>
          </w:p>
          <w:p w:rsidR="00F34368" w:rsidRPr="00264D03" w:rsidRDefault="00F34368" w:rsidP="00F34368">
            <w:pPr>
              <w:spacing w:before="60" w:after="60" w:line="240" w:lineRule="auto"/>
              <w:rPr>
                <w:sz w:val="18"/>
              </w:rPr>
            </w:pPr>
            <w:r w:rsidRPr="00264D03">
              <w:rPr>
                <w:sz w:val="18"/>
              </w:rPr>
              <w:t>Mzdové výdaje</w:t>
            </w:r>
            <w:r w:rsidR="0018459D" w:rsidRPr="00264D03">
              <w:rPr>
                <w:sz w:val="18"/>
              </w:rPr>
              <w:t>:</w:t>
            </w:r>
            <w:r w:rsidR="00393A32" w:rsidRPr="00264D03">
              <w:rPr>
                <w:sz w:val="18"/>
              </w:rPr>
              <w:t xml:space="preserve"> </w:t>
            </w:r>
            <w:r w:rsidR="00264D03" w:rsidRPr="00264D03">
              <w:rPr>
                <w:sz w:val="18"/>
              </w:rPr>
              <w:t xml:space="preserve"> </w:t>
            </w:r>
            <w:r w:rsidR="00907110">
              <w:rPr>
                <w:sz w:val="18"/>
              </w:rPr>
              <w:t>91 183 194</w:t>
            </w:r>
          </w:p>
          <w:p w:rsidR="00F34368" w:rsidRDefault="00F34368" w:rsidP="00907110">
            <w:pPr>
              <w:spacing w:before="60" w:after="60" w:line="240" w:lineRule="auto"/>
              <w:rPr>
                <w:sz w:val="16"/>
              </w:rPr>
            </w:pPr>
            <w:r w:rsidRPr="00264D03">
              <w:rPr>
                <w:sz w:val="18"/>
              </w:rPr>
              <w:t>Ostatní</w:t>
            </w:r>
            <w:r w:rsidR="0018459D" w:rsidRPr="00264D03">
              <w:rPr>
                <w:sz w:val="18"/>
              </w:rPr>
              <w:t>:</w:t>
            </w:r>
            <w:r w:rsidR="00393A32" w:rsidRPr="00264D03">
              <w:rPr>
                <w:sz w:val="18"/>
              </w:rPr>
              <w:t xml:space="preserve"> </w:t>
            </w:r>
            <w:r w:rsidR="00907110">
              <w:rPr>
                <w:sz w:val="18"/>
              </w:rPr>
              <w:t xml:space="preserve">43 990 160 </w:t>
            </w:r>
            <w:r w:rsidR="00832AA1" w:rsidRPr="00264D03">
              <w:rPr>
                <w:sz w:val="18"/>
              </w:rPr>
              <w:t>(struktura plánovaných výdajů dle RoPD)</w:t>
            </w:r>
          </w:p>
        </w:tc>
      </w:tr>
      <w:tr w:rsidR="008353DD" w:rsidTr="008353DD">
        <w:trPr>
          <w:trHeight w:val="1116"/>
        </w:trPr>
        <w:tc>
          <w:tcPr>
            <w:tcW w:w="2836" w:type="dxa"/>
            <w:gridSpan w:val="2"/>
          </w:tcPr>
          <w:p w:rsidR="008353DD" w:rsidRDefault="008353DD" w:rsidP="008353DD">
            <w:pPr>
              <w:spacing w:before="60" w:after="60"/>
              <w:rPr>
                <w:rFonts w:ascii="Arial" w:hAnsi="Arial" w:cs="Arial"/>
                <w:b/>
                <w:sz w:val="20"/>
              </w:rPr>
            </w:pPr>
            <w:r>
              <w:rPr>
                <w:rFonts w:ascii="Arial" w:hAnsi="Arial" w:cs="Arial"/>
                <w:b/>
                <w:sz w:val="20"/>
              </w:rPr>
              <w:t>Stručný popis projektu</w:t>
            </w:r>
          </w:p>
          <w:p w:rsidR="008353DD" w:rsidRDefault="008353DD" w:rsidP="008353DD">
            <w:pPr>
              <w:spacing w:before="60" w:after="60" w:line="240" w:lineRule="auto"/>
              <w:rPr>
                <w:rFonts w:ascii="Arial" w:hAnsi="Arial" w:cs="Arial"/>
                <w:b/>
                <w:sz w:val="20"/>
              </w:rPr>
            </w:pPr>
            <w:r>
              <w:rPr>
                <w:rFonts w:ascii="Arial" w:hAnsi="Arial" w:cs="Arial"/>
                <w:sz w:val="16"/>
              </w:rPr>
              <w:t>(zhruba 250 znaků</w:t>
            </w:r>
            <w:r w:rsidR="00FD3750">
              <w:rPr>
                <w:rFonts w:ascii="Arial" w:hAnsi="Arial" w:cs="Arial"/>
                <w:sz w:val="16"/>
              </w:rPr>
              <w:t>)</w:t>
            </w:r>
          </w:p>
        </w:tc>
        <w:tc>
          <w:tcPr>
            <w:tcW w:w="6614" w:type="dxa"/>
            <w:gridSpan w:val="4"/>
          </w:tcPr>
          <w:p w:rsidR="00B47E10" w:rsidRPr="005E60A5" w:rsidRDefault="00B47E10" w:rsidP="00B47E10">
            <w:pPr>
              <w:autoSpaceDE w:val="0"/>
              <w:autoSpaceDN w:val="0"/>
              <w:adjustRightInd w:val="0"/>
              <w:spacing w:after="0" w:line="240" w:lineRule="auto"/>
              <w:jc w:val="both"/>
              <w:rPr>
                <w:rFonts w:cs="Times New Roman"/>
                <w:sz w:val="18"/>
                <w:szCs w:val="18"/>
              </w:rPr>
            </w:pPr>
            <w:r w:rsidRPr="00B47E10">
              <w:rPr>
                <w:rFonts w:cs="Times New Roman"/>
                <w:sz w:val="18"/>
                <w:szCs w:val="18"/>
              </w:rPr>
              <w:t>Cílem projektu je podstatně rozšířit stávající výzkumnou infrastrukturu UTB ve Zlíně a vytvořit CENTRUM POLYMERNÍCH SYSTÉMŮ (CPS) jako dynamickou výzkumnou jednotku s dlouhodobou udržitelností a vysokou přidanou hodnotou. CPS, jako významné regionální výzkumné centrum, bude personálně, technicky i znalostně podporovat národní plastikářský a gumárenský průmysl a souběžně mezinárodně působit ve všech úrovních svých činností. Vědecká část je koncipována do 2 vzájemně propojených výzkumných programů (došlo ke sloučení dvou programů do jednoho) ve vazbě na polymerní procesy, bioaktivní polymery a polymerní kompozity. Výzkumné programy vytvářejí dostatečný prostor pro spolupráci s komerční sférou s důrazem na inovace.</w:t>
            </w:r>
          </w:p>
        </w:tc>
      </w:tr>
      <w:tr w:rsidR="00526313" w:rsidTr="00F00CC3">
        <w:trPr>
          <w:trHeight w:val="277"/>
        </w:trPr>
        <w:tc>
          <w:tcPr>
            <w:tcW w:w="2836" w:type="dxa"/>
            <w:gridSpan w:val="2"/>
          </w:tcPr>
          <w:p w:rsidR="00526313" w:rsidRDefault="00526313" w:rsidP="00F74C5F">
            <w:pPr>
              <w:spacing w:before="60" w:after="60" w:line="240" w:lineRule="auto"/>
              <w:rPr>
                <w:rFonts w:ascii="Arial" w:hAnsi="Arial" w:cs="Arial"/>
                <w:b/>
                <w:sz w:val="20"/>
              </w:rPr>
            </w:pPr>
            <w:r>
              <w:rPr>
                <w:rFonts w:ascii="Arial" w:hAnsi="Arial" w:cs="Arial"/>
                <w:b/>
                <w:sz w:val="20"/>
              </w:rPr>
              <w:t xml:space="preserve">Zahájení / ukončení stavby / rekonstrukce </w:t>
            </w:r>
            <w:r w:rsidRPr="00FD3750">
              <w:rPr>
                <w:rFonts w:ascii="Arial" w:hAnsi="Arial" w:cs="Arial"/>
                <w:sz w:val="16"/>
              </w:rPr>
              <w:t>(pokud je relevantní)</w:t>
            </w:r>
          </w:p>
        </w:tc>
        <w:tc>
          <w:tcPr>
            <w:tcW w:w="3307" w:type="dxa"/>
            <w:gridSpan w:val="2"/>
          </w:tcPr>
          <w:p w:rsidR="00526313" w:rsidRPr="00602BAC" w:rsidRDefault="00526313" w:rsidP="00F34368">
            <w:pPr>
              <w:spacing w:before="60" w:after="60" w:line="240" w:lineRule="auto"/>
              <w:rPr>
                <w:sz w:val="18"/>
              </w:rPr>
            </w:pPr>
            <w:r w:rsidRPr="00602BAC">
              <w:rPr>
                <w:sz w:val="18"/>
              </w:rPr>
              <w:t>Datum</w:t>
            </w:r>
            <w:r w:rsidR="00002DBE" w:rsidRPr="00602BAC">
              <w:rPr>
                <w:sz w:val="18"/>
              </w:rPr>
              <w:t>:</w:t>
            </w:r>
            <w:r w:rsidR="00393A32">
              <w:rPr>
                <w:sz w:val="18"/>
              </w:rPr>
              <w:t xml:space="preserve"> není relevantní </w:t>
            </w:r>
          </w:p>
          <w:p w:rsidR="009C14B4" w:rsidRPr="00602BAC" w:rsidRDefault="00A648F3" w:rsidP="00F34368">
            <w:pPr>
              <w:spacing w:before="60" w:after="60" w:line="240" w:lineRule="auto"/>
              <w:rPr>
                <w:sz w:val="18"/>
              </w:rPr>
            </w:pPr>
            <w:r w:rsidRPr="00602BAC">
              <w:rPr>
                <w:sz w:val="18"/>
              </w:rPr>
              <w:t xml:space="preserve">zahájení – </w:t>
            </w:r>
            <w:r w:rsidR="00032AAA" w:rsidRPr="00602BAC">
              <w:t xml:space="preserve"> </w:t>
            </w:r>
            <w:r w:rsidR="00FC3F80">
              <w:rPr>
                <w:sz w:val="18"/>
              </w:rPr>
              <w:t>20.4.2013</w:t>
            </w:r>
          </w:p>
          <w:p w:rsidR="009C14B4" w:rsidRPr="00602BAC" w:rsidRDefault="009C14B4" w:rsidP="00393A32">
            <w:pPr>
              <w:spacing w:before="60" w:after="60" w:line="240" w:lineRule="auto"/>
              <w:rPr>
                <w:sz w:val="18"/>
              </w:rPr>
            </w:pPr>
            <w:r w:rsidRPr="00602BAC">
              <w:rPr>
                <w:sz w:val="18"/>
              </w:rPr>
              <w:t xml:space="preserve">kolaudace </w:t>
            </w:r>
            <w:r w:rsidR="00907110">
              <w:rPr>
                <w:sz w:val="18"/>
              </w:rPr>
              <w:t xml:space="preserve">– </w:t>
            </w:r>
            <w:proofErr w:type="gramStart"/>
            <w:r w:rsidR="00907110">
              <w:rPr>
                <w:sz w:val="18"/>
              </w:rPr>
              <w:t>14.11.2014</w:t>
            </w:r>
            <w:proofErr w:type="gramEnd"/>
          </w:p>
        </w:tc>
        <w:tc>
          <w:tcPr>
            <w:tcW w:w="3307" w:type="dxa"/>
            <w:gridSpan w:val="2"/>
          </w:tcPr>
          <w:p w:rsidR="00526313" w:rsidRPr="00602BAC" w:rsidRDefault="00002DBE" w:rsidP="00F34368">
            <w:pPr>
              <w:spacing w:before="60" w:after="60" w:line="240" w:lineRule="auto"/>
              <w:rPr>
                <w:sz w:val="18"/>
              </w:rPr>
            </w:pPr>
            <w:r w:rsidRPr="00602BAC">
              <w:rPr>
                <w:sz w:val="18"/>
              </w:rPr>
              <w:t>Generální dodavatel:</w:t>
            </w:r>
          </w:p>
          <w:p w:rsidR="009C14B4" w:rsidRPr="00602BAC" w:rsidRDefault="00907110" w:rsidP="00907110">
            <w:pPr>
              <w:spacing w:before="60" w:after="60" w:line="240" w:lineRule="auto"/>
              <w:rPr>
                <w:sz w:val="18"/>
              </w:rPr>
            </w:pPr>
            <w:r w:rsidRPr="00907110">
              <w:rPr>
                <w:sz w:val="18"/>
              </w:rPr>
              <w:t>GEMO OLOMOUC, spol. s r.o.</w:t>
            </w:r>
          </w:p>
        </w:tc>
      </w:tr>
      <w:tr w:rsidR="008353DD" w:rsidTr="00FD3750">
        <w:trPr>
          <w:trHeight w:val="1290"/>
        </w:trPr>
        <w:tc>
          <w:tcPr>
            <w:tcW w:w="2836" w:type="dxa"/>
            <w:gridSpan w:val="2"/>
          </w:tcPr>
          <w:p w:rsidR="008353DD" w:rsidRDefault="00737A93" w:rsidP="00FD3750">
            <w:pPr>
              <w:spacing w:before="60" w:after="60" w:line="240" w:lineRule="auto"/>
              <w:rPr>
                <w:rFonts w:ascii="Arial" w:hAnsi="Arial" w:cs="Arial"/>
                <w:b/>
                <w:sz w:val="20"/>
              </w:rPr>
            </w:pPr>
            <w:r>
              <w:rPr>
                <w:rFonts w:ascii="Arial" w:hAnsi="Arial" w:cs="Arial"/>
                <w:b/>
                <w:sz w:val="20"/>
              </w:rPr>
              <w:t>Výstupy projektu</w:t>
            </w:r>
            <w:r w:rsidR="00FD3750">
              <w:rPr>
                <w:rFonts w:ascii="Arial" w:hAnsi="Arial" w:cs="Arial"/>
                <w:b/>
                <w:sz w:val="20"/>
              </w:rPr>
              <w:t xml:space="preserve"> </w:t>
            </w:r>
            <w:r w:rsidR="00FD3750" w:rsidRPr="00FD3750">
              <w:rPr>
                <w:rFonts w:ascii="Arial" w:hAnsi="Arial" w:cs="Arial"/>
                <w:sz w:val="16"/>
              </w:rPr>
              <w:t>(popis hlavních dosažených výs</w:t>
            </w:r>
            <w:r w:rsidR="00FD3750">
              <w:rPr>
                <w:rFonts w:ascii="Arial" w:hAnsi="Arial" w:cs="Arial"/>
                <w:sz w:val="16"/>
              </w:rPr>
              <w:t>tupů včetně uvedení závazných monitorovacích indikátorů</w:t>
            </w:r>
            <w:r w:rsidR="00FD3750" w:rsidRPr="00FD3750">
              <w:rPr>
                <w:rFonts w:ascii="Arial" w:hAnsi="Arial" w:cs="Arial"/>
                <w:sz w:val="16"/>
              </w:rPr>
              <w:t xml:space="preserve"> </w:t>
            </w:r>
            <w:r w:rsidR="00FD3750">
              <w:rPr>
                <w:rFonts w:ascii="Arial" w:hAnsi="Arial" w:cs="Arial"/>
                <w:sz w:val="16"/>
              </w:rPr>
              <w:t>v době ukončení projektu</w:t>
            </w:r>
            <w:r w:rsidR="00FD3750" w:rsidRPr="00FD3750">
              <w:rPr>
                <w:rFonts w:ascii="Arial" w:hAnsi="Arial" w:cs="Arial"/>
                <w:sz w:val="16"/>
              </w:rPr>
              <w:t xml:space="preserve"> plán/skutečnost</w:t>
            </w:r>
            <w:r w:rsidR="00FD3750">
              <w:rPr>
                <w:rFonts w:ascii="Arial" w:hAnsi="Arial" w:cs="Arial"/>
                <w:sz w:val="16"/>
              </w:rPr>
              <w:t xml:space="preserve"> a plán na rok 2015</w:t>
            </w:r>
            <w:r w:rsidR="00FD3750" w:rsidRPr="00FD3750">
              <w:rPr>
                <w:rFonts w:ascii="Arial" w:hAnsi="Arial" w:cs="Arial"/>
                <w:sz w:val="16"/>
              </w:rPr>
              <w:t>)</w:t>
            </w:r>
          </w:p>
        </w:tc>
        <w:tc>
          <w:tcPr>
            <w:tcW w:w="6614" w:type="dxa"/>
            <w:gridSpan w:val="4"/>
          </w:tcPr>
          <w:p w:rsidR="005A3CF5" w:rsidRPr="00CA34E6" w:rsidRDefault="00F2309E" w:rsidP="005A3CF5">
            <w:pPr>
              <w:spacing w:before="60" w:after="60" w:line="240" w:lineRule="auto"/>
              <w:rPr>
                <w:rFonts w:cs="Times New Roman"/>
                <w:b/>
                <w:sz w:val="18"/>
                <w:szCs w:val="18"/>
              </w:rPr>
            </w:pPr>
            <w:r w:rsidRPr="00CA34E6">
              <w:rPr>
                <w:rFonts w:cs="Times New Roman"/>
                <w:b/>
                <w:sz w:val="18"/>
                <w:szCs w:val="18"/>
              </w:rPr>
              <w:t xml:space="preserve">Dosaženy byly následující </w:t>
            </w:r>
            <w:r w:rsidR="002943A0" w:rsidRPr="00CA34E6">
              <w:rPr>
                <w:rFonts w:cs="Times New Roman"/>
                <w:b/>
                <w:sz w:val="18"/>
                <w:szCs w:val="18"/>
              </w:rPr>
              <w:t xml:space="preserve">hlavní </w:t>
            </w:r>
            <w:r w:rsidRPr="00CA34E6">
              <w:rPr>
                <w:rFonts w:cs="Times New Roman"/>
                <w:b/>
                <w:sz w:val="18"/>
                <w:szCs w:val="18"/>
              </w:rPr>
              <w:t>výstupy</w:t>
            </w:r>
            <w:r w:rsidR="005A3CF5" w:rsidRPr="00CA34E6">
              <w:rPr>
                <w:rFonts w:cs="Times New Roman"/>
                <w:b/>
                <w:sz w:val="18"/>
                <w:szCs w:val="18"/>
              </w:rPr>
              <w:t>:</w:t>
            </w:r>
          </w:p>
          <w:p w:rsidR="00CA34E6" w:rsidRPr="000A7B0B" w:rsidRDefault="00CA34E6" w:rsidP="00CA34E6">
            <w:pPr>
              <w:spacing w:before="60" w:after="60" w:line="240" w:lineRule="auto"/>
              <w:rPr>
                <w:rFonts w:cs="Times New Roman"/>
                <w:sz w:val="18"/>
                <w:szCs w:val="18"/>
              </w:rPr>
            </w:pPr>
            <w:r w:rsidRPr="000A7B0B">
              <w:rPr>
                <w:rFonts w:cs="Times New Roman"/>
                <w:sz w:val="18"/>
                <w:szCs w:val="18"/>
              </w:rPr>
              <w:t>3Q/2012 Kriteriální pravidla pro detekci nestabilit při extruzi/</w:t>
            </w:r>
            <w:proofErr w:type="spellStart"/>
            <w:r w:rsidRPr="000A7B0B">
              <w:rPr>
                <w:rFonts w:cs="Times New Roman"/>
                <w:sz w:val="18"/>
                <w:szCs w:val="18"/>
              </w:rPr>
              <w:t>koextruzi</w:t>
            </w:r>
            <w:proofErr w:type="spellEnd"/>
            <w:r w:rsidRPr="000A7B0B">
              <w:rPr>
                <w:rFonts w:cs="Times New Roman"/>
                <w:sz w:val="18"/>
                <w:szCs w:val="18"/>
              </w:rPr>
              <w:t xml:space="preserve"> (2 publikace)</w:t>
            </w:r>
          </w:p>
          <w:p w:rsidR="00CA34E6" w:rsidRPr="000A7B0B" w:rsidRDefault="00CA34E6" w:rsidP="00CA34E6">
            <w:pPr>
              <w:spacing w:before="60" w:after="60" w:line="240" w:lineRule="auto"/>
              <w:rPr>
                <w:rFonts w:cs="Times New Roman"/>
                <w:sz w:val="18"/>
                <w:szCs w:val="18"/>
              </w:rPr>
            </w:pPr>
            <w:r w:rsidRPr="000A7B0B">
              <w:rPr>
                <w:rFonts w:cs="Times New Roman"/>
                <w:sz w:val="18"/>
                <w:szCs w:val="18"/>
              </w:rPr>
              <w:t xml:space="preserve">3Q/2012 Nový typ vytlačovací hlavy umožňující detailnější a přesnější charakterizaci polymerních látek s ohledem na výrobu fólií a </w:t>
            </w:r>
            <w:proofErr w:type="spellStart"/>
            <w:r w:rsidRPr="000A7B0B">
              <w:rPr>
                <w:rFonts w:cs="Times New Roman"/>
                <w:sz w:val="18"/>
                <w:szCs w:val="18"/>
              </w:rPr>
              <w:t>nanovláken</w:t>
            </w:r>
            <w:proofErr w:type="spellEnd"/>
            <w:r w:rsidRPr="000A7B0B">
              <w:rPr>
                <w:rFonts w:cs="Times New Roman"/>
                <w:sz w:val="18"/>
                <w:szCs w:val="18"/>
              </w:rPr>
              <w:t xml:space="preserve"> (1 užitný vzor, 1 publikace)</w:t>
            </w:r>
          </w:p>
          <w:p w:rsidR="00CA34E6" w:rsidRDefault="00CA34E6" w:rsidP="00CA34E6">
            <w:pPr>
              <w:spacing w:before="60" w:after="60" w:line="240" w:lineRule="auto"/>
              <w:rPr>
                <w:rFonts w:cs="Times New Roman"/>
                <w:sz w:val="18"/>
                <w:szCs w:val="18"/>
              </w:rPr>
            </w:pPr>
            <w:r w:rsidRPr="000A7B0B">
              <w:rPr>
                <w:rFonts w:cs="Times New Roman"/>
                <w:sz w:val="18"/>
                <w:szCs w:val="18"/>
              </w:rPr>
              <w:t xml:space="preserve">4Q/2012 Reologický model pro simulace procesu </w:t>
            </w:r>
            <w:proofErr w:type="spellStart"/>
            <w:r w:rsidRPr="000A7B0B">
              <w:rPr>
                <w:rFonts w:cs="Times New Roman"/>
                <w:sz w:val="18"/>
                <w:szCs w:val="18"/>
              </w:rPr>
              <w:t>Powder</w:t>
            </w:r>
            <w:proofErr w:type="spellEnd"/>
            <w:r w:rsidRPr="000A7B0B">
              <w:rPr>
                <w:rFonts w:cs="Times New Roman"/>
                <w:sz w:val="18"/>
                <w:szCs w:val="18"/>
              </w:rPr>
              <w:t xml:space="preserve"> </w:t>
            </w:r>
            <w:proofErr w:type="spellStart"/>
            <w:r w:rsidRPr="000A7B0B">
              <w:rPr>
                <w:rFonts w:cs="Times New Roman"/>
                <w:sz w:val="18"/>
                <w:szCs w:val="18"/>
              </w:rPr>
              <w:t>injection</w:t>
            </w:r>
            <w:proofErr w:type="spellEnd"/>
            <w:r w:rsidRPr="000A7B0B">
              <w:rPr>
                <w:rFonts w:cs="Times New Roman"/>
                <w:sz w:val="18"/>
                <w:szCs w:val="18"/>
              </w:rPr>
              <w:t xml:space="preserve"> </w:t>
            </w:r>
            <w:proofErr w:type="spellStart"/>
            <w:r w:rsidRPr="000A7B0B">
              <w:rPr>
                <w:rFonts w:cs="Times New Roman"/>
                <w:sz w:val="18"/>
                <w:szCs w:val="18"/>
              </w:rPr>
              <w:t>moulding</w:t>
            </w:r>
            <w:proofErr w:type="spellEnd"/>
            <w:r w:rsidRPr="000A7B0B">
              <w:rPr>
                <w:rFonts w:cs="Times New Roman"/>
                <w:sz w:val="18"/>
                <w:szCs w:val="18"/>
              </w:rPr>
              <w:t xml:space="preserve"> (</w:t>
            </w:r>
            <w:proofErr w:type="gramStart"/>
            <w:r w:rsidRPr="000A7B0B">
              <w:rPr>
                <w:rFonts w:cs="Times New Roman"/>
                <w:sz w:val="18"/>
                <w:szCs w:val="18"/>
              </w:rPr>
              <w:t>PIM) (2 publikace</w:t>
            </w:r>
            <w:proofErr w:type="gramEnd"/>
            <w:r w:rsidRPr="000A7B0B">
              <w:rPr>
                <w:rFonts w:cs="Times New Roman"/>
                <w:sz w:val="18"/>
                <w:szCs w:val="18"/>
              </w:rPr>
              <w:t>)</w:t>
            </w:r>
          </w:p>
          <w:p w:rsidR="00CA34E6" w:rsidRDefault="00CA34E6" w:rsidP="00CA34E6">
            <w:pPr>
              <w:spacing w:before="60" w:after="60" w:line="240" w:lineRule="auto"/>
              <w:rPr>
                <w:rFonts w:cs="Times New Roman"/>
                <w:sz w:val="18"/>
                <w:szCs w:val="18"/>
              </w:rPr>
            </w:pPr>
            <w:r w:rsidRPr="000A7B0B">
              <w:rPr>
                <w:rFonts w:cs="Times New Roman"/>
                <w:sz w:val="18"/>
                <w:szCs w:val="18"/>
              </w:rPr>
              <w:t>3Q/2013 Nové typy bioaktivních a částečně biodegradabilních polymerních směsí převážně na bázi PA, PS, PMMA, PE, PP, PLA a PHA, které budou aplikovatelné na výrobu produktů pomocí konvenčních plastikářských zpracovatelských technologií (2 publikace)</w:t>
            </w:r>
          </w:p>
          <w:p w:rsidR="00CA34E6" w:rsidRPr="000A7B0B" w:rsidRDefault="00CA34E6" w:rsidP="00CA34E6">
            <w:pPr>
              <w:spacing w:before="60" w:after="60" w:line="240" w:lineRule="auto"/>
              <w:rPr>
                <w:rFonts w:cs="Times New Roman"/>
                <w:sz w:val="18"/>
                <w:szCs w:val="18"/>
              </w:rPr>
            </w:pPr>
            <w:r w:rsidRPr="000A7B0B">
              <w:rPr>
                <w:rFonts w:cs="Times New Roman"/>
                <w:sz w:val="18"/>
                <w:szCs w:val="18"/>
              </w:rPr>
              <w:t>3Q/2013 Model pro popis dloužení polymerních tavenin při výrobě fólií, t</w:t>
            </w:r>
            <w:r>
              <w:rPr>
                <w:rFonts w:cs="Times New Roman"/>
                <w:sz w:val="18"/>
                <w:szCs w:val="18"/>
              </w:rPr>
              <w:t xml:space="preserve">rubek a </w:t>
            </w:r>
            <w:proofErr w:type="spellStart"/>
            <w:r>
              <w:rPr>
                <w:rFonts w:cs="Times New Roman"/>
                <w:sz w:val="18"/>
                <w:szCs w:val="18"/>
              </w:rPr>
              <w:t>nanovláken</w:t>
            </w:r>
            <w:proofErr w:type="spellEnd"/>
            <w:r>
              <w:rPr>
                <w:rFonts w:cs="Times New Roman"/>
                <w:sz w:val="18"/>
                <w:szCs w:val="18"/>
              </w:rPr>
              <w:t xml:space="preserve"> </w:t>
            </w:r>
            <w:r w:rsidRPr="000A7B0B">
              <w:rPr>
                <w:rFonts w:cs="Times New Roman"/>
                <w:sz w:val="18"/>
                <w:szCs w:val="18"/>
              </w:rPr>
              <w:t>(2 publikace)</w:t>
            </w:r>
            <w:r w:rsidRPr="000A7B0B">
              <w:rPr>
                <w:rFonts w:cs="Times New Roman"/>
                <w:sz w:val="18"/>
                <w:szCs w:val="18"/>
              </w:rPr>
              <w:br/>
              <w:t xml:space="preserve">3Q/2013 Nová metoda pro hodnocení morfologie polymerních produktů, především filtrů, vyrobených z polymerních </w:t>
            </w:r>
            <w:proofErr w:type="spellStart"/>
            <w:r w:rsidRPr="000A7B0B">
              <w:rPr>
                <w:rFonts w:cs="Times New Roman"/>
                <w:sz w:val="18"/>
                <w:szCs w:val="18"/>
              </w:rPr>
              <w:t>nanovláken</w:t>
            </w:r>
            <w:proofErr w:type="spellEnd"/>
            <w:r w:rsidRPr="000A7B0B">
              <w:rPr>
                <w:rFonts w:cs="Times New Roman"/>
                <w:sz w:val="18"/>
                <w:szCs w:val="18"/>
              </w:rPr>
              <w:t xml:space="preserve"> (2 publikace)</w:t>
            </w:r>
          </w:p>
          <w:p w:rsidR="00CA34E6" w:rsidRPr="000A7B0B" w:rsidRDefault="00CA34E6" w:rsidP="00CA34E6">
            <w:pPr>
              <w:spacing w:before="60" w:after="60" w:line="240" w:lineRule="auto"/>
              <w:rPr>
                <w:rFonts w:cs="Times New Roman"/>
                <w:sz w:val="18"/>
                <w:szCs w:val="18"/>
              </w:rPr>
            </w:pPr>
            <w:r w:rsidRPr="000A7B0B">
              <w:rPr>
                <w:rFonts w:cs="Times New Roman"/>
                <w:sz w:val="18"/>
                <w:szCs w:val="18"/>
              </w:rPr>
              <w:t xml:space="preserve">3Q/2013 Polymerní směs pro výrobu jednovrstvé potravinářské fólie s optimalizovanou prodyšností (1 firemní spolupráce) </w:t>
            </w:r>
          </w:p>
          <w:p w:rsidR="00CA34E6" w:rsidRPr="000A7B0B" w:rsidRDefault="00CA34E6" w:rsidP="00CA34E6">
            <w:pPr>
              <w:spacing w:before="60" w:after="60" w:line="240" w:lineRule="auto"/>
              <w:rPr>
                <w:rFonts w:cs="Times New Roman"/>
                <w:sz w:val="18"/>
                <w:szCs w:val="18"/>
              </w:rPr>
            </w:pPr>
            <w:r w:rsidRPr="000A7B0B">
              <w:rPr>
                <w:rFonts w:cs="Times New Roman"/>
                <w:sz w:val="18"/>
                <w:szCs w:val="18"/>
              </w:rPr>
              <w:lastRenderedPageBreak/>
              <w:t>3Q/2014 Nové funkční prototypy polymerních produktů (fólie, deska, profil,</w:t>
            </w:r>
            <w:r>
              <w:rPr>
                <w:rFonts w:cs="Times New Roman"/>
                <w:sz w:val="18"/>
                <w:szCs w:val="18"/>
              </w:rPr>
              <w:t xml:space="preserve"> </w:t>
            </w:r>
            <w:r w:rsidRPr="000A7B0B">
              <w:rPr>
                <w:rFonts w:cs="Times New Roman"/>
                <w:sz w:val="18"/>
                <w:szCs w:val="18"/>
              </w:rPr>
              <w:t xml:space="preserve">dutý/lehčený </w:t>
            </w:r>
            <w:proofErr w:type="gramStart"/>
            <w:r w:rsidRPr="000A7B0B">
              <w:rPr>
                <w:rFonts w:cs="Times New Roman"/>
                <w:sz w:val="18"/>
                <w:szCs w:val="18"/>
              </w:rPr>
              <w:t>výrobek) (2 publikace</w:t>
            </w:r>
            <w:proofErr w:type="gramEnd"/>
            <w:r w:rsidRPr="000A7B0B">
              <w:rPr>
                <w:rFonts w:cs="Times New Roman"/>
                <w:sz w:val="18"/>
                <w:szCs w:val="18"/>
              </w:rPr>
              <w:t>)</w:t>
            </w:r>
          </w:p>
          <w:p w:rsidR="00CA34E6" w:rsidRPr="000A7B0B" w:rsidRDefault="00CA34E6" w:rsidP="00CA34E6">
            <w:pPr>
              <w:spacing w:before="60" w:after="60" w:line="240" w:lineRule="auto"/>
              <w:rPr>
                <w:rFonts w:cs="Times New Roman"/>
                <w:sz w:val="18"/>
                <w:szCs w:val="18"/>
              </w:rPr>
            </w:pPr>
            <w:r w:rsidRPr="000A7B0B">
              <w:rPr>
                <w:rFonts w:cs="Times New Roman"/>
                <w:sz w:val="18"/>
                <w:szCs w:val="18"/>
              </w:rPr>
              <w:t>3Q/2014 Inovovaný postup k získání biopolymerů z odpadů masného a potravinářského průmyslu (2 publikace)</w:t>
            </w:r>
          </w:p>
          <w:p w:rsidR="00CA34E6" w:rsidRPr="000A7B0B" w:rsidRDefault="00CA34E6" w:rsidP="00CA34E6">
            <w:pPr>
              <w:spacing w:before="60" w:after="60" w:line="240" w:lineRule="auto"/>
              <w:rPr>
                <w:rFonts w:cs="Times New Roman"/>
                <w:sz w:val="18"/>
                <w:szCs w:val="18"/>
              </w:rPr>
            </w:pPr>
            <w:r w:rsidRPr="000A7B0B">
              <w:rPr>
                <w:rFonts w:cs="Times New Roman"/>
                <w:sz w:val="18"/>
                <w:szCs w:val="18"/>
              </w:rPr>
              <w:t xml:space="preserve">3Q/2014 Matematický model pro modelování procesu filtrace určeného pro optimalizaci filtrů vyrobených z polymerních </w:t>
            </w:r>
            <w:proofErr w:type="spellStart"/>
            <w:r w:rsidRPr="000A7B0B">
              <w:rPr>
                <w:rFonts w:cs="Times New Roman"/>
                <w:sz w:val="18"/>
                <w:szCs w:val="18"/>
              </w:rPr>
              <w:t>nanovláken</w:t>
            </w:r>
            <w:proofErr w:type="spellEnd"/>
            <w:r w:rsidRPr="000A7B0B">
              <w:rPr>
                <w:rFonts w:cs="Times New Roman"/>
                <w:sz w:val="18"/>
                <w:szCs w:val="18"/>
              </w:rPr>
              <w:t xml:space="preserve"> (2 publikace)</w:t>
            </w:r>
          </w:p>
          <w:p w:rsidR="00CA34E6" w:rsidRPr="000A7B0B" w:rsidRDefault="00CA34E6" w:rsidP="00CA34E6">
            <w:pPr>
              <w:spacing w:before="60" w:after="60" w:line="240" w:lineRule="auto"/>
              <w:rPr>
                <w:rFonts w:cs="Times New Roman"/>
                <w:sz w:val="18"/>
                <w:szCs w:val="18"/>
              </w:rPr>
            </w:pPr>
            <w:r w:rsidRPr="000A7B0B">
              <w:rPr>
                <w:rFonts w:cs="Times New Roman"/>
                <w:sz w:val="18"/>
                <w:szCs w:val="18"/>
              </w:rPr>
              <w:t xml:space="preserve">3Q/2014 Příprava antimikrobiálních filmů (na bázi anorganických a organických činidel) a </w:t>
            </w:r>
            <w:proofErr w:type="spellStart"/>
            <w:r w:rsidRPr="000A7B0B">
              <w:rPr>
                <w:rFonts w:cs="Times New Roman"/>
                <w:sz w:val="18"/>
                <w:szCs w:val="18"/>
              </w:rPr>
              <w:t>hydrogelů</w:t>
            </w:r>
            <w:proofErr w:type="spellEnd"/>
            <w:r w:rsidRPr="000A7B0B">
              <w:rPr>
                <w:rFonts w:cs="Times New Roman"/>
                <w:sz w:val="18"/>
                <w:szCs w:val="18"/>
              </w:rPr>
              <w:t xml:space="preserve"> s využitím netoxických síťovacích činidel (karboxylové </w:t>
            </w:r>
            <w:proofErr w:type="gramStart"/>
            <w:r w:rsidRPr="000A7B0B">
              <w:rPr>
                <w:rFonts w:cs="Times New Roman"/>
                <w:sz w:val="18"/>
                <w:szCs w:val="18"/>
              </w:rPr>
              <w:t>kyseliny) (2 publikace</w:t>
            </w:r>
            <w:proofErr w:type="gramEnd"/>
            <w:r w:rsidRPr="000A7B0B">
              <w:rPr>
                <w:rFonts w:cs="Times New Roman"/>
                <w:sz w:val="18"/>
                <w:szCs w:val="18"/>
              </w:rPr>
              <w:t>)</w:t>
            </w:r>
          </w:p>
          <w:p w:rsidR="00CA34E6" w:rsidRDefault="00CA34E6" w:rsidP="005A3CF5">
            <w:pPr>
              <w:spacing w:before="60" w:after="60" w:line="240" w:lineRule="auto"/>
              <w:rPr>
                <w:rFonts w:cs="Times New Roman"/>
                <w:b/>
                <w:sz w:val="18"/>
                <w:szCs w:val="18"/>
              </w:rPr>
            </w:pPr>
          </w:p>
          <w:p w:rsidR="00FB0B08" w:rsidRPr="00B03AA4" w:rsidRDefault="00AB54F2" w:rsidP="005A3CF5">
            <w:pPr>
              <w:spacing w:before="60" w:after="60" w:line="240" w:lineRule="auto"/>
              <w:rPr>
                <w:rFonts w:cs="Times New Roman"/>
                <w:b/>
                <w:sz w:val="18"/>
                <w:szCs w:val="18"/>
              </w:rPr>
            </w:pPr>
            <w:r>
              <w:rPr>
                <w:rFonts w:cs="Times New Roman"/>
                <w:b/>
                <w:sz w:val="18"/>
                <w:szCs w:val="18"/>
              </w:rPr>
              <w:t>M</w:t>
            </w:r>
            <w:r w:rsidR="00FB0B08" w:rsidRPr="00B03AA4">
              <w:rPr>
                <w:rFonts w:cs="Times New Roman"/>
                <w:b/>
                <w:sz w:val="18"/>
                <w:szCs w:val="18"/>
              </w:rPr>
              <w:t>onitorovací indikátory (plán konec realizace projektu; skutečnost; plán 2015):</w:t>
            </w:r>
          </w:p>
          <w:p w:rsidR="002F5FAE" w:rsidRPr="00FB2697" w:rsidRDefault="002F5FAE" w:rsidP="005A3CF5">
            <w:pPr>
              <w:spacing w:before="60" w:after="60" w:line="240" w:lineRule="auto"/>
              <w:rPr>
                <w:rFonts w:cs="Times New Roman"/>
                <w:sz w:val="18"/>
                <w:szCs w:val="18"/>
              </w:rPr>
            </w:pPr>
            <w:r w:rsidRPr="00FB2697">
              <w:rPr>
                <w:rFonts w:cs="Times New Roman"/>
                <w:sz w:val="18"/>
                <w:szCs w:val="18"/>
              </w:rPr>
              <w:t xml:space="preserve">110502 Odborné publikace (dle metodiky </w:t>
            </w:r>
            <w:proofErr w:type="gramStart"/>
            <w:r w:rsidRPr="00FB2697">
              <w:rPr>
                <w:rFonts w:cs="Times New Roman"/>
                <w:sz w:val="18"/>
                <w:szCs w:val="18"/>
              </w:rPr>
              <w:t>RVV) (</w:t>
            </w:r>
            <w:r w:rsidR="00907110">
              <w:rPr>
                <w:rFonts w:cs="Times New Roman"/>
                <w:sz w:val="18"/>
                <w:szCs w:val="18"/>
              </w:rPr>
              <w:t>205</w:t>
            </w:r>
            <w:proofErr w:type="gramEnd"/>
            <w:r w:rsidR="00126163" w:rsidRPr="00FB2697">
              <w:rPr>
                <w:rFonts w:cs="Times New Roman"/>
                <w:sz w:val="18"/>
                <w:szCs w:val="18"/>
              </w:rPr>
              <w:t>;</w:t>
            </w:r>
            <w:r w:rsidRPr="00FB2697">
              <w:rPr>
                <w:rFonts w:cs="Times New Roman"/>
                <w:sz w:val="18"/>
                <w:szCs w:val="18"/>
              </w:rPr>
              <w:t xml:space="preserve"> </w:t>
            </w:r>
            <w:r w:rsidR="00907110">
              <w:rPr>
                <w:rFonts w:cs="Times New Roman"/>
                <w:sz w:val="18"/>
                <w:szCs w:val="18"/>
              </w:rPr>
              <w:t>není relevantní</w:t>
            </w:r>
            <w:r w:rsidR="00126163" w:rsidRPr="00FB2697">
              <w:rPr>
                <w:rFonts w:cs="Times New Roman"/>
                <w:sz w:val="18"/>
                <w:szCs w:val="18"/>
              </w:rPr>
              <w:t>;</w:t>
            </w:r>
            <w:r w:rsidR="00907110">
              <w:rPr>
                <w:rFonts w:cs="Times New Roman"/>
                <w:sz w:val="18"/>
                <w:szCs w:val="18"/>
              </w:rPr>
              <w:t xml:space="preserve"> 310</w:t>
            </w:r>
            <w:r w:rsidRPr="00FB2697">
              <w:rPr>
                <w:rFonts w:cs="Times New Roman"/>
                <w:sz w:val="18"/>
                <w:szCs w:val="18"/>
              </w:rPr>
              <w:t>)</w:t>
            </w:r>
          </w:p>
          <w:p w:rsidR="002F5FAE" w:rsidRPr="00FB2697" w:rsidRDefault="002F5FAE" w:rsidP="005A3CF5">
            <w:pPr>
              <w:spacing w:before="60" w:after="60" w:line="240" w:lineRule="auto"/>
              <w:rPr>
                <w:sz w:val="20"/>
                <w:szCs w:val="20"/>
              </w:rPr>
            </w:pPr>
            <w:r w:rsidRPr="00FB2697">
              <w:rPr>
                <w:sz w:val="20"/>
                <w:szCs w:val="20"/>
              </w:rPr>
              <w:t>110503 Výsledky výzkumu chráněné na základě zvláštního právníh</w:t>
            </w:r>
            <w:r w:rsidR="00D05440" w:rsidRPr="00FB2697">
              <w:rPr>
                <w:sz w:val="20"/>
                <w:szCs w:val="20"/>
              </w:rPr>
              <w:t xml:space="preserve">o předpisu (dle metodiky </w:t>
            </w:r>
            <w:proofErr w:type="gramStart"/>
            <w:r w:rsidR="00D05440" w:rsidRPr="00FB2697">
              <w:rPr>
                <w:sz w:val="20"/>
                <w:szCs w:val="20"/>
              </w:rPr>
              <w:t>RVV) (</w:t>
            </w:r>
            <w:r w:rsidR="00907110">
              <w:rPr>
                <w:sz w:val="20"/>
                <w:szCs w:val="20"/>
              </w:rPr>
              <w:t>3</w:t>
            </w:r>
            <w:r w:rsidR="00126163" w:rsidRPr="00FB2697">
              <w:rPr>
                <w:sz w:val="20"/>
                <w:szCs w:val="20"/>
              </w:rPr>
              <w:t>;</w:t>
            </w:r>
            <w:proofErr w:type="gramEnd"/>
            <w:r w:rsidR="00B03AA4" w:rsidRPr="00FB2697">
              <w:rPr>
                <w:sz w:val="20"/>
                <w:szCs w:val="20"/>
              </w:rPr>
              <w:t xml:space="preserve"> </w:t>
            </w:r>
            <w:r w:rsidR="00907110">
              <w:rPr>
                <w:sz w:val="20"/>
                <w:szCs w:val="20"/>
              </w:rPr>
              <w:t>NR</w:t>
            </w:r>
            <w:r w:rsidR="00126163" w:rsidRPr="00FB2697">
              <w:rPr>
                <w:sz w:val="20"/>
                <w:szCs w:val="20"/>
              </w:rPr>
              <w:t>;</w:t>
            </w:r>
            <w:r w:rsidRPr="00FB2697">
              <w:rPr>
                <w:sz w:val="20"/>
                <w:szCs w:val="20"/>
              </w:rPr>
              <w:t xml:space="preserve"> </w:t>
            </w:r>
            <w:r w:rsidR="00907110">
              <w:rPr>
                <w:sz w:val="20"/>
                <w:szCs w:val="20"/>
              </w:rPr>
              <w:t>7</w:t>
            </w:r>
            <w:r w:rsidRPr="00FB2697">
              <w:rPr>
                <w:sz w:val="20"/>
                <w:szCs w:val="20"/>
              </w:rPr>
              <w:t>)</w:t>
            </w:r>
          </w:p>
          <w:p w:rsidR="002F5FAE" w:rsidRPr="00FB2697" w:rsidRDefault="002F5FAE" w:rsidP="005A3CF5">
            <w:pPr>
              <w:spacing w:before="60" w:after="60" w:line="240" w:lineRule="auto"/>
              <w:rPr>
                <w:sz w:val="20"/>
                <w:szCs w:val="20"/>
              </w:rPr>
            </w:pPr>
            <w:r w:rsidRPr="00FB2697">
              <w:rPr>
                <w:sz w:val="20"/>
                <w:szCs w:val="20"/>
              </w:rPr>
              <w:t xml:space="preserve">110504 Aplikované výsledky výzkumu (dle metodiky </w:t>
            </w:r>
            <w:proofErr w:type="gramStart"/>
            <w:r w:rsidRPr="00FB2697">
              <w:rPr>
                <w:sz w:val="20"/>
                <w:szCs w:val="20"/>
              </w:rPr>
              <w:t xml:space="preserve">RVV) </w:t>
            </w:r>
            <w:r w:rsidR="00126163" w:rsidRPr="00FB2697">
              <w:rPr>
                <w:sz w:val="20"/>
                <w:szCs w:val="20"/>
              </w:rPr>
              <w:t>(</w:t>
            </w:r>
            <w:r w:rsidR="00907110">
              <w:rPr>
                <w:sz w:val="20"/>
                <w:szCs w:val="20"/>
              </w:rPr>
              <w:t>97</w:t>
            </w:r>
            <w:proofErr w:type="gramEnd"/>
            <w:r w:rsidR="00126163" w:rsidRPr="00FB2697">
              <w:rPr>
                <w:sz w:val="20"/>
                <w:szCs w:val="20"/>
              </w:rPr>
              <w:t xml:space="preserve">; </w:t>
            </w:r>
            <w:r w:rsidR="00907110">
              <w:rPr>
                <w:sz w:val="20"/>
                <w:szCs w:val="20"/>
              </w:rPr>
              <w:t>NR</w:t>
            </w:r>
            <w:r w:rsidR="00126163" w:rsidRPr="00FB2697">
              <w:rPr>
                <w:sz w:val="20"/>
                <w:szCs w:val="20"/>
              </w:rPr>
              <w:t xml:space="preserve">; </w:t>
            </w:r>
            <w:r w:rsidR="00907110">
              <w:rPr>
                <w:sz w:val="20"/>
                <w:szCs w:val="20"/>
              </w:rPr>
              <w:t>150</w:t>
            </w:r>
            <w:r w:rsidR="00126163" w:rsidRPr="00FB2697">
              <w:rPr>
                <w:sz w:val="20"/>
                <w:szCs w:val="20"/>
              </w:rPr>
              <w:t>)</w:t>
            </w:r>
          </w:p>
          <w:p w:rsidR="002F5FAE" w:rsidRPr="00FB2697" w:rsidRDefault="002F5FAE" w:rsidP="005A3CF5">
            <w:pPr>
              <w:spacing w:before="60" w:after="60" w:line="240" w:lineRule="auto"/>
              <w:rPr>
                <w:sz w:val="20"/>
                <w:szCs w:val="20"/>
              </w:rPr>
            </w:pPr>
            <w:r w:rsidRPr="00FB2697">
              <w:rPr>
                <w:sz w:val="20"/>
                <w:szCs w:val="20"/>
              </w:rPr>
              <w:t>111200 Objem smluvního výzkumu (v tis.)</w:t>
            </w:r>
            <w:r w:rsidR="00126163" w:rsidRPr="00FB2697">
              <w:rPr>
                <w:sz w:val="20"/>
                <w:szCs w:val="20"/>
              </w:rPr>
              <w:t xml:space="preserve"> (</w:t>
            </w:r>
            <w:r w:rsidR="00907110">
              <w:rPr>
                <w:sz w:val="20"/>
                <w:szCs w:val="20"/>
              </w:rPr>
              <w:t>15 850</w:t>
            </w:r>
            <w:r w:rsidR="00126163" w:rsidRPr="00FB2697">
              <w:rPr>
                <w:sz w:val="20"/>
                <w:szCs w:val="20"/>
              </w:rPr>
              <w:t xml:space="preserve">; </w:t>
            </w:r>
            <w:r w:rsidR="00907110">
              <w:rPr>
                <w:sz w:val="20"/>
                <w:szCs w:val="20"/>
              </w:rPr>
              <w:t>NR</w:t>
            </w:r>
            <w:r w:rsidR="00126163" w:rsidRPr="00FB2697">
              <w:rPr>
                <w:sz w:val="20"/>
                <w:szCs w:val="20"/>
              </w:rPr>
              <w:t xml:space="preserve">; </w:t>
            </w:r>
            <w:r w:rsidR="00907110">
              <w:rPr>
                <w:sz w:val="20"/>
                <w:szCs w:val="20"/>
              </w:rPr>
              <w:t>42</w:t>
            </w:r>
            <w:r w:rsidR="00D05440" w:rsidRPr="00FB2697">
              <w:rPr>
                <w:sz w:val="20"/>
                <w:szCs w:val="20"/>
              </w:rPr>
              <w:t> </w:t>
            </w:r>
            <w:r w:rsidR="00907110">
              <w:rPr>
                <w:sz w:val="20"/>
                <w:szCs w:val="20"/>
              </w:rPr>
              <w:t>55</w:t>
            </w:r>
            <w:r w:rsidR="00D05440" w:rsidRPr="00FB2697">
              <w:rPr>
                <w:sz w:val="20"/>
                <w:szCs w:val="20"/>
              </w:rPr>
              <w:t>0</w:t>
            </w:r>
            <w:r w:rsidR="00126163" w:rsidRPr="00FB2697">
              <w:rPr>
                <w:sz w:val="20"/>
                <w:szCs w:val="20"/>
              </w:rPr>
              <w:t>)</w:t>
            </w:r>
          </w:p>
          <w:p w:rsidR="00D05440" w:rsidRPr="00FB2697" w:rsidRDefault="00D05440" w:rsidP="00126163">
            <w:pPr>
              <w:spacing w:before="60" w:after="60" w:line="240" w:lineRule="auto"/>
              <w:rPr>
                <w:sz w:val="20"/>
                <w:szCs w:val="20"/>
              </w:rPr>
            </w:pPr>
            <w:r w:rsidRPr="00FB2697">
              <w:rPr>
                <w:sz w:val="20"/>
                <w:szCs w:val="20"/>
              </w:rPr>
              <w:t>074901 Počet úspěšných absolventů magisterských studijních programů (</w:t>
            </w:r>
            <w:r w:rsidR="00907110">
              <w:rPr>
                <w:sz w:val="20"/>
                <w:szCs w:val="20"/>
              </w:rPr>
              <w:t>80</w:t>
            </w:r>
            <w:r w:rsidR="00B03AA4" w:rsidRPr="00FB2697">
              <w:rPr>
                <w:sz w:val="20"/>
                <w:szCs w:val="20"/>
              </w:rPr>
              <w:t xml:space="preserve">; </w:t>
            </w:r>
            <w:r w:rsidR="00907110">
              <w:rPr>
                <w:sz w:val="20"/>
                <w:szCs w:val="20"/>
              </w:rPr>
              <w:t>NR</w:t>
            </w:r>
            <w:r w:rsidRPr="00FB2697">
              <w:rPr>
                <w:sz w:val="20"/>
                <w:szCs w:val="20"/>
              </w:rPr>
              <w:t xml:space="preserve">; </w:t>
            </w:r>
            <w:r w:rsidR="00907110">
              <w:rPr>
                <w:sz w:val="20"/>
                <w:szCs w:val="20"/>
              </w:rPr>
              <w:t>110</w:t>
            </w:r>
            <w:r w:rsidRPr="00FB2697">
              <w:rPr>
                <w:sz w:val="20"/>
                <w:szCs w:val="20"/>
              </w:rPr>
              <w:t>)</w:t>
            </w:r>
          </w:p>
          <w:p w:rsidR="00126163" w:rsidRPr="00FB2697" w:rsidRDefault="00126163" w:rsidP="00126163">
            <w:pPr>
              <w:spacing w:before="60" w:after="60" w:line="240" w:lineRule="auto"/>
              <w:rPr>
                <w:sz w:val="20"/>
                <w:szCs w:val="20"/>
              </w:rPr>
            </w:pPr>
            <w:r w:rsidRPr="00FB2697">
              <w:rPr>
                <w:sz w:val="20"/>
                <w:szCs w:val="20"/>
              </w:rPr>
              <w:t>074902 Počet úspěšných absolventů doktorských studijních programů (</w:t>
            </w:r>
            <w:r w:rsidR="00907110">
              <w:rPr>
                <w:sz w:val="20"/>
                <w:szCs w:val="20"/>
              </w:rPr>
              <w:t>46</w:t>
            </w:r>
            <w:r w:rsidRPr="00FB2697">
              <w:rPr>
                <w:sz w:val="20"/>
                <w:szCs w:val="20"/>
              </w:rPr>
              <w:t xml:space="preserve">; </w:t>
            </w:r>
            <w:r w:rsidR="00907110">
              <w:rPr>
                <w:sz w:val="20"/>
                <w:szCs w:val="20"/>
              </w:rPr>
              <w:t>NR</w:t>
            </w:r>
            <w:r w:rsidRPr="00FB2697">
              <w:rPr>
                <w:sz w:val="20"/>
                <w:szCs w:val="20"/>
              </w:rPr>
              <w:t xml:space="preserve">; </w:t>
            </w:r>
            <w:r w:rsidR="00907110">
              <w:rPr>
                <w:sz w:val="20"/>
                <w:szCs w:val="20"/>
              </w:rPr>
              <w:t>65</w:t>
            </w:r>
            <w:r w:rsidRPr="00FB2697">
              <w:rPr>
                <w:sz w:val="20"/>
                <w:szCs w:val="20"/>
              </w:rPr>
              <w:t>)</w:t>
            </w:r>
          </w:p>
          <w:p w:rsidR="00126163" w:rsidRPr="00FB2697" w:rsidRDefault="00126163" w:rsidP="005A3CF5">
            <w:pPr>
              <w:spacing w:before="60" w:after="60" w:line="240" w:lineRule="auto"/>
              <w:rPr>
                <w:sz w:val="20"/>
                <w:szCs w:val="20"/>
              </w:rPr>
            </w:pPr>
            <w:r w:rsidRPr="00FB2697">
              <w:rPr>
                <w:sz w:val="20"/>
                <w:szCs w:val="20"/>
              </w:rPr>
              <w:t>1107</w:t>
            </w:r>
            <w:r w:rsidR="00D05440" w:rsidRPr="00FB2697">
              <w:rPr>
                <w:sz w:val="20"/>
                <w:szCs w:val="20"/>
              </w:rPr>
              <w:t>2</w:t>
            </w:r>
            <w:r w:rsidRPr="00FB2697">
              <w:rPr>
                <w:sz w:val="20"/>
                <w:szCs w:val="20"/>
              </w:rPr>
              <w:t xml:space="preserve">0 </w:t>
            </w:r>
            <w:r w:rsidR="00D05440" w:rsidRPr="00FB2697">
              <w:rPr>
                <w:sz w:val="20"/>
                <w:szCs w:val="20"/>
              </w:rPr>
              <w:t xml:space="preserve">Počet projektů spolupráce aplikační sféry s regionálními </w:t>
            </w:r>
            <w:proofErr w:type="spellStart"/>
            <w:r w:rsidR="00D05440" w:rsidRPr="00FB2697">
              <w:rPr>
                <w:sz w:val="20"/>
                <w:szCs w:val="20"/>
              </w:rPr>
              <w:t>VaV</w:t>
            </w:r>
            <w:proofErr w:type="spellEnd"/>
            <w:r w:rsidR="00D05440" w:rsidRPr="00FB2697">
              <w:rPr>
                <w:sz w:val="20"/>
                <w:szCs w:val="20"/>
              </w:rPr>
              <w:t xml:space="preserve"> centry</w:t>
            </w:r>
            <w:r w:rsidRPr="00FB2697">
              <w:rPr>
                <w:sz w:val="20"/>
                <w:szCs w:val="20"/>
              </w:rPr>
              <w:t xml:space="preserve"> (</w:t>
            </w:r>
            <w:r w:rsidR="003637D7" w:rsidRPr="00FB2697">
              <w:rPr>
                <w:sz w:val="20"/>
                <w:szCs w:val="20"/>
              </w:rPr>
              <w:t>-</w:t>
            </w:r>
            <w:r w:rsidR="00D05440" w:rsidRPr="00FB2697">
              <w:rPr>
                <w:sz w:val="20"/>
                <w:szCs w:val="20"/>
              </w:rPr>
              <w:t xml:space="preserve">; </w:t>
            </w:r>
            <w:r w:rsidR="001130F0">
              <w:rPr>
                <w:sz w:val="20"/>
                <w:szCs w:val="20"/>
              </w:rPr>
              <w:t>NR</w:t>
            </w:r>
            <w:r w:rsidR="00D05440" w:rsidRPr="00FB2697">
              <w:rPr>
                <w:sz w:val="20"/>
                <w:szCs w:val="20"/>
              </w:rPr>
              <w:t xml:space="preserve">; </w:t>
            </w:r>
            <w:r w:rsidR="001130F0">
              <w:rPr>
                <w:sz w:val="20"/>
                <w:szCs w:val="20"/>
              </w:rPr>
              <w:t>3</w:t>
            </w:r>
            <w:r w:rsidR="00D05440" w:rsidRPr="00FB2697">
              <w:rPr>
                <w:sz w:val="20"/>
                <w:szCs w:val="20"/>
              </w:rPr>
              <w:t>7</w:t>
            </w:r>
            <w:r w:rsidRPr="00FB2697">
              <w:rPr>
                <w:sz w:val="20"/>
                <w:szCs w:val="20"/>
              </w:rPr>
              <w:t>)</w:t>
            </w:r>
          </w:p>
          <w:p w:rsidR="00D05440" w:rsidRPr="00FB2697" w:rsidRDefault="00D05440" w:rsidP="00126163">
            <w:pPr>
              <w:pStyle w:val="Odstavecseseznamem"/>
              <w:spacing w:after="0" w:line="240" w:lineRule="auto"/>
              <w:ind w:left="0"/>
              <w:rPr>
                <w:sz w:val="20"/>
                <w:szCs w:val="20"/>
              </w:rPr>
            </w:pPr>
            <w:r w:rsidRPr="00FB2697">
              <w:rPr>
                <w:rFonts w:ascii="Times New Roman" w:hAnsi="Times New Roman"/>
                <w:sz w:val="20"/>
                <w:szCs w:val="20"/>
              </w:rPr>
              <w:t>110815 Počet studentů všech stupňů, kteří využívají vybudovanou infrastrukturu / zapojených do činnosti centra (</w:t>
            </w:r>
            <w:r w:rsidR="003637D7" w:rsidRPr="00FB2697">
              <w:rPr>
                <w:rFonts w:ascii="Times New Roman" w:hAnsi="Times New Roman"/>
                <w:sz w:val="20"/>
                <w:szCs w:val="20"/>
              </w:rPr>
              <w:t>-</w:t>
            </w:r>
            <w:r w:rsidR="00F104BE" w:rsidRPr="00FB2697">
              <w:rPr>
                <w:rFonts w:ascii="Times New Roman" w:hAnsi="Times New Roman"/>
                <w:sz w:val="20"/>
                <w:szCs w:val="20"/>
              </w:rPr>
              <w:t xml:space="preserve">; </w:t>
            </w:r>
            <w:r w:rsidR="001130F0">
              <w:rPr>
                <w:rFonts w:ascii="Times New Roman" w:hAnsi="Times New Roman"/>
                <w:sz w:val="20"/>
                <w:szCs w:val="20"/>
              </w:rPr>
              <w:t>NR</w:t>
            </w:r>
            <w:r w:rsidR="00F104BE" w:rsidRPr="00FB2697">
              <w:rPr>
                <w:rFonts w:ascii="Times New Roman" w:hAnsi="Times New Roman"/>
                <w:sz w:val="20"/>
                <w:szCs w:val="20"/>
              </w:rPr>
              <w:t>; 2</w:t>
            </w:r>
            <w:r w:rsidR="001130F0">
              <w:rPr>
                <w:rFonts w:ascii="Times New Roman" w:hAnsi="Times New Roman"/>
                <w:sz w:val="20"/>
                <w:szCs w:val="20"/>
              </w:rPr>
              <w:t>0</w:t>
            </w:r>
            <w:r w:rsidR="00F104BE" w:rsidRPr="00FB2697">
              <w:rPr>
                <w:rFonts w:ascii="Times New Roman" w:hAnsi="Times New Roman"/>
                <w:sz w:val="20"/>
                <w:szCs w:val="20"/>
              </w:rPr>
              <w:t>0</w:t>
            </w:r>
            <w:r w:rsidRPr="00FB2697">
              <w:rPr>
                <w:rFonts w:ascii="Times New Roman" w:hAnsi="Times New Roman"/>
                <w:sz w:val="20"/>
                <w:szCs w:val="20"/>
              </w:rPr>
              <w:t>)</w:t>
            </w:r>
          </w:p>
          <w:p w:rsidR="00126163" w:rsidRPr="00FB2697" w:rsidRDefault="00126163" w:rsidP="005A3CF5">
            <w:pPr>
              <w:spacing w:before="60" w:after="60" w:line="240" w:lineRule="auto"/>
              <w:rPr>
                <w:sz w:val="20"/>
                <w:szCs w:val="20"/>
              </w:rPr>
            </w:pPr>
            <w:r w:rsidRPr="00FB2697">
              <w:rPr>
                <w:sz w:val="20"/>
                <w:szCs w:val="20"/>
              </w:rPr>
              <w:t xml:space="preserve">110300 Počet nově vytvořených pracovních míst, zaměstnanci </w:t>
            </w:r>
            <w:proofErr w:type="spellStart"/>
            <w:r w:rsidRPr="00FB2697">
              <w:rPr>
                <w:sz w:val="20"/>
                <w:szCs w:val="20"/>
              </w:rPr>
              <w:t>VaV</w:t>
            </w:r>
            <w:proofErr w:type="spellEnd"/>
            <w:r w:rsidRPr="00FB2697">
              <w:rPr>
                <w:sz w:val="20"/>
                <w:szCs w:val="20"/>
              </w:rPr>
              <w:t xml:space="preserve"> - celkem (</w:t>
            </w:r>
            <w:r w:rsidR="001130F0">
              <w:rPr>
                <w:sz w:val="20"/>
                <w:szCs w:val="20"/>
              </w:rPr>
              <w:t>58,4</w:t>
            </w:r>
            <w:r w:rsidR="00F104BE" w:rsidRPr="00FB2697">
              <w:rPr>
                <w:sz w:val="20"/>
                <w:szCs w:val="20"/>
              </w:rPr>
              <w:t xml:space="preserve">; </w:t>
            </w:r>
            <w:r w:rsidR="001130F0">
              <w:rPr>
                <w:sz w:val="20"/>
                <w:szCs w:val="20"/>
              </w:rPr>
              <w:t>NR</w:t>
            </w:r>
            <w:r w:rsidRPr="00FB2697">
              <w:rPr>
                <w:sz w:val="20"/>
                <w:szCs w:val="20"/>
              </w:rPr>
              <w:t xml:space="preserve">; </w:t>
            </w:r>
            <w:r w:rsidR="001130F0">
              <w:rPr>
                <w:sz w:val="20"/>
                <w:szCs w:val="20"/>
              </w:rPr>
              <w:t>60,7</w:t>
            </w:r>
            <w:r w:rsidRPr="00FB2697">
              <w:rPr>
                <w:sz w:val="20"/>
                <w:szCs w:val="20"/>
              </w:rPr>
              <w:t>)</w:t>
            </w:r>
          </w:p>
          <w:p w:rsidR="00126163" w:rsidRPr="00FB2697" w:rsidRDefault="00126163" w:rsidP="005A3CF5">
            <w:pPr>
              <w:spacing w:before="60" w:after="60" w:line="240" w:lineRule="auto"/>
              <w:rPr>
                <w:rFonts w:cs="Times New Roman"/>
                <w:sz w:val="18"/>
                <w:szCs w:val="18"/>
              </w:rPr>
            </w:pPr>
            <w:r w:rsidRPr="00FB2697">
              <w:rPr>
                <w:sz w:val="20"/>
                <w:szCs w:val="20"/>
              </w:rPr>
              <w:t>071700 Počet nově vytvořených pracovních míst</w:t>
            </w:r>
            <w:r w:rsidR="003667C0" w:rsidRPr="00FB2697">
              <w:rPr>
                <w:sz w:val="20"/>
                <w:szCs w:val="20"/>
              </w:rPr>
              <w:t>, výzkumní pracovníci celkem (</w:t>
            </w:r>
            <w:r w:rsidR="001130F0">
              <w:rPr>
                <w:sz w:val="20"/>
                <w:szCs w:val="20"/>
              </w:rPr>
              <w:t>44,4</w:t>
            </w:r>
            <w:r w:rsidRPr="00FB2697">
              <w:rPr>
                <w:sz w:val="20"/>
                <w:szCs w:val="20"/>
              </w:rPr>
              <w:t xml:space="preserve">; </w:t>
            </w:r>
            <w:r w:rsidR="001130F0">
              <w:rPr>
                <w:sz w:val="20"/>
                <w:szCs w:val="20"/>
              </w:rPr>
              <w:t>NR</w:t>
            </w:r>
            <w:r w:rsidRPr="00FB2697">
              <w:rPr>
                <w:sz w:val="20"/>
                <w:szCs w:val="20"/>
              </w:rPr>
              <w:t xml:space="preserve">; </w:t>
            </w:r>
            <w:r w:rsidR="001130F0">
              <w:rPr>
                <w:sz w:val="20"/>
                <w:szCs w:val="20"/>
              </w:rPr>
              <w:t>50,4</w:t>
            </w:r>
            <w:r w:rsidRPr="00FB2697">
              <w:rPr>
                <w:sz w:val="20"/>
                <w:szCs w:val="20"/>
              </w:rPr>
              <w:t>)</w:t>
            </w:r>
          </w:p>
          <w:p w:rsidR="00126163" w:rsidRPr="00B03AA4" w:rsidRDefault="00126163" w:rsidP="005A3CF5">
            <w:pPr>
              <w:spacing w:before="60" w:after="60" w:line="240" w:lineRule="auto"/>
              <w:rPr>
                <w:sz w:val="20"/>
                <w:szCs w:val="20"/>
              </w:rPr>
            </w:pPr>
            <w:r w:rsidRPr="00FB2697">
              <w:rPr>
                <w:sz w:val="20"/>
                <w:szCs w:val="20"/>
              </w:rPr>
              <w:t>071900 Počet nově vytvořených pracovních míst, výzkumní pracovníci do 35 let (</w:t>
            </w:r>
            <w:r w:rsidR="001130F0">
              <w:rPr>
                <w:sz w:val="20"/>
                <w:szCs w:val="20"/>
              </w:rPr>
              <w:t>25,1</w:t>
            </w:r>
            <w:r w:rsidR="00B03AA4" w:rsidRPr="00FB2697">
              <w:rPr>
                <w:sz w:val="20"/>
                <w:szCs w:val="20"/>
              </w:rPr>
              <w:t xml:space="preserve">; </w:t>
            </w:r>
            <w:r w:rsidR="001130F0">
              <w:rPr>
                <w:sz w:val="20"/>
                <w:szCs w:val="20"/>
              </w:rPr>
              <w:t>NR</w:t>
            </w:r>
            <w:r w:rsidRPr="00FB2697">
              <w:rPr>
                <w:sz w:val="20"/>
                <w:szCs w:val="20"/>
              </w:rPr>
              <w:t xml:space="preserve">; </w:t>
            </w:r>
            <w:r w:rsidR="001130F0">
              <w:rPr>
                <w:sz w:val="20"/>
                <w:szCs w:val="20"/>
              </w:rPr>
              <w:t>28,4</w:t>
            </w:r>
            <w:r w:rsidRPr="00FB2697">
              <w:rPr>
                <w:sz w:val="20"/>
                <w:szCs w:val="20"/>
              </w:rPr>
              <w:t>)</w:t>
            </w:r>
          </w:p>
          <w:p w:rsidR="00126163" w:rsidRPr="003637D7" w:rsidRDefault="00126163" w:rsidP="005A3CF5">
            <w:pPr>
              <w:spacing w:before="60" w:after="60" w:line="240" w:lineRule="auto"/>
              <w:rPr>
                <w:sz w:val="20"/>
                <w:szCs w:val="20"/>
              </w:rPr>
            </w:pPr>
            <w:r w:rsidRPr="003637D7">
              <w:rPr>
                <w:sz w:val="20"/>
                <w:szCs w:val="20"/>
              </w:rPr>
              <w:t>110516 Rozšířené nebo zrekonstruované kapacity (0;</w:t>
            </w:r>
            <w:r w:rsidR="00E46CFF">
              <w:rPr>
                <w:sz w:val="20"/>
                <w:szCs w:val="20"/>
              </w:rPr>
              <w:t>NR</w:t>
            </w:r>
            <w:r w:rsidRPr="003637D7">
              <w:rPr>
                <w:sz w:val="20"/>
                <w:szCs w:val="20"/>
              </w:rPr>
              <w:t xml:space="preserve">; </w:t>
            </w:r>
            <w:r w:rsidR="003667C0" w:rsidRPr="003637D7">
              <w:rPr>
                <w:sz w:val="20"/>
                <w:szCs w:val="20"/>
              </w:rPr>
              <w:t>-</w:t>
            </w:r>
            <w:r w:rsidRPr="003637D7">
              <w:rPr>
                <w:sz w:val="20"/>
                <w:szCs w:val="20"/>
              </w:rPr>
              <w:t>)</w:t>
            </w:r>
          </w:p>
          <w:p w:rsidR="00126163" w:rsidRDefault="00126163" w:rsidP="005A3CF5">
            <w:pPr>
              <w:spacing w:before="60" w:after="60" w:line="240" w:lineRule="auto"/>
              <w:rPr>
                <w:rFonts w:cs="Times New Roman"/>
                <w:sz w:val="18"/>
                <w:szCs w:val="18"/>
              </w:rPr>
            </w:pPr>
            <w:r w:rsidRPr="003637D7">
              <w:rPr>
                <w:sz w:val="20"/>
                <w:szCs w:val="20"/>
              </w:rPr>
              <w:t>110517 Vybudované kapacity (</w:t>
            </w:r>
            <w:r w:rsidR="001130F0">
              <w:rPr>
                <w:sz w:val="20"/>
                <w:szCs w:val="20"/>
              </w:rPr>
              <w:t>10 665</w:t>
            </w:r>
            <w:r w:rsidRPr="003637D7">
              <w:rPr>
                <w:sz w:val="20"/>
                <w:szCs w:val="20"/>
              </w:rPr>
              <w:t xml:space="preserve">; </w:t>
            </w:r>
            <w:r w:rsidR="001130F0">
              <w:rPr>
                <w:sz w:val="20"/>
                <w:szCs w:val="20"/>
              </w:rPr>
              <w:t>NR;</w:t>
            </w:r>
            <w:r w:rsidRPr="003637D7">
              <w:rPr>
                <w:sz w:val="20"/>
                <w:szCs w:val="20"/>
              </w:rPr>
              <w:t xml:space="preserve"> -)</w:t>
            </w:r>
          </w:p>
          <w:p w:rsidR="00967412" w:rsidRPr="00FB2697" w:rsidRDefault="001130F0" w:rsidP="00967412">
            <w:pPr>
              <w:spacing w:before="60" w:after="60" w:line="240" w:lineRule="auto"/>
              <w:rPr>
                <w:sz w:val="16"/>
              </w:rPr>
            </w:pPr>
            <w:r>
              <w:rPr>
                <w:sz w:val="16"/>
              </w:rPr>
              <w:t xml:space="preserve">Vzhledem k plánovanému ukončení realizace projektu ke </w:t>
            </w:r>
            <w:r w:rsidR="00430D8C">
              <w:rPr>
                <w:sz w:val="16"/>
              </w:rPr>
              <w:t xml:space="preserve">dni </w:t>
            </w:r>
            <w:r>
              <w:rPr>
                <w:sz w:val="16"/>
              </w:rPr>
              <w:t xml:space="preserve">30. 4. 2015 nejsou hodnoty pro ukončení realizace projektu zatím známé. </w:t>
            </w:r>
            <w:r w:rsidR="00967412" w:rsidRPr="00967412">
              <w:rPr>
                <w:sz w:val="16"/>
              </w:rPr>
              <w:t xml:space="preserve">Projekt průběžně plní závazné hodnoty většiny monitorovacích indikátorů. Za rok 2013 byla celá řada indikátorů splněna se značnou rezervou. Splněny nebyly pouze hodnoty dvou indikátorů. Prvním z nich byl Počet úspěšných absolventů doktorských studijních programů (plán 14, realita7). V tomto případě je alespoň splněna kumulativní hodnota za sledované období od začátku realizace projektu (plán 32, realita 33). Druhým případem je Počet projektů spolupráce aplikační sféry s regionálními </w:t>
            </w:r>
            <w:proofErr w:type="spellStart"/>
            <w:r w:rsidR="00967412" w:rsidRPr="00967412">
              <w:rPr>
                <w:sz w:val="16"/>
              </w:rPr>
              <w:t>VaV</w:t>
            </w:r>
            <w:proofErr w:type="spellEnd"/>
            <w:r w:rsidR="00967412" w:rsidRPr="00967412">
              <w:rPr>
                <w:sz w:val="16"/>
              </w:rPr>
              <w:t xml:space="preserve"> centry (plán 18, realita 6), zde však není splněn kumulativní plánovaný součet od začátku realizace projektu (plán 32, realita 24). Nenaplnění závazné hodnoty je odůvodněno strukturou daného průmyslového odvětví. U hodnot za rok 2014 probíhá administrativní kontrola.</w:t>
            </w:r>
          </w:p>
        </w:tc>
      </w:tr>
      <w:tr w:rsidR="00235AE1" w:rsidTr="00F74C5F">
        <w:tc>
          <w:tcPr>
            <w:tcW w:w="9450" w:type="dxa"/>
            <w:gridSpan w:val="6"/>
            <w:shd w:val="clear" w:color="auto" w:fill="595959" w:themeFill="text1" w:themeFillTint="A6"/>
          </w:tcPr>
          <w:p w:rsidR="00235AE1" w:rsidRPr="005F27AE" w:rsidRDefault="0004245B" w:rsidP="00A431A3">
            <w:pPr>
              <w:spacing w:before="60" w:after="60" w:line="240" w:lineRule="auto"/>
              <w:rPr>
                <w:b/>
                <w:color w:val="FFFFFF" w:themeColor="background1"/>
              </w:rPr>
            </w:pPr>
            <w:r>
              <w:rPr>
                <w:b/>
                <w:noProof/>
                <w:color w:val="FFFFFF" w:themeColor="background1"/>
              </w:rPr>
              <w:lastRenderedPageBreak/>
              <mc:AlternateContent>
                <mc:Choice Requires="wps">
                  <w:drawing>
                    <wp:anchor distT="0" distB="0" distL="114300" distR="114300" simplePos="0" relativeHeight="251659264" behindDoc="0" locked="0" layoutInCell="1" allowOverlap="1" wp14:anchorId="1475586C" wp14:editId="74CDE4E6">
                      <wp:simplePos x="0" y="0"/>
                      <wp:positionH relativeFrom="column">
                        <wp:posOffset>3745230</wp:posOffset>
                      </wp:positionH>
                      <wp:positionV relativeFrom="paragraph">
                        <wp:posOffset>22860</wp:posOffset>
                      </wp:positionV>
                      <wp:extent cx="1912620" cy="205740"/>
                      <wp:effectExtent l="0" t="0" r="11430" b="22860"/>
                      <wp:wrapNone/>
                      <wp:docPr id="1" name="Textové pole 1"/>
                      <wp:cNvGraphicFramePr/>
                      <a:graphic xmlns:a="http://schemas.openxmlformats.org/drawingml/2006/main">
                        <a:graphicData uri="http://schemas.microsoft.com/office/word/2010/wordprocessingShape">
                          <wps:wsp>
                            <wps:cNvSpPr txBox="1"/>
                            <wps:spPr>
                              <a:xfrm>
                                <a:off x="0" y="0"/>
                                <a:ext cx="1912620" cy="2057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4245B" w:rsidRPr="00B07516" w:rsidRDefault="0004245B" w:rsidP="0004245B">
                                  <w:pPr>
                                    <w:spacing w:after="120" w:line="240" w:lineRule="auto"/>
                                    <w:rPr>
                                      <w:sz w:val="18"/>
                                      <w:szCs w:val="18"/>
                                    </w:rPr>
                                  </w:pPr>
                                  <w:r w:rsidRPr="00B07516">
                                    <w:rPr>
                                      <w:sz w:val="18"/>
                                      <w:szCs w:val="18"/>
                                    </w:rPr>
                                    <w:t>K</w:t>
                                  </w:r>
                                  <w:r w:rsidR="00CB0855">
                                    <w:rPr>
                                      <w:sz w:val="18"/>
                                      <w:szCs w:val="18"/>
                                    </w:rPr>
                                    <w:t> </w:t>
                                  </w:r>
                                  <w:r w:rsidRPr="00B07516">
                                    <w:rPr>
                                      <w:sz w:val="18"/>
                                      <w:szCs w:val="18"/>
                                    </w:rPr>
                                    <w:t>datu</w:t>
                                  </w:r>
                                  <w:r w:rsidR="00CB0855">
                                    <w:rPr>
                                      <w:sz w:val="18"/>
                                      <w:szCs w:val="18"/>
                                    </w:rPr>
                                    <w:t xml:space="preserve"> </w:t>
                                  </w:r>
                                  <w:proofErr w:type="gramStart"/>
                                  <w:r w:rsidR="00DD09BE">
                                    <w:rPr>
                                      <w:sz w:val="18"/>
                                      <w:szCs w:val="18"/>
                                    </w:rPr>
                                    <w:t>20</w:t>
                                  </w:r>
                                  <w:r w:rsidR="00CB0855">
                                    <w:rPr>
                                      <w:sz w:val="18"/>
                                      <w:szCs w:val="18"/>
                                    </w:rPr>
                                    <w:t>.2.2015</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margin-left:294.9pt;margin-top:1.8pt;width:150.6pt;height:1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" fillcolor="white [3201]" strokeweight=".5pt">
                      <v:textbox>
                        <w:txbxContent>
                          <w:p w:rsidR="0004245B" w:rsidRPr="00B07516" w:rsidRDefault="0004245B" w:rsidP="0004245B">
                            <w:pPr>
                              <w:spacing w:after="120" w:line="240" w:lineRule="auto"/>
                              <w:rPr>
                                <w:sz w:val="18"/>
                                <w:szCs w:val="18"/>
                              </w:rPr>
                            </w:pPr>
                            <w:r w:rsidRPr="00B07516">
                              <w:rPr>
                                <w:sz w:val="18"/>
                                <w:szCs w:val="18"/>
                              </w:rPr>
                              <w:t>K</w:t>
                            </w:r>
                            <w:r w:rsidR="00CB0855">
                              <w:rPr>
                                <w:sz w:val="18"/>
                                <w:szCs w:val="18"/>
                              </w:rPr>
                              <w:t> </w:t>
                            </w:r>
                            <w:r w:rsidRPr="00B07516">
                              <w:rPr>
                                <w:sz w:val="18"/>
                                <w:szCs w:val="18"/>
                              </w:rPr>
                              <w:t>datu</w:t>
                            </w:r>
                            <w:r w:rsidR="00CB0855">
                              <w:rPr>
                                <w:sz w:val="18"/>
                                <w:szCs w:val="18"/>
                              </w:rPr>
                              <w:t xml:space="preserve"> </w:t>
                            </w:r>
                            <w:proofErr w:type="gramStart"/>
                            <w:r w:rsidR="00DD09BE">
                              <w:rPr>
                                <w:sz w:val="18"/>
                                <w:szCs w:val="18"/>
                              </w:rPr>
                              <w:t>20</w:t>
                            </w:r>
                            <w:r w:rsidR="00CB0855">
                              <w:rPr>
                                <w:sz w:val="18"/>
                                <w:szCs w:val="18"/>
                              </w:rPr>
                              <w:t>.2.2015</w:t>
                            </w:r>
                            <w:proofErr w:type="gramEnd"/>
                          </w:p>
                        </w:txbxContent>
                      </v:textbox>
                    </v:shape>
                  </w:pict>
                </mc:Fallback>
              </mc:AlternateContent>
            </w:r>
            <w:r w:rsidR="005F27AE" w:rsidRPr="005F27AE">
              <w:rPr>
                <w:b/>
                <w:color w:val="FFFFFF" w:themeColor="background1"/>
              </w:rPr>
              <w:t>Aktuální stav</w:t>
            </w:r>
            <w:r w:rsidR="005F27AE">
              <w:rPr>
                <w:b/>
                <w:color w:val="FFFFFF" w:themeColor="background1"/>
              </w:rPr>
              <w:t xml:space="preserve"> realizace projektu</w:t>
            </w:r>
          </w:p>
        </w:tc>
      </w:tr>
      <w:tr w:rsidR="00F9010E" w:rsidTr="00D03FD2">
        <w:trPr>
          <w:trHeight w:val="847"/>
        </w:trPr>
        <w:tc>
          <w:tcPr>
            <w:tcW w:w="2298" w:type="dxa"/>
          </w:tcPr>
          <w:p w:rsidR="00F9010E" w:rsidRDefault="00F9010E" w:rsidP="00C92258">
            <w:pPr>
              <w:spacing w:before="60" w:after="60"/>
              <w:rPr>
                <w:rFonts w:ascii="Arial" w:hAnsi="Arial" w:cs="Arial"/>
                <w:b/>
                <w:sz w:val="20"/>
              </w:rPr>
            </w:pPr>
            <w:r>
              <w:rPr>
                <w:rFonts w:ascii="Arial" w:hAnsi="Arial" w:cs="Arial"/>
                <w:b/>
                <w:sz w:val="20"/>
              </w:rPr>
              <w:t>Statutární orgán projektu</w:t>
            </w:r>
          </w:p>
        </w:tc>
        <w:tc>
          <w:tcPr>
            <w:tcW w:w="3472" w:type="dxa"/>
            <w:gridSpan w:val="2"/>
          </w:tcPr>
          <w:p w:rsidR="00F9010E" w:rsidRPr="001E0727" w:rsidRDefault="00002DBE" w:rsidP="00002DBE">
            <w:pPr>
              <w:spacing w:before="60" w:after="60" w:line="240" w:lineRule="auto"/>
              <w:rPr>
                <w:sz w:val="18"/>
              </w:rPr>
            </w:pPr>
            <w:r w:rsidRPr="001E0727">
              <w:rPr>
                <w:sz w:val="18"/>
              </w:rPr>
              <w:t xml:space="preserve">Jméno a </w:t>
            </w:r>
            <w:r w:rsidR="00F9010E" w:rsidRPr="001E0727">
              <w:rPr>
                <w:sz w:val="18"/>
              </w:rPr>
              <w:t xml:space="preserve">pracovní </w:t>
            </w:r>
            <w:r w:rsidRPr="001E0727">
              <w:rPr>
                <w:sz w:val="18"/>
              </w:rPr>
              <w:t>pozice:</w:t>
            </w:r>
          </w:p>
          <w:p w:rsidR="006025C6" w:rsidRPr="00DC1DD8" w:rsidRDefault="001E0727" w:rsidP="001E0727">
            <w:pPr>
              <w:spacing w:before="60" w:after="60" w:line="240" w:lineRule="auto"/>
              <w:rPr>
                <w:sz w:val="18"/>
                <w:highlight w:val="yellow"/>
              </w:rPr>
            </w:pPr>
            <w:r w:rsidRPr="001E0727">
              <w:rPr>
                <w:sz w:val="18"/>
              </w:rPr>
              <w:t xml:space="preserve">prof. Ing. Petr Sáha, CSc., rektor </w:t>
            </w:r>
          </w:p>
        </w:tc>
        <w:tc>
          <w:tcPr>
            <w:tcW w:w="3680" w:type="dxa"/>
            <w:gridSpan w:val="3"/>
          </w:tcPr>
          <w:p w:rsidR="00F9010E" w:rsidRPr="005F27AE" w:rsidRDefault="00F9010E" w:rsidP="00DD26D3">
            <w:pPr>
              <w:spacing w:before="60" w:after="60" w:line="240" w:lineRule="auto"/>
              <w:rPr>
                <w:sz w:val="18"/>
              </w:rPr>
            </w:pPr>
            <w:r w:rsidRPr="005F27AE">
              <w:rPr>
                <w:sz w:val="18"/>
              </w:rPr>
              <w:t>Instituce</w:t>
            </w:r>
            <w:r w:rsidR="00002DBE">
              <w:rPr>
                <w:sz w:val="18"/>
              </w:rPr>
              <w:t>:</w:t>
            </w:r>
            <w:r w:rsidR="00DC46CE">
              <w:rPr>
                <w:sz w:val="18"/>
              </w:rPr>
              <w:t xml:space="preserve"> </w:t>
            </w:r>
            <w:proofErr w:type="gramStart"/>
            <w:r w:rsidR="00DC46CE">
              <w:rPr>
                <w:sz w:val="18"/>
              </w:rPr>
              <w:t>viz. název</w:t>
            </w:r>
            <w:proofErr w:type="gramEnd"/>
            <w:r w:rsidR="00DC46CE">
              <w:rPr>
                <w:sz w:val="18"/>
              </w:rPr>
              <w:t xml:space="preserve"> příjemce výše</w:t>
            </w:r>
          </w:p>
        </w:tc>
      </w:tr>
      <w:tr w:rsidR="00002DBE" w:rsidTr="00D03FD2">
        <w:trPr>
          <w:trHeight w:val="1009"/>
        </w:trPr>
        <w:tc>
          <w:tcPr>
            <w:tcW w:w="2298" w:type="dxa"/>
          </w:tcPr>
          <w:p w:rsidR="00002DBE" w:rsidRDefault="00002DBE" w:rsidP="00C92258">
            <w:pPr>
              <w:spacing w:before="60" w:after="60"/>
              <w:rPr>
                <w:rFonts w:ascii="Arial" w:hAnsi="Arial" w:cs="Arial"/>
                <w:b/>
                <w:sz w:val="20"/>
              </w:rPr>
            </w:pPr>
            <w:r>
              <w:rPr>
                <w:rFonts w:ascii="Arial" w:hAnsi="Arial" w:cs="Arial"/>
                <w:b/>
                <w:sz w:val="20"/>
              </w:rPr>
              <w:t>Kontaktní osoba projektu</w:t>
            </w:r>
          </w:p>
        </w:tc>
        <w:tc>
          <w:tcPr>
            <w:tcW w:w="7152" w:type="dxa"/>
            <w:gridSpan w:val="5"/>
          </w:tcPr>
          <w:p w:rsidR="00002DBE" w:rsidRPr="001E0727" w:rsidRDefault="00002DBE" w:rsidP="00DD26D3">
            <w:pPr>
              <w:spacing w:before="60" w:after="60" w:line="240" w:lineRule="auto"/>
              <w:rPr>
                <w:sz w:val="18"/>
              </w:rPr>
            </w:pPr>
            <w:r w:rsidRPr="001E0727">
              <w:rPr>
                <w:sz w:val="18"/>
              </w:rPr>
              <w:t>Vedoucí projektu (jméno a pracovní pozice)</w:t>
            </w:r>
          </w:p>
          <w:p w:rsidR="00E42722" w:rsidRPr="001E0727" w:rsidRDefault="00AA5954" w:rsidP="00DD26D3">
            <w:pPr>
              <w:spacing w:before="60" w:after="60" w:line="240" w:lineRule="auto"/>
              <w:rPr>
                <w:sz w:val="18"/>
              </w:rPr>
            </w:pPr>
            <w:r w:rsidRPr="00AA5954">
              <w:rPr>
                <w:sz w:val="18"/>
              </w:rPr>
              <w:t>doc. Dr. Ing. Vladimír Pavlínek</w:t>
            </w:r>
            <w:r w:rsidR="001E0727" w:rsidRPr="001E0727">
              <w:rPr>
                <w:sz w:val="18"/>
              </w:rPr>
              <w:t>, ředitel centra</w:t>
            </w:r>
          </w:p>
          <w:p w:rsidR="00002DBE" w:rsidRPr="00860A4E" w:rsidRDefault="00002DBE" w:rsidP="00DD26D3">
            <w:pPr>
              <w:spacing w:before="60" w:after="60" w:line="240" w:lineRule="auto"/>
              <w:rPr>
                <w:sz w:val="18"/>
              </w:rPr>
            </w:pPr>
            <w:r w:rsidRPr="00860A4E">
              <w:rPr>
                <w:sz w:val="18"/>
              </w:rPr>
              <w:t>Ekonom</w:t>
            </w:r>
          </w:p>
          <w:p w:rsidR="00DC46CE" w:rsidRPr="00DC1DD8" w:rsidRDefault="00AA5954" w:rsidP="00AA5954">
            <w:pPr>
              <w:spacing w:before="60" w:after="60" w:line="240" w:lineRule="auto"/>
              <w:rPr>
                <w:sz w:val="18"/>
                <w:highlight w:val="yellow"/>
              </w:rPr>
            </w:pPr>
            <w:r w:rsidRPr="00AA5954">
              <w:rPr>
                <w:sz w:val="18"/>
              </w:rPr>
              <w:t>Ing. Lenka Kapustová</w:t>
            </w:r>
            <w:r>
              <w:rPr>
                <w:sz w:val="18"/>
              </w:rPr>
              <w:t xml:space="preserve">, </w:t>
            </w:r>
            <w:r w:rsidRPr="00AA5954">
              <w:rPr>
                <w:sz w:val="18"/>
              </w:rPr>
              <w:t>ekonom projektu</w:t>
            </w:r>
          </w:p>
        </w:tc>
      </w:tr>
      <w:tr w:rsidR="0004245B" w:rsidTr="00D03FD2">
        <w:trPr>
          <w:trHeight w:val="843"/>
        </w:trPr>
        <w:tc>
          <w:tcPr>
            <w:tcW w:w="2298" w:type="dxa"/>
          </w:tcPr>
          <w:p w:rsidR="0004245B" w:rsidRDefault="0004245B" w:rsidP="00C92258">
            <w:pPr>
              <w:spacing w:before="60" w:after="60"/>
              <w:rPr>
                <w:rFonts w:ascii="Arial" w:hAnsi="Arial" w:cs="Arial"/>
                <w:b/>
                <w:sz w:val="20"/>
              </w:rPr>
            </w:pPr>
            <w:r>
              <w:rPr>
                <w:rFonts w:ascii="Arial" w:hAnsi="Arial" w:cs="Arial"/>
                <w:b/>
                <w:sz w:val="20"/>
              </w:rPr>
              <w:t>Klíčové</w:t>
            </w:r>
            <w:r w:rsidR="00AF6EBB">
              <w:rPr>
                <w:rFonts w:ascii="Arial" w:hAnsi="Arial" w:cs="Arial"/>
                <w:b/>
                <w:sz w:val="20"/>
              </w:rPr>
              <w:t xml:space="preserve"> schválené</w:t>
            </w:r>
            <w:r>
              <w:rPr>
                <w:rFonts w:ascii="Arial" w:hAnsi="Arial" w:cs="Arial"/>
                <w:b/>
                <w:sz w:val="20"/>
              </w:rPr>
              <w:t xml:space="preserve"> změny projektu</w:t>
            </w:r>
          </w:p>
        </w:tc>
        <w:tc>
          <w:tcPr>
            <w:tcW w:w="4606" w:type="dxa"/>
            <w:gridSpan w:val="4"/>
          </w:tcPr>
          <w:p w:rsidR="0004245B" w:rsidRPr="00843B52" w:rsidRDefault="0004245B" w:rsidP="00DD26D3">
            <w:pPr>
              <w:spacing w:before="60" w:after="60" w:line="240" w:lineRule="auto"/>
              <w:rPr>
                <w:sz w:val="18"/>
              </w:rPr>
            </w:pPr>
            <w:r w:rsidRPr="00843B52">
              <w:rPr>
                <w:sz w:val="18"/>
              </w:rPr>
              <w:t>Stručný popis</w:t>
            </w:r>
          </w:p>
          <w:p w:rsidR="00736743" w:rsidRPr="00565A19" w:rsidRDefault="004C5AA6" w:rsidP="00DD26D3">
            <w:pPr>
              <w:spacing w:before="60" w:after="60" w:line="240" w:lineRule="auto"/>
              <w:rPr>
                <w:sz w:val="18"/>
              </w:rPr>
            </w:pPr>
            <w:proofErr w:type="spellStart"/>
            <w:r w:rsidRPr="00565A19">
              <w:rPr>
                <w:sz w:val="18"/>
              </w:rPr>
              <w:t>DRoPD</w:t>
            </w:r>
            <w:proofErr w:type="spellEnd"/>
            <w:r w:rsidRPr="00565A19">
              <w:rPr>
                <w:sz w:val="18"/>
              </w:rPr>
              <w:t xml:space="preserve"> 02 –</w:t>
            </w:r>
            <w:r w:rsidR="00843B52" w:rsidRPr="00565A19">
              <w:rPr>
                <w:sz w:val="18"/>
              </w:rPr>
              <w:t xml:space="preserve"> přesuny </w:t>
            </w:r>
            <w:r w:rsidR="00565A19" w:rsidRPr="00565A19">
              <w:rPr>
                <w:sz w:val="18"/>
              </w:rPr>
              <w:t xml:space="preserve">v rozpočtu </w:t>
            </w:r>
            <w:r w:rsidR="00843B52" w:rsidRPr="00565A19">
              <w:rPr>
                <w:sz w:val="18"/>
              </w:rPr>
              <w:t xml:space="preserve">mezi </w:t>
            </w:r>
            <w:r w:rsidR="00565A19" w:rsidRPr="00565A19">
              <w:rPr>
                <w:sz w:val="18"/>
              </w:rPr>
              <w:t>ne</w:t>
            </w:r>
            <w:r w:rsidR="00843B52" w:rsidRPr="00565A19">
              <w:rPr>
                <w:sz w:val="18"/>
              </w:rPr>
              <w:t xml:space="preserve">investičními a investičními výdaji </w:t>
            </w:r>
            <w:r w:rsidR="00E64B9D" w:rsidRPr="00565A19">
              <w:rPr>
                <w:sz w:val="18"/>
              </w:rPr>
              <w:t xml:space="preserve">rozpočtu </w:t>
            </w:r>
            <w:r w:rsidR="00843B52" w:rsidRPr="00565A19">
              <w:rPr>
                <w:sz w:val="18"/>
              </w:rPr>
              <w:t>(</w:t>
            </w:r>
            <w:r w:rsidR="00565A19" w:rsidRPr="00565A19">
              <w:rPr>
                <w:sz w:val="18"/>
              </w:rPr>
              <w:t>výběrová řízení</w:t>
            </w:r>
            <w:r w:rsidR="00843B52" w:rsidRPr="00565A19">
              <w:rPr>
                <w:sz w:val="18"/>
              </w:rPr>
              <w:t>)</w:t>
            </w:r>
            <w:r w:rsidR="00FC67AF" w:rsidRPr="00565A19">
              <w:rPr>
                <w:sz w:val="18"/>
              </w:rPr>
              <w:t xml:space="preserve">, </w:t>
            </w:r>
            <w:r w:rsidR="00565A19" w:rsidRPr="00565A19">
              <w:rPr>
                <w:sz w:val="18"/>
              </w:rPr>
              <w:t>sloučení monitorovacích zpráv, odložení termínu dokončení stavby, aktualizace finančního plánu</w:t>
            </w:r>
          </w:p>
          <w:p w:rsidR="00565A19" w:rsidRPr="0027277C" w:rsidRDefault="004C5AA6" w:rsidP="00DD26D3">
            <w:pPr>
              <w:spacing w:before="60" w:after="60" w:line="240" w:lineRule="auto"/>
              <w:rPr>
                <w:sz w:val="18"/>
              </w:rPr>
            </w:pPr>
            <w:proofErr w:type="spellStart"/>
            <w:r w:rsidRPr="0027277C">
              <w:rPr>
                <w:sz w:val="18"/>
              </w:rPr>
              <w:t>DRoPD</w:t>
            </w:r>
            <w:proofErr w:type="spellEnd"/>
            <w:r w:rsidRPr="0027277C">
              <w:rPr>
                <w:sz w:val="18"/>
              </w:rPr>
              <w:t xml:space="preserve"> </w:t>
            </w:r>
            <w:proofErr w:type="gramStart"/>
            <w:r w:rsidRPr="0027277C">
              <w:rPr>
                <w:sz w:val="18"/>
              </w:rPr>
              <w:t>03</w:t>
            </w:r>
            <w:proofErr w:type="gramEnd"/>
            <w:r w:rsidRPr="0027277C">
              <w:rPr>
                <w:sz w:val="18"/>
              </w:rPr>
              <w:t xml:space="preserve"> –</w:t>
            </w:r>
            <w:proofErr w:type="gramStart"/>
            <w:r w:rsidR="00565A19" w:rsidRPr="0027277C">
              <w:rPr>
                <w:sz w:val="18"/>
              </w:rPr>
              <w:t>zavedení</w:t>
            </w:r>
            <w:proofErr w:type="gramEnd"/>
            <w:r w:rsidR="00565A19" w:rsidRPr="0027277C">
              <w:rPr>
                <w:sz w:val="18"/>
              </w:rPr>
              <w:t xml:space="preserve"> sankcí za porušení rozpočtové kázně </w:t>
            </w:r>
            <w:r w:rsidR="00565A19" w:rsidRPr="0027277C">
              <w:rPr>
                <w:sz w:val="18"/>
              </w:rPr>
              <w:lastRenderedPageBreak/>
              <w:t>v důsledku porušení pravidel pro zadávání zakázek</w:t>
            </w:r>
          </w:p>
          <w:p w:rsidR="00565A19" w:rsidRPr="0027277C" w:rsidRDefault="00565A19" w:rsidP="00565A19">
            <w:pPr>
              <w:spacing w:before="60" w:after="60" w:line="240" w:lineRule="auto"/>
              <w:rPr>
                <w:sz w:val="18"/>
              </w:rPr>
            </w:pPr>
            <w:proofErr w:type="spellStart"/>
            <w:r w:rsidRPr="0027277C">
              <w:rPr>
                <w:sz w:val="18"/>
              </w:rPr>
              <w:t>DRoPD</w:t>
            </w:r>
            <w:proofErr w:type="spellEnd"/>
            <w:r w:rsidRPr="0027277C">
              <w:rPr>
                <w:sz w:val="18"/>
              </w:rPr>
              <w:t xml:space="preserve"> 04 – </w:t>
            </w:r>
            <w:r w:rsidR="0027277C" w:rsidRPr="0027277C">
              <w:rPr>
                <w:sz w:val="18"/>
              </w:rPr>
              <w:t xml:space="preserve">posunutí termínu ukončení realizace projektu o osm měsíců, posun milníků, změna v klíčovém vybavení, </w:t>
            </w:r>
            <w:r w:rsidR="0027277C" w:rsidRPr="00D47756">
              <w:rPr>
                <w:sz w:val="18"/>
              </w:rPr>
              <w:t xml:space="preserve">využití 30% úspor ze zakázek na stavební práce a snížení </w:t>
            </w:r>
            <w:r w:rsidR="00305B35">
              <w:rPr>
                <w:sz w:val="18"/>
              </w:rPr>
              <w:t xml:space="preserve">objemu </w:t>
            </w:r>
            <w:r w:rsidR="0027277C" w:rsidRPr="00D47756">
              <w:rPr>
                <w:sz w:val="18"/>
              </w:rPr>
              <w:t>dotace,</w:t>
            </w:r>
            <w:r w:rsidR="0027277C">
              <w:rPr>
                <w:sz w:val="18"/>
              </w:rPr>
              <w:t xml:space="preserve"> aktualizace finančního plánu projektu</w:t>
            </w:r>
          </w:p>
          <w:p w:rsidR="00305B35" w:rsidRPr="00305B35" w:rsidRDefault="0027277C" w:rsidP="00305B35">
            <w:pPr>
              <w:spacing w:before="60" w:after="60" w:line="240" w:lineRule="auto"/>
              <w:rPr>
                <w:sz w:val="18"/>
              </w:rPr>
            </w:pPr>
            <w:proofErr w:type="spellStart"/>
            <w:r w:rsidRPr="00305B35">
              <w:rPr>
                <w:sz w:val="18"/>
              </w:rPr>
              <w:t>DRoPD</w:t>
            </w:r>
            <w:proofErr w:type="spellEnd"/>
            <w:r w:rsidRPr="00305B35">
              <w:rPr>
                <w:sz w:val="18"/>
              </w:rPr>
              <w:t xml:space="preserve"> </w:t>
            </w:r>
            <w:proofErr w:type="gramStart"/>
            <w:r w:rsidRPr="00305B35">
              <w:rPr>
                <w:sz w:val="18"/>
              </w:rPr>
              <w:t>0</w:t>
            </w:r>
            <w:r w:rsidR="00305B35" w:rsidRPr="00305B35">
              <w:rPr>
                <w:sz w:val="18"/>
              </w:rPr>
              <w:t>5</w:t>
            </w:r>
            <w:proofErr w:type="gramEnd"/>
            <w:r w:rsidRPr="00305B35">
              <w:rPr>
                <w:sz w:val="18"/>
              </w:rPr>
              <w:t xml:space="preserve"> –</w:t>
            </w:r>
            <w:proofErr w:type="gramStart"/>
            <w:r w:rsidRPr="00305B35">
              <w:rPr>
                <w:sz w:val="18"/>
              </w:rPr>
              <w:t>využití</w:t>
            </w:r>
            <w:proofErr w:type="gramEnd"/>
            <w:r w:rsidRPr="00305B35">
              <w:rPr>
                <w:sz w:val="18"/>
              </w:rPr>
              <w:t xml:space="preserve"> části z 70% úspor ze zakázek na stavební práce </w:t>
            </w:r>
            <w:r w:rsidR="00305B35">
              <w:rPr>
                <w:sz w:val="18"/>
              </w:rPr>
              <w:t xml:space="preserve">na doplnění klíčového vybavení </w:t>
            </w:r>
            <w:r w:rsidRPr="00305B35">
              <w:rPr>
                <w:sz w:val="18"/>
              </w:rPr>
              <w:t xml:space="preserve">a zvýšení </w:t>
            </w:r>
            <w:r w:rsidR="00305B35" w:rsidRPr="00305B35">
              <w:rPr>
                <w:sz w:val="18"/>
              </w:rPr>
              <w:t xml:space="preserve">objemu </w:t>
            </w:r>
            <w:r w:rsidRPr="00305B35">
              <w:rPr>
                <w:sz w:val="18"/>
              </w:rPr>
              <w:t>dotace</w:t>
            </w:r>
            <w:r w:rsidR="00305B35">
              <w:rPr>
                <w:sz w:val="18"/>
              </w:rPr>
              <w:t>, aktualizace finančního plánu</w:t>
            </w:r>
          </w:p>
          <w:p w:rsidR="00F5429E" w:rsidRPr="00DC1DD8" w:rsidRDefault="00305B35" w:rsidP="00305B35">
            <w:pPr>
              <w:spacing w:before="60" w:after="60" w:line="240" w:lineRule="auto"/>
              <w:rPr>
                <w:sz w:val="18"/>
                <w:highlight w:val="yellow"/>
              </w:rPr>
            </w:pPr>
            <w:proofErr w:type="spellStart"/>
            <w:r w:rsidRPr="00305B35">
              <w:rPr>
                <w:sz w:val="18"/>
              </w:rPr>
              <w:t>DRoPD</w:t>
            </w:r>
            <w:proofErr w:type="spellEnd"/>
            <w:r w:rsidRPr="00305B35">
              <w:rPr>
                <w:sz w:val="18"/>
              </w:rPr>
              <w:t xml:space="preserve"> 06 – aktualizace sankcí za porušení rozpočtové kázně v důsledku porušení pravidel pro zadávání zakázek</w:t>
            </w:r>
            <w:r>
              <w:rPr>
                <w:sz w:val="18"/>
              </w:rPr>
              <w:t>, zavedení sankcí pro případné nesplnění závazných plánovaných hodnot monitorovacích indikátorů, využití 30% úspory ze zakázek na stavební práce na klíčové vybavení</w:t>
            </w:r>
          </w:p>
        </w:tc>
        <w:tc>
          <w:tcPr>
            <w:tcW w:w="2546" w:type="dxa"/>
          </w:tcPr>
          <w:p w:rsidR="0004245B" w:rsidRDefault="0004245B" w:rsidP="00DD26D3">
            <w:pPr>
              <w:spacing w:before="60" w:after="60" w:line="240" w:lineRule="auto"/>
              <w:rPr>
                <w:sz w:val="18"/>
              </w:rPr>
            </w:pPr>
            <w:r>
              <w:rPr>
                <w:sz w:val="18"/>
              </w:rPr>
              <w:lastRenderedPageBreak/>
              <w:t>Finanční dopady</w:t>
            </w:r>
          </w:p>
          <w:p w:rsidR="00565A19" w:rsidRDefault="00843B52" w:rsidP="00E64B9D">
            <w:pPr>
              <w:spacing w:before="60" w:after="60" w:line="240" w:lineRule="auto"/>
              <w:rPr>
                <w:sz w:val="18"/>
              </w:rPr>
            </w:pPr>
            <w:proofErr w:type="spellStart"/>
            <w:r w:rsidRPr="00565A19">
              <w:rPr>
                <w:sz w:val="18"/>
              </w:rPr>
              <w:t>DRoPD</w:t>
            </w:r>
            <w:proofErr w:type="spellEnd"/>
            <w:r w:rsidRPr="00565A19">
              <w:rPr>
                <w:sz w:val="18"/>
              </w:rPr>
              <w:t xml:space="preserve"> 02 –přesun </w:t>
            </w:r>
            <w:r w:rsidR="00574E8E" w:rsidRPr="00565A19">
              <w:rPr>
                <w:sz w:val="18"/>
              </w:rPr>
              <w:t>v </w:t>
            </w:r>
            <w:proofErr w:type="gramStart"/>
            <w:r w:rsidR="00574E8E" w:rsidRPr="00565A19">
              <w:rPr>
                <w:sz w:val="18"/>
              </w:rPr>
              <w:t xml:space="preserve">souhrnu </w:t>
            </w:r>
            <w:r w:rsidR="00565A19" w:rsidRPr="00565A19">
              <w:rPr>
                <w:sz w:val="18"/>
              </w:rPr>
              <w:t xml:space="preserve"> 944 538</w:t>
            </w:r>
            <w:proofErr w:type="gramEnd"/>
            <w:r w:rsidR="00565A19" w:rsidRPr="00565A19">
              <w:rPr>
                <w:sz w:val="18"/>
              </w:rPr>
              <w:t xml:space="preserve"> </w:t>
            </w:r>
            <w:r w:rsidRPr="00565A19">
              <w:rPr>
                <w:sz w:val="18"/>
              </w:rPr>
              <w:t xml:space="preserve">z </w:t>
            </w:r>
            <w:proofErr w:type="spellStart"/>
            <w:r w:rsidR="00565A19" w:rsidRPr="00565A19">
              <w:rPr>
                <w:sz w:val="18"/>
              </w:rPr>
              <w:t>ne</w:t>
            </w:r>
            <w:r w:rsidRPr="00565A19">
              <w:rPr>
                <w:sz w:val="18"/>
              </w:rPr>
              <w:t>investic</w:t>
            </w:r>
            <w:proofErr w:type="spellEnd"/>
            <w:r w:rsidRPr="00565A19">
              <w:rPr>
                <w:sz w:val="18"/>
              </w:rPr>
              <w:t xml:space="preserve"> do investic</w:t>
            </w:r>
            <w:r w:rsidR="00565A19">
              <w:rPr>
                <w:sz w:val="18"/>
              </w:rPr>
              <w:t>, posun plánovaných výdajů v čase</w:t>
            </w:r>
          </w:p>
          <w:p w:rsidR="00565A19" w:rsidRDefault="00565A19" w:rsidP="00E64B9D">
            <w:pPr>
              <w:spacing w:before="60" w:after="60" w:line="240" w:lineRule="auto"/>
              <w:rPr>
                <w:sz w:val="18"/>
                <w:highlight w:val="yellow"/>
              </w:rPr>
            </w:pPr>
          </w:p>
          <w:p w:rsidR="00605293" w:rsidRDefault="00605293" w:rsidP="00E64B9D">
            <w:pPr>
              <w:spacing w:before="60" w:after="60" w:line="240" w:lineRule="auto"/>
              <w:rPr>
                <w:sz w:val="18"/>
                <w:highlight w:val="yellow"/>
              </w:rPr>
            </w:pPr>
          </w:p>
          <w:p w:rsidR="00565A19" w:rsidRPr="0027277C" w:rsidRDefault="0027277C" w:rsidP="00E64B9D">
            <w:pPr>
              <w:spacing w:before="60" w:after="60" w:line="240" w:lineRule="auto"/>
              <w:rPr>
                <w:sz w:val="18"/>
              </w:rPr>
            </w:pPr>
            <w:proofErr w:type="spellStart"/>
            <w:r w:rsidRPr="00D47756">
              <w:rPr>
                <w:sz w:val="18"/>
              </w:rPr>
              <w:t>DRoPD</w:t>
            </w:r>
            <w:proofErr w:type="spellEnd"/>
            <w:r w:rsidRPr="00D47756">
              <w:rPr>
                <w:sz w:val="18"/>
              </w:rPr>
              <w:t xml:space="preserve"> 04 – snížení objemu dotace o </w:t>
            </w:r>
            <w:proofErr w:type="gramStart"/>
            <w:r w:rsidRPr="0027277C">
              <w:rPr>
                <w:sz w:val="18"/>
              </w:rPr>
              <w:t>52 735 623,91</w:t>
            </w:r>
            <w:r>
              <w:rPr>
                <w:sz w:val="18"/>
              </w:rPr>
              <w:t xml:space="preserve">  </w:t>
            </w:r>
            <w:r w:rsidRPr="00D47756">
              <w:rPr>
                <w:sz w:val="18"/>
              </w:rPr>
              <w:t>Kč</w:t>
            </w:r>
            <w:proofErr w:type="gramEnd"/>
            <w:r>
              <w:rPr>
                <w:sz w:val="18"/>
              </w:rPr>
              <w:t>,</w:t>
            </w:r>
          </w:p>
          <w:p w:rsidR="00565A19" w:rsidRDefault="00565A19" w:rsidP="00E64B9D">
            <w:pPr>
              <w:spacing w:before="60" w:after="60" w:line="240" w:lineRule="auto"/>
              <w:rPr>
                <w:sz w:val="18"/>
                <w:highlight w:val="yellow"/>
              </w:rPr>
            </w:pPr>
          </w:p>
          <w:p w:rsidR="00305B35" w:rsidRPr="00305B35" w:rsidRDefault="00305B35" w:rsidP="00E64B9D">
            <w:pPr>
              <w:spacing w:before="60" w:after="60" w:line="240" w:lineRule="auto"/>
              <w:rPr>
                <w:sz w:val="18"/>
              </w:rPr>
            </w:pPr>
            <w:proofErr w:type="spellStart"/>
            <w:r w:rsidRPr="00305B35">
              <w:rPr>
                <w:sz w:val="18"/>
              </w:rPr>
              <w:t>DRoPD</w:t>
            </w:r>
            <w:proofErr w:type="spellEnd"/>
            <w:r w:rsidRPr="00305B35">
              <w:rPr>
                <w:sz w:val="18"/>
              </w:rPr>
              <w:t xml:space="preserve"> 05 – zvýšení objemu dotace o 12 444 527,85 Kč </w:t>
            </w:r>
          </w:p>
          <w:p w:rsidR="00305B35" w:rsidRDefault="00305B35" w:rsidP="00E64B9D">
            <w:pPr>
              <w:spacing w:before="60" w:after="60" w:line="240" w:lineRule="auto"/>
              <w:rPr>
                <w:sz w:val="18"/>
                <w:highlight w:val="yellow"/>
              </w:rPr>
            </w:pPr>
          </w:p>
          <w:p w:rsidR="004C5AA6" w:rsidRPr="004C5AA6" w:rsidRDefault="004C5AA6" w:rsidP="00305B35">
            <w:pPr>
              <w:spacing w:before="60" w:after="60" w:line="240" w:lineRule="auto"/>
              <w:rPr>
                <w:sz w:val="18"/>
              </w:rPr>
            </w:pPr>
          </w:p>
        </w:tc>
      </w:tr>
      <w:tr w:rsidR="0004245B" w:rsidTr="00D03FD2">
        <w:trPr>
          <w:trHeight w:val="869"/>
        </w:trPr>
        <w:tc>
          <w:tcPr>
            <w:tcW w:w="2298" w:type="dxa"/>
          </w:tcPr>
          <w:p w:rsidR="0004245B" w:rsidRPr="00AE72C5" w:rsidRDefault="0004245B" w:rsidP="00D03FD2">
            <w:pPr>
              <w:spacing w:before="60" w:after="60"/>
              <w:rPr>
                <w:rFonts w:ascii="Arial" w:hAnsi="Arial" w:cs="Arial"/>
                <w:b/>
                <w:sz w:val="20"/>
              </w:rPr>
            </w:pPr>
            <w:r>
              <w:rPr>
                <w:rFonts w:ascii="Arial" w:hAnsi="Arial" w:cs="Arial"/>
                <w:b/>
                <w:sz w:val="20"/>
              </w:rPr>
              <w:lastRenderedPageBreak/>
              <w:t>Věcná realizace projektu</w:t>
            </w:r>
          </w:p>
        </w:tc>
        <w:tc>
          <w:tcPr>
            <w:tcW w:w="7152" w:type="dxa"/>
            <w:gridSpan w:val="5"/>
          </w:tcPr>
          <w:p w:rsidR="00736743" w:rsidRPr="00E0680E" w:rsidRDefault="0004245B" w:rsidP="00E0680E">
            <w:pPr>
              <w:spacing w:before="60" w:after="60" w:line="240" w:lineRule="auto"/>
              <w:rPr>
                <w:rFonts w:cs="Times New Roman"/>
                <w:sz w:val="18"/>
                <w:szCs w:val="18"/>
              </w:rPr>
            </w:pPr>
            <w:r w:rsidRPr="00E0680E">
              <w:rPr>
                <w:rFonts w:cs="Times New Roman"/>
                <w:sz w:val="18"/>
                <w:szCs w:val="18"/>
              </w:rPr>
              <w:t>Stavební část (včetně % naplnění)</w:t>
            </w:r>
            <w:r w:rsidR="00736743" w:rsidRPr="00E0680E">
              <w:rPr>
                <w:rFonts w:cs="Times New Roman"/>
                <w:sz w:val="18"/>
                <w:szCs w:val="18"/>
              </w:rPr>
              <w:t xml:space="preserve"> </w:t>
            </w:r>
            <w:r w:rsidR="00D86ABC" w:rsidRPr="00E0680E">
              <w:rPr>
                <w:rFonts w:cs="Times New Roman"/>
                <w:sz w:val="18"/>
                <w:szCs w:val="18"/>
              </w:rPr>
              <w:t xml:space="preserve"> - </w:t>
            </w:r>
            <w:r w:rsidR="00967412">
              <w:rPr>
                <w:rFonts w:cs="Times New Roman"/>
                <w:sz w:val="18"/>
                <w:szCs w:val="18"/>
              </w:rPr>
              <w:t xml:space="preserve">dokončena </w:t>
            </w:r>
            <w:proofErr w:type="gramStart"/>
            <w:r w:rsidR="00967412">
              <w:rPr>
                <w:rFonts w:cs="Times New Roman"/>
                <w:sz w:val="18"/>
                <w:szCs w:val="18"/>
              </w:rPr>
              <w:t>ze</w:t>
            </w:r>
            <w:proofErr w:type="gramEnd"/>
            <w:r w:rsidR="00967412">
              <w:rPr>
                <w:rFonts w:cs="Times New Roman"/>
                <w:sz w:val="18"/>
                <w:szCs w:val="18"/>
              </w:rPr>
              <w:t xml:space="preserve"> 100%</w:t>
            </w:r>
          </w:p>
          <w:p w:rsidR="0004245B" w:rsidRPr="00880FC8" w:rsidRDefault="0004245B" w:rsidP="00DD26D3">
            <w:pPr>
              <w:spacing w:before="60" w:after="60" w:line="240" w:lineRule="auto"/>
              <w:rPr>
                <w:rFonts w:cs="Times New Roman"/>
                <w:sz w:val="18"/>
                <w:szCs w:val="18"/>
              </w:rPr>
            </w:pPr>
            <w:r w:rsidRPr="00880FC8">
              <w:rPr>
                <w:rFonts w:cs="Times New Roman"/>
                <w:sz w:val="18"/>
                <w:szCs w:val="18"/>
              </w:rPr>
              <w:t>Přístroje (včetně % naplnění)</w:t>
            </w:r>
            <w:r w:rsidR="00D86ABC" w:rsidRPr="00880FC8">
              <w:rPr>
                <w:rFonts w:cs="Times New Roman"/>
                <w:sz w:val="18"/>
                <w:szCs w:val="18"/>
              </w:rPr>
              <w:t xml:space="preserve"> – naplněno </w:t>
            </w:r>
            <w:proofErr w:type="gramStart"/>
            <w:r w:rsidR="00D86ABC" w:rsidRPr="00880FC8">
              <w:rPr>
                <w:rFonts w:cs="Times New Roman"/>
                <w:sz w:val="18"/>
                <w:szCs w:val="18"/>
              </w:rPr>
              <w:t>ze</w:t>
            </w:r>
            <w:proofErr w:type="gramEnd"/>
            <w:r w:rsidR="00D86ABC" w:rsidRPr="00880FC8">
              <w:rPr>
                <w:rFonts w:cs="Times New Roman"/>
                <w:sz w:val="18"/>
                <w:szCs w:val="18"/>
              </w:rPr>
              <w:t xml:space="preserve"> </w:t>
            </w:r>
            <w:r w:rsidR="00880FC8" w:rsidRPr="00880FC8">
              <w:rPr>
                <w:rFonts w:cs="Times New Roman"/>
                <w:sz w:val="18"/>
                <w:szCs w:val="18"/>
              </w:rPr>
              <w:t>88,1</w:t>
            </w:r>
            <w:r w:rsidR="00CF2B45" w:rsidRPr="00880FC8">
              <w:rPr>
                <w:rFonts w:cs="Times New Roman"/>
                <w:sz w:val="18"/>
                <w:szCs w:val="18"/>
              </w:rPr>
              <w:t xml:space="preserve"> </w:t>
            </w:r>
            <w:r w:rsidR="00D86ABC" w:rsidRPr="00880FC8">
              <w:rPr>
                <w:rFonts w:cs="Times New Roman"/>
                <w:sz w:val="18"/>
                <w:szCs w:val="18"/>
              </w:rPr>
              <w:t>%</w:t>
            </w:r>
            <w:r w:rsidR="00ED4177" w:rsidRPr="00880FC8">
              <w:rPr>
                <w:rFonts w:cs="Times New Roman"/>
                <w:sz w:val="18"/>
                <w:szCs w:val="18"/>
              </w:rPr>
              <w:t xml:space="preserve"> </w:t>
            </w:r>
            <w:r w:rsidR="0040675F" w:rsidRPr="00880FC8">
              <w:rPr>
                <w:rFonts w:cs="Times New Roman"/>
                <w:sz w:val="18"/>
                <w:szCs w:val="18"/>
              </w:rPr>
              <w:t>Pořízeno byla</w:t>
            </w:r>
            <w:r w:rsidR="00ED4177" w:rsidRPr="00880FC8">
              <w:rPr>
                <w:rFonts w:cs="Times New Roman"/>
                <w:sz w:val="18"/>
                <w:szCs w:val="18"/>
              </w:rPr>
              <w:t xml:space="preserve"> </w:t>
            </w:r>
            <w:r w:rsidR="0040675F" w:rsidRPr="00880FC8">
              <w:rPr>
                <w:rFonts w:cs="Times New Roman"/>
                <w:sz w:val="18"/>
                <w:szCs w:val="18"/>
              </w:rPr>
              <w:t xml:space="preserve">většina </w:t>
            </w:r>
            <w:r w:rsidR="00ED4177" w:rsidRPr="00880FC8">
              <w:rPr>
                <w:rFonts w:cs="Times New Roman"/>
                <w:sz w:val="18"/>
                <w:szCs w:val="18"/>
              </w:rPr>
              <w:t>plánované</w:t>
            </w:r>
            <w:r w:rsidR="0040675F" w:rsidRPr="00880FC8">
              <w:rPr>
                <w:rFonts w:cs="Times New Roman"/>
                <w:sz w:val="18"/>
                <w:szCs w:val="18"/>
              </w:rPr>
              <w:t>ho</w:t>
            </w:r>
            <w:r w:rsidR="00ED4177" w:rsidRPr="00880FC8">
              <w:rPr>
                <w:rFonts w:cs="Times New Roman"/>
                <w:sz w:val="18"/>
                <w:szCs w:val="18"/>
              </w:rPr>
              <w:t xml:space="preserve"> klíčové</w:t>
            </w:r>
            <w:r w:rsidR="0040675F" w:rsidRPr="00880FC8">
              <w:rPr>
                <w:rFonts w:cs="Times New Roman"/>
                <w:sz w:val="18"/>
                <w:szCs w:val="18"/>
              </w:rPr>
              <w:t>ho</w:t>
            </w:r>
            <w:r w:rsidR="00ED4177" w:rsidRPr="00880FC8">
              <w:rPr>
                <w:rFonts w:cs="Times New Roman"/>
                <w:sz w:val="18"/>
                <w:szCs w:val="18"/>
              </w:rPr>
              <w:t xml:space="preserve"> vybavení (</w:t>
            </w:r>
            <w:r w:rsidR="0040675F" w:rsidRPr="00880FC8">
              <w:rPr>
                <w:rFonts w:cs="Times New Roman"/>
                <w:sz w:val="18"/>
                <w:szCs w:val="18"/>
              </w:rPr>
              <w:t>37</w:t>
            </w:r>
            <w:r w:rsidR="00ED4177" w:rsidRPr="00880FC8">
              <w:rPr>
                <w:rFonts w:cs="Times New Roman"/>
                <w:sz w:val="18"/>
                <w:szCs w:val="18"/>
              </w:rPr>
              <w:t xml:space="preserve"> ze </w:t>
            </w:r>
            <w:r w:rsidR="0040675F" w:rsidRPr="00880FC8">
              <w:rPr>
                <w:rFonts w:cs="Times New Roman"/>
                <w:sz w:val="18"/>
                <w:szCs w:val="18"/>
              </w:rPr>
              <w:t>42</w:t>
            </w:r>
            <w:r w:rsidR="00ED4177" w:rsidRPr="00880FC8">
              <w:rPr>
                <w:rFonts w:cs="Times New Roman"/>
                <w:sz w:val="18"/>
                <w:szCs w:val="18"/>
              </w:rPr>
              <w:t>)</w:t>
            </w:r>
          </w:p>
          <w:p w:rsidR="0004245B" w:rsidRPr="00EE0BD7" w:rsidRDefault="0081392A" w:rsidP="00DD26D3">
            <w:pPr>
              <w:spacing w:before="60" w:after="60" w:line="240" w:lineRule="auto"/>
              <w:rPr>
                <w:rFonts w:cs="Times New Roman"/>
                <w:sz w:val="18"/>
                <w:szCs w:val="18"/>
              </w:rPr>
            </w:pPr>
            <w:r w:rsidRPr="00C326E0">
              <w:rPr>
                <w:rFonts w:cs="Times New Roman"/>
                <w:sz w:val="18"/>
                <w:szCs w:val="18"/>
              </w:rPr>
              <w:t xml:space="preserve">Personální zajištění </w:t>
            </w:r>
            <w:r w:rsidR="00AF6EBB" w:rsidRPr="00C326E0">
              <w:rPr>
                <w:rFonts w:cs="Times New Roman"/>
                <w:sz w:val="18"/>
                <w:szCs w:val="18"/>
              </w:rPr>
              <w:t>(včetně % naplnění)</w:t>
            </w:r>
            <w:r w:rsidR="00CF0B96" w:rsidRPr="00C326E0">
              <w:rPr>
                <w:rFonts w:cs="Times New Roman"/>
                <w:sz w:val="18"/>
                <w:szCs w:val="18"/>
              </w:rPr>
              <w:t xml:space="preserve"> – naplněno </w:t>
            </w:r>
            <w:proofErr w:type="gramStart"/>
            <w:r w:rsidR="00CF0B96" w:rsidRPr="00C326E0">
              <w:rPr>
                <w:rFonts w:cs="Times New Roman"/>
                <w:sz w:val="18"/>
                <w:szCs w:val="18"/>
              </w:rPr>
              <w:t>ze</w:t>
            </w:r>
            <w:proofErr w:type="gramEnd"/>
            <w:r w:rsidR="00CF0B96" w:rsidRPr="00C326E0">
              <w:rPr>
                <w:rFonts w:cs="Times New Roman"/>
                <w:sz w:val="18"/>
                <w:szCs w:val="18"/>
              </w:rPr>
              <w:t xml:space="preserve"> 100%</w:t>
            </w:r>
          </w:p>
          <w:p w:rsidR="00736743" w:rsidRPr="00DC1DD8" w:rsidRDefault="00736743" w:rsidP="00CF0B96">
            <w:pPr>
              <w:spacing w:before="60" w:after="60" w:line="240" w:lineRule="auto"/>
              <w:ind w:left="708"/>
              <w:rPr>
                <w:sz w:val="16"/>
                <w:highlight w:val="yellow"/>
              </w:rPr>
            </w:pPr>
          </w:p>
        </w:tc>
      </w:tr>
      <w:tr w:rsidR="00DA6654" w:rsidTr="00D03FD2">
        <w:tc>
          <w:tcPr>
            <w:tcW w:w="2298" w:type="dxa"/>
          </w:tcPr>
          <w:p w:rsidR="00DA6654" w:rsidRPr="00AE72C5" w:rsidRDefault="00DA6654" w:rsidP="00D03FD2">
            <w:pPr>
              <w:spacing w:before="60" w:after="60"/>
              <w:rPr>
                <w:rFonts w:ascii="Arial" w:hAnsi="Arial" w:cs="Arial"/>
                <w:b/>
                <w:sz w:val="20"/>
              </w:rPr>
            </w:pPr>
            <w:r>
              <w:rPr>
                <w:rFonts w:ascii="Arial" w:hAnsi="Arial" w:cs="Arial"/>
                <w:b/>
                <w:sz w:val="20"/>
              </w:rPr>
              <w:t>Finanční čerpání projektu</w:t>
            </w:r>
          </w:p>
        </w:tc>
        <w:tc>
          <w:tcPr>
            <w:tcW w:w="7152" w:type="dxa"/>
            <w:gridSpan w:val="5"/>
          </w:tcPr>
          <w:p w:rsidR="00DA6654" w:rsidRPr="00294C01" w:rsidRDefault="00DA6654" w:rsidP="00DD26D3">
            <w:pPr>
              <w:spacing w:before="60" w:after="60" w:line="240" w:lineRule="auto"/>
              <w:rPr>
                <w:sz w:val="18"/>
              </w:rPr>
            </w:pPr>
            <w:r w:rsidRPr="00294C01">
              <w:rPr>
                <w:sz w:val="18"/>
              </w:rPr>
              <w:t>Předložené výdaje (v Kč i %)</w:t>
            </w:r>
            <w:r w:rsidR="004E184D" w:rsidRPr="00294C01">
              <w:rPr>
                <w:sz w:val="18"/>
              </w:rPr>
              <w:t xml:space="preserve"> </w:t>
            </w:r>
            <w:r w:rsidR="00B106E8" w:rsidRPr="00294C01">
              <w:rPr>
                <w:sz w:val="18"/>
              </w:rPr>
              <w:t>595 688 177,64</w:t>
            </w:r>
            <w:r w:rsidR="004E184D" w:rsidRPr="00294C01">
              <w:rPr>
                <w:sz w:val="18"/>
              </w:rPr>
              <w:t xml:space="preserve"> </w:t>
            </w:r>
            <w:proofErr w:type="gramStart"/>
            <w:r w:rsidR="008E1782" w:rsidRPr="00294C01">
              <w:rPr>
                <w:sz w:val="18"/>
              </w:rPr>
              <w:t xml:space="preserve">Kč </w:t>
            </w:r>
            <w:r w:rsidR="0084484B" w:rsidRPr="00294C01">
              <w:rPr>
                <w:sz w:val="18"/>
              </w:rPr>
              <w:t xml:space="preserve">    </w:t>
            </w:r>
            <w:r w:rsidR="0042041D" w:rsidRPr="00105BE5">
              <w:rPr>
                <w:sz w:val="18"/>
              </w:rPr>
              <w:t>(</w:t>
            </w:r>
            <w:r w:rsidR="007717F6">
              <w:rPr>
                <w:sz w:val="18"/>
              </w:rPr>
              <w:t>79,0</w:t>
            </w:r>
            <w:proofErr w:type="gramEnd"/>
            <w:r w:rsidR="0042041D" w:rsidRPr="00105BE5">
              <w:rPr>
                <w:sz w:val="18"/>
              </w:rPr>
              <w:t xml:space="preserve"> %)</w:t>
            </w:r>
          </w:p>
          <w:p w:rsidR="0077049B" w:rsidRPr="00294C01" w:rsidRDefault="00DA6654" w:rsidP="0077049B">
            <w:pPr>
              <w:spacing w:before="60" w:after="60" w:line="240" w:lineRule="auto"/>
              <w:rPr>
                <w:sz w:val="18"/>
              </w:rPr>
            </w:pPr>
            <w:r w:rsidRPr="00294C01">
              <w:rPr>
                <w:sz w:val="18"/>
              </w:rPr>
              <w:t>Schválené výdaje</w:t>
            </w:r>
            <w:r w:rsidR="00C92258" w:rsidRPr="00294C01">
              <w:rPr>
                <w:sz w:val="18"/>
              </w:rPr>
              <w:t xml:space="preserve"> </w:t>
            </w:r>
            <w:r w:rsidRPr="00294C01">
              <w:rPr>
                <w:sz w:val="18"/>
              </w:rPr>
              <w:t xml:space="preserve">(v </w:t>
            </w:r>
            <w:proofErr w:type="gramStart"/>
            <w:r w:rsidRPr="00294C01">
              <w:rPr>
                <w:sz w:val="18"/>
              </w:rPr>
              <w:t>Kč i %)</w:t>
            </w:r>
            <w:r w:rsidR="0077049B" w:rsidRPr="00294C01">
              <w:rPr>
                <w:sz w:val="18"/>
              </w:rPr>
              <w:t xml:space="preserve"> </w:t>
            </w:r>
            <w:r w:rsidR="007B6BF4" w:rsidRPr="00294C01">
              <w:rPr>
                <w:sz w:val="18"/>
              </w:rPr>
              <w:t xml:space="preserve"> 578 146 379,23</w:t>
            </w:r>
            <w:proofErr w:type="gramEnd"/>
            <w:r w:rsidR="00685F58" w:rsidRPr="00294C01">
              <w:rPr>
                <w:sz w:val="18"/>
              </w:rPr>
              <w:t xml:space="preserve"> </w:t>
            </w:r>
            <w:r w:rsidR="008E1782" w:rsidRPr="00294C01">
              <w:rPr>
                <w:sz w:val="18"/>
              </w:rPr>
              <w:t>Kč</w:t>
            </w:r>
            <w:r w:rsidR="0084484B" w:rsidRPr="00294C01">
              <w:rPr>
                <w:sz w:val="18"/>
              </w:rPr>
              <w:t xml:space="preserve">      </w:t>
            </w:r>
            <w:r w:rsidR="0042041D" w:rsidRPr="00105BE5">
              <w:rPr>
                <w:sz w:val="18"/>
              </w:rPr>
              <w:t>(</w:t>
            </w:r>
            <w:r w:rsidR="007717F6">
              <w:rPr>
                <w:sz w:val="18"/>
              </w:rPr>
              <w:t>76,7</w:t>
            </w:r>
            <w:r w:rsidR="0042041D" w:rsidRPr="00105BE5">
              <w:rPr>
                <w:sz w:val="18"/>
              </w:rPr>
              <w:t xml:space="preserve"> %)</w:t>
            </w:r>
          </w:p>
          <w:p w:rsidR="00DA6654" w:rsidRPr="00DC1DD8" w:rsidRDefault="00DA6654" w:rsidP="007717F6">
            <w:pPr>
              <w:spacing w:before="60" w:after="60" w:line="240" w:lineRule="auto"/>
              <w:rPr>
                <w:sz w:val="18"/>
                <w:highlight w:val="yellow"/>
              </w:rPr>
            </w:pPr>
            <w:r w:rsidRPr="00294C01">
              <w:rPr>
                <w:sz w:val="18"/>
              </w:rPr>
              <w:t>Certifikované výdaje (v Kč i %)</w:t>
            </w:r>
            <w:r w:rsidR="00EE4DF1" w:rsidRPr="00294C01">
              <w:rPr>
                <w:sz w:val="18"/>
              </w:rPr>
              <w:t xml:space="preserve"> </w:t>
            </w:r>
            <w:r w:rsidR="000029BD" w:rsidRPr="00294C01">
              <w:rPr>
                <w:sz w:val="18"/>
              </w:rPr>
              <w:t>577 215 182,71</w:t>
            </w:r>
            <w:r w:rsidR="007B6BF4" w:rsidRPr="00294C01">
              <w:rPr>
                <w:sz w:val="18"/>
              </w:rPr>
              <w:t xml:space="preserve"> </w:t>
            </w:r>
            <w:proofErr w:type="gramStart"/>
            <w:r w:rsidR="007B6BF4" w:rsidRPr="00294C01">
              <w:rPr>
                <w:sz w:val="18"/>
              </w:rPr>
              <w:t xml:space="preserve">Kč  </w:t>
            </w:r>
            <w:r w:rsidR="0042041D">
              <w:rPr>
                <w:sz w:val="18"/>
              </w:rPr>
              <w:t>(</w:t>
            </w:r>
            <w:r w:rsidR="007717F6">
              <w:rPr>
                <w:sz w:val="18"/>
              </w:rPr>
              <w:t>76,5</w:t>
            </w:r>
            <w:proofErr w:type="gramEnd"/>
            <w:r w:rsidR="007717F6">
              <w:rPr>
                <w:sz w:val="18"/>
              </w:rPr>
              <w:t xml:space="preserve"> </w:t>
            </w:r>
            <w:r w:rsidR="0042041D">
              <w:rPr>
                <w:sz w:val="18"/>
              </w:rPr>
              <w:t>%)</w:t>
            </w:r>
          </w:p>
        </w:tc>
      </w:tr>
      <w:tr w:rsidR="00C43F6D" w:rsidTr="00D03FD2">
        <w:tc>
          <w:tcPr>
            <w:tcW w:w="2298" w:type="dxa"/>
          </w:tcPr>
          <w:p w:rsidR="00C43F6D" w:rsidRDefault="00EE2A12" w:rsidP="00C92258">
            <w:pPr>
              <w:spacing w:before="60" w:after="60"/>
              <w:rPr>
                <w:rFonts w:ascii="Arial" w:hAnsi="Arial" w:cs="Arial"/>
                <w:b/>
                <w:sz w:val="20"/>
              </w:rPr>
            </w:pPr>
            <w:r w:rsidRPr="00D03FD2">
              <w:rPr>
                <w:rFonts w:ascii="Arial" w:hAnsi="Arial" w:cs="Arial"/>
                <w:b/>
                <w:sz w:val="20"/>
              </w:rPr>
              <w:t>Nezpůsobilé výdaje</w:t>
            </w:r>
            <w:r w:rsidR="00C43F6D" w:rsidRPr="00D03FD2">
              <w:rPr>
                <w:rFonts w:ascii="Arial" w:hAnsi="Arial" w:cs="Arial"/>
                <w:b/>
                <w:sz w:val="20"/>
              </w:rPr>
              <w:t xml:space="preserve"> projektu</w:t>
            </w:r>
            <w:r w:rsidR="00C43F6D" w:rsidRPr="00D03FD2">
              <w:rPr>
                <w:rFonts w:ascii="Arial" w:hAnsi="Arial" w:cs="Arial"/>
                <w:sz w:val="16"/>
              </w:rPr>
              <w:t xml:space="preserve"> (v Kč i %):</w:t>
            </w:r>
          </w:p>
        </w:tc>
        <w:tc>
          <w:tcPr>
            <w:tcW w:w="7152" w:type="dxa"/>
            <w:gridSpan w:val="5"/>
          </w:tcPr>
          <w:p w:rsidR="00C43F6D" w:rsidRPr="00105BE5" w:rsidRDefault="00F85255" w:rsidP="00F85255">
            <w:pPr>
              <w:spacing w:before="60" w:after="60" w:line="240" w:lineRule="auto"/>
              <w:rPr>
                <w:sz w:val="18"/>
              </w:rPr>
            </w:pPr>
            <w:r w:rsidRPr="00105BE5">
              <w:rPr>
                <w:sz w:val="18"/>
              </w:rPr>
              <w:t xml:space="preserve">Nezpůsobilé výdaje </w:t>
            </w:r>
            <w:proofErr w:type="gramStart"/>
            <w:r w:rsidRPr="00105BE5">
              <w:rPr>
                <w:sz w:val="18"/>
              </w:rPr>
              <w:t>projektu</w:t>
            </w:r>
            <w:r w:rsidR="003655CF" w:rsidRPr="00105BE5">
              <w:rPr>
                <w:sz w:val="18"/>
              </w:rPr>
              <w:t xml:space="preserve"> </w:t>
            </w:r>
            <w:r w:rsidR="00E0680E" w:rsidRPr="00105BE5">
              <w:rPr>
                <w:sz w:val="18"/>
              </w:rPr>
              <w:t xml:space="preserve"> </w:t>
            </w:r>
            <w:r w:rsidR="000029BD" w:rsidRPr="00105BE5">
              <w:rPr>
                <w:sz w:val="18"/>
              </w:rPr>
              <w:t>223 251 603,52</w:t>
            </w:r>
            <w:proofErr w:type="gramEnd"/>
            <w:r w:rsidR="00EE4DF1" w:rsidRPr="00105BE5">
              <w:rPr>
                <w:sz w:val="18"/>
              </w:rPr>
              <w:t xml:space="preserve"> </w:t>
            </w:r>
            <w:r w:rsidR="00277E3D" w:rsidRPr="00105BE5">
              <w:rPr>
                <w:sz w:val="18"/>
              </w:rPr>
              <w:t>Kč</w:t>
            </w:r>
            <w:r w:rsidR="0084484B" w:rsidRPr="00105BE5">
              <w:rPr>
                <w:sz w:val="18"/>
              </w:rPr>
              <w:t xml:space="preserve">    </w:t>
            </w:r>
            <w:r w:rsidR="003655CF" w:rsidRPr="00105BE5">
              <w:rPr>
                <w:sz w:val="18"/>
              </w:rPr>
              <w:t xml:space="preserve"> (</w:t>
            </w:r>
            <w:r w:rsidR="00700F66" w:rsidRPr="00105BE5">
              <w:rPr>
                <w:sz w:val="18"/>
              </w:rPr>
              <w:t>24</w:t>
            </w:r>
            <w:r w:rsidR="001A32CE" w:rsidRPr="00105BE5">
              <w:rPr>
                <w:sz w:val="18"/>
              </w:rPr>
              <w:t xml:space="preserve"> %</w:t>
            </w:r>
            <w:r w:rsidR="003655CF" w:rsidRPr="00105BE5">
              <w:rPr>
                <w:sz w:val="18"/>
              </w:rPr>
              <w:t>)</w:t>
            </w:r>
          </w:p>
          <w:p w:rsidR="00F85255" w:rsidRPr="00DC1DD8" w:rsidRDefault="00F85255" w:rsidP="000029BD">
            <w:pPr>
              <w:spacing w:before="60" w:after="60" w:line="240" w:lineRule="auto"/>
              <w:rPr>
                <w:sz w:val="16"/>
                <w:highlight w:val="yellow"/>
              </w:rPr>
            </w:pPr>
            <w:r w:rsidRPr="00105BE5">
              <w:rPr>
                <w:sz w:val="18"/>
              </w:rPr>
              <w:t xml:space="preserve">Celkové výdaje </w:t>
            </w:r>
            <w:proofErr w:type="gramStart"/>
            <w:r w:rsidRPr="00105BE5">
              <w:rPr>
                <w:sz w:val="18"/>
              </w:rPr>
              <w:t>projektu</w:t>
            </w:r>
            <w:r w:rsidR="003655CF" w:rsidRPr="00105BE5">
              <w:rPr>
                <w:sz w:val="18"/>
              </w:rPr>
              <w:t xml:space="preserve">  </w:t>
            </w:r>
            <w:r w:rsidR="000029BD" w:rsidRPr="00105BE5">
              <w:rPr>
                <w:sz w:val="18"/>
              </w:rPr>
              <w:t>935 856 325,40</w:t>
            </w:r>
            <w:proofErr w:type="gramEnd"/>
            <w:r w:rsidR="000029BD" w:rsidRPr="00105BE5">
              <w:rPr>
                <w:sz w:val="18"/>
              </w:rPr>
              <w:t xml:space="preserve"> Kč</w:t>
            </w:r>
            <w:r w:rsidR="003655CF" w:rsidRPr="00105BE5">
              <w:rPr>
                <w:sz w:val="18"/>
              </w:rPr>
              <w:t xml:space="preserve">  </w:t>
            </w:r>
            <w:r w:rsidR="00C758C7" w:rsidRPr="00105BE5">
              <w:rPr>
                <w:sz w:val="18"/>
              </w:rPr>
              <w:t xml:space="preserve">         </w:t>
            </w:r>
            <w:r w:rsidR="003655CF" w:rsidRPr="00105BE5">
              <w:rPr>
                <w:sz w:val="18"/>
              </w:rPr>
              <w:t>(</w:t>
            </w:r>
            <w:r w:rsidR="001A32CE" w:rsidRPr="00105BE5">
              <w:rPr>
                <w:sz w:val="18"/>
              </w:rPr>
              <w:t>100</w:t>
            </w:r>
            <w:r w:rsidR="003655CF" w:rsidRPr="00105BE5">
              <w:rPr>
                <w:sz w:val="18"/>
              </w:rPr>
              <w:t xml:space="preserve"> %)</w:t>
            </w:r>
          </w:p>
        </w:tc>
      </w:tr>
      <w:tr w:rsidR="00D2753C" w:rsidTr="00D03FD2">
        <w:tc>
          <w:tcPr>
            <w:tcW w:w="2298" w:type="dxa"/>
          </w:tcPr>
          <w:p w:rsidR="00D2753C" w:rsidRDefault="00D2753C" w:rsidP="00D03FD2">
            <w:pPr>
              <w:spacing w:before="60" w:after="0"/>
              <w:rPr>
                <w:rFonts w:ascii="Arial" w:hAnsi="Arial" w:cs="Arial"/>
                <w:b/>
                <w:sz w:val="20"/>
              </w:rPr>
            </w:pPr>
            <w:r>
              <w:rPr>
                <w:rFonts w:ascii="Arial" w:hAnsi="Arial" w:cs="Arial"/>
                <w:b/>
                <w:sz w:val="20"/>
              </w:rPr>
              <w:t>Ostatní informace</w:t>
            </w:r>
          </w:p>
          <w:p w:rsidR="00D2753C" w:rsidRPr="00A431A3" w:rsidRDefault="00D2753C" w:rsidP="00D03FD2">
            <w:pPr>
              <w:spacing w:after="60"/>
              <w:rPr>
                <w:rFonts w:ascii="Arial" w:hAnsi="Arial" w:cs="Arial"/>
                <w:sz w:val="20"/>
              </w:rPr>
            </w:pPr>
            <w:r w:rsidRPr="00A431A3">
              <w:rPr>
                <w:rFonts w:ascii="Arial" w:hAnsi="Arial" w:cs="Arial"/>
                <w:sz w:val="16"/>
              </w:rPr>
              <w:t>(signalizovaná rizika, fázování apod.)</w:t>
            </w:r>
          </w:p>
        </w:tc>
        <w:tc>
          <w:tcPr>
            <w:tcW w:w="7152" w:type="dxa"/>
            <w:gridSpan w:val="5"/>
          </w:tcPr>
          <w:p w:rsidR="002115AD" w:rsidRPr="00967412" w:rsidRDefault="002115AD" w:rsidP="0005662B">
            <w:pPr>
              <w:spacing w:after="0" w:line="240" w:lineRule="auto"/>
              <w:jc w:val="both"/>
            </w:pPr>
            <w:bookmarkStart w:id="0" w:name="_GoBack"/>
            <w:bookmarkEnd w:id="0"/>
            <w:r w:rsidRPr="002115AD">
              <w:rPr>
                <w:rFonts w:cs="Times New Roman"/>
                <w:sz w:val="18"/>
                <w:szCs w:val="18"/>
              </w:rPr>
              <w:t xml:space="preserve">Zpoždění stavebně technické části projektu a návazného pořízení </w:t>
            </w:r>
            <w:r>
              <w:rPr>
                <w:rFonts w:cs="Times New Roman"/>
                <w:sz w:val="18"/>
                <w:szCs w:val="18"/>
              </w:rPr>
              <w:t xml:space="preserve">části </w:t>
            </w:r>
            <w:r w:rsidRPr="002115AD">
              <w:rPr>
                <w:rFonts w:cs="Times New Roman"/>
                <w:sz w:val="18"/>
                <w:szCs w:val="18"/>
              </w:rPr>
              <w:t>klíčového vybavení včetně jeho instalace znamená zkrácení doby pro dosažení závazných hodnot monitorovacích indikátorů ke konci roku 2015. Případné nedodržení závazných hodnot by znamenalo uplatnění sankcí ze strany ŘO, které by mohly mít negativní dopad na udržitelnost projektu.</w:t>
            </w:r>
            <w:r>
              <w:rPr>
                <w:rFonts w:cs="Times New Roman"/>
                <w:sz w:val="18"/>
                <w:szCs w:val="18"/>
              </w:rPr>
              <w:t xml:space="preserve"> Zejména v případě </w:t>
            </w:r>
            <w:r w:rsidRPr="002115AD">
              <w:rPr>
                <w:rFonts w:cs="Times New Roman"/>
                <w:sz w:val="18"/>
                <w:szCs w:val="18"/>
              </w:rPr>
              <w:t>Monitorovacího indikátoru 111200 objem smluvního výzkumu</w:t>
            </w:r>
            <w:r>
              <w:rPr>
                <w:rFonts w:cs="Times New Roman"/>
                <w:sz w:val="18"/>
                <w:szCs w:val="18"/>
              </w:rPr>
              <w:t xml:space="preserve"> příjemce usiluje o </w:t>
            </w:r>
            <w:r w:rsidRPr="002115AD">
              <w:rPr>
                <w:rFonts w:cs="Times New Roman"/>
                <w:sz w:val="18"/>
                <w:szCs w:val="18"/>
              </w:rPr>
              <w:t>změnu přístupu ŘO</w:t>
            </w:r>
            <w:r>
              <w:rPr>
                <w:rFonts w:cs="Times New Roman"/>
                <w:sz w:val="18"/>
                <w:szCs w:val="18"/>
              </w:rPr>
              <w:t>.</w:t>
            </w:r>
          </w:p>
        </w:tc>
      </w:tr>
      <w:tr w:rsidR="00A431A3" w:rsidTr="00F74C5F">
        <w:tc>
          <w:tcPr>
            <w:tcW w:w="9450" w:type="dxa"/>
            <w:gridSpan w:val="6"/>
            <w:shd w:val="clear" w:color="auto" w:fill="404040" w:themeFill="text1" w:themeFillTint="BF"/>
          </w:tcPr>
          <w:p w:rsidR="00A431A3" w:rsidRPr="00A431A3" w:rsidRDefault="00A431A3" w:rsidP="00A431A3">
            <w:pPr>
              <w:spacing w:before="60" w:after="60" w:line="240" w:lineRule="auto"/>
              <w:jc w:val="center"/>
              <w:rPr>
                <w:b/>
                <w:color w:val="FFFFFF" w:themeColor="background1"/>
              </w:rPr>
            </w:pPr>
            <w:r>
              <w:rPr>
                <w:b/>
                <w:color w:val="FFFFFF" w:themeColor="background1"/>
              </w:rPr>
              <w:t>Udržitelnost projektu</w:t>
            </w:r>
          </w:p>
        </w:tc>
      </w:tr>
      <w:tr w:rsidR="00EB4719" w:rsidTr="00F74C5F">
        <w:tc>
          <w:tcPr>
            <w:tcW w:w="2298" w:type="dxa"/>
          </w:tcPr>
          <w:p w:rsidR="00EB4719" w:rsidRDefault="00EB4719">
            <w:pPr>
              <w:spacing w:before="60" w:after="60"/>
              <w:rPr>
                <w:rFonts w:ascii="Arial" w:hAnsi="Arial" w:cs="Arial"/>
                <w:b/>
                <w:sz w:val="20"/>
              </w:rPr>
            </w:pPr>
            <w:r>
              <w:rPr>
                <w:rFonts w:ascii="Arial" w:hAnsi="Arial" w:cs="Arial"/>
                <w:b/>
                <w:sz w:val="20"/>
              </w:rPr>
              <w:t xml:space="preserve">Zdroje pro úhradu provozních nákladů </w:t>
            </w:r>
          </w:p>
        </w:tc>
        <w:tc>
          <w:tcPr>
            <w:tcW w:w="7152" w:type="dxa"/>
            <w:gridSpan w:val="5"/>
          </w:tcPr>
          <w:p w:rsidR="00EB4719" w:rsidRDefault="00EB4719" w:rsidP="00B41674">
            <w:pPr>
              <w:spacing w:before="60" w:after="60" w:line="240" w:lineRule="auto"/>
            </w:pPr>
            <w:r>
              <w:rPr>
                <w:sz w:val="18"/>
              </w:rPr>
              <w:t>Finanční plán do roku 2020 předpokládá finanční zdroje ze smluvního výzkumu ve výši 60</w:t>
            </w:r>
            <w:r w:rsidR="00B41674">
              <w:rPr>
                <w:sz w:val="18"/>
              </w:rPr>
              <w:t xml:space="preserve">mil. </w:t>
            </w:r>
            <w:r>
              <w:rPr>
                <w:sz w:val="18"/>
              </w:rPr>
              <w:t>Kč a finanční zdroje z </w:t>
            </w:r>
            <w:r w:rsidR="00B41674">
              <w:rPr>
                <w:sz w:val="18"/>
              </w:rPr>
              <w:t>mezinárodních grantů ve výši 27,5 mil</w:t>
            </w:r>
            <w:r>
              <w:rPr>
                <w:sz w:val="18"/>
              </w:rPr>
              <w:t>. Kč. Ost</w:t>
            </w:r>
            <w:r w:rsidR="00B41674">
              <w:rPr>
                <w:sz w:val="18"/>
              </w:rPr>
              <w:t>atní zdroje financování jsou 74,2 mil.</w:t>
            </w:r>
            <w:r>
              <w:rPr>
                <w:sz w:val="18"/>
              </w:rPr>
              <w:t xml:space="preserve">. Kč. </w:t>
            </w:r>
          </w:p>
        </w:tc>
      </w:tr>
      <w:tr w:rsidR="00EB4719" w:rsidTr="00A25525">
        <w:tc>
          <w:tcPr>
            <w:tcW w:w="2298" w:type="dxa"/>
          </w:tcPr>
          <w:p w:rsidR="00EB4719" w:rsidRDefault="00EB4719">
            <w:pPr>
              <w:spacing w:before="60" w:after="60"/>
              <w:rPr>
                <w:rFonts w:ascii="Arial" w:hAnsi="Arial" w:cs="Arial"/>
                <w:b/>
                <w:sz w:val="20"/>
              </w:rPr>
            </w:pPr>
            <w:r>
              <w:rPr>
                <w:rFonts w:ascii="Arial" w:hAnsi="Arial" w:cs="Arial"/>
                <w:b/>
                <w:sz w:val="20"/>
              </w:rPr>
              <w:t>Požadavky na podporu z NPU (po dobu udržitelnosti)</w:t>
            </w:r>
          </w:p>
        </w:tc>
        <w:tc>
          <w:tcPr>
            <w:tcW w:w="7152" w:type="dxa"/>
            <w:gridSpan w:val="5"/>
          </w:tcPr>
          <w:p w:rsidR="00EB4719" w:rsidRDefault="00EB4719" w:rsidP="00EB4719">
            <w:pPr>
              <w:spacing w:before="60" w:after="60" w:line="240" w:lineRule="auto"/>
            </w:pPr>
            <w:r>
              <w:rPr>
                <w:sz w:val="18"/>
              </w:rPr>
              <w:t xml:space="preserve">Požadavky na účelové </w:t>
            </w:r>
            <w:r w:rsidR="00B41674">
              <w:rPr>
                <w:sz w:val="18"/>
              </w:rPr>
              <w:t xml:space="preserve">finanční </w:t>
            </w:r>
            <w:r>
              <w:rPr>
                <w:sz w:val="18"/>
              </w:rPr>
              <w:t xml:space="preserve">zdroje centra jsou celkem 240, 6 mil. Kč pro období do roku 2020. Z tohoto objemu je podpora NPU vyčíslena na 162, 8 mil. Kč, zatímco institucionální podpora je předpokládána ve výši 58,6 mil. Kč. </w:t>
            </w:r>
            <w:r>
              <w:t xml:space="preserve"> </w:t>
            </w:r>
            <w:r w:rsidR="00B41674">
              <w:rPr>
                <w:sz w:val="18"/>
              </w:rPr>
              <w:t>Požadavek na podporu, resp. p</w:t>
            </w:r>
            <w:r w:rsidR="00B41674" w:rsidRPr="00EB4719">
              <w:rPr>
                <w:sz w:val="18"/>
              </w:rPr>
              <w:t xml:space="preserve">rojekt NPU I byl podán k </w:t>
            </w:r>
            <w:proofErr w:type="gramStart"/>
            <w:r w:rsidR="00B41674" w:rsidRPr="00EB4719">
              <w:rPr>
                <w:sz w:val="18"/>
              </w:rPr>
              <w:t>9.1.2015</w:t>
            </w:r>
            <w:proofErr w:type="gramEnd"/>
            <w:r w:rsidR="00B41674">
              <w:rPr>
                <w:sz w:val="18"/>
              </w:rPr>
              <w:t>.</w:t>
            </w:r>
          </w:p>
        </w:tc>
      </w:tr>
      <w:tr w:rsidR="00EB4719" w:rsidTr="00FC3BB8">
        <w:tc>
          <w:tcPr>
            <w:tcW w:w="2298" w:type="dxa"/>
          </w:tcPr>
          <w:p w:rsidR="00EB4719" w:rsidRDefault="00EB4719">
            <w:pPr>
              <w:spacing w:before="60" w:after="60"/>
              <w:rPr>
                <w:rFonts w:ascii="Arial" w:hAnsi="Arial" w:cs="Arial"/>
                <w:b/>
                <w:sz w:val="20"/>
              </w:rPr>
            </w:pPr>
            <w:r>
              <w:rPr>
                <w:rFonts w:ascii="Arial" w:hAnsi="Arial" w:cs="Arial"/>
                <w:b/>
                <w:sz w:val="20"/>
              </w:rPr>
              <w:t>Monitorovací indikátory v období udržitelnosti</w:t>
            </w:r>
          </w:p>
        </w:tc>
        <w:tc>
          <w:tcPr>
            <w:tcW w:w="7152" w:type="dxa"/>
            <w:gridSpan w:val="5"/>
          </w:tcPr>
          <w:p w:rsidR="00FF4289" w:rsidRDefault="00EB4719" w:rsidP="00FF4289">
            <w:pPr>
              <w:spacing w:before="60" w:after="60" w:line="240" w:lineRule="auto"/>
              <w:rPr>
                <w:sz w:val="18"/>
              </w:rPr>
            </w:pPr>
            <w:r w:rsidRPr="00EB4719">
              <w:rPr>
                <w:sz w:val="18"/>
              </w:rPr>
              <w:t xml:space="preserve">Plnění závazných indikátorů udržitelnosti </w:t>
            </w:r>
            <w:r>
              <w:rPr>
                <w:sz w:val="18"/>
              </w:rPr>
              <w:t>pro</w:t>
            </w:r>
            <w:r w:rsidRPr="00EB4719">
              <w:rPr>
                <w:sz w:val="18"/>
              </w:rPr>
              <w:t>zatím není relevantní</w:t>
            </w:r>
            <w:r w:rsidR="00B41674">
              <w:rPr>
                <w:sz w:val="18"/>
              </w:rPr>
              <w:t xml:space="preserve">, centrum není uvedeno do provozu. Se slavnostním otevřením se počítá </w:t>
            </w:r>
            <w:proofErr w:type="gramStart"/>
            <w:r w:rsidR="00B41674">
              <w:rPr>
                <w:sz w:val="18"/>
              </w:rPr>
              <w:t>29.4. 2015</w:t>
            </w:r>
            <w:proofErr w:type="gramEnd"/>
            <w:r w:rsidR="00B41674">
              <w:rPr>
                <w:sz w:val="18"/>
              </w:rPr>
              <w:t>.   Nicméně</w:t>
            </w:r>
            <w:r w:rsidR="00FF4289">
              <w:rPr>
                <w:sz w:val="18"/>
              </w:rPr>
              <w:t xml:space="preserve"> již nyní má C</w:t>
            </w:r>
            <w:r w:rsidR="00FF4289">
              <w:rPr>
                <w:sz w:val="18"/>
              </w:rPr>
              <w:t>entrum transpar</w:t>
            </w:r>
            <w:r w:rsidR="00387AC5">
              <w:rPr>
                <w:sz w:val="18"/>
              </w:rPr>
              <w:t xml:space="preserve">entní strukturu výzkumných týmů, </w:t>
            </w:r>
            <w:r w:rsidR="00387AC5" w:rsidRPr="00582582">
              <w:rPr>
                <w:sz w:val="18"/>
              </w:rPr>
              <w:t>Příjemcem dotace je UTB, přičemž CPS stojí samostatně na úrovni fakult, ale nemá akademický senát</w:t>
            </w:r>
            <w:r w:rsidR="00387AC5">
              <w:rPr>
                <w:sz w:val="18"/>
              </w:rPr>
              <w:t>.</w:t>
            </w:r>
            <w:r w:rsidR="00FF4289">
              <w:rPr>
                <w:sz w:val="18"/>
              </w:rPr>
              <w:t xml:space="preserve"> Současný počet výzkumníků zaměstnaných v centru je 98 odborných pracovníků a 53 FTE k </w:t>
            </w:r>
            <w:proofErr w:type="gramStart"/>
            <w:r w:rsidR="00FF4289">
              <w:rPr>
                <w:sz w:val="18"/>
              </w:rPr>
              <w:t>31.12.20</w:t>
            </w:r>
            <w:r w:rsidR="00387AC5">
              <w:rPr>
                <w:sz w:val="18"/>
              </w:rPr>
              <w:t>14</w:t>
            </w:r>
            <w:proofErr w:type="gramEnd"/>
            <w:r w:rsidR="00387AC5">
              <w:rPr>
                <w:sz w:val="18"/>
              </w:rPr>
              <w:t xml:space="preserve"> (5 prof., 21 doc., 40 Ph.D.)m </w:t>
            </w:r>
            <w:r w:rsidR="00387AC5" w:rsidRPr="00582582">
              <w:rPr>
                <w:sz w:val="18"/>
              </w:rPr>
              <w:t>½ pracovníků je kmenová a druhá ½ pak sdílená s</w:t>
            </w:r>
            <w:r w:rsidR="00387AC5">
              <w:rPr>
                <w:sz w:val="18"/>
              </w:rPr>
              <w:t> </w:t>
            </w:r>
            <w:r w:rsidR="00387AC5" w:rsidRPr="00582582">
              <w:rPr>
                <w:sz w:val="18"/>
              </w:rPr>
              <w:t>UTB</w:t>
            </w:r>
            <w:r w:rsidR="00387AC5">
              <w:rPr>
                <w:sz w:val="18"/>
              </w:rPr>
              <w:t>.</w:t>
            </w:r>
          </w:p>
          <w:p w:rsidR="00EB4719" w:rsidRPr="00FF4289" w:rsidRDefault="00FF4289" w:rsidP="00387AC5">
            <w:pPr>
              <w:spacing w:before="60" w:after="60" w:line="240" w:lineRule="auto"/>
              <w:rPr>
                <w:sz w:val="18"/>
                <w:lang w:val="en-US"/>
              </w:rPr>
            </w:pPr>
            <w:r>
              <w:rPr>
                <w:sz w:val="18"/>
              </w:rPr>
              <w:t xml:space="preserve">Plánovaný počet výzkumníků je 112 zaměstnanců a 60 FTE se strukturou: 6 prof., 25 doc a 45 Ph.D. V současnosti v centru působí 18 odborníků ze zahraniční. Plánováno je až </w:t>
            </w:r>
            <w:proofErr w:type="gramStart"/>
            <w:r>
              <w:rPr>
                <w:sz w:val="18"/>
              </w:rPr>
              <w:t xml:space="preserve">25 </w:t>
            </w:r>
            <w:r>
              <w:rPr>
                <w:sz w:val="18"/>
                <w:lang w:val="en-US"/>
              </w:rPr>
              <w:t>%</w:t>
            </w:r>
            <w:r>
              <w:rPr>
                <w:sz w:val="18"/>
                <w:lang w:val="en-US"/>
              </w:rPr>
              <w:t xml:space="preserve">  </w:t>
            </w:r>
            <w:r w:rsidRPr="00FF4289">
              <w:rPr>
                <w:sz w:val="18"/>
              </w:rPr>
              <w:t>vědců</w:t>
            </w:r>
            <w:proofErr w:type="gramEnd"/>
            <w:r w:rsidRPr="00FF4289">
              <w:rPr>
                <w:sz w:val="18"/>
              </w:rPr>
              <w:t xml:space="preserve"> </w:t>
            </w:r>
            <w:r>
              <w:rPr>
                <w:sz w:val="18"/>
              </w:rPr>
              <w:t>ze zahraniční na celkových zaměstnancích centra</w:t>
            </w:r>
            <w:r w:rsidR="00387AC5">
              <w:rPr>
                <w:sz w:val="18"/>
                <w:lang w:val="en-US"/>
              </w:rPr>
              <w:t xml:space="preserve">, </w:t>
            </w:r>
            <w:r w:rsidR="00387AC5" w:rsidRPr="00582582">
              <w:rPr>
                <w:sz w:val="18"/>
              </w:rPr>
              <w:t xml:space="preserve">přičemž </w:t>
            </w:r>
            <w:r w:rsidR="00387AC5">
              <w:rPr>
                <w:sz w:val="18"/>
              </w:rPr>
              <w:t xml:space="preserve"> již v současnosti pracuje 9 pracovníků</w:t>
            </w:r>
            <w:r w:rsidR="00387AC5" w:rsidRPr="00582582">
              <w:rPr>
                <w:sz w:val="18"/>
              </w:rPr>
              <w:t xml:space="preserve"> ze zahraničí (východní Evropa a Korea)</w:t>
            </w:r>
            <w:r w:rsidR="00387AC5">
              <w:rPr>
                <w:sz w:val="18"/>
              </w:rPr>
              <w:t>.</w:t>
            </w:r>
          </w:p>
        </w:tc>
      </w:tr>
      <w:tr w:rsidR="00EB4719" w:rsidTr="00F74C5F">
        <w:tc>
          <w:tcPr>
            <w:tcW w:w="2298" w:type="dxa"/>
          </w:tcPr>
          <w:p w:rsidR="00EB4719" w:rsidRDefault="00EB4719">
            <w:pPr>
              <w:spacing w:before="60" w:after="60"/>
              <w:rPr>
                <w:rFonts w:ascii="Arial" w:hAnsi="Arial" w:cs="Arial"/>
                <w:b/>
                <w:sz w:val="20"/>
              </w:rPr>
            </w:pPr>
            <w:r>
              <w:rPr>
                <w:rFonts w:ascii="Arial" w:hAnsi="Arial" w:cs="Arial"/>
                <w:b/>
                <w:sz w:val="20"/>
              </w:rPr>
              <w:t>Hodnocení výzkumného centra</w:t>
            </w:r>
          </w:p>
        </w:tc>
        <w:tc>
          <w:tcPr>
            <w:tcW w:w="7152" w:type="dxa"/>
            <w:gridSpan w:val="5"/>
          </w:tcPr>
          <w:p w:rsidR="00582582" w:rsidRPr="00582582" w:rsidRDefault="00582582" w:rsidP="00582582">
            <w:pPr>
              <w:spacing w:before="60" w:after="60" w:line="240" w:lineRule="auto"/>
              <w:rPr>
                <w:sz w:val="18"/>
              </w:rPr>
            </w:pPr>
            <w:r w:rsidRPr="00582582">
              <w:rPr>
                <w:sz w:val="18"/>
              </w:rPr>
              <w:t xml:space="preserve">Komplex CPS je lokalizován v kampusu UTB Zlín, prozatím v bývalém internátním objektu Nad ovčírnou, přičemž vlastní nový objekt je umístěn na třídě Tomáše Bati. Má celkem 2 křídla, přičemž čelní (3 patra) má laboratorní zázemí a zadní slouží k administrativě. Ukončení realizace projektu je </w:t>
            </w:r>
            <w:proofErr w:type="gramStart"/>
            <w:r w:rsidRPr="00582582">
              <w:rPr>
                <w:sz w:val="18"/>
              </w:rPr>
              <w:t>30.4.2015</w:t>
            </w:r>
            <w:proofErr w:type="gramEnd"/>
            <w:r w:rsidRPr="00582582">
              <w:rPr>
                <w:sz w:val="18"/>
              </w:rPr>
              <w:t xml:space="preserve">, přičemž aktuální výše dotace činí 713 mil Kč.    </w:t>
            </w:r>
          </w:p>
          <w:p w:rsidR="00EB4719" w:rsidRPr="00387AC5" w:rsidRDefault="00582582" w:rsidP="00387AC5">
            <w:pPr>
              <w:spacing w:before="60" w:after="60" w:line="240" w:lineRule="auto"/>
              <w:rPr>
                <w:sz w:val="18"/>
              </w:rPr>
            </w:pPr>
            <w:r w:rsidRPr="00582582">
              <w:rPr>
                <w:sz w:val="18"/>
              </w:rPr>
              <w:t>Projekt CPS je zaměřen na progresivní technologie z oblasti polymerních materiálů a kompozitních polymerních systémů a přípravu produktů na polymerní bázi.</w:t>
            </w:r>
            <w:r w:rsidR="00FF4289">
              <w:rPr>
                <w:sz w:val="18"/>
              </w:rPr>
              <w:t xml:space="preserve"> V CPS existují 2 programy:, č.1 </w:t>
            </w:r>
            <w:r w:rsidR="00387AC5">
              <w:rPr>
                <w:sz w:val="18"/>
              </w:rPr>
              <w:t xml:space="preserve"> P</w:t>
            </w:r>
            <w:r w:rsidRPr="00582582">
              <w:rPr>
                <w:sz w:val="18"/>
              </w:rPr>
              <w:t xml:space="preserve">okročilé zpracování progresivních polymerních systémů a </w:t>
            </w:r>
            <w:proofErr w:type="gramStart"/>
            <w:r w:rsidRPr="00582582">
              <w:rPr>
                <w:sz w:val="18"/>
              </w:rPr>
              <w:t>č.2 Příprava</w:t>
            </w:r>
            <w:proofErr w:type="gramEnd"/>
            <w:r w:rsidRPr="00582582">
              <w:rPr>
                <w:sz w:val="18"/>
              </w:rPr>
              <w:t xml:space="preserve"> pokročilých polymerních </w:t>
            </w:r>
            <w:proofErr w:type="spellStart"/>
            <w:r w:rsidRPr="00582582">
              <w:rPr>
                <w:sz w:val="18"/>
              </w:rPr>
              <w:t>kompozitů</w:t>
            </w:r>
            <w:proofErr w:type="spellEnd"/>
            <w:r w:rsidRPr="00582582">
              <w:rPr>
                <w:sz w:val="18"/>
              </w:rPr>
              <w:t xml:space="preserve">. Tyto programy pak mají celkem 8 různých zpracovatelských a analytických oborů. </w:t>
            </w:r>
          </w:p>
        </w:tc>
      </w:tr>
      <w:tr w:rsidR="00EB4719" w:rsidTr="00F74C5F">
        <w:tc>
          <w:tcPr>
            <w:tcW w:w="2298" w:type="dxa"/>
          </w:tcPr>
          <w:p w:rsidR="00EB4719" w:rsidRDefault="00EB4719">
            <w:pPr>
              <w:spacing w:before="60" w:after="60"/>
              <w:rPr>
                <w:rFonts w:ascii="Arial" w:hAnsi="Arial" w:cs="Arial"/>
                <w:b/>
                <w:sz w:val="20"/>
              </w:rPr>
            </w:pPr>
            <w:r>
              <w:rPr>
                <w:rFonts w:ascii="Arial" w:hAnsi="Arial" w:cs="Arial"/>
                <w:b/>
                <w:sz w:val="20"/>
              </w:rPr>
              <w:t xml:space="preserve">Poznatky z návštěvy </w:t>
            </w:r>
            <w:r>
              <w:rPr>
                <w:rFonts w:ascii="Arial" w:hAnsi="Arial" w:cs="Arial"/>
                <w:b/>
                <w:sz w:val="20"/>
              </w:rPr>
              <w:lastRenderedPageBreak/>
              <w:t>týmu zmocněnce pro udržitelnost</w:t>
            </w:r>
          </w:p>
        </w:tc>
        <w:tc>
          <w:tcPr>
            <w:tcW w:w="7152" w:type="dxa"/>
            <w:gridSpan w:val="5"/>
          </w:tcPr>
          <w:p w:rsidR="00EB4719" w:rsidRDefault="00EB4719">
            <w:pPr>
              <w:spacing w:before="60" w:after="60" w:line="240" w:lineRule="auto"/>
              <w:rPr>
                <w:sz w:val="18"/>
              </w:rPr>
            </w:pPr>
            <w:r>
              <w:rPr>
                <w:sz w:val="18"/>
              </w:rPr>
              <w:lastRenderedPageBreak/>
              <w:t xml:space="preserve">Centrum má tuzemské i zahraniční partnery výzkumu. Mezi tuzemské partnery patří </w:t>
            </w:r>
            <w:r w:rsidR="00846479" w:rsidRPr="00846479">
              <w:rPr>
                <w:sz w:val="18"/>
              </w:rPr>
              <w:t xml:space="preserve">Ústav pro hydrodynamiku Akademie věd České republiky; Ústav makromolekulární chemie Akademie </w:t>
            </w:r>
            <w:r w:rsidR="00846479" w:rsidRPr="00846479">
              <w:rPr>
                <w:sz w:val="18"/>
              </w:rPr>
              <w:lastRenderedPageBreak/>
              <w:t xml:space="preserve">věd České republiky; Univerzita Karlova, Fakulta matematiky a fyziky; Vysoké učení technické v Brně; Univerzita Palackého Olomouc; </w:t>
            </w:r>
            <w:r w:rsidR="00846479">
              <w:rPr>
                <w:sz w:val="18"/>
              </w:rPr>
              <w:t xml:space="preserve">a </w:t>
            </w:r>
            <w:r w:rsidR="00846479" w:rsidRPr="00846479">
              <w:rPr>
                <w:sz w:val="18"/>
              </w:rPr>
              <w:t>Masarykova univerzita v Brně</w:t>
            </w:r>
            <w:r>
              <w:rPr>
                <w:sz w:val="18"/>
              </w:rPr>
              <w:t xml:space="preserve">. Mezi zahraniční partnery centra patří </w:t>
            </w:r>
            <w:r w:rsidR="00846479" w:rsidRPr="00846479">
              <w:rPr>
                <w:sz w:val="18"/>
              </w:rPr>
              <w:t xml:space="preserve">University </w:t>
            </w:r>
            <w:proofErr w:type="spellStart"/>
            <w:r w:rsidR="00846479" w:rsidRPr="00846479">
              <w:rPr>
                <w:sz w:val="18"/>
              </w:rPr>
              <w:t>of</w:t>
            </w:r>
            <w:proofErr w:type="spellEnd"/>
            <w:r w:rsidR="00846479" w:rsidRPr="00846479">
              <w:rPr>
                <w:sz w:val="18"/>
              </w:rPr>
              <w:t xml:space="preserve"> </w:t>
            </w:r>
            <w:proofErr w:type="spellStart"/>
            <w:r w:rsidR="00846479" w:rsidRPr="00846479">
              <w:rPr>
                <w:sz w:val="18"/>
              </w:rPr>
              <w:t>Bradford</w:t>
            </w:r>
            <w:proofErr w:type="spellEnd"/>
            <w:r w:rsidR="00846479" w:rsidRPr="00846479">
              <w:rPr>
                <w:sz w:val="18"/>
              </w:rPr>
              <w:t xml:space="preserve">, </w:t>
            </w:r>
            <w:proofErr w:type="spellStart"/>
            <w:r w:rsidR="00846479" w:rsidRPr="00846479">
              <w:rPr>
                <w:sz w:val="18"/>
              </w:rPr>
              <w:t>School</w:t>
            </w:r>
            <w:proofErr w:type="spellEnd"/>
            <w:r w:rsidR="00846479" w:rsidRPr="00846479">
              <w:rPr>
                <w:sz w:val="18"/>
              </w:rPr>
              <w:t xml:space="preserve"> </w:t>
            </w:r>
            <w:proofErr w:type="spellStart"/>
            <w:r w:rsidR="00846479" w:rsidRPr="00846479">
              <w:rPr>
                <w:sz w:val="18"/>
              </w:rPr>
              <w:t>of</w:t>
            </w:r>
            <w:proofErr w:type="spellEnd"/>
            <w:r w:rsidR="00846479" w:rsidRPr="00846479">
              <w:rPr>
                <w:sz w:val="18"/>
              </w:rPr>
              <w:t xml:space="preserve"> </w:t>
            </w:r>
            <w:proofErr w:type="spellStart"/>
            <w:r w:rsidR="00846479" w:rsidRPr="00846479">
              <w:rPr>
                <w:sz w:val="18"/>
              </w:rPr>
              <w:t>Engineering</w:t>
            </w:r>
            <w:proofErr w:type="spellEnd"/>
            <w:r w:rsidR="00846479" w:rsidRPr="00846479">
              <w:rPr>
                <w:sz w:val="18"/>
              </w:rPr>
              <w:t xml:space="preserve"> Design &amp; Technology, Velká Británie; </w:t>
            </w:r>
            <w:proofErr w:type="spellStart"/>
            <w:r w:rsidR="00846479" w:rsidRPr="00846479">
              <w:rPr>
                <w:sz w:val="18"/>
              </w:rPr>
              <w:t>Technical</w:t>
            </w:r>
            <w:proofErr w:type="spellEnd"/>
            <w:r w:rsidR="00846479" w:rsidRPr="00846479">
              <w:rPr>
                <w:sz w:val="18"/>
              </w:rPr>
              <w:t xml:space="preserve"> University </w:t>
            </w:r>
            <w:proofErr w:type="spellStart"/>
            <w:r w:rsidR="00846479" w:rsidRPr="00846479">
              <w:rPr>
                <w:sz w:val="18"/>
              </w:rPr>
              <w:t>of</w:t>
            </w:r>
            <w:proofErr w:type="spellEnd"/>
            <w:r w:rsidR="00846479" w:rsidRPr="00846479">
              <w:rPr>
                <w:sz w:val="18"/>
              </w:rPr>
              <w:t xml:space="preserve"> </w:t>
            </w:r>
            <w:proofErr w:type="spellStart"/>
            <w:r w:rsidR="00846479" w:rsidRPr="00846479">
              <w:rPr>
                <w:sz w:val="18"/>
              </w:rPr>
              <w:t>Berlin</w:t>
            </w:r>
            <w:proofErr w:type="spellEnd"/>
            <w:r w:rsidR="00846479" w:rsidRPr="00846479">
              <w:rPr>
                <w:sz w:val="18"/>
              </w:rPr>
              <w:t xml:space="preserve">, </w:t>
            </w:r>
            <w:proofErr w:type="spellStart"/>
            <w:r w:rsidR="00846479" w:rsidRPr="00846479">
              <w:rPr>
                <w:sz w:val="18"/>
              </w:rPr>
              <w:t>Berlin</w:t>
            </w:r>
            <w:proofErr w:type="spellEnd"/>
            <w:r w:rsidR="00846479" w:rsidRPr="00846479">
              <w:rPr>
                <w:sz w:val="18"/>
              </w:rPr>
              <w:t xml:space="preserve"> Institute </w:t>
            </w:r>
            <w:proofErr w:type="spellStart"/>
            <w:r w:rsidR="00846479" w:rsidRPr="00846479">
              <w:rPr>
                <w:sz w:val="18"/>
              </w:rPr>
              <w:t>of</w:t>
            </w:r>
            <w:proofErr w:type="spellEnd"/>
            <w:r w:rsidR="00846479" w:rsidRPr="00846479">
              <w:rPr>
                <w:sz w:val="18"/>
              </w:rPr>
              <w:t xml:space="preserve"> Technology, Německo; Jozef Stefan Institute, </w:t>
            </w:r>
            <w:proofErr w:type="spellStart"/>
            <w:r w:rsidR="00846479" w:rsidRPr="00846479">
              <w:rPr>
                <w:sz w:val="18"/>
              </w:rPr>
              <w:t>Ljubljana</w:t>
            </w:r>
            <w:proofErr w:type="spellEnd"/>
            <w:r w:rsidR="00846479" w:rsidRPr="00846479">
              <w:rPr>
                <w:sz w:val="18"/>
              </w:rPr>
              <w:t xml:space="preserve">, Slovinsko; University </w:t>
            </w:r>
            <w:proofErr w:type="spellStart"/>
            <w:r w:rsidR="00846479" w:rsidRPr="00846479">
              <w:rPr>
                <w:sz w:val="18"/>
              </w:rPr>
              <w:t>of</w:t>
            </w:r>
            <w:proofErr w:type="spellEnd"/>
            <w:r w:rsidR="00846479" w:rsidRPr="00846479">
              <w:rPr>
                <w:sz w:val="18"/>
              </w:rPr>
              <w:t xml:space="preserve"> Waterloo, Waterloo, Kanada; </w:t>
            </w:r>
            <w:proofErr w:type="spellStart"/>
            <w:r w:rsidR="00846479" w:rsidRPr="00846479">
              <w:rPr>
                <w:sz w:val="18"/>
              </w:rPr>
              <w:t>Fachhochshule</w:t>
            </w:r>
            <w:proofErr w:type="spellEnd"/>
            <w:r w:rsidR="00846479" w:rsidRPr="00846479">
              <w:rPr>
                <w:sz w:val="18"/>
              </w:rPr>
              <w:t xml:space="preserve"> Bonn-</w:t>
            </w:r>
            <w:proofErr w:type="spellStart"/>
            <w:r w:rsidR="00846479" w:rsidRPr="00846479">
              <w:rPr>
                <w:sz w:val="18"/>
              </w:rPr>
              <w:t>Rhein</w:t>
            </w:r>
            <w:proofErr w:type="spellEnd"/>
            <w:r w:rsidR="00846479" w:rsidRPr="00846479">
              <w:rPr>
                <w:sz w:val="18"/>
              </w:rPr>
              <w:t>-</w:t>
            </w:r>
            <w:proofErr w:type="spellStart"/>
            <w:r w:rsidR="00846479" w:rsidRPr="00846479">
              <w:rPr>
                <w:sz w:val="18"/>
              </w:rPr>
              <w:t>Sieg</w:t>
            </w:r>
            <w:proofErr w:type="spellEnd"/>
            <w:r w:rsidR="00846479" w:rsidRPr="00846479">
              <w:rPr>
                <w:sz w:val="18"/>
              </w:rPr>
              <w:t xml:space="preserve">, Německo; University </w:t>
            </w:r>
            <w:proofErr w:type="spellStart"/>
            <w:r w:rsidR="00846479" w:rsidRPr="00846479">
              <w:rPr>
                <w:sz w:val="18"/>
              </w:rPr>
              <w:t>of</w:t>
            </w:r>
            <w:proofErr w:type="spellEnd"/>
            <w:r w:rsidR="00846479" w:rsidRPr="00846479">
              <w:rPr>
                <w:sz w:val="18"/>
              </w:rPr>
              <w:t xml:space="preserve"> </w:t>
            </w:r>
            <w:proofErr w:type="spellStart"/>
            <w:r w:rsidR="00846479" w:rsidRPr="00846479">
              <w:rPr>
                <w:sz w:val="18"/>
              </w:rPr>
              <w:t>Pannonia</w:t>
            </w:r>
            <w:proofErr w:type="spellEnd"/>
            <w:r w:rsidR="00846479" w:rsidRPr="00846479">
              <w:rPr>
                <w:sz w:val="18"/>
              </w:rPr>
              <w:t xml:space="preserve">, </w:t>
            </w:r>
            <w:proofErr w:type="spellStart"/>
            <w:r w:rsidR="00846479" w:rsidRPr="00846479">
              <w:rPr>
                <w:sz w:val="18"/>
              </w:rPr>
              <w:t>Veszprem</w:t>
            </w:r>
            <w:proofErr w:type="spellEnd"/>
            <w:r w:rsidR="00846479" w:rsidRPr="00846479">
              <w:rPr>
                <w:sz w:val="18"/>
              </w:rPr>
              <w:t xml:space="preserve">, Maďarsko; East </w:t>
            </w:r>
            <w:proofErr w:type="spellStart"/>
            <w:r w:rsidR="00846479" w:rsidRPr="00846479">
              <w:rPr>
                <w:sz w:val="18"/>
              </w:rPr>
              <w:t>China</w:t>
            </w:r>
            <w:proofErr w:type="spellEnd"/>
            <w:r w:rsidR="00846479" w:rsidRPr="00846479">
              <w:rPr>
                <w:sz w:val="18"/>
              </w:rPr>
              <w:t xml:space="preserve"> University </w:t>
            </w:r>
            <w:proofErr w:type="spellStart"/>
            <w:r w:rsidR="00846479" w:rsidRPr="00846479">
              <w:rPr>
                <w:sz w:val="18"/>
              </w:rPr>
              <w:t>of</w:t>
            </w:r>
            <w:proofErr w:type="spellEnd"/>
            <w:r w:rsidR="00846479" w:rsidRPr="00846479">
              <w:rPr>
                <w:sz w:val="18"/>
              </w:rPr>
              <w:t xml:space="preserve"> Science and Technology, </w:t>
            </w:r>
            <w:proofErr w:type="spellStart"/>
            <w:r w:rsidR="00846479" w:rsidRPr="00846479">
              <w:rPr>
                <w:sz w:val="18"/>
              </w:rPr>
              <w:t>Shanghai</w:t>
            </w:r>
            <w:proofErr w:type="spellEnd"/>
            <w:r w:rsidR="00846479" w:rsidRPr="00846479">
              <w:rPr>
                <w:sz w:val="18"/>
              </w:rPr>
              <w:t xml:space="preserve">, Čína; </w:t>
            </w:r>
            <w:proofErr w:type="spellStart"/>
            <w:r w:rsidR="00846479" w:rsidRPr="00846479">
              <w:rPr>
                <w:sz w:val="18"/>
              </w:rPr>
              <w:t>Chalmers</w:t>
            </w:r>
            <w:proofErr w:type="spellEnd"/>
            <w:r w:rsidR="00846479" w:rsidRPr="00846479">
              <w:rPr>
                <w:sz w:val="18"/>
              </w:rPr>
              <w:t xml:space="preserve"> University </w:t>
            </w:r>
            <w:proofErr w:type="spellStart"/>
            <w:r w:rsidR="00846479" w:rsidRPr="00846479">
              <w:rPr>
                <w:sz w:val="18"/>
              </w:rPr>
              <w:t>of</w:t>
            </w:r>
            <w:proofErr w:type="spellEnd"/>
            <w:r w:rsidR="00846479" w:rsidRPr="00846479">
              <w:rPr>
                <w:sz w:val="18"/>
              </w:rPr>
              <w:t xml:space="preserve"> Technology, </w:t>
            </w:r>
            <w:proofErr w:type="spellStart"/>
            <w:r w:rsidR="00846479" w:rsidRPr="00846479">
              <w:rPr>
                <w:sz w:val="18"/>
              </w:rPr>
              <w:t>Gothenburg</w:t>
            </w:r>
            <w:proofErr w:type="spellEnd"/>
            <w:r w:rsidR="00846479" w:rsidRPr="00846479">
              <w:rPr>
                <w:sz w:val="18"/>
              </w:rPr>
              <w:t xml:space="preserve">, Švédsko; </w:t>
            </w:r>
            <w:proofErr w:type="spellStart"/>
            <w:r w:rsidR="00846479" w:rsidRPr="00846479">
              <w:rPr>
                <w:sz w:val="18"/>
              </w:rPr>
              <w:t>Clermont</w:t>
            </w:r>
            <w:proofErr w:type="spellEnd"/>
            <w:r w:rsidR="00846479" w:rsidRPr="00846479">
              <w:rPr>
                <w:sz w:val="18"/>
              </w:rPr>
              <w:t xml:space="preserve"> University, </w:t>
            </w:r>
            <w:proofErr w:type="spellStart"/>
            <w:r w:rsidR="00846479" w:rsidRPr="00846479">
              <w:rPr>
                <w:sz w:val="18"/>
              </w:rPr>
              <w:t>Clermont</w:t>
            </w:r>
            <w:proofErr w:type="spellEnd"/>
            <w:r w:rsidR="00846479" w:rsidRPr="00846479">
              <w:rPr>
                <w:sz w:val="18"/>
              </w:rPr>
              <w:t xml:space="preserve"> </w:t>
            </w:r>
            <w:proofErr w:type="spellStart"/>
            <w:r w:rsidR="00846479" w:rsidRPr="00846479">
              <w:rPr>
                <w:sz w:val="18"/>
              </w:rPr>
              <w:t>Ferrand</w:t>
            </w:r>
            <w:proofErr w:type="spellEnd"/>
            <w:r w:rsidR="00846479" w:rsidRPr="00846479">
              <w:rPr>
                <w:sz w:val="18"/>
              </w:rPr>
              <w:t xml:space="preserve">, Francie; </w:t>
            </w:r>
            <w:proofErr w:type="spellStart"/>
            <w:r w:rsidR="00846479" w:rsidRPr="00846479">
              <w:rPr>
                <w:sz w:val="18"/>
              </w:rPr>
              <w:t>Russian</w:t>
            </w:r>
            <w:proofErr w:type="spellEnd"/>
            <w:r w:rsidR="00846479" w:rsidRPr="00846479">
              <w:rPr>
                <w:sz w:val="18"/>
              </w:rPr>
              <w:t xml:space="preserve"> </w:t>
            </w:r>
            <w:proofErr w:type="spellStart"/>
            <w:r w:rsidR="00846479" w:rsidRPr="00846479">
              <w:rPr>
                <w:sz w:val="18"/>
              </w:rPr>
              <w:t>Academy</w:t>
            </w:r>
            <w:proofErr w:type="spellEnd"/>
            <w:r w:rsidR="00846479" w:rsidRPr="00846479">
              <w:rPr>
                <w:sz w:val="18"/>
              </w:rPr>
              <w:t xml:space="preserve"> </w:t>
            </w:r>
            <w:proofErr w:type="spellStart"/>
            <w:r w:rsidR="00846479" w:rsidRPr="00846479">
              <w:rPr>
                <w:sz w:val="18"/>
              </w:rPr>
              <w:t>of</w:t>
            </w:r>
            <w:proofErr w:type="spellEnd"/>
            <w:r w:rsidR="00846479" w:rsidRPr="00846479">
              <w:rPr>
                <w:sz w:val="18"/>
              </w:rPr>
              <w:t xml:space="preserve"> </w:t>
            </w:r>
            <w:proofErr w:type="spellStart"/>
            <w:r w:rsidR="00846479" w:rsidRPr="00846479">
              <w:rPr>
                <w:sz w:val="18"/>
              </w:rPr>
              <w:t>Sciences</w:t>
            </w:r>
            <w:proofErr w:type="spellEnd"/>
            <w:r w:rsidR="00846479" w:rsidRPr="00846479">
              <w:rPr>
                <w:sz w:val="18"/>
              </w:rPr>
              <w:t xml:space="preserve">, Institute </w:t>
            </w:r>
            <w:proofErr w:type="spellStart"/>
            <w:r w:rsidR="00846479" w:rsidRPr="00846479">
              <w:rPr>
                <w:sz w:val="18"/>
              </w:rPr>
              <w:t>of</w:t>
            </w:r>
            <w:proofErr w:type="spellEnd"/>
            <w:r w:rsidR="00846479" w:rsidRPr="00846479">
              <w:rPr>
                <w:sz w:val="18"/>
              </w:rPr>
              <w:t xml:space="preserve"> </w:t>
            </w:r>
            <w:proofErr w:type="spellStart"/>
            <w:r w:rsidR="00846479" w:rsidRPr="00846479">
              <w:rPr>
                <w:sz w:val="18"/>
              </w:rPr>
              <w:t>Macromolecular</w:t>
            </w:r>
            <w:proofErr w:type="spellEnd"/>
            <w:r w:rsidR="00846479" w:rsidRPr="00846479">
              <w:rPr>
                <w:sz w:val="18"/>
              </w:rPr>
              <w:t xml:space="preserve"> </w:t>
            </w:r>
            <w:proofErr w:type="spellStart"/>
            <w:r w:rsidR="00846479" w:rsidRPr="00846479">
              <w:rPr>
                <w:sz w:val="18"/>
              </w:rPr>
              <w:t>Compounds</w:t>
            </w:r>
            <w:proofErr w:type="spellEnd"/>
            <w:r w:rsidR="00846479" w:rsidRPr="00846479">
              <w:rPr>
                <w:sz w:val="18"/>
              </w:rPr>
              <w:t xml:space="preserve">, St </w:t>
            </w:r>
            <w:proofErr w:type="spellStart"/>
            <w:r w:rsidR="00846479" w:rsidRPr="00846479">
              <w:rPr>
                <w:sz w:val="18"/>
              </w:rPr>
              <w:t>Petersburg</w:t>
            </w:r>
            <w:proofErr w:type="spellEnd"/>
            <w:r w:rsidR="00846479" w:rsidRPr="00846479">
              <w:rPr>
                <w:sz w:val="18"/>
              </w:rPr>
              <w:t xml:space="preserve">, Ruská </w:t>
            </w:r>
            <w:proofErr w:type="spellStart"/>
            <w:r w:rsidR="00846479" w:rsidRPr="00846479">
              <w:rPr>
                <w:sz w:val="18"/>
              </w:rPr>
              <w:t>fererace</w:t>
            </w:r>
            <w:proofErr w:type="spellEnd"/>
            <w:r w:rsidR="00846479" w:rsidRPr="00846479">
              <w:rPr>
                <w:sz w:val="18"/>
              </w:rPr>
              <w:t xml:space="preserve">; </w:t>
            </w:r>
            <w:proofErr w:type="spellStart"/>
            <w:r w:rsidR="00846479" w:rsidRPr="00846479">
              <w:rPr>
                <w:sz w:val="18"/>
              </w:rPr>
              <w:t>Russian</w:t>
            </w:r>
            <w:proofErr w:type="spellEnd"/>
            <w:r w:rsidR="00846479" w:rsidRPr="00846479">
              <w:rPr>
                <w:sz w:val="18"/>
              </w:rPr>
              <w:t xml:space="preserve"> </w:t>
            </w:r>
            <w:proofErr w:type="spellStart"/>
            <w:r w:rsidR="00846479" w:rsidRPr="00846479">
              <w:rPr>
                <w:sz w:val="18"/>
              </w:rPr>
              <w:t>Academy</w:t>
            </w:r>
            <w:proofErr w:type="spellEnd"/>
            <w:r w:rsidR="00846479" w:rsidRPr="00846479">
              <w:rPr>
                <w:sz w:val="18"/>
              </w:rPr>
              <w:t xml:space="preserve"> </w:t>
            </w:r>
            <w:proofErr w:type="spellStart"/>
            <w:r w:rsidR="00846479" w:rsidRPr="00846479">
              <w:rPr>
                <w:sz w:val="18"/>
              </w:rPr>
              <w:t>of</w:t>
            </w:r>
            <w:proofErr w:type="spellEnd"/>
            <w:r w:rsidR="00846479" w:rsidRPr="00846479">
              <w:rPr>
                <w:sz w:val="18"/>
              </w:rPr>
              <w:t xml:space="preserve"> </w:t>
            </w:r>
            <w:proofErr w:type="spellStart"/>
            <w:r w:rsidR="00846479" w:rsidRPr="00846479">
              <w:rPr>
                <w:sz w:val="18"/>
              </w:rPr>
              <w:t>Sciences</w:t>
            </w:r>
            <w:proofErr w:type="spellEnd"/>
            <w:r w:rsidR="00846479" w:rsidRPr="00846479">
              <w:rPr>
                <w:sz w:val="18"/>
              </w:rPr>
              <w:t xml:space="preserve">, </w:t>
            </w:r>
            <w:proofErr w:type="spellStart"/>
            <w:r w:rsidR="00846479" w:rsidRPr="00846479">
              <w:rPr>
                <w:sz w:val="18"/>
              </w:rPr>
              <w:t>Fryazino</w:t>
            </w:r>
            <w:proofErr w:type="spellEnd"/>
            <w:r w:rsidR="00846479" w:rsidRPr="00846479">
              <w:rPr>
                <w:sz w:val="18"/>
              </w:rPr>
              <w:t xml:space="preserve"> </w:t>
            </w:r>
            <w:proofErr w:type="spellStart"/>
            <w:r w:rsidR="00846479" w:rsidRPr="00846479">
              <w:rPr>
                <w:sz w:val="18"/>
              </w:rPr>
              <w:t>Branch</w:t>
            </w:r>
            <w:proofErr w:type="spellEnd"/>
            <w:r w:rsidR="00846479" w:rsidRPr="00846479">
              <w:rPr>
                <w:sz w:val="18"/>
              </w:rPr>
              <w:t xml:space="preserve"> </w:t>
            </w:r>
            <w:proofErr w:type="spellStart"/>
            <w:r w:rsidR="00846479" w:rsidRPr="00846479">
              <w:rPr>
                <w:sz w:val="18"/>
              </w:rPr>
              <w:t>of</w:t>
            </w:r>
            <w:proofErr w:type="spellEnd"/>
            <w:r w:rsidR="00846479" w:rsidRPr="00846479">
              <w:rPr>
                <w:sz w:val="18"/>
              </w:rPr>
              <w:t xml:space="preserve"> </w:t>
            </w:r>
            <w:proofErr w:type="spellStart"/>
            <w:r w:rsidR="00846479" w:rsidRPr="00846479">
              <w:rPr>
                <w:sz w:val="18"/>
              </w:rPr>
              <w:t>Kotelnikov</w:t>
            </w:r>
            <w:proofErr w:type="spellEnd"/>
            <w:r w:rsidR="00846479" w:rsidRPr="00846479">
              <w:rPr>
                <w:sz w:val="18"/>
              </w:rPr>
              <w:t xml:space="preserve"> Institute </w:t>
            </w:r>
            <w:proofErr w:type="spellStart"/>
            <w:r w:rsidR="00846479" w:rsidRPr="00846479">
              <w:rPr>
                <w:sz w:val="18"/>
              </w:rPr>
              <w:t>of</w:t>
            </w:r>
            <w:proofErr w:type="spellEnd"/>
            <w:r w:rsidR="00846479" w:rsidRPr="00846479">
              <w:rPr>
                <w:sz w:val="18"/>
              </w:rPr>
              <w:t xml:space="preserve"> </w:t>
            </w:r>
            <w:proofErr w:type="spellStart"/>
            <w:r w:rsidR="00846479" w:rsidRPr="00846479">
              <w:rPr>
                <w:sz w:val="18"/>
              </w:rPr>
              <w:t>Radio</w:t>
            </w:r>
            <w:proofErr w:type="spellEnd"/>
            <w:r w:rsidR="00846479" w:rsidRPr="00846479">
              <w:rPr>
                <w:sz w:val="18"/>
              </w:rPr>
              <w:t xml:space="preserve"> </w:t>
            </w:r>
            <w:proofErr w:type="spellStart"/>
            <w:r w:rsidR="00846479" w:rsidRPr="00846479">
              <w:rPr>
                <w:sz w:val="18"/>
              </w:rPr>
              <w:t>Engineering</w:t>
            </w:r>
            <w:proofErr w:type="spellEnd"/>
            <w:r w:rsidR="00846479" w:rsidRPr="00846479">
              <w:rPr>
                <w:sz w:val="18"/>
              </w:rPr>
              <w:t xml:space="preserve"> and </w:t>
            </w:r>
            <w:proofErr w:type="spellStart"/>
            <w:r w:rsidR="00846479" w:rsidRPr="00846479">
              <w:rPr>
                <w:sz w:val="18"/>
              </w:rPr>
              <w:t>Electronics</w:t>
            </w:r>
            <w:proofErr w:type="spellEnd"/>
            <w:r w:rsidR="00846479" w:rsidRPr="00846479">
              <w:rPr>
                <w:sz w:val="18"/>
              </w:rPr>
              <w:t xml:space="preserve">, </w:t>
            </w:r>
            <w:proofErr w:type="spellStart"/>
            <w:r w:rsidR="00846479" w:rsidRPr="00846479">
              <w:rPr>
                <w:sz w:val="18"/>
              </w:rPr>
              <w:t>Moscow</w:t>
            </w:r>
            <w:proofErr w:type="spellEnd"/>
            <w:r w:rsidR="00846479" w:rsidRPr="00846479">
              <w:rPr>
                <w:sz w:val="18"/>
              </w:rPr>
              <w:t xml:space="preserve">, Ruská federace; </w:t>
            </w:r>
            <w:proofErr w:type="spellStart"/>
            <w:r w:rsidR="00846479" w:rsidRPr="00846479">
              <w:rPr>
                <w:sz w:val="18"/>
              </w:rPr>
              <w:t>Technical</w:t>
            </w:r>
            <w:proofErr w:type="spellEnd"/>
            <w:r w:rsidR="00846479" w:rsidRPr="00846479">
              <w:rPr>
                <w:sz w:val="18"/>
              </w:rPr>
              <w:t xml:space="preserve"> University </w:t>
            </w:r>
            <w:proofErr w:type="spellStart"/>
            <w:r w:rsidR="00846479" w:rsidRPr="00846479">
              <w:rPr>
                <w:sz w:val="18"/>
              </w:rPr>
              <w:t>of</w:t>
            </w:r>
            <w:proofErr w:type="spellEnd"/>
            <w:r w:rsidR="00846479" w:rsidRPr="00846479">
              <w:rPr>
                <w:sz w:val="18"/>
              </w:rPr>
              <w:t xml:space="preserve"> </w:t>
            </w:r>
            <w:proofErr w:type="spellStart"/>
            <w:r w:rsidR="00846479" w:rsidRPr="00846479">
              <w:rPr>
                <w:sz w:val="18"/>
              </w:rPr>
              <w:t>Radom</w:t>
            </w:r>
            <w:proofErr w:type="spellEnd"/>
            <w:r w:rsidR="00846479" w:rsidRPr="00846479">
              <w:rPr>
                <w:sz w:val="18"/>
              </w:rPr>
              <w:t xml:space="preserve">, </w:t>
            </w:r>
            <w:proofErr w:type="spellStart"/>
            <w:r w:rsidR="00846479" w:rsidRPr="00846479">
              <w:rPr>
                <w:sz w:val="18"/>
              </w:rPr>
              <w:t>Radom</w:t>
            </w:r>
            <w:proofErr w:type="spellEnd"/>
            <w:r w:rsidR="00846479" w:rsidRPr="00846479">
              <w:rPr>
                <w:sz w:val="18"/>
              </w:rPr>
              <w:t xml:space="preserve">, Polsko; University </w:t>
            </w:r>
            <w:proofErr w:type="spellStart"/>
            <w:r w:rsidR="00846479" w:rsidRPr="00846479">
              <w:rPr>
                <w:sz w:val="18"/>
              </w:rPr>
              <w:t>of</w:t>
            </w:r>
            <w:proofErr w:type="spellEnd"/>
            <w:r w:rsidR="00846479" w:rsidRPr="00846479">
              <w:rPr>
                <w:sz w:val="18"/>
              </w:rPr>
              <w:t xml:space="preserve"> Salerno, Salerno, Itálie; Graz University </w:t>
            </w:r>
            <w:proofErr w:type="spellStart"/>
            <w:r w:rsidR="00846479" w:rsidRPr="00846479">
              <w:rPr>
                <w:sz w:val="18"/>
              </w:rPr>
              <w:t>of</w:t>
            </w:r>
            <w:proofErr w:type="spellEnd"/>
            <w:r w:rsidR="00846479" w:rsidRPr="00846479">
              <w:rPr>
                <w:sz w:val="18"/>
              </w:rPr>
              <w:t xml:space="preserve"> Technology, Graz, Rakousko; </w:t>
            </w:r>
            <w:proofErr w:type="spellStart"/>
            <w:r w:rsidR="00846479" w:rsidRPr="00846479">
              <w:rPr>
                <w:sz w:val="18"/>
              </w:rPr>
              <w:t>Slovak</w:t>
            </w:r>
            <w:proofErr w:type="spellEnd"/>
            <w:r w:rsidR="00846479" w:rsidRPr="00846479">
              <w:rPr>
                <w:sz w:val="18"/>
              </w:rPr>
              <w:t xml:space="preserve"> University </w:t>
            </w:r>
            <w:proofErr w:type="spellStart"/>
            <w:r w:rsidR="00846479" w:rsidRPr="00846479">
              <w:rPr>
                <w:sz w:val="18"/>
              </w:rPr>
              <w:t>of</w:t>
            </w:r>
            <w:proofErr w:type="spellEnd"/>
            <w:r w:rsidR="00846479" w:rsidRPr="00846479">
              <w:rPr>
                <w:sz w:val="18"/>
              </w:rPr>
              <w:t xml:space="preserve"> Technology, Bratislava, Slovensko; Polymer Institute </w:t>
            </w:r>
            <w:proofErr w:type="spellStart"/>
            <w:r w:rsidR="00846479" w:rsidRPr="00846479">
              <w:rPr>
                <w:sz w:val="18"/>
              </w:rPr>
              <w:t>of</w:t>
            </w:r>
            <w:proofErr w:type="spellEnd"/>
            <w:r w:rsidR="00846479" w:rsidRPr="00846479">
              <w:rPr>
                <w:sz w:val="18"/>
              </w:rPr>
              <w:t xml:space="preserve"> </w:t>
            </w:r>
            <w:proofErr w:type="spellStart"/>
            <w:r w:rsidR="00846479" w:rsidRPr="00846479">
              <w:rPr>
                <w:sz w:val="18"/>
              </w:rPr>
              <w:t>the</w:t>
            </w:r>
            <w:proofErr w:type="spellEnd"/>
            <w:r w:rsidR="00846479" w:rsidRPr="00846479">
              <w:rPr>
                <w:sz w:val="18"/>
              </w:rPr>
              <w:t xml:space="preserve"> </w:t>
            </w:r>
            <w:proofErr w:type="spellStart"/>
            <w:r w:rsidR="00846479" w:rsidRPr="00846479">
              <w:rPr>
                <w:sz w:val="18"/>
              </w:rPr>
              <w:t>Slovak</w:t>
            </w:r>
            <w:proofErr w:type="spellEnd"/>
            <w:r w:rsidR="00846479" w:rsidRPr="00846479">
              <w:rPr>
                <w:sz w:val="18"/>
              </w:rPr>
              <w:t xml:space="preserve"> </w:t>
            </w:r>
            <w:proofErr w:type="spellStart"/>
            <w:r w:rsidR="00846479" w:rsidRPr="00846479">
              <w:rPr>
                <w:sz w:val="18"/>
              </w:rPr>
              <w:t>Academy</w:t>
            </w:r>
            <w:proofErr w:type="spellEnd"/>
            <w:r w:rsidR="00846479" w:rsidRPr="00846479">
              <w:rPr>
                <w:sz w:val="18"/>
              </w:rPr>
              <w:t xml:space="preserve"> </w:t>
            </w:r>
            <w:proofErr w:type="spellStart"/>
            <w:r w:rsidR="00846479" w:rsidRPr="00846479">
              <w:rPr>
                <w:sz w:val="18"/>
              </w:rPr>
              <w:t>of</w:t>
            </w:r>
            <w:proofErr w:type="spellEnd"/>
            <w:r w:rsidR="00846479" w:rsidRPr="00846479">
              <w:rPr>
                <w:sz w:val="18"/>
              </w:rPr>
              <w:t xml:space="preserve"> </w:t>
            </w:r>
            <w:proofErr w:type="spellStart"/>
            <w:r w:rsidR="00846479" w:rsidRPr="00846479">
              <w:rPr>
                <w:sz w:val="18"/>
              </w:rPr>
              <w:t>Sciences</w:t>
            </w:r>
            <w:proofErr w:type="spellEnd"/>
            <w:r w:rsidR="00846479" w:rsidRPr="00846479">
              <w:rPr>
                <w:sz w:val="18"/>
              </w:rPr>
              <w:t xml:space="preserve">, Bratislava, Slovensko; Indian Institute </w:t>
            </w:r>
            <w:proofErr w:type="spellStart"/>
            <w:r w:rsidR="00846479" w:rsidRPr="00846479">
              <w:rPr>
                <w:sz w:val="18"/>
              </w:rPr>
              <w:t>of</w:t>
            </w:r>
            <w:proofErr w:type="spellEnd"/>
            <w:r w:rsidR="00846479" w:rsidRPr="00846479">
              <w:rPr>
                <w:sz w:val="18"/>
              </w:rPr>
              <w:t xml:space="preserve"> Technology,  </w:t>
            </w:r>
            <w:proofErr w:type="spellStart"/>
            <w:r w:rsidR="00846479" w:rsidRPr="00846479">
              <w:rPr>
                <w:sz w:val="18"/>
              </w:rPr>
              <w:t>Khargapur</w:t>
            </w:r>
            <w:proofErr w:type="spellEnd"/>
            <w:r w:rsidR="00846479" w:rsidRPr="00846479">
              <w:rPr>
                <w:sz w:val="18"/>
              </w:rPr>
              <w:t>, India</w:t>
            </w:r>
            <w:r>
              <w:rPr>
                <w:sz w:val="18"/>
              </w:rPr>
              <w:t>.</w:t>
            </w:r>
          </w:p>
        </w:tc>
      </w:tr>
      <w:tr w:rsidR="00EB4719" w:rsidTr="00F74C5F">
        <w:tc>
          <w:tcPr>
            <w:tcW w:w="2298" w:type="dxa"/>
          </w:tcPr>
          <w:p w:rsidR="00EB4719" w:rsidRDefault="00EB4719">
            <w:pPr>
              <w:spacing w:before="60" w:after="60"/>
              <w:rPr>
                <w:rFonts w:ascii="Arial" w:hAnsi="Arial" w:cs="Arial"/>
                <w:b/>
                <w:sz w:val="20"/>
              </w:rPr>
            </w:pPr>
            <w:r>
              <w:rPr>
                <w:rFonts w:ascii="Arial" w:hAnsi="Arial" w:cs="Arial"/>
                <w:b/>
                <w:sz w:val="20"/>
              </w:rPr>
              <w:lastRenderedPageBreak/>
              <w:t>Zařazení projektu do rizikové skupiny z hlediska udržitelnosti</w:t>
            </w:r>
          </w:p>
        </w:tc>
        <w:tc>
          <w:tcPr>
            <w:tcW w:w="7152" w:type="dxa"/>
            <w:gridSpan w:val="5"/>
          </w:tcPr>
          <w:p w:rsidR="00EB4719" w:rsidRDefault="00387AC5">
            <w:pPr>
              <w:spacing w:before="60" w:after="60" w:line="240" w:lineRule="auto"/>
              <w:rPr>
                <w:sz w:val="18"/>
              </w:rPr>
            </w:pPr>
            <w:r>
              <w:rPr>
                <w:sz w:val="18"/>
              </w:rPr>
              <w:t>A</w:t>
            </w:r>
          </w:p>
        </w:tc>
      </w:tr>
      <w:tr w:rsidR="00EB4719" w:rsidTr="00F74C5F">
        <w:tc>
          <w:tcPr>
            <w:tcW w:w="2298" w:type="dxa"/>
          </w:tcPr>
          <w:p w:rsidR="00EB4719" w:rsidRDefault="00EB4719">
            <w:pPr>
              <w:spacing w:before="60" w:after="60"/>
              <w:rPr>
                <w:rFonts w:ascii="Arial" w:hAnsi="Arial" w:cs="Arial"/>
                <w:b/>
                <w:sz w:val="20"/>
              </w:rPr>
            </w:pPr>
            <w:r>
              <w:rPr>
                <w:rFonts w:ascii="Arial" w:hAnsi="Arial" w:cs="Arial"/>
                <w:b/>
                <w:sz w:val="20"/>
              </w:rPr>
              <w:t>Poznámka</w:t>
            </w:r>
          </w:p>
        </w:tc>
        <w:tc>
          <w:tcPr>
            <w:tcW w:w="7152" w:type="dxa"/>
            <w:gridSpan w:val="5"/>
          </w:tcPr>
          <w:p w:rsidR="00EB4719" w:rsidRDefault="00EB4719">
            <w:pPr>
              <w:spacing w:before="60" w:after="60" w:line="240" w:lineRule="auto"/>
              <w:rPr>
                <w:sz w:val="18"/>
              </w:rPr>
            </w:pPr>
          </w:p>
        </w:tc>
      </w:tr>
    </w:tbl>
    <w:p w:rsidR="00A7545D" w:rsidRDefault="00A7545D"/>
    <w:sectPr w:rsidR="00A754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altName w:val="Calibri"/>
    <w:charset w:val="EE"/>
    <w:family w:val="swiss"/>
    <w:pitch w:val="variable"/>
    <w:sig w:usb0="A00002EF" w:usb1="4000207B" w:usb2="00000000" w:usb3="00000000" w:csb0="0000019F"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E6C4C"/>
    <w:multiLevelType w:val="hybridMultilevel"/>
    <w:tmpl w:val="136204BA"/>
    <w:lvl w:ilvl="0" w:tplc="A4B0639E">
      <w:start w:val="11"/>
      <w:numFmt w:val="bullet"/>
      <w:lvlText w:val="-"/>
      <w:lvlJc w:val="left"/>
      <w:pPr>
        <w:ind w:left="3" w:hanging="360"/>
      </w:pPr>
      <w:rPr>
        <w:rFonts w:ascii="Calibri" w:eastAsia="Calibri" w:hAnsi="Calibri" w:cs="Calibri" w:hint="default"/>
      </w:rPr>
    </w:lvl>
    <w:lvl w:ilvl="1" w:tplc="04050003">
      <w:start w:val="1"/>
      <w:numFmt w:val="bullet"/>
      <w:lvlText w:val="o"/>
      <w:lvlJc w:val="left"/>
      <w:pPr>
        <w:ind w:left="723" w:hanging="360"/>
      </w:pPr>
      <w:rPr>
        <w:rFonts w:ascii="Courier New" w:hAnsi="Courier New" w:cs="Courier New" w:hint="default"/>
      </w:rPr>
    </w:lvl>
    <w:lvl w:ilvl="2" w:tplc="04050005">
      <w:start w:val="1"/>
      <w:numFmt w:val="bullet"/>
      <w:lvlText w:val=""/>
      <w:lvlJc w:val="left"/>
      <w:pPr>
        <w:ind w:left="1443" w:hanging="360"/>
      </w:pPr>
      <w:rPr>
        <w:rFonts w:ascii="Wingdings" w:hAnsi="Wingdings" w:hint="default"/>
      </w:rPr>
    </w:lvl>
    <w:lvl w:ilvl="3" w:tplc="04050001">
      <w:start w:val="1"/>
      <w:numFmt w:val="bullet"/>
      <w:lvlText w:val=""/>
      <w:lvlJc w:val="left"/>
      <w:pPr>
        <w:ind w:left="2163" w:hanging="360"/>
      </w:pPr>
      <w:rPr>
        <w:rFonts w:ascii="Symbol" w:hAnsi="Symbol" w:hint="default"/>
      </w:rPr>
    </w:lvl>
    <w:lvl w:ilvl="4" w:tplc="04050003">
      <w:start w:val="1"/>
      <w:numFmt w:val="bullet"/>
      <w:lvlText w:val="o"/>
      <w:lvlJc w:val="left"/>
      <w:pPr>
        <w:ind w:left="2883" w:hanging="360"/>
      </w:pPr>
      <w:rPr>
        <w:rFonts w:ascii="Courier New" w:hAnsi="Courier New" w:cs="Courier New" w:hint="default"/>
      </w:rPr>
    </w:lvl>
    <w:lvl w:ilvl="5" w:tplc="04050005">
      <w:start w:val="1"/>
      <w:numFmt w:val="bullet"/>
      <w:lvlText w:val=""/>
      <w:lvlJc w:val="left"/>
      <w:pPr>
        <w:ind w:left="3603" w:hanging="360"/>
      </w:pPr>
      <w:rPr>
        <w:rFonts w:ascii="Wingdings" w:hAnsi="Wingdings" w:hint="default"/>
      </w:rPr>
    </w:lvl>
    <w:lvl w:ilvl="6" w:tplc="04050001">
      <w:start w:val="1"/>
      <w:numFmt w:val="bullet"/>
      <w:lvlText w:val=""/>
      <w:lvlJc w:val="left"/>
      <w:pPr>
        <w:ind w:left="4323" w:hanging="360"/>
      </w:pPr>
      <w:rPr>
        <w:rFonts w:ascii="Symbol" w:hAnsi="Symbol" w:hint="default"/>
      </w:rPr>
    </w:lvl>
    <w:lvl w:ilvl="7" w:tplc="04050003">
      <w:start w:val="1"/>
      <w:numFmt w:val="bullet"/>
      <w:lvlText w:val="o"/>
      <w:lvlJc w:val="left"/>
      <w:pPr>
        <w:ind w:left="5043" w:hanging="360"/>
      </w:pPr>
      <w:rPr>
        <w:rFonts w:ascii="Courier New" w:hAnsi="Courier New" w:cs="Courier New" w:hint="default"/>
      </w:rPr>
    </w:lvl>
    <w:lvl w:ilvl="8" w:tplc="04050005">
      <w:start w:val="1"/>
      <w:numFmt w:val="bullet"/>
      <w:lvlText w:val=""/>
      <w:lvlJc w:val="left"/>
      <w:pPr>
        <w:ind w:left="5763" w:hanging="360"/>
      </w:pPr>
      <w:rPr>
        <w:rFonts w:ascii="Wingdings" w:hAnsi="Wingdings" w:hint="default"/>
      </w:rPr>
    </w:lvl>
  </w:abstractNum>
  <w:abstractNum w:abstractNumId="1">
    <w:nsid w:val="0ABE5D7A"/>
    <w:multiLevelType w:val="hybridMultilevel"/>
    <w:tmpl w:val="10866436"/>
    <w:lvl w:ilvl="0" w:tplc="079A0076">
      <w:start w:val="1"/>
      <w:numFmt w:val="bullet"/>
      <w:pStyle w:val="Odrka2"/>
      <w:lvlText w:val="o"/>
      <w:lvlJc w:val="left"/>
      <w:pPr>
        <w:ind w:left="2120" w:hanging="360"/>
      </w:pPr>
      <w:rPr>
        <w:rFonts w:ascii="Courier New" w:hAnsi="Courier New" w:cs="Courier New" w:hint="default"/>
      </w:rPr>
    </w:lvl>
    <w:lvl w:ilvl="1" w:tplc="04050003" w:tentative="1">
      <w:start w:val="1"/>
      <w:numFmt w:val="bullet"/>
      <w:lvlText w:val="o"/>
      <w:lvlJc w:val="left"/>
      <w:pPr>
        <w:ind w:left="2840" w:hanging="360"/>
      </w:pPr>
      <w:rPr>
        <w:rFonts w:ascii="Courier New" w:hAnsi="Courier New" w:cs="Courier New" w:hint="default"/>
      </w:rPr>
    </w:lvl>
    <w:lvl w:ilvl="2" w:tplc="04050005" w:tentative="1">
      <w:start w:val="1"/>
      <w:numFmt w:val="bullet"/>
      <w:lvlText w:val=""/>
      <w:lvlJc w:val="left"/>
      <w:pPr>
        <w:ind w:left="3560" w:hanging="360"/>
      </w:pPr>
      <w:rPr>
        <w:rFonts w:ascii="Wingdings" w:hAnsi="Wingdings" w:hint="default"/>
      </w:rPr>
    </w:lvl>
    <w:lvl w:ilvl="3" w:tplc="04050001" w:tentative="1">
      <w:start w:val="1"/>
      <w:numFmt w:val="bullet"/>
      <w:lvlText w:val=""/>
      <w:lvlJc w:val="left"/>
      <w:pPr>
        <w:ind w:left="4280" w:hanging="360"/>
      </w:pPr>
      <w:rPr>
        <w:rFonts w:ascii="Symbol" w:hAnsi="Symbol" w:hint="default"/>
      </w:rPr>
    </w:lvl>
    <w:lvl w:ilvl="4" w:tplc="04050003" w:tentative="1">
      <w:start w:val="1"/>
      <w:numFmt w:val="bullet"/>
      <w:lvlText w:val="o"/>
      <w:lvlJc w:val="left"/>
      <w:pPr>
        <w:ind w:left="5000" w:hanging="360"/>
      </w:pPr>
      <w:rPr>
        <w:rFonts w:ascii="Courier New" w:hAnsi="Courier New" w:cs="Courier New" w:hint="default"/>
      </w:rPr>
    </w:lvl>
    <w:lvl w:ilvl="5" w:tplc="04050005" w:tentative="1">
      <w:start w:val="1"/>
      <w:numFmt w:val="bullet"/>
      <w:lvlText w:val=""/>
      <w:lvlJc w:val="left"/>
      <w:pPr>
        <w:ind w:left="5720" w:hanging="360"/>
      </w:pPr>
      <w:rPr>
        <w:rFonts w:ascii="Wingdings" w:hAnsi="Wingdings" w:hint="default"/>
      </w:rPr>
    </w:lvl>
    <w:lvl w:ilvl="6" w:tplc="04050001" w:tentative="1">
      <w:start w:val="1"/>
      <w:numFmt w:val="bullet"/>
      <w:lvlText w:val=""/>
      <w:lvlJc w:val="left"/>
      <w:pPr>
        <w:ind w:left="6440" w:hanging="360"/>
      </w:pPr>
      <w:rPr>
        <w:rFonts w:ascii="Symbol" w:hAnsi="Symbol" w:hint="default"/>
      </w:rPr>
    </w:lvl>
    <w:lvl w:ilvl="7" w:tplc="04050003" w:tentative="1">
      <w:start w:val="1"/>
      <w:numFmt w:val="bullet"/>
      <w:lvlText w:val="o"/>
      <w:lvlJc w:val="left"/>
      <w:pPr>
        <w:ind w:left="7160" w:hanging="360"/>
      </w:pPr>
      <w:rPr>
        <w:rFonts w:ascii="Courier New" w:hAnsi="Courier New" w:cs="Courier New" w:hint="default"/>
      </w:rPr>
    </w:lvl>
    <w:lvl w:ilvl="8" w:tplc="04050005" w:tentative="1">
      <w:start w:val="1"/>
      <w:numFmt w:val="bullet"/>
      <w:lvlText w:val=""/>
      <w:lvlJc w:val="left"/>
      <w:pPr>
        <w:ind w:left="7880" w:hanging="360"/>
      </w:pPr>
      <w:rPr>
        <w:rFonts w:ascii="Wingdings" w:hAnsi="Wingdings" w:hint="default"/>
      </w:rPr>
    </w:lvl>
  </w:abstractNum>
  <w:abstractNum w:abstractNumId="2">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3">
    <w:nsid w:val="200D5DAE"/>
    <w:multiLevelType w:val="hybridMultilevel"/>
    <w:tmpl w:val="9B0A6094"/>
    <w:lvl w:ilvl="0" w:tplc="E9CA80BE">
      <w:start w:val="1"/>
      <w:numFmt w:val="bullet"/>
      <w:lvlText w:val="-"/>
      <w:lvlJc w:val="left"/>
      <w:pPr>
        <w:ind w:left="408" w:hanging="360"/>
      </w:pPr>
      <w:rPr>
        <w:rFonts w:ascii="Times New Roman" w:eastAsia="Times New Roman" w:hAnsi="Times New Roman" w:cs="Times New Roman" w:hint="default"/>
      </w:rPr>
    </w:lvl>
    <w:lvl w:ilvl="1" w:tplc="04050003" w:tentative="1">
      <w:start w:val="1"/>
      <w:numFmt w:val="bullet"/>
      <w:lvlText w:val="o"/>
      <w:lvlJc w:val="left"/>
      <w:pPr>
        <w:ind w:left="1128" w:hanging="360"/>
      </w:pPr>
      <w:rPr>
        <w:rFonts w:ascii="Courier New" w:hAnsi="Courier New" w:cs="Courier New" w:hint="default"/>
      </w:rPr>
    </w:lvl>
    <w:lvl w:ilvl="2" w:tplc="04050005" w:tentative="1">
      <w:start w:val="1"/>
      <w:numFmt w:val="bullet"/>
      <w:lvlText w:val=""/>
      <w:lvlJc w:val="left"/>
      <w:pPr>
        <w:ind w:left="1848" w:hanging="360"/>
      </w:pPr>
      <w:rPr>
        <w:rFonts w:ascii="Wingdings" w:hAnsi="Wingdings" w:hint="default"/>
      </w:rPr>
    </w:lvl>
    <w:lvl w:ilvl="3" w:tplc="04050001" w:tentative="1">
      <w:start w:val="1"/>
      <w:numFmt w:val="bullet"/>
      <w:lvlText w:val=""/>
      <w:lvlJc w:val="left"/>
      <w:pPr>
        <w:ind w:left="2568" w:hanging="360"/>
      </w:pPr>
      <w:rPr>
        <w:rFonts w:ascii="Symbol" w:hAnsi="Symbol" w:hint="default"/>
      </w:rPr>
    </w:lvl>
    <w:lvl w:ilvl="4" w:tplc="04050003" w:tentative="1">
      <w:start w:val="1"/>
      <w:numFmt w:val="bullet"/>
      <w:lvlText w:val="o"/>
      <w:lvlJc w:val="left"/>
      <w:pPr>
        <w:ind w:left="3288" w:hanging="360"/>
      </w:pPr>
      <w:rPr>
        <w:rFonts w:ascii="Courier New" w:hAnsi="Courier New" w:cs="Courier New" w:hint="default"/>
      </w:rPr>
    </w:lvl>
    <w:lvl w:ilvl="5" w:tplc="04050005" w:tentative="1">
      <w:start w:val="1"/>
      <w:numFmt w:val="bullet"/>
      <w:lvlText w:val=""/>
      <w:lvlJc w:val="left"/>
      <w:pPr>
        <w:ind w:left="4008" w:hanging="360"/>
      </w:pPr>
      <w:rPr>
        <w:rFonts w:ascii="Wingdings" w:hAnsi="Wingdings" w:hint="default"/>
      </w:rPr>
    </w:lvl>
    <w:lvl w:ilvl="6" w:tplc="04050001" w:tentative="1">
      <w:start w:val="1"/>
      <w:numFmt w:val="bullet"/>
      <w:lvlText w:val=""/>
      <w:lvlJc w:val="left"/>
      <w:pPr>
        <w:ind w:left="4728" w:hanging="360"/>
      </w:pPr>
      <w:rPr>
        <w:rFonts w:ascii="Symbol" w:hAnsi="Symbol" w:hint="default"/>
      </w:rPr>
    </w:lvl>
    <w:lvl w:ilvl="7" w:tplc="04050003" w:tentative="1">
      <w:start w:val="1"/>
      <w:numFmt w:val="bullet"/>
      <w:lvlText w:val="o"/>
      <w:lvlJc w:val="left"/>
      <w:pPr>
        <w:ind w:left="5448" w:hanging="360"/>
      </w:pPr>
      <w:rPr>
        <w:rFonts w:ascii="Courier New" w:hAnsi="Courier New" w:cs="Courier New" w:hint="default"/>
      </w:rPr>
    </w:lvl>
    <w:lvl w:ilvl="8" w:tplc="04050005" w:tentative="1">
      <w:start w:val="1"/>
      <w:numFmt w:val="bullet"/>
      <w:lvlText w:val=""/>
      <w:lvlJc w:val="left"/>
      <w:pPr>
        <w:ind w:left="6168" w:hanging="360"/>
      </w:pPr>
      <w:rPr>
        <w:rFonts w:ascii="Wingdings" w:hAnsi="Wingdings" w:hint="default"/>
      </w:rPr>
    </w:lvl>
  </w:abstractNum>
  <w:abstractNum w:abstractNumId="4">
    <w:nsid w:val="258E7B74"/>
    <w:multiLevelType w:val="hybridMultilevel"/>
    <w:tmpl w:val="D1228E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2AAF37A2"/>
    <w:multiLevelType w:val="hybridMultilevel"/>
    <w:tmpl w:val="EB8E6B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F2727B5"/>
    <w:multiLevelType w:val="hybridMultilevel"/>
    <w:tmpl w:val="2004B32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1E8300D"/>
    <w:multiLevelType w:val="hybridMultilevel"/>
    <w:tmpl w:val="4A7CF9C0"/>
    <w:lvl w:ilvl="0" w:tplc="CE5C2BD8">
      <w:start w:val="1"/>
      <w:numFmt w:val="bullet"/>
      <w:pStyle w:val="Odrka5"/>
      <w:lvlText w:val=""/>
      <w:lvlJc w:val="left"/>
      <w:pPr>
        <w:ind w:left="1381"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8">
    <w:nsid w:val="4FBA54EF"/>
    <w:multiLevelType w:val="hybridMultilevel"/>
    <w:tmpl w:val="1C707DB2"/>
    <w:lvl w:ilvl="0" w:tplc="D2D0FFEC">
      <w:start w:val="1"/>
      <w:numFmt w:val="decimal"/>
      <w:pStyle w:val="Nadpis9"/>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4FF7056C"/>
    <w:multiLevelType w:val="hybridMultilevel"/>
    <w:tmpl w:val="2A686656"/>
    <w:lvl w:ilvl="0" w:tplc="01461CF4">
      <w:start w:val="26"/>
      <w:numFmt w:val="bullet"/>
      <w:lvlText w:val=""/>
      <w:lvlJc w:val="left"/>
      <w:pPr>
        <w:ind w:left="720" w:hanging="360"/>
      </w:pPr>
      <w:rPr>
        <w:rFonts w:ascii="Symbol" w:eastAsia="Times New Roman"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18A6B26"/>
    <w:multiLevelType w:val="hybridMultilevel"/>
    <w:tmpl w:val="D3B09364"/>
    <w:lvl w:ilvl="0" w:tplc="AA003F68">
      <w:start w:val="1"/>
      <w:numFmt w:val="decimal"/>
      <w:pStyle w:val="Nadpis8"/>
      <w:lvlText w:val="2.%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24F6AD3"/>
    <w:multiLevelType w:val="hybridMultilevel"/>
    <w:tmpl w:val="375293FE"/>
    <w:lvl w:ilvl="0" w:tplc="448880DE">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52B6462E"/>
    <w:multiLevelType w:val="multilevel"/>
    <w:tmpl w:val="9E025F20"/>
    <w:lvl w:ilvl="0">
      <w:start w:val="1"/>
      <w:numFmt w:val="decimal"/>
      <w:pStyle w:val="Textodstavce"/>
      <w:isLgl/>
      <w:lvlText w:val="(%1)"/>
      <w:lvlJc w:val="left"/>
      <w:pPr>
        <w:tabs>
          <w:tab w:val="num" w:pos="785"/>
        </w:tabs>
        <w:ind w:firstLine="425"/>
      </w:pPr>
      <w:rPr>
        <w:rFonts w:hint="default"/>
      </w:rPr>
    </w:lvl>
    <w:lvl w:ilvl="1">
      <w:start w:val="1"/>
      <w:numFmt w:val="lowerLetter"/>
      <w:pStyle w:val="Textpsmene"/>
      <w:lvlText w:val="%2)"/>
      <w:lvlJc w:val="left"/>
      <w:pPr>
        <w:tabs>
          <w:tab w:val="num" w:pos="425"/>
        </w:tabs>
        <w:ind w:left="425" w:hanging="425"/>
      </w:pPr>
      <w:rPr>
        <w:rFonts w:hint="default"/>
      </w:rPr>
    </w:lvl>
    <w:lvl w:ilvl="2">
      <w:start w:val="1"/>
      <w:numFmt w:val="decimal"/>
      <w:pStyle w:val="Textbodu"/>
      <w:isLgl/>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5F797848"/>
    <w:multiLevelType w:val="hybridMultilevel"/>
    <w:tmpl w:val="895E6DF4"/>
    <w:lvl w:ilvl="0" w:tplc="0680E0DA">
      <w:start w:val="1"/>
      <w:numFmt w:val="decimal"/>
      <w:pStyle w:val="Nadpis7"/>
      <w:lvlText w:val="2.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3D0727D"/>
    <w:multiLevelType w:val="hybridMultilevel"/>
    <w:tmpl w:val="3DEE4B6E"/>
    <w:lvl w:ilvl="0" w:tplc="B3A2C594">
      <w:start w:val="1"/>
      <w:numFmt w:val="bullet"/>
      <w:pStyle w:val="Odrka3"/>
      <w:lvlText w:val="□"/>
      <w:lvlJc w:val="left"/>
      <w:pPr>
        <w:ind w:left="1381" w:hanging="360"/>
      </w:pPr>
      <w:rPr>
        <w:rFonts w:ascii="Calibri" w:hAnsi="Calibri"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nsid w:val="655E2316"/>
    <w:multiLevelType w:val="hybridMultilevel"/>
    <w:tmpl w:val="D61EE7AE"/>
    <w:lvl w:ilvl="0" w:tplc="C4F0B72E">
      <w:start w:val="1"/>
      <w:numFmt w:val="bullet"/>
      <w:pStyle w:val="Odrka4"/>
      <w:lvlText w:val=""/>
      <w:lvlJc w:val="left"/>
      <w:pPr>
        <w:ind w:left="1381"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65E26814"/>
    <w:multiLevelType w:val="hybridMultilevel"/>
    <w:tmpl w:val="29725B18"/>
    <w:lvl w:ilvl="0" w:tplc="D63C6AD6">
      <w:start w:val="1"/>
      <w:numFmt w:val="bullet"/>
      <w:pStyle w:val="Odrka1-"/>
      <w:lvlText w:val="-"/>
      <w:lvlJc w:val="left"/>
      <w:pPr>
        <w:ind w:left="36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8ED25A0"/>
    <w:multiLevelType w:val="hybridMultilevel"/>
    <w:tmpl w:val="5AFA97A6"/>
    <w:lvl w:ilvl="0" w:tplc="3B5CCCC6">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9742B48"/>
    <w:multiLevelType w:val="hybridMultilevel"/>
    <w:tmpl w:val="68C24DE4"/>
    <w:lvl w:ilvl="0" w:tplc="A3F4522C">
      <w:start w:val="2"/>
      <w:numFmt w:val="bullet"/>
      <w:pStyle w:val="Odrka-"/>
      <w:lvlText w:val="-"/>
      <w:lvlJc w:val="left"/>
      <w:pPr>
        <w:ind w:left="1400" w:hanging="360"/>
      </w:pPr>
      <w:rPr>
        <w:rFonts w:ascii="Times New Roman" w:eastAsia="Times New Roman" w:hAnsi="Times New Roman" w:cs="Times New Roman"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num w:numId="1">
    <w:abstractNumId w:val="11"/>
  </w:num>
  <w:num w:numId="2">
    <w:abstractNumId w:val="12"/>
  </w:num>
  <w:num w:numId="3">
    <w:abstractNumId w:val="2"/>
  </w:num>
  <w:num w:numId="4">
    <w:abstractNumId w:val="12"/>
  </w:num>
  <w:num w:numId="5">
    <w:abstractNumId w:val="12"/>
  </w:num>
  <w:num w:numId="6">
    <w:abstractNumId w:val="1"/>
  </w:num>
  <w:num w:numId="7">
    <w:abstractNumId w:val="14"/>
  </w:num>
  <w:num w:numId="8">
    <w:abstractNumId w:val="15"/>
  </w:num>
  <w:num w:numId="9">
    <w:abstractNumId w:val="7"/>
  </w:num>
  <w:num w:numId="10">
    <w:abstractNumId w:val="16"/>
  </w:num>
  <w:num w:numId="11">
    <w:abstractNumId w:val="13"/>
  </w:num>
  <w:num w:numId="12">
    <w:abstractNumId w:val="10"/>
  </w:num>
  <w:num w:numId="13">
    <w:abstractNumId w:val="8"/>
  </w:num>
  <w:num w:numId="14">
    <w:abstractNumId w:val="12"/>
  </w:num>
  <w:num w:numId="15">
    <w:abstractNumId w:val="2"/>
  </w:num>
  <w:num w:numId="16">
    <w:abstractNumId w:val="12"/>
  </w:num>
  <w:num w:numId="17">
    <w:abstractNumId w:val="12"/>
  </w:num>
  <w:num w:numId="18">
    <w:abstractNumId w:val="18"/>
  </w:num>
  <w:num w:numId="19">
    <w:abstractNumId w:val="1"/>
  </w:num>
  <w:num w:numId="20">
    <w:abstractNumId w:val="14"/>
  </w:num>
  <w:num w:numId="21">
    <w:abstractNumId w:val="15"/>
  </w:num>
  <w:num w:numId="22">
    <w:abstractNumId w:val="7"/>
  </w:num>
  <w:num w:numId="23">
    <w:abstractNumId w:val="16"/>
  </w:num>
  <w:num w:numId="24">
    <w:abstractNumId w:val="0"/>
  </w:num>
  <w:num w:numId="25">
    <w:abstractNumId w:val="17"/>
  </w:num>
  <w:num w:numId="26">
    <w:abstractNumId w:val="6"/>
  </w:num>
  <w:num w:numId="27">
    <w:abstractNumId w:val="4"/>
  </w:num>
  <w:num w:numId="28">
    <w:abstractNumId w:val="3"/>
  </w:num>
  <w:num w:numId="29">
    <w:abstractNumId w:val="5"/>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2C5"/>
    <w:rsid w:val="000029BD"/>
    <w:rsid w:val="00002DBE"/>
    <w:rsid w:val="00032AAA"/>
    <w:rsid w:val="0004245B"/>
    <w:rsid w:val="0005178F"/>
    <w:rsid w:val="0005662B"/>
    <w:rsid w:val="00065289"/>
    <w:rsid w:val="00096F2F"/>
    <w:rsid w:val="000A69DE"/>
    <w:rsid w:val="000B7BB7"/>
    <w:rsid w:val="000C5312"/>
    <w:rsid w:val="000F0565"/>
    <w:rsid w:val="000F0945"/>
    <w:rsid w:val="0010270A"/>
    <w:rsid w:val="00105BE5"/>
    <w:rsid w:val="001130F0"/>
    <w:rsid w:val="00126163"/>
    <w:rsid w:val="00127988"/>
    <w:rsid w:val="0018459D"/>
    <w:rsid w:val="001845D5"/>
    <w:rsid w:val="001A0332"/>
    <w:rsid w:val="001A1BDF"/>
    <w:rsid w:val="001A32CE"/>
    <w:rsid w:val="001B09DB"/>
    <w:rsid w:val="001B2134"/>
    <w:rsid w:val="001D2362"/>
    <w:rsid w:val="001D644D"/>
    <w:rsid w:val="001E0727"/>
    <w:rsid w:val="001E1442"/>
    <w:rsid w:val="001F0D08"/>
    <w:rsid w:val="002115AD"/>
    <w:rsid w:val="00226D21"/>
    <w:rsid w:val="00235AE1"/>
    <w:rsid w:val="00264D03"/>
    <w:rsid w:val="00265E04"/>
    <w:rsid w:val="0027277C"/>
    <w:rsid w:val="002756BB"/>
    <w:rsid w:val="00277E3D"/>
    <w:rsid w:val="002943A0"/>
    <w:rsid w:val="00294C01"/>
    <w:rsid w:val="002A102B"/>
    <w:rsid w:val="002B4A3E"/>
    <w:rsid w:val="002C1F67"/>
    <w:rsid w:val="002C69A4"/>
    <w:rsid w:val="002D1400"/>
    <w:rsid w:val="002F5FAE"/>
    <w:rsid w:val="00305B35"/>
    <w:rsid w:val="00331EDE"/>
    <w:rsid w:val="003637D7"/>
    <w:rsid w:val="003655CF"/>
    <w:rsid w:val="003667C0"/>
    <w:rsid w:val="00387AC5"/>
    <w:rsid w:val="00393A32"/>
    <w:rsid w:val="003D23FC"/>
    <w:rsid w:val="003F667A"/>
    <w:rsid w:val="0040675F"/>
    <w:rsid w:val="0042041D"/>
    <w:rsid w:val="00430D8C"/>
    <w:rsid w:val="00431B1E"/>
    <w:rsid w:val="00434C72"/>
    <w:rsid w:val="00442F7C"/>
    <w:rsid w:val="004576FD"/>
    <w:rsid w:val="004A7725"/>
    <w:rsid w:val="004C2942"/>
    <w:rsid w:val="004C4832"/>
    <w:rsid w:val="004C5AA6"/>
    <w:rsid w:val="004D6F6B"/>
    <w:rsid w:val="004E184D"/>
    <w:rsid w:val="004F5FFE"/>
    <w:rsid w:val="00500997"/>
    <w:rsid w:val="0052281E"/>
    <w:rsid w:val="00526313"/>
    <w:rsid w:val="00565A19"/>
    <w:rsid w:val="00574E8E"/>
    <w:rsid w:val="005811DE"/>
    <w:rsid w:val="0058175F"/>
    <w:rsid w:val="00582582"/>
    <w:rsid w:val="00595603"/>
    <w:rsid w:val="005A3CF5"/>
    <w:rsid w:val="005A4327"/>
    <w:rsid w:val="005D613D"/>
    <w:rsid w:val="005E60A5"/>
    <w:rsid w:val="005F27AE"/>
    <w:rsid w:val="006025C6"/>
    <w:rsid w:val="00602BAC"/>
    <w:rsid w:val="00605293"/>
    <w:rsid w:val="00645E74"/>
    <w:rsid w:val="00685F58"/>
    <w:rsid w:val="00686EA8"/>
    <w:rsid w:val="006E133D"/>
    <w:rsid w:val="00700F66"/>
    <w:rsid w:val="007011BD"/>
    <w:rsid w:val="00725030"/>
    <w:rsid w:val="00736743"/>
    <w:rsid w:val="00737A93"/>
    <w:rsid w:val="00742563"/>
    <w:rsid w:val="0075385C"/>
    <w:rsid w:val="0077049B"/>
    <w:rsid w:val="007717F6"/>
    <w:rsid w:val="00774A9C"/>
    <w:rsid w:val="007A62D7"/>
    <w:rsid w:val="007B6BF4"/>
    <w:rsid w:val="007F630B"/>
    <w:rsid w:val="00807A9D"/>
    <w:rsid w:val="0081225A"/>
    <w:rsid w:val="0081392A"/>
    <w:rsid w:val="008146D9"/>
    <w:rsid w:val="008272A7"/>
    <w:rsid w:val="00831093"/>
    <w:rsid w:val="00832AA1"/>
    <w:rsid w:val="008353DD"/>
    <w:rsid w:val="00843B52"/>
    <w:rsid w:val="0084484B"/>
    <w:rsid w:val="00846479"/>
    <w:rsid w:val="00860A4E"/>
    <w:rsid w:val="00880FC8"/>
    <w:rsid w:val="00881F7F"/>
    <w:rsid w:val="008925AD"/>
    <w:rsid w:val="008C655F"/>
    <w:rsid w:val="008E1782"/>
    <w:rsid w:val="00907110"/>
    <w:rsid w:val="009360DE"/>
    <w:rsid w:val="009372B3"/>
    <w:rsid w:val="00941CD4"/>
    <w:rsid w:val="00967412"/>
    <w:rsid w:val="009827D4"/>
    <w:rsid w:val="009A4FCE"/>
    <w:rsid w:val="009C14B4"/>
    <w:rsid w:val="009E437E"/>
    <w:rsid w:val="00A0019C"/>
    <w:rsid w:val="00A02D48"/>
    <w:rsid w:val="00A15CF8"/>
    <w:rsid w:val="00A1641A"/>
    <w:rsid w:val="00A431A3"/>
    <w:rsid w:val="00A479A1"/>
    <w:rsid w:val="00A648F3"/>
    <w:rsid w:val="00A74241"/>
    <w:rsid w:val="00A7545D"/>
    <w:rsid w:val="00AA442B"/>
    <w:rsid w:val="00AA5954"/>
    <w:rsid w:val="00AB54F2"/>
    <w:rsid w:val="00AD65D3"/>
    <w:rsid w:val="00AE72C5"/>
    <w:rsid w:val="00AF2EA4"/>
    <w:rsid w:val="00AF6EBB"/>
    <w:rsid w:val="00B03AA4"/>
    <w:rsid w:val="00B07516"/>
    <w:rsid w:val="00B106E8"/>
    <w:rsid w:val="00B2011D"/>
    <w:rsid w:val="00B31B5B"/>
    <w:rsid w:val="00B41674"/>
    <w:rsid w:val="00B47E10"/>
    <w:rsid w:val="00B60CB0"/>
    <w:rsid w:val="00BB0823"/>
    <w:rsid w:val="00BD1371"/>
    <w:rsid w:val="00BD5279"/>
    <w:rsid w:val="00C12385"/>
    <w:rsid w:val="00C16A94"/>
    <w:rsid w:val="00C217DD"/>
    <w:rsid w:val="00C326E0"/>
    <w:rsid w:val="00C32A6C"/>
    <w:rsid w:val="00C43F6D"/>
    <w:rsid w:val="00C56390"/>
    <w:rsid w:val="00C7436D"/>
    <w:rsid w:val="00C74456"/>
    <w:rsid w:val="00C758C7"/>
    <w:rsid w:val="00C84C5D"/>
    <w:rsid w:val="00C92258"/>
    <w:rsid w:val="00CA34E6"/>
    <w:rsid w:val="00CB06C9"/>
    <w:rsid w:val="00CB0855"/>
    <w:rsid w:val="00CC6243"/>
    <w:rsid w:val="00CD4D4F"/>
    <w:rsid w:val="00CF0B96"/>
    <w:rsid w:val="00CF2B45"/>
    <w:rsid w:val="00D03FD2"/>
    <w:rsid w:val="00D05440"/>
    <w:rsid w:val="00D073ED"/>
    <w:rsid w:val="00D2753C"/>
    <w:rsid w:val="00D30741"/>
    <w:rsid w:val="00D34EB8"/>
    <w:rsid w:val="00D46201"/>
    <w:rsid w:val="00D47756"/>
    <w:rsid w:val="00D716DD"/>
    <w:rsid w:val="00D86ABC"/>
    <w:rsid w:val="00D91E66"/>
    <w:rsid w:val="00DA6654"/>
    <w:rsid w:val="00DA7033"/>
    <w:rsid w:val="00DC0A54"/>
    <w:rsid w:val="00DC1DD8"/>
    <w:rsid w:val="00DC46CE"/>
    <w:rsid w:val="00DC7C3B"/>
    <w:rsid w:val="00DD09BE"/>
    <w:rsid w:val="00DD26D3"/>
    <w:rsid w:val="00DD5EE9"/>
    <w:rsid w:val="00E05352"/>
    <w:rsid w:val="00E0680E"/>
    <w:rsid w:val="00E13EE3"/>
    <w:rsid w:val="00E20092"/>
    <w:rsid w:val="00E23374"/>
    <w:rsid w:val="00E367C4"/>
    <w:rsid w:val="00E42722"/>
    <w:rsid w:val="00E43C3D"/>
    <w:rsid w:val="00E46CFF"/>
    <w:rsid w:val="00E5488B"/>
    <w:rsid w:val="00E64B9D"/>
    <w:rsid w:val="00E71CB7"/>
    <w:rsid w:val="00EA4306"/>
    <w:rsid w:val="00EA4D7A"/>
    <w:rsid w:val="00EA5BB7"/>
    <w:rsid w:val="00EB4719"/>
    <w:rsid w:val="00EC3BBE"/>
    <w:rsid w:val="00ED2D8F"/>
    <w:rsid w:val="00ED4177"/>
    <w:rsid w:val="00ED4A73"/>
    <w:rsid w:val="00EE0BD7"/>
    <w:rsid w:val="00EE2A12"/>
    <w:rsid w:val="00EE4DF1"/>
    <w:rsid w:val="00F0067F"/>
    <w:rsid w:val="00F104BE"/>
    <w:rsid w:val="00F2309E"/>
    <w:rsid w:val="00F34368"/>
    <w:rsid w:val="00F4119B"/>
    <w:rsid w:val="00F50D2F"/>
    <w:rsid w:val="00F5429E"/>
    <w:rsid w:val="00F74C5F"/>
    <w:rsid w:val="00F85255"/>
    <w:rsid w:val="00F87C29"/>
    <w:rsid w:val="00F9010E"/>
    <w:rsid w:val="00FA0F95"/>
    <w:rsid w:val="00FB0B08"/>
    <w:rsid w:val="00FB2697"/>
    <w:rsid w:val="00FC3F80"/>
    <w:rsid w:val="00FC67AF"/>
    <w:rsid w:val="00FD3750"/>
    <w:rsid w:val="00FF42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A69DE"/>
    <w:pPr>
      <w:spacing w:after="200" w:line="276" w:lineRule="auto"/>
    </w:pPr>
    <w:rPr>
      <w:rFonts w:cstheme="minorBidi"/>
      <w:sz w:val="24"/>
      <w:szCs w:val="22"/>
    </w:rPr>
  </w:style>
  <w:style w:type="paragraph" w:styleId="Nadpis1">
    <w:name w:val="heading 1"/>
    <w:basedOn w:val="Normln"/>
    <w:next w:val="Normln"/>
    <w:link w:val="Nadpis1Char"/>
    <w:uiPriority w:val="99"/>
    <w:qFormat/>
    <w:rsid w:val="009372B3"/>
    <w:pPr>
      <w:keepNext/>
      <w:spacing w:before="240" w:after="60"/>
      <w:outlineLvl w:val="0"/>
    </w:pPr>
    <w:rPr>
      <w:rFonts w:ascii="Cambria" w:eastAsia="Times New Roman" w:hAnsi="Cambria"/>
      <w:b/>
      <w:bCs/>
      <w:kern w:val="32"/>
      <w:sz w:val="32"/>
      <w:szCs w:val="32"/>
      <w:lang w:val="x-none" w:eastAsia="x-none"/>
    </w:rPr>
  </w:style>
  <w:style w:type="paragraph" w:styleId="Nadpis2">
    <w:name w:val="heading 2"/>
    <w:basedOn w:val="Normln"/>
    <w:next w:val="Normln"/>
    <w:link w:val="Nadpis2Char"/>
    <w:uiPriority w:val="9"/>
    <w:unhideWhenUsed/>
    <w:qFormat/>
    <w:rsid w:val="009372B3"/>
    <w:pPr>
      <w:keepNext/>
      <w:shd w:val="clear" w:color="auto" w:fill="FFFFFF"/>
      <w:spacing w:before="240" w:after="60"/>
      <w:outlineLvl w:val="1"/>
    </w:pPr>
    <w:rPr>
      <w:rFonts w:ascii="Cambria" w:eastAsia="Times New Roman" w:hAnsi="Cambria"/>
      <w:b/>
      <w:bCs/>
      <w:iCs/>
      <w:caps/>
      <w:szCs w:val="28"/>
    </w:rPr>
  </w:style>
  <w:style w:type="paragraph" w:styleId="Nadpis3">
    <w:name w:val="heading 3"/>
    <w:basedOn w:val="Normln"/>
    <w:next w:val="Normln"/>
    <w:link w:val="Nadpis3Char"/>
    <w:uiPriority w:val="9"/>
    <w:unhideWhenUsed/>
    <w:qFormat/>
    <w:rsid w:val="009372B3"/>
    <w:pPr>
      <w:keepNext/>
      <w:pBdr>
        <w:top w:val="single" w:sz="4" w:space="1" w:color="auto"/>
        <w:bottom w:val="single" w:sz="4" w:space="1" w:color="auto"/>
      </w:pBdr>
      <w:spacing w:before="240" w:after="60"/>
      <w:ind w:left="680"/>
      <w:outlineLvl w:val="2"/>
    </w:pPr>
    <w:rPr>
      <w:rFonts w:eastAsiaTheme="majorEastAsia" w:cstheme="majorBidi"/>
      <w:bCs/>
      <w:szCs w:val="26"/>
    </w:rPr>
  </w:style>
  <w:style w:type="paragraph" w:styleId="Nadpis4">
    <w:name w:val="heading 4"/>
    <w:basedOn w:val="Normln"/>
    <w:next w:val="Normln"/>
    <w:link w:val="Nadpis4Char"/>
    <w:uiPriority w:val="9"/>
    <w:unhideWhenUsed/>
    <w:qFormat/>
    <w:rsid w:val="009372B3"/>
    <w:pPr>
      <w:keepNext/>
      <w:spacing w:before="240" w:after="60"/>
      <w:ind w:left="680"/>
      <w:outlineLvl w:val="3"/>
    </w:pPr>
    <w:rPr>
      <w:rFonts w:ascii="Arial" w:eastAsia="Times New Roman" w:hAnsi="Arial"/>
      <w:b/>
      <w:bCs/>
      <w:szCs w:val="28"/>
    </w:rPr>
  </w:style>
  <w:style w:type="paragraph" w:styleId="Nadpis5">
    <w:name w:val="heading 5"/>
    <w:basedOn w:val="Normln"/>
    <w:next w:val="Normln"/>
    <w:link w:val="Nadpis5Char"/>
    <w:uiPriority w:val="99"/>
    <w:qFormat/>
    <w:rsid w:val="009372B3"/>
    <w:pPr>
      <w:spacing w:before="240" w:after="60"/>
      <w:outlineLvl w:val="4"/>
    </w:pPr>
    <w:rPr>
      <w:rFonts w:eastAsia="Times New Roman"/>
      <w:b/>
      <w:bCs/>
      <w:i/>
      <w:iCs/>
      <w:sz w:val="26"/>
      <w:szCs w:val="26"/>
      <w:lang w:val="x-none" w:eastAsia="x-none"/>
    </w:rPr>
  </w:style>
  <w:style w:type="paragraph" w:styleId="Nadpis6">
    <w:name w:val="heading 6"/>
    <w:basedOn w:val="Normln"/>
    <w:next w:val="Normln"/>
    <w:link w:val="Nadpis6Char"/>
    <w:uiPriority w:val="9"/>
    <w:unhideWhenUsed/>
    <w:qFormat/>
    <w:rsid w:val="009372B3"/>
    <w:pPr>
      <w:spacing w:before="240" w:after="60"/>
      <w:outlineLvl w:val="5"/>
    </w:pPr>
    <w:rPr>
      <w:rFonts w:ascii="Arial" w:eastAsia="Times New Roman" w:hAnsi="Arial"/>
      <w:b/>
      <w:bCs/>
      <w:sz w:val="22"/>
    </w:rPr>
  </w:style>
  <w:style w:type="paragraph" w:styleId="Nadpis7">
    <w:name w:val="heading 7"/>
    <w:basedOn w:val="Normln"/>
    <w:next w:val="Normln"/>
    <w:link w:val="Nadpis7Char"/>
    <w:uiPriority w:val="9"/>
    <w:unhideWhenUsed/>
    <w:qFormat/>
    <w:rsid w:val="009372B3"/>
    <w:pPr>
      <w:numPr>
        <w:numId w:val="11"/>
      </w:numPr>
      <w:spacing w:before="240" w:after="120"/>
      <w:outlineLvl w:val="6"/>
    </w:pPr>
    <w:rPr>
      <w:rFonts w:eastAsia="Times New Roman"/>
      <w:b/>
      <w:color w:val="000000"/>
      <w:szCs w:val="24"/>
    </w:rPr>
  </w:style>
  <w:style w:type="paragraph" w:styleId="Nadpis8">
    <w:name w:val="heading 8"/>
    <w:basedOn w:val="Normln"/>
    <w:next w:val="Normln"/>
    <w:link w:val="Nadpis8Char"/>
    <w:uiPriority w:val="9"/>
    <w:unhideWhenUsed/>
    <w:qFormat/>
    <w:rsid w:val="009372B3"/>
    <w:pPr>
      <w:numPr>
        <w:numId w:val="12"/>
      </w:numPr>
      <w:spacing w:before="240" w:after="60"/>
      <w:outlineLvl w:val="7"/>
    </w:pPr>
    <w:rPr>
      <w:rFonts w:eastAsia="Times New Roman"/>
      <w:b/>
      <w:iCs/>
      <w:szCs w:val="24"/>
    </w:rPr>
  </w:style>
  <w:style w:type="paragraph" w:styleId="Nadpis9">
    <w:name w:val="heading 9"/>
    <w:basedOn w:val="Normln"/>
    <w:next w:val="Normln"/>
    <w:link w:val="Nadpis9Char"/>
    <w:uiPriority w:val="9"/>
    <w:unhideWhenUsed/>
    <w:qFormat/>
    <w:rsid w:val="009372B3"/>
    <w:pPr>
      <w:numPr>
        <w:numId w:val="13"/>
      </w:numPr>
      <w:spacing w:before="240" w:after="60"/>
      <w:outlineLvl w:val="8"/>
    </w:pPr>
    <w:rPr>
      <w:rFonts w:eastAsia="Times New Roman"/>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 1"/>
    <w:basedOn w:val="Normln"/>
    <w:autoRedefine/>
    <w:qFormat/>
    <w:rsid w:val="00E05352"/>
    <w:pPr>
      <w:pBdr>
        <w:top w:val="single" w:sz="4" w:space="1" w:color="auto"/>
        <w:bottom w:val="single" w:sz="4" w:space="1" w:color="auto"/>
      </w:pBdr>
      <w:shd w:val="clear" w:color="auto" w:fill="BFBFBF" w:themeFill="background1" w:themeFillShade="BF"/>
      <w:spacing w:before="240"/>
    </w:pPr>
    <w:rPr>
      <w:rFonts w:eastAsia="Times New Roman"/>
      <w:b/>
      <w:lang w:eastAsia="cs-CZ"/>
    </w:rPr>
  </w:style>
  <w:style w:type="paragraph" w:customStyle="1" w:styleId="Odrka-">
    <w:name w:val="Odrážka -"/>
    <w:basedOn w:val="Normln"/>
    <w:qFormat/>
    <w:rsid w:val="009372B3"/>
    <w:pPr>
      <w:numPr>
        <w:numId w:val="18"/>
      </w:numPr>
      <w:spacing w:line="280" w:lineRule="exact"/>
    </w:pPr>
    <w:rPr>
      <w:rFonts w:eastAsia="Times New Roman"/>
    </w:rPr>
  </w:style>
  <w:style w:type="character" w:customStyle="1" w:styleId="Nadpis3Char">
    <w:name w:val="Nadpis 3 Char"/>
    <w:link w:val="Nadpis3"/>
    <w:uiPriority w:val="9"/>
    <w:rsid w:val="009372B3"/>
    <w:rPr>
      <w:rFonts w:ascii="Times New Roman" w:eastAsiaTheme="majorEastAsia" w:hAnsi="Times New Roman" w:cstheme="majorBidi"/>
      <w:bCs/>
      <w:sz w:val="24"/>
      <w:szCs w:val="26"/>
      <w:lang w:eastAsia="cs-CZ"/>
    </w:rPr>
  </w:style>
  <w:style w:type="paragraph" w:customStyle="1" w:styleId="Normln6">
    <w:name w:val="Normální 6"/>
    <w:basedOn w:val="Normln"/>
    <w:autoRedefine/>
    <w:qFormat/>
    <w:rsid w:val="00E05352"/>
    <w:pPr>
      <w:shd w:val="clear" w:color="auto" w:fill="FFFFFF" w:themeFill="background1"/>
      <w:spacing w:before="120"/>
    </w:pPr>
    <w:rPr>
      <w:rFonts w:eastAsia="Times New Roman"/>
      <w:lang w:eastAsia="cs-CZ"/>
    </w:rPr>
  </w:style>
  <w:style w:type="character" w:customStyle="1" w:styleId="Heading1Char">
    <w:name w:val="Heading 1 Char"/>
    <w:uiPriority w:val="99"/>
    <w:locked/>
    <w:rsid w:val="009372B3"/>
    <w:rPr>
      <w:rFonts w:ascii="Cambria" w:eastAsia="Times New Roman" w:hAnsi="Cambria" w:cs="Cambria"/>
      <w:b/>
      <w:bCs/>
      <w:kern w:val="32"/>
      <w:sz w:val="32"/>
      <w:szCs w:val="32"/>
    </w:rPr>
  </w:style>
  <w:style w:type="character" w:customStyle="1" w:styleId="Heading5Char">
    <w:name w:val="Heading 5 Char"/>
    <w:uiPriority w:val="99"/>
    <w:semiHidden/>
    <w:locked/>
    <w:rsid w:val="009372B3"/>
    <w:rPr>
      <w:rFonts w:ascii="Calibri" w:eastAsia="Times New Roman" w:hAnsi="Calibri" w:cs="Calibri"/>
      <w:b/>
      <w:bCs/>
      <w:i/>
      <w:iCs/>
      <w:sz w:val="26"/>
      <w:szCs w:val="26"/>
    </w:rPr>
  </w:style>
  <w:style w:type="character" w:customStyle="1" w:styleId="HeaderChar">
    <w:name w:val="Header Char"/>
    <w:uiPriority w:val="99"/>
    <w:semiHidden/>
    <w:locked/>
    <w:rsid w:val="009372B3"/>
    <w:rPr>
      <w:sz w:val="24"/>
      <w:szCs w:val="24"/>
    </w:rPr>
  </w:style>
  <w:style w:type="paragraph" w:customStyle="1" w:styleId="Textparagrafu">
    <w:name w:val="Text paragrafu"/>
    <w:basedOn w:val="Normln"/>
    <w:uiPriority w:val="99"/>
    <w:rsid w:val="009372B3"/>
    <w:pPr>
      <w:spacing w:before="240"/>
      <w:ind w:firstLine="425"/>
      <w:outlineLvl w:val="5"/>
    </w:pPr>
    <w:rPr>
      <w:rFonts w:eastAsia="Times New Roman"/>
    </w:rPr>
  </w:style>
  <w:style w:type="paragraph" w:customStyle="1" w:styleId="Paragraf">
    <w:name w:val="Paragraf"/>
    <w:basedOn w:val="Normln"/>
    <w:next w:val="Textodstavce"/>
    <w:uiPriority w:val="99"/>
    <w:rsid w:val="009372B3"/>
    <w:pPr>
      <w:keepNext/>
      <w:keepLines/>
      <w:spacing w:before="240"/>
      <w:jc w:val="center"/>
      <w:outlineLvl w:val="5"/>
    </w:pPr>
    <w:rPr>
      <w:rFonts w:eastAsia="Times New Roman"/>
    </w:rPr>
  </w:style>
  <w:style w:type="paragraph" w:customStyle="1" w:styleId="Textodstavce">
    <w:name w:val="Text odstavce"/>
    <w:basedOn w:val="Normln"/>
    <w:uiPriority w:val="99"/>
    <w:rsid w:val="009372B3"/>
    <w:pPr>
      <w:numPr>
        <w:numId w:val="17"/>
      </w:numPr>
      <w:tabs>
        <w:tab w:val="left" w:pos="851"/>
      </w:tabs>
      <w:spacing w:after="120"/>
      <w:outlineLvl w:val="6"/>
    </w:pPr>
    <w:rPr>
      <w:rFonts w:eastAsia="Times New Roman"/>
    </w:rPr>
  </w:style>
  <w:style w:type="paragraph" w:customStyle="1" w:styleId="Oddl">
    <w:name w:val="Oddíl"/>
    <w:basedOn w:val="Normln"/>
    <w:next w:val="Nadpisoddlu"/>
    <w:uiPriority w:val="99"/>
    <w:rsid w:val="009372B3"/>
    <w:pPr>
      <w:keepNext/>
      <w:keepLines/>
      <w:spacing w:before="240"/>
      <w:jc w:val="center"/>
      <w:outlineLvl w:val="4"/>
    </w:pPr>
    <w:rPr>
      <w:rFonts w:eastAsia="Times New Roman"/>
    </w:rPr>
  </w:style>
  <w:style w:type="paragraph" w:customStyle="1" w:styleId="Nadpisoddlu">
    <w:name w:val="Nadpis oddílu"/>
    <w:basedOn w:val="Normln"/>
    <w:next w:val="Paragraf"/>
    <w:uiPriority w:val="99"/>
    <w:rsid w:val="009372B3"/>
    <w:pPr>
      <w:keepNext/>
      <w:keepLines/>
      <w:jc w:val="center"/>
      <w:outlineLvl w:val="4"/>
    </w:pPr>
    <w:rPr>
      <w:rFonts w:eastAsia="Times New Roman"/>
      <w:b/>
      <w:bCs/>
    </w:rPr>
  </w:style>
  <w:style w:type="paragraph" w:customStyle="1" w:styleId="Dl">
    <w:name w:val="Díl"/>
    <w:basedOn w:val="Normln"/>
    <w:next w:val="Nadpisdlu"/>
    <w:uiPriority w:val="99"/>
    <w:rsid w:val="009372B3"/>
    <w:pPr>
      <w:keepNext/>
      <w:keepLines/>
      <w:spacing w:before="240"/>
      <w:jc w:val="center"/>
      <w:outlineLvl w:val="3"/>
    </w:pPr>
    <w:rPr>
      <w:rFonts w:eastAsia="Times New Roman"/>
    </w:rPr>
  </w:style>
  <w:style w:type="paragraph" w:customStyle="1" w:styleId="Nadpisdlu">
    <w:name w:val="Nadpis dílu"/>
    <w:basedOn w:val="Normln"/>
    <w:next w:val="Oddl"/>
    <w:uiPriority w:val="99"/>
    <w:rsid w:val="009372B3"/>
    <w:pPr>
      <w:keepNext/>
      <w:keepLines/>
      <w:jc w:val="center"/>
      <w:outlineLvl w:val="3"/>
    </w:pPr>
    <w:rPr>
      <w:rFonts w:eastAsia="Times New Roman"/>
      <w:b/>
      <w:bCs/>
    </w:rPr>
  </w:style>
  <w:style w:type="paragraph" w:customStyle="1" w:styleId="Hlava">
    <w:name w:val="Hlava"/>
    <w:basedOn w:val="Normln"/>
    <w:next w:val="Nadpishlavy"/>
    <w:uiPriority w:val="99"/>
    <w:rsid w:val="009372B3"/>
    <w:pPr>
      <w:keepNext/>
      <w:keepLines/>
      <w:spacing w:before="240"/>
      <w:jc w:val="center"/>
      <w:outlineLvl w:val="2"/>
    </w:pPr>
    <w:rPr>
      <w:rFonts w:eastAsia="Times New Roman"/>
    </w:rPr>
  </w:style>
  <w:style w:type="paragraph" w:customStyle="1" w:styleId="Nadpishlavy">
    <w:name w:val="Nadpis hlavy"/>
    <w:basedOn w:val="Normln"/>
    <w:next w:val="Dl"/>
    <w:uiPriority w:val="99"/>
    <w:rsid w:val="009372B3"/>
    <w:pPr>
      <w:keepNext/>
      <w:keepLines/>
      <w:jc w:val="center"/>
      <w:outlineLvl w:val="2"/>
    </w:pPr>
    <w:rPr>
      <w:rFonts w:eastAsia="Times New Roman"/>
      <w:b/>
      <w:bCs/>
    </w:rPr>
  </w:style>
  <w:style w:type="paragraph" w:customStyle="1" w:styleId="ST">
    <w:name w:val="ČÁST"/>
    <w:basedOn w:val="Normln"/>
    <w:next w:val="NADPISSTI"/>
    <w:uiPriority w:val="99"/>
    <w:rsid w:val="009372B3"/>
    <w:pPr>
      <w:keepNext/>
      <w:keepLines/>
      <w:spacing w:before="240" w:after="120"/>
      <w:jc w:val="center"/>
      <w:outlineLvl w:val="1"/>
    </w:pPr>
    <w:rPr>
      <w:rFonts w:eastAsia="Times New Roman"/>
      <w:caps/>
    </w:rPr>
  </w:style>
  <w:style w:type="paragraph" w:customStyle="1" w:styleId="NADPISSTI">
    <w:name w:val="NADPIS ČÁSTI"/>
    <w:basedOn w:val="Normln"/>
    <w:next w:val="Hlava"/>
    <w:uiPriority w:val="99"/>
    <w:rsid w:val="009372B3"/>
    <w:pPr>
      <w:keepNext/>
      <w:keepLines/>
      <w:jc w:val="center"/>
      <w:outlineLvl w:val="1"/>
    </w:pPr>
    <w:rPr>
      <w:rFonts w:eastAsia="Times New Roman"/>
      <w:b/>
      <w:bCs/>
      <w:caps/>
    </w:rPr>
  </w:style>
  <w:style w:type="paragraph" w:customStyle="1" w:styleId="Novelizanbod">
    <w:name w:val="Novelizační bod"/>
    <w:basedOn w:val="Normln"/>
    <w:next w:val="Normln"/>
    <w:uiPriority w:val="99"/>
    <w:rsid w:val="009372B3"/>
    <w:pPr>
      <w:keepNext/>
      <w:keepLines/>
      <w:numPr>
        <w:numId w:val="15"/>
      </w:numPr>
      <w:tabs>
        <w:tab w:val="left" w:pos="851"/>
      </w:tabs>
      <w:spacing w:before="480" w:after="120"/>
    </w:pPr>
    <w:rPr>
      <w:rFonts w:eastAsia="Times New Roman"/>
    </w:rPr>
  </w:style>
  <w:style w:type="paragraph" w:customStyle="1" w:styleId="nadpisvyhlky">
    <w:name w:val="nadpis vyhlášky"/>
    <w:basedOn w:val="Normln"/>
    <w:next w:val="Ministerstvo"/>
    <w:uiPriority w:val="99"/>
    <w:rsid w:val="009372B3"/>
    <w:pPr>
      <w:keepNext/>
      <w:keepLines/>
      <w:jc w:val="center"/>
      <w:outlineLvl w:val="0"/>
    </w:pPr>
    <w:rPr>
      <w:rFonts w:eastAsia="Times New Roman"/>
      <w:b/>
      <w:bCs/>
    </w:rPr>
  </w:style>
  <w:style w:type="paragraph" w:customStyle="1" w:styleId="Ministerstvo">
    <w:name w:val="Ministerstvo"/>
    <w:basedOn w:val="Normln"/>
    <w:next w:val="ST"/>
    <w:uiPriority w:val="99"/>
    <w:rsid w:val="009372B3"/>
    <w:pPr>
      <w:keepNext/>
      <w:keepLines/>
      <w:spacing w:before="360" w:after="240"/>
    </w:pPr>
    <w:rPr>
      <w:rFonts w:eastAsia="Times New Roman"/>
    </w:rPr>
  </w:style>
  <w:style w:type="paragraph" w:customStyle="1" w:styleId="funkce">
    <w:name w:val="funkce"/>
    <w:basedOn w:val="Normln"/>
    <w:uiPriority w:val="99"/>
    <w:rsid w:val="009372B3"/>
    <w:pPr>
      <w:keepLines/>
      <w:jc w:val="center"/>
    </w:pPr>
    <w:rPr>
      <w:rFonts w:eastAsia="Times New Roman"/>
    </w:rPr>
  </w:style>
  <w:style w:type="paragraph" w:customStyle="1" w:styleId="Textbodu">
    <w:name w:val="Text bodu"/>
    <w:basedOn w:val="Normln"/>
    <w:uiPriority w:val="99"/>
    <w:rsid w:val="009372B3"/>
    <w:pPr>
      <w:numPr>
        <w:ilvl w:val="2"/>
        <w:numId w:val="17"/>
      </w:numPr>
      <w:outlineLvl w:val="8"/>
    </w:pPr>
    <w:rPr>
      <w:rFonts w:eastAsia="Times New Roman"/>
    </w:rPr>
  </w:style>
  <w:style w:type="paragraph" w:customStyle="1" w:styleId="Textpsmene">
    <w:name w:val="Text písmene"/>
    <w:basedOn w:val="Normln"/>
    <w:uiPriority w:val="99"/>
    <w:rsid w:val="009372B3"/>
    <w:pPr>
      <w:numPr>
        <w:ilvl w:val="1"/>
        <w:numId w:val="17"/>
      </w:numPr>
      <w:outlineLvl w:val="7"/>
    </w:pPr>
    <w:rPr>
      <w:rFonts w:eastAsia="Times New Roman"/>
    </w:rPr>
  </w:style>
  <w:style w:type="character" w:customStyle="1" w:styleId="FooterChar">
    <w:name w:val="Footer Char"/>
    <w:uiPriority w:val="99"/>
    <w:semiHidden/>
    <w:locked/>
    <w:rsid w:val="009372B3"/>
    <w:rPr>
      <w:sz w:val="24"/>
      <w:szCs w:val="24"/>
    </w:rPr>
  </w:style>
  <w:style w:type="character" w:customStyle="1" w:styleId="FootnoteTextChar">
    <w:name w:val="Footnote Text Char"/>
    <w:uiPriority w:val="99"/>
    <w:semiHidden/>
    <w:locked/>
    <w:rsid w:val="009372B3"/>
    <w:rPr>
      <w:sz w:val="20"/>
      <w:szCs w:val="20"/>
    </w:rPr>
  </w:style>
  <w:style w:type="paragraph" w:customStyle="1" w:styleId="Nvrh">
    <w:name w:val="Návrh"/>
    <w:basedOn w:val="Normln"/>
    <w:next w:val="Normln"/>
    <w:uiPriority w:val="99"/>
    <w:rsid w:val="009372B3"/>
    <w:pPr>
      <w:keepNext/>
      <w:keepLines/>
      <w:spacing w:after="240"/>
      <w:jc w:val="center"/>
      <w:outlineLvl w:val="0"/>
    </w:pPr>
    <w:rPr>
      <w:rFonts w:eastAsia="Times New Roman"/>
      <w:spacing w:val="40"/>
    </w:rPr>
  </w:style>
  <w:style w:type="paragraph" w:customStyle="1" w:styleId="Podpis">
    <w:name w:val="Podpis_"/>
    <w:basedOn w:val="Normln"/>
    <w:next w:val="funkce"/>
    <w:uiPriority w:val="99"/>
    <w:rsid w:val="009372B3"/>
    <w:pPr>
      <w:keepNext/>
      <w:keepLines/>
      <w:spacing w:before="720"/>
      <w:jc w:val="center"/>
    </w:pPr>
    <w:rPr>
      <w:rFonts w:eastAsia="Times New Roman"/>
    </w:rPr>
  </w:style>
  <w:style w:type="paragraph" w:customStyle="1" w:styleId="Nadpisparagrafu">
    <w:name w:val="Nadpis paragrafu"/>
    <w:basedOn w:val="Paragraf"/>
    <w:next w:val="Textodstavce"/>
    <w:uiPriority w:val="99"/>
    <w:rsid w:val="009372B3"/>
    <w:rPr>
      <w:b/>
      <w:bCs/>
    </w:rPr>
  </w:style>
  <w:style w:type="character" w:customStyle="1" w:styleId="Odkaznapoznpodarou">
    <w:name w:val="Odkaz na pozn. pod čarou"/>
    <w:uiPriority w:val="99"/>
    <w:rsid w:val="009372B3"/>
    <w:rPr>
      <w:vertAlign w:val="superscript"/>
    </w:rPr>
  </w:style>
  <w:style w:type="paragraph" w:customStyle="1" w:styleId="lnek">
    <w:name w:val="Článek"/>
    <w:basedOn w:val="Normln"/>
    <w:next w:val="Normln"/>
    <w:uiPriority w:val="99"/>
    <w:rsid w:val="009372B3"/>
    <w:pPr>
      <w:keepNext/>
      <w:keepLines/>
      <w:spacing w:before="240"/>
      <w:jc w:val="center"/>
      <w:outlineLvl w:val="5"/>
    </w:pPr>
    <w:rPr>
      <w:rFonts w:eastAsia="Times New Roman"/>
    </w:rPr>
  </w:style>
  <w:style w:type="paragraph" w:customStyle="1" w:styleId="Nadpislnku">
    <w:name w:val="Nadpis článku"/>
    <w:basedOn w:val="lnek"/>
    <w:next w:val="Normln"/>
    <w:uiPriority w:val="99"/>
    <w:rsid w:val="009372B3"/>
    <w:rPr>
      <w:b/>
      <w:bCs/>
    </w:rPr>
  </w:style>
  <w:style w:type="paragraph" w:customStyle="1" w:styleId="Textlnku">
    <w:name w:val="Text článku"/>
    <w:basedOn w:val="Normln"/>
    <w:uiPriority w:val="99"/>
    <w:rsid w:val="009372B3"/>
    <w:pPr>
      <w:spacing w:before="240"/>
      <w:ind w:firstLine="425"/>
      <w:outlineLvl w:val="5"/>
    </w:pPr>
    <w:rPr>
      <w:rFonts w:eastAsia="Times New Roman"/>
    </w:rPr>
  </w:style>
  <w:style w:type="paragraph" w:customStyle="1" w:styleId="Textbodunovely">
    <w:name w:val="Text bodu novely"/>
    <w:basedOn w:val="Normln"/>
    <w:next w:val="Normln"/>
    <w:uiPriority w:val="99"/>
    <w:rsid w:val="009372B3"/>
    <w:pPr>
      <w:ind w:left="567" w:hanging="567"/>
    </w:pPr>
    <w:rPr>
      <w:rFonts w:eastAsia="Times New Roman"/>
    </w:rPr>
  </w:style>
  <w:style w:type="character" w:customStyle="1" w:styleId="BodyTextChar">
    <w:name w:val="Body Text Char"/>
    <w:uiPriority w:val="99"/>
    <w:semiHidden/>
    <w:locked/>
    <w:rsid w:val="009372B3"/>
    <w:rPr>
      <w:sz w:val="24"/>
      <w:szCs w:val="24"/>
    </w:rPr>
  </w:style>
  <w:style w:type="character" w:customStyle="1" w:styleId="BodyText2Char">
    <w:name w:val="Body Text 2 Char"/>
    <w:uiPriority w:val="99"/>
    <w:semiHidden/>
    <w:locked/>
    <w:rsid w:val="009372B3"/>
    <w:rPr>
      <w:sz w:val="24"/>
      <w:szCs w:val="24"/>
    </w:rPr>
  </w:style>
  <w:style w:type="paragraph" w:customStyle="1" w:styleId="Eslovan">
    <w:name w:val="Eíslovaný"/>
    <w:uiPriority w:val="99"/>
    <w:rsid w:val="009372B3"/>
    <w:pPr>
      <w:widowControl w:val="0"/>
      <w:spacing w:after="120"/>
      <w:ind w:left="851" w:hanging="284"/>
      <w:jc w:val="both"/>
    </w:pPr>
    <w:rPr>
      <w:rFonts w:eastAsia="Times New Roman"/>
      <w:color w:val="000000"/>
      <w:sz w:val="24"/>
      <w:szCs w:val="24"/>
      <w:lang w:eastAsia="cs-CZ"/>
    </w:rPr>
  </w:style>
  <w:style w:type="paragraph" w:customStyle="1" w:styleId="BodyText21">
    <w:name w:val="Body Text 21"/>
    <w:basedOn w:val="Normln"/>
    <w:uiPriority w:val="99"/>
    <w:rsid w:val="009372B3"/>
    <w:pPr>
      <w:widowControl w:val="0"/>
      <w:tabs>
        <w:tab w:val="left" w:pos="426"/>
        <w:tab w:val="left" w:pos="709"/>
      </w:tabs>
      <w:spacing w:after="120"/>
      <w:ind w:left="284"/>
    </w:pPr>
    <w:rPr>
      <w:rFonts w:eastAsia="Times New Roman"/>
    </w:rPr>
  </w:style>
  <w:style w:type="character" w:customStyle="1" w:styleId="BalloonTextChar">
    <w:name w:val="Balloon Text Char"/>
    <w:uiPriority w:val="99"/>
    <w:semiHidden/>
    <w:locked/>
    <w:rsid w:val="009372B3"/>
    <w:rPr>
      <w:sz w:val="2"/>
      <w:szCs w:val="2"/>
    </w:rPr>
  </w:style>
  <w:style w:type="paragraph" w:customStyle="1" w:styleId="Odstavecseseznamem1">
    <w:name w:val="Odstavec se seznamem1"/>
    <w:basedOn w:val="Normln"/>
    <w:uiPriority w:val="99"/>
    <w:qFormat/>
    <w:rsid w:val="009372B3"/>
    <w:pPr>
      <w:ind w:left="720"/>
    </w:pPr>
    <w:rPr>
      <w:rFonts w:ascii="Calibri" w:eastAsia="MS Mincho" w:hAnsi="Calibri" w:cs="Calibri"/>
      <w:sz w:val="22"/>
    </w:rPr>
  </w:style>
  <w:style w:type="paragraph" w:customStyle="1" w:styleId="Normln0">
    <w:name w:val="Normální 0"/>
    <w:basedOn w:val="Normln"/>
    <w:autoRedefine/>
    <w:rsid w:val="009372B3"/>
    <w:rPr>
      <w:rFonts w:eastAsia="Times New Roman"/>
    </w:rPr>
  </w:style>
  <w:style w:type="paragraph" w:customStyle="1" w:styleId="slovan">
    <w:name w:val="Číslovaný"/>
    <w:uiPriority w:val="99"/>
    <w:rsid w:val="009372B3"/>
    <w:pPr>
      <w:autoSpaceDE w:val="0"/>
      <w:autoSpaceDN w:val="0"/>
      <w:spacing w:after="120"/>
      <w:ind w:left="851" w:hanging="284"/>
      <w:jc w:val="both"/>
    </w:pPr>
    <w:rPr>
      <w:rFonts w:eastAsia="Times New Roman"/>
      <w:color w:val="000000"/>
      <w:sz w:val="24"/>
      <w:szCs w:val="24"/>
      <w:lang w:eastAsia="cs-CZ"/>
    </w:rPr>
  </w:style>
  <w:style w:type="paragraph" w:customStyle="1" w:styleId="Odrka2">
    <w:name w:val="Odrážka 2"/>
    <w:basedOn w:val="Odrka-"/>
    <w:next w:val="Odrka-"/>
    <w:qFormat/>
    <w:rsid w:val="009372B3"/>
    <w:pPr>
      <w:numPr>
        <w:numId w:val="19"/>
      </w:numPr>
    </w:pPr>
  </w:style>
  <w:style w:type="paragraph" w:customStyle="1" w:styleId="Odrka3">
    <w:name w:val="Odrážka3"/>
    <w:basedOn w:val="Odrka2"/>
    <w:qFormat/>
    <w:rsid w:val="009372B3"/>
    <w:pPr>
      <w:numPr>
        <w:numId w:val="20"/>
      </w:numPr>
    </w:pPr>
  </w:style>
  <w:style w:type="paragraph" w:customStyle="1" w:styleId="Odrka4">
    <w:name w:val="Odrážka 4"/>
    <w:basedOn w:val="Normln"/>
    <w:autoRedefine/>
    <w:qFormat/>
    <w:rsid w:val="009372B3"/>
    <w:pPr>
      <w:numPr>
        <w:numId w:val="21"/>
      </w:numPr>
    </w:pPr>
    <w:rPr>
      <w:rFonts w:eastAsia="Times New Roman"/>
      <w:color w:val="000000"/>
    </w:rPr>
  </w:style>
  <w:style w:type="paragraph" w:customStyle="1" w:styleId="Odrka5">
    <w:name w:val="Odrážka 5"/>
    <w:basedOn w:val="Odrka4"/>
    <w:qFormat/>
    <w:rsid w:val="009372B3"/>
    <w:pPr>
      <w:numPr>
        <w:numId w:val="22"/>
      </w:numPr>
    </w:pPr>
  </w:style>
  <w:style w:type="paragraph" w:customStyle="1" w:styleId="Odrka1-">
    <w:name w:val="Odrážka 1 -"/>
    <w:basedOn w:val="Odrka5"/>
    <w:qFormat/>
    <w:rsid w:val="009372B3"/>
    <w:pPr>
      <w:numPr>
        <w:numId w:val="23"/>
      </w:numPr>
      <w:spacing w:before="60"/>
    </w:pPr>
  </w:style>
  <w:style w:type="character" w:customStyle="1" w:styleId="Nadpis1Char">
    <w:name w:val="Nadpis 1 Char"/>
    <w:link w:val="Nadpis1"/>
    <w:uiPriority w:val="99"/>
    <w:rsid w:val="009372B3"/>
    <w:rPr>
      <w:rFonts w:ascii="Cambria" w:eastAsia="Times New Roman" w:hAnsi="Cambria" w:cs="Times New Roman"/>
      <w:b/>
      <w:bCs/>
      <w:kern w:val="32"/>
      <w:sz w:val="32"/>
      <w:szCs w:val="32"/>
      <w:lang w:val="x-none" w:eastAsia="x-none"/>
    </w:rPr>
  </w:style>
  <w:style w:type="character" w:customStyle="1" w:styleId="Nadpis2Char">
    <w:name w:val="Nadpis 2 Char"/>
    <w:link w:val="Nadpis2"/>
    <w:uiPriority w:val="9"/>
    <w:rsid w:val="009372B3"/>
    <w:rPr>
      <w:rFonts w:ascii="Cambria" w:eastAsia="Times New Roman" w:hAnsi="Cambria" w:cs="Times New Roman"/>
      <w:b/>
      <w:bCs/>
      <w:iCs/>
      <w:caps/>
      <w:sz w:val="24"/>
      <w:szCs w:val="28"/>
      <w:shd w:val="clear" w:color="auto" w:fill="FFFFFF"/>
      <w:lang w:eastAsia="cs-CZ"/>
    </w:rPr>
  </w:style>
  <w:style w:type="character" w:customStyle="1" w:styleId="Nadpis4Char">
    <w:name w:val="Nadpis 4 Char"/>
    <w:link w:val="Nadpis4"/>
    <w:uiPriority w:val="9"/>
    <w:rsid w:val="009372B3"/>
    <w:rPr>
      <w:rFonts w:ascii="Arial" w:eastAsia="Times New Roman" w:hAnsi="Arial" w:cs="Times New Roman"/>
      <w:b/>
      <w:bCs/>
      <w:sz w:val="20"/>
      <w:szCs w:val="28"/>
      <w:lang w:eastAsia="cs-CZ"/>
    </w:rPr>
  </w:style>
  <w:style w:type="character" w:customStyle="1" w:styleId="Nadpis5Char">
    <w:name w:val="Nadpis 5 Char"/>
    <w:link w:val="Nadpis5"/>
    <w:uiPriority w:val="99"/>
    <w:rsid w:val="009372B3"/>
    <w:rPr>
      <w:rFonts w:ascii="Times New Roman" w:eastAsia="Times New Roman" w:hAnsi="Times New Roman" w:cs="Times New Roman"/>
      <w:b/>
      <w:bCs/>
      <w:i/>
      <w:iCs/>
      <w:sz w:val="26"/>
      <w:szCs w:val="26"/>
      <w:lang w:val="x-none" w:eastAsia="x-none"/>
    </w:rPr>
  </w:style>
  <w:style w:type="character" w:customStyle="1" w:styleId="Nadpis6Char">
    <w:name w:val="Nadpis 6 Char"/>
    <w:link w:val="Nadpis6"/>
    <w:uiPriority w:val="9"/>
    <w:rsid w:val="009372B3"/>
    <w:rPr>
      <w:rFonts w:ascii="Arial" w:eastAsia="Times New Roman" w:hAnsi="Arial" w:cs="Times New Roman"/>
      <w:b/>
      <w:bCs/>
      <w:lang w:eastAsia="cs-CZ"/>
    </w:rPr>
  </w:style>
  <w:style w:type="character" w:customStyle="1" w:styleId="Nadpis7Char">
    <w:name w:val="Nadpis 7 Char"/>
    <w:link w:val="Nadpis7"/>
    <w:uiPriority w:val="9"/>
    <w:rsid w:val="009372B3"/>
    <w:rPr>
      <w:rFonts w:ascii="Times New Roman" w:eastAsia="Times New Roman" w:hAnsi="Times New Roman" w:cs="Times New Roman"/>
      <w:b/>
      <w:color w:val="000000"/>
      <w:sz w:val="24"/>
      <w:szCs w:val="24"/>
      <w:lang w:eastAsia="cs-CZ"/>
    </w:rPr>
  </w:style>
  <w:style w:type="character" w:customStyle="1" w:styleId="Nadpis8Char">
    <w:name w:val="Nadpis 8 Char"/>
    <w:link w:val="Nadpis8"/>
    <w:uiPriority w:val="9"/>
    <w:rsid w:val="009372B3"/>
    <w:rPr>
      <w:rFonts w:ascii="Times New Roman" w:eastAsia="Times New Roman" w:hAnsi="Times New Roman" w:cs="Times New Roman"/>
      <w:b/>
      <w:iCs/>
      <w:sz w:val="24"/>
      <w:szCs w:val="24"/>
      <w:lang w:eastAsia="cs-CZ"/>
    </w:rPr>
  </w:style>
  <w:style w:type="character" w:customStyle="1" w:styleId="Nadpis9Char">
    <w:name w:val="Nadpis 9 Char"/>
    <w:link w:val="Nadpis9"/>
    <w:uiPriority w:val="9"/>
    <w:rsid w:val="009372B3"/>
    <w:rPr>
      <w:rFonts w:ascii="Times New Roman" w:eastAsia="Times New Roman" w:hAnsi="Times New Roman" w:cs="Times New Roman"/>
      <w:b/>
      <w:sz w:val="24"/>
      <w:lang w:eastAsia="cs-CZ"/>
    </w:rPr>
  </w:style>
  <w:style w:type="paragraph" w:styleId="Textpoznpodarou">
    <w:name w:val="footnote text"/>
    <w:basedOn w:val="Normln"/>
    <w:link w:val="TextpoznpodarouChar"/>
    <w:semiHidden/>
    <w:rsid w:val="009372B3"/>
    <w:rPr>
      <w:rFonts w:eastAsia="Times New Roman"/>
    </w:rPr>
  </w:style>
  <w:style w:type="character" w:customStyle="1" w:styleId="TextpoznpodarouChar">
    <w:name w:val="Text pozn. pod čarou Char"/>
    <w:link w:val="Textpoznpodarou"/>
    <w:semiHidden/>
    <w:rsid w:val="009372B3"/>
    <w:rPr>
      <w:rFonts w:ascii="Times New Roman" w:eastAsia="Times New Roman" w:hAnsi="Times New Roman" w:cs="Times New Roman"/>
      <w:sz w:val="20"/>
      <w:szCs w:val="20"/>
      <w:lang w:eastAsia="cs-CZ"/>
    </w:rPr>
  </w:style>
  <w:style w:type="paragraph" w:styleId="Zhlav">
    <w:name w:val="header"/>
    <w:basedOn w:val="Normln"/>
    <w:link w:val="ZhlavChar"/>
    <w:uiPriority w:val="99"/>
    <w:rsid w:val="009372B3"/>
    <w:pPr>
      <w:tabs>
        <w:tab w:val="center" w:pos="4536"/>
        <w:tab w:val="right" w:pos="9072"/>
      </w:tabs>
    </w:pPr>
    <w:rPr>
      <w:rFonts w:eastAsia="Times New Roman"/>
      <w:szCs w:val="24"/>
      <w:lang w:val="x-none" w:eastAsia="x-none"/>
    </w:rPr>
  </w:style>
  <w:style w:type="character" w:customStyle="1" w:styleId="ZhlavChar">
    <w:name w:val="Záhlaví Char"/>
    <w:link w:val="Zhlav"/>
    <w:uiPriority w:val="99"/>
    <w:rsid w:val="009372B3"/>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9372B3"/>
    <w:pPr>
      <w:tabs>
        <w:tab w:val="center" w:pos="4536"/>
        <w:tab w:val="right" w:pos="9072"/>
      </w:tabs>
      <w:spacing w:after="120" w:line="200" w:lineRule="atLeast"/>
      <w:jc w:val="both"/>
    </w:pPr>
    <w:rPr>
      <w:rFonts w:ascii="Calibri" w:eastAsia="Times New Roman" w:hAnsi="Calibri"/>
      <w:szCs w:val="24"/>
      <w:lang w:val="x-none" w:eastAsia="x-none"/>
    </w:rPr>
  </w:style>
  <w:style w:type="character" w:customStyle="1" w:styleId="ZpatChar">
    <w:name w:val="Zápatí Char"/>
    <w:link w:val="Zpat"/>
    <w:uiPriority w:val="99"/>
    <w:rsid w:val="009372B3"/>
    <w:rPr>
      <w:rFonts w:ascii="Calibri" w:eastAsia="Times New Roman" w:hAnsi="Calibri" w:cs="Times New Roman"/>
      <w:sz w:val="20"/>
      <w:szCs w:val="24"/>
      <w:lang w:val="x-none" w:eastAsia="x-none"/>
    </w:rPr>
  </w:style>
  <w:style w:type="paragraph" w:styleId="Titulek">
    <w:name w:val="caption"/>
    <w:basedOn w:val="Normln"/>
    <w:next w:val="Normln"/>
    <w:uiPriority w:val="99"/>
    <w:qFormat/>
    <w:rsid w:val="009372B3"/>
    <w:pPr>
      <w:spacing w:after="120"/>
    </w:pPr>
    <w:rPr>
      <w:rFonts w:eastAsia="Times New Roman"/>
      <w:b/>
      <w:bCs/>
    </w:rPr>
  </w:style>
  <w:style w:type="character" w:styleId="Znakapoznpodarou">
    <w:name w:val="footnote reference"/>
    <w:semiHidden/>
    <w:rsid w:val="009372B3"/>
    <w:rPr>
      <w:vertAlign w:val="superscript"/>
    </w:rPr>
  </w:style>
  <w:style w:type="character" w:styleId="slostrnky">
    <w:name w:val="page number"/>
    <w:basedOn w:val="Standardnpsmoodstavce"/>
    <w:uiPriority w:val="99"/>
    <w:semiHidden/>
    <w:rsid w:val="009372B3"/>
  </w:style>
  <w:style w:type="paragraph" w:styleId="Zkladntext">
    <w:name w:val="Body Text"/>
    <w:basedOn w:val="Normln"/>
    <w:link w:val="ZkladntextChar"/>
    <w:uiPriority w:val="99"/>
    <w:rsid w:val="009372B3"/>
    <w:pPr>
      <w:spacing w:after="120"/>
      <w:ind w:firstLine="567"/>
    </w:pPr>
    <w:rPr>
      <w:rFonts w:eastAsia="Times New Roman"/>
      <w:szCs w:val="24"/>
      <w:lang w:val="x-none" w:eastAsia="x-none"/>
    </w:rPr>
  </w:style>
  <w:style w:type="character" w:customStyle="1" w:styleId="ZkladntextChar">
    <w:name w:val="Základní text Char"/>
    <w:link w:val="Zkladntext"/>
    <w:uiPriority w:val="99"/>
    <w:rsid w:val="009372B3"/>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9372B3"/>
    <w:rPr>
      <w:color w:val="0000FF"/>
      <w:u w:val="single"/>
    </w:rPr>
  </w:style>
  <w:style w:type="paragraph" w:styleId="Prosttext">
    <w:name w:val="Plain Text"/>
    <w:basedOn w:val="Normln"/>
    <w:link w:val="ProsttextChar"/>
    <w:uiPriority w:val="99"/>
    <w:rsid w:val="009372B3"/>
    <w:rPr>
      <w:rFonts w:ascii="Courier New" w:eastAsia="MS Mincho" w:hAnsi="Courier New"/>
      <w:lang w:val="x-none" w:eastAsia="x-none"/>
    </w:rPr>
  </w:style>
  <w:style w:type="character" w:customStyle="1" w:styleId="ProsttextChar">
    <w:name w:val="Prostý text Char"/>
    <w:link w:val="Prosttext"/>
    <w:uiPriority w:val="99"/>
    <w:rsid w:val="009372B3"/>
    <w:rPr>
      <w:rFonts w:ascii="Courier New" w:eastAsia="MS Mincho" w:hAnsi="Courier New" w:cs="Times New Roman"/>
      <w:sz w:val="20"/>
      <w:szCs w:val="20"/>
      <w:lang w:val="x-none" w:eastAsia="x-none"/>
    </w:rPr>
  </w:style>
  <w:style w:type="paragraph" w:styleId="Textbubliny">
    <w:name w:val="Balloon Text"/>
    <w:basedOn w:val="Normln"/>
    <w:link w:val="TextbublinyChar"/>
    <w:uiPriority w:val="99"/>
    <w:semiHidden/>
    <w:rsid w:val="009372B3"/>
    <w:rPr>
      <w:rFonts w:ascii="Tahoma" w:eastAsia="Times New Roman" w:hAnsi="Tahoma"/>
      <w:sz w:val="16"/>
      <w:szCs w:val="16"/>
      <w:lang w:val="x-none" w:eastAsia="x-none"/>
    </w:rPr>
  </w:style>
  <w:style w:type="character" w:customStyle="1" w:styleId="TextbublinyChar">
    <w:name w:val="Text bubliny Char"/>
    <w:link w:val="Textbubliny"/>
    <w:uiPriority w:val="99"/>
    <w:semiHidden/>
    <w:rsid w:val="009372B3"/>
    <w:rPr>
      <w:rFonts w:ascii="Tahoma" w:eastAsia="Times New Roman" w:hAnsi="Tahoma" w:cs="Times New Roman"/>
      <w:sz w:val="16"/>
      <w:szCs w:val="16"/>
      <w:lang w:val="x-none" w:eastAsia="x-none"/>
    </w:rPr>
  </w:style>
  <w:style w:type="table" w:styleId="Mkatabulky">
    <w:name w:val="Table Grid"/>
    <w:basedOn w:val="Normlntabulka"/>
    <w:uiPriority w:val="59"/>
    <w:rsid w:val="009372B3"/>
    <w:rPr>
      <w:rFonts w:eastAsia="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My Style 1,List Paragraph1"/>
    <w:basedOn w:val="Normln"/>
    <w:link w:val="OdstavecseseznamemChar"/>
    <w:uiPriority w:val="34"/>
    <w:qFormat/>
    <w:rsid w:val="009372B3"/>
    <w:pPr>
      <w:ind w:left="708"/>
    </w:pPr>
    <w:rPr>
      <w:rFonts w:ascii="Calibri" w:eastAsia="Times New Roman" w:hAnsi="Calibri" w:cs="Calibri"/>
      <w:sz w:val="22"/>
    </w:rPr>
  </w:style>
  <w:style w:type="paragraph" w:styleId="Nzev">
    <w:name w:val="Title"/>
    <w:basedOn w:val="Normln"/>
    <w:next w:val="Normln"/>
    <w:link w:val="NzevChar"/>
    <w:qFormat/>
    <w:rsid w:val="00AE72C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AE72C5"/>
    <w:rPr>
      <w:rFonts w:asciiTheme="majorHAnsi" w:eastAsiaTheme="majorEastAsia" w:hAnsiTheme="majorHAnsi" w:cstheme="majorBidi"/>
      <w:spacing w:val="-10"/>
      <w:kern w:val="28"/>
      <w:sz w:val="56"/>
      <w:szCs w:val="56"/>
    </w:rPr>
  </w:style>
  <w:style w:type="character" w:styleId="Odkaznakoment">
    <w:name w:val="annotation reference"/>
    <w:basedOn w:val="Standardnpsmoodstavce"/>
    <w:uiPriority w:val="99"/>
    <w:semiHidden/>
    <w:unhideWhenUsed/>
    <w:rsid w:val="00E43C3D"/>
    <w:rPr>
      <w:sz w:val="16"/>
      <w:szCs w:val="16"/>
    </w:rPr>
  </w:style>
  <w:style w:type="paragraph" w:styleId="Textkomente">
    <w:name w:val="annotation text"/>
    <w:basedOn w:val="Normln"/>
    <w:link w:val="TextkomenteChar"/>
    <w:uiPriority w:val="99"/>
    <w:semiHidden/>
    <w:unhideWhenUsed/>
    <w:rsid w:val="00E43C3D"/>
    <w:pPr>
      <w:spacing w:line="240" w:lineRule="auto"/>
    </w:pPr>
    <w:rPr>
      <w:sz w:val="20"/>
      <w:szCs w:val="20"/>
    </w:rPr>
  </w:style>
  <w:style w:type="character" w:customStyle="1" w:styleId="TextkomenteChar">
    <w:name w:val="Text komentáře Char"/>
    <w:basedOn w:val="Standardnpsmoodstavce"/>
    <w:link w:val="Textkomente"/>
    <w:uiPriority w:val="99"/>
    <w:semiHidden/>
    <w:rsid w:val="00E43C3D"/>
    <w:rPr>
      <w:rFonts w:cstheme="minorBidi"/>
    </w:rPr>
  </w:style>
  <w:style w:type="paragraph" w:styleId="Pedmtkomente">
    <w:name w:val="annotation subject"/>
    <w:basedOn w:val="Textkomente"/>
    <w:next w:val="Textkomente"/>
    <w:link w:val="PedmtkomenteChar"/>
    <w:uiPriority w:val="99"/>
    <w:semiHidden/>
    <w:unhideWhenUsed/>
    <w:rsid w:val="00E43C3D"/>
    <w:rPr>
      <w:b/>
      <w:bCs/>
    </w:rPr>
  </w:style>
  <w:style w:type="character" w:customStyle="1" w:styleId="PedmtkomenteChar">
    <w:name w:val="Předmět komentáře Char"/>
    <w:basedOn w:val="TextkomenteChar"/>
    <w:link w:val="Pedmtkomente"/>
    <w:uiPriority w:val="99"/>
    <w:semiHidden/>
    <w:rsid w:val="00E43C3D"/>
    <w:rPr>
      <w:rFonts w:cstheme="minorBidi"/>
      <w:b/>
      <w:bCs/>
    </w:rPr>
  </w:style>
  <w:style w:type="paragraph" w:styleId="Revize">
    <w:name w:val="Revision"/>
    <w:hidden/>
    <w:uiPriority w:val="99"/>
    <w:semiHidden/>
    <w:rsid w:val="008146D9"/>
    <w:rPr>
      <w:rFonts w:cstheme="minorBidi"/>
      <w:sz w:val="24"/>
      <w:szCs w:val="22"/>
    </w:rPr>
  </w:style>
  <w:style w:type="character" w:customStyle="1" w:styleId="OdstavecseseznamemChar">
    <w:name w:val="Odstavec se seznamem Char"/>
    <w:aliases w:val="My Style 1 Char,List Paragraph1 Char"/>
    <w:link w:val="Odstavecseseznamem"/>
    <w:uiPriority w:val="34"/>
    <w:rsid w:val="003F667A"/>
    <w:rPr>
      <w:rFonts w:ascii="Calibri" w:eastAsia="Times New Roman" w:hAnsi="Calibri" w:cs="Calibri"/>
      <w:sz w:val="22"/>
      <w:szCs w:val="22"/>
    </w:rPr>
  </w:style>
  <w:style w:type="character" w:styleId="Siln">
    <w:name w:val="Strong"/>
    <w:basedOn w:val="Standardnpsmoodstavce"/>
    <w:uiPriority w:val="22"/>
    <w:qFormat/>
    <w:rsid w:val="00DC46CE"/>
    <w:rPr>
      <w:b/>
      <w:bCs/>
    </w:rPr>
  </w:style>
  <w:style w:type="character" w:customStyle="1" w:styleId="jmena">
    <w:name w:val="jmena"/>
    <w:basedOn w:val="Standardnpsmoodstavce"/>
    <w:rsid w:val="00DC46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A69DE"/>
    <w:pPr>
      <w:spacing w:after="200" w:line="276" w:lineRule="auto"/>
    </w:pPr>
    <w:rPr>
      <w:rFonts w:cstheme="minorBidi"/>
      <w:sz w:val="24"/>
      <w:szCs w:val="22"/>
    </w:rPr>
  </w:style>
  <w:style w:type="paragraph" w:styleId="Nadpis1">
    <w:name w:val="heading 1"/>
    <w:basedOn w:val="Normln"/>
    <w:next w:val="Normln"/>
    <w:link w:val="Nadpis1Char"/>
    <w:uiPriority w:val="99"/>
    <w:qFormat/>
    <w:rsid w:val="009372B3"/>
    <w:pPr>
      <w:keepNext/>
      <w:spacing w:before="240" w:after="60"/>
      <w:outlineLvl w:val="0"/>
    </w:pPr>
    <w:rPr>
      <w:rFonts w:ascii="Cambria" w:eastAsia="Times New Roman" w:hAnsi="Cambria"/>
      <w:b/>
      <w:bCs/>
      <w:kern w:val="32"/>
      <w:sz w:val="32"/>
      <w:szCs w:val="32"/>
      <w:lang w:val="x-none" w:eastAsia="x-none"/>
    </w:rPr>
  </w:style>
  <w:style w:type="paragraph" w:styleId="Nadpis2">
    <w:name w:val="heading 2"/>
    <w:basedOn w:val="Normln"/>
    <w:next w:val="Normln"/>
    <w:link w:val="Nadpis2Char"/>
    <w:uiPriority w:val="9"/>
    <w:unhideWhenUsed/>
    <w:qFormat/>
    <w:rsid w:val="009372B3"/>
    <w:pPr>
      <w:keepNext/>
      <w:shd w:val="clear" w:color="auto" w:fill="FFFFFF"/>
      <w:spacing w:before="240" w:after="60"/>
      <w:outlineLvl w:val="1"/>
    </w:pPr>
    <w:rPr>
      <w:rFonts w:ascii="Cambria" w:eastAsia="Times New Roman" w:hAnsi="Cambria"/>
      <w:b/>
      <w:bCs/>
      <w:iCs/>
      <w:caps/>
      <w:szCs w:val="28"/>
    </w:rPr>
  </w:style>
  <w:style w:type="paragraph" w:styleId="Nadpis3">
    <w:name w:val="heading 3"/>
    <w:basedOn w:val="Normln"/>
    <w:next w:val="Normln"/>
    <w:link w:val="Nadpis3Char"/>
    <w:uiPriority w:val="9"/>
    <w:unhideWhenUsed/>
    <w:qFormat/>
    <w:rsid w:val="009372B3"/>
    <w:pPr>
      <w:keepNext/>
      <w:pBdr>
        <w:top w:val="single" w:sz="4" w:space="1" w:color="auto"/>
        <w:bottom w:val="single" w:sz="4" w:space="1" w:color="auto"/>
      </w:pBdr>
      <w:spacing w:before="240" w:after="60"/>
      <w:ind w:left="680"/>
      <w:outlineLvl w:val="2"/>
    </w:pPr>
    <w:rPr>
      <w:rFonts w:eastAsiaTheme="majorEastAsia" w:cstheme="majorBidi"/>
      <w:bCs/>
      <w:szCs w:val="26"/>
    </w:rPr>
  </w:style>
  <w:style w:type="paragraph" w:styleId="Nadpis4">
    <w:name w:val="heading 4"/>
    <w:basedOn w:val="Normln"/>
    <w:next w:val="Normln"/>
    <w:link w:val="Nadpis4Char"/>
    <w:uiPriority w:val="9"/>
    <w:unhideWhenUsed/>
    <w:qFormat/>
    <w:rsid w:val="009372B3"/>
    <w:pPr>
      <w:keepNext/>
      <w:spacing w:before="240" w:after="60"/>
      <w:ind w:left="680"/>
      <w:outlineLvl w:val="3"/>
    </w:pPr>
    <w:rPr>
      <w:rFonts w:ascii="Arial" w:eastAsia="Times New Roman" w:hAnsi="Arial"/>
      <w:b/>
      <w:bCs/>
      <w:szCs w:val="28"/>
    </w:rPr>
  </w:style>
  <w:style w:type="paragraph" w:styleId="Nadpis5">
    <w:name w:val="heading 5"/>
    <w:basedOn w:val="Normln"/>
    <w:next w:val="Normln"/>
    <w:link w:val="Nadpis5Char"/>
    <w:uiPriority w:val="99"/>
    <w:qFormat/>
    <w:rsid w:val="009372B3"/>
    <w:pPr>
      <w:spacing w:before="240" w:after="60"/>
      <w:outlineLvl w:val="4"/>
    </w:pPr>
    <w:rPr>
      <w:rFonts w:eastAsia="Times New Roman"/>
      <w:b/>
      <w:bCs/>
      <w:i/>
      <w:iCs/>
      <w:sz w:val="26"/>
      <w:szCs w:val="26"/>
      <w:lang w:val="x-none" w:eastAsia="x-none"/>
    </w:rPr>
  </w:style>
  <w:style w:type="paragraph" w:styleId="Nadpis6">
    <w:name w:val="heading 6"/>
    <w:basedOn w:val="Normln"/>
    <w:next w:val="Normln"/>
    <w:link w:val="Nadpis6Char"/>
    <w:uiPriority w:val="9"/>
    <w:unhideWhenUsed/>
    <w:qFormat/>
    <w:rsid w:val="009372B3"/>
    <w:pPr>
      <w:spacing w:before="240" w:after="60"/>
      <w:outlineLvl w:val="5"/>
    </w:pPr>
    <w:rPr>
      <w:rFonts w:ascii="Arial" w:eastAsia="Times New Roman" w:hAnsi="Arial"/>
      <w:b/>
      <w:bCs/>
      <w:sz w:val="22"/>
    </w:rPr>
  </w:style>
  <w:style w:type="paragraph" w:styleId="Nadpis7">
    <w:name w:val="heading 7"/>
    <w:basedOn w:val="Normln"/>
    <w:next w:val="Normln"/>
    <w:link w:val="Nadpis7Char"/>
    <w:uiPriority w:val="9"/>
    <w:unhideWhenUsed/>
    <w:qFormat/>
    <w:rsid w:val="009372B3"/>
    <w:pPr>
      <w:numPr>
        <w:numId w:val="11"/>
      </w:numPr>
      <w:spacing w:before="240" w:after="120"/>
      <w:outlineLvl w:val="6"/>
    </w:pPr>
    <w:rPr>
      <w:rFonts w:eastAsia="Times New Roman"/>
      <w:b/>
      <w:color w:val="000000"/>
      <w:szCs w:val="24"/>
    </w:rPr>
  </w:style>
  <w:style w:type="paragraph" w:styleId="Nadpis8">
    <w:name w:val="heading 8"/>
    <w:basedOn w:val="Normln"/>
    <w:next w:val="Normln"/>
    <w:link w:val="Nadpis8Char"/>
    <w:uiPriority w:val="9"/>
    <w:unhideWhenUsed/>
    <w:qFormat/>
    <w:rsid w:val="009372B3"/>
    <w:pPr>
      <w:numPr>
        <w:numId w:val="12"/>
      </w:numPr>
      <w:spacing w:before="240" w:after="60"/>
      <w:outlineLvl w:val="7"/>
    </w:pPr>
    <w:rPr>
      <w:rFonts w:eastAsia="Times New Roman"/>
      <w:b/>
      <w:iCs/>
      <w:szCs w:val="24"/>
    </w:rPr>
  </w:style>
  <w:style w:type="paragraph" w:styleId="Nadpis9">
    <w:name w:val="heading 9"/>
    <w:basedOn w:val="Normln"/>
    <w:next w:val="Normln"/>
    <w:link w:val="Nadpis9Char"/>
    <w:uiPriority w:val="9"/>
    <w:unhideWhenUsed/>
    <w:qFormat/>
    <w:rsid w:val="009372B3"/>
    <w:pPr>
      <w:numPr>
        <w:numId w:val="13"/>
      </w:numPr>
      <w:spacing w:before="240" w:after="60"/>
      <w:outlineLvl w:val="8"/>
    </w:pPr>
    <w:rPr>
      <w:rFonts w:eastAsia="Times New Roman"/>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 1"/>
    <w:basedOn w:val="Normln"/>
    <w:autoRedefine/>
    <w:qFormat/>
    <w:rsid w:val="00E05352"/>
    <w:pPr>
      <w:pBdr>
        <w:top w:val="single" w:sz="4" w:space="1" w:color="auto"/>
        <w:bottom w:val="single" w:sz="4" w:space="1" w:color="auto"/>
      </w:pBdr>
      <w:shd w:val="clear" w:color="auto" w:fill="BFBFBF" w:themeFill="background1" w:themeFillShade="BF"/>
      <w:spacing w:before="240"/>
    </w:pPr>
    <w:rPr>
      <w:rFonts w:eastAsia="Times New Roman"/>
      <w:b/>
      <w:lang w:eastAsia="cs-CZ"/>
    </w:rPr>
  </w:style>
  <w:style w:type="paragraph" w:customStyle="1" w:styleId="Odrka-">
    <w:name w:val="Odrážka -"/>
    <w:basedOn w:val="Normln"/>
    <w:qFormat/>
    <w:rsid w:val="009372B3"/>
    <w:pPr>
      <w:numPr>
        <w:numId w:val="18"/>
      </w:numPr>
      <w:spacing w:line="280" w:lineRule="exact"/>
    </w:pPr>
    <w:rPr>
      <w:rFonts w:eastAsia="Times New Roman"/>
    </w:rPr>
  </w:style>
  <w:style w:type="character" w:customStyle="1" w:styleId="Nadpis3Char">
    <w:name w:val="Nadpis 3 Char"/>
    <w:link w:val="Nadpis3"/>
    <w:uiPriority w:val="9"/>
    <w:rsid w:val="009372B3"/>
    <w:rPr>
      <w:rFonts w:ascii="Times New Roman" w:eastAsiaTheme="majorEastAsia" w:hAnsi="Times New Roman" w:cstheme="majorBidi"/>
      <w:bCs/>
      <w:sz w:val="24"/>
      <w:szCs w:val="26"/>
      <w:lang w:eastAsia="cs-CZ"/>
    </w:rPr>
  </w:style>
  <w:style w:type="paragraph" w:customStyle="1" w:styleId="Normln6">
    <w:name w:val="Normální 6"/>
    <w:basedOn w:val="Normln"/>
    <w:autoRedefine/>
    <w:qFormat/>
    <w:rsid w:val="00E05352"/>
    <w:pPr>
      <w:shd w:val="clear" w:color="auto" w:fill="FFFFFF" w:themeFill="background1"/>
      <w:spacing w:before="120"/>
    </w:pPr>
    <w:rPr>
      <w:rFonts w:eastAsia="Times New Roman"/>
      <w:lang w:eastAsia="cs-CZ"/>
    </w:rPr>
  </w:style>
  <w:style w:type="character" w:customStyle="1" w:styleId="Heading1Char">
    <w:name w:val="Heading 1 Char"/>
    <w:uiPriority w:val="99"/>
    <w:locked/>
    <w:rsid w:val="009372B3"/>
    <w:rPr>
      <w:rFonts w:ascii="Cambria" w:eastAsia="Times New Roman" w:hAnsi="Cambria" w:cs="Cambria"/>
      <w:b/>
      <w:bCs/>
      <w:kern w:val="32"/>
      <w:sz w:val="32"/>
      <w:szCs w:val="32"/>
    </w:rPr>
  </w:style>
  <w:style w:type="character" w:customStyle="1" w:styleId="Heading5Char">
    <w:name w:val="Heading 5 Char"/>
    <w:uiPriority w:val="99"/>
    <w:semiHidden/>
    <w:locked/>
    <w:rsid w:val="009372B3"/>
    <w:rPr>
      <w:rFonts w:ascii="Calibri" w:eastAsia="Times New Roman" w:hAnsi="Calibri" w:cs="Calibri"/>
      <w:b/>
      <w:bCs/>
      <w:i/>
      <w:iCs/>
      <w:sz w:val="26"/>
      <w:szCs w:val="26"/>
    </w:rPr>
  </w:style>
  <w:style w:type="character" w:customStyle="1" w:styleId="HeaderChar">
    <w:name w:val="Header Char"/>
    <w:uiPriority w:val="99"/>
    <w:semiHidden/>
    <w:locked/>
    <w:rsid w:val="009372B3"/>
    <w:rPr>
      <w:sz w:val="24"/>
      <w:szCs w:val="24"/>
    </w:rPr>
  </w:style>
  <w:style w:type="paragraph" w:customStyle="1" w:styleId="Textparagrafu">
    <w:name w:val="Text paragrafu"/>
    <w:basedOn w:val="Normln"/>
    <w:uiPriority w:val="99"/>
    <w:rsid w:val="009372B3"/>
    <w:pPr>
      <w:spacing w:before="240"/>
      <w:ind w:firstLine="425"/>
      <w:outlineLvl w:val="5"/>
    </w:pPr>
    <w:rPr>
      <w:rFonts w:eastAsia="Times New Roman"/>
    </w:rPr>
  </w:style>
  <w:style w:type="paragraph" w:customStyle="1" w:styleId="Paragraf">
    <w:name w:val="Paragraf"/>
    <w:basedOn w:val="Normln"/>
    <w:next w:val="Textodstavce"/>
    <w:uiPriority w:val="99"/>
    <w:rsid w:val="009372B3"/>
    <w:pPr>
      <w:keepNext/>
      <w:keepLines/>
      <w:spacing w:before="240"/>
      <w:jc w:val="center"/>
      <w:outlineLvl w:val="5"/>
    </w:pPr>
    <w:rPr>
      <w:rFonts w:eastAsia="Times New Roman"/>
    </w:rPr>
  </w:style>
  <w:style w:type="paragraph" w:customStyle="1" w:styleId="Textodstavce">
    <w:name w:val="Text odstavce"/>
    <w:basedOn w:val="Normln"/>
    <w:uiPriority w:val="99"/>
    <w:rsid w:val="009372B3"/>
    <w:pPr>
      <w:numPr>
        <w:numId w:val="17"/>
      </w:numPr>
      <w:tabs>
        <w:tab w:val="left" w:pos="851"/>
      </w:tabs>
      <w:spacing w:after="120"/>
      <w:outlineLvl w:val="6"/>
    </w:pPr>
    <w:rPr>
      <w:rFonts w:eastAsia="Times New Roman"/>
    </w:rPr>
  </w:style>
  <w:style w:type="paragraph" w:customStyle="1" w:styleId="Oddl">
    <w:name w:val="Oddíl"/>
    <w:basedOn w:val="Normln"/>
    <w:next w:val="Nadpisoddlu"/>
    <w:uiPriority w:val="99"/>
    <w:rsid w:val="009372B3"/>
    <w:pPr>
      <w:keepNext/>
      <w:keepLines/>
      <w:spacing w:before="240"/>
      <w:jc w:val="center"/>
      <w:outlineLvl w:val="4"/>
    </w:pPr>
    <w:rPr>
      <w:rFonts w:eastAsia="Times New Roman"/>
    </w:rPr>
  </w:style>
  <w:style w:type="paragraph" w:customStyle="1" w:styleId="Nadpisoddlu">
    <w:name w:val="Nadpis oddílu"/>
    <w:basedOn w:val="Normln"/>
    <w:next w:val="Paragraf"/>
    <w:uiPriority w:val="99"/>
    <w:rsid w:val="009372B3"/>
    <w:pPr>
      <w:keepNext/>
      <w:keepLines/>
      <w:jc w:val="center"/>
      <w:outlineLvl w:val="4"/>
    </w:pPr>
    <w:rPr>
      <w:rFonts w:eastAsia="Times New Roman"/>
      <w:b/>
      <w:bCs/>
    </w:rPr>
  </w:style>
  <w:style w:type="paragraph" w:customStyle="1" w:styleId="Dl">
    <w:name w:val="Díl"/>
    <w:basedOn w:val="Normln"/>
    <w:next w:val="Nadpisdlu"/>
    <w:uiPriority w:val="99"/>
    <w:rsid w:val="009372B3"/>
    <w:pPr>
      <w:keepNext/>
      <w:keepLines/>
      <w:spacing w:before="240"/>
      <w:jc w:val="center"/>
      <w:outlineLvl w:val="3"/>
    </w:pPr>
    <w:rPr>
      <w:rFonts w:eastAsia="Times New Roman"/>
    </w:rPr>
  </w:style>
  <w:style w:type="paragraph" w:customStyle="1" w:styleId="Nadpisdlu">
    <w:name w:val="Nadpis dílu"/>
    <w:basedOn w:val="Normln"/>
    <w:next w:val="Oddl"/>
    <w:uiPriority w:val="99"/>
    <w:rsid w:val="009372B3"/>
    <w:pPr>
      <w:keepNext/>
      <w:keepLines/>
      <w:jc w:val="center"/>
      <w:outlineLvl w:val="3"/>
    </w:pPr>
    <w:rPr>
      <w:rFonts w:eastAsia="Times New Roman"/>
      <w:b/>
      <w:bCs/>
    </w:rPr>
  </w:style>
  <w:style w:type="paragraph" w:customStyle="1" w:styleId="Hlava">
    <w:name w:val="Hlava"/>
    <w:basedOn w:val="Normln"/>
    <w:next w:val="Nadpishlavy"/>
    <w:uiPriority w:val="99"/>
    <w:rsid w:val="009372B3"/>
    <w:pPr>
      <w:keepNext/>
      <w:keepLines/>
      <w:spacing w:before="240"/>
      <w:jc w:val="center"/>
      <w:outlineLvl w:val="2"/>
    </w:pPr>
    <w:rPr>
      <w:rFonts w:eastAsia="Times New Roman"/>
    </w:rPr>
  </w:style>
  <w:style w:type="paragraph" w:customStyle="1" w:styleId="Nadpishlavy">
    <w:name w:val="Nadpis hlavy"/>
    <w:basedOn w:val="Normln"/>
    <w:next w:val="Dl"/>
    <w:uiPriority w:val="99"/>
    <w:rsid w:val="009372B3"/>
    <w:pPr>
      <w:keepNext/>
      <w:keepLines/>
      <w:jc w:val="center"/>
      <w:outlineLvl w:val="2"/>
    </w:pPr>
    <w:rPr>
      <w:rFonts w:eastAsia="Times New Roman"/>
      <w:b/>
      <w:bCs/>
    </w:rPr>
  </w:style>
  <w:style w:type="paragraph" w:customStyle="1" w:styleId="ST">
    <w:name w:val="ČÁST"/>
    <w:basedOn w:val="Normln"/>
    <w:next w:val="NADPISSTI"/>
    <w:uiPriority w:val="99"/>
    <w:rsid w:val="009372B3"/>
    <w:pPr>
      <w:keepNext/>
      <w:keepLines/>
      <w:spacing w:before="240" w:after="120"/>
      <w:jc w:val="center"/>
      <w:outlineLvl w:val="1"/>
    </w:pPr>
    <w:rPr>
      <w:rFonts w:eastAsia="Times New Roman"/>
      <w:caps/>
    </w:rPr>
  </w:style>
  <w:style w:type="paragraph" w:customStyle="1" w:styleId="NADPISSTI">
    <w:name w:val="NADPIS ČÁSTI"/>
    <w:basedOn w:val="Normln"/>
    <w:next w:val="Hlava"/>
    <w:uiPriority w:val="99"/>
    <w:rsid w:val="009372B3"/>
    <w:pPr>
      <w:keepNext/>
      <w:keepLines/>
      <w:jc w:val="center"/>
      <w:outlineLvl w:val="1"/>
    </w:pPr>
    <w:rPr>
      <w:rFonts w:eastAsia="Times New Roman"/>
      <w:b/>
      <w:bCs/>
      <w:caps/>
    </w:rPr>
  </w:style>
  <w:style w:type="paragraph" w:customStyle="1" w:styleId="Novelizanbod">
    <w:name w:val="Novelizační bod"/>
    <w:basedOn w:val="Normln"/>
    <w:next w:val="Normln"/>
    <w:uiPriority w:val="99"/>
    <w:rsid w:val="009372B3"/>
    <w:pPr>
      <w:keepNext/>
      <w:keepLines/>
      <w:numPr>
        <w:numId w:val="15"/>
      </w:numPr>
      <w:tabs>
        <w:tab w:val="left" w:pos="851"/>
      </w:tabs>
      <w:spacing w:before="480" w:after="120"/>
    </w:pPr>
    <w:rPr>
      <w:rFonts w:eastAsia="Times New Roman"/>
    </w:rPr>
  </w:style>
  <w:style w:type="paragraph" w:customStyle="1" w:styleId="nadpisvyhlky">
    <w:name w:val="nadpis vyhlášky"/>
    <w:basedOn w:val="Normln"/>
    <w:next w:val="Ministerstvo"/>
    <w:uiPriority w:val="99"/>
    <w:rsid w:val="009372B3"/>
    <w:pPr>
      <w:keepNext/>
      <w:keepLines/>
      <w:jc w:val="center"/>
      <w:outlineLvl w:val="0"/>
    </w:pPr>
    <w:rPr>
      <w:rFonts w:eastAsia="Times New Roman"/>
      <w:b/>
      <w:bCs/>
    </w:rPr>
  </w:style>
  <w:style w:type="paragraph" w:customStyle="1" w:styleId="Ministerstvo">
    <w:name w:val="Ministerstvo"/>
    <w:basedOn w:val="Normln"/>
    <w:next w:val="ST"/>
    <w:uiPriority w:val="99"/>
    <w:rsid w:val="009372B3"/>
    <w:pPr>
      <w:keepNext/>
      <w:keepLines/>
      <w:spacing w:before="360" w:after="240"/>
    </w:pPr>
    <w:rPr>
      <w:rFonts w:eastAsia="Times New Roman"/>
    </w:rPr>
  </w:style>
  <w:style w:type="paragraph" w:customStyle="1" w:styleId="funkce">
    <w:name w:val="funkce"/>
    <w:basedOn w:val="Normln"/>
    <w:uiPriority w:val="99"/>
    <w:rsid w:val="009372B3"/>
    <w:pPr>
      <w:keepLines/>
      <w:jc w:val="center"/>
    </w:pPr>
    <w:rPr>
      <w:rFonts w:eastAsia="Times New Roman"/>
    </w:rPr>
  </w:style>
  <w:style w:type="paragraph" w:customStyle="1" w:styleId="Textbodu">
    <w:name w:val="Text bodu"/>
    <w:basedOn w:val="Normln"/>
    <w:uiPriority w:val="99"/>
    <w:rsid w:val="009372B3"/>
    <w:pPr>
      <w:numPr>
        <w:ilvl w:val="2"/>
        <w:numId w:val="17"/>
      </w:numPr>
      <w:outlineLvl w:val="8"/>
    </w:pPr>
    <w:rPr>
      <w:rFonts w:eastAsia="Times New Roman"/>
    </w:rPr>
  </w:style>
  <w:style w:type="paragraph" w:customStyle="1" w:styleId="Textpsmene">
    <w:name w:val="Text písmene"/>
    <w:basedOn w:val="Normln"/>
    <w:uiPriority w:val="99"/>
    <w:rsid w:val="009372B3"/>
    <w:pPr>
      <w:numPr>
        <w:ilvl w:val="1"/>
        <w:numId w:val="17"/>
      </w:numPr>
      <w:outlineLvl w:val="7"/>
    </w:pPr>
    <w:rPr>
      <w:rFonts w:eastAsia="Times New Roman"/>
    </w:rPr>
  </w:style>
  <w:style w:type="character" w:customStyle="1" w:styleId="FooterChar">
    <w:name w:val="Footer Char"/>
    <w:uiPriority w:val="99"/>
    <w:semiHidden/>
    <w:locked/>
    <w:rsid w:val="009372B3"/>
    <w:rPr>
      <w:sz w:val="24"/>
      <w:szCs w:val="24"/>
    </w:rPr>
  </w:style>
  <w:style w:type="character" w:customStyle="1" w:styleId="FootnoteTextChar">
    <w:name w:val="Footnote Text Char"/>
    <w:uiPriority w:val="99"/>
    <w:semiHidden/>
    <w:locked/>
    <w:rsid w:val="009372B3"/>
    <w:rPr>
      <w:sz w:val="20"/>
      <w:szCs w:val="20"/>
    </w:rPr>
  </w:style>
  <w:style w:type="paragraph" w:customStyle="1" w:styleId="Nvrh">
    <w:name w:val="Návrh"/>
    <w:basedOn w:val="Normln"/>
    <w:next w:val="Normln"/>
    <w:uiPriority w:val="99"/>
    <w:rsid w:val="009372B3"/>
    <w:pPr>
      <w:keepNext/>
      <w:keepLines/>
      <w:spacing w:after="240"/>
      <w:jc w:val="center"/>
      <w:outlineLvl w:val="0"/>
    </w:pPr>
    <w:rPr>
      <w:rFonts w:eastAsia="Times New Roman"/>
      <w:spacing w:val="40"/>
    </w:rPr>
  </w:style>
  <w:style w:type="paragraph" w:customStyle="1" w:styleId="Podpis">
    <w:name w:val="Podpis_"/>
    <w:basedOn w:val="Normln"/>
    <w:next w:val="funkce"/>
    <w:uiPriority w:val="99"/>
    <w:rsid w:val="009372B3"/>
    <w:pPr>
      <w:keepNext/>
      <w:keepLines/>
      <w:spacing w:before="720"/>
      <w:jc w:val="center"/>
    </w:pPr>
    <w:rPr>
      <w:rFonts w:eastAsia="Times New Roman"/>
    </w:rPr>
  </w:style>
  <w:style w:type="paragraph" w:customStyle="1" w:styleId="Nadpisparagrafu">
    <w:name w:val="Nadpis paragrafu"/>
    <w:basedOn w:val="Paragraf"/>
    <w:next w:val="Textodstavce"/>
    <w:uiPriority w:val="99"/>
    <w:rsid w:val="009372B3"/>
    <w:rPr>
      <w:b/>
      <w:bCs/>
    </w:rPr>
  </w:style>
  <w:style w:type="character" w:customStyle="1" w:styleId="Odkaznapoznpodarou">
    <w:name w:val="Odkaz na pozn. pod čarou"/>
    <w:uiPriority w:val="99"/>
    <w:rsid w:val="009372B3"/>
    <w:rPr>
      <w:vertAlign w:val="superscript"/>
    </w:rPr>
  </w:style>
  <w:style w:type="paragraph" w:customStyle="1" w:styleId="lnek">
    <w:name w:val="Článek"/>
    <w:basedOn w:val="Normln"/>
    <w:next w:val="Normln"/>
    <w:uiPriority w:val="99"/>
    <w:rsid w:val="009372B3"/>
    <w:pPr>
      <w:keepNext/>
      <w:keepLines/>
      <w:spacing w:before="240"/>
      <w:jc w:val="center"/>
      <w:outlineLvl w:val="5"/>
    </w:pPr>
    <w:rPr>
      <w:rFonts w:eastAsia="Times New Roman"/>
    </w:rPr>
  </w:style>
  <w:style w:type="paragraph" w:customStyle="1" w:styleId="Nadpislnku">
    <w:name w:val="Nadpis článku"/>
    <w:basedOn w:val="lnek"/>
    <w:next w:val="Normln"/>
    <w:uiPriority w:val="99"/>
    <w:rsid w:val="009372B3"/>
    <w:rPr>
      <w:b/>
      <w:bCs/>
    </w:rPr>
  </w:style>
  <w:style w:type="paragraph" w:customStyle="1" w:styleId="Textlnku">
    <w:name w:val="Text článku"/>
    <w:basedOn w:val="Normln"/>
    <w:uiPriority w:val="99"/>
    <w:rsid w:val="009372B3"/>
    <w:pPr>
      <w:spacing w:before="240"/>
      <w:ind w:firstLine="425"/>
      <w:outlineLvl w:val="5"/>
    </w:pPr>
    <w:rPr>
      <w:rFonts w:eastAsia="Times New Roman"/>
    </w:rPr>
  </w:style>
  <w:style w:type="paragraph" w:customStyle="1" w:styleId="Textbodunovely">
    <w:name w:val="Text bodu novely"/>
    <w:basedOn w:val="Normln"/>
    <w:next w:val="Normln"/>
    <w:uiPriority w:val="99"/>
    <w:rsid w:val="009372B3"/>
    <w:pPr>
      <w:ind w:left="567" w:hanging="567"/>
    </w:pPr>
    <w:rPr>
      <w:rFonts w:eastAsia="Times New Roman"/>
    </w:rPr>
  </w:style>
  <w:style w:type="character" w:customStyle="1" w:styleId="BodyTextChar">
    <w:name w:val="Body Text Char"/>
    <w:uiPriority w:val="99"/>
    <w:semiHidden/>
    <w:locked/>
    <w:rsid w:val="009372B3"/>
    <w:rPr>
      <w:sz w:val="24"/>
      <w:szCs w:val="24"/>
    </w:rPr>
  </w:style>
  <w:style w:type="character" w:customStyle="1" w:styleId="BodyText2Char">
    <w:name w:val="Body Text 2 Char"/>
    <w:uiPriority w:val="99"/>
    <w:semiHidden/>
    <w:locked/>
    <w:rsid w:val="009372B3"/>
    <w:rPr>
      <w:sz w:val="24"/>
      <w:szCs w:val="24"/>
    </w:rPr>
  </w:style>
  <w:style w:type="paragraph" w:customStyle="1" w:styleId="Eslovan">
    <w:name w:val="Eíslovaný"/>
    <w:uiPriority w:val="99"/>
    <w:rsid w:val="009372B3"/>
    <w:pPr>
      <w:widowControl w:val="0"/>
      <w:spacing w:after="120"/>
      <w:ind w:left="851" w:hanging="284"/>
      <w:jc w:val="both"/>
    </w:pPr>
    <w:rPr>
      <w:rFonts w:eastAsia="Times New Roman"/>
      <w:color w:val="000000"/>
      <w:sz w:val="24"/>
      <w:szCs w:val="24"/>
      <w:lang w:eastAsia="cs-CZ"/>
    </w:rPr>
  </w:style>
  <w:style w:type="paragraph" w:customStyle="1" w:styleId="BodyText21">
    <w:name w:val="Body Text 21"/>
    <w:basedOn w:val="Normln"/>
    <w:uiPriority w:val="99"/>
    <w:rsid w:val="009372B3"/>
    <w:pPr>
      <w:widowControl w:val="0"/>
      <w:tabs>
        <w:tab w:val="left" w:pos="426"/>
        <w:tab w:val="left" w:pos="709"/>
      </w:tabs>
      <w:spacing w:after="120"/>
      <w:ind w:left="284"/>
    </w:pPr>
    <w:rPr>
      <w:rFonts w:eastAsia="Times New Roman"/>
    </w:rPr>
  </w:style>
  <w:style w:type="character" w:customStyle="1" w:styleId="BalloonTextChar">
    <w:name w:val="Balloon Text Char"/>
    <w:uiPriority w:val="99"/>
    <w:semiHidden/>
    <w:locked/>
    <w:rsid w:val="009372B3"/>
    <w:rPr>
      <w:sz w:val="2"/>
      <w:szCs w:val="2"/>
    </w:rPr>
  </w:style>
  <w:style w:type="paragraph" w:customStyle="1" w:styleId="Odstavecseseznamem1">
    <w:name w:val="Odstavec se seznamem1"/>
    <w:basedOn w:val="Normln"/>
    <w:uiPriority w:val="99"/>
    <w:qFormat/>
    <w:rsid w:val="009372B3"/>
    <w:pPr>
      <w:ind w:left="720"/>
    </w:pPr>
    <w:rPr>
      <w:rFonts w:ascii="Calibri" w:eastAsia="MS Mincho" w:hAnsi="Calibri" w:cs="Calibri"/>
      <w:sz w:val="22"/>
    </w:rPr>
  </w:style>
  <w:style w:type="paragraph" w:customStyle="1" w:styleId="Normln0">
    <w:name w:val="Normální 0"/>
    <w:basedOn w:val="Normln"/>
    <w:autoRedefine/>
    <w:rsid w:val="009372B3"/>
    <w:rPr>
      <w:rFonts w:eastAsia="Times New Roman"/>
    </w:rPr>
  </w:style>
  <w:style w:type="paragraph" w:customStyle="1" w:styleId="slovan">
    <w:name w:val="Číslovaný"/>
    <w:uiPriority w:val="99"/>
    <w:rsid w:val="009372B3"/>
    <w:pPr>
      <w:autoSpaceDE w:val="0"/>
      <w:autoSpaceDN w:val="0"/>
      <w:spacing w:after="120"/>
      <w:ind w:left="851" w:hanging="284"/>
      <w:jc w:val="both"/>
    </w:pPr>
    <w:rPr>
      <w:rFonts w:eastAsia="Times New Roman"/>
      <w:color w:val="000000"/>
      <w:sz w:val="24"/>
      <w:szCs w:val="24"/>
      <w:lang w:eastAsia="cs-CZ"/>
    </w:rPr>
  </w:style>
  <w:style w:type="paragraph" w:customStyle="1" w:styleId="Odrka2">
    <w:name w:val="Odrážka 2"/>
    <w:basedOn w:val="Odrka-"/>
    <w:next w:val="Odrka-"/>
    <w:qFormat/>
    <w:rsid w:val="009372B3"/>
    <w:pPr>
      <w:numPr>
        <w:numId w:val="19"/>
      </w:numPr>
    </w:pPr>
  </w:style>
  <w:style w:type="paragraph" w:customStyle="1" w:styleId="Odrka3">
    <w:name w:val="Odrážka3"/>
    <w:basedOn w:val="Odrka2"/>
    <w:qFormat/>
    <w:rsid w:val="009372B3"/>
    <w:pPr>
      <w:numPr>
        <w:numId w:val="20"/>
      </w:numPr>
    </w:pPr>
  </w:style>
  <w:style w:type="paragraph" w:customStyle="1" w:styleId="Odrka4">
    <w:name w:val="Odrážka 4"/>
    <w:basedOn w:val="Normln"/>
    <w:autoRedefine/>
    <w:qFormat/>
    <w:rsid w:val="009372B3"/>
    <w:pPr>
      <w:numPr>
        <w:numId w:val="21"/>
      </w:numPr>
    </w:pPr>
    <w:rPr>
      <w:rFonts w:eastAsia="Times New Roman"/>
      <w:color w:val="000000"/>
    </w:rPr>
  </w:style>
  <w:style w:type="paragraph" w:customStyle="1" w:styleId="Odrka5">
    <w:name w:val="Odrážka 5"/>
    <w:basedOn w:val="Odrka4"/>
    <w:qFormat/>
    <w:rsid w:val="009372B3"/>
    <w:pPr>
      <w:numPr>
        <w:numId w:val="22"/>
      </w:numPr>
    </w:pPr>
  </w:style>
  <w:style w:type="paragraph" w:customStyle="1" w:styleId="Odrka1-">
    <w:name w:val="Odrážka 1 -"/>
    <w:basedOn w:val="Odrka5"/>
    <w:qFormat/>
    <w:rsid w:val="009372B3"/>
    <w:pPr>
      <w:numPr>
        <w:numId w:val="23"/>
      </w:numPr>
      <w:spacing w:before="60"/>
    </w:pPr>
  </w:style>
  <w:style w:type="character" w:customStyle="1" w:styleId="Nadpis1Char">
    <w:name w:val="Nadpis 1 Char"/>
    <w:link w:val="Nadpis1"/>
    <w:uiPriority w:val="99"/>
    <w:rsid w:val="009372B3"/>
    <w:rPr>
      <w:rFonts w:ascii="Cambria" w:eastAsia="Times New Roman" w:hAnsi="Cambria" w:cs="Times New Roman"/>
      <w:b/>
      <w:bCs/>
      <w:kern w:val="32"/>
      <w:sz w:val="32"/>
      <w:szCs w:val="32"/>
      <w:lang w:val="x-none" w:eastAsia="x-none"/>
    </w:rPr>
  </w:style>
  <w:style w:type="character" w:customStyle="1" w:styleId="Nadpis2Char">
    <w:name w:val="Nadpis 2 Char"/>
    <w:link w:val="Nadpis2"/>
    <w:uiPriority w:val="9"/>
    <w:rsid w:val="009372B3"/>
    <w:rPr>
      <w:rFonts w:ascii="Cambria" w:eastAsia="Times New Roman" w:hAnsi="Cambria" w:cs="Times New Roman"/>
      <w:b/>
      <w:bCs/>
      <w:iCs/>
      <w:caps/>
      <w:sz w:val="24"/>
      <w:szCs w:val="28"/>
      <w:shd w:val="clear" w:color="auto" w:fill="FFFFFF"/>
      <w:lang w:eastAsia="cs-CZ"/>
    </w:rPr>
  </w:style>
  <w:style w:type="character" w:customStyle="1" w:styleId="Nadpis4Char">
    <w:name w:val="Nadpis 4 Char"/>
    <w:link w:val="Nadpis4"/>
    <w:uiPriority w:val="9"/>
    <w:rsid w:val="009372B3"/>
    <w:rPr>
      <w:rFonts w:ascii="Arial" w:eastAsia="Times New Roman" w:hAnsi="Arial" w:cs="Times New Roman"/>
      <w:b/>
      <w:bCs/>
      <w:sz w:val="20"/>
      <w:szCs w:val="28"/>
      <w:lang w:eastAsia="cs-CZ"/>
    </w:rPr>
  </w:style>
  <w:style w:type="character" w:customStyle="1" w:styleId="Nadpis5Char">
    <w:name w:val="Nadpis 5 Char"/>
    <w:link w:val="Nadpis5"/>
    <w:uiPriority w:val="99"/>
    <w:rsid w:val="009372B3"/>
    <w:rPr>
      <w:rFonts w:ascii="Times New Roman" w:eastAsia="Times New Roman" w:hAnsi="Times New Roman" w:cs="Times New Roman"/>
      <w:b/>
      <w:bCs/>
      <w:i/>
      <w:iCs/>
      <w:sz w:val="26"/>
      <w:szCs w:val="26"/>
      <w:lang w:val="x-none" w:eastAsia="x-none"/>
    </w:rPr>
  </w:style>
  <w:style w:type="character" w:customStyle="1" w:styleId="Nadpis6Char">
    <w:name w:val="Nadpis 6 Char"/>
    <w:link w:val="Nadpis6"/>
    <w:uiPriority w:val="9"/>
    <w:rsid w:val="009372B3"/>
    <w:rPr>
      <w:rFonts w:ascii="Arial" w:eastAsia="Times New Roman" w:hAnsi="Arial" w:cs="Times New Roman"/>
      <w:b/>
      <w:bCs/>
      <w:lang w:eastAsia="cs-CZ"/>
    </w:rPr>
  </w:style>
  <w:style w:type="character" w:customStyle="1" w:styleId="Nadpis7Char">
    <w:name w:val="Nadpis 7 Char"/>
    <w:link w:val="Nadpis7"/>
    <w:uiPriority w:val="9"/>
    <w:rsid w:val="009372B3"/>
    <w:rPr>
      <w:rFonts w:ascii="Times New Roman" w:eastAsia="Times New Roman" w:hAnsi="Times New Roman" w:cs="Times New Roman"/>
      <w:b/>
      <w:color w:val="000000"/>
      <w:sz w:val="24"/>
      <w:szCs w:val="24"/>
      <w:lang w:eastAsia="cs-CZ"/>
    </w:rPr>
  </w:style>
  <w:style w:type="character" w:customStyle="1" w:styleId="Nadpis8Char">
    <w:name w:val="Nadpis 8 Char"/>
    <w:link w:val="Nadpis8"/>
    <w:uiPriority w:val="9"/>
    <w:rsid w:val="009372B3"/>
    <w:rPr>
      <w:rFonts w:ascii="Times New Roman" w:eastAsia="Times New Roman" w:hAnsi="Times New Roman" w:cs="Times New Roman"/>
      <w:b/>
      <w:iCs/>
      <w:sz w:val="24"/>
      <w:szCs w:val="24"/>
      <w:lang w:eastAsia="cs-CZ"/>
    </w:rPr>
  </w:style>
  <w:style w:type="character" w:customStyle="1" w:styleId="Nadpis9Char">
    <w:name w:val="Nadpis 9 Char"/>
    <w:link w:val="Nadpis9"/>
    <w:uiPriority w:val="9"/>
    <w:rsid w:val="009372B3"/>
    <w:rPr>
      <w:rFonts w:ascii="Times New Roman" w:eastAsia="Times New Roman" w:hAnsi="Times New Roman" w:cs="Times New Roman"/>
      <w:b/>
      <w:sz w:val="24"/>
      <w:lang w:eastAsia="cs-CZ"/>
    </w:rPr>
  </w:style>
  <w:style w:type="paragraph" w:styleId="Textpoznpodarou">
    <w:name w:val="footnote text"/>
    <w:basedOn w:val="Normln"/>
    <w:link w:val="TextpoznpodarouChar"/>
    <w:semiHidden/>
    <w:rsid w:val="009372B3"/>
    <w:rPr>
      <w:rFonts w:eastAsia="Times New Roman"/>
    </w:rPr>
  </w:style>
  <w:style w:type="character" w:customStyle="1" w:styleId="TextpoznpodarouChar">
    <w:name w:val="Text pozn. pod čarou Char"/>
    <w:link w:val="Textpoznpodarou"/>
    <w:semiHidden/>
    <w:rsid w:val="009372B3"/>
    <w:rPr>
      <w:rFonts w:ascii="Times New Roman" w:eastAsia="Times New Roman" w:hAnsi="Times New Roman" w:cs="Times New Roman"/>
      <w:sz w:val="20"/>
      <w:szCs w:val="20"/>
      <w:lang w:eastAsia="cs-CZ"/>
    </w:rPr>
  </w:style>
  <w:style w:type="paragraph" w:styleId="Zhlav">
    <w:name w:val="header"/>
    <w:basedOn w:val="Normln"/>
    <w:link w:val="ZhlavChar"/>
    <w:uiPriority w:val="99"/>
    <w:rsid w:val="009372B3"/>
    <w:pPr>
      <w:tabs>
        <w:tab w:val="center" w:pos="4536"/>
        <w:tab w:val="right" w:pos="9072"/>
      </w:tabs>
    </w:pPr>
    <w:rPr>
      <w:rFonts w:eastAsia="Times New Roman"/>
      <w:szCs w:val="24"/>
      <w:lang w:val="x-none" w:eastAsia="x-none"/>
    </w:rPr>
  </w:style>
  <w:style w:type="character" w:customStyle="1" w:styleId="ZhlavChar">
    <w:name w:val="Záhlaví Char"/>
    <w:link w:val="Zhlav"/>
    <w:uiPriority w:val="99"/>
    <w:rsid w:val="009372B3"/>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9372B3"/>
    <w:pPr>
      <w:tabs>
        <w:tab w:val="center" w:pos="4536"/>
        <w:tab w:val="right" w:pos="9072"/>
      </w:tabs>
      <w:spacing w:after="120" w:line="200" w:lineRule="atLeast"/>
      <w:jc w:val="both"/>
    </w:pPr>
    <w:rPr>
      <w:rFonts w:ascii="Calibri" w:eastAsia="Times New Roman" w:hAnsi="Calibri"/>
      <w:szCs w:val="24"/>
      <w:lang w:val="x-none" w:eastAsia="x-none"/>
    </w:rPr>
  </w:style>
  <w:style w:type="character" w:customStyle="1" w:styleId="ZpatChar">
    <w:name w:val="Zápatí Char"/>
    <w:link w:val="Zpat"/>
    <w:uiPriority w:val="99"/>
    <w:rsid w:val="009372B3"/>
    <w:rPr>
      <w:rFonts w:ascii="Calibri" w:eastAsia="Times New Roman" w:hAnsi="Calibri" w:cs="Times New Roman"/>
      <w:sz w:val="20"/>
      <w:szCs w:val="24"/>
      <w:lang w:val="x-none" w:eastAsia="x-none"/>
    </w:rPr>
  </w:style>
  <w:style w:type="paragraph" w:styleId="Titulek">
    <w:name w:val="caption"/>
    <w:basedOn w:val="Normln"/>
    <w:next w:val="Normln"/>
    <w:uiPriority w:val="99"/>
    <w:qFormat/>
    <w:rsid w:val="009372B3"/>
    <w:pPr>
      <w:spacing w:after="120"/>
    </w:pPr>
    <w:rPr>
      <w:rFonts w:eastAsia="Times New Roman"/>
      <w:b/>
      <w:bCs/>
    </w:rPr>
  </w:style>
  <w:style w:type="character" w:styleId="Znakapoznpodarou">
    <w:name w:val="footnote reference"/>
    <w:semiHidden/>
    <w:rsid w:val="009372B3"/>
    <w:rPr>
      <w:vertAlign w:val="superscript"/>
    </w:rPr>
  </w:style>
  <w:style w:type="character" w:styleId="slostrnky">
    <w:name w:val="page number"/>
    <w:basedOn w:val="Standardnpsmoodstavce"/>
    <w:uiPriority w:val="99"/>
    <w:semiHidden/>
    <w:rsid w:val="009372B3"/>
  </w:style>
  <w:style w:type="paragraph" w:styleId="Zkladntext">
    <w:name w:val="Body Text"/>
    <w:basedOn w:val="Normln"/>
    <w:link w:val="ZkladntextChar"/>
    <w:uiPriority w:val="99"/>
    <w:rsid w:val="009372B3"/>
    <w:pPr>
      <w:spacing w:after="120"/>
      <w:ind w:firstLine="567"/>
    </w:pPr>
    <w:rPr>
      <w:rFonts w:eastAsia="Times New Roman"/>
      <w:szCs w:val="24"/>
      <w:lang w:val="x-none" w:eastAsia="x-none"/>
    </w:rPr>
  </w:style>
  <w:style w:type="character" w:customStyle="1" w:styleId="ZkladntextChar">
    <w:name w:val="Základní text Char"/>
    <w:link w:val="Zkladntext"/>
    <w:uiPriority w:val="99"/>
    <w:rsid w:val="009372B3"/>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9372B3"/>
    <w:rPr>
      <w:color w:val="0000FF"/>
      <w:u w:val="single"/>
    </w:rPr>
  </w:style>
  <w:style w:type="paragraph" w:styleId="Prosttext">
    <w:name w:val="Plain Text"/>
    <w:basedOn w:val="Normln"/>
    <w:link w:val="ProsttextChar"/>
    <w:uiPriority w:val="99"/>
    <w:rsid w:val="009372B3"/>
    <w:rPr>
      <w:rFonts w:ascii="Courier New" w:eastAsia="MS Mincho" w:hAnsi="Courier New"/>
      <w:lang w:val="x-none" w:eastAsia="x-none"/>
    </w:rPr>
  </w:style>
  <w:style w:type="character" w:customStyle="1" w:styleId="ProsttextChar">
    <w:name w:val="Prostý text Char"/>
    <w:link w:val="Prosttext"/>
    <w:uiPriority w:val="99"/>
    <w:rsid w:val="009372B3"/>
    <w:rPr>
      <w:rFonts w:ascii="Courier New" w:eastAsia="MS Mincho" w:hAnsi="Courier New" w:cs="Times New Roman"/>
      <w:sz w:val="20"/>
      <w:szCs w:val="20"/>
      <w:lang w:val="x-none" w:eastAsia="x-none"/>
    </w:rPr>
  </w:style>
  <w:style w:type="paragraph" w:styleId="Textbubliny">
    <w:name w:val="Balloon Text"/>
    <w:basedOn w:val="Normln"/>
    <w:link w:val="TextbublinyChar"/>
    <w:uiPriority w:val="99"/>
    <w:semiHidden/>
    <w:rsid w:val="009372B3"/>
    <w:rPr>
      <w:rFonts w:ascii="Tahoma" w:eastAsia="Times New Roman" w:hAnsi="Tahoma"/>
      <w:sz w:val="16"/>
      <w:szCs w:val="16"/>
      <w:lang w:val="x-none" w:eastAsia="x-none"/>
    </w:rPr>
  </w:style>
  <w:style w:type="character" w:customStyle="1" w:styleId="TextbublinyChar">
    <w:name w:val="Text bubliny Char"/>
    <w:link w:val="Textbubliny"/>
    <w:uiPriority w:val="99"/>
    <w:semiHidden/>
    <w:rsid w:val="009372B3"/>
    <w:rPr>
      <w:rFonts w:ascii="Tahoma" w:eastAsia="Times New Roman" w:hAnsi="Tahoma" w:cs="Times New Roman"/>
      <w:sz w:val="16"/>
      <w:szCs w:val="16"/>
      <w:lang w:val="x-none" w:eastAsia="x-none"/>
    </w:rPr>
  </w:style>
  <w:style w:type="table" w:styleId="Mkatabulky">
    <w:name w:val="Table Grid"/>
    <w:basedOn w:val="Normlntabulka"/>
    <w:uiPriority w:val="59"/>
    <w:rsid w:val="009372B3"/>
    <w:rPr>
      <w:rFonts w:eastAsia="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My Style 1,List Paragraph1"/>
    <w:basedOn w:val="Normln"/>
    <w:link w:val="OdstavecseseznamemChar"/>
    <w:uiPriority w:val="34"/>
    <w:qFormat/>
    <w:rsid w:val="009372B3"/>
    <w:pPr>
      <w:ind w:left="708"/>
    </w:pPr>
    <w:rPr>
      <w:rFonts w:ascii="Calibri" w:eastAsia="Times New Roman" w:hAnsi="Calibri" w:cs="Calibri"/>
      <w:sz w:val="22"/>
    </w:rPr>
  </w:style>
  <w:style w:type="paragraph" w:styleId="Nzev">
    <w:name w:val="Title"/>
    <w:basedOn w:val="Normln"/>
    <w:next w:val="Normln"/>
    <w:link w:val="NzevChar"/>
    <w:qFormat/>
    <w:rsid w:val="00AE72C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AE72C5"/>
    <w:rPr>
      <w:rFonts w:asciiTheme="majorHAnsi" w:eastAsiaTheme="majorEastAsia" w:hAnsiTheme="majorHAnsi" w:cstheme="majorBidi"/>
      <w:spacing w:val="-10"/>
      <w:kern w:val="28"/>
      <w:sz w:val="56"/>
      <w:szCs w:val="56"/>
    </w:rPr>
  </w:style>
  <w:style w:type="character" w:styleId="Odkaznakoment">
    <w:name w:val="annotation reference"/>
    <w:basedOn w:val="Standardnpsmoodstavce"/>
    <w:uiPriority w:val="99"/>
    <w:semiHidden/>
    <w:unhideWhenUsed/>
    <w:rsid w:val="00E43C3D"/>
    <w:rPr>
      <w:sz w:val="16"/>
      <w:szCs w:val="16"/>
    </w:rPr>
  </w:style>
  <w:style w:type="paragraph" w:styleId="Textkomente">
    <w:name w:val="annotation text"/>
    <w:basedOn w:val="Normln"/>
    <w:link w:val="TextkomenteChar"/>
    <w:uiPriority w:val="99"/>
    <w:semiHidden/>
    <w:unhideWhenUsed/>
    <w:rsid w:val="00E43C3D"/>
    <w:pPr>
      <w:spacing w:line="240" w:lineRule="auto"/>
    </w:pPr>
    <w:rPr>
      <w:sz w:val="20"/>
      <w:szCs w:val="20"/>
    </w:rPr>
  </w:style>
  <w:style w:type="character" w:customStyle="1" w:styleId="TextkomenteChar">
    <w:name w:val="Text komentáře Char"/>
    <w:basedOn w:val="Standardnpsmoodstavce"/>
    <w:link w:val="Textkomente"/>
    <w:uiPriority w:val="99"/>
    <w:semiHidden/>
    <w:rsid w:val="00E43C3D"/>
    <w:rPr>
      <w:rFonts w:cstheme="minorBidi"/>
    </w:rPr>
  </w:style>
  <w:style w:type="paragraph" w:styleId="Pedmtkomente">
    <w:name w:val="annotation subject"/>
    <w:basedOn w:val="Textkomente"/>
    <w:next w:val="Textkomente"/>
    <w:link w:val="PedmtkomenteChar"/>
    <w:uiPriority w:val="99"/>
    <w:semiHidden/>
    <w:unhideWhenUsed/>
    <w:rsid w:val="00E43C3D"/>
    <w:rPr>
      <w:b/>
      <w:bCs/>
    </w:rPr>
  </w:style>
  <w:style w:type="character" w:customStyle="1" w:styleId="PedmtkomenteChar">
    <w:name w:val="Předmět komentáře Char"/>
    <w:basedOn w:val="TextkomenteChar"/>
    <w:link w:val="Pedmtkomente"/>
    <w:uiPriority w:val="99"/>
    <w:semiHidden/>
    <w:rsid w:val="00E43C3D"/>
    <w:rPr>
      <w:rFonts w:cstheme="minorBidi"/>
      <w:b/>
      <w:bCs/>
    </w:rPr>
  </w:style>
  <w:style w:type="paragraph" w:styleId="Revize">
    <w:name w:val="Revision"/>
    <w:hidden/>
    <w:uiPriority w:val="99"/>
    <w:semiHidden/>
    <w:rsid w:val="008146D9"/>
    <w:rPr>
      <w:rFonts w:cstheme="minorBidi"/>
      <w:sz w:val="24"/>
      <w:szCs w:val="22"/>
    </w:rPr>
  </w:style>
  <w:style w:type="character" w:customStyle="1" w:styleId="OdstavecseseznamemChar">
    <w:name w:val="Odstavec se seznamem Char"/>
    <w:aliases w:val="My Style 1 Char,List Paragraph1 Char"/>
    <w:link w:val="Odstavecseseznamem"/>
    <w:uiPriority w:val="34"/>
    <w:rsid w:val="003F667A"/>
    <w:rPr>
      <w:rFonts w:ascii="Calibri" w:eastAsia="Times New Roman" w:hAnsi="Calibri" w:cs="Calibri"/>
      <w:sz w:val="22"/>
      <w:szCs w:val="22"/>
    </w:rPr>
  </w:style>
  <w:style w:type="character" w:styleId="Siln">
    <w:name w:val="Strong"/>
    <w:basedOn w:val="Standardnpsmoodstavce"/>
    <w:uiPriority w:val="22"/>
    <w:qFormat/>
    <w:rsid w:val="00DC46CE"/>
    <w:rPr>
      <w:b/>
      <w:bCs/>
    </w:rPr>
  </w:style>
  <w:style w:type="character" w:customStyle="1" w:styleId="jmena">
    <w:name w:val="jmena"/>
    <w:basedOn w:val="Standardnpsmoodstavce"/>
    <w:rsid w:val="00DC46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09CF3-0D61-4425-B864-9674B2053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1743</Words>
  <Characters>10284</Characters>
  <Application>Microsoft Office Word</Application>
  <DocSecurity>0</DocSecurity>
  <Lines>85</Lines>
  <Paragraphs>24</Paragraphs>
  <ScaleCrop>false</ScaleCrop>
  <HeadingPairs>
    <vt:vector size="2" baseType="variant">
      <vt:variant>
        <vt:lpstr>Název</vt:lpstr>
      </vt:variant>
      <vt:variant>
        <vt:i4>1</vt:i4>
      </vt:variant>
    </vt:vector>
  </HeadingPairs>
  <TitlesOfParts>
    <vt:vector size="1" baseType="lpstr">
      <vt:lpstr/>
    </vt:vector>
  </TitlesOfParts>
  <Company>VŠE</Company>
  <LinksUpToDate>false</LinksUpToDate>
  <CharactersWithSpaces>12003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Jaromír Veber</dc:creator>
  <cp:lastModifiedBy>Veber Jaromír</cp:lastModifiedBy>
  <cp:revision>2</cp:revision>
  <dcterms:created xsi:type="dcterms:W3CDTF">2015-03-17T10:57:00Z</dcterms:created>
  <dcterms:modified xsi:type="dcterms:W3CDTF">2015-03-17T10:57:00Z</dcterms:modified>
</cp:coreProperties>
</file>