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42"/>
        <w:gridCol w:w="2836"/>
        <w:gridCol w:w="457"/>
        <w:gridCol w:w="597"/>
        <w:gridCol w:w="3872"/>
      </w:tblGrid>
      <w:tr w:rsidR="00AE72C5" w:rsidTr="00B15CF8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 xml:space="preserve">ýzkum a vývoj pro inovace (OP </w:t>
            </w:r>
            <w:proofErr w:type="spellStart"/>
            <w:r w:rsidRPr="003D1E91">
              <w:rPr>
                <w:rFonts w:asciiTheme="minorHAnsi" w:hAnsiTheme="minorHAnsi" w:cstheme="minorHAnsi"/>
              </w:rPr>
              <w:t>VaVpI</w:t>
            </w:r>
            <w:proofErr w:type="spellEnd"/>
            <w:r w:rsidRPr="003D1E91">
              <w:rPr>
                <w:rFonts w:asciiTheme="minorHAnsi" w:hAnsiTheme="minorHAnsi" w:cstheme="minorHAnsi"/>
              </w:rPr>
              <w:t>)</w:t>
            </w:r>
          </w:p>
        </w:tc>
      </w:tr>
      <w:tr w:rsidR="0052281E" w:rsidTr="00B15CF8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B15CF8">
        <w:trPr>
          <w:trHeight w:val="277"/>
        </w:trPr>
        <w:tc>
          <w:tcPr>
            <w:tcW w:w="1702" w:type="dxa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904" w:type="dxa"/>
            <w:gridSpan w:val="5"/>
          </w:tcPr>
          <w:p w:rsidR="00AE72C5" w:rsidRPr="00E4455A" w:rsidRDefault="00423085" w:rsidP="00423085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3085">
              <w:rPr>
                <w:rFonts w:asciiTheme="minorHAnsi" w:hAnsiTheme="minorHAnsi" w:cstheme="minorHAnsi"/>
                <w:sz w:val="18"/>
                <w:szCs w:val="18"/>
              </w:rPr>
              <w:t>Biomedicínské centrum Lékařské fakulty v Plzni</w:t>
            </w:r>
          </w:p>
        </w:tc>
      </w:tr>
      <w:tr w:rsidR="00E71CB7" w:rsidTr="00B15CF8">
        <w:trPr>
          <w:trHeight w:val="277"/>
        </w:trPr>
        <w:tc>
          <w:tcPr>
            <w:tcW w:w="1702" w:type="dxa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904" w:type="dxa"/>
            <w:gridSpan w:val="5"/>
          </w:tcPr>
          <w:p w:rsidR="00E71CB7" w:rsidRPr="00E4455A" w:rsidRDefault="00423085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3085">
              <w:rPr>
                <w:rFonts w:asciiTheme="minorHAnsi" w:hAnsiTheme="minorHAnsi" w:cstheme="minorHAnsi"/>
                <w:sz w:val="18"/>
                <w:szCs w:val="18"/>
              </w:rPr>
              <w:t>Univerzita Karlova v Praze</w:t>
            </w:r>
          </w:p>
        </w:tc>
      </w:tr>
      <w:tr w:rsidR="00E71CB7" w:rsidTr="00B15CF8">
        <w:trPr>
          <w:trHeight w:val="277"/>
        </w:trPr>
        <w:tc>
          <w:tcPr>
            <w:tcW w:w="1702" w:type="dxa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904" w:type="dxa"/>
            <w:gridSpan w:val="5"/>
          </w:tcPr>
          <w:p w:rsidR="00E71CB7" w:rsidRPr="00E4455A" w:rsidRDefault="00423085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3085">
              <w:rPr>
                <w:rFonts w:asciiTheme="minorHAnsi" w:hAnsiTheme="minorHAnsi" w:cstheme="minorHAnsi"/>
                <w:sz w:val="18"/>
                <w:szCs w:val="18"/>
              </w:rPr>
              <w:t>CZ.1.5/2.1.00/03.0076</w:t>
            </w:r>
          </w:p>
        </w:tc>
      </w:tr>
      <w:tr w:rsidR="00F74C5F" w:rsidTr="00B15CF8">
        <w:trPr>
          <w:trHeight w:val="277"/>
        </w:trPr>
        <w:tc>
          <w:tcPr>
            <w:tcW w:w="1702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904" w:type="dxa"/>
            <w:gridSpan w:val="5"/>
          </w:tcPr>
          <w:p w:rsidR="00F74C5F" w:rsidRPr="00E4455A" w:rsidRDefault="00423085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3085">
              <w:rPr>
                <w:rFonts w:asciiTheme="minorHAnsi" w:hAnsiTheme="minorHAnsi" w:cstheme="minorHAnsi"/>
                <w:sz w:val="18"/>
                <w:szCs w:val="18"/>
              </w:rPr>
              <w:t>Ovocný trh 541/3, 110 00 Praha 1</w:t>
            </w:r>
          </w:p>
        </w:tc>
      </w:tr>
      <w:tr w:rsidR="00F74C5F" w:rsidTr="00B15CF8">
        <w:trPr>
          <w:trHeight w:val="277"/>
        </w:trPr>
        <w:tc>
          <w:tcPr>
            <w:tcW w:w="1702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904" w:type="dxa"/>
            <w:gridSpan w:val="5"/>
          </w:tcPr>
          <w:p w:rsidR="00F74C5F" w:rsidRPr="00E4455A" w:rsidRDefault="00423085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23085">
              <w:rPr>
                <w:rFonts w:asciiTheme="minorHAnsi" w:hAnsiTheme="minorHAnsi" w:cstheme="minorHAnsi"/>
                <w:sz w:val="18"/>
                <w:szCs w:val="18"/>
              </w:rPr>
              <w:t xml:space="preserve">2.2 – Regionální </w:t>
            </w:r>
            <w:proofErr w:type="spellStart"/>
            <w:r w:rsidRPr="00423085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423085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F74C5F" w:rsidTr="00B15CF8">
        <w:trPr>
          <w:trHeight w:val="277"/>
        </w:trPr>
        <w:tc>
          <w:tcPr>
            <w:tcW w:w="1702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904" w:type="dxa"/>
            <w:gridSpan w:val="5"/>
          </w:tcPr>
          <w:p w:rsidR="00F74C5F" w:rsidRPr="00E4455A" w:rsidRDefault="00423085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29.3. 2012</w:t>
            </w:r>
            <w:proofErr w:type="gramEnd"/>
          </w:p>
        </w:tc>
      </w:tr>
      <w:tr w:rsidR="00F74C5F" w:rsidTr="00B15CF8">
        <w:trPr>
          <w:trHeight w:val="623"/>
        </w:trPr>
        <w:tc>
          <w:tcPr>
            <w:tcW w:w="1702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435" w:type="dxa"/>
            <w:gridSpan w:val="3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4230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423085">
              <w:rPr>
                <w:rFonts w:asciiTheme="minorHAnsi" w:hAnsiTheme="minorHAnsi" w:cstheme="minorHAnsi"/>
                <w:sz w:val="18"/>
                <w:szCs w:val="18"/>
              </w:rPr>
              <w:t>1.4. 2012</w:t>
            </w:r>
            <w:proofErr w:type="gramEnd"/>
            <w:r w:rsidR="00423085">
              <w:rPr>
                <w:rFonts w:asciiTheme="minorHAnsi" w:hAnsiTheme="minorHAnsi" w:cstheme="minorHAnsi"/>
                <w:sz w:val="18"/>
                <w:szCs w:val="18"/>
              </w:rPr>
              <w:t xml:space="preserve"> (datum zahájení projektu 1.7. 2008)</w:t>
            </w:r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469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2308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423085">
              <w:rPr>
                <w:rFonts w:asciiTheme="minorHAnsi" w:hAnsiTheme="minorHAnsi" w:cstheme="minorHAnsi"/>
                <w:sz w:val="18"/>
                <w:szCs w:val="18"/>
              </w:rPr>
              <w:t>30.6. 2015</w:t>
            </w:r>
            <w:proofErr w:type="gramEnd"/>
          </w:p>
        </w:tc>
      </w:tr>
      <w:tr w:rsidR="00F74C5F" w:rsidTr="00B15CF8">
        <w:trPr>
          <w:trHeight w:val="277"/>
        </w:trPr>
        <w:tc>
          <w:tcPr>
            <w:tcW w:w="1702" w:type="dxa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435" w:type="dxa"/>
            <w:gridSpan w:val="3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bez snížení):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114E" w:rsidRPr="00E6114E">
              <w:rPr>
                <w:rFonts w:asciiTheme="minorHAnsi" w:hAnsiTheme="minorHAnsi" w:cstheme="minorHAnsi"/>
                <w:sz w:val="18"/>
                <w:szCs w:val="18"/>
              </w:rPr>
              <w:t>408 075 325,00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4469" w:type="dxa"/>
            <w:gridSpan w:val="2"/>
          </w:tcPr>
          <w:p w:rsidR="00F34368" w:rsidRPr="00E6114E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6114E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  <w:r w:rsidR="00E6114E" w:rsidRPr="00E6114E">
              <w:rPr>
                <w:rFonts w:asciiTheme="minorHAnsi" w:hAnsiTheme="minorHAnsi" w:cstheme="minorHAnsi"/>
                <w:sz w:val="18"/>
                <w:szCs w:val="18"/>
              </w:rPr>
              <w:t xml:space="preserve"> 61 211 298,75</w:t>
            </w:r>
          </w:p>
          <w:p w:rsidR="00F34368" w:rsidRPr="00E6114E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6114E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  <w:r w:rsidR="00E6114E" w:rsidRPr="00E6114E">
              <w:rPr>
                <w:rFonts w:asciiTheme="minorHAnsi" w:hAnsiTheme="minorHAnsi" w:cstheme="minorHAnsi"/>
                <w:sz w:val="18"/>
                <w:szCs w:val="18"/>
              </w:rPr>
              <w:t xml:space="preserve"> 346 864 026,25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368" w:rsidTr="00B15CF8">
        <w:trPr>
          <w:trHeight w:val="1191"/>
        </w:trPr>
        <w:tc>
          <w:tcPr>
            <w:tcW w:w="1702" w:type="dxa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</w:t>
            </w:r>
            <w:proofErr w:type="spellStart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904" w:type="dxa"/>
            <w:gridSpan w:val="5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129 177 128,13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142 298 127,58 Kč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6114E" w:rsidRPr="00E6114E">
              <w:rPr>
                <w:rFonts w:asciiTheme="minorHAnsi" w:hAnsiTheme="minorHAnsi" w:cstheme="minorHAnsi"/>
                <w:sz w:val="18"/>
                <w:szCs w:val="18"/>
              </w:rPr>
              <w:t>56 274 940,00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proofErr w:type="spellStart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114E">
              <w:rPr>
                <w:rFonts w:asciiTheme="minorHAnsi" w:hAnsiTheme="minorHAnsi" w:cstheme="minorHAnsi"/>
                <w:sz w:val="18"/>
                <w:szCs w:val="18"/>
              </w:rPr>
              <w:t xml:space="preserve"> 80 325 129,29 Kč</w:t>
            </w:r>
          </w:p>
        </w:tc>
      </w:tr>
      <w:tr w:rsidR="008353DD" w:rsidTr="00B15CF8">
        <w:trPr>
          <w:trHeight w:val="1116"/>
        </w:trPr>
        <w:tc>
          <w:tcPr>
            <w:tcW w:w="1702" w:type="dxa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7904" w:type="dxa"/>
            <w:gridSpan w:val="5"/>
          </w:tcPr>
          <w:p w:rsidR="008353DD" w:rsidRPr="00E4455A" w:rsidRDefault="0040020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00208">
              <w:rPr>
                <w:rFonts w:asciiTheme="minorHAnsi" w:hAnsiTheme="minorHAnsi" w:cstheme="minorHAnsi"/>
                <w:sz w:val="18"/>
                <w:szCs w:val="18"/>
              </w:rPr>
              <w:t xml:space="preserve">Hlavním cílem projektu je vytvoření kvalitního a svým zaměřením zcela ojedinělého regionálního </w:t>
            </w:r>
            <w:proofErr w:type="spellStart"/>
            <w:r w:rsidRPr="00400208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400208">
              <w:rPr>
                <w:rFonts w:asciiTheme="minorHAnsi" w:hAnsiTheme="minorHAnsi" w:cstheme="minorHAnsi"/>
                <w:sz w:val="18"/>
                <w:szCs w:val="18"/>
              </w:rPr>
              <w:t xml:space="preserve"> centra v oblasti biomedicínského výzkumu, konkrétně v nahrazování a regeneraci orgánů. Projekt Biomedicínského centra Lékařské fakulty Univerzity Karlovy v Plzni vychází z dlouholeté spolupráce dvou klíčových regionálních partnerů: výzkumného a výukového zařízení (Lékařská fakulta Univerzity Karlovy v Plzni) na jedné straně a léčebného zařízení, coby jeho hlavního aplikačního partnera (Fakultní nemocnice Plzeň).</w:t>
            </w:r>
          </w:p>
        </w:tc>
      </w:tr>
      <w:tr w:rsidR="00526313" w:rsidTr="00B15CF8">
        <w:trPr>
          <w:trHeight w:val="277"/>
        </w:trPr>
        <w:tc>
          <w:tcPr>
            <w:tcW w:w="1702" w:type="dxa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435" w:type="dxa"/>
            <w:gridSpan w:val="3"/>
          </w:tcPr>
          <w:p w:rsidR="00526313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974AD7" w:rsidRDefault="00974AD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9.11. 2012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zahájení stavby</w:t>
            </w:r>
          </w:p>
          <w:p w:rsidR="00974AD7" w:rsidRPr="00E4455A" w:rsidRDefault="00974AD7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27.6. 2014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kolaudační souhlas</w:t>
            </w:r>
          </w:p>
        </w:tc>
        <w:tc>
          <w:tcPr>
            <w:tcW w:w="4469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</w:p>
          <w:p w:rsidR="00400208" w:rsidRPr="00E4455A" w:rsidRDefault="0040020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GEMO Olomouc s.r.o.</w:t>
            </w:r>
          </w:p>
        </w:tc>
      </w:tr>
      <w:tr w:rsidR="008353DD" w:rsidTr="00B15CF8">
        <w:trPr>
          <w:trHeight w:val="1290"/>
        </w:trPr>
        <w:tc>
          <w:tcPr>
            <w:tcW w:w="1702" w:type="dxa"/>
            <w:shd w:val="clear" w:color="auto" w:fill="auto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1E7931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1E793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1E7931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1E7931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1E7931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7904" w:type="dxa"/>
            <w:gridSpan w:val="5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80"/>
              <w:gridCol w:w="4745"/>
              <w:gridCol w:w="841"/>
              <w:gridCol w:w="821"/>
              <w:gridCol w:w="950"/>
            </w:tblGrid>
            <w:tr w:rsidR="001E7931" w:rsidRPr="00E91C8F" w:rsidTr="00B15CF8">
              <w:trPr>
                <w:trHeight w:val="141"/>
              </w:trPr>
              <w:tc>
                <w:tcPr>
                  <w:tcW w:w="5425" w:type="dxa"/>
                  <w:gridSpan w:val="2"/>
                  <w:shd w:val="clear" w:color="000000" w:fill="FFFFFF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 xml:space="preserve">Závazné hodnoty </w:t>
                  </w: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monitorovacích</w:t>
                  </w:r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 xml:space="preserve"> indikátorů:</w:t>
                  </w:r>
                </w:p>
              </w:tc>
              <w:tc>
                <w:tcPr>
                  <w:tcW w:w="841" w:type="dxa"/>
                  <w:vAlign w:val="center"/>
                </w:tcPr>
                <w:p w:rsidR="001E7931" w:rsidRPr="00B15CF8" w:rsidRDefault="001E7931" w:rsidP="002352F5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20"/>
                      <w:lang w:eastAsia="cs-CZ"/>
                    </w:rPr>
                  </w:pPr>
                  <w:r w:rsidRPr="00B15CF8">
                    <w:rPr>
                      <w:b/>
                      <w:bCs/>
                      <w:sz w:val="18"/>
                      <w:szCs w:val="20"/>
                      <w:lang w:eastAsia="cs-CZ"/>
                    </w:rPr>
                    <w:t>K datu ukončení</w:t>
                  </w:r>
                </w:p>
                <w:p w:rsidR="001E7931" w:rsidRPr="00B15CF8" w:rsidRDefault="001E7931" w:rsidP="002352F5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20"/>
                      <w:lang w:eastAsia="cs-CZ"/>
                    </w:rPr>
                  </w:pPr>
                  <w:r w:rsidRPr="00B15CF8">
                    <w:rPr>
                      <w:b/>
                      <w:bCs/>
                      <w:sz w:val="18"/>
                      <w:szCs w:val="20"/>
                      <w:lang w:eastAsia="cs-CZ"/>
                    </w:rPr>
                    <w:t>realizace projektu</w:t>
                  </w:r>
                </w:p>
              </w:tc>
              <w:tc>
                <w:tcPr>
                  <w:tcW w:w="821" w:type="dxa"/>
                </w:tcPr>
                <w:p w:rsidR="001E7931" w:rsidRPr="00B15CF8" w:rsidRDefault="001E7931" w:rsidP="002352F5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20"/>
                      <w:lang w:eastAsia="cs-CZ"/>
                    </w:rPr>
                  </w:pPr>
                  <w:r w:rsidRPr="00B15CF8">
                    <w:rPr>
                      <w:b/>
                      <w:bCs/>
                      <w:sz w:val="18"/>
                      <w:szCs w:val="20"/>
                      <w:lang w:eastAsia="cs-CZ"/>
                    </w:rPr>
                    <w:t>Aktuální stav k </w:t>
                  </w:r>
                  <w:proofErr w:type="gramStart"/>
                  <w:r w:rsidRPr="00B15CF8">
                    <w:rPr>
                      <w:b/>
                      <w:bCs/>
                      <w:sz w:val="18"/>
                      <w:szCs w:val="20"/>
                      <w:lang w:eastAsia="cs-CZ"/>
                    </w:rPr>
                    <w:t>9.2. 2015</w:t>
                  </w:r>
                  <w:proofErr w:type="gramEnd"/>
                </w:p>
              </w:tc>
              <w:tc>
                <w:tcPr>
                  <w:tcW w:w="950" w:type="dxa"/>
                  <w:vAlign w:val="center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  <w:lang w:eastAsia="cs-CZ"/>
                    </w:rPr>
                  </w:pPr>
                  <w:proofErr w:type="gramStart"/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>31</w:t>
                  </w:r>
                  <w:r>
                    <w:rPr>
                      <w:b/>
                      <w:bCs/>
                      <w:sz w:val="20"/>
                      <w:szCs w:val="20"/>
                      <w:lang w:eastAsia="cs-CZ"/>
                    </w:rPr>
                    <w:t>.</w:t>
                  </w:r>
                  <w:r w:rsidRPr="00E91C8F">
                    <w:rPr>
                      <w:b/>
                      <w:bCs/>
                      <w:sz w:val="20"/>
                      <w:szCs w:val="20"/>
                      <w:lang w:eastAsia="cs-CZ"/>
                    </w:rPr>
                    <w:t>12.2015</w:t>
                  </w:r>
                  <w:proofErr w:type="gramEnd"/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91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136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129</w:t>
                  </w:r>
                </w:p>
              </w:tc>
            </w:tr>
            <w:tr w:rsidR="001E7931" w:rsidRPr="00E91C8F" w:rsidTr="00B15CF8">
              <w:trPr>
                <w:trHeight w:val="510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110503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Výsledky výzkumu chráněné na základě zvláštního právního předpisu (dle </w:t>
                  </w:r>
                  <w:proofErr w:type="spellStart"/>
                  <w:r w:rsidRPr="00E91C8F">
                    <w:rPr>
                      <w:sz w:val="20"/>
                      <w:szCs w:val="20"/>
                      <w:lang w:eastAsia="cs-CZ"/>
                    </w:rPr>
                    <w:t>metodiky</w:t>
                  </w:r>
                  <w:r>
                    <w:rPr>
                      <w:sz w:val="20"/>
                      <w:szCs w:val="20"/>
                      <w:lang w:eastAsia="cs-CZ"/>
                    </w:rPr>
                    <w:t>y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RVV</w:t>
                  </w:r>
                  <w:proofErr w:type="spellEnd"/>
                  <w:r w:rsidRPr="00E91C8F">
                    <w:rPr>
                      <w:sz w:val="20"/>
                      <w:szCs w:val="20"/>
                      <w:lang w:eastAsia="cs-CZ"/>
                    </w:rPr>
                    <w:t>)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Aplikované výs</w:t>
                  </w:r>
                  <w:r>
                    <w:rPr>
                      <w:sz w:val="20"/>
                      <w:szCs w:val="20"/>
                      <w:lang w:eastAsia="cs-CZ"/>
                    </w:rPr>
                    <w:t>ledky výzkumu (dle metodiky RVV)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1112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00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Objem smluvního výzkumu</w:t>
                  </w:r>
                  <w:r>
                    <w:rPr>
                      <w:sz w:val="20"/>
                      <w:szCs w:val="20"/>
                      <w:lang w:eastAsia="cs-CZ"/>
                    </w:rPr>
                    <w:t xml:space="preserve"> (tis. Kč)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10 000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2958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15 000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0749</w:t>
                  </w:r>
                  <w:r>
                    <w:rPr>
                      <w:sz w:val="20"/>
                      <w:szCs w:val="20"/>
                      <w:lang w:eastAsia="cs-CZ"/>
                    </w:rPr>
                    <w:t>0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lastRenderedPageBreak/>
                    <w:t>1</w:t>
                  </w:r>
                </w:p>
              </w:tc>
              <w:tc>
                <w:tcPr>
                  <w:tcW w:w="4745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lastRenderedPageBreak/>
                    <w:t xml:space="preserve">Počet úspěšných absolventů magisterských studijních 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lastRenderedPageBreak/>
                    <w:t>programů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lastRenderedPageBreak/>
                    <w:t>55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44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70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lastRenderedPageBreak/>
                    <w:t>074902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Počet úspěšných a</w:t>
                  </w:r>
                  <w:r>
                    <w:rPr>
                      <w:sz w:val="20"/>
                      <w:szCs w:val="20"/>
                      <w:lang w:eastAsia="cs-CZ"/>
                    </w:rPr>
                    <w:t>b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solventů doktorských st</w:t>
                  </w:r>
                  <w:r>
                    <w:rPr>
                      <w:sz w:val="20"/>
                      <w:szCs w:val="20"/>
                      <w:lang w:eastAsia="cs-CZ"/>
                    </w:rPr>
                    <w:t>u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dijních programů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6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3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8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1107</w:t>
                  </w:r>
                  <w:r>
                    <w:rPr>
                      <w:sz w:val="20"/>
                      <w:szCs w:val="20"/>
                      <w:lang w:eastAsia="cs-CZ"/>
                    </w:rPr>
                    <w:t>2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Počet projektů spolupráce aplikační sféry s regionálními </w:t>
                  </w:r>
                  <w:proofErr w:type="spellStart"/>
                  <w:r w:rsidRPr="00E91C8F">
                    <w:rPr>
                      <w:sz w:val="20"/>
                      <w:szCs w:val="20"/>
                      <w:lang w:eastAsia="cs-CZ"/>
                    </w:rPr>
                    <w:t>VaV</w:t>
                  </w:r>
                  <w:proofErr w:type="spellEnd"/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 cent</w:t>
                  </w:r>
                  <w:r>
                    <w:rPr>
                      <w:sz w:val="20"/>
                      <w:szCs w:val="20"/>
                      <w:lang w:eastAsia="cs-CZ"/>
                    </w:rPr>
                    <w:t>r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y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1</w:t>
                  </w:r>
                  <w:r>
                    <w:rPr>
                      <w:sz w:val="20"/>
                      <w:szCs w:val="20"/>
                      <w:lang w:eastAsia="cs-CZ"/>
                    </w:rPr>
                    <w:t>2</w:t>
                  </w:r>
                </w:p>
              </w:tc>
            </w:tr>
            <w:tr w:rsidR="001E7931" w:rsidRPr="00E91C8F" w:rsidTr="00B15CF8">
              <w:trPr>
                <w:trHeight w:val="510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10815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Počet studentů všech stupňů, kteří vyu</w:t>
                  </w:r>
                  <w:r>
                    <w:rPr>
                      <w:sz w:val="20"/>
                      <w:szCs w:val="20"/>
                      <w:lang w:eastAsia="cs-CZ"/>
                    </w:rPr>
                    <w:t>ž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ív</w:t>
                  </w:r>
                  <w:r>
                    <w:rPr>
                      <w:sz w:val="20"/>
                      <w:szCs w:val="20"/>
                      <w:lang w:eastAsia="cs-CZ"/>
                    </w:rPr>
                    <w:t>a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jí vybudovanou infrastrukturu / zapojených do činnosti centra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120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 xml:space="preserve">Počet nově vytvořených 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pracovních mí</w:t>
                  </w:r>
                  <w:r>
                    <w:rPr>
                      <w:sz w:val="20"/>
                      <w:szCs w:val="20"/>
                      <w:lang w:eastAsia="cs-CZ"/>
                    </w:rPr>
                    <w:t>s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t, zaměstnanci </w:t>
                  </w:r>
                  <w:proofErr w:type="spellStart"/>
                  <w:r w:rsidRPr="00E91C8F">
                    <w:rPr>
                      <w:sz w:val="20"/>
                      <w:szCs w:val="20"/>
                      <w:lang w:eastAsia="cs-CZ"/>
                    </w:rPr>
                    <w:t>VaV</w:t>
                  </w:r>
                  <w:proofErr w:type="spellEnd"/>
                  <w:r w:rsidRPr="00E91C8F">
                    <w:rPr>
                      <w:sz w:val="20"/>
                      <w:szCs w:val="20"/>
                      <w:lang w:eastAsia="cs-CZ"/>
                    </w:rPr>
                    <w:cr/>
                    <w:t xml:space="preserve">- celkem  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55,4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34,33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55,4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Počet nově vytvořených praco</w:t>
                  </w:r>
                  <w:r>
                    <w:rPr>
                      <w:sz w:val="20"/>
                      <w:szCs w:val="20"/>
                      <w:lang w:eastAsia="cs-CZ"/>
                    </w:rPr>
                    <w:t xml:space="preserve">vních míst, výzkumní pracovníci 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celkem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41,5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30,68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41,5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Počet nově vytvořen</w:t>
                  </w:r>
                  <w:r>
                    <w:rPr>
                      <w:sz w:val="20"/>
                      <w:szCs w:val="20"/>
                      <w:lang w:eastAsia="cs-CZ"/>
                    </w:rPr>
                    <w:t>ý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ch pracovních m</w:t>
                  </w:r>
                  <w:r>
                    <w:rPr>
                      <w:sz w:val="20"/>
                      <w:szCs w:val="20"/>
                      <w:lang w:eastAsia="cs-CZ"/>
                    </w:rPr>
                    <w:t>í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st, výzkumní pracovníci </w:t>
                  </w:r>
                  <w:proofErr w:type="gramStart"/>
                  <w:r w:rsidRPr="00E91C8F">
                    <w:rPr>
                      <w:sz w:val="20"/>
                      <w:szCs w:val="20"/>
                      <w:lang w:eastAsia="cs-CZ"/>
                    </w:rPr>
                    <w:t>do</w:t>
                  </w:r>
                  <w:proofErr w:type="gramEnd"/>
                  <w:r w:rsidRPr="00E91C8F">
                    <w:rPr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cr/>
                  </w:r>
                  <w:r>
                    <w:rPr>
                      <w:sz w:val="20"/>
                      <w:szCs w:val="20"/>
                      <w:lang w:eastAsia="cs-CZ"/>
                    </w:rPr>
                    <w:t>3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5 let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12,8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16,18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1</w:t>
                  </w:r>
                  <w:r>
                    <w:rPr>
                      <w:sz w:val="20"/>
                      <w:szCs w:val="20"/>
                      <w:lang w:eastAsia="cs-CZ"/>
                    </w:rPr>
                    <w:t>2</w:t>
                  </w:r>
                  <w:r w:rsidRPr="00FF2051">
                    <w:rPr>
                      <w:sz w:val="20"/>
                      <w:szCs w:val="20"/>
                      <w:lang w:eastAsia="cs-CZ"/>
                    </w:rPr>
                    <w:t>,8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</w:t>
                  </w:r>
                  <w:r>
                    <w:rPr>
                      <w:sz w:val="20"/>
                      <w:szCs w:val="20"/>
                      <w:lang w:eastAsia="cs-CZ"/>
                    </w:rPr>
                    <w:t>1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051</w:t>
                  </w:r>
                  <w:r>
                    <w:rPr>
                      <w:sz w:val="20"/>
                      <w:szCs w:val="20"/>
                      <w:lang w:eastAsia="cs-CZ"/>
                    </w:rPr>
                    <w:t>6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0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  <w:tr w:rsidR="001E7931" w:rsidRPr="00E91C8F" w:rsidTr="00B15CF8">
              <w:trPr>
                <w:trHeight w:val="255"/>
              </w:trPr>
              <w:tc>
                <w:tcPr>
                  <w:tcW w:w="680" w:type="dxa"/>
                  <w:noWrap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1105</w:t>
                  </w:r>
                  <w:r>
                    <w:rPr>
                      <w:sz w:val="20"/>
                      <w:szCs w:val="20"/>
                      <w:lang w:eastAsia="cs-CZ"/>
                    </w:rPr>
                    <w:t>1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7</w:t>
                  </w:r>
                </w:p>
              </w:tc>
              <w:tc>
                <w:tcPr>
                  <w:tcW w:w="4745" w:type="dxa"/>
                  <w:vAlign w:val="bottom"/>
                </w:tcPr>
                <w:p w:rsidR="001E7931" w:rsidRPr="00E91C8F" w:rsidRDefault="001E7931" w:rsidP="002352F5">
                  <w:pPr>
                    <w:spacing w:after="0" w:line="240" w:lineRule="auto"/>
                    <w:rPr>
                      <w:sz w:val="20"/>
                      <w:szCs w:val="20"/>
                      <w:lang w:eastAsia="cs-CZ"/>
                    </w:rPr>
                  </w:pPr>
                  <w:r w:rsidRPr="00E91C8F">
                    <w:rPr>
                      <w:sz w:val="20"/>
                      <w:szCs w:val="20"/>
                      <w:lang w:eastAsia="cs-CZ"/>
                    </w:rPr>
                    <w:t>Vybudované kap</w:t>
                  </w:r>
                  <w:r>
                    <w:rPr>
                      <w:sz w:val="20"/>
                      <w:szCs w:val="20"/>
                      <w:lang w:eastAsia="cs-CZ"/>
                    </w:rPr>
                    <w:t>a</w:t>
                  </w:r>
                  <w:r w:rsidRPr="00E91C8F">
                    <w:rPr>
                      <w:sz w:val="20"/>
                      <w:szCs w:val="20"/>
                      <w:lang w:eastAsia="cs-CZ"/>
                    </w:rPr>
                    <w:t>city</w:t>
                  </w:r>
                </w:p>
              </w:tc>
              <w:tc>
                <w:tcPr>
                  <w:tcW w:w="841" w:type="dxa"/>
                  <w:shd w:val="clear" w:color="000000" w:fill="FFFFFF"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9252C1">
                    <w:rPr>
                      <w:sz w:val="20"/>
                      <w:szCs w:val="20"/>
                      <w:lang w:eastAsia="cs-CZ"/>
                    </w:rPr>
                    <w:t>4</w:t>
                  </w:r>
                  <w:r>
                    <w:rPr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9252C1">
                    <w:rPr>
                      <w:sz w:val="20"/>
                      <w:szCs w:val="20"/>
                      <w:lang w:eastAsia="cs-CZ"/>
                    </w:rPr>
                    <w:t>231</w:t>
                  </w:r>
                </w:p>
              </w:tc>
              <w:tc>
                <w:tcPr>
                  <w:tcW w:w="821" w:type="dxa"/>
                  <w:shd w:val="clear" w:color="000000" w:fill="FFFFFF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>
                    <w:rPr>
                      <w:sz w:val="20"/>
                      <w:szCs w:val="20"/>
                      <w:lang w:eastAsia="cs-CZ"/>
                    </w:rPr>
                    <w:t>4231</w:t>
                  </w:r>
                </w:p>
              </w:tc>
              <w:tc>
                <w:tcPr>
                  <w:tcW w:w="950" w:type="dxa"/>
                  <w:shd w:val="clear" w:color="000000" w:fill="FFFFFF"/>
                  <w:noWrap/>
                  <w:vAlign w:val="bottom"/>
                </w:tcPr>
                <w:p w:rsidR="001E7931" w:rsidRPr="00FF2051" w:rsidRDefault="001E7931" w:rsidP="002352F5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eastAsia="cs-CZ"/>
                    </w:rPr>
                  </w:pPr>
                  <w:r w:rsidRPr="00FF2051">
                    <w:rPr>
                      <w:sz w:val="20"/>
                      <w:szCs w:val="20"/>
                      <w:lang w:eastAsia="cs-CZ"/>
                    </w:rPr>
                    <w:t>-</w:t>
                  </w:r>
                </w:p>
              </w:tc>
            </w:tr>
          </w:tbl>
          <w:p w:rsidR="008353DD" w:rsidRDefault="008353D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E7931" w:rsidRPr="00E4455A" w:rsidRDefault="001E7931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Jsou předloženy průběžné hodnoty k 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9.2. 2015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, projekt by měl mít ukončenou realizaci k 30.6. 2015 až poté bude možné zhodnotit celkové výsledky projektu.</w:t>
            </w:r>
          </w:p>
        </w:tc>
      </w:tr>
      <w:tr w:rsidR="00235AE1" w:rsidTr="00B15CF8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7525C9" wp14:editId="1E377A32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B15CF8">
        <w:trPr>
          <w:trHeight w:val="847"/>
        </w:trPr>
        <w:tc>
          <w:tcPr>
            <w:tcW w:w="1844" w:type="dxa"/>
            <w:gridSpan w:val="2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2836" w:type="dxa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400208" w:rsidRPr="00E4455A" w:rsidRDefault="00400208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00208">
              <w:rPr>
                <w:rFonts w:asciiTheme="minorHAnsi" w:hAnsiTheme="minorHAnsi" w:cstheme="minorHAnsi"/>
                <w:sz w:val="18"/>
                <w:szCs w:val="18"/>
              </w:rPr>
              <w:t>Prof. MUDr. Tomáš Zima DrSc., MBA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rektor</w:t>
            </w:r>
          </w:p>
        </w:tc>
        <w:tc>
          <w:tcPr>
            <w:tcW w:w="4926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400208" w:rsidRPr="00E4455A" w:rsidRDefault="00400208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00208">
              <w:rPr>
                <w:rFonts w:asciiTheme="minorHAnsi" w:hAnsiTheme="minorHAnsi" w:cstheme="minorHAnsi"/>
                <w:sz w:val="18"/>
                <w:szCs w:val="18"/>
              </w:rPr>
              <w:t>Univerzita Karlova V Praze</w:t>
            </w:r>
          </w:p>
        </w:tc>
      </w:tr>
      <w:tr w:rsidR="00002DBE" w:rsidTr="00B15CF8">
        <w:trPr>
          <w:trHeight w:val="1009"/>
        </w:trPr>
        <w:tc>
          <w:tcPr>
            <w:tcW w:w="1844" w:type="dxa"/>
            <w:gridSpan w:val="2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762" w:type="dxa"/>
            <w:gridSpan w:val="4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0020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00208" w:rsidRPr="00400208">
              <w:rPr>
                <w:rFonts w:asciiTheme="minorHAnsi" w:hAnsiTheme="minorHAnsi" w:cstheme="minorHAnsi"/>
                <w:sz w:val="18"/>
                <w:szCs w:val="18"/>
              </w:rPr>
              <w:t xml:space="preserve">Prof. MUDr. </w:t>
            </w:r>
            <w:proofErr w:type="spellStart"/>
            <w:r w:rsidR="00400208" w:rsidRPr="00400208">
              <w:rPr>
                <w:rFonts w:asciiTheme="minorHAnsi" w:hAnsiTheme="minorHAnsi" w:cstheme="minorHAnsi"/>
                <w:sz w:val="18"/>
                <w:szCs w:val="18"/>
              </w:rPr>
              <w:t>Kreuzberg</w:t>
            </w:r>
            <w:proofErr w:type="spellEnd"/>
            <w:r w:rsidR="00400208" w:rsidRPr="00400208">
              <w:rPr>
                <w:rFonts w:asciiTheme="minorHAnsi" w:hAnsiTheme="minorHAnsi" w:cstheme="minorHAnsi"/>
                <w:sz w:val="18"/>
                <w:szCs w:val="18"/>
              </w:rPr>
              <w:t xml:space="preserve"> Boris CSc.</w:t>
            </w:r>
            <w:r w:rsidR="00400208">
              <w:rPr>
                <w:rFonts w:asciiTheme="minorHAnsi" w:hAnsiTheme="minorHAnsi" w:cstheme="minorHAnsi"/>
                <w:sz w:val="18"/>
                <w:szCs w:val="18"/>
              </w:rPr>
              <w:t xml:space="preserve"> – vedoucí realizačního týmu</w:t>
            </w: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00208">
              <w:rPr>
                <w:rFonts w:asciiTheme="minorHAnsi" w:hAnsiTheme="minorHAnsi" w:cstheme="minorHAnsi"/>
                <w:sz w:val="18"/>
                <w:szCs w:val="18"/>
              </w:rPr>
              <w:t xml:space="preserve"> Ing. Libor Kočí – koordinátor projektu</w:t>
            </w:r>
          </w:p>
        </w:tc>
      </w:tr>
      <w:tr w:rsidR="0004245B" w:rsidTr="00B15CF8">
        <w:trPr>
          <w:trHeight w:val="843"/>
        </w:trPr>
        <w:tc>
          <w:tcPr>
            <w:tcW w:w="1844" w:type="dxa"/>
            <w:gridSpan w:val="2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3890" w:type="dxa"/>
            <w:gridSpan w:val="3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1340B9" w:rsidRDefault="001340B9" w:rsidP="001340B9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340B9">
              <w:rPr>
                <w:rFonts w:asciiTheme="minorHAnsi" w:hAnsiTheme="minorHAnsi" w:cstheme="minorHAnsi"/>
                <w:sz w:val="18"/>
                <w:szCs w:val="18"/>
              </w:rPr>
              <w:t>Změna klíčového pracovníka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1340B9">
              <w:rPr>
                <w:rFonts w:asciiTheme="minorHAnsi" w:hAnsiTheme="minorHAnsi" w:cstheme="minorHAnsi"/>
                <w:sz w:val="18"/>
                <w:szCs w:val="18"/>
              </w:rPr>
              <w:t xml:space="preserve">nahrazení senior výzkumníka prof. MUDr. Vladislava </w:t>
            </w:r>
            <w:proofErr w:type="spellStart"/>
            <w:r w:rsidRPr="001340B9">
              <w:rPr>
                <w:rFonts w:asciiTheme="minorHAnsi" w:hAnsiTheme="minorHAnsi" w:cstheme="minorHAnsi"/>
                <w:sz w:val="18"/>
                <w:szCs w:val="18"/>
              </w:rPr>
              <w:t>Třešky</w:t>
            </w:r>
            <w:proofErr w:type="spellEnd"/>
            <w:r w:rsidRPr="001340B9">
              <w:rPr>
                <w:rFonts w:asciiTheme="minorHAnsi" w:hAnsiTheme="minorHAnsi" w:cstheme="minorHAnsi"/>
                <w:sz w:val="18"/>
                <w:szCs w:val="18"/>
              </w:rPr>
              <w:t>, DrSc. v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II.</w:t>
            </w:r>
            <w:r w:rsidRPr="001340B9">
              <w:rPr>
                <w:rFonts w:asciiTheme="minorHAnsi" w:hAnsiTheme="minorHAnsi" w:cstheme="minorHAnsi"/>
                <w:sz w:val="18"/>
                <w:szCs w:val="18"/>
              </w:rPr>
              <w:t xml:space="preserve"> výzkumném programu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340B9">
              <w:rPr>
                <w:rFonts w:asciiTheme="minorHAnsi" w:hAnsiTheme="minorHAnsi" w:cstheme="minorHAnsi"/>
                <w:sz w:val="18"/>
                <w:szCs w:val="18"/>
              </w:rPr>
              <w:t xml:space="preserve">RNDr. Marií </w:t>
            </w:r>
            <w:proofErr w:type="spellStart"/>
            <w:r w:rsidRPr="001340B9">
              <w:rPr>
                <w:rFonts w:asciiTheme="minorHAnsi" w:hAnsiTheme="minorHAnsi" w:cstheme="minorHAnsi"/>
                <w:sz w:val="18"/>
                <w:szCs w:val="18"/>
              </w:rPr>
              <w:t>Kalbáčovou</w:t>
            </w:r>
            <w:proofErr w:type="spellEnd"/>
            <w:r w:rsidRPr="001340B9">
              <w:rPr>
                <w:rFonts w:asciiTheme="minorHAnsi" w:hAnsiTheme="minorHAnsi" w:cstheme="minorHAnsi"/>
                <w:sz w:val="18"/>
                <w:szCs w:val="18"/>
              </w:rPr>
              <w:t xml:space="preserve">, Ph.D. od 1. dubna 2012 v celém rozsahu pracovního úvazku </w:t>
            </w:r>
          </w:p>
          <w:p w:rsidR="001340B9" w:rsidRDefault="001340B9" w:rsidP="00EA2FC4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30% úspor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stav – vydání </w:t>
            </w:r>
            <w:r w:rsidRPr="00EA2FC4">
              <w:rPr>
                <w:rFonts w:asciiTheme="minorHAnsi" w:hAnsiTheme="minorHAnsi" w:cstheme="minorHAnsi"/>
                <w:sz w:val="18"/>
                <w:szCs w:val="18"/>
              </w:rPr>
              <w:t>Dodatku č.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A2FC4" w:rsidRPr="00EA2FC4">
              <w:rPr>
                <w:rFonts w:asciiTheme="minorHAnsi" w:hAnsiTheme="minorHAnsi" w:cstheme="minorHAnsi"/>
                <w:sz w:val="18"/>
                <w:szCs w:val="18"/>
              </w:rPr>
              <w:t>0076/03/03</w:t>
            </w:r>
          </w:p>
          <w:p w:rsidR="00F66AD6" w:rsidRDefault="00F66AD6" w:rsidP="00F66AD6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Změna klíčového pracovníka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</w:t>
            </w:r>
            <w:r>
              <w:t xml:space="preserve"> 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enior výzkumník doc.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MUDr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Aleš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Kroužecký</w:t>
            </w:r>
            <w:proofErr w:type="spellEnd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gramStart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Ph.D.  v prvním</w:t>
            </w:r>
            <w:proofErr w:type="gramEnd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 výzkumném programu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nahrazen </w:t>
            </w: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MUDr. Jiřím Chvojkou, Ph.D.</w:t>
            </w:r>
          </w:p>
          <w:p w:rsidR="00F66AD6" w:rsidRPr="00F66AD6" w:rsidRDefault="00F66AD6" w:rsidP="00F66AD6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Změna v rozpočtu projektu – přesun </w:t>
            </w:r>
            <w:proofErr w:type="spellStart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fin</w:t>
            </w:r>
            <w:proofErr w:type="spellEnd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gramStart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prostředků</w:t>
            </w:r>
            <w:proofErr w:type="gramEnd"/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 ve výši 13,5 mil. Kč z položky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 „2.3 Pořízení stavby“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 do položek: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 „2.1 Pozemky“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 xml:space="preserve">„2.4 Stroje a zařízení“,  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„2.5 Ostatní vybavení“</w:t>
            </w:r>
          </w:p>
          <w:p w:rsidR="00F66AD6" w:rsidRP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„2.6 Realizační</w:t>
            </w:r>
          </w:p>
          <w:p w:rsidR="00F66AD6" w:rsidRDefault="00F66AD6" w:rsidP="003641DC">
            <w:pPr>
              <w:pStyle w:val="Odstavecseseznamem"/>
              <w:numPr>
                <w:ilvl w:val="1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dokumentace stavby“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Posun milníků projektu – posun termínu pořízení přístrojů, posun termínu vybavení objektů přístroji na 1.Q/2015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Posun dílčích milníků projektu - v rámci výzkumných programů, souvisejících s pořízením přístrojů na 1.Q/2015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 xml:space="preserve">Posun milníků projektu – posun termínu dokončení stavby a kolaudace </w:t>
            </w:r>
            <w:proofErr w:type="gramStart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na z 1.Q./2014</w:t>
            </w:r>
            <w:proofErr w:type="gramEnd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 xml:space="preserve"> na 2.Q/2014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Změna v managementu centra – změna role Řídícího výboru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Snížení cílové hodnoty monitorovacího indikátoru (MI) 111200 Objem smluvního výzkumu</w:t>
            </w:r>
          </w:p>
          <w:p w:rsidR="003641DC" w:rsidRP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Změna využití úspory –</w:t>
            </w:r>
          </w:p>
          <w:p w:rsid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Změna využití úspory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 xml:space="preserve">přesun </w:t>
            </w:r>
            <w:proofErr w:type="spellStart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fin</w:t>
            </w:r>
            <w:proofErr w:type="spellEnd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gramStart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prostředků</w:t>
            </w:r>
            <w:proofErr w:type="gramEnd"/>
            <w:r w:rsidRPr="003641DC">
              <w:rPr>
                <w:rFonts w:asciiTheme="minorHAnsi" w:hAnsiTheme="minorHAnsi" w:cstheme="minorHAnsi"/>
                <w:sz w:val="18"/>
                <w:szCs w:val="18"/>
              </w:rPr>
              <w:t xml:space="preserve"> ve výši 2,18 mil. Kč v rámci kapitoly 3 Materiál, a to z položky ,,3.1.1 Modul mobiliář“  do položky ,,3.1.2 Modul ostatní DDM“</w:t>
            </w:r>
          </w:p>
          <w:p w:rsidR="003641DC" w:rsidRPr="003641DC" w:rsidRDefault="003641DC" w:rsidP="003641DC">
            <w:pPr>
              <w:pStyle w:val="Odstavecseseznamem"/>
              <w:numPr>
                <w:ilvl w:val="0"/>
                <w:numId w:val="25"/>
              </w:num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641DC">
              <w:rPr>
                <w:rFonts w:asciiTheme="minorHAnsi" w:hAnsiTheme="minorHAnsi" w:cstheme="minorHAnsi"/>
                <w:sz w:val="18"/>
                <w:szCs w:val="18"/>
              </w:rPr>
              <w:t>Žádost o vyčlenění účelu dotace projektu v rámci přílohy č. 1 do samostatného odstavce.</w:t>
            </w:r>
          </w:p>
        </w:tc>
        <w:tc>
          <w:tcPr>
            <w:tcW w:w="3872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66AD6" w:rsidRPr="00F66AD6" w:rsidRDefault="00F66AD6" w:rsidP="00F66AD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30% úspor - </w:t>
            </w: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Celkové investiční způsobilé výdaje projektu jsou nově 296 809 606,- Kč a celkové neinvestiční způsobilé výdaje projektu jsou nově 111 265 719,- Kč.</w:t>
            </w:r>
          </w:p>
          <w:p w:rsidR="00F66AD6" w:rsidRPr="00E4455A" w:rsidRDefault="00F66AD6" w:rsidP="00F66AD6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6AD6">
              <w:rPr>
                <w:rFonts w:asciiTheme="minorHAnsi" w:hAnsiTheme="minorHAnsi" w:cstheme="minorHAnsi"/>
                <w:sz w:val="18"/>
                <w:szCs w:val="18"/>
              </w:rPr>
              <w:t>Zbývající částka představující 30% stavebních úspor, tj. 13 298 971,- Kč</w:t>
            </w:r>
          </w:p>
        </w:tc>
      </w:tr>
      <w:tr w:rsidR="0004245B" w:rsidTr="00B15CF8">
        <w:trPr>
          <w:trHeight w:val="869"/>
        </w:trPr>
        <w:tc>
          <w:tcPr>
            <w:tcW w:w="1844" w:type="dxa"/>
            <w:gridSpan w:val="2"/>
          </w:tcPr>
          <w:p w:rsidR="0004245B" w:rsidRPr="00E4455A" w:rsidRDefault="0004245B" w:rsidP="00B15CF8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762" w:type="dxa"/>
            <w:gridSpan w:val="4"/>
          </w:tcPr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00208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  <w:p w:rsidR="0004245B" w:rsidRPr="00A53C4E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3C4E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A53C4E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A53C4E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A53C4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53C4E" w:rsidRPr="00A53C4E">
              <w:rPr>
                <w:rFonts w:asciiTheme="minorHAnsi" w:hAnsiTheme="minorHAnsi" w:cstheme="minorHAnsi"/>
                <w:sz w:val="18"/>
                <w:szCs w:val="18"/>
              </w:rPr>
              <w:t xml:space="preserve"> V současné době nelze vyčíslit přesné procento pořízení</w:t>
            </w:r>
            <w:r w:rsidR="00A53C4E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</w:t>
            </w:r>
            <w:r w:rsidR="00A53C4E" w:rsidRPr="00A53C4E">
              <w:rPr>
                <w:rFonts w:asciiTheme="minorHAnsi" w:hAnsiTheme="minorHAnsi" w:cstheme="minorHAnsi"/>
                <w:sz w:val="18"/>
                <w:szCs w:val="18"/>
              </w:rPr>
              <w:t xml:space="preserve">, projekt deklaroval, že </w:t>
            </w:r>
            <w:r w:rsidR="00A53C4E">
              <w:rPr>
                <w:rFonts w:asciiTheme="minorHAnsi" w:hAnsiTheme="minorHAnsi" w:cstheme="minorHAnsi"/>
                <w:sz w:val="18"/>
                <w:szCs w:val="18"/>
              </w:rPr>
              <w:t>stále probíhají výběrová řízení na přístroje</w:t>
            </w:r>
          </w:p>
          <w:p w:rsidR="0004245B" w:rsidRPr="00E4455A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3C4E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A53C4E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A53C4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A53C4E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</w:tc>
      </w:tr>
      <w:tr w:rsidR="00DA6654" w:rsidTr="00B15CF8">
        <w:tc>
          <w:tcPr>
            <w:tcW w:w="1844" w:type="dxa"/>
            <w:gridSpan w:val="2"/>
          </w:tcPr>
          <w:p w:rsidR="00DA6654" w:rsidRPr="00AC3957" w:rsidRDefault="00DA6654" w:rsidP="00B15CF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AC3957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 w:rsidR="007B2E97" w:rsidRPr="00AC395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762" w:type="dxa"/>
            <w:gridSpan w:val="4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B519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B519E" w:rsidRPr="003B519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B501A" w:rsidRPr="00DB501A">
              <w:rPr>
                <w:rFonts w:asciiTheme="minorHAnsi" w:hAnsiTheme="minorHAnsi" w:cstheme="minorHAnsi"/>
                <w:sz w:val="18"/>
                <w:szCs w:val="18"/>
              </w:rPr>
              <w:t>307 490 696,19</w:t>
            </w:r>
            <w:r w:rsidR="003B519E" w:rsidRPr="003B519E">
              <w:rPr>
                <w:rFonts w:asciiTheme="minorHAnsi" w:hAnsiTheme="minorHAnsi" w:cstheme="minorHAnsi"/>
                <w:sz w:val="18"/>
                <w:szCs w:val="18"/>
              </w:rPr>
              <w:t xml:space="preserve"> Kč</w:t>
            </w:r>
            <w:r w:rsidR="00DB501A">
              <w:rPr>
                <w:rFonts w:asciiTheme="minorHAnsi" w:hAnsiTheme="minorHAnsi" w:cstheme="minorHAnsi"/>
                <w:sz w:val="18"/>
                <w:szCs w:val="18"/>
              </w:rPr>
              <w:t>, 75, 35</w:t>
            </w:r>
            <w:r w:rsidR="003B519E">
              <w:rPr>
                <w:rFonts w:asciiTheme="minorHAnsi" w:hAnsiTheme="minorHAnsi" w:cstheme="minorHAnsi"/>
                <w:sz w:val="18"/>
                <w:szCs w:val="18"/>
              </w:rPr>
              <w:t>%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3B519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B519E" w:rsidRPr="003B519E">
              <w:rPr>
                <w:rFonts w:asciiTheme="minorHAnsi" w:hAnsiTheme="minorHAnsi" w:cstheme="minorHAnsi"/>
                <w:sz w:val="18"/>
                <w:szCs w:val="18"/>
              </w:rPr>
              <w:t>268 653 113,42</w:t>
            </w:r>
            <w:r w:rsidR="003B519E">
              <w:rPr>
                <w:rFonts w:asciiTheme="minorHAnsi" w:hAnsiTheme="minorHAnsi" w:cstheme="minorHAnsi"/>
                <w:sz w:val="18"/>
                <w:szCs w:val="18"/>
              </w:rPr>
              <w:t xml:space="preserve"> Kč, 65, 83%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</w:t>
            </w:r>
            <w:proofErr w:type="gramStart"/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31.12.2014</w:t>
            </w:r>
            <w:proofErr w:type="gramEnd"/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  <w:r w:rsidR="00AC39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C3957" w:rsidRPr="003B519E">
              <w:rPr>
                <w:rFonts w:asciiTheme="minorHAnsi" w:hAnsiTheme="minorHAnsi" w:cstheme="minorHAnsi"/>
                <w:sz w:val="18"/>
                <w:szCs w:val="18"/>
              </w:rPr>
              <w:t>268 653 113,42</w:t>
            </w:r>
            <w:r w:rsidR="00AC3957">
              <w:rPr>
                <w:rFonts w:asciiTheme="minorHAnsi" w:hAnsiTheme="minorHAnsi" w:cstheme="minorHAnsi"/>
                <w:sz w:val="18"/>
                <w:szCs w:val="18"/>
              </w:rPr>
              <w:t xml:space="preserve"> Kč, 65, 83%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B15CF8">
        <w:tc>
          <w:tcPr>
            <w:tcW w:w="1844" w:type="dxa"/>
            <w:gridSpan w:val="2"/>
          </w:tcPr>
          <w:p w:rsidR="00C43F6D" w:rsidRPr="00AC3957" w:rsidRDefault="00EE2A12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AC3957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AC3957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AC3957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7762" w:type="dxa"/>
            <w:gridSpan w:val="4"/>
          </w:tcPr>
          <w:p w:rsidR="00C43F6D" w:rsidRPr="00E4455A" w:rsidRDefault="00AC395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C3957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AC3957">
              <w:rPr>
                <w:rFonts w:asciiTheme="minorHAnsi" w:hAnsiTheme="minorHAnsi" w:cstheme="minorHAnsi"/>
                <w:sz w:val="18"/>
                <w:szCs w:val="18"/>
              </w:rPr>
              <w:t>365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C3957">
              <w:rPr>
                <w:rFonts w:asciiTheme="minorHAnsi" w:hAnsiTheme="minorHAnsi" w:cstheme="minorHAnsi"/>
                <w:sz w:val="18"/>
                <w:szCs w:val="18"/>
              </w:rPr>
              <w:t>516,58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Kč, 14,79%</w:t>
            </w:r>
          </w:p>
        </w:tc>
      </w:tr>
      <w:tr w:rsidR="00D2753C" w:rsidTr="00B15CF8">
        <w:tc>
          <w:tcPr>
            <w:tcW w:w="1844" w:type="dxa"/>
            <w:gridSpan w:val="2"/>
          </w:tcPr>
          <w:p w:rsidR="00D2753C" w:rsidRPr="00B15CF8" w:rsidRDefault="00D2753C" w:rsidP="00B15CF8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Ostatní informace</w:t>
            </w:r>
          </w:p>
        </w:tc>
        <w:tc>
          <w:tcPr>
            <w:tcW w:w="7762" w:type="dxa"/>
            <w:gridSpan w:val="4"/>
          </w:tcPr>
          <w:p w:rsidR="00D2753C" w:rsidRPr="00E4455A" w:rsidRDefault="00D768C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Projekt má problémy s VŘ na pořízení přístrojů, je zde riziko, že se nepodaří pořídit přístrojové vybavení do konce realizace (tzn.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30.6. 2015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) a bude třeba prodloužit termín konce realizace.</w:t>
            </w:r>
          </w:p>
        </w:tc>
      </w:tr>
      <w:tr w:rsidR="00A431A3" w:rsidTr="00B15CF8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Zdroje pro úhradu provozních nákladů</w:t>
            </w:r>
            <w:r w:rsidRPr="00E4455A" w:rsidDel="00AD65D3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</w:p>
        </w:tc>
        <w:tc>
          <w:tcPr>
            <w:tcW w:w="7762" w:type="dxa"/>
            <w:gridSpan w:val="4"/>
          </w:tcPr>
          <w:p w:rsidR="00507477" w:rsidRDefault="00507477" w:rsidP="00B15CF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</w:t>
            </w:r>
            <w:r w:rsidRPr="00A53DFD">
              <w:rPr>
                <w:sz w:val="18"/>
              </w:rPr>
              <w:t>elkové provozní náklady centra by se měly odhadem pohybovat mezi 60 až 70 mil. Kč.</w:t>
            </w:r>
          </w:p>
          <w:p w:rsidR="009C3448" w:rsidRDefault="009C3448" w:rsidP="00B15CF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Finanční plán do roku 2020 předpokládá finanční zdroje ze smluvního výzkumu ve výši 13 </w:t>
            </w:r>
            <w:r w:rsidR="00B15CF8">
              <w:rPr>
                <w:sz w:val="18"/>
              </w:rPr>
              <w:t>mil</w:t>
            </w:r>
            <w:r>
              <w:rPr>
                <w:sz w:val="18"/>
              </w:rPr>
              <w:t>. Kč a finanční zdroje z </w:t>
            </w:r>
            <w:r w:rsidR="00B15CF8">
              <w:rPr>
                <w:sz w:val="18"/>
              </w:rPr>
              <w:t xml:space="preserve">mezinárodních grantů ve výši 52,5 mil. </w:t>
            </w:r>
            <w:r>
              <w:rPr>
                <w:sz w:val="18"/>
              </w:rPr>
              <w:t xml:space="preserve">Kč. Projekt předpokládá ostatní neveřejné zdroje ve výši </w:t>
            </w:r>
            <w:proofErr w:type="gramStart"/>
            <w:r>
              <w:rPr>
                <w:sz w:val="18"/>
              </w:rPr>
              <w:t>35,3</w:t>
            </w:r>
            <w:r w:rsidR="00B15CF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mil.</w:t>
            </w:r>
            <w:proofErr w:type="gramEnd"/>
            <w:r>
              <w:rPr>
                <w:sz w:val="18"/>
              </w:rPr>
              <w:t xml:space="preserve"> Kč.</w:t>
            </w:r>
          </w:p>
          <w:p w:rsidR="009C3448" w:rsidRDefault="00A53DFD" w:rsidP="00507477">
            <w:pPr>
              <w:tabs>
                <w:tab w:val="left" w:pos="900"/>
              </w:tabs>
              <w:spacing w:after="0" w:line="240" w:lineRule="auto"/>
            </w:pPr>
            <w:r w:rsidRPr="00A53DFD">
              <w:rPr>
                <w:sz w:val="18"/>
              </w:rPr>
              <w:t xml:space="preserve">Dosud uzavřeno 21 smluv </w:t>
            </w:r>
            <w:r>
              <w:rPr>
                <w:sz w:val="18"/>
              </w:rPr>
              <w:t xml:space="preserve">(smluvního výzkumu) </w:t>
            </w:r>
            <w:r w:rsidRPr="00A53DFD">
              <w:rPr>
                <w:sz w:val="18"/>
              </w:rPr>
              <w:t>s celkovým objemem 3,5 mil. Kč</w:t>
            </w:r>
            <w:r>
              <w:rPr>
                <w:sz w:val="18"/>
              </w:rPr>
              <w:t>.</w:t>
            </w:r>
            <w:r w:rsidR="00B15CF8" w:rsidRPr="00CC0C8F">
              <w:rPr>
                <w:sz w:val="18"/>
              </w:rPr>
              <w:t xml:space="preserve"> </w:t>
            </w:r>
            <w:r w:rsidR="00B15CF8" w:rsidRPr="00CC0C8F">
              <w:rPr>
                <w:sz w:val="18"/>
              </w:rPr>
              <w:t>Požadavky na účelové zdroje centra</w:t>
            </w:r>
            <w:r w:rsidR="00B15CF8">
              <w:rPr>
                <w:sz w:val="18"/>
              </w:rPr>
              <w:t xml:space="preserve"> celkem nejsou </w:t>
            </w:r>
            <w:r w:rsidR="00B15CF8">
              <w:rPr>
                <w:sz w:val="18"/>
              </w:rPr>
              <w:t xml:space="preserve">dosud vyjasněny. </w:t>
            </w: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Požadavky na podporu z NPU</w:t>
            </w:r>
          </w:p>
        </w:tc>
        <w:tc>
          <w:tcPr>
            <w:tcW w:w="7762" w:type="dxa"/>
            <w:gridSpan w:val="4"/>
          </w:tcPr>
          <w:p w:rsidR="009C3448" w:rsidRDefault="00B15CF8" w:rsidP="00B15CF8">
            <w:pPr>
              <w:spacing w:after="0" w:line="240" w:lineRule="auto"/>
            </w:pPr>
            <w:r>
              <w:rPr>
                <w:sz w:val="18"/>
              </w:rPr>
              <w:t xml:space="preserve">Podpora NPU je vyčíslen na 162 </w:t>
            </w:r>
            <w:r w:rsidR="009C3448">
              <w:rPr>
                <w:sz w:val="18"/>
              </w:rPr>
              <w:t>mil. Kč, zatímco institucionální podpora včetně úče</w:t>
            </w:r>
            <w:r>
              <w:rPr>
                <w:sz w:val="18"/>
              </w:rPr>
              <w:t>lové je předpokládána ve výši 61</w:t>
            </w:r>
            <w:r w:rsidR="009C3448">
              <w:rPr>
                <w:sz w:val="18"/>
              </w:rPr>
              <w:t xml:space="preserve"> mil. Kč pro predikované období. </w:t>
            </w:r>
            <w:r w:rsidR="009C3448">
              <w:t xml:space="preserve"> </w:t>
            </w: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Monitorovací indikátory v období udržitelnosti</w:t>
            </w:r>
          </w:p>
        </w:tc>
        <w:tc>
          <w:tcPr>
            <w:tcW w:w="7762" w:type="dxa"/>
            <w:gridSpan w:val="4"/>
          </w:tcPr>
          <w:p w:rsidR="00507477" w:rsidRDefault="00507477" w:rsidP="00B15CF8">
            <w:pPr>
              <w:spacing w:after="0" w:line="240" w:lineRule="auto"/>
              <w:rPr>
                <w:sz w:val="18"/>
              </w:rPr>
            </w:pPr>
            <w:r w:rsidRPr="00A53DFD">
              <w:rPr>
                <w:sz w:val="18"/>
              </w:rPr>
              <w:t>Pokud jde o indikátory udržitelnosti</w:t>
            </w:r>
            <w:r>
              <w:rPr>
                <w:sz w:val="18"/>
              </w:rPr>
              <w:t>, centrum nemá</w:t>
            </w:r>
            <w:r w:rsidRPr="00A53DFD">
              <w:rPr>
                <w:sz w:val="18"/>
              </w:rPr>
              <w:t xml:space="preserve"> s většinou z nich žádný problém, až na monitorovací indikátor smluvního výzkumu. </w:t>
            </w:r>
          </w:p>
          <w:p w:rsidR="00507477" w:rsidRDefault="009C3448" w:rsidP="00B15CF8">
            <w:pPr>
              <w:spacing w:after="0" w:line="240" w:lineRule="auto"/>
              <w:rPr>
                <w:sz w:val="18"/>
              </w:rPr>
            </w:pPr>
            <w:r w:rsidRPr="009C3448">
              <w:rPr>
                <w:sz w:val="18"/>
              </w:rPr>
              <w:t xml:space="preserve">Vysoce překračuje počty publikací, zejména impaktovaných. </w:t>
            </w:r>
            <w:r w:rsidR="00B15CF8">
              <w:rPr>
                <w:sz w:val="18"/>
              </w:rPr>
              <w:t>Riziková je pouze realizace indikátoru o</w:t>
            </w:r>
            <w:r w:rsidRPr="009C3448">
              <w:rPr>
                <w:sz w:val="18"/>
              </w:rPr>
              <w:t xml:space="preserve">bjem smluvního výzkumu, kde je dosud naplněno jen 23% cílové hodnoty. V době udržitelnosti jsou pro projekt závazné indikátory počtu nově vytvořených pracovních míst a vybudované kapacity. Předpokladem je udržení hodnot daných </w:t>
            </w:r>
            <w:proofErr w:type="spellStart"/>
            <w:r w:rsidRPr="009C3448">
              <w:rPr>
                <w:sz w:val="18"/>
              </w:rPr>
              <w:t>RoPD</w:t>
            </w:r>
            <w:proofErr w:type="spellEnd"/>
            <w:r w:rsidRPr="009C3448">
              <w:rPr>
                <w:sz w:val="18"/>
              </w:rPr>
              <w:t>.</w:t>
            </w:r>
          </w:p>
          <w:p w:rsidR="00507477" w:rsidRDefault="00507477" w:rsidP="00507477">
            <w:pPr>
              <w:spacing w:after="0" w:line="240" w:lineRule="auto"/>
              <w:rPr>
                <w:sz w:val="18"/>
              </w:rPr>
            </w:pPr>
            <w:r w:rsidRPr="00A53DFD">
              <w:rPr>
                <w:sz w:val="18"/>
              </w:rPr>
              <w:t xml:space="preserve">V centru nyní pracuje již 55 pracovníků, převážně </w:t>
            </w:r>
            <w:r>
              <w:rPr>
                <w:sz w:val="18"/>
              </w:rPr>
              <w:t>na částečný úvazek</w:t>
            </w:r>
            <w:r w:rsidRPr="00A53DFD">
              <w:rPr>
                <w:sz w:val="18"/>
              </w:rPr>
              <w:t xml:space="preserve"> z LF či FN Plzeň a jen několik pracovníků je již v centru na plný úvazek. S kvalifikovanými odborníky </w:t>
            </w:r>
            <w:proofErr w:type="gramStart"/>
            <w:r w:rsidRPr="00A53DFD">
              <w:rPr>
                <w:sz w:val="18"/>
              </w:rPr>
              <w:t>ani  s technickými</w:t>
            </w:r>
            <w:proofErr w:type="gramEnd"/>
            <w:r w:rsidRPr="00A53DFD">
              <w:rPr>
                <w:sz w:val="18"/>
              </w:rPr>
              <w:t xml:space="preserve"> profesemi nemají žádný problém. V budoucích letech předpokládají navýšení pracovníků maximálně o 5 odborníků</w:t>
            </w:r>
            <w:r>
              <w:rPr>
                <w:sz w:val="18"/>
              </w:rPr>
              <w:t>.</w:t>
            </w:r>
          </w:p>
          <w:p w:rsidR="00507477" w:rsidRDefault="00507477" w:rsidP="00507477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má transparentní strukturu výzkumných týmů. </w:t>
            </w:r>
            <w:r w:rsidRPr="00434625">
              <w:rPr>
                <w:sz w:val="18"/>
              </w:rPr>
              <w:t xml:space="preserve">Současný počet výzkumníků zaměstnaných v centru je </w:t>
            </w:r>
            <w:r>
              <w:rPr>
                <w:sz w:val="18"/>
              </w:rPr>
              <w:t>26</w:t>
            </w:r>
            <w:r w:rsidRPr="0043462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FTE v roce 2014. </w:t>
            </w:r>
            <w:r w:rsidRPr="009C3448">
              <w:rPr>
                <w:sz w:val="18"/>
              </w:rPr>
              <w:t xml:space="preserve">Přibližný poměr úvazků senior </w:t>
            </w:r>
            <w:proofErr w:type="spellStart"/>
            <w:r w:rsidRPr="009C3448">
              <w:rPr>
                <w:sz w:val="18"/>
              </w:rPr>
              <w:t>researcher</w:t>
            </w:r>
            <w:proofErr w:type="spellEnd"/>
            <w:r w:rsidRPr="009C3448">
              <w:rPr>
                <w:sz w:val="18"/>
              </w:rPr>
              <w:t xml:space="preserve">: junior </w:t>
            </w:r>
            <w:proofErr w:type="spellStart"/>
            <w:r w:rsidRPr="009C3448">
              <w:rPr>
                <w:sz w:val="18"/>
              </w:rPr>
              <w:t>researcher</w:t>
            </w:r>
            <w:proofErr w:type="spellEnd"/>
            <w:r w:rsidRPr="009C3448">
              <w:rPr>
                <w:sz w:val="18"/>
              </w:rPr>
              <w:t>:</w:t>
            </w:r>
            <w:r>
              <w:rPr>
                <w:sz w:val="18"/>
              </w:rPr>
              <w:t xml:space="preserve"> </w:t>
            </w:r>
            <w:r w:rsidRPr="009C3448">
              <w:rPr>
                <w:sz w:val="18"/>
              </w:rPr>
              <w:t>PhD student:</w:t>
            </w:r>
            <w:r>
              <w:rPr>
                <w:sz w:val="18"/>
              </w:rPr>
              <w:t xml:space="preserve"> </w:t>
            </w:r>
            <w:r w:rsidRPr="009C3448">
              <w:rPr>
                <w:sz w:val="18"/>
              </w:rPr>
              <w:lastRenderedPageBreak/>
              <w:t xml:space="preserve">podpůrný pracovník </w:t>
            </w:r>
            <w:proofErr w:type="spellStart"/>
            <w:r w:rsidRPr="009C3448">
              <w:rPr>
                <w:sz w:val="18"/>
              </w:rPr>
              <w:t>VaV</w:t>
            </w:r>
            <w:proofErr w:type="spellEnd"/>
            <w:r w:rsidRPr="009C3448">
              <w:rPr>
                <w:sz w:val="18"/>
              </w:rPr>
              <w:t xml:space="preserve"> 6 : 10 : 9 : 7,5.</w:t>
            </w:r>
          </w:p>
          <w:p w:rsidR="009C3448" w:rsidRPr="00507477" w:rsidRDefault="00507477" w:rsidP="00507477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Plánovaný počet výzkumníků v centru byl 41 FTE v roce 2014 (bez kvalifikovaného podpůrného personálu). V současnosti v centru působí 5 odborníků ze zahraniční. Centrum má tuzemské i zahraniční partnery výzkumu. Mezi tuzemské partnery patří </w:t>
            </w:r>
            <w:proofErr w:type="spellStart"/>
            <w:r w:rsidRPr="00A53DFD">
              <w:rPr>
                <w:sz w:val="18"/>
              </w:rPr>
              <w:t>Nanoprogres</w:t>
            </w:r>
            <w:proofErr w:type="spellEnd"/>
            <w:r w:rsidRPr="00A53DFD">
              <w:rPr>
                <w:sz w:val="18"/>
              </w:rPr>
              <w:t xml:space="preserve">, IKEM, Areko, Genetika Plzeň, </w:t>
            </w:r>
            <w:proofErr w:type="spellStart"/>
            <w:r w:rsidRPr="00A53DFD">
              <w:rPr>
                <w:sz w:val="18"/>
              </w:rPr>
              <w:t>Comtes</w:t>
            </w:r>
            <w:proofErr w:type="spellEnd"/>
            <w:r w:rsidRPr="00A53DFD">
              <w:rPr>
                <w:sz w:val="18"/>
              </w:rPr>
              <w:t xml:space="preserve"> FHT</w:t>
            </w:r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Contripro</w:t>
            </w:r>
            <w:proofErr w:type="spellEnd"/>
            <w:r>
              <w:rPr>
                <w:sz w:val="18"/>
              </w:rPr>
              <w:t>, FN Plzeň a</w:t>
            </w:r>
            <w:r w:rsidRPr="00A53DFD">
              <w:rPr>
                <w:sz w:val="18"/>
              </w:rPr>
              <w:t xml:space="preserve"> SZÚ</w:t>
            </w:r>
            <w:r>
              <w:rPr>
                <w:sz w:val="18"/>
              </w:rPr>
              <w:t xml:space="preserve">. Mezi zahraniční partnery centra patří  </w:t>
            </w:r>
            <w:r w:rsidRPr="00A53DFD">
              <w:rPr>
                <w:sz w:val="18"/>
              </w:rPr>
              <w:t>AM-</w:t>
            </w:r>
            <w:proofErr w:type="spellStart"/>
            <w:r w:rsidRPr="00A53DFD">
              <w:rPr>
                <w:sz w:val="18"/>
              </w:rPr>
              <w:t>Pharma</w:t>
            </w:r>
            <w:proofErr w:type="spellEnd"/>
            <w:r w:rsidRPr="00A53DFD">
              <w:rPr>
                <w:sz w:val="18"/>
              </w:rPr>
              <w:t xml:space="preserve">, </w:t>
            </w:r>
            <w:proofErr w:type="spellStart"/>
            <w:r w:rsidRPr="00A53DFD">
              <w:rPr>
                <w:sz w:val="18"/>
              </w:rPr>
              <w:t>Fresenius</w:t>
            </w:r>
            <w:proofErr w:type="spellEnd"/>
            <w:r w:rsidRPr="00A53DFD">
              <w:rPr>
                <w:sz w:val="18"/>
              </w:rPr>
              <w:t xml:space="preserve"> </w:t>
            </w:r>
            <w:proofErr w:type="spellStart"/>
            <w:r w:rsidRPr="00A53DFD">
              <w:rPr>
                <w:sz w:val="18"/>
              </w:rPr>
              <w:t>Medical</w:t>
            </w:r>
            <w:proofErr w:type="spellEnd"/>
            <w:r w:rsidRPr="00A53DFD">
              <w:rPr>
                <w:sz w:val="18"/>
              </w:rPr>
              <w:t xml:space="preserve"> Ca</w:t>
            </w:r>
            <w:r>
              <w:rPr>
                <w:sz w:val="18"/>
              </w:rPr>
              <w:t xml:space="preserve">re, </w:t>
            </w:r>
            <w:proofErr w:type="spellStart"/>
            <w:r>
              <w:rPr>
                <w:sz w:val="18"/>
              </w:rPr>
              <w:t>Medites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Pharma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Asahi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Kasei</w:t>
            </w:r>
            <w:proofErr w:type="spellEnd"/>
            <w:r>
              <w:rPr>
                <w:sz w:val="18"/>
              </w:rPr>
              <w:t xml:space="preserve"> a</w:t>
            </w:r>
            <w:r w:rsidRPr="00A53DFD">
              <w:rPr>
                <w:sz w:val="18"/>
              </w:rPr>
              <w:t xml:space="preserve"> </w:t>
            </w:r>
            <w:proofErr w:type="spellStart"/>
            <w:r w:rsidRPr="00A53DFD">
              <w:rPr>
                <w:sz w:val="18"/>
              </w:rPr>
              <w:t>BBraun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Hodnocení výzkumného centra</w:t>
            </w:r>
          </w:p>
        </w:tc>
        <w:tc>
          <w:tcPr>
            <w:tcW w:w="7762" w:type="dxa"/>
            <w:gridSpan w:val="4"/>
          </w:tcPr>
          <w:p w:rsidR="00507477" w:rsidRDefault="00A53DFD" w:rsidP="00B15CF8">
            <w:pPr>
              <w:spacing w:after="0" w:line="240" w:lineRule="auto"/>
              <w:rPr>
                <w:sz w:val="18"/>
              </w:rPr>
            </w:pPr>
            <w:r w:rsidRPr="00A53DFD">
              <w:rPr>
                <w:sz w:val="18"/>
              </w:rPr>
              <w:t>Toto centrum je možno zařadit mezi středně velká centra při fakultě, resp. universitě, na úrovni dalšího ústavu, se stavbou a bez partnera projektu. Celková dotace činila cca 440 mil. Kč, po úsporách cca 408 mil. Kč. Stavba, kterou tvoří dvě moderní budo</w:t>
            </w:r>
            <w:r w:rsidR="00507477">
              <w:rPr>
                <w:sz w:val="18"/>
              </w:rPr>
              <w:t>vy vedle Lékařské fakulty</w:t>
            </w:r>
            <w:r w:rsidRPr="00A53DFD">
              <w:rPr>
                <w:sz w:val="18"/>
              </w:rPr>
              <w:t xml:space="preserve">, byla </w:t>
            </w:r>
            <w:proofErr w:type="spellStart"/>
            <w:r w:rsidRPr="00A53DFD">
              <w:rPr>
                <w:sz w:val="18"/>
              </w:rPr>
              <w:t>vysoutěžena</w:t>
            </w:r>
            <w:proofErr w:type="spellEnd"/>
            <w:r w:rsidRPr="00A53DFD">
              <w:rPr>
                <w:sz w:val="18"/>
              </w:rPr>
              <w:t xml:space="preserve"> za velmi příznivou cenu v hodnotě cca 103 mil. Kč. </w:t>
            </w:r>
          </w:p>
          <w:p w:rsidR="009C3448" w:rsidRPr="00507477" w:rsidRDefault="009C3448" w:rsidP="00507477">
            <w:pPr>
              <w:spacing w:after="0" w:line="240" w:lineRule="auto"/>
              <w:rPr>
                <w:sz w:val="18"/>
              </w:rPr>
            </w:pP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Poznatky z návštěvy týmu zmocněnce pro udržitelnost</w:t>
            </w:r>
          </w:p>
        </w:tc>
        <w:tc>
          <w:tcPr>
            <w:tcW w:w="7762" w:type="dxa"/>
            <w:gridSpan w:val="4"/>
          </w:tcPr>
          <w:p w:rsidR="009C3448" w:rsidRDefault="00E436D9" w:rsidP="00B15CF8">
            <w:pPr>
              <w:spacing w:after="0" w:line="240" w:lineRule="auto"/>
              <w:rPr>
                <w:sz w:val="18"/>
              </w:rPr>
            </w:pPr>
            <w:r w:rsidRPr="00A53DFD">
              <w:rPr>
                <w:sz w:val="18"/>
              </w:rPr>
              <w:t>Jejich dva vědecké programy jsou velmi vyvážené, perspektivní a vycházejí z tradic a praktických zkušeností lékařů a vědeckých pracovníků Lékařské fakulty a Fakultní nemocnice v Plzni. V prvním programu se zabývají výzkumem a vývojem při zdokonalování tradičních diagnostických a terapeutických metod při transplantaci či podpoře funkcí životně důležitých orgánů (např</w:t>
            </w:r>
            <w:r>
              <w:rPr>
                <w:sz w:val="18"/>
              </w:rPr>
              <w:t>.</w:t>
            </w:r>
            <w:r w:rsidRPr="00A53DFD">
              <w:rPr>
                <w:sz w:val="18"/>
              </w:rPr>
              <w:t xml:space="preserve"> ledvin) a ve druhém programu výzkumem podpůrných procesů, které jsou velmi důležité při regeneraci a reparaci těchto orgánů (kmenové </w:t>
            </w:r>
            <w:proofErr w:type="gramStart"/>
            <w:r w:rsidRPr="00A53DFD">
              <w:rPr>
                <w:sz w:val="18"/>
              </w:rPr>
              <w:t>buňky  apod.</w:t>
            </w:r>
            <w:proofErr w:type="gramEnd"/>
            <w:r w:rsidRPr="00A53DFD">
              <w:rPr>
                <w:sz w:val="18"/>
              </w:rPr>
              <w:t>).</w:t>
            </w:r>
          </w:p>
        </w:tc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Zařazení projektu do rizikové skupiny z hlediska udržitelnosti</w:t>
            </w:r>
          </w:p>
        </w:tc>
        <w:tc>
          <w:tcPr>
            <w:tcW w:w="7762" w:type="dxa"/>
            <w:gridSpan w:val="4"/>
          </w:tcPr>
          <w:p w:rsidR="009C3448" w:rsidRDefault="009C3448" w:rsidP="00B15CF8">
            <w:pPr>
              <w:spacing w:after="0" w:line="240" w:lineRule="auto"/>
              <w:rPr>
                <w:sz w:val="18"/>
              </w:rPr>
            </w:pPr>
          </w:p>
          <w:p w:rsidR="00B15CF8" w:rsidRDefault="00B15CF8" w:rsidP="00B15CF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bookmarkStart w:id="0" w:name="_GoBack"/>
        <w:bookmarkEnd w:id="0"/>
      </w:tr>
      <w:tr w:rsidR="009C3448" w:rsidTr="00B15CF8">
        <w:tc>
          <w:tcPr>
            <w:tcW w:w="1844" w:type="dxa"/>
            <w:gridSpan w:val="2"/>
          </w:tcPr>
          <w:p w:rsidR="009C3448" w:rsidRPr="00E4455A" w:rsidRDefault="009C3448" w:rsidP="00B15CF8">
            <w:pPr>
              <w:spacing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Poznámka</w:t>
            </w:r>
          </w:p>
        </w:tc>
        <w:tc>
          <w:tcPr>
            <w:tcW w:w="7762" w:type="dxa"/>
            <w:gridSpan w:val="4"/>
          </w:tcPr>
          <w:p w:rsidR="009C3448" w:rsidRDefault="009C3448" w:rsidP="00B15CF8">
            <w:pPr>
              <w:spacing w:after="0" w:line="240" w:lineRule="auto"/>
              <w:rPr>
                <w:sz w:val="18"/>
              </w:rPr>
            </w:pPr>
          </w:p>
        </w:tc>
      </w:tr>
    </w:tbl>
    <w:p w:rsidR="00A7545D" w:rsidRDefault="00A7545D" w:rsidP="00B15CF8">
      <w:pPr>
        <w:spacing w:after="0"/>
      </w:pPr>
    </w:p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657" w:rsidRDefault="000F6657" w:rsidP="00353AEB">
      <w:pPr>
        <w:spacing w:after="0" w:line="240" w:lineRule="auto"/>
      </w:pPr>
      <w:r>
        <w:separator/>
      </w:r>
    </w:p>
  </w:endnote>
  <w:endnote w:type="continuationSeparator" w:id="0">
    <w:p w:rsidR="000F6657" w:rsidRDefault="000F6657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E436D9" w:rsidRPr="00E436D9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E436D9" w:rsidRPr="00E436D9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657" w:rsidRDefault="000F6657" w:rsidP="00353AEB">
      <w:pPr>
        <w:spacing w:after="0" w:line="240" w:lineRule="auto"/>
      </w:pPr>
      <w:r>
        <w:separator/>
      </w:r>
    </w:p>
  </w:footnote>
  <w:footnote w:type="continuationSeparator" w:id="0">
    <w:p w:rsidR="000F6657" w:rsidRDefault="000F6657" w:rsidP="00353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32216804"/>
    <w:multiLevelType w:val="hybridMultilevel"/>
    <w:tmpl w:val="E29892BA"/>
    <w:lvl w:ilvl="0" w:tplc="1D44330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63F62D6F"/>
    <w:multiLevelType w:val="hybridMultilevel"/>
    <w:tmpl w:val="5A6EC872"/>
    <w:lvl w:ilvl="0" w:tplc="1D443300">
      <w:start w:val="2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7"/>
  </w:num>
  <w:num w:numId="5">
    <w:abstractNumId w:val="7"/>
  </w:num>
  <w:num w:numId="6">
    <w:abstractNumId w:val="0"/>
  </w:num>
  <w:num w:numId="7">
    <w:abstractNumId w:val="9"/>
  </w:num>
  <w:num w:numId="8">
    <w:abstractNumId w:val="11"/>
  </w:num>
  <w:num w:numId="9">
    <w:abstractNumId w:val="3"/>
  </w:num>
  <w:num w:numId="10">
    <w:abstractNumId w:val="12"/>
  </w:num>
  <w:num w:numId="11">
    <w:abstractNumId w:val="8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7"/>
  </w:num>
  <w:num w:numId="17">
    <w:abstractNumId w:val="7"/>
  </w:num>
  <w:num w:numId="18">
    <w:abstractNumId w:val="13"/>
  </w:num>
  <w:num w:numId="19">
    <w:abstractNumId w:val="0"/>
  </w:num>
  <w:num w:numId="20">
    <w:abstractNumId w:val="9"/>
  </w:num>
  <w:num w:numId="21">
    <w:abstractNumId w:val="11"/>
  </w:num>
  <w:num w:numId="22">
    <w:abstractNumId w:val="3"/>
  </w:num>
  <w:num w:numId="23">
    <w:abstractNumId w:val="12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A69DE"/>
    <w:rsid w:val="000B7BB7"/>
    <w:rsid w:val="000C71C7"/>
    <w:rsid w:val="000F0945"/>
    <w:rsid w:val="000F6657"/>
    <w:rsid w:val="0010270A"/>
    <w:rsid w:val="001057A4"/>
    <w:rsid w:val="00125F00"/>
    <w:rsid w:val="001340B9"/>
    <w:rsid w:val="0018459D"/>
    <w:rsid w:val="001845D5"/>
    <w:rsid w:val="001B09DB"/>
    <w:rsid w:val="001B2134"/>
    <w:rsid w:val="001E30F5"/>
    <w:rsid w:val="001E7931"/>
    <w:rsid w:val="00235AE1"/>
    <w:rsid w:val="002A102B"/>
    <w:rsid w:val="002B4A3E"/>
    <w:rsid w:val="002C69A4"/>
    <w:rsid w:val="00353AEB"/>
    <w:rsid w:val="003641DC"/>
    <w:rsid w:val="003B519E"/>
    <w:rsid w:val="003D1E91"/>
    <w:rsid w:val="00400208"/>
    <w:rsid w:val="00413C71"/>
    <w:rsid w:val="00423085"/>
    <w:rsid w:val="00431B1E"/>
    <w:rsid w:val="004C4832"/>
    <w:rsid w:val="004D6F6B"/>
    <w:rsid w:val="00500997"/>
    <w:rsid w:val="00507477"/>
    <w:rsid w:val="0052281E"/>
    <w:rsid w:val="00526313"/>
    <w:rsid w:val="00595603"/>
    <w:rsid w:val="005D613D"/>
    <w:rsid w:val="005F27AE"/>
    <w:rsid w:val="0060312A"/>
    <w:rsid w:val="00686EA8"/>
    <w:rsid w:val="007011BD"/>
    <w:rsid w:val="00737A93"/>
    <w:rsid w:val="00742563"/>
    <w:rsid w:val="00774A9C"/>
    <w:rsid w:val="007A08BC"/>
    <w:rsid w:val="007A62D7"/>
    <w:rsid w:val="007B2E97"/>
    <w:rsid w:val="0081225A"/>
    <w:rsid w:val="0081392A"/>
    <w:rsid w:val="008146D9"/>
    <w:rsid w:val="008353DD"/>
    <w:rsid w:val="008C2B2A"/>
    <w:rsid w:val="00924BF2"/>
    <w:rsid w:val="009360DE"/>
    <w:rsid w:val="009372B3"/>
    <w:rsid w:val="00974AD7"/>
    <w:rsid w:val="009C3448"/>
    <w:rsid w:val="009C6012"/>
    <w:rsid w:val="009E437E"/>
    <w:rsid w:val="00A0019C"/>
    <w:rsid w:val="00A431A3"/>
    <w:rsid w:val="00A53C4E"/>
    <w:rsid w:val="00A53DFD"/>
    <w:rsid w:val="00A74241"/>
    <w:rsid w:val="00A7545D"/>
    <w:rsid w:val="00AA442B"/>
    <w:rsid w:val="00AB0429"/>
    <w:rsid w:val="00AC3957"/>
    <w:rsid w:val="00AD65D3"/>
    <w:rsid w:val="00AE72C5"/>
    <w:rsid w:val="00AF6EBB"/>
    <w:rsid w:val="00AF6F36"/>
    <w:rsid w:val="00B00DA4"/>
    <w:rsid w:val="00B07516"/>
    <w:rsid w:val="00B15CF8"/>
    <w:rsid w:val="00B31B5B"/>
    <w:rsid w:val="00BD1371"/>
    <w:rsid w:val="00C217DD"/>
    <w:rsid w:val="00C43F6D"/>
    <w:rsid w:val="00C56390"/>
    <w:rsid w:val="00C92258"/>
    <w:rsid w:val="00CC6243"/>
    <w:rsid w:val="00CD0222"/>
    <w:rsid w:val="00D03FD2"/>
    <w:rsid w:val="00D2753C"/>
    <w:rsid w:val="00D768CA"/>
    <w:rsid w:val="00DA6654"/>
    <w:rsid w:val="00DA7033"/>
    <w:rsid w:val="00DB501A"/>
    <w:rsid w:val="00DD26D3"/>
    <w:rsid w:val="00E05352"/>
    <w:rsid w:val="00E20092"/>
    <w:rsid w:val="00E436D9"/>
    <w:rsid w:val="00E43C3D"/>
    <w:rsid w:val="00E4455A"/>
    <w:rsid w:val="00E6114E"/>
    <w:rsid w:val="00E71CB7"/>
    <w:rsid w:val="00EA2FC4"/>
    <w:rsid w:val="00EC3BBE"/>
    <w:rsid w:val="00EE2A12"/>
    <w:rsid w:val="00F0067F"/>
    <w:rsid w:val="00F114E7"/>
    <w:rsid w:val="00F34368"/>
    <w:rsid w:val="00F44BAD"/>
    <w:rsid w:val="00F66AD6"/>
    <w:rsid w:val="00F74C5F"/>
    <w:rsid w:val="00F9010E"/>
    <w:rsid w:val="00FA0F95"/>
    <w:rsid w:val="00FA2E9D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0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4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97534">
                  <w:marLeft w:val="3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97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3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94946">
                  <w:marLeft w:val="3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061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7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1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A2C28-15C1-41B8-850B-B214E38E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1363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2015-03-19T11:02:00Z</dcterms:created>
  <dcterms:modified xsi:type="dcterms:W3CDTF">2015-03-19T11:02:00Z</dcterms:modified>
</cp:coreProperties>
</file>