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16" w:rsidRDefault="008D7616" w:rsidP="00E10A8E">
      <w:pPr>
        <w:pStyle w:val="Podtitul"/>
        <w:ind w:right="283"/>
        <w:jc w:val="right"/>
        <w:rPr>
          <w:sz w:val="28"/>
          <w:szCs w:val="28"/>
        </w:rPr>
      </w:pPr>
      <w:bookmarkStart w:id="0" w:name="_GoBack"/>
      <w:bookmarkEnd w:id="0"/>
    </w:p>
    <w:p w:rsidR="00E10A8E" w:rsidRPr="00E10A8E" w:rsidRDefault="00706C05" w:rsidP="00E10A8E">
      <w:pPr>
        <w:pStyle w:val="Podtitul"/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>I</w:t>
      </w:r>
      <w:r w:rsidR="00932DF7">
        <w:rPr>
          <w:sz w:val="28"/>
          <w:szCs w:val="28"/>
        </w:rPr>
        <w:t>I</w:t>
      </w:r>
      <w:r w:rsidR="00E10A8E" w:rsidRPr="00E10A8E">
        <w:rPr>
          <w:sz w:val="28"/>
          <w:szCs w:val="28"/>
        </w:rPr>
        <w:t>.</w:t>
      </w:r>
    </w:p>
    <w:p w:rsidR="0019389C" w:rsidRPr="0089063A" w:rsidRDefault="00754A08" w:rsidP="0019389C">
      <w:pPr>
        <w:pStyle w:val="Podtitul"/>
        <w:spacing w:before="3840"/>
        <w:rPr>
          <w:rFonts w:ascii="Times New Roman" w:eastAsia="Arial Unicode MS" w:hAnsi="Times New Roman" w:cs="Times New Roman"/>
          <w:b w:val="0"/>
          <w:iCs w:val="0"/>
          <w:spacing w:val="0"/>
          <w:sz w:val="22"/>
          <w:szCs w:val="22"/>
        </w:rPr>
      </w:pPr>
      <w:r w:rsidRPr="0089063A">
        <w:rPr>
          <w:sz w:val="52"/>
          <w:szCs w:val="56"/>
        </w:rPr>
        <w:t xml:space="preserve">Informace o </w:t>
      </w:r>
      <w:r w:rsidR="00B265D5" w:rsidRPr="0089063A">
        <w:rPr>
          <w:sz w:val="52"/>
          <w:szCs w:val="56"/>
        </w:rPr>
        <w:t xml:space="preserve">stavu přípravy </w:t>
      </w:r>
      <w:r w:rsidR="00C74597" w:rsidRPr="0089063A">
        <w:rPr>
          <w:sz w:val="52"/>
          <w:szCs w:val="56"/>
        </w:rPr>
        <w:t xml:space="preserve">programů </w:t>
      </w:r>
      <w:r w:rsidR="00B265D5" w:rsidRPr="0089063A">
        <w:rPr>
          <w:sz w:val="52"/>
          <w:szCs w:val="56"/>
        </w:rPr>
        <w:t xml:space="preserve">a řešení předběžných podmínek </w:t>
      </w:r>
      <w:r w:rsidR="00C74597" w:rsidRPr="0089063A">
        <w:rPr>
          <w:sz w:val="52"/>
          <w:szCs w:val="56"/>
        </w:rPr>
        <w:t>pro</w:t>
      </w:r>
      <w:r w:rsidR="0019389C" w:rsidRPr="0089063A">
        <w:rPr>
          <w:sz w:val="52"/>
          <w:szCs w:val="56"/>
        </w:rPr>
        <w:t> </w:t>
      </w:r>
      <w:r w:rsidRPr="0089063A">
        <w:rPr>
          <w:sz w:val="52"/>
          <w:szCs w:val="56"/>
        </w:rPr>
        <w:t xml:space="preserve">programové </w:t>
      </w:r>
      <w:r w:rsidR="0019389C" w:rsidRPr="0089063A">
        <w:rPr>
          <w:sz w:val="52"/>
          <w:szCs w:val="56"/>
        </w:rPr>
        <w:t>období </w:t>
      </w:r>
      <w:r w:rsidRPr="0089063A">
        <w:rPr>
          <w:sz w:val="52"/>
          <w:szCs w:val="56"/>
        </w:rPr>
        <w:t>2014–2020</w:t>
      </w:r>
      <w:r w:rsidR="0019389C" w:rsidRPr="0089063A">
        <w:rPr>
          <w:rFonts w:ascii="Times New Roman" w:eastAsia="Arial Unicode MS" w:hAnsi="Times New Roman" w:cs="Times New Roman"/>
          <w:b w:val="0"/>
          <w:iCs w:val="0"/>
          <w:spacing w:val="0"/>
          <w:sz w:val="22"/>
          <w:szCs w:val="22"/>
        </w:rPr>
        <w:t xml:space="preserve"> </w:t>
      </w:r>
    </w:p>
    <w:p w:rsidR="00C74597" w:rsidRDefault="00C74597" w:rsidP="00C74597"/>
    <w:p w:rsidR="00C74597" w:rsidRPr="00085CC8" w:rsidRDefault="00C74597" w:rsidP="00C74597">
      <w:pPr>
        <w:jc w:val="center"/>
        <w:rPr>
          <w:rFonts w:ascii="Arial" w:eastAsiaTheme="majorEastAsia" w:hAnsi="Arial" w:cs="Arial"/>
          <w:b/>
          <w:iCs/>
          <w:spacing w:val="15"/>
          <w:sz w:val="36"/>
          <w:szCs w:val="56"/>
        </w:rPr>
      </w:pPr>
      <w:r w:rsidRPr="00085CC8">
        <w:rPr>
          <w:rFonts w:ascii="Arial" w:eastAsiaTheme="majorEastAsia" w:hAnsi="Arial" w:cs="Arial"/>
          <w:b/>
          <w:iCs/>
          <w:spacing w:val="15"/>
          <w:sz w:val="36"/>
          <w:szCs w:val="56"/>
        </w:rPr>
        <w:t>Pl</w:t>
      </w:r>
      <w:r w:rsidR="00085CC8" w:rsidRPr="00085CC8">
        <w:rPr>
          <w:rFonts w:ascii="Arial" w:eastAsiaTheme="majorEastAsia" w:hAnsi="Arial" w:cs="Arial"/>
          <w:b/>
          <w:iCs/>
          <w:spacing w:val="15"/>
          <w:sz w:val="36"/>
          <w:szCs w:val="56"/>
        </w:rPr>
        <w:t xml:space="preserve">nění usnesení vlády </w:t>
      </w:r>
      <w:r w:rsidR="001919CC">
        <w:rPr>
          <w:rFonts w:ascii="Arial" w:eastAsiaTheme="majorEastAsia" w:hAnsi="Arial" w:cs="Arial"/>
          <w:b/>
          <w:iCs/>
          <w:spacing w:val="15"/>
          <w:sz w:val="36"/>
          <w:szCs w:val="56"/>
        </w:rPr>
        <w:t xml:space="preserve">ČR </w:t>
      </w:r>
      <w:r w:rsidR="00085CC8" w:rsidRPr="00085CC8">
        <w:rPr>
          <w:rFonts w:ascii="Arial" w:eastAsiaTheme="majorEastAsia" w:hAnsi="Arial" w:cs="Arial"/>
          <w:b/>
          <w:iCs/>
          <w:spacing w:val="15"/>
          <w:sz w:val="36"/>
          <w:szCs w:val="56"/>
        </w:rPr>
        <w:t>č. 182/2014</w:t>
      </w:r>
    </w:p>
    <w:p w:rsidR="009D4DEB" w:rsidRPr="009D4DEB" w:rsidRDefault="00897FC0" w:rsidP="003736CE">
      <w:pPr>
        <w:pStyle w:val="Podtitul"/>
        <w:spacing w:before="4920"/>
        <w:rPr>
          <w:sz w:val="28"/>
          <w:szCs w:val="28"/>
        </w:rPr>
      </w:pPr>
      <w:r>
        <w:rPr>
          <w:sz w:val="28"/>
          <w:szCs w:val="28"/>
        </w:rPr>
        <w:t>BŘEZEN</w:t>
      </w:r>
      <w:r w:rsidR="009445BD">
        <w:rPr>
          <w:sz w:val="28"/>
          <w:szCs w:val="28"/>
        </w:rPr>
        <w:t xml:space="preserve"> </w:t>
      </w:r>
      <w:r w:rsidR="002C74E9">
        <w:rPr>
          <w:sz w:val="28"/>
          <w:szCs w:val="28"/>
        </w:rPr>
        <w:t>2015</w:t>
      </w:r>
    </w:p>
    <w:p w:rsidR="003736CE" w:rsidRDefault="009D4DEB">
      <w:pPr>
        <w:spacing w:before="0" w:line="240" w:lineRule="auto"/>
        <w:jc w:val="left"/>
        <w:rPr>
          <w:rFonts w:ascii="Arial" w:eastAsiaTheme="majorEastAsia" w:hAnsi="Arial" w:cs="Arial"/>
          <w:b/>
          <w:bCs/>
          <w:sz w:val="28"/>
          <w:szCs w:val="28"/>
        </w:rPr>
      </w:pPr>
      <w:r>
        <w:br w:type="page"/>
      </w:r>
    </w:p>
    <w:p w:rsidR="00B265D5" w:rsidRDefault="00E358FF" w:rsidP="00C4586D">
      <w:pPr>
        <w:pStyle w:val="Nadpis1"/>
        <w:numPr>
          <w:ilvl w:val="0"/>
          <w:numId w:val="0"/>
        </w:numPr>
        <w:spacing w:after="0"/>
        <w:ind w:left="425" w:hanging="425"/>
      </w:pPr>
      <w:bookmarkStart w:id="1" w:name="_Toc385492639"/>
      <w:bookmarkStart w:id="2" w:name="_Toc388618011"/>
      <w:bookmarkStart w:id="3" w:name="_Toc391300574"/>
      <w:bookmarkStart w:id="4" w:name="_Toc401148474"/>
      <w:bookmarkStart w:id="5" w:name="_Toc401839048"/>
      <w:bookmarkStart w:id="6" w:name="_Toc401842232"/>
      <w:bookmarkStart w:id="7" w:name="_Toc415736244"/>
      <w:r>
        <w:lastRenderedPageBreak/>
        <w:t>O</w:t>
      </w:r>
      <w:r w:rsidR="000716F1">
        <w:t>bsah</w:t>
      </w:r>
      <w:bookmarkEnd w:id="1"/>
      <w:bookmarkEnd w:id="2"/>
      <w:bookmarkEnd w:id="3"/>
      <w:bookmarkEnd w:id="4"/>
      <w:bookmarkEnd w:id="5"/>
      <w:bookmarkEnd w:id="6"/>
      <w:bookmarkEnd w:id="7"/>
    </w:p>
    <w:bookmarkStart w:id="8" w:name="_Toc352675895" w:displacedByCustomXml="next"/>
    <w:bookmarkStart w:id="9" w:name="_Toc385492638" w:displacedByCustomXml="next"/>
    <w:bookmarkStart w:id="10" w:name="_Toc401148475" w:displacedByCustomXml="next"/>
    <w:sdt>
      <w:sdtPr>
        <w:rPr>
          <w:rFonts w:ascii="Times New Roman" w:eastAsia="Arial Unicode MS" w:hAnsi="Times New Roman" w:cs="Times New Roman"/>
          <w:b w:val="0"/>
          <w:bCs w:val="0"/>
          <w:color w:val="auto"/>
          <w:sz w:val="22"/>
          <w:szCs w:val="22"/>
          <w:lang w:eastAsia="cs-CZ"/>
        </w:rPr>
        <w:id w:val="-1186136570"/>
        <w:docPartObj>
          <w:docPartGallery w:val="Table of Contents"/>
          <w:docPartUnique/>
        </w:docPartObj>
      </w:sdtPr>
      <w:sdtEndPr>
        <w:rPr>
          <w:rFonts w:ascii="Arial" w:hAnsi="Arial" w:cs="Arial"/>
        </w:rPr>
      </w:sdtEndPr>
      <w:sdtContent>
        <w:p w:rsidR="008A3716" w:rsidRPr="008A3716" w:rsidRDefault="008A3716" w:rsidP="008A3716">
          <w:pPr>
            <w:pStyle w:val="Nadpisobsahu"/>
            <w:spacing w:before="0" w:after="0"/>
            <w:rPr>
              <w:sz w:val="2"/>
            </w:rPr>
          </w:pPr>
        </w:p>
        <w:p w:rsidR="00CA5C06" w:rsidRPr="00CA5C06" w:rsidRDefault="008A3716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0"/>
            </w:rPr>
          </w:pPr>
          <w:r w:rsidRPr="00386BF0">
            <w:rPr>
              <w:rFonts w:ascii="Arial" w:hAnsi="Arial" w:cs="Arial"/>
            </w:rPr>
            <w:fldChar w:fldCharType="begin"/>
          </w:r>
          <w:r w:rsidRPr="00386BF0">
            <w:rPr>
              <w:rFonts w:ascii="Arial" w:hAnsi="Arial" w:cs="Arial"/>
            </w:rPr>
            <w:instrText xml:space="preserve"> TOC \o "1-3" \h \z \u </w:instrText>
          </w:r>
          <w:r w:rsidRPr="00386BF0">
            <w:rPr>
              <w:rFonts w:ascii="Arial" w:hAnsi="Arial" w:cs="Arial"/>
            </w:rPr>
            <w:fldChar w:fldCharType="separate"/>
          </w:r>
          <w:hyperlink w:anchor="_Toc415736245" w:history="1"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Úvod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instrText xml:space="preserve"> PAGEREF _Toc415736245 \h </w:instrTex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 w:rsidR="0035188B">
              <w:rPr>
                <w:rFonts w:ascii="Arial" w:hAnsi="Arial" w:cs="Arial"/>
                <w:noProof/>
                <w:webHidden/>
                <w:sz w:val="20"/>
              </w:rPr>
              <w:t>3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CA5C06" w:rsidRPr="00CA5C06" w:rsidRDefault="00C74E4F">
          <w:pPr>
            <w:pStyle w:val="Obsah1"/>
            <w:tabs>
              <w:tab w:val="left" w:pos="440"/>
              <w:tab w:val="right" w:leader="dot" w:pos="9060"/>
            </w:tabs>
            <w:rPr>
              <w:rFonts w:ascii="Arial" w:eastAsiaTheme="minorEastAsia" w:hAnsi="Arial" w:cs="Arial"/>
              <w:noProof/>
              <w:sz w:val="20"/>
            </w:rPr>
          </w:pPr>
          <w:hyperlink w:anchor="_Toc415736246" w:history="1"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1.</w:t>
            </w:r>
            <w:r w:rsidR="00CA5C06" w:rsidRPr="00CA5C06">
              <w:rPr>
                <w:rFonts w:ascii="Arial" w:eastAsiaTheme="minorEastAsia" w:hAnsi="Arial" w:cs="Arial"/>
                <w:noProof/>
                <w:sz w:val="20"/>
              </w:rPr>
              <w:tab/>
            </w:r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Stav vyjednávání programů s Evropskou komisí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instrText xml:space="preserve"> PAGEREF _Toc415736246 \h </w:instrTex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 w:rsidR="0035188B">
              <w:rPr>
                <w:rFonts w:ascii="Arial" w:hAnsi="Arial" w:cs="Arial"/>
                <w:noProof/>
                <w:webHidden/>
                <w:sz w:val="20"/>
              </w:rPr>
              <w:t>4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CA5C06" w:rsidRPr="00CA5C06" w:rsidRDefault="00C74E4F">
          <w:pPr>
            <w:pStyle w:val="Obsah1"/>
            <w:tabs>
              <w:tab w:val="left" w:pos="440"/>
              <w:tab w:val="right" w:leader="dot" w:pos="9060"/>
            </w:tabs>
            <w:rPr>
              <w:rFonts w:ascii="Arial" w:eastAsiaTheme="minorEastAsia" w:hAnsi="Arial" w:cs="Arial"/>
              <w:noProof/>
              <w:sz w:val="20"/>
            </w:rPr>
          </w:pPr>
          <w:hyperlink w:anchor="_Toc415736290" w:history="1"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2.</w:t>
            </w:r>
            <w:r w:rsidR="00CA5C06" w:rsidRPr="00CA5C06">
              <w:rPr>
                <w:rFonts w:ascii="Arial" w:eastAsiaTheme="minorEastAsia" w:hAnsi="Arial" w:cs="Arial"/>
                <w:noProof/>
                <w:sz w:val="20"/>
              </w:rPr>
              <w:tab/>
            </w:r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Předběžné podmínky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instrText xml:space="preserve"> PAGEREF _Toc415736290 \h </w:instrTex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 w:rsidR="0035188B">
              <w:rPr>
                <w:rFonts w:ascii="Arial" w:hAnsi="Arial" w:cs="Arial"/>
                <w:noProof/>
                <w:webHidden/>
                <w:sz w:val="20"/>
              </w:rPr>
              <w:t>6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CA5C06" w:rsidRPr="00CA5C06" w:rsidRDefault="00C74E4F">
          <w:pPr>
            <w:pStyle w:val="Obsah1"/>
            <w:tabs>
              <w:tab w:val="left" w:pos="440"/>
              <w:tab w:val="right" w:leader="dot" w:pos="9060"/>
            </w:tabs>
            <w:rPr>
              <w:rFonts w:ascii="Arial" w:eastAsiaTheme="minorEastAsia" w:hAnsi="Arial" w:cs="Arial"/>
              <w:noProof/>
              <w:sz w:val="20"/>
            </w:rPr>
          </w:pPr>
          <w:hyperlink w:anchor="_Toc415736291" w:history="1"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3.</w:t>
            </w:r>
            <w:r w:rsidR="00CA5C06" w:rsidRPr="00CA5C06">
              <w:rPr>
                <w:rFonts w:ascii="Arial" w:eastAsiaTheme="minorEastAsia" w:hAnsi="Arial" w:cs="Arial"/>
                <w:noProof/>
                <w:sz w:val="20"/>
              </w:rPr>
              <w:tab/>
            </w:r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Další oblasti v rámci přípravy 2014–2020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instrText xml:space="preserve"> PAGEREF _Toc415736291 \h </w:instrTex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 w:rsidR="0035188B">
              <w:rPr>
                <w:rFonts w:ascii="Arial" w:hAnsi="Arial" w:cs="Arial"/>
                <w:noProof/>
                <w:webHidden/>
                <w:sz w:val="20"/>
              </w:rPr>
              <w:t>14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CA5C06" w:rsidRPr="00CA5C06" w:rsidRDefault="00C74E4F">
          <w:pPr>
            <w:pStyle w:val="Obsah1"/>
            <w:tabs>
              <w:tab w:val="right" w:leader="dot" w:pos="9060"/>
            </w:tabs>
            <w:rPr>
              <w:rFonts w:ascii="Arial" w:eastAsiaTheme="minorEastAsia" w:hAnsi="Arial" w:cs="Arial"/>
              <w:noProof/>
              <w:sz w:val="20"/>
            </w:rPr>
          </w:pPr>
          <w:hyperlink w:anchor="_Toc415736293" w:history="1"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Seznam zkratek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instrText xml:space="preserve"> PAGEREF _Toc415736293 \h </w:instrTex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 w:rsidR="0035188B">
              <w:rPr>
                <w:rFonts w:ascii="Arial" w:hAnsi="Arial" w:cs="Arial"/>
                <w:noProof/>
                <w:webHidden/>
                <w:sz w:val="20"/>
              </w:rPr>
              <w:t>15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CA5C06" w:rsidRDefault="00C74E4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15736294" w:history="1">
            <w:r w:rsidR="00CA5C06" w:rsidRPr="00CA5C06">
              <w:rPr>
                <w:rStyle w:val="Hypertextovodkaz"/>
                <w:rFonts w:ascii="Arial" w:hAnsi="Arial" w:cs="Arial"/>
                <w:noProof/>
                <w:sz w:val="20"/>
              </w:rPr>
              <w:t>Příloha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tab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begin"/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instrText xml:space="preserve"> PAGEREF _Toc415736294 \h </w:instrTex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separate"/>
            </w:r>
            <w:r w:rsidR="0035188B">
              <w:rPr>
                <w:rFonts w:ascii="Arial" w:hAnsi="Arial" w:cs="Arial"/>
                <w:noProof/>
                <w:webHidden/>
                <w:sz w:val="20"/>
              </w:rPr>
              <w:t>16</w:t>
            </w:r>
            <w:r w:rsidR="00CA5C06" w:rsidRPr="00CA5C06">
              <w:rPr>
                <w:rFonts w:ascii="Arial" w:hAnsi="Arial" w:cs="Arial"/>
                <w:noProof/>
                <w:webHidden/>
                <w:sz w:val="20"/>
              </w:rPr>
              <w:fldChar w:fldCharType="end"/>
            </w:r>
          </w:hyperlink>
        </w:p>
        <w:p w:rsidR="008A3716" w:rsidRPr="008073B7" w:rsidRDefault="008A3716" w:rsidP="00C4586D">
          <w:pPr>
            <w:spacing w:after="240"/>
            <w:rPr>
              <w:rFonts w:ascii="Arial" w:hAnsi="Arial" w:cs="Arial"/>
            </w:rPr>
          </w:pPr>
          <w:r w:rsidRPr="00386BF0">
            <w:rPr>
              <w:rFonts w:ascii="Arial" w:hAnsi="Arial" w:cs="Arial"/>
              <w:bCs/>
            </w:rPr>
            <w:fldChar w:fldCharType="end"/>
          </w:r>
        </w:p>
      </w:sdtContent>
    </w:sdt>
    <w:p w:rsidR="008A3716" w:rsidRDefault="008A3716">
      <w:pPr>
        <w:spacing w:before="0" w:line="240" w:lineRule="auto"/>
        <w:jc w:val="left"/>
        <w:rPr>
          <w:rFonts w:ascii="Arial" w:eastAsiaTheme="majorEastAsia" w:hAnsi="Arial" w:cs="Arial"/>
          <w:b/>
          <w:bCs/>
          <w:sz w:val="36"/>
          <w:szCs w:val="32"/>
        </w:rPr>
      </w:pPr>
      <w:r>
        <w:br w:type="page"/>
      </w:r>
    </w:p>
    <w:p w:rsidR="00E358FF" w:rsidRPr="00F815CD" w:rsidRDefault="00E358FF" w:rsidP="0014171B">
      <w:pPr>
        <w:pStyle w:val="Nadpis1"/>
        <w:numPr>
          <w:ilvl w:val="0"/>
          <w:numId w:val="0"/>
        </w:numPr>
        <w:ind w:left="426" w:hanging="426"/>
      </w:pPr>
      <w:bookmarkStart w:id="11" w:name="_Toc415736245"/>
      <w:r w:rsidRPr="003736CE">
        <w:lastRenderedPageBreak/>
        <w:t>Úvod</w:t>
      </w:r>
      <w:bookmarkEnd w:id="10"/>
      <w:bookmarkEnd w:id="9"/>
      <w:bookmarkEnd w:id="8"/>
      <w:bookmarkEnd w:id="11"/>
    </w:p>
    <w:p w:rsidR="00C23A06" w:rsidRDefault="00A65BA8" w:rsidP="00C23A06">
      <w:pPr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>Ministerstvo pro místní rozvoj -</w:t>
      </w:r>
      <w:r w:rsidR="00E358FF" w:rsidRPr="003A6035">
        <w:rPr>
          <w:rFonts w:ascii="Arial" w:hAnsi="Arial" w:cs="Arial"/>
          <w:sz w:val="20"/>
          <w:szCs w:val="24"/>
        </w:rPr>
        <w:t xml:space="preserve"> Národní orgán pro koordinaci (MMR-NOK) v souvislosti s plněním usnesení vlády </w:t>
      </w:r>
      <w:r w:rsidR="00480310">
        <w:rPr>
          <w:rFonts w:ascii="Arial" w:hAnsi="Arial" w:cs="Arial"/>
          <w:sz w:val="20"/>
          <w:szCs w:val="24"/>
        </w:rPr>
        <w:t xml:space="preserve">ČR </w:t>
      </w:r>
      <w:r w:rsidR="00E358FF" w:rsidRPr="003A6035">
        <w:rPr>
          <w:rFonts w:ascii="Arial" w:hAnsi="Arial" w:cs="Arial"/>
          <w:sz w:val="20"/>
          <w:szCs w:val="24"/>
        </w:rPr>
        <w:t xml:space="preserve">ze dne 24. března 2014 č. 182 předkládá </w:t>
      </w:r>
      <w:r w:rsidR="00E358FF" w:rsidRPr="003A6035">
        <w:rPr>
          <w:rFonts w:ascii="Arial" w:hAnsi="Arial" w:cs="Arial"/>
          <w:b/>
          <w:i/>
          <w:sz w:val="20"/>
          <w:szCs w:val="24"/>
        </w:rPr>
        <w:t>„Informaci o stavu přípravy programů a řešení předběžných podmínek pro programové období 2014–2020“</w:t>
      </w:r>
      <w:r w:rsidR="0014171B" w:rsidRPr="003A6035">
        <w:rPr>
          <w:rFonts w:ascii="Arial" w:hAnsi="Arial" w:cs="Arial"/>
          <w:b/>
          <w:i/>
          <w:sz w:val="20"/>
          <w:szCs w:val="24"/>
        </w:rPr>
        <w:t xml:space="preserve"> </w:t>
      </w:r>
      <w:r w:rsidR="0014171B" w:rsidRPr="003A6035">
        <w:rPr>
          <w:rFonts w:ascii="Arial" w:hAnsi="Arial" w:cs="Arial"/>
          <w:b/>
          <w:sz w:val="20"/>
          <w:szCs w:val="24"/>
        </w:rPr>
        <w:t>za</w:t>
      </w:r>
      <w:r w:rsidR="0014171B" w:rsidRPr="003A6035">
        <w:rPr>
          <w:rFonts w:ascii="Arial" w:hAnsi="Arial" w:cs="Arial"/>
          <w:sz w:val="20"/>
          <w:szCs w:val="24"/>
        </w:rPr>
        <w:t xml:space="preserve"> </w:t>
      </w:r>
      <w:r w:rsidR="0014171B" w:rsidRPr="003A6035">
        <w:rPr>
          <w:rFonts w:ascii="Arial" w:hAnsi="Arial" w:cs="Arial"/>
          <w:b/>
          <w:sz w:val="20"/>
          <w:szCs w:val="24"/>
        </w:rPr>
        <w:t xml:space="preserve">měsíc </w:t>
      </w:r>
      <w:r w:rsidR="00897FC0">
        <w:rPr>
          <w:rFonts w:ascii="Arial" w:hAnsi="Arial" w:cs="Arial"/>
          <w:b/>
          <w:sz w:val="20"/>
          <w:szCs w:val="24"/>
        </w:rPr>
        <w:t>březen</w:t>
      </w:r>
      <w:r w:rsidR="00243DE3">
        <w:rPr>
          <w:rFonts w:ascii="Arial" w:hAnsi="Arial" w:cs="Arial"/>
          <w:b/>
          <w:sz w:val="20"/>
          <w:szCs w:val="24"/>
        </w:rPr>
        <w:t xml:space="preserve"> 2015</w:t>
      </w:r>
      <w:r w:rsidR="00C23A06" w:rsidRPr="003A6035">
        <w:rPr>
          <w:rFonts w:ascii="Arial" w:hAnsi="Arial" w:cs="Arial"/>
          <w:sz w:val="20"/>
          <w:szCs w:val="24"/>
        </w:rPr>
        <w:t xml:space="preserve">. </w:t>
      </w:r>
    </w:p>
    <w:p w:rsidR="003A6035" w:rsidRDefault="003A6035" w:rsidP="00C77D36">
      <w:p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Aktuální informace obsažené v předkládaném materiálu se týkají:</w:t>
      </w:r>
    </w:p>
    <w:p w:rsidR="003A6035" w:rsidRDefault="00C77D36" w:rsidP="00E93E67">
      <w:pPr>
        <w:pStyle w:val="Odstavecseseznamem"/>
        <w:numPr>
          <w:ilvl w:val="0"/>
          <w:numId w:val="5"/>
        </w:numPr>
        <w:ind w:left="777" w:hanging="357"/>
        <w:contextualSpacing w:val="0"/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 xml:space="preserve">stavu </w:t>
      </w:r>
      <w:r w:rsidR="00E93E67">
        <w:rPr>
          <w:rFonts w:ascii="Arial" w:hAnsi="Arial" w:cs="Arial"/>
          <w:sz w:val="20"/>
          <w:szCs w:val="24"/>
        </w:rPr>
        <w:t>vyjednávání</w:t>
      </w:r>
      <w:r w:rsidRPr="003A6035">
        <w:rPr>
          <w:rFonts w:ascii="Arial" w:hAnsi="Arial" w:cs="Arial"/>
          <w:sz w:val="20"/>
          <w:szCs w:val="24"/>
        </w:rPr>
        <w:t xml:space="preserve"> </w:t>
      </w:r>
      <w:r w:rsidR="00B22BD2" w:rsidRPr="003A6035">
        <w:rPr>
          <w:rFonts w:ascii="Arial" w:hAnsi="Arial" w:cs="Arial"/>
          <w:sz w:val="20"/>
          <w:szCs w:val="24"/>
        </w:rPr>
        <w:t>programů pro čerpání prostředků z Evropských strukturálních a</w:t>
      </w:r>
      <w:r w:rsidR="00EC3E99">
        <w:rPr>
          <w:rFonts w:ascii="Arial" w:hAnsi="Arial" w:cs="Arial"/>
          <w:sz w:val="20"/>
          <w:szCs w:val="24"/>
        </w:rPr>
        <w:t> </w:t>
      </w:r>
      <w:r w:rsidR="00B22BD2" w:rsidRPr="003A6035">
        <w:rPr>
          <w:rFonts w:ascii="Arial" w:hAnsi="Arial" w:cs="Arial"/>
          <w:sz w:val="20"/>
          <w:szCs w:val="24"/>
        </w:rPr>
        <w:t>investičních fondů (ESI fondy)</w:t>
      </w:r>
      <w:r w:rsidRPr="003A6035">
        <w:rPr>
          <w:rFonts w:ascii="Arial" w:hAnsi="Arial" w:cs="Arial"/>
          <w:sz w:val="20"/>
          <w:szCs w:val="24"/>
        </w:rPr>
        <w:t xml:space="preserve"> </w:t>
      </w:r>
      <w:r w:rsidR="00B22BD2" w:rsidRPr="003A6035">
        <w:rPr>
          <w:rFonts w:ascii="Arial" w:hAnsi="Arial" w:cs="Arial"/>
          <w:sz w:val="20"/>
          <w:szCs w:val="24"/>
        </w:rPr>
        <w:t>s Evropskou komisí</w:t>
      </w:r>
      <w:r w:rsidR="00CF77AE">
        <w:rPr>
          <w:rFonts w:ascii="Arial" w:hAnsi="Arial" w:cs="Arial"/>
          <w:sz w:val="20"/>
          <w:szCs w:val="24"/>
        </w:rPr>
        <w:t xml:space="preserve"> (EK)</w:t>
      </w:r>
      <w:r w:rsidR="00C251D9">
        <w:rPr>
          <w:rFonts w:ascii="Arial" w:hAnsi="Arial" w:cs="Arial"/>
          <w:sz w:val="20"/>
          <w:szCs w:val="24"/>
        </w:rPr>
        <w:t>,</w:t>
      </w:r>
    </w:p>
    <w:p w:rsidR="00C251D9" w:rsidRDefault="00C77D36" w:rsidP="00E93E67">
      <w:pPr>
        <w:pStyle w:val="Odstavecseseznamem"/>
        <w:numPr>
          <w:ilvl w:val="0"/>
          <w:numId w:val="5"/>
        </w:numPr>
        <w:ind w:left="777" w:hanging="357"/>
        <w:contextualSpacing w:val="0"/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>stavu plnění rizikových předběžných podmínek a </w:t>
      </w:r>
      <w:r w:rsidR="003A6035">
        <w:rPr>
          <w:rFonts w:ascii="Arial" w:hAnsi="Arial" w:cs="Arial"/>
          <w:sz w:val="20"/>
          <w:szCs w:val="24"/>
        </w:rPr>
        <w:t>kroků</w:t>
      </w:r>
      <w:r w:rsidRPr="003A6035">
        <w:rPr>
          <w:rFonts w:ascii="Arial" w:hAnsi="Arial" w:cs="Arial"/>
          <w:sz w:val="20"/>
          <w:szCs w:val="24"/>
        </w:rPr>
        <w:t xml:space="preserve"> přijímaných k jejich naplnění</w:t>
      </w:r>
      <w:r w:rsidR="00056CB3">
        <w:rPr>
          <w:rFonts w:ascii="Arial" w:hAnsi="Arial" w:cs="Arial"/>
          <w:sz w:val="20"/>
          <w:szCs w:val="24"/>
        </w:rPr>
        <w:t>,</w:t>
      </w:r>
    </w:p>
    <w:p w:rsidR="00C77D36" w:rsidRDefault="00C251D9" w:rsidP="00E93E67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dalších oblastí souvisejících s přípravou programového období 2014–2020</w:t>
      </w:r>
      <w:r w:rsidR="00C77D36" w:rsidRPr="003A6035">
        <w:rPr>
          <w:rFonts w:ascii="Arial" w:hAnsi="Arial" w:cs="Arial"/>
          <w:sz w:val="20"/>
          <w:szCs w:val="24"/>
        </w:rPr>
        <w:t xml:space="preserve">. </w:t>
      </w:r>
    </w:p>
    <w:p w:rsidR="001E0ED3" w:rsidRDefault="003A6035" w:rsidP="001E0ED3">
      <w:pPr>
        <w:rPr>
          <w:rFonts w:ascii="Arial" w:hAnsi="Arial" w:cs="Arial"/>
          <w:sz w:val="20"/>
          <w:szCs w:val="24"/>
        </w:rPr>
      </w:pPr>
      <w:r w:rsidRPr="003A6035">
        <w:rPr>
          <w:rFonts w:ascii="Arial" w:hAnsi="Arial" w:cs="Arial"/>
          <w:sz w:val="20"/>
          <w:szCs w:val="24"/>
        </w:rPr>
        <w:t>Materiál obsahuje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Pr="003A6035">
        <w:rPr>
          <w:rFonts w:ascii="Arial" w:hAnsi="Arial" w:cs="Arial"/>
          <w:sz w:val="20"/>
          <w:szCs w:val="24"/>
        </w:rPr>
        <w:t xml:space="preserve">aktuální informace, které se udály </w:t>
      </w:r>
      <w:r w:rsidR="00897FC0">
        <w:rPr>
          <w:rFonts w:ascii="Arial" w:hAnsi="Arial" w:cs="Arial"/>
          <w:sz w:val="20"/>
          <w:szCs w:val="24"/>
        </w:rPr>
        <w:t>v průběhu března 2015</w:t>
      </w:r>
      <w:r w:rsidRPr="003A6035">
        <w:rPr>
          <w:rFonts w:ascii="Arial" w:hAnsi="Arial" w:cs="Arial"/>
          <w:sz w:val="20"/>
          <w:szCs w:val="24"/>
        </w:rPr>
        <w:t xml:space="preserve"> a</w:t>
      </w:r>
      <w:r w:rsidR="00EC3E99">
        <w:rPr>
          <w:rFonts w:ascii="Arial" w:hAnsi="Arial" w:cs="Arial"/>
          <w:b/>
          <w:sz w:val="20"/>
          <w:szCs w:val="24"/>
        </w:rPr>
        <w:t> </w:t>
      </w:r>
      <w:r w:rsidRPr="00CF77AE">
        <w:rPr>
          <w:rFonts w:ascii="Arial" w:hAnsi="Arial" w:cs="Arial"/>
          <w:b/>
          <w:sz w:val="20"/>
          <w:szCs w:val="24"/>
        </w:rPr>
        <w:t>jsou</w:t>
      </w:r>
      <w:r w:rsidR="008A2EC7" w:rsidRPr="00CF77AE">
        <w:rPr>
          <w:rFonts w:ascii="Arial" w:hAnsi="Arial" w:cs="Arial"/>
          <w:b/>
          <w:sz w:val="20"/>
          <w:szCs w:val="24"/>
        </w:rPr>
        <w:t xml:space="preserve"> </w:t>
      </w:r>
      <w:r w:rsidR="008A2EC7" w:rsidRPr="00CF77AE">
        <w:rPr>
          <w:rFonts w:ascii="Arial" w:hAnsi="Arial" w:cs="Arial"/>
          <w:b/>
          <w:sz w:val="20"/>
          <w:szCs w:val="24"/>
          <w:u w:val="single"/>
        </w:rPr>
        <w:t xml:space="preserve">platné ke </w:t>
      </w:r>
      <w:r w:rsidR="008204C8">
        <w:rPr>
          <w:rFonts w:ascii="Arial" w:hAnsi="Arial" w:cs="Arial"/>
          <w:b/>
          <w:sz w:val="20"/>
          <w:szCs w:val="24"/>
          <w:u w:val="single"/>
        </w:rPr>
        <w:t xml:space="preserve">dni </w:t>
      </w:r>
      <w:r w:rsidR="00897FC0">
        <w:rPr>
          <w:rFonts w:ascii="Arial" w:hAnsi="Arial" w:cs="Arial"/>
          <w:b/>
          <w:sz w:val="20"/>
          <w:szCs w:val="24"/>
          <w:u w:val="single"/>
        </w:rPr>
        <w:t>31. března</w:t>
      </w:r>
      <w:r w:rsidR="008A2EC7" w:rsidRPr="00ED5250">
        <w:rPr>
          <w:rFonts w:ascii="Arial" w:hAnsi="Arial" w:cs="Arial"/>
          <w:b/>
          <w:sz w:val="20"/>
          <w:szCs w:val="24"/>
          <w:u w:val="single"/>
        </w:rPr>
        <w:t xml:space="preserve"> 201</w:t>
      </w:r>
      <w:r w:rsidR="00243DE3">
        <w:rPr>
          <w:rFonts w:ascii="Arial" w:hAnsi="Arial" w:cs="Arial"/>
          <w:b/>
          <w:sz w:val="20"/>
          <w:szCs w:val="24"/>
          <w:u w:val="single"/>
        </w:rPr>
        <w:t>5</w:t>
      </w:r>
      <w:r w:rsidR="008A2EC7" w:rsidRPr="00ED5250">
        <w:rPr>
          <w:rFonts w:ascii="Arial" w:hAnsi="Arial" w:cs="Arial"/>
          <w:sz w:val="20"/>
          <w:szCs w:val="24"/>
        </w:rPr>
        <w:t>.</w:t>
      </w:r>
    </w:p>
    <w:p w:rsidR="00ED13F7" w:rsidRDefault="00ED13F7" w:rsidP="001E0ED3">
      <w:p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Nadále pokračuje vyjednávání jednotlivých programových dokumentů, které jsou postupně finalizovány a vkládány do informačního systému EK – tzv. SFC. Ke konci března 2015 bylo prostřednictvím SFC předloženo EK celkem 5 programů, konkrétně OP Zaměstnanost, OP Výzkum, vývoj a vzdělávání, OP Životní prostředí, Program</w:t>
      </w:r>
      <w:r w:rsidR="008D21D0">
        <w:rPr>
          <w:rFonts w:ascii="Arial" w:hAnsi="Arial" w:cs="Arial"/>
          <w:sz w:val="20"/>
          <w:szCs w:val="24"/>
        </w:rPr>
        <w:t xml:space="preserve"> rozvoje venkova a OP Rybářství.</w:t>
      </w:r>
      <w:r>
        <w:rPr>
          <w:rFonts w:ascii="Arial" w:hAnsi="Arial" w:cs="Arial"/>
          <w:sz w:val="20"/>
          <w:szCs w:val="24"/>
        </w:rPr>
        <w:t xml:space="preserve"> Vyjednávání bylo ukončeno také ve vztahu k OP Podnikání a inovace pro konkurenceschopnost</w:t>
      </w:r>
      <w:r w:rsidR="00850F66" w:rsidRPr="00850F66">
        <w:rPr>
          <w:rFonts w:ascii="Arial" w:hAnsi="Arial" w:cs="Arial"/>
          <w:sz w:val="20"/>
          <w:szCs w:val="24"/>
        </w:rPr>
        <w:t xml:space="preserve"> </w:t>
      </w:r>
      <w:r w:rsidR="00850F66">
        <w:rPr>
          <w:rFonts w:ascii="Arial" w:hAnsi="Arial" w:cs="Arial"/>
          <w:sz w:val="20"/>
          <w:szCs w:val="24"/>
        </w:rPr>
        <w:t>a OP Doprava a tyto programy budou oficiálně odeslány EK v nejbližší době</w:t>
      </w:r>
      <w:r>
        <w:rPr>
          <w:rFonts w:ascii="Arial" w:hAnsi="Arial" w:cs="Arial"/>
          <w:sz w:val="20"/>
          <w:szCs w:val="24"/>
        </w:rPr>
        <w:t>.</w:t>
      </w:r>
    </w:p>
    <w:p w:rsidR="00850F66" w:rsidRDefault="00850F66" w:rsidP="001E0ED3">
      <w:pPr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Vzhledem k tomu, že se podařilo vyřešit oblasti, které mohly být pro schvalování programů blokační (služební zákon, </w:t>
      </w:r>
      <w:r w:rsidR="002B7BBD">
        <w:rPr>
          <w:rFonts w:ascii="Arial" w:hAnsi="Arial" w:cs="Arial"/>
          <w:sz w:val="20"/>
          <w:szCs w:val="24"/>
        </w:rPr>
        <w:t>zavedení</w:t>
      </w:r>
      <w:r>
        <w:rPr>
          <w:rFonts w:ascii="Arial" w:hAnsi="Arial" w:cs="Arial"/>
          <w:sz w:val="20"/>
          <w:szCs w:val="24"/>
        </w:rPr>
        <w:t xml:space="preserve"> centrálního registru smluv </w:t>
      </w:r>
      <w:r w:rsidR="002B7BBD">
        <w:rPr>
          <w:rFonts w:ascii="Arial" w:hAnsi="Arial" w:cs="Arial"/>
          <w:sz w:val="20"/>
          <w:szCs w:val="24"/>
        </w:rPr>
        <w:t xml:space="preserve">s vazbou </w:t>
      </w:r>
      <w:r>
        <w:rPr>
          <w:rFonts w:ascii="Arial" w:hAnsi="Arial" w:cs="Arial"/>
          <w:sz w:val="20"/>
          <w:szCs w:val="24"/>
        </w:rPr>
        <w:t xml:space="preserve">na oblast předběžných podmínek), lze očekávat, že jednotlivé programy budou schvalovány na přelomu dubna a května 2015 v návaznosti na schválení revize víceletého finančního rámce EU. </w:t>
      </w:r>
    </w:p>
    <w:p w:rsidR="00E358FF" w:rsidRPr="00E93E67" w:rsidRDefault="00E358FF" w:rsidP="00E93E67">
      <w:pPr>
        <w:rPr>
          <w:rFonts w:ascii="Arial" w:hAnsi="Arial" w:cs="Arial"/>
          <w:b/>
          <w:sz w:val="20"/>
          <w:szCs w:val="24"/>
        </w:rPr>
      </w:pPr>
      <w:r>
        <w:br w:type="page"/>
      </w:r>
    </w:p>
    <w:p w:rsidR="00951AF4" w:rsidRPr="00951AF4" w:rsidRDefault="004F5242" w:rsidP="0025023E">
      <w:pPr>
        <w:pStyle w:val="Nadpis1"/>
        <w:spacing w:after="120"/>
        <w:ind w:left="425" w:hanging="425"/>
      </w:pPr>
      <w:bookmarkStart w:id="12" w:name="_Toc415736246"/>
      <w:bookmarkStart w:id="13" w:name="_Toc401148476"/>
      <w:r>
        <w:lastRenderedPageBreak/>
        <w:t>Stav v</w:t>
      </w:r>
      <w:r w:rsidR="00910F75">
        <w:t xml:space="preserve">yjednávání </w:t>
      </w:r>
      <w:r w:rsidR="00E94B67" w:rsidRPr="002B7CE4">
        <w:t>programů</w:t>
      </w:r>
      <w:r w:rsidR="00153AA0" w:rsidRPr="002B7CE4">
        <w:t xml:space="preserve"> </w:t>
      </w:r>
      <w:r w:rsidR="00F96229">
        <w:t>s Evropskou komisí</w:t>
      </w:r>
      <w:bookmarkEnd w:id="12"/>
      <w:r w:rsidR="00153AA0" w:rsidRPr="002B7CE4">
        <w:t xml:space="preserve"> </w:t>
      </w:r>
      <w:bookmarkStart w:id="14" w:name="_Toc391300587"/>
      <w:bookmarkEnd w:id="13"/>
    </w:p>
    <w:bookmarkEnd w:id="14"/>
    <w:p w:rsidR="0073338D" w:rsidRDefault="0073338D" w:rsidP="007E7FD9">
      <w:pPr>
        <w:spacing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 průběhu března 2</w:t>
      </w:r>
      <w:r w:rsidR="00986735">
        <w:rPr>
          <w:rFonts w:ascii="Arial" w:hAnsi="Arial" w:cs="Arial"/>
          <w:bCs/>
          <w:sz w:val="20"/>
          <w:szCs w:val="20"/>
        </w:rPr>
        <w:t xml:space="preserve">015 pokračovalo vyjednávání a v </w:t>
      </w:r>
      <w:r>
        <w:rPr>
          <w:rFonts w:ascii="Arial" w:hAnsi="Arial" w:cs="Arial"/>
          <w:bCs/>
          <w:sz w:val="20"/>
          <w:szCs w:val="20"/>
        </w:rPr>
        <w:t>některých případech také finalizace programových dokumentů, a to v návaznosti na jednání s EK, které se uskutečnilo 19. února 2015 v Praze.</w:t>
      </w:r>
    </w:p>
    <w:p w:rsidR="000E2612" w:rsidRDefault="0073338D" w:rsidP="007E7FD9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Dne </w:t>
      </w:r>
      <w:r w:rsidRPr="0073338D">
        <w:rPr>
          <w:rFonts w:ascii="Arial" w:hAnsi="Arial" w:cs="Arial"/>
          <w:b/>
          <w:bCs/>
          <w:sz w:val="20"/>
          <w:szCs w:val="20"/>
        </w:rPr>
        <w:t>18. března 2015</w:t>
      </w:r>
      <w:r>
        <w:rPr>
          <w:rFonts w:ascii="Arial" w:hAnsi="Arial" w:cs="Arial"/>
          <w:bCs/>
          <w:sz w:val="20"/>
          <w:szCs w:val="20"/>
        </w:rPr>
        <w:t xml:space="preserve"> se konala </w:t>
      </w:r>
      <w:r w:rsidRPr="0073338D">
        <w:rPr>
          <w:rFonts w:ascii="Arial" w:hAnsi="Arial" w:cs="Arial"/>
          <w:b/>
          <w:bCs/>
          <w:sz w:val="20"/>
          <w:szCs w:val="20"/>
        </w:rPr>
        <w:t>videokonference s EK</w:t>
      </w:r>
      <w:r>
        <w:rPr>
          <w:rFonts w:ascii="Arial" w:hAnsi="Arial" w:cs="Arial"/>
          <w:sz w:val="20"/>
          <w:szCs w:val="20"/>
        </w:rPr>
        <w:t xml:space="preserve">, na které byly dále projednávány </w:t>
      </w:r>
      <w:r w:rsidR="00BE3795">
        <w:rPr>
          <w:rFonts w:ascii="Arial" w:hAnsi="Arial" w:cs="Arial"/>
          <w:sz w:val="20"/>
          <w:szCs w:val="20"/>
        </w:rPr>
        <w:t>neuzavřené</w:t>
      </w:r>
      <w:r>
        <w:rPr>
          <w:rFonts w:ascii="Arial" w:hAnsi="Arial" w:cs="Arial"/>
          <w:sz w:val="20"/>
          <w:szCs w:val="20"/>
        </w:rPr>
        <w:t xml:space="preserve"> otázky týkající </w:t>
      </w:r>
      <w:r w:rsidR="00F96B9F">
        <w:rPr>
          <w:rFonts w:ascii="Arial" w:hAnsi="Arial" w:cs="Arial"/>
          <w:sz w:val="20"/>
          <w:szCs w:val="20"/>
        </w:rPr>
        <w:t xml:space="preserve">se </w:t>
      </w:r>
      <w:r>
        <w:rPr>
          <w:rFonts w:ascii="Arial" w:hAnsi="Arial" w:cs="Arial"/>
          <w:sz w:val="20"/>
          <w:szCs w:val="20"/>
        </w:rPr>
        <w:t xml:space="preserve">vybraných programů i některé nedořešené </w:t>
      </w:r>
      <w:r w:rsidR="00D2000D">
        <w:rPr>
          <w:rFonts w:ascii="Arial" w:hAnsi="Arial" w:cs="Arial"/>
          <w:sz w:val="20"/>
          <w:szCs w:val="20"/>
        </w:rPr>
        <w:t>horizontální</w:t>
      </w:r>
      <w:r>
        <w:rPr>
          <w:rFonts w:ascii="Arial" w:hAnsi="Arial" w:cs="Arial"/>
          <w:sz w:val="20"/>
          <w:szCs w:val="20"/>
        </w:rPr>
        <w:t xml:space="preserve"> oblasti, jako je </w:t>
      </w:r>
      <w:r w:rsidR="00D2000D">
        <w:rPr>
          <w:rFonts w:ascii="Arial" w:hAnsi="Arial" w:cs="Arial"/>
          <w:sz w:val="20"/>
          <w:szCs w:val="20"/>
        </w:rPr>
        <w:t xml:space="preserve">zapojení nositelů strategií ITI </w:t>
      </w:r>
      <w:r w:rsidR="00D2000D" w:rsidRPr="00D2000D">
        <w:rPr>
          <w:rFonts w:ascii="Arial" w:hAnsi="Arial" w:cs="Arial"/>
          <w:i/>
          <w:sz w:val="20"/>
          <w:szCs w:val="20"/>
        </w:rPr>
        <w:t xml:space="preserve">(Integrated Territorial Investments) </w:t>
      </w:r>
      <w:r w:rsidR="00D2000D">
        <w:rPr>
          <w:rFonts w:ascii="Arial" w:hAnsi="Arial" w:cs="Arial"/>
          <w:sz w:val="20"/>
          <w:szCs w:val="20"/>
        </w:rPr>
        <w:t>do implementace programů</w:t>
      </w:r>
      <w:r>
        <w:rPr>
          <w:rFonts w:ascii="Arial" w:hAnsi="Arial" w:cs="Arial"/>
          <w:sz w:val="20"/>
          <w:szCs w:val="20"/>
        </w:rPr>
        <w:t>, vybrané předběžné podmínky či problematika zahájení implementace před schválením program</w:t>
      </w:r>
      <w:r w:rsidR="00B10565">
        <w:rPr>
          <w:rFonts w:ascii="Arial" w:hAnsi="Arial" w:cs="Arial"/>
          <w:sz w:val="20"/>
          <w:szCs w:val="20"/>
        </w:rPr>
        <w:t>u ze </w:t>
      </w:r>
      <w:r w:rsidR="007E4E77">
        <w:rPr>
          <w:rFonts w:ascii="Arial" w:hAnsi="Arial" w:cs="Arial"/>
          <w:sz w:val="20"/>
          <w:szCs w:val="20"/>
        </w:rPr>
        <w:t>strany EK</w:t>
      </w:r>
      <w:r>
        <w:rPr>
          <w:rFonts w:ascii="Arial" w:hAnsi="Arial" w:cs="Arial"/>
          <w:sz w:val="20"/>
          <w:szCs w:val="20"/>
        </w:rPr>
        <w:t>.</w:t>
      </w:r>
      <w:r w:rsidR="007E4E77">
        <w:rPr>
          <w:rFonts w:ascii="Arial" w:hAnsi="Arial" w:cs="Arial"/>
          <w:sz w:val="20"/>
          <w:szCs w:val="20"/>
        </w:rPr>
        <w:t xml:space="preserve"> </w:t>
      </w:r>
      <w:r w:rsidR="000E2612">
        <w:rPr>
          <w:rFonts w:ascii="Arial" w:hAnsi="Arial" w:cs="Arial"/>
          <w:sz w:val="20"/>
          <w:szCs w:val="20"/>
        </w:rPr>
        <w:t>O výsledcích jednání s EK v rámci této videokonference byly řídicí orgány informovány ze strany MMR-NOK na jednání Pracovní skupiny Národního orgánu pro koordinaci pro programové období 2014–2020 dne 18. března 2015.</w:t>
      </w:r>
    </w:p>
    <w:p w:rsidR="0073338D" w:rsidRDefault="007E4E77" w:rsidP="00986735">
      <w:pPr>
        <w:spacing w:before="240" w:after="120"/>
        <w:rPr>
          <w:rFonts w:ascii="Arial" w:hAnsi="Arial" w:cs="Arial"/>
          <w:sz w:val="20"/>
          <w:szCs w:val="20"/>
        </w:rPr>
      </w:pPr>
      <w:r w:rsidRPr="00CE7743">
        <w:rPr>
          <w:rFonts w:ascii="Arial" w:hAnsi="Arial" w:cs="Arial"/>
          <w:b/>
          <w:sz w:val="20"/>
          <w:szCs w:val="20"/>
        </w:rPr>
        <w:t>Aktuální stav vyjednávání jednotlivých programů</w:t>
      </w:r>
      <w:r>
        <w:rPr>
          <w:rFonts w:ascii="Arial" w:hAnsi="Arial" w:cs="Arial"/>
          <w:sz w:val="20"/>
          <w:szCs w:val="20"/>
        </w:rPr>
        <w:t xml:space="preserve"> je uveden v následující tabulce.</w:t>
      </w:r>
    </w:p>
    <w:tbl>
      <w:tblPr>
        <w:tblStyle w:val="Mkatabulky"/>
        <w:tblW w:w="9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78"/>
        <w:gridCol w:w="4932"/>
        <w:gridCol w:w="1361"/>
      </w:tblGrid>
      <w:tr w:rsidR="00C51968" w:rsidRPr="008E0005" w:rsidTr="000E2612">
        <w:trPr>
          <w:trHeight w:val="454"/>
          <w:tblHeader/>
        </w:trPr>
        <w:tc>
          <w:tcPr>
            <w:tcW w:w="2778" w:type="dxa"/>
            <w:tcBorders>
              <w:right w:val="single" w:sz="4" w:space="0" w:color="000099"/>
            </w:tcBorders>
            <w:shd w:val="clear" w:color="auto" w:fill="000099"/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15" w:name="_Toc415736247"/>
            <w:r>
              <w:rPr>
                <w:rFonts w:ascii="Arial" w:hAnsi="Arial" w:cs="Arial"/>
                <w:b/>
                <w:sz w:val="20"/>
                <w:szCs w:val="20"/>
              </w:rPr>
              <w:t>Program</w:t>
            </w:r>
            <w:bookmarkEnd w:id="15"/>
          </w:p>
        </w:tc>
        <w:tc>
          <w:tcPr>
            <w:tcW w:w="4932" w:type="dxa"/>
            <w:tcBorders>
              <w:left w:val="single" w:sz="4" w:space="0" w:color="000099"/>
              <w:right w:val="single" w:sz="4" w:space="0" w:color="000099"/>
            </w:tcBorders>
            <w:shd w:val="clear" w:color="auto" w:fill="000099"/>
            <w:vAlign w:val="center"/>
          </w:tcPr>
          <w:p w:rsidR="00C51968" w:rsidRPr="008E0005" w:rsidRDefault="00C51968" w:rsidP="008E0005">
            <w:pPr>
              <w:contextualSpacing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6" w:name="_Toc412641558"/>
            <w:bookmarkStart w:id="17" w:name="_Toc415736248"/>
            <w:r w:rsidRPr="008E0005">
              <w:rPr>
                <w:rFonts w:ascii="Arial" w:hAnsi="Arial" w:cs="Arial"/>
                <w:b/>
                <w:sz w:val="20"/>
                <w:szCs w:val="20"/>
              </w:rPr>
              <w:t>Aktuální stav přípravy</w:t>
            </w:r>
            <w:bookmarkEnd w:id="16"/>
            <w:bookmarkEnd w:id="17"/>
          </w:p>
        </w:tc>
        <w:tc>
          <w:tcPr>
            <w:tcW w:w="1361" w:type="dxa"/>
            <w:tcBorders>
              <w:left w:val="single" w:sz="4" w:space="0" w:color="000099"/>
            </w:tcBorders>
            <w:shd w:val="clear" w:color="auto" w:fill="000099"/>
            <w:vAlign w:val="center"/>
          </w:tcPr>
          <w:p w:rsidR="00C51968" w:rsidRPr="008E0005" w:rsidRDefault="00C51968" w:rsidP="00C51968">
            <w:pPr>
              <w:contextualSpacing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8" w:name="_Toc415736249"/>
            <w:r>
              <w:rPr>
                <w:rFonts w:ascii="Arial" w:hAnsi="Arial" w:cs="Arial"/>
                <w:b/>
                <w:sz w:val="20"/>
                <w:szCs w:val="20"/>
              </w:rPr>
              <w:t>Program odeslán EK</w:t>
            </w:r>
            <w:bookmarkEnd w:id="18"/>
          </w:p>
        </w:tc>
      </w:tr>
      <w:tr w:rsidR="00C51968" w:rsidRPr="008E0005" w:rsidTr="000E2612">
        <w:trPr>
          <w:trHeight w:val="680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9" w:name="_Toc412641559"/>
            <w:bookmarkStart w:id="20" w:name="_Toc415736250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OP Zaměstnanost</w:t>
            </w:r>
            <w:bookmarkEnd w:id="19"/>
            <w:bookmarkEnd w:id="20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21" w:name="_Toc415736251"/>
            <w:bookmarkStart w:id="22" w:name="_Toc412641563"/>
            <w:r w:rsidRPr="008E0005">
              <w:rPr>
                <w:rFonts w:ascii="Arial" w:hAnsi="Arial" w:cs="Arial"/>
                <w:iCs/>
                <w:sz w:val="20"/>
                <w:szCs w:val="20"/>
              </w:rPr>
              <w:t>20. února 2015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byl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program odeslán EK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prostřednictvím SFC.</w:t>
            </w:r>
            <w:bookmarkEnd w:id="21"/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bookmarkEnd w:id="22"/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23" w:name="_Toc415736252"/>
            <w:r w:rsidRPr="00223A5A">
              <w:rPr>
                <w:rFonts w:ascii="Arial" w:hAnsi="Arial" w:cs="Arial"/>
                <w:iCs/>
                <w:color w:val="00B050"/>
                <w:sz w:val="36"/>
                <w:szCs w:val="20"/>
              </w:rPr>
              <w:sym w:font="Wingdings" w:char="F0FC"/>
            </w:r>
            <w:bookmarkEnd w:id="23"/>
          </w:p>
        </w:tc>
      </w:tr>
      <w:tr w:rsidR="00C51968" w:rsidRPr="008E0005" w:rsidTr="000E2612">
        <w:trPr>
          <w:trHeight w:val="680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24" w:name="_Toc412641564"/>
            <w:bookmarkStart w:id="25" w:name="_Toc415736253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OP Výzkum, vývoj a vzdělávání</w:t>
            </w:r>
            <w:bookmarkEnd w:id="24"/>
            <w:bookmarkEnd w:id="25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26" w:name="_Toc415736254"/>
            <w:r w:rsidRPr="008E0005">
              <w:rPr>
                <w:rFonts w:ascii="Arial" w:hAnsi="Arial" w:cs="Arial"/>
                <w:iCs/>
                <w:sz w:val="20"/>
                <w:szCs w:val="20"/>
              </w:rPr>
              <w:t>13. března 2015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byl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program odeslán EK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prostřednictvím SFC.</w:t>
            </w:r>
            <w:bookmarkEnd w:id="26"/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27" w:name="_Toc415736255"/>
            <w:r w:rsidRPr="00223A5A">
              <w:rPr>
                <w:rFonts w:ascii="Arial" w:hAnsi="Arial" w:cs="Arial"/>
                <w:iCs/>
                <w:color w:val="00B050"/>
                <w:sz w:val="36"/>
                <w:szCs w:val="20"/>
              </w:rPr>
              <w:sym w:font="Wingdings" w:char="F0FC"/>
            </w:r>
            <w:bookmarkEnd w:id="27"/>
          </w:p>
        </w:tc>
      </w:tr>
      <w:tr w:rsidR="00C51968" w:rsidRPr="008E0005" w:rsidTr="000E2612">
        <w:trPr>
          <w:trHeight w:val="680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1A5979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28" w:name="_Toc412641570"/>
            <w:bookmarkStart w:id="29" w:name="_Toc415736256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OP Podnikání a inovace pro konkurenceschopnost</w:t>
            </w:r>
            <w:bookmarkEnd w:id="28"/>
            <w:bookmarkEnd w:id="29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30" w:name="_Toc415736257"/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Program byl </w:t>
            </w:r>
            <w:r w:rsidRPr="00986735">
              <w:rPr>
                <w:rFonts w:ascii="Arial" w:hAnsi="Arial" w:cs="Arial"/>
                <w:b/>
                <w:iCs/>
                <w:sz w:val="20"/>
                <w:szCs w:val="20"/>
              </w:rPr>
              <w:t>finalizován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a bude v blízké době zaslán EK</w:t>
            </w:r>
            <w:r w:rsidR="00850F66">
              <w:rPr>
                <w:rFonts w:ascii="Arial" w:hAnsi="Arial" w:cs="Arial"/>
                <w:iCs/>
                <w:sz w:val="20"/>
                <w:szCs w:val="20"/>
              </w:rPr>
              <w:t xml:space="preserve"> prostřednictvím SFC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>.</w:t>
            </w:r>
            <w:bookmarkEnd w:id="30"/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51968" w:rsidRPr="008E0005" w:rsidTr="00986735">
        <w:trPr>
          <w:trHeight w:val="680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31" w:name="_Toc412641576"/>
            <w:bookmarkStart w:id="32" w:name="_Toc415736258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OP Životní prostředí</w:t>
            </w:r>
            <w:bookmarkEnd w:id="31"/>
            <w:bookmarkEnd w:id="32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986735" w:rsidRDefault="00157134" w:rsidP="0098673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33" w:name="_Toc415736259"/>
            <w:r>
              <w:rPr>
                <w:rFonts w:ascii="Arial" w:hAnsi="Arial" w:cs="Arial"/>
                <w:iCs/>
                <w:sz w:val="20"/>
                <w:szCs w:val="20"/>
              </w:rPr>
              <w:t>31</w:t>
            </w:r>
            <w:r w:rsidR="00C51968" w:rsidRPr="008E0005">
              <w:rPr>
                <w:rFonts w:ascii="Arial" w:hAnsi="Arial" w:cs="Arial"/>
                <w:iCs/>
                <w:sz w:val="20"/>
                <w:szCs w:val="20"/>
              </w:rPr>
              <w:t>. března 2015</w:t>
            </w:r>
            <w:bookmarkEnd w:id="33"/>
            <w:r>
              <w:rPr>
                <w:rFonts w:ascii="Arial" w:hAnsi="Arial" w:cs="Arial"/>
                <w:iCs/>
                <w:sz w:val="20"/>
                <w:szCs w:val="20"/>
              </w:rPr>
              <w:t xml:space="preserve"> byl </w:t>
            </w:r>
            <w:r w:rsidRPr="00ED13F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program odeslán EK </w:t>
            </w:r>
            <w:r w:rsidRPr="00986735">
              <w:rPr>
                <w:rFonts w:ascii="Arial" w:hAnsi="Arial" w:cs="Arial"/>
                <w:iCs/>
                <w:sz w:val="20"/>
                <w:szCs w:val="20"/>
              </w:rPr>
              <w:t>prostřednictvím SFC.</w:t>
            </w:r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157134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223A5A">
              <w:rPr>
                <w:rFonts w:ascii="Arial" w:hAnsi="Arial" w:cs="Arial"/>
                <w:iCs/>
                <w:color w:val="00B050"/>
                <w:sz w:val="36"/>
                <w:szCs w:val="20"/>
              </w:rPr>
              <w:sym w:font="Wingdings" w:char="F0FC"/>
            </w:r>
          </w:p>
        </w:tc>
      </w:tr>
      <w:tr w:rsidR="00C51968" w:rsidRPr="008E0005" w:rsidTr="000E2612">
        <w:trPr>
          <w:trHeight w:val="1701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34" w:name="_Toc412641582"/>
            <w:bookmarkStart w:id="35" w:name="_Toc415736262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OP Doprava</w:t>
            </w:r>
            <w:bookmarkEnd w:id="34"/>
            <w:bookmarkEnd w:id="35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8E0005" w:rsidRDefault="00B10565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36" w:name="_Toc415736263"/>
            <w:r>
              <w:rPr>
                <w:rFonts w:ascii="Arial" w:hAnsi="Arial" w:cs="Arial"/>
                <w:iCs/>
                <w:sz w:val="20"/>
                <w:szCs w:val="20"/>
              </w:rPr>
              <w:t>V návaznosti na připomínky EK byla dojednána oblast indikátorové soustavy.</w:t>
            </w:r>
            <w:bookmarkEnd w:id="36"/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C51968" w:rsidRPr="008E0005" w:rsidRDefault="00A66C7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37" w:name="_Toc415736264"/>
            <w:r>
              <w:rPr>
                <w:rFonts w:ascii="Arial" w:hAnsi="Arial" w:cs="Arial"/>
                <w:iCs/>
                <w:sz w:val="20"/>
                <w:szCs w:val="20"/>
              </w:rPr>
              <w:t>Dojednána byla i oblast</w:t>
            </w:r>
            <w:r w:rsidR="00C51968" w:rsidRPr="008E0005">
              <w:rPr>
                <w:rFonts w:ascii="Arial" w:hAnsi="Arial" w:cs="Arial"/>
                <w:iCs/>
                <w:sz w:val="20"/>
                <w:szCs w:val="20"/>
              </w:rPr>
              <w:t xml:space="preserve"> Strategick</w:t>
            </w:r>
            <w:r>
              <w:rPr>
                <w:rFonts w:ascii="Arial" w:hAnsi="Arial" w:cs="Arial"/>
                <w:iCs/>
                <w:sz w:val="20"/>
                <w:szCs w:val="20"/>
              </w:rPr>
              <w:t>ých</w:t>
            </w:r>
            <w:r w:rsidR="00C51968" w:rsidRPr="008E0005">
              <w:rPr>
                <w:rFonts w:ascii="Arial" w:hAnsi="Arial" w:cs="Arial"/>
                <w:iCs/>
                <w:sz w:val="20"/>
                <w:szCs w:val="20"/>
              </w:rPr>
              <w:t xml:space="preserve"> plán</w:t>
            </w:r>
            <w:r>
              <w:rPr>
                <w:rFonts w:ascii="Arial" w:hAnsi="Arial" w:cs="Arial"/>
                <w:iCs/>
                <w:sz w:val="20"/>
                <w:szCs w:val="20"/>
              </w:rPr>
              <w:t>ů</w:t>
            </w:r>
            <w:r w:rsidR="00C51968" w:rsidRPr="008E0005">
              <w:rPr>
                <w:rFonts w:ascii="Arial" w:hAnsi="Arial" w:cs="Arial"/>
                <w:iCs/>
                <w:sz w:val="20"/>
                <w:szCs w:val="20"/>
              </w:rPr>
              <w:t xml:space="preserve"> městské dopravy,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které budou zpracovávány v případě měst nad 50 tis. obyvatel</w:t>
            </w:r>
            <w:r w:rsidR="00C51968" w:rsidRPr="008E0005">
              <w:rPr>
                <w:rFonts w:ascii="Arial" w:hAnsi="Arial" w:cs="Arial"/>
                <w:iCs/>
                <w:sz w:val="20"/>
                <w:szCs w:val="20"/>
              </w:rPr>
              <w:t>.</w:t>
            </w:r>
            <w:bookmarkEnd w:id="37"/>
            <w:r w:rsidR="00C51968" w:rsidRPr="008E000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C51968" w:rsidRPr="008E0005" w:rsidRDefault="00A66C78" w:rsidP="00562695">
            <w:pPr>
              <w:pStyle w:val="Odstavecseseznamem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Program je </w:t>
            </w:r>
            <w:r w:rsidRPr="00986735">
              <w:rPr>
                <w:rFonts w:ascii="Arial" w:hAnsi="Arial" w:cs="Arial"/>
                <w:b/>
                <w:iCs/>
                <w:sz w:val="20"/>
                <w:szCs w:val="20"/>
              </w:rPr>
              <w:t>aktuálně vkládán do SFC k odeslání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51968" w:rsidRPr="008E0005" w:rsidTr="000E2612">
        <w:trPr>
          <w:trHeight w:val="680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38" w:name="_Toc412641589"/>
            <w:bookmarkStart w:id="39" w:name="_Toc415736266"/>
            <w:r w:rsidRPr="008E0005">
              <w:rPr>
                <w:rFonts w:ascii="Arial" w:hAnsi="Arial" w:cs="Arial"/>
                <w:b/>
                <w:sz w:val="20"/>
                <w:szCs w:val="20"/>
              </w:rPr>
              <w:t>IROP</w:t>
            </w:r>
            <w:bookmarkEnd w:id="38"/>
            <w:bookmarkEnd w:id="39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8E0005" w:rsidRDefault="00B10565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40" w:name="_Toc415736267"/>
            <w:r>
              <w:rPr>
                <w:rFonts w:ascii="Arial" w:hAnsi="Arial" w:cs="Arial"/>
                <w:iCs/>
                <w:sz w:val="20"/>
                <w:szCs w:val="20"/>
              </w:rPr>
              <w:t xml:space="preserve">Ve spolupráci s řídicím orgánem OP Doprava </w:t>
            </w:r>
            <w:r w:rsidR="00A66C78">
              <w:rPr>
                <w:rFonts w:ascii="Arial" w:hAnsi="Arial" w:cs="Arial"/>
                <w:iCs/>
                <w:sz w:val="20"/>
                <w:szCs w:val="20"/>
              </w:rPr>
              <w:t>dořešena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otázka Strategických plánů městské dopravy.</w:t>
            </w:r>
            <w:bookmarkEnd w:id="40"/>
          </w:p>
          <w:p w:rsidR="00C51968" w:rsidRPr="008E0005" w:rsidRDefault="004F1202" w:rsidP="00A66C78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sz w:val="20"/>
                <w:szCs w:val="20"/>
              </w:rPr>
            </w:pPr>
            <w:bookmarkStart w:id="41" w:name="_Toc415736268"/>
            <w:bookmarkEnd w:id="41"/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Předpoklad </w:t>
            </w:r>
            <w:r>
              <w:rPr>
                <w:rFonts w:ascii="Arial" w:hAnsi="Arial" w:cs="Arial"/>
                <w:iCs/>
                <w:sz w:val="20"/>
                <w:szCs w:val="20"/>
              </w:rPr>
              <w:t>zaslání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programu E</w:t>
            </w:r>
            <w:r w:rsidR="00A66C78">
              <w:rPr>
                <w:rFonts w:ascii="Arial" w:hAnsi="Arial" w:cs="Arial"/>
                <w:iCs/>
                <w:sz w:val="20"/>
                <w:szCs w:val="20"/>
              </w:rPr>
              <w:t>K je do poloviny dubna</w:t>
            </w:r>
            <w:r w:rsidR="00986735">
              <w:rPr>
                <w:rFonts w:ascii="Arial" w:hAnsi="Arial" w:cs="Arial"/>
                <w:iCs/>
                <w:sz w:val="20"/>
                <w:szCs w:val="20"/>
              </w:rPr>
              <w:t xml:space="preserve"> 2015</w:t>
            </w:r>
            <w:r w:rsidR="00A66C78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51968" w:rsidRPr="008E0005" w:rsidTr="000E2612">
        <w:trPr>
          <w:trHeight w:val="1928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42" w:name="_Toc412641595"/>
            <w:bookmarkStart w:id="43" w:name="_Toc415736269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OP Praha - pól růstu ČR</w:t>
            </w:r>
            <w:bookmarkEnd w:id="42"/>
            <w:bookmarkEnd w:id="43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44" w:name="_Toc415736270"/>
            <w:r w:rsidRPr="008E0005">
              <w:rPr>
                <w:rFonts w:ascii="Arial" w:hAnsi="Arial" w:cs="Arial"/>
                <w:iCs/>
                <w:sz w:val="20"/>
                <w:szCs w:val="20"/>
              </w:rPr>
              <w:t>Ze strany EK potvrzeno, že příprava programu výrazně pokročila.</w:t>
            </w:r>
            <w:bookmarkEnd w:id="44"/>
          </w:p>
          <w:p w:rsidR="00986735" w:rsidRDefault="00C5196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45" w:name="_Toc415736271"/>
            <w:r w:rsidRPr="00986735">
              <w:rPr>
                <w:rFonts w:ascii="Arial" w:hAnsi="Arial" w:cs="Arial"/>
                <w:iCs/>
                <w:sz w:val="20"/>
                <w:szCs w:val="20"/>
              </w:rPr>
              <w:t>S výjimkou indikátorů nejsou další otevřené oblasti.</w:t>
            </w:r>
            <w:bookmarkEnd w:id="45"/>
            <w:r w:rsidR="0098673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C51968" w:rsidRPr="00986735" w:rsidRDefault="00D65B2E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986735">
              <w:rPr>
                <w:rFonts w:ascii="Arial" w:hAnsi="Arial" w:cs="Arial"/>
                <w:iCs/>
                <w:sz w:val="20"/>
                <w:szCs w:val="20"/>
              </w:rPr>
              <w:t>Pro vyjednávání k oblasti indikátorů byla zaslána EK anglická verze programu.</w:t>
            </w:r>
          </w:p>
          <w:p w:rsidR="00C51968" w:rsidRPr="008E0005" w:rsidRDefault="00C51968" w:rsidP="00D65B2E">
            <w:pPr>
              <w:pStyle w:val="Odstavecseseznamem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46" w:name="_Toc415736273"/>
            <w:r w:rsidRPr="008E0005">
              <w:rPr>
                <w:rFonts w:ascii="Arial" w:hAnsi="Arial" w:cs="Arial"/>
                <w:iCs/>
                <w:sz w:val="20"/>
                <w:szCs w:val="20"/>
              </w:rPr>
              <w:t>Předpoklad předložení programu EK</w:t>
            </w:r>
            <w:r w:rsidR="00D65B2E">
              <w:rPr>
                <w:rFonts w:ascii="Arial" w:hAnsi="Arial" w:cs="Arial"/>
                <w:iCs/>
                <w:sz w:val="20"/>
                <w:szCs w:val="20"/>
              </w:rPr>
              <w:t xml:space="preserve"> během dubna 2015.</w:t>
            </w:r>
            <w:bookmarkEnd w:id="46"/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51968" w:rsidRPr="008E0005" w:rsidTr="008D21D0">
        <w:trPr>
          <w:trHeight w:val="2948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986735" w:rsidRDefault="00C51968" w:rsidP="00986735">
            <w:pPr>
              <w:contextualSpacing/>
              <w:jc w:val="left"/>
              <w:outlineLvl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47" w:name="_Toc412641598"/>
            <w:bookmarkStart w:id="48" w:name="_Toc415736274"/>
            <w:r w:rsidRPr="00986735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OP Technická pomoc</w:t>
            </w:r>
            <w:bookmarkEnd w:id="47"/>
            <w:bookmarkEnd w:id="48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986735" w:rsidRDefault="00C51968" w:rsidP="0098673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49" w:name="_Toc415736275"/>
            <w:r w:rsidRPr="00986735">
              <w:rPr>
                <w:rFonts w:ascii="Arial" w:hAnsi="Arial" w:cs="Arial"/>
                <w:iCs/>
                <w:sz w:val="20"/>
                <w:szCs w:val="20"/>
              </w:rPr>
              <w:t>MMR-NOK zaslalo zdůvodnění nárůstu předpokládaných výdajů na administrativní kapacitu.</w:t>
            </w:r>
            <w:bookmarkEnd w:id="49"/>
            <w:r w:rsidRPr="0098673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C51968" w:rsidRPr="00986735" w:rsidRDefault="00CC0286" w:rsidP="0098673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986735">
              <w:rPr>
                <w:rFonts w:ascii="Arial" w:hAnsi="Arial" w:cs="Arial"/>
                <w:iCs/>
                <w:sz w:val="20"/>
                <w:szCs w:val="20"/>
              </w:rPr>
              <w:t xml:space="preserve">Oblast rozpočtu programu a protikorupčních opatření byla projednána na technickém jednání dne 1. dubna 2015 v Bruselu. </w:t>
            </w:r>
          </w:p>
          <w:p w:rsidR="00C51968" w:rsidRPr="00986735" w:rsidRDefault="00C51968" w:rsidP="0098673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50" w:name="_Toc415736277"/>
            <w:r w:rsidRPr="00986735">
              <w:rPr>
                <w:rFonts w:ascii="Arial" w:hAnsi="Arial" w:cs="Arial"/>
                <w:iCs/>
                <w:sz w:val="20"/>
                <w:szCs w:val="20"/>
              </w:rPr>
              <w:t>Čeká se</w:t>
            </w:r>
            <w:r w:rsidR="008D21D0">
              <w:rPr>
                <w:rFonts w:ascii="Arial" w:hAnsi="Arial" w:cs="Arial"/>
                <w:iCs/>
                <w:sz w:val="20"/>
                <w:szCs w:val="20"/>
              </w:rPr>
              <w:t xml:space="preserve"> na výsledky auditu výkonnosti monitorovacího systému</w:t>
            </w:r>
            <w:r w:rsidRPr="00986735">
              <w:rPr>
                <w:rFonts w:ascii="Arial" w:hAnsi="Arial" w:cs="Arial"/>
                <w:iCs/>
                <w:sz w:val="20"/>
                <w:szCs w:val="20"/>
              </w:rPr>
              <w:t>; následně bude moci být program předložen EK.</w:t>
            </w:r>
            <w:bookmarkEnd w:id="50"/>
          </w:p>
          <w:p w:rsidR="00C51968" w:rsidRPr="00986735" w:rsidRDefault="00C51968" w:rsidP="0098673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51" w:name="_Toc415736278"/>
            <w:r w:rsidRPr="00986735">
              <w:rPr>
                <w:rFonts w:ascii="Arial" w:hAnsi="Arial" w:cs="Arial"/>
                <w:iCs/>
                <w:sz w:val="20"/>
                <w:szCs w:val="20"/>
              </w:rPr>
              <w:t>Schválení programu lze očekávat v polovině roku 2015.</w:t>
            </w:r>
            <w:bookmarkEnd w:id="51"/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986735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51968" w:rsidRPr="008E0005" w:rsidTr="000E2612">
        <w:trPr>
          <w:trHeight w:val="680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52" w:name="_Toc415736279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Program rozvoje venkova</w:t>
            </w:r>
            <w:bookmarkEnd w:id="52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53" w:name="_Toc415736280"/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25. března 2015 byl </w:t>
            </w:r>
            <w:r w:rsidRPr="006E7091">
              <w:rPr>
                <w:rFonts w:ascii="Arial" w:hAnsi="Arial" w:cs="Arial"/>
                <w:b/>
                <w:iCs/>
                <w:sz w:val="20"/>
                <w:szCs w:val="20"/>
              </w:rPr>
              <w:t>program odeslán EK</w:t>
            </w:r>
            <w:r w:rsidRPr="008E0005">
              <w:rPr>
                <w:rFonts w:ascii="Arial" w:hAnsi="Arial" w:cs="Arial"/>
                <w:iCs/>
                <w:sz w:val="20"/>
                <w:szCs w:val="20"/>
              </w:rPr>
              <w:t xml:space="preserve"> prostřednictvím SFC.</w:t>
            </w:r>
            <w:bookmarkEnd w:id="53"/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9029C3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54" w:name="_Toc415736281"/>
            <w:r w:rsidRPr="00223A5A">
              <w:rPr>
                <w:rFonts w:ascii="Arial" w:hAnsi="Arial" w:cs="Arial"/>
                <w:iCs/>
                <w:color w:val="00B050"/>
                <w:sz w:val="36"/>
                <w:szCs w:val="20"/>
              </w:rPr>
              <w:sym w:font="Wingdings" w:char="F0FC"/>
            </w:r>
            <w:bookmarkEnd w:id="54"/>
          </w:p>
        </w:tc>
      </w:tr>
      <w:tr w:rsidR="00C51968" w:rsidRPr="008E0005" w:rsidTr="000E2612">
        <w:trPr>
          <w:trHeight w:val="680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8E0005" w:rsidRDefault="00C51968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55" w:name="_Toc415736282"/>
            <w:r w:rsidRPr="008E0005">
              <w:rPr>
                <w:rFonts w:ascii="Arial" w:hAnsi="Arial" w:cs="Arial"/>
                <w:b/>
                <w:iCs/>
                <w:sz w:val="20"/>
                <w:szCs w:val="20"/>
              </w:rPr>
              <w:t>OP Rybářství</w:t>
            </w:r>
            <w:bookmarkEnd w:id="55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51968" w:rsidRPr="00986735" w:rsidRDefault="00CC0286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56" w:name="_Toc415736283"/>
            <w:r w:rsidRPr="00986735">
              <w:rPr>
                <w:rFonts w:ascii="Arial" w:hAnsi="Arial" w:cs="Arial"/>
                <w:iCs/>
                <w:sz w:val="20"/>
                <w:szCs w:val="20"/>
              </w:rPr>
              <w:t>7. ledna 2015</w:t>
            </w:r>
            <w:r w:rsidR="00C51968" w:rsidRPr="00986735">
              <w:rPr>
                <w:rFonts w:ascii="Arial" w:hAnsi="Arial" w:cs="Arial"/>
                <w:iCs/>
                <w:sz w:val="20"/>
                <w:szCs w:val="20"/>
              </w:rPr>
              <w:t xml:space="preserve"> byl </w:t>
            </w:r>
            <w:r w:rsidR="00C51968" w:rsidRPr="00986735">
              <w:rPr>
                <w:rFonts w:ascii="Arial" w:hAnsi="Arial" w:cs="Arial"/>
                <w:b/>
                <w:iCs/>
                <w:sz w:val="20"/>
                <w:szCs w:val="20"/>
              </w:rPr>
              <w:t>program odeslán EK</w:t>
            </w:r>
            <w:r w:rsidR="00C51968" w:rsidRPr="00986735">
              <w:rPr>
                <w:rFonts w:ascii="Arial" w:hAnsi="Arial" w:cs="Arial"/>
                <w:iCs/>
                <w:sz w:val="20"/>
                <w:szCs w:val="20"/>
              </w:rPr>
              <w:t xml:space="preserve"> prostřednictvím SFC.</w:t>
            </w:r>
            <w:bookmarkEnd w:id="56"/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9029C3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57" w:name="_Toc415736284"/>
            <w:r w:rsidRPr="00223A5A">
              <w:rPr>
                <w:rFonts w:ascii="Arial" w:hAnsi="Arial" w:cs="Arial"/>
                <w:iCs/>
                <w:color w:val="00B050"/>
                <w:sz w:val="36"/>
                <w:szCs w:val="20"/>
              </w:rPr>
              <w:sym w:font="Wingdings" w:char="F0FC"/>
            </w:r>
            <w:bookmarkEnd w:id="57"/>
          </w:p>
        </w:tc>
      </w:tr>
      <w:tr w:rsidR="00C51968" w:rsidRPr="008E0005" w:rsidTr="008D21D0">
        <w:trPr>
          <w:trHeight w:val="1928"/>
        </w:trPr>
        <w:tc>
          <w:tcPr>
            <w:tcW w:w="2778" w:type="dxa"/>
            <w:tcBorders>
              <w:right w:val="single" w:sz="4" w:space="0" w:color="FFFFFF" w:themeColor="background1"/>
            </w:tcBorders>
            <w:vAlign w:val="center"/>
          </w:tcPr>
          <w:p w:rsidR="00C51968" w:rsidRPr="00381139" w:rsidRDefault="00381139" w:rsidP="009029C3">
            <w:pPr>
              <w:contextualSpacing/>
              <w:jc w:val="left"/>
              <w:outlineLvl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58" w:name="_Toc415736285"/>
            <w:r w:rsidRPr="00381139">
              <w:rPr>
                <w:rFonts w:ascii="Arial" w:hAnsi="Arial" w:cs="Arial"/>
                <w:b/>
                <w:sz w:val="20"/>
                <w:szCs w:val="20"/>
              </w:rPr>
              <w:t>INTERREG V-A Česká republika – Polsko</w:t>
            </w:r>
            <w:r w:rsidRPr="00381139">
              <w:rPr>
                <w:rStyle w:val="Znakapoznpodarou"/>
                <w:rFonts w:ascii="Arial" w:hAnsi="Arial" w:cs="Arial"/>
                <w:b/>
                <w:iCs/>
                <w:sz w:val="20"/>
                <w:szCs w:val="20"/>
              </w:rPr>
              <w:footnoteReference w:id="2"/>
            </w:r>
            <w:bookmarkEnd w:id="58"/>
          </w:p>
        </w:tc>
        <w:tc>
          <w:tcPr>
            <w:tcW w:w="493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8D21D0" w:rsidRDefault="00171F05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59" w:name="_Toc415736286"/>
            <w:r w:rsidRPr="000C21E2">
              <w:rPr>
                <w:rFonts w:ascii="Arial" w:hAnsi="Arial" w:cs="Arial"/>
                <w:iCs/>
                <w:sz w:val="20"/>
                <w:szCs w:val="20"/>
              </w:rPr>
              <w:t xml:space="preserve">Všechny připomínky EK jsou vypořádané, řeší se splnění jednoho požadavku EK, kterým je podrobná metodika pro kvantifikaci výsledkových indikátorů prioritní osy 4. </w:t>
            </w:r>
          </w:p>
          <w:p w:rsidR="00C51968" w:rsidRPr="008E0005" w:rsidRDefault="00986735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</w:t>
            </w:r>
            <w:r w:rsidR="00171F05" w:rsidRPr="000C21E2">
              <w:rPr>
                <w:rFonts w:ascii="Arial" w:hAnsi="Arial" w:cs="Arial"/>
                <w:iCs/>
                <w:sz w:val="20"/>
                <w:szCs w:val="20"/>
              </w:rPr>
              <w:t xml:space="preserve">ásledně bude možné předložit kompletní vypořádání a dokument EK. </w:t>
            </w:r>
            <w:bookmarkEnd w:id="59"/>
            <w:r w:rsidR="00C51968" w:rsidRPr="008E000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C51968" w:rsidRPr="008E0005" w:rsidRDefault="00C51968" w:rsidP="008E0005">
            <w:pPr>
              <w:pStyle w:val="Odstavecseseznamem"/>
              <w:numPr>
                <w:ilvl w:val="0"/>
                <w:numId w:val="22"/>
              </w:numPr>
              <w:spacing w:before="0" w:after="0"/>
              <w:ind w:left="318" w:hanging="318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60" w:name="_Toc415736289"/>
            <w:r w:rsidRPr="008E0005">
              <w:rPr>
                <w:rFonts w:ascii="Arial" w:hAnsi="Arial" w:cs="Arial"/>
                <w:iCs/>
                <w:sz w:val="20"/>
                <w:szCs w:val="20"/>
              </w:rPr>
              <w:t>Nejsou indikovány žádné zásadní problematické oblasti, které by bránily schválení programu.</w:t>
            </w:r>
            <w:bookmarkEnd w:id="60"/>
          </w:p>
        </w:tc>
        <w:tc>
          <w:tcPr>
            <w:tcW w:w="1361" w:type="dxa"/>
            <w:tcBorders>
              <w:left w:val="single" w:sz="4" w:space="0" w:color="FFFFFF" w:themeColor="background1"/>
            </w:tcBorders>
            <w:vAlign w:val="center"/>
          </w:tcPr>
          <w:p w:rsidR="00C51968" w:rsidRPr="00C51968" w:rsidRDefault="00C51968" w:rsidP="00C51968">
            <w:pPr>
              <w:spacing w:before="0"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D2000D" w:rsidRPr="00D2000D" w:rsidRDefault="00D2000D" w:rsidP="008D21D0">
      <w:pPr>
        <w:spacing w:before="240"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4"/>
        </w:rPr>
        <w:t xml:space="preserve">Programy budou schvalovány ze strany EK v návaznosti na schválení revize víceletého finančního rámce, které lze očekávat v průběhu dubna 2015. To znamená, že </w:t>
      </w:r>
      <w:r w:rsidRPr="00204C4E">
        <w:rPr>
          <w:rFonts w:ascii="Arial" w:hAnsi="Arial" w:cs="Arial"/>
          <w:b/>
          <w:color w:val="000000"/>
          <w:sz w:val="20"/>
          <w:szCs w:val="24"/>
        </w:rPr>
        <w:t xml:space="preserve">programy </w:t>
      </w:r>
      <w:r>
        <w:rPr>
          <w:rFonts w:ascii="Arial" w:hAnsi="Arial" w:cs="Arial"/>
          <w:color w:val="000000"/>
          <w:sz w:val="20"/>
          <w:szCs w:val="24"/>
        </w:rPr>
        <w:t xml:space="preserve">(zejména ty, které předložily finální verzi programového dokumentu do konce března 2015) </w:t>
      </w:r>
      <w:r w:rsidRPr="00204C4E">
        <w:rPr>
          <w:rFonts w:ascii="Arial" w:hAnsi="Arial" w:cs="Arial"/>
          <w:b/>
          <w:color w:val="000000"/>
          <w:sz w:val="20"/>
          <w:szCs w:val="24"/>
        </w:rPr>
        <w:t xml:space="preserve">by mohly být schváleny </w:t>
      </w:r>
      <w:r>
        <w:rPr>
          <w:rFonts w:ascii="Arial" w:hAnsi="Arial" w:cs="Arial"/>
          <w:b/>
          <w:color w:val="000000"/>
          <w:sz w:val="20"/>
          <w:szCs w:val="24"/>
        </w:rPr>
        <w:t xml:space="preserve">ze strany EK </w:t>
      </w:r>
      <w:r w:rsidRPr="00204C4E">
        <w:rPr>
          <w:rFonts w:ascii="Arial" w:hAnsi="Arial" w:cs="Arial"/>
          <w:b/>
          <w:color w:val="000000"/>
          <w:sz w:val="20"/>
          <w:szCs w:val="24"/>
        </w:rPr>
        <w:t>již počátkem května 2015</w:t>
      </w:r>
      <w:r>
        <w:rPr>
          <w:rFonts w:ascii="Arial" w:hAnsi="Arial" w:cs="Arial"/>
          <w:color w:val="000000"/>
          <w:sz w:val="20"/>
          <w:szCs w:val="24"/>
        </w:rPr>
        <w:t>.</w:t>
      </w:r>
    </w:p>
    <w:p w:rsidR="004F6B04" w:rsidRDefault="00056CB3" w:rsidP="00D2000D">
      <w:pPr>
        <w:spacing w:after="120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hAnsi="Arial" w:cs="Arial"/>
          <w:color w:val="000000"/>
          <w:sz w:val="20"/>
          <w:szCs w:val="24"/>
        </w:rPr>
        <w:t xml:space="preserve">V </w:t>
      </w:r>
      <w:r w:rsidR="00E826EC">
        <w:rPr>
          <w:rFonts w:ascii="Arial" w:hAnsi="Arial" w:cs="Arial"/>
          <w:color w:val="000000"/>
          <w:sz w:val="20"/>
          <w:szCs w:val="24"/>
        </w:rPr>
        <w:t>případ</w:t>
      </w:r>
      <w:r>
        <w:rPr>
          <w:rFonts w:ascii="Arial" w:hAnsi="Arial" w:cs="Arial"/>
          <w:color w:val="000000"/>
          <w:sz w:val="20"/>
          <w:szCs w:val="24"/>
        </w:rPr>
        <w:t>ě</w:t>
      </w:r>
      <w:r w:rsidR="00E826EC">
        <w:rPr>
          <w:rFonts w:ascii="Arial" w:hAnsi="Arial" w:cs="Arial"/>
          <w:color w:val="000000"/>
          <w:sz w:val="20"/>
          <w:szCs w:val="24"/>
        </w:rPr>
        <w:t xml:space="preserve">, že dojde k  posunu schválení programů, některé řídicí orgány využijí </w:t>
      </w:r>
      <w:r w:rsidR="00E826EC" w:rsidRPr="00E826EC">
        <w:rPr>
          <w:rFonts w:ascii="Arial" w:hAnsi="Arial" w:cs="Arial"/>
          <w:b/>
          <w:color w:val="000000"/>
          <w:sz w:val="20"/>
          <w:szCs w:val="24"/>
        </w:rPr>
        <w:t xml:space="preserve">možnosti zahájení implementace před schválením </w:t>
      </w:r>
      <w:r w:rsidR="00E826EC" w:rsidRPr="00D41E5C">
        <w:rPr>
          <w:rFonts w:ascii="Arial" w:hAnsi="Arial" w:cs="Arial"/>
          <w:b/>
          <w:color w:val="000000"/>
          <w:sz w:val="20"/>
          <w:szCs w:val="24"/>
        </w:rPr>
        <w:t>programu</w:t>
      </w:r>
      <w:r w:rsidR="00E826EC" w:rsidRPr="00D41E5C">
        <w:rPr>
          <w:rFonts w:ascii="Arial" w:hAnsi="Arial" w:cs="Arial"/>
          <w:color w:val="000000"/>
          <w:sz w:val="20"/>
          <w:szCs w:val="24"/>
        </w:rPr>
        <w:t xml:space="preserve"> ze strany EK, a to v návaznosti na splnění kritérií schválených vládou </w:t>
      </w:r>
      <w:r w:rsidR="0036680B" w:rsidRPr="00D41E5C">
        <w:rPr>
          <w:rFonts w:ascii="Arial" w:hAnsi="Arial" w:cs="Arial"/>
          <w:color w:val="000000"/>
          <w:sz w:val="20"/>
          <w:szCs w:val="24"/>
        </w:rPr>
        <w:t xml:space="preserve">ČR </w:t>
      </w:r>
      <w:r w:rsidR="00E826EC" w:rsidRPr="00D41E5C">
        <w:rPr>
          <w:rFonts w:ascii="Arial" w:hAnsi="Arial" w:cs="Arial"/>
          <w:color w:val="000000"/>
          <w:sz w:val="20"/>
          <w:szCs w:val="24"/>
        </w:rPr>
        <w:t>v listopadu 2014. Některé řídicí orgány již předložil</w:t>
      </w:r>
      <w:r w:rsidR="004F1202" w:rsidRPr="00D41E5C">
        <w:rPr>
          <w:rFonts w:ascii="Arial" w:hAnsi="Arial" w:cs="Arial"/>
          <w:color w:val="000000"/>
          <w:sz w:val="20"/>
          <w:szCs w:val="24"/>
        </w:rPr>
        <w:t>y</w:t>
      </w:r>
      <w:r w:rsidR="00E826EC" w:rsidRPr="00D41E5C">
        <w:rPr>
          <w:rFonts w:ascii="Arial" w:hAnsi="Arial" w:cs="Arial"/>
          <w:color w:val="000000"/>
          <w:sz w:val="20"/>
          <w:szCs w:val="24"/>
        </w:rPr>
        <w:t xml:space="preserve"> materiál deklarující naplnění stanovených kritérií do meziresortního připomínkového řízení. Konkrétně se jedná o OP Životní prostřední, OP Zaměstnanost</w:t>
      </w:r>
      <w:r w:rsidR="008D21D0" w:rsidRPr="00D41E5C">
        <w:rPr>
          <w:rFonts w:ascii="Arial" w:hAnsi="Arial" w:cs="Arial"/>
          <w:color w:val="000000"/>
          <w:sz w:val="20"/>
          <w:szCs w:val="24"/>
        </w:rPr>
        <w:t>, OP Výzkum, vývoj a </w:t>
      </w:r>
      <w:r w:rsidR="007950E4" w:rsidRPr="00D41E5C">
        <w:rPr>
          <w:rFonts w:ascii="Arial" w:hAnsi="Arial" w:cs="Arial"/>
          <w:color w:val="000000"/>
          <w:sz w:val="20"/>
          <w:szCs w:val="24"/>
        </w:rPr>
        <w:t>vzdělávání</w:t>
      </w:r>
      <w:r w:rsidR="0068044D">
        <w:rPr>
          <w:rFonts w:ascii="Arial" w:hAnsi="Arial" w:cs="Arial"/>
          <w:color w:val="000000"/>
          <w:sz w:val="20"/>
          <w:szCs w:val="24"/>
        </w:rPr>
        <w:t xml:space="preserve"> a OP Podnikání a inovace pro </w:t>
      </w:r>
      <w:r w:rsidR="00E826EC" w:rsidRPr="00D41E5C">
        <w:rPr>
          <w:rFonts w:ascii="Arial" w:hAnsi="Arial" w:cs="Arial"/>
          <w:color w:val="000000"/>
          <w:sz w:val="20"/>
          <w:szCs w:val="24"/>
        </w:rPr>
        <w:t>konkurenceschopnost.</w:t>
      </w:r>
      <w:r w:rsidR="00E826EC">
        <w:rPr>
          <w:rFonts w:ascii="Arial" w:hAnsi="Arial" w:cs="Arial"/>
          <w:color w:val="000000"/>
          <w:sz w:val="20"/>
          <w:szCs w:val="24"/>
        </w:rPr>
        <w:t xml:space="preserve"> Předložení tohoto materiálu p</w:t>
      </w:r>
      <w:r w:rsidR="008D21D0">
        <w:rPr>
          <w:rFonts w:ascii="Arial" w:hAnsi="Arial" w:cs="Arial"/>
          <w:color w:val="000000"/>
          <w:sz w:val="20"/>
          <w:szCs w:val="24"/>
        </w:rPr>
        <w:t>ředpokládají také řídicí orgány</w:t>
      </w:r>
      <w:r w:rsidR="00E826EC">
        <w:rPr>
          <w:rFonts w:ascii="Arial" w:hAnsi="Arial" w:cs="Arial"/>
          <w:color w:val="000000"/>
          <w:sz w:val="20"/>
          <w:szCs w:val="24"/>
        </w:rPr>
        <w:t xml:space="preserve"> OP Technická pomoc a OP Rybářství.</w:t>
      </w:r>
      <w:r w:rsidR="004F6B04">
        <w:rPr>
          <w:rFonts w:ascii="Arial" w:hAnsi="Arial" w:cs="Arial"/>
          <w:color w:val="000000"/>
          <w:sz w:val="20"/>
          <w:szCs w:val="24"/>
        </w:rPr>
        <w:t xml:space="preserve"> </w:t>
      </w:r>
      <w:r w:rsidR="00696E91">
        <w:rPr>
          <w:rFonts w:ascii="Arial" w:hAnsi="Arial" w:cs="Arial"/>
          <w:color w:val="000000"/>
          <w:sz w:val="20"/>
          <w:szCs w:val="24"/>
        </w:rPr>
        <w:t>Je však na rozhodnutí řídicího orgánu, zda materiál bude následně předložen vládě ČR ke schválení tak, aby řídicí orgán mohl vyhlásit výzvy před schválením programu EK.</w:t>
      </w:r>
    </w:p>
    <w:p w:rsidR="00E826EC" w:rsidRDefault="00D41E5C" w:rsidP="00D41E5C">
      <w:pPr>
        <w:spacing w:after="120"/>
        <w:rPr>
          <w:rFonts w:ascii="Arial" w:eastAsiaTheme="majorEastAsia" w:hAnsi="Arial" w:cs="Arial"/>
          <w:b/>
          <w:bCs/>
          <w:sz w:val="36"/>
          <w:szCs w:val="32"/>
        </w:rPr>
      </w:pPr>
      <w:r>
        <w:rPr>
          <w:rFonts w:ascii="Arial" w:hAnsi="Arial" w:cs="Arial"/>
          <w:color w:val="000000"/>
          <w:sz w:val="20"/>
          <w:szCs w:val="24"/>
        </w:rPr>
        <w:t xml:space="preserve">Vzhledem k tomu, že se očekává dřívější termín schválení víceletého finančního rámce, než byl původně avizován, a tím i dřívější možnost oficiálního schválení programů ze strany EK, některé řídicí orgány zvolí postup </w:t>
      </w:r>
      <w:r w:rsidRPr="004F6B04">
        <w:rPr>
          <w:rFonts w:ascii="Arial" w:hAnsi="Arial" w:cs="Arial"/>
          <w:b/>
          <w:color w:val="000000"/>
          <w:sz w:val="20"/>
          <w:szCs w:val="24"/>
        </w:rPr>
        <w:t xml:space="preserve">zveřejnění </w:t>
      </w:r>
      <w:r>
        <w:rPr>
          <w:rFonts w:ascii="Arial" w:hAnsi="Arial" w:cs="Arial"/>
          <w:b/>
          <w:color w:val="000000"/>
          <w:sz w:val="20"/>
          <w:szCs w:val="24"/>
        </w:rPr>
        <w:t xml:space="preserve">avíza pro žadatele o parametrech výzev </w:t>
      </w:r>
      <w:r w:rsidRPr="004F6B04">
        <w:rPr>
          <w:rFonts w:ascii="Arial" w:hAnsi="Arial" w:cs="Arial"/>
          <w:b/>
          <w:color w:val="000000"/>
          <w:sz w:val="20"/>
          <w:szCs w:val="24"/>
        </w:rPr>
        <w:t xml:space="preserve">před schválením programu </w:t>
      </w:r>
      <w:r>
        <w:rPr>
          <w:rFonts w:ascii="Arial" w:hAnsi="Arial" w:cs="Arial"/>
          <w:b/>
          <w:color w:val="000000"/>
          <w:sz w:val="20"/>
          <w:szCs w:val="24"/>
        </w:rPr>
        <w:t xml:space="preserve">EK </w:t>
      </w:r>
      <w:r>
        <w:rPr>
          <w:rFonts w:ascii="Arial" w:hAnsi="Arial" w:cs="Arial"/>
          <w:color w:val="000000"/>
          <w:sz w:val="20"/>
          <w:szCs w:val="24"/>
        </w:rPr>
        <w:t>a nikoli oficiální vyhlášení výzev dle podmínek jednotného metodického prostředí. Oficiální vyhlášení výzvy bude učiněno po schválení programu EK dle regulérního postupu. Tímto se výrazně sníží riziko pochybení, možného nesouladu výzvy s finální verzí programového dokumentu schváleného EK či nutnosti případných změn v již vyhlášených výzvách.</w:t>
      </w:r>
      <w:bookmarkStart w:id="61" w:name="_Toc401148477"/>
      <w:r w:rsidR="00E826EC">
        <w:br w:type="page"/>
      </w:r>
    </w:p>
    <w:p w:rsidR="00E80EED" w:rsidRDefault="00445836" w:rsidP="008D21D0">
      <w:pPr>
        <w:pStyle w:val="Nadpis1"/>
        <w:spacing w:after="120"/>
        <w:ind w:left="425" w:hanging="425"/>
      </w:pPr>
      <w:bookmarkStart w:id="62" w:name="_Toc415736290"/>
      <w:r w:rsidRPr="009C54BD">
        <w:lastRenderedPageBreak/>
        <w:t>Předběžné podmínky</w:t>
      </w:r>
      <w:bookmarkEnd w:id="61"/>
      <w:bookmarkEnd w:id="62"/>
    </w:p>
    <w:p w:rsidR="009029C3" w:rsidRPr="00615DB6" w:rsidRDefault="009029C3" w:rsidP="008D21D0">
      <w:pPr>
        <w:pStyle w:val="Nadpis2"/>
        <w:spacing w:before="120"/>
      </w:pPr>
      <w:bookmarkStart w:id="63" w:name="_Toc401148478"/>
      <w:r w:rsidRPr="00615DB6">
        <w:t>Stručný přehled</w:t>
      </w:r>
    </w:p>
    <w:p w:rsidR="009029C3" w:rsidRPr="00615DB6" w:rsidRDefault="00986735" w:rsidP="009029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souvislosti s </w:t>
      </w:r>
      <w:r w:rsidR="009029C3" w:rsidRPr="00615DB6">
        <w:rPr>
          <w:rFonts w:ascii="Arial" w:hAnsi="Arial" w:cs="Arial"/>
          <w:sz w:val="20"/>
          <w:szCs w:val="20"/>
        </w:rPr>
        <w:t xml:space="preserve">programovým obdobím 2014–2020 představují </w:t>
      </w:r>
      <w:r w:rsidR="009029C3" w:rsidRPr="00615DB6">
        <w:rPr>
          <w:rFonts w:ascii="Arial" w:hAnsi="Arial" w:cs="Arial"/>
          <w:b/>
          <w:sz w:val="20"/>
          <w:szCs w:val="20"/>
        </w:rPr>
        <w:t xml:space="preserve">předběžné podmínky </w:t>
      </w:r>
      <w:r w:rsidR="000B36FC">
        <w:rPr>
          <w:rFonts w:ascii="Arial" w:hAnsi="Arial" w:cs="Arial"/>
          <w:b/>
          <w:sz w:val="20"/>
          <w:szCs w:val="20"/>
        </w:rPr>
        <w:t xml:space="preserve">(PP) </w:t>
      </w:r>
      <w:r w:rsidR="009029C3" w:rsidRPr="00615DB6">
        <w:rPr>
          <w:rFonts w:ascii="Arial" w:hAnsi="Arial" w:cs="Arial"/>
          <w:b/>
          <w:sz w:val="20"/>
          <w:szCs w:val="20"/>
        </w:rPr>
        <w:t>dlouhodobě velmi důležitou oblast</w:t>
      </w:r>
      <w:r w:rsidR="009029C3" w:rsidRPr="00615DB6">
        <w:rPr>
          <w:rFonts w:ascii="Arial" w:hAnsi="Arial" w:cs="Arial"/>
          <w:sz w:val="20"/>
          <w:szCs w:val="20"/>
        </w:rPr>
        <w:t>. MMR</w:t>
      </w:r>
      <w:r w:rsidR="009029C3">
        <w:rPr>
          <w:rFonts w:ascii="Arial" w:hAnsi="Arial" w:cs="Arial"/>
          <w:sz w:val="20"/>
          <w:szCs w:val="20"/>
        </w:rPr>
        <w:t>-NOK</w:t>
      </w:r>
      <w:r w:rsidR="009029C3" w:rsidRPr="00615DB6">
        <w:rPr>
          <w:rFonts w:ascii="Arial" w:hAnsi="Arial" w:cs="Arial"/>
          <w:sz w:val="20"/>
          <w:szCs w:val="20"/>
        </w:rPr>
        <w:t xml:space="preserve"> se z titulu koordinátora na</w:t>
      </w:r>
      <w:r w:rsidR="009029C3">
        <w:rPr>
          <w:rFonts w:ascii="Arial" w:hAnsi="Arial" w:cs="Arial"/>
          <w:sz w:val="20"/>
          <w:szCs w:val="20"/>
        </w:rPr>
        <w:t> </w:t>
      </w:r>
      <w:r w:rsidR="009029C3" w:rsidRPr="00615DB6">
        <w:rPr>
          <w:rFonts w:ascii="Arial" w:hAnsi="Arial" w:cs="Arial"/>
          <w:sz w:val="20"/>
          <w:szCs w:val="20"/>
        </w:rPr>
        <w:t>národní úrovni intenzivně zabývá všemi předběžnými podmínkami. Zvláštní důraz klade zejména na ty, jejichž řešení je komplikované, a to jak vzhl</w:t>
      </w:r>
      <w:r w:rsidR="009029C3">
        <w:rPr>
          <w:rFonts w:ascii="Arial" w:hAnsi="Arial" w:cs="Arial"/>
          <w:sz w:val="20"/>
          <w:szCs w:val="20"/>
        </w:rPr>
        <w:t>edem k situaci na národní úrovni</w:t>
      </w:r>
      <w:r w:rsidR="009029C3" w:rsidRPr="00615DB6">
        <w:rPr>
          <w:rFonts w:ascii="Arial" w:hAnsi="Arial" w:cs="Arial"/>
          <w:sz w:val="20"/>
          <w:szCs w:val="20"/>
        </w:rPr>
        <w:t>, tak s ohledem na</w:t>
      </w:r>
      <w:r w:rsidR="009029C3">
        <w:rPr>
          <w:rFonts w:ascii="Arial" w:hAnsi="Arial" w:cs="Arial"/>
          <w:sz w:val="20"/>
          <w:szCs w:val="20"/>
        </w:rPr>
        <w:t> </w:t>
      </w:r>
      <w:r w:rsidR="009029C3" w:rsidRPr="00615DB6">
        <w:rPr>
          <w:rFonts w:ascii="Arial" w:hAnsi="Arial" w:cs="Arial"/>
          <w:sz w:val="20"/>
          <w:szCs w:val="20"/>
        </w:rPr>
        <w:t xml:space="preserve">průběh vyjednávání s EK. </w:t>
      </w:r>
    </w:p>
    <w:p w:rsidR="009029C3" w:rsidRPr="00615DB6" w:rsidRDefault="009029C3" w:rsidP="009029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Obecně lze </w:t>
      </w:r>
      <w:r w:rsidRPr="00615DB6">
        <w:rPr>
          <w:rFonts w:ascii="Arial" w:hAnsi="Arial" w:cs="Arial"/>
          <w:sz w:val="20"/>
          <w:szCs w:val="20"/>
        </w:rPr>
        <w:t xml:space="preserve">za nejrizikovější předběžné podmínky považovat </w:t>
      </w:r>
      <w:r w:rsidRPr="00615DB6">
        <w:rPr>
          <w:rFonts w:ascii="Arial" w:hAnsi="Arial" w:cs="Arial"/>
          <w:b/>
          <w:sz w:val="20"/>
          <w:szCs w:val="20"/>
        </w:rPr>
        <w:t xml:space="preserve">zejména oblast veřejných zakázek, </w:t>
      </w:r>
      <w:r w:rsidRPr="00615DB6">
        <w:rPr>
          <w:rFonts w:ascii="Arial" w:hAnsi="Arial" w:cs="Arial"/>
          <w:sz w:val="20"/>
          <w:szCs w:val="20"/>
        </w:rPr>
        <w:t>která je zatížena velkým množstvím povinností, ale i subjektů odpovědných za jejich plnění, problematiku</w:t>
      </w:r>
      <w:r w:rsidRPr="00615DB6">
        <w:rPr>
          <w:rFonts w:ascii="Arial" w:hAnsi="Arial" w:cs="Arial"/>
          <w:b/>
          <w:sz w:val="20"/>
          <w:szCs w:val="20"/>
        </w:rPr>
        <w:t xml:space="preserve"> služebního zákona </w:t>
      </w:r>
      <w:r w:rsidRPr="00615DB6">
        <w:rPr>
          <w:rFonts w:ascii="Arial" w:hAnsi="Arial" w:cs="Arial"/>
          <w:sz w:val="20"/>
          <w:szCs w:val="20"/>
        </w:rPr>
        <w:t>ve vazbě na stále probíhající implementaci přislíbených opatření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  <w:t>ale i implementaci strategic</w:t>
      </w:r>
      <w:r w:rsidRPr="00615DB6">
        <w:rPr>
          <w:rFonts w:ascii="Arial" w:hAnsi="Arial" w:cs="Arial"/>
          <w:sz w:val="20"/>
          <w:szCs w:val="20"/>
        </w:rPr>
        <w:t xml:space="preserve">kého rámce veřejné správy a </w:t>
      </w:r>
      <w:r w:rsidRPr="00615DB6">
        <w:rPr>
          <w:rFonts w:ascii="Arial" w:hAnsi="Arial" w:cs="Arial"/>
          <w:b/>
          <w:sz w:val="20"/>
          <w:szCs w:val="20"/>
        </w:rPr>
        <w:t>oblast odpadového a vodního hospodářství.</w:t>
      </w:r>
    </w:p>
    <w:p w:rsidR="009029C3" w:rsidRPr="00615DB6" w:rsidRDefault="009029C3" w:rsidP="009029C3">
      <w:pPr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 xml:space="preserve">V této souvislosti je potřeba připomenout, že hodnocení plnění předběžných podmínek ze strany EK je zcela zásadní. EK nevyloučila konstatování </w:t>
      </w:r>
      <w:r w:rsidRPr="00615DB6">
        <w:rPr>
          <w:rFonts w:ascii="Arial" w:hAnsi="Arial" w:cs="Arial"/>
          <w:b/>
          <w:sz w:val="20"/>
          <w:szCs w:val="20"/>
        </w:rPr>
        <w:t>significant prejudice,</w:t>
      </w:r>
      <w:r w:rsidRPr="00615DB6">
        <w:rPr>
          <w:rFonts w:ascii="Arial" w:hAnsi="Arial" w:cs="Arial"/>
          <w:sz w:val="20"/>
          <w:szCs w:val="20"/>
        </w:rPr>
        <w:t xml:space="preserve"> neboli pozastavení plateb na příslušnou část programu; momentálně hrozí riziko u tematických předběžných podmínek </w:t>
      </w:r>
      <w:r>
        <w:rPr>
          <w:rFonts w:ascii="Arial" w:hAnsi="Arial" w:cs="Arial"/>
          <w:sz w:val="20"/>
          <w:szCs w:val="20"/>
        </w:rPr>
        <w:br/>
      </w:r>
      <w:r w:rsidRPr="00615DB6">
        <w:rPr>
          <w:rFonts w:ascii="Arial" w:hAnsi="Arial" w:cs="Arial"/>
          <w:b/>
          <w:sz w:val="20"/>
          <w:szCs w:val="20"/>
        </w:rPr>
        <w:t>9.3 Zdraví</w:t>
      </w:r>
      <w:r w:rsidRPr="00615DB6">
        <w:rPr>
          <w:rFonts w:ascii="Arial" w:hAnsi="Arial" w:cs="Arial"/>
          <w:sz w:val="20"/>
          <w:szCs w:val="20"/>
        </w:rPr>
        <w:t xml:space="preserve"> a </w:t>
      </w:r>
      <w:r w:rsidRPr="00615DB6">
        <w:rPr>
          <w:rFonts w:ascii="Arial" w:hAnsi="Arial" w:cs="Arial"/>
          <w:b/>
          <w:sz w:val="20"/>
          <w:szCs w:val="20"/>
        </w:rPr>
        <w:t>11.1 Veřejná správa.</w:t>
      </w:r>
      <w:r w:rsidRPr="00615DB6">
        <w:rPr>
          <w:rFonts w:ascii="Arial" w:hAnsi="Arial" w:cs="Arial"/>
          <w:sz w:val="20"/>
          <w:szCs w:val="20"/>
        </w:rPr>
        <w:t xml:space="preserve"> </w:t>
      </w:r>
    </w:p>
    <w:p w:rsidR="009029C3" w:rsidRPr="00615DB6" w:rsidRDefault="009029C3" w:rsidP="009029C3">
      <w:pPr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 xml:space="preserve">V současnosti je opravdu důležité věnovat velkou pozornost nejen rizikovým předběžným podmínkám a  jejich plnění v daných termínech, ale též riziku negativního vyjádření EK k akčním plánům všech předběžných podmínek. Dále je </w:t>
      </w:r>
      <w:r w:rsidRPr="00615DB6">
        <w:rPr>
          <w:rFonts w:ascii="Arial" w:hAnsi="Arial" w:cs="Arial"/>
          <w:b/>
          <w:sz w:val="20"/>
          <w:szCs w:val="20"/>
        </w:rPr>
        <w:t>nutné dbát na dodržování termínů,</w:t>
      </w:r>
      <w:r w:rsidRPr="00615DB6">
        <w:rPr>
          <w:rFonts w:ascii="Arial" w:hAnsi="Arial" w:cs="Arial"/>
          <w:sz w:val="20"/>
          <w:szCs w:val="20"/>
        </w:rPr>
        <w:t xml:space="preserve"> přislíbených EK. </w:t>
      </w:r>
    </w:p>
    <w:p w:rsidR="009029C3" w:rsidRPr="00615DB6" w:rsidRDefault="009029C3" w:rsidP="009029C3">
      <w:pPr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 xml:space="preserve">Na závěr je důležité připomenout, že </w:t>
      </w:r>
      <w:r w:rsidRPr="00615DB6">
        <w:rPr>
          <w:rFonts w:ascii="Arial" w:hAnsi="Arial" w:cs="Arial"/>
          <w:b/>
          <w:sz w:val="20"/>
          <w:szCs w:val="20"/>
        </w:rPr>
        <w:t>je nutné vždy informovat MMR</w:t>
      </w:r>
      <w:r>
        <w:rPr>
          <w:rFonts w:ascii="Arial" w:hAnsi="Arial" w:cs="Arial"/>
          <w:b/>
          <w:sz w:val="20"/>
          <w:szCs w:val="20"/>
        </w:rPr>
        <w:t>-NOK</w:t>
      </w:r>
      <w:r w:rsidRPr="00615DB6">
        <w:rPr>
          <w:rFonts w:ascii="Arial" w:hAnsi="Arial" w:cs="Arial"/>
          <w:sz w:val="20"/>
          <w:szCs w:val="20"/>
        </w:rPr>
        <w:t xml:space="preserve"> o všem, co souvisí s naplňováním předběžných podmínek, protože jedině tak může být zajištěna koordinace. </w:t>
      </w:r>
    </w:p>
    <w:p w:rsidR="009029C3" w:rsidRPr="00615DB6" w:rsidRDefault="009029C3" w:rsidP="009029C3">
      <w:pPr>
        <w:pStyle w:val="Nadpis2"/>
      </w:pPr>
      <w:r w:rsidRPr="00615DB6">
        <w:t>Centrální registr smluv</w:t>
      </w:r>
    </w:p>
    <w:p w:rsidR="009029C3" w:rsidRPr="00615DB6" w:rsidRDefault="009029C3" w:rsidP="009029C3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615DB6">
        <w:rPr>
          <w:rFonts w:ascii="Arial" w:eastAsiaTheme="minorHAnsi" w:hAnsi="Arial" w:cs="Arial"/>
          <w:sz w:val="20"/>
          <w:szCs w:val="20"/>
          <w:lang w:eastAsia="en-US"/>
        </w:rPr>
        <w:t xml:space="preserve">Vzhledem k tomu, že </w:t>
      </w:r>
      <w:r>
        <w:rPr>
          <w:rFonts w:ascii="Arial" w:eastAsiaTheme="minorHAnsi" w:hAnsi="Arial" w:cs="Arial"/>
          <w:sz w:val="20"/>
          <w:szCs w:val="20"/>
          <w:lang w:eastAsia="en-US"/>
        </w:rPr>
        <w:t>EK</w:t>
      </w:r>
      <w:r w:rsidRPr="00615DB6">
        <w:rPr>
          <w:rFonts w:ascii="Arial" w:eastAsiaTheme="minorHAnsi" w:hAnsi="Arial" w:cs="Arial"/>
          <w:sz w:val="20"/>
          <w:szCs w:val="20"/>
          <w:lang w:eastAsia="en-US"/>
        </w:rPr>
        <w:t xml:space="preserve"> v prosinci 2014 vznesla požadavek na podřazení centrálního registru smluv pod režim předběžných podmínek, informuje </w:t>
      </w:r>
      <w:r>
        <w:rPr>
          <w:rFonts w:ascii="Arial" w:eastAsiaTheme="minorHAnsi" w:hAnsi="Arial" w:cs="Arial"/>
          <w:sz w:val="20"/>
          <w:szCs w:val="20"/>
          <w:lang w:eastAsia="en-US"/>
        </w:rPr>
        <w:t>MMR-NOK</w:t>
      </w:r>
      <w:r w:rsidRPr="00615DB6">
        <w:rPr>
          <w:rFonts w:ascii="Arial" w:eastAsiaTheme="minorHAnsi" w:hAnsi="Arial" w:cs="Arial"/>
          <w:sz w:val="20"/>
          <w:szCs w:val="20"/>
          <w:lang w:eastAsia="en-US"/>
        </w:rPr>
        <w:t xml:space="preserve"> v tomto materiálu o průběhu a vývoji vyjednávání s EK k této problematice. </w:t>
      </w:r>
    </w:p>
    <w:p w:rsidR="009029C3" w:rsidRPr="00615DB6" w:rsidRDefault="009029C3" w:rsidP="009029C3">
      <w:pPr>
        <w:pStyle w:val="Nadpis2"/>
        <w:numPr>
          <w:ilvl w:val="0"/>
          <w:numId w:val="0"/>
        </w:numPr>
        <w:spacing w:before="120" w:after="0"/>
        <w:rPr>
          <w:sz w:val="20"/>
          <w:szCs w:val="20"/>
        </w:rPr>
      </w:pPr>
      <w:bookmarkStart w:id="64" w:name="_Toc413668471"/>
      <w:bookmarkStart w:id="65" w:name="_Toc413751915"/>
      <w:bookmarkStart w:id="66" w:name="_Toc413752118"/>
      <w:bookmarkStart w:id="67" w:name="_Toc413752323"/>
      <w:bookmarkStart w:id="68" w:name="_Toc413773389"/>
      <w:bookmarkStart w:id="69" w:name="_Toc414457045"/>
      <w:r w:rsidRPr="00615DB6">
        <w:rPr>
          <w:sz w:val="20"/>
          <w:szCs w:val="20"/>
        </w:rPr>
        <w:t>Prosinec 2014</w:t>
      </w:r>
      <w:bookmarkEnd w:id="64"/>
      <w:bookmarkEnd w:id="65"/>
      <w:bookmarkEnd w:id="66"/>
      <w:bookmarkEnd w:id="67"/>
      <w:bookmarkEnd w:id="68"/>
      <w:bookmarkEnd w:id="69"/>
    </w:p>
    <w:p w:rsidR="009029C3" w:rsidRPr="00615DB6" w:rsidRDefault="009029C3" w:rsidP="009029C3">
      <w:pPr>
        <w:pStyle w:val="Nadpis2"/>
        <w:numPr>
          <w:ilvl w:val="0"/>
          <w:numId w:val="0"/>
        </w:numPr>
        <w:spacing w:before="120" w:after="0"/>
        <w:rPr>
          <w:b w:val="0"/>
          <w:sz w:val="20"/>
          <w:szCs w:val="20"/>
        </w:rPr>
      </w:pPr>
      <w:r w:rsidRPr="00615DB6">
        <w:rPr>
          <w:b w:val="0"/>
          <w:sz w:val="20"/>
          <w:szCs w:val="20"/>
        </w:rPr>
        <w:t>Poprvé byl požadavek EK na podřazení zavedení centrálního registru smluv, včetně neplatnosti smluv v případě jejich neuveřejnění v tomto registru</w:t>
      </w:r>
      <w:r w:rsidRPr="00615DB6">
        <w:rPr>
          <w:sz w:val="20"/>
          <w:szCs w:val="20"/>
        </w:rPr>
        <w:t xml:space="preserve"> </w:t>
      </w:r>
      <w:r w:rsidRPr="00615DB6">
        <w:rPr>
          <w:b w:val="0"/>
          <w:sz w:val="20"/>
          <w:szCs w:val="20"/>
        </w:rPr>
        <w:t xml:space="preserve">vznesen na </w:t>
      </w:r>
      <w:r>
        <w:rPr>
          <w:b w:val="0"/>
          <w:sz w:val="20"/>
          <w:szCs w:val="20"/>
        </w:rPr>
        <w:t xml:space="preserve">videokonferenci zástupců EK </w:t>
      </w:r>
      <w:r w:rsidRPr="00615DB6">
        <w:rPr>
          <w:b w:val="0"/>
          <w:sz w:val="20"/>
          <w:szCs w:val="20"/>
        </w:rPr>
        <w:t>a</w:t>
      </w:r>
      <w:r>
        <w:rPr>
          <w:b w:val="0"/>
          <w:sz w:val="20"/>
          <w:szCs w:val="20"/>
        </w:rPr>
        <w:t> </w:t>
      </w:r>
      <w:r w:rsidRPr="00615DB6">
        <w:rPr>
          <w:b w:val="0"/>
          <w:sz w:val="20"/>
          <w:szCs w:val="20"/>
        </w:rPr>
        <w:t>zástupců MMR</w:t>
      </w:r>
      <w:r>
        <w:rPr>
          <w:b w:val="0"/>
          <w:sz w:val="20"/>
          <w:szCs w:val="20"/>
        </w:rPr>
        <w:t>-NOK</w:t>
      </w:r>
      <w:r w:rsidRPr="00615DB6">
        <w:rPr>
          <w:b w:val="0"/>
          <w:sz w:val="20"/>
          <w:szCs w:val="20"/>
        </w:rPr>
        <w:t xml:space="preserve">, Ministerstva životního prostředí </w:t>
      </w:r>
      <w:r>
        <w:rPr>
          <w:b w:val="0"/>
          <w:sz w:val="20"/>
          <w:szCs w:val="20"/>
        </w:rPr>
        <w:t xml:space="preserve">(MŽP) </w:t>
      </w:r>
      <w:r w:rsidRPr="00615DB6">
        <w:rPr>
          <w:b w:val="0"/>
          <w:sz w:val="20"/>
          <w:szCs w:val="20"/>
        </w:rPr>
        <w:t xml:space="preserve">a Ministerstva průmyslu a </w:t>
      </w:r>
      <w:r w:rsidRPr="008D21D0">
        <w:rPr>
          <w:b w:val="0"/>
          <w:sz w:val="20"/>
          <w:szCs w:val="20"/>
        </w:rPr>
        <w:t>obchodu (MPO)</w:t>
      </w:r>
      <w:r>
        <w:rPr>
          <w:sz w:val="20"/>
          <w:szCs w:val="20"/>
        </w:rPr>
        <w:t xml:space="preserve"> </w:t>
      </w:r>
      <w:r w:rsidRPr="00615DB6">
        <w:rPr>
          <w:b w:val="0"/>
          <w:sz w:val="20"/>
          <w:szCs w:val="20"/>
        </w:rPr>
        <w:t>d</w:t>
      </w:r>
      <w:r w:rsidR="008D21D0">
        <w:rPr>
          <w:b w:val="0"/>
          <w:sz w:val="20"/>
          <w:szCs w:val="20"/>
        </w:rPr>
        <w:t>ne </w:t>
      </w:r>
      <w:r w:rsidR="00383ED8">
        <w:rPr>
          <w:b w:val="0"/>
          <w:sz w:val="20"/>
          <w:szCs w:val="20"/>
        </w:rPr>
        <w:t>10. </w:t>
      </w:r>
      <w:r w:rsidRPr="00615DB6">
        <w:rPr>
          <w:b w:val="0"/>
          <w:sz w:val="20"/>
          <w:szCs w:val="20"/>
        </w:rPr>
        <w:t xml:space="preserve">prosince 2014, a to </w:t>
      </w:r>
      <w:r w:rsidRPr="00615DB6">
        <w:rPr>
          <w:sz w:val="20"/>
          <w:szCs w:val="20"/>
        </w:rPr>
        <w:t>v souvislosti s předběžnou podmínkou Veřejné zakázky</w:t>
      </w:r>
      <w:r w:rsidRPr="00615DB6">
        <w:rPr>
          <w:b w:val="0"/>
          <w:sz w:val="20"/>
          <w:szCs w:val="20"/>
        </w:rPr>
        <w:t>.</w:t>
      </w:r>
    </w:p>
    <w:p w:rsidR="009029C3" w:rsidRPr="00615DB6" w:rsidRDefault="009029C3" w:rsidP="009029C3">
      <w:pPr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MMR</w:t>
      </w:r>
      <w:r>
        <w:rPr>
          <w:rFonts w:ascii="Arial" w:hAnsi="Arial" w:cs="Arial"/>
          <w:sz w:val="20"/>
          <w:szCs w:val="20"/>
        </w:rPr>
        <w:t>-NOK</w:t>
      </w:r>
      <w:r w:rsidRPr="00615DB6">
        <w:rPr>
          <w:rFonts w:ascii="Arial" w:hAnsi="Arial" w:cs="Arial"/>
          <w:sz w:val="20"/>
          <w:szCs w:val="20"/>
        </w:rPr>
        <w:t xml:space="preserve"> v reakci na tento požadavek zástupcům EK objasni</w:t>
      </w:r>
      <w:r>
        <w:rPr>
          <w:rFonts w:ascii="Arial" w:hAnsi="Arial" w:cs="Arial"/>
          <w:sz w:val="20"/>
          <w:szCs w:val="20"/>
        </w:rPr>
        <w:t>lo, že v České republice (ČR</w:t>
      </w:r>
      <w:r w:rsidRPr="00615DB6">
        <w:rPr>
          <w:rFonts w:ascii="Arial" w:hAnsi="Arial" w:cs="Arial"/>
          <w:sz w:val="20"/>
          <w:szCs w:val="20"/>
        </w:rPr>
        <w:t>) již povinnost zveřejňovat smlouvy nad 500 tis. Kč (bez DPH) existuje od 1.  dubna 2012, kdy nabyl účinnosti zákon č. 55/2012 Sb., tzv. transparentní novela zákona č. 137/2006 Sb., o veř</w:t>
      </w:r>
      <w:bookmarkStart w:id="70" w:name="_Toc414457046"/>
      <w:r w:rsidR="008D21D0">
        <w:rPr>
          <w:rFonts w:ascii="Arial" w:hAnsi="Arial" w:cs="Arial"/>
          <w:sz w:val="20"/>
          <w:szCs w:val="20"/>
        </w:rPr>
        <w:t>ejných zakázkách</w:t>
      </w:r>
      <w:r w:rsidRPr="00615DB6">
        <w:rPr>
          <w:rFonts w:ascii="Arial" w:hAnsi="Arial" w:cs="Arial"/>
          <w:sz w:val="20"/>
          <w:szCs w:val="20"/>
        </w:rPr>
        <w:t xml:space="preserve">. </w:t>
      </w:r>
    </w:p>
    <w:p w:rsidR="009029C3" w:rsidRPr="00615DB6" w:rsidRDefault="009029C3" w:rsidP="009029C3">
      <w:pPr>
        <w:rPr>
          <w:rFonts w:ascii="Arial" w:hAnsi="Arial" w:cs="Arial"/>
          <w:b/>
          <w:sz w:val="20"/>
          <w:szCs w:val="20"/>
        </w:rPr>
      </w:pPr>
      <w:r w:rsidRPr="00615DB6">
        <w:rPr>
          <w:rFonts w:ascii="Arial" w:hAnsi="Arial" w:cs="Arial"/>
          <w:b/>
          <w:sz w:val="20"/>
          <w:szCs w:val="20"/>
        </w:rPr>
        <w:t>Leden a únor 2015</w:t>
      </w:r>
      <w:bookmarkEnd w:id="70"/>
    </w:p>
    <w:p w:rsidR="009029C3" w:rsidRPr="00615DB6" w:rsidRDefault="009029C3" w:rsidP="009029C3">
      <w:pPr>
        <w:rPr>
          <w:rFonts w:ascii="Arial" w:hAnsi="Arial" w:cs="Arial"/>
          <w:i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MMR</w:t>
      </w:r>
      <w:r>
        <w:rPr>
          <w:rFonts w:ascii="Arial" w:hAnsi="Arial" w:cs="Arial"/>
          <w:sz w:val="20"/>
          <w:szCs w:val="20"/>
        </w:rPr>
        <w:t>-NOK</w:t>
      </w:r>
      <w:r w:rsidRPr="00615DB6">
        <w:rPr>
          <w:rFonts w:ascii="Arial" w:hAnsi="Arial" w:cs="Arial"/>
          <w:sz w:val="20"/>
          <w:szCs w:val="20"/>
        </w:rPr>
        <w:t xml:space="preserve"> ve spolupráci s Ministerstvem vnitra ČR a Úřadem vlády ČR </w:t>
      </w:r>
      <w:r>
        <w:rPr>
          <w:rFonts w:ascii="Arial" w:hAnsi="Arial" w:cs="Arial"/>
          <w:sz w:val="20"/>
          <w:szCs w:val="20"/>
        </w:rPr>
        <w:t xml:space="preserve">(ÚV) </w:t>
      </w:r>
      <w:r w:rsidRPr="00615DB6">
        <w:rPr>
          <w:rFonts w:ascii="Arial" w:hAnsi="Arial" w:cs="Arial"/>
          <w:sz w:val="20"/>
          <w:szCs w:val="20"/>
        </w:rPr>
        <w:t xml:space="preserve">na základě negativního vyjádření </w:t>
      </w:r>
      <w:r w:rsidR="00627E7A">
        <w:rPr>
          <w:rFonts w:ascii="Arial" w:hAnsi="Arial" w:cs="Arial"/>
          <w:sz w:val="20"/>
          <w:szCs w:val="20"/>
        </w:rPr>
        <w:t>v</w:t>
      </w:r>
      <w:r w:rsidRPr="00615DB6">
        <w:rPr>
          <w:rFonts w:ascii="Arial" w:hAnsi="Arial" w:cs="Arial"/>
          <w:sz w:val="20"/>
          <w:szCs w:val="20"/>
        </w:rPr>
        <w:t xml:space="preserve">lády ČR zaslalo EK dne </w:t>
      </w:r>
      <w:r w:rsidRPr="00615DB6">
        <w:rPr>
          <w:rFonts w:ascii="Arial" w:hAnsi="Arial" w:cs="Arial"/>
          <w:b/>
          <w:sz w:val="20"/>
          <w:szCs w:val="20"/>
        </w:rPr>
        <w:t>9. ledna 2015</w:t>
      </w:r>
      <w:r w:rsidRPr="00615DB6">
        <w:rPr>
          <w:rFonts w:ascii="Arial" w:hAnsi="Arial" w:cs="Arial"/>
          <w:sz w:val="20"/>
          <w:szCs w:val="20"/>
        </w:rPr>
        <w:t xml:space="preserve"> zamítavé stanovisko k požadavku na zařazení centrálního registru smluv pod režim předběžné podmínky Veřejné zakázky</w:t>
      </w:r>
      <w:r w:rsidRPr="00615DB6">
        <w:rPr>
          <w:rFonts w:ascii="Arial" w:hAnsi="Arial" w:cs="Arial"/>
          <w:i/>
          <w:sz w:val="20"/>
          <w:szCs w:val="20"/>
        </w:rPr>
        <w:t>.</w:t>
      </w:r>
      <w:r w:rsidRPr="00615DB6">
        <w:rPr>
          <w:rFonts w:ascii="Arial" w:hAnsi="Arial" w:cs="Arial"/>
          <w:sz w:val="20"/>
          <w:szCs w:val="20"/>
        </w:rPr>
        <w:t xml:space="preserve"> </w:t>
      </w:r>
    </w:p>
    <w:p w:rsidR="009029C3" w:rsidRPr="00615DB6" w:rsidRDefault="009029C3" w:rsidP="009029C3">
      <w:pPr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 xml:space="preserve">Na jednání zástupců ČR s EK, které proběhlo dne </w:t>
      </w:r>
      <w:r w:rsidRPr="00615DB6">
        <w:rPr>
          <w:rFonts w:ascii="Arial" w:hAnsi="Arial" w:cs="Arial"/>
          <w:b/>
          <w:sz w:val="20"/>
          <w:szCs w:val="20"/>
        </w:rPr>
        <w:t>19. února 2015,</w:t>
      </w:r>
      <w:r w:rsidRPr="00615DB6">
        <w:rPr>
          <w:rFonts w:ascii="Arial" w:hAnsi="Arial" w:cs="Arial"/>
          <w:sz w:val="20"/>
          <w:szCs w:val="20"/>
        </w:rPr>
        <w:t xml:space="preserve"> EK i přesto zaujala k požadavku na centrální registr smluv následující stanovisko: </w:t>
      </w:r>
      <w:r w:rsidRPr="00615DB6">
        <w:rPr>
          <w:rFonts w:ascii="Arial" w:hAnsi="Arial" w:cs="Arial"/>
          <w:i/>
          <w:sz w:val="20"/>
          <w:szCs w:val="20"/>
        </w:rPr>
        <w:t>„EK nepovažuje tento požadavek za</w:t>
      </w:r>
      <w:r w:rsidR="002C22FA">
        <w:rPr>
          <w:rFonts w:ascii="Arial" w:hAnsi="Arial" w:cs="Arial"/>
          <w:i/>
          <w:sz w:val="20"/>
          <w:szCs w:val="20"/>
        </w:rPr>
        <w:t xml:space="preserve"> další předběžnou podmínku, ale za </w:t>
      </w:r>
      <w:r w:rsidRPr="00615DB6">
        <w:rPr>
          <w:rFonts w:ascii="Arial" w:hAnsi="Arial" w:cs="Arial"/>
          <w:i/>
          <w:sz w:val="20"/>
          <w:szCs w:val="20"/>
        </w:rPr>
        <w:t xml:space="preserve">její součást. Požadavkem EK je mít jediný zdroj, ze kterého bude možné čerpat smlouvy veřejných subjektů. Centrální registr smluv je důležitou součástí postupu </w:t>
      </w:r>
      <w:r w:rsidRPr="00615DB6">
        <w:rPr>
          <w:rFonts w:ascii="Arial" w:hAnsi="Arial" w:cs="Arial"/>
          <w:i/>
          <w:sz w:val="20"/>
          <w:szCs w:val="20"/>
        </w:rPr>
        <w:br/>
        <w:t xml:space="preserve">proti korupci.“ </w:t>
      </w:r>
    </w:p>
    <w:p w:rsidR="009029C3" w:rsidRPr="00615DB6" w:rsidRDefault="009029C3" w:rsidP="009029C3">
      <w:pPr>
        <w:pStyle w:val="Nadpis2"/>
        <w:numPr>
          <w:ilvl w:val="0"/>
          <w:numId w:val="0"/>
        </w:numPr>
        <w:spacing w:before="120" w:after="0"/>
        <w:rPr>
          <w:sz w:val="20"/>
          <w:szCs w:val="20"/>
        </w:rPr>
      </w:pPr>
      <w:bookmarkStart w:id="71" w:name="_Toc414457047"/>
      <w:r w:rsidRPr="00615DB6">
        <w:rPr>
          <w:sz w:val="20"/>
          <w:szCs w:val="20"/>
        </w:rPr>
        <w:lastRenderedPageBreak/>
        <w:t>Březen 2015</w:t>
      </w:r>
      <w:bookmarkEnd w:id="71"/>
    </w:p>
    <w:p w:rsidR="009029C3" w:rsidRPr="00615DB6" w:rsidRDefault="009029C3" w:rsidP="009029C3">
      <w:pPr>
        <w:rPr>
          <w:rFonts w:ascii="Arial" w:eastAsia="Calibri" w:hAnsi="Arial" w:cs="Arial"/>
          <w:sz w:val="20"/>
          <w:szCs w:val="20"/>
          <w:lang w:eastAsia="en-US"/>
        </w:rPr>
      </w:pPr>
      <w:r w:rsidRPr="00615DB6">
        <w:rPr>
          <w:rFonts w:ascii="Arial" w:hAnsi="Arial" w:cs="Arial"/>
          <w:sz w:val="20"/>
          <w:szCs w:val="20"/>
        </w:rPr>
        <w:t>EK rovněž reagovala v návaznosti na právní stanovisko MMR</w:t>
      </w:r>
      <w:r>
        <w:rPr>
          <w:rFonts w:ascii="Arial" w:hAnsi="Arial" w:cs="Arial"/>
          <w:sz w:val="20"/>
          <w:szCs w:val="20"/>
        </w:rPr>
        <w:t>-NOK</w:t>
      </w:r>
      <w:r w:rsidRPr="00615DB6">
        <w:rPr>
          <w:rFonts w:ascii="Arial" w:hAnsi="Arial" w:cs="Arial"/>
          <w:sz w:val="20"/>
          <w:szCs w:val="20"/>
        </w:rPr>
        <w:t xml:space="preserve"> v této věci dne </w:t>
      </w:r>
      <w:r w:rsidRPr="00615DB6">
        <w:rPr>
          <w:rFonts w:ascii="Arial" w:hAnsi="Arial" w:cs="Arial"/>
          <w:b/>
          <w:sz w:val="20"/>
          <w:szCs w:val="20"/>
        </w:rPr>
        <w:t xml:space="preserve">4. března 2015: </w:t>
      </w:r>
      <w:r w:rsidRPr="009029C3">
        <w:rPr>
          <w:rFonts w:ascii="Arial" w:eastAsia="Calibri" w:hAnsi="Arial" w:cs="Arial"/>
          <w:i/>
          <w:sz w:val="20"/>
          <w:szCs w:val="20"/>
          <w:lang w:eastAsia="en-US"/>
        </w:rPr>
        <w:t>„</w:t>
      </w:r>
      <w:r w:rsidRPr="00615DB6">
        <w:rPr>
          <w:rFonts w:ascii="Arial" w:eastAsia="Calibri" w:hAnsi="Arial" w:cs="Arial"/>
          <w:i/>
          <w:sz w:val="20"/>
          <w:szCs w:val="20"/>
          <w:lang w:eastAsia="en-US"/>
        </w:rPr>
        <w:t>Vzhledem k tomu, že opatření zahrnutá ve vnitrostátní protikorupční strategii lze považovat za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 </w:t>
      </w:r>
      <w:r w:rsidRPr="00615DB6">
        <w:rPr>
          <w:rFonts w:ascii="Arial" w:eastAsia="Calibri" w:hAnsi="Arial" w:cs="Arial"/>
          <w:i/>
          <w:sz w:val="20"/>
          <w:szCs w:val="20"/>
          <w:lang w:eastAsia="en-US"/>
        </w:rPr>
        <w:t xml:space="preserve">důležitá a užitečná,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EK</w:t>
      </w:r>
      <w:r w:rsidRPr="00615DB6">
        <w:rPr>
          <w:rFonts w:ascii="Arial" w:eastAsia="Calibri" w:hAnsi="Arial" w:cs="Arial"/>
          <w:i/>
          <w:sz w:val="20"/>
          <w:szCs w:val="20"/>
          <w:lang w:eastAsia="en-US"/>
        </w:rPr>
        <w:t xml:space="preserve"> je vnímá jako způsob pro zefektivnění plnění předběžné podmínky.“</w:t>
      </w:r>
      <w:r w:rsidRPr="00615DB6">
        <w:rPr>
          <w:rFonts w:ascii="Arial" w:hAnsi="Arial" w:cs="Arial"/>
          <w:sz w:val="20"/>
          <w:szCs w:val="20"/>
        </w:rPr>
        <w:t xml:space="preserve"> </w:t>
      </w:r>
    </w:p>
    <w:p w:rsidR="009029C3" w:rsidRPr="00615DB6" w:rsidRDefault="009029C3" w:rsidP="009029C3">
      <w:pPr>
        <w:rPr>
          <w:rFonts w:ascii="Arial" w:eastAsia="Calibri" w:hAnsi="Arial" w:cs="Arial"/>
          <w:sz w:val="20"/>
          <w:szCs w:val="20"/>
          <w:lang w:eastAsia="en-US"/>
        </w:rPr>
      </w:pPr>
      <w:r w:rsidRPr="00615DB6">
        <w:rPr>
          <w:rFonts w:ascii="Arial" w:eastAsia="Calibri" w:hAnsi="Arial" w:cs="Arial"/>
          <w:sz w:val="20"/>
          <w:szCs w:val="20"/>
          <w:lang w:eastAsia="en-US"/>
        </w:rPr>
        <w:t xml:space="preserve">Na jednání dne </w:t>
      </w:r>
      <w:r w:rsidRPr="00615DB6">
        <w:rPr>
          <w:rFonts w:ascii="Arial" w:eastAsia="Calibri" w:hAnsi="Arial" w:cs="Arial"/>
          <w:b/>
          <w:sz w:val="20"/>
          <w:szCs w:val="20"/>
          <w:lang w:eastAsia="en-US"/>
        </w:rPr>
        <w:t xml:space="preserve">18. března 2015 </w:t>
      </w:r>
      <w:r w:rsidRPr="00615DB6">
        <w:rPr>
          <w:rFonts w:ascii="Arial" w:eastAsia="Calibri" w:hAnsi="Arial" w:cs="Arial"/>
          <w:sz w:val="20"/>
          <w:szCs w:val="20"/>
          <w:lang w:eastAsia="en-US"/>
        </w:rPr>
        <w:t>EK vyjádřila ochotu k ústupku ve smyslu, že byť trvá na podřazení centrálního registru smluv, včetně sankce neplatnosti těchto smluv v případě jejich nezveřejnění, pod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615DB6">
        <w:rPr>
          <w:rFonts w:ascii="Arial" w:eastAsia="Calibri" w:hAnsi="Arial" w:cs="Arial"/>
          <w:sz w:val="20"/>
          <w:szCs w:val="20"/>
          <w:lang w:eastAsia="en-US"/>
        </w:rPr>
        <w:t xml:space="preserve"> režim předběžných podmínek, je ochotná </w:t>
      </w:r>
      <w:r w:rsidRPr="00615DB6">
        <w:rPr>
          <w:rFonts w:ascii="Arial" w:eastAsia="Calibri" w:hAnsi="Arial" w:cs="Arial"/>
          <w:b/>
          <w:sz w:val="20"/>
          <w:szCs w:val="20"/>
          <w:lang w:eastAsia="en-US"/>
        </w:rPr>
        <w:t>podřadit toto opatření pod předběžnou podmínku Veřejná správa</w:t>
      </w:r>
      <w:r w:rsidRPr="00615DB6">
        <w:rPr>
          <w:rFonts w:ascii="Arial" w:eastAsia="Calibri" w:hAnsi="Arial" w:cs="Arial"/>
          <w:sz w:val="20"/>
          <w:szCs w:val="20"/>
          <w:lang w:eastAsia="en-US"/>
        </w:rPr>
        <w:t xml:space="preserve"> namísto předběžné podmínky Veřejné zakázky, čímž by potenciální nesplnění opatření mělo dopad na výrazně menší část alokace, cca 5 miliard Kč u předběžné podmínky Veřejná správa oproti cca 660 miliardám Kč u předběžné podmínky Veřejné zakázky. </w:t>
      </w:r>
    </w:p>
    <w:p w:rsidR="009029C3" w:rsidRPr="00615DB6" w:rsidRDefault="009029C3" w:rsidP="009029C3">
      <w:pPr>
        <w:rPr>
          <w:rFonts w:ascii="Arial" w:eastAsia="Calibri" w:hAnsi="Arial" w:cs="Arial"/>
          <w:sz w:val="20"/>
          <w:szCs w:val="20"/>
          <w:lang w:eastAsia="en-US"/>
        </w:rPr>
      </w:pPr>
      <w:r w:rsidRPr="00615DB6">
        <w:rPr>
          <w:rFonts w:ascii="Arial" w:eastAsia="Calibri" w:hAnsi="Arial" w:cs="Arial"/>
          <w:sz w:val="20"/>
          <w:szCs w:val="20"/>
          <w:lang w:eastAsia="en-US"/>
        </w:rPr>
        <w:t xml:space="preserve">Vláda ČR opakovaně, naposledy na svém jednání dne </w:t>
      </w:r>
      <w:r w:rsidRPr="00615DB6">
        <w:rPr>
          <w:rFonts w:ascii="Arial" w:eastAsia="Calibri" w:hAnsi="Arial" w:cs="Arial"/>
          <w:b/>
          <w:sz w:val="20"/>
          <w:szCs w:val="20"/>
          <w:lang w:eastAsia="en-US"/>
        </w:rPr>
        <w:t>25. března 2015</w:t>
      </w:r>
      <w:r w:rsidRPr="00615DB6">
        <w:rPr>
          <w:rFonts w:ascii="Arial" w:eastAsia="Calibri" w:hAnsi="Arial" w:cs="Arial"/>
          <w:sz w:val="20"/>
          <w:szCs w:val="20"/>
          <w:lang w:eastAsia="en-US"/>
        </w:rPr>
        <w:t>, odmítla podřazení centrálního registru smluv pod režim předběžných podmínek na základě přesvědčení, že se nejedná o oblast relevantní z hlediska p</w:t>
      </w:r>
      <w:r w:rsidR="002623AA">
        <w:rPr>
          <w:rFonts w:ascii="Arial" w:eastAsia="Calibri" w:hAnsi="Arial" w:cs="Arial"/>
          <w:sz w:val="20"/>
          <w:szCs w:val="20"/>
          <w:lang w:eastAsia="en-US"/>
        </w:rPr>
        <w:t xml:space="preserve">ředběžných podmínek, a to </w:t>
      </w:r>
      <w:r w:rsidRPr="00615DB6">
        <w:rPr>
          <w:rFonts w:ascii="Arial" w:eastAsia="Calibri" w:hAnsi="Arial" w:cs="Arial"/>
          <w:sz w:val="20"/>
          <w:szCs w:val="20"/>
          <w:lang w:eastAsia="en-US"/>
        </w:rPr>
        <w:t>zejména s ohledem na neexistenci takovéto povinnosti v evropských zadávacích směrnicích.</w:t>
      </w:r>
    </w:p>
    <w:p w:rsidR="009029C3" w:rsidRPr="00615DB6" w:rsidRDefault="009029C3" w:rsidP="009029C3">
      <w:pPr>
        <w:rPr>
          <w:rFonts w:ascii="Arial" w:hAnsi="Arial" w:cs="Arial"/>
          <w:b/>
          <w:iCs/>
          <w:sz w:val="20"/>
          <w:szCs w:val="20"/>
        </w:rPr>
      </w:pPr>
      <w:r w:rsidRPr="00615DB6">
        <w:rPr>
          <w:rFonts w:ascii="Arial" w:eastAsia="Calibri" w:hAnsi="Arial" w:cs="Arial"/>
          <w:sz w:val="20"/>
          <w:szCs w:val="20"/>
          <w:lang w:eastAsia="en-US"/>
        </w:rPr>
        <w:t xml:space="preserve">Téma centrálního registru smluv bylo zmíněno i během bilaterálního setkání komisařky </w:t>
      </w:r>
      <w:r w:rsidR="002623AA">
        <w:rPr>
          <w:rFonts w:ascii="Arial" w:eastAsia="Calibri" w:hAnsi="Arial" w:cs="Arial"/>
          <w:sz w:val="20"/>
          <w:szCs w:val="20"/>
          <w:lang w:eastAsia="en-US"/>
        </w:rPr>
        <w:t>pro regionální politiku</w:t>
      </w:r>
      <w:r w:rsidRPr="00615DB6">
        <w:rPr>
          <w:rFonts w:ascii="Arial" w:eastAsia="Calibri" w:hAnsi="Arial" w:cs="Arial"/>
          <w:sz w:val="20"/>
          <w:szCs w:val="20"/>
          <w:lang w:eastAsia="en-US"/>
        </w:rPr>
        <w:t xml:space="preserve"> s ministryní pro místní rozvoj dne </w:t>
      </w:r>
      <w:r w:rsidRPr="00615DB6">
        <w:rPr>
          <w:rFonts w:ascii="Arial" w:eastAsia="Calibri" w:hAnsi="Arial" w:cs="Arial"/>
          <w:b/>
          <w:sz w:val="20"/>
          <w:szCs w:val="20"/>
          <w:lang w:eastAsia="en-US"/>
        </w:rPr>
        <w:t>30. března 2015</w:t>
      </w:r>
      <w:r w:rsidRPr="00615DB6">
        <w:rPr>
          <w:rFonts w:ascii="Arial" w:eastAsia="Calibri" w:hAnsi="Arial" w:cs="Arial"/>
          <w:sz w:val="20"/>
          <w:szCs w:val="20"/>
          <w:lang w:eastAsia="en-US"/>
        </w:rPr>
        <w:t xml:space="preserve"> u příležitosti návštěvy komisařky v ČR. </w:t>
      </w:r>
      <w:r w:rsidRPr="00615DB6">
        <w:rPr>
          <w:rFonts w:ascii="Arial" w:hAnsi="Arial" w:cs="Arial"/>
          <w:iCs/>
          <w:sz w:val="20"/>
          <w:szCs w:val="20"/>
        </w:rPr>
        <w:t>Byl zopakován dosavadní postoj EK, že požadavek na podřazení centrálního registru smluv není specifickým požadavkem, ale vzhledem k tomu, že jd</w:t>
      </w:r>
      <w:r>
        <w:rPr>
          <w:rFonts w:ascii="Arial" w:hAnsi="Arial" w:cs="Arial"/>
          <w:iCs/>
          <w:sz w:val="20"/>
          <w:szCs w:val="20"/>
        </w:rPr>
        <w:t>e o existující závazek ČR, jeho </w:t>
      </w:r>
      <w:r w:rsidRPr="00615DB6">
        <w:rPr>
          <w:rFonts w:ascii="Arial" w:hAnsi="Arial" w:cs="Arial"/>
          <w:b/>
          <w:iCs/>
          <w:sz w:val="20"/>
          <w:szCs w:val="20"/>
        </w:rPr>
        <w:t>podčlenění pod režim předběžných podmínek by významně zvýšilo vzájemnou důvěru.</w:t>
      </w:r>
      <w:r w:rsidRPr="00615DB6">
        <w:rPr>
          <w:rFonts w:ascii="Arial" w:hAnsi="Arial" w:cs="Arial"/>
          <w:iCs/>
          <w:sz w:val="20"/>
          <w:szCs w:val="20"/>
        </w:rPr>
        <w:t xml:space="preserve"> EK vnímá centrální registr smluv jako důležitý nástroj pro zajištění transparentnosti a efektivní implementaci řady opatření v boji proti korupci, zvláště důležitá je centrálnost celého řešení. Komisařka </w:t>
      </w:r>
      <w:r w:rsidR="002623AA">
        <w:rPr>
          <w:rFonts w:ascii="Arial" w:hAnsi="Arial" w:cs="Arial"/>
          <w:iCs/>
          <w:sz w:val="20"/>
          <w:szCs w:val="20"/>
        </w:rPr>
        <w:t>pro regionální politiku</w:t>
      </w:r>
      <w:r w:rsidRPr="00615DB6">
        <w:rPr>
          <w:rFonts w:ascii="Arial" w:hAnsi="Arial" w:cs="Arial"/>
          <w:iCs/>
          <w:sz w:val="20"/>
          <w:szCs w:val="20"/>
        </w:rPr>
        <w:t xml:space="preserve"> byla ze strany ministryně </w:t>
      </w:r>
      <w:r w:rsidR="002623AA">
        <w:rPr>
          <w:rFonts w:ascii="Arial" w:hAnsi="Arial" w:cs="Arial"/>
          <w:iCs/>
          <w:sz w:val="20"/>
          <w:szCs w:val="20"/>
        </w:rPr>
        <w:t>pro místní rozvoj</w:t>
      </w:r>
      <w:r w:rsidRPr="00615DB6">
        <w:rPr>
          <w:rFonts w:ascii="Arial" w:hAnsi="Arial" w:cs="Arial"/>
          <w:iCs/>
          <w:sz w:val="20"/>
          <w:szCs w:val="20"/>
        </w:rPr>
        <w:t xml:space="preserve"> seznámena se stálou pozicí </w:t>
      </w:r>
      <w:r w:rsidR="00627E7A">
        <w:rPr>
          <w:rFonts w:ascii="Arial" w:hAnsi="Arial" w:cs="Arial"/>
          <w:iCs/>
          <w:sz w:val="20"/>
          <w:szCs w:val="20"/>
        </w:rPr>
        <w:t>v</w:t>
      </w:r>
      <w:r w:rsidRPr="00615DB6">
        <w:rPr>
          <w:rFonts w:ascii="Arial" w:hAnsi="Arial" w:cs="Arial"/>
          <w:iCs/>
          <w:sz w:val="20"/>
          <w:szCs w:val="20"/>
        </w:rPr>
        <w:t>lády ČR</w:t>
      </w:r>
      <w:r>
        <w:rPr>
          <w:rFonts w:ascii="Arial" w:hAnsi="Arial" w:cs="Arial"/>
          <w:iCs/>
          <w:sz w:val="20"/>
          <w:szCs w:val="20"/>
        </w:rPr>
        <w:t xml:space="preserve"> ve smyslu odmítnutí požadavku </w:t>
      </w:r>
      <w:r w:rsidRPr="00615DB6">
        <w:rPr>
          <w:rFonts w:ascii="Arial" w:hAnsi="Arial" w:cs="Arial"/>
          <w:iCs/>
          <w:sz w:val="20"/>
          <w:szCs w:val="20"/>
        </w:rPr>
        <w:t>na podřazení tématu centrálního registru smluv do režimu předběžných podmínek.</w:t>
      </w:r>
      <w:r w:rsidRPr="00615DB6">
        <w:rPr>
          <w:rFonts w:ascii="Arial" w:hAnsi="Arial" w:cs="Arial"/>
          <w:b/>
          <w:iCs/>
          <w:sz w:val="20"/>
          <w:szCs w:val="20"/>
        </w:rPr>
        <w:t xml:space="preserve"> </w:t>
      </w:r>
    </w:p>
    <w:p w:rsidR="009029C3" w:rsidRPr="00615DB6" w:rsidRDefault="009029C3" w:rsidP="009029C3">
      <w:pPr>
        <w:rPr>
          <w:rFonts w:ascii="Arial" w:hAnsi="Arial" w:cs="Arial"/>
          <w:b/>
          <w:iCs/>
          <w:sz w:val="20"/>
          <w:szCs w:val="20"/>
        </w:rPr>
      </w:pPr>
      <w:r w:rsidRPr="00615DB6">
        <w:rPr>
          <w:rFonts w:ascii="Arial" w:hAnsi="Arial" w:cs="Arial"/>
          <w:iCs/>
          <w:sz w:val="20"/>
          <w:szCs w:val="20"/>
        </w:rPr>
        <w:t xml:space="preserve">Tato problematika byla diskutována </w:t>
      </w:r>
      <w:r w:rsidR="002623AA">
        <w:rPr>
          <w:rFonts w:ascii="Arial" w:hAnsi="Arial" w:cs="Arial"/>
          <w:iCs/>
          <w:sz w:val="20"/>
          <w:szCs w:val="20"/>
        </w:rPr>
        <w:t>rovněž</w:t>
      </w:r>
      <w:r w:rsidRPr="00615DB6">
        <w:rPr>
          <w:rFonts w:ascii="Arial" w:hAnsi="Arial" w:cs="Arial"/>
          <w:iCs/>
          <w:sz w:val="20"/>
          <w:szCs w:val="20"/>
        </w:rPr>
        <w:t xml:space="preserve"> na bilaterálním jednání </w:t>
      </w:r>
      <w:r w:rsidR="002623AA">
        <w:rPr>
          <w:rFonts w:ascii="Arial" w:hAnsi="Arial" w:cs="Arial"/>
          <w:iCs/>
          <w:sz w:val="20"/>
          <w:szCs w:val="20"/>
        </w:rPr>
        <w:t xml:space="preserve">komisařky pro regionální politiku </w:t>
      </w:r>
      <w:r w:rsidRPr="00615DB6">
        <w:rPr>
          <w:rFonts w:ascii="Arial" w:hAnsi="Arial" w:cs="Arial"/>
          <w:iCs/>
          <w:sz w:val="20"/>
          <w:szCs w:val="20"/>
        </w:rPr>
        <w:t xml:space="preserve">s předsedou vlády </w:t>
      </w:r>
      <w:r w:rsidR="00627E7A">
        <w:rPr>
          <w:rFonts w:ascii="Arial" w:hAnsi="Arial" w:cs="Arial"/>
          <w:iCs/>
          <w:sz w:val="20"/>
          <w:szCs w:val="20"/>
        </w:rPr>
        <w:t xml:space="preserve">ČR </w:t>
      </w:r>
      <w:r w:rsidRPr="00615DB6">
        <w:rPr>
          <w:rFonts w:ascii="Arial" w:hAnsi="Arial" w:cs="Arial"/>
          <w:iCs/>
          <w:sz w:val="20"/>
          <w:szCs w:val="20"/>
        </w:rPr>
        <w:t>dne</w:t>
      </w:r>
      <w:r w:rsidRPr="00615DB6">
        <w:rPr>
          <w:rFonts w:ascii="Arial" w:hAnsi="Arial" w:cs="Arial"/>
          <w:b/>
          <w:iCs/>
          <w:sz w:val="20"/>
          <w:szCs w:val="20"/>
        </w:rPr>
        <w:t xml:space="preserve"> 31. března 2015. Na tomto jednání došlo ke vzájemné shodě, že samotný závazek týkající se centrálního registru smluv nebude součástí opatření v rámci předběžných podmínek, a to žádné z nich.</w:t>
      </w:r>
      <w:r w:rsidRPr="00615DB6">
        <w:rPr>
          <w:rFonts w:ascii="Arial" w:hAnsi="Arial" w:cs="Arial"/>
          <w:sz w:val="20"/>
          <w:szCs w:val="20"/>
        </w:rPr>
        <w:t xml:space="preserve"> Bylo dohodnuto, že </w:t>
      </w:r>
      <w:r w:rsidR="00627E7A">
        <w:rPr>
          <w:rFonts w:ascii="Arial" w:hAnsi="Arial" w:cs="Arial"/>
          <w:sz w:val="20"/>
          <w:szCs w:val="20"/>
        </w:rPr>
        <w:t>tato problematika</w:t>
      </w:r>
      <w:r w:rsidR="00627E7A" w:rsidRPr="00615DB6">
        <w:rPr>
          <w:rFonts w:ascii="Arial" w:hAnsi="Arial" w:cs="Arial"/>
          <w:sz w:val="20"/>
          <w:szCs w:val="20"/>
        </w:rPr>
        <w:t xml:space="preserve"> </w:t>
      </w:r>
      <w:r w:rsidRPr="00615DB6">
        <w:rPr>
          <w:rFonts w:ascii="Arial" w:hAnsi="Arial" w:cs="Arial"/>
          <w:sz w:val="20"/>
          <w:szCs w:val="20"/>
        </w:rPr>
        <w:t xml:space="preserve">se uzavře výměnou dopisů mezi panem předsedou vlády </w:t>
      </w:r>
      <w:r w:rsidR="0036680B">
        <w:rPr>
          <w:rFonts w:ascii="Arial" w:hAnsi="Arial" w:cs="Arial"/>
          <w:sz w:val="20"/>
          <w:szCs w:val="20"/>
        </w:rPr>
        <w:t xml:space="preserve">ČR </w:t>
      </w:r>
      <w:r w:rsidRPr="00615DB6">
        <w:rPr>
          <w:rFonts w:ascii="Arial" w:hAnsi="Arial" w:cs="Arial"/>
          <w:sz w:val="20"/>
          <w:szCs w:val="20"/>
        </w:rPr>
        <w:t xml:space="preserve">a komisařkou, přičemž předseda vlády </w:t>
      </w:r>
      <w:r w:rsidR="00627E7A">
        <w:rPr>
          <w:rFonts w:ascii="Arial" w:hAnsi="Arial" w:cs="Arial"/>
          <w:sz w:val="20"/>
          <w:szCs w:val="20"/>
        </w:rPr>
        <w:t xml:space="preserve">ČR </w:t>
      </w:r>
      <w:r w:rsidRPr="00615DB6">
        <w:rPr>
          <w:rFonts w:ascii="Arial" w:hAnsi="Arial" w:cs="Arial"/>
          <w:sz w:val="20"/>
          <w:szCs w:val="20"/>
        </w:rPr>
        <w:t>bude ve</w:t>
      </w:r>
      <w:r w:rsidR="00627E7A">
        <w:rPr>
          <w:rFonts w:ascii="Arial" w:hAnsi="Arial" w:cs="Arial"/>
          <w:sz w:val="20"/>
          <w:szCs w:val="20"/>
        </w:rPr>
        <w:t> </w:t>
      </w:r>
      <w:r w:rsidRPr="00615DB6">
        <w:rPr>
          <w:rFonts w:ascii="Arial" w:hAnsi="Arial" w:cs="Arial"/>
          <w:sz w:val="20"/>
          <w:szCs w:val="20"/>
        </w:rPr>
        <w:t>své</w:t>
      </w:r>
      <w:r w:rsidR="002623AA">
        <w:rPr>
          <w:rFonts w:ascii="Arial" w:hAnsi="Arial" w:cs="Arial"/>
          <w:sz w:val="20"/>
          <w:szCs w:val="20"/>
        </w:rPr>
        <w:t>m dopise informovat komisařku o </w:t>
      </w:r>
      <w:r w:rsidRPr="00615DB6">
        <w:rPr>
          <w:rFonts w:ascii="Arial" w:hAnsi="Arial" w:cs="Arial"/>
          <w:sz w:val="20"/>
          <w:szCs w:val="20"/>
        </w:rPr>
        <w:t>dalším postupu vlády</w:t>
      </w:r>
      <w:r w:rsidR="00627E7A">
        <w:rPr>
          <w:rFonts w:ascii="Arial" w:hAnsi="Arial" w:cs="Arial"/>
          <w:sz w:val="20"/>
          <w:szCs w:val="20"/>
        </w:rPr>
        <w:t xml:space="preserve"> ČR</w:t>
      </w:r>
      <w:r w:rsidRPr="00615DB6">
        <w:rPr>
          <w:rFonts w:ascii="Arial" w:hAnsi="Arial" w:cs="Arial"/>
          <w:sz w:val="20"/>
          <w:szCs w:val="20"/>
        </w:rPr>
        <w:t xml:space="preserve"> při řešení problematiky transparentnosti.</w:t>
      </w:r>
      <w:r w:rsidRPr="00615DB6">
        <w:rPr>
          <w:rFonts w:ascii="Arial" w:hAnsi="Arial" w:cs="Arial"/>
          <w:b/>
          <w:iCs/>
          <w:sz w:val="20"/>
          <w:szCs w:val="20"/>
        </w:rPr>
        <w:t xml:space="preserve"> Závazek v podobě předběžných podmínek tedy bude nahrazen deklarací na</w:t>
      </w:r>
      <w:r w:rsidR="00627E7A">
        <w:rPr>
          <w:rFonts w:ascii="Arial" w:hAnsi="Arial" w:cs="Arial"/>
          <w:b/>
          <w:iCs/>
          <w:sz w:val="20"/>
          <w:szCs w:val="20"/>
        </w:rPr>
        <w:t> </w:t>
      </w:r>
      <w:r w:rsidRPr="00615DB6">
        <w:rPr>
          <w:rFonts w:ascii="Arial" w:hAnsi="Arial" w:cs="Arial"/>
          <w:b/>
          <w:iCs/>
          <w:sz w:val="20"/>
          <w:szCs w:val="20"/>
        </w:rPr>
        <w:t xml:space="preserve">politické úrovni. </w:t>
      </w:r>
    </w:p>
    <w:p w:rsidR="009029C3" w:rsidRPr="00615DB6" w:rsidRDefault="009029C3" w:rsidP="009029C3">
      <w:pPr>
        <w:pStyle w:val="Nadpis2"/>
      </w:pPr>
      <w:r w:rsidRPr="00615DB6">
        <w:t xml:space="preserve">Stav naplňování předběžných podmínek </w:t>
      </w:r>
      <w:r w:rsidR="008D21D0">
        <w:rPr>
          <w:sz w:val="20"/>
        </w:rPr>
        <w:t>(ke dni 31. března</w:t>
      </w:r>
      <w:r w:rsidRPr="009029C3">
        <w:rPr>
          <w:sz w:val="20"/>
        </w:rPr>
        <w:t xml:space="preserve"> 2015)</w:t>
      </w:r>
      <w:r w:rsidRPr="009029C3">
        <w:rPr>
          <w:rStyle w:val="Znakapoznpodarou"/>
          <w:sz w:val="20"/>
        </w:rPr>
        <w:footnoteReference w:id="3"/>
      </w:r>
    </w:p>
    <w:p w:rsidR="009029C3" w:rsidRPr="00615DB6" w:rsidRDefault="007E0C20" w:rsidP="009029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Následující t</w:t>
      </w:r>
      <w:r w:rsidR="009029C3" w:rsidRPr="00615DB6">
        <w:rPr>
          <w:rFonts w:ascii="Arial" w:hAnsi="Arial" w:cs="Arial"/>
          <w:sz w:val="20"/>
          <w:szCs w:val="20"/>
        </w:rPr>
        <w:t>abulka vyjadřuje míru rizikovosti a procentuální naplňov</w:t>
      </w:r>
      <w:r w:rsidR="009029C3">
        <w:rPr>
          <w:rFonts w:ascii="Arial" w:hAnsi="Arial" w:cs="Arial"/>
          <w:sz w:val="20"/>
          <w:szCs w:val="20"/>
        </w:rPr>
        <w:t xml:space="preserve">ání </w:t>
      </w:r>
      <w:r>
        <w:rPr>
          <w:rFonts w:ascii="Arial" w:hAnsi="Arial" w:cs="Arial"/>
          <w:sz w:val="20"/>
          <w:szCs w:val="20"/>
        </w:rPr>
        <w:t xml:space="preserve">jednotlivých </w:t>
      </w:r>
      <w:r w:rsidR="009029C3">
        <w:rPr>
          <w:rFonts w:ascii="Arial" w:hAnsi="Arial" w:cs="Arial"/>
          <w:sz w:val="20"/>
          <w:szCs w:val="20"/>
        </w:rPr>
        <w:t>předběžných podmínek. Jedná </w:t>
      </w:r>
      <w:r w:rsidR="009029C3" w:rsidRPr="00615DB6">
        <w:rPr>
          <w:rFonts w:ascii="Arial" w:hAnsi="Arial" w:cs="Arial"/>
          <w:sz w:val="20"/>
          <w:szCs w:val="20"/>
        </w:rPr>
        <w:t>se nicméně o indikativní odhad naplňování. V potaz je zejména n</w:t>
      </w:r>
      <w:r w:rsidR="009029C3">
        <w:rPr>
          <w:rFonts w:ascii="Arial" w:hAnsi="Arial" w:cs="Arial"/>
          <w:sz w:val="20"/>
          <w:szCs w:val="20"/>
        </w:rPr>
        <w:t>utné brát konkrétní okolnosti a </w:t>
      </w:r>
      <w:r w:rsidR="009029C3" w:rsidRPr="00615DB6">
        <w:rPr>
          <w:rFonts w:ascii="Arial" w:hAnsi="Arial" w:cs="Arial"/>
          <w:sz w:val="20"/>
          <w:szCs w:val="20"/>
        </w:rPr>
        <w:t>rizika nenaplnění.</w:t>
      </w:r>
      <w:r w:rsidR="009029C3">
        <w:rPr>
          <w:rFonts w:ascii="Arial" w:hAnsi="Arial" w:cs="Arial"/>
          <w:sz w:val="20"/>
          <w:szCs w:val="20"/>
        </w:rPr>
        <w:t xml:space="preserve"> </w:t>
      </w:r>
      <w:r w:rsidR="009029C3" w:rsidRPr="00491856">
        <w:rPr>
          <w:rFonts w:ascii="Arial" w:hAnsi="Arial" w:cs="Arial"/>
          <w:sz w:val="20"/>
          <w:szCs w:val="20"/>
        </w:rPr>
        <w:t>Z tohoto důvodu uvádí MMR</w:t>
      </w:r>
      <w:r>
        <w:rPr>
          <w:rFonts w:ascii="Arial" w:hAnsi="Arial" w:cs="Arial"/>
          <w:sz w:val="20"/>
          <w:szCs w:val="20"/>
        </w:rPr>
        <w:t>-NOK</w:t>
      </w:r>
      <w:r w:rsidR="009029C3" w:rsidRPr="00491856">
        <w:rPr>
          <w:rFonts w:ascii="Arial" w:hAnsi="Arial" w:cs="Arial"/>
          <w:sz w:val="20"/>
          <w:szCs w:val="20"/>
        </w:rPr>
        <w:t xml:space="preserve"> i indikativní míru rizikovosti.</w:t>
      </w:r>
    </w:p>
    <w:p w:rsidR="009029C3" w:rsidRPr="009029C3" w:rsidRDefault="009029C3" w:rsidP="007E0C20">
      <w:pPr>
        <w:spacing w:before="240" w:after="120"/>
        <w:rPr>
          <w:rFonts w:ascii="Arial" w:hAnsi="Arial" w:cs="Arial"/>
          <w:b/>
          <w:sz w:val="24"/>
          <w:szCs w:val="20"/>
          <w:u w:val="single"/>
        </w:rPr>
      </w:pPr>
      <w:r w:rsidRPr="009029C3">
        <w:rPr>
          <w:rFonts w:ascii="Arial" w:hAnsi="Arial" w:cs="Arial"/>
          <w:b/>
          <w:sz w:val="24"/>
          <w:szCs w:val="20"/>
          <w:u w:val="single"/>
        </w:rPr>
        <w:t>Přehled naplňování předběžných podmínek:</w:t>
      </w:r>
      <w:r w:rsidR="00EE3701" w:rsidRPr="008D21D0">
        <w:rPr>
          <w:rStyle w:val="Znakapoznpodarou"/>
          <w:rFonts w:ascii="Arial" w:hAnsi="Arial" w:cs="Arial"/>
          <w:b/>
          <w:sz w:val="24"/>
          <w:szCs w:val="20"/>
        </w:rPr>
        <w:footnoteReference w:id="4"/>
      </w:r>
    </w:p>
    <w:p w:rsidR="009029C3" w:rsidRPr="00615DB6" w:rsidRDefault="009029C3" w:rsidP="009029C3">
      <w:pPr>
        <w:pStyle w:val="Odstavecseseznamem"/>
        <w:numPr>
          <w:ilvl w:val="0"/>
          <w:numId w:val="28"/>
        </w:numPr>
        <w:spacing w:before="0" w:after="240"/>
        <w:ind w:left="284" w:hanging="284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splněno: 2</w:t>
      </w:r>
      <w:r>
        <w:rPr>
          <w:rFonts w:ascii="Arial" w:hAnsi="Arial" w:cs="Arial"/>
          <w:sz w:val="20"/>
          <w:szCs w:val="20"/>
        </w:rPr>
        <w:t>1</w:t>
      </w:r>
      <w:r w:rsidRPr="00615DB6">
        <w:rPr>
          <w:rFonts w:ascii="Arial" w:hAnsi="Arial" w:cs="Arial"/>
          <w:sz w:val="20"/>
          <w:szCs w:val="20"/>
        </w:rPr>
        <w:t xml:space="preserve"> předběžných podmínek,</w:t>
      </w:r>
    </w:p>
    <w:p w:rsidR="009029C3" w:rsidRPr="00615DB6" w:rsidRDefault="009029C3" w:rsidP="009029C3">
      <w:pPr>
        <w:pStyle w:val="Odstavecseseznamem"/>
        <w:numPr>
          <w:ilvl w:val="0"/>
          <w:numId w:val="28"/>
        </w:numPr>
        <w:ind w:left="284" w:hanging="284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částečně splněno: 1</w:t>
      </w:r>
      <w:r>
        <w:rPr>
          <w:rFonts w:ascii="Arial" w:hAnsi="Arial" w:cs="Arial"/>
          <w:sz w:val="20"/>
          <w:szCs w:val="20"/>
        </w:rPr>
        <w:t>3</w:t>
      </w:r>
      <w:r w:rsidRPr="00615DB6">
        <w:rPr>
          <w:rFonts w:ascii="Arial" w:hAnsi="Arial" w:cs="Arial"/>
          <w:sz w:val="20"/>
          <w:szCs w:val="20"/>
        </w:rPr>
        <w:t xml:space="preserve"> předběžných podmínek, </w:t>
      </w:r>
    </w:p>
    <w:p w:rsidR="009029C3" w:rsidRPr="00615DB6" w:rsidRDefault="009029C3" w:rsidP="009029C3">
      <w:pPr>
        <w:pStyle w:val="Odstavecseseznamem"/>
        <w:numPr>
          <w:ilvl w:val="0"/>
          <w:numId w:val="28"/>
        </w:numPr>
        <w:ind w:left="284" w:hanging="284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nesplněno: 6 předběžných podmínek</w:t>
      </w:r>
    </w:p>
    <w:tbl>
      <w:tblPr>
        <w:tblW w:w="9105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4394"/>
        <w:gridCol w:w="1361"/>
        <w:gridCol w:w="1247"/>
        <w:gridCol w:w="1247"/>
      </w:tblGrid>
      <w:tr w:rsidR="009029C3" w:rsidRPr="00615DB6" w:rsidTr="009029C3">
        <w:trPr>
          <w:trHeight w:val="293"/>
          <w:tblHeader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Kód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Zkrácený název uplatněných PP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Stav plnění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Rizikovost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Stav plnění </w:t>
            </w:r>
          </w:p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(v %)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VaV - inteligentní specializace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VaV - víceletý plán pro sestavování rozpočtu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T.2.1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Digitální růst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T.2.2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Infrastruktura přístupových sítí nové generace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  <w:r w:rsidRPr="00615DB6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T.3.1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Podpora podnikání (SBA)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T.4.1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Energetická účinnost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T.4.2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Výroba tepla a elektřiny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T.4.3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Obnovitelné zdroje energie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T.5.1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Předcházení riziku a jeho řízení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T.6.1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Vodní hospodářství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  <w:r w:rsidRPr="00615DB6">
              <w:rPr>
                <w:rStyle w:val="Znakapoznpodarou"/>
                <w:rFonts w:ascii="Arial" w:eastAsia="Times New Roman" w:hAnsi="Arial" w:cs="Arial"/>
                <w:bCs/>
                <w:sz w:val="20"/>
                <w:szCs w:val="20"/>
              </w:rPr>
              <w:footnoteReference w:id="6"/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T.6.2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Odpadové hospodářství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50%</w:t>
            </w:r>
          </w:p>
        </w:tc>
      </w:tr>
      <w:tr w:rsidR="009029C3" w:rsidRPr="00615DB6" w:rsidTr="009029C3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EZFRV 4. 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Dobrý zemědělský a environmentální stav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EZFRV 4. 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Minimální požadavky na hnojiva a přípravky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EZFRV 4. 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Jiné příslušné vnitrostátní normy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4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ENRF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Víceletý národní strategický plán akvakultury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4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ENRF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Správní kapacita rybolovu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Silniční doprava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  <w:r w:rsidRPr="00615DB6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Železniční doprava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Ostatní doprava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T.7.4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Energetické sítě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Aktivní politika zaměstnanosti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Samostatná výdělečná činnost, podnikání a zakládání firem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75%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Reforma institucí trhu práce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Pomoc pracovníkům, podnikům a podnikatelům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T.8.6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Podpora zaměstnanosti mladých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T.9.1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Snižovaní chudoby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T.9.2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Politika začleňování Romů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  <w:r w:rsidRPr="00615DB6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8"/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T.9.3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Zdraví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T.10.1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Ukončování školní docházky 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T.10.2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Vysokoškolské vzdělání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  <w:r w:rsidRPr="00615DB6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9"/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T.10.3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Celoživotní učení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T.10.4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Odborné vzdělávání a příprava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Veřejná správa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  <w:r w:rsidRPr="00615DB6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29%</w:t>
            </w:r>
            <w:r w:rsidRPr="00615DB6">
              <w:rPr>
                <w:rStyle w:val="Znakapoznpodarou"/>
                <w:rFonts w:ascii="Arial" w:eastAsia="Times New Roman" w:hAnsi="Arial" w:cs="Arial"/>
                <w:b/>
                <w:bCs/>
                <w:sz w:val="20"/>
                <w:szCs w:val="20"/>
              </w:rPr>
              <w:footnoteReference w:id="11"/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Nediskriminace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Rovnost mužů a žen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Zdravotní postižení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Veřejné zakázky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Veřejná podpora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EIA/SEA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100%</w:t>
            </w:r>
          </w:p>
        </w:tc>
      </w:tr>
      <w:tr w:rsidR="009029C3" w:rsidRPr="00615DB6" w:rsidTr="009029C3">
        <w:trPr>
          <w:trHeight w:val="36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O.7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Statistické systémy a ukazatele výsledků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9C3" w:rsidRPr="00615DB6" w:rsidRDefault="009029C3" w:rsidP="009029C3">
            <w:pPr>
              <w:spacing w:before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Částečně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XX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300"/>
            <w:vAlign w:val="center"/>
          </w:tcPr>
          <w:p w:rsidR="009029C3" w:rsidRPr="00615DB6" w:rsidRDefault="009029C3" w:rsidP="009029C3">
            <w:pPr>
              <w:spacing w:before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5D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17%</w:t>
            </w:r>
          </w:p>
        </w:tc>
      </w:tr>
    </w:tbl>
    <w:p w:rsidR="009029C3" w:rsidRPr="009029C3" w:rsidRDefault="009029C3" w:rsidP="007E0C20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/>
        <w:outlineLvl w:val="2"/>
        <w:rPr>
          <w:rFonts w:ascii="Arial" w:eastAsia="Times New Roman" w:hAnsi="Arial" w:cs="Arial"/>
          <w:b/>
          <w:bCs/>
          <w:sz w:val="24"/>
          <w:szCs w:val="20"/>
          <w:u w:val="single"/>
          <w:bdr w:val="nil"/>
        </w:rPr>
      </w:pPr>
      <w:bookmarkStart w:id="72" w:name="_Toc401823958"/>
      <w:bookmarkStart w:id="73" w:name="_Toc401839063"/>
      <w:bookmarkStart w:id="74" w:name="_Toc401842246"/>
      <w:r w:rsidRPr="009029C3">
        <w:rPr>
          <w:rFonts w:ascii="Arial" w:eastAsia="Times New Roman" w:hAnsi="Arial" w:cs="Arial"/>
          <w:b/>
          <w:bCs/>
          <w:sz w:val="24"/>
          <w:szCs w:val="20"/>
          <w:u w:val="single"/>
          <w:bdr w:val="nil"/>
        </w:rPr>
        <w:t>Podrobný popis naplňování předběžných podmínek:</w:t>
      </w:r>
    </w:p>
    <w:p w:rsidR="009029C3" w:rsidRPr="00615DB6" w:rsidRDefault="009029C3" w:rsidP="00EE21BF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outlineLvl w:val="2"/>
        <w:rPr>
          <w:rFonts w:ascii="Arial" w:eastAsia="Times New Roman" w:hAnsi="Arial" w:cs="Arial"/>
          <w:b/>
          <w:bCs/>
          <w:sz w:val="20"/>
          <w:szCs w:val="20"/>
          <w:bdr w:val="nil"/>
        </w:rPr>
      </w:pPr>
      <w:r w:rsidRPr="00EE21BF">
        <w:rPr>
          <w:rFonts w:ascii="Arial" w:eastAsia="Times New Roman" w:hAnsi="Arial" w:cs="Arial"/>
          <w:b/>
          <w:bCs/>
          <w:szCs w:val="20"/>
          <w:u w:val="single"/>
          <w:bdr w:val="nil"/>
        </w:rPr>
        <w:t>Veřejné zakázky</w:t>
      </w:r>
      <w:bookmarkEnd w:id="72"/>
      <w:bookmarkEnd w:id="73"/>
      <w:bookmarkEnd w:id="74"/>
      <w:r w:rsidRPr="00EE21BF">
        <w:rPr>
          <w:rFonts w:ascii="Arial" w:eastAsia="Times New Roman" w:hAnsi="Arial" w:cs="Arial"/>
          <w:b/>
          <w:bCs/>
          <w:szCs w:val="20"/>
          <w:bdr w:val="nil"/>
        </w:rPr>
        <w:t xml:space="preserve"> </w:t>
      </w:r>
      <w:r w:rsidR="00EE21BF" w:rsidRPr="00EE21BF">
        <w:rPr>
          <w:rFonts w:ascii="Arial" w:eastAsia="Times New Roman" w:hAnsi="Arial" w:cs="Arial"/>
          <w:b/>
          <w:bCs/>
          <w:szCs w:val="20"/>
          <w:bdr w:val="nil"/>
        </w:rPr>
        <w:t>-</w:t>
      </w:r>
      <w:r w:rsidRPr="00EE21BF">
        <w:rPr>
          <w:rFonts w:ascii="Arial" w:eastAsia="Times New Roman" w:hAnsi="Arial" w:cs="Arial"/>
          <w:b/>
          <w:bCs/>
          <w:szCs w:val="20"/>
          <w:bdr w:val="nil"/>
        </w:rPr>
        <w:t xml:space="preserve"> O4 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>(gestor: ministerstvo pro místní rozvoj)</w:t>
      </w:r>
    </w:p>
    <w:p w:rsidR="009029C3" w:rsidRPr="00615DB6" w:rsidRDefault="009029C3" w:rsidP="009029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bookmarkStart w:id="75" w:name="_Toc401823959"/>
      <w:bookmarkStart w:id="76" w:name="_Toc401839064"/>
      <w:bookmarkStart w:id="77" w:name="_Toc401842247"/>
      <w:r w:rsidRPr="00615DB6">
        <w:rPr>
          <w:rFonts w:ascii="Arial" w:eastAsia="Times New Roman" w:hAnsi="Arial" w:cs="Arial"/>
          <w:sz w:val="20"/>
          <w:szCs w:val="20"/>
          <w:bdr w:val="nil"/>
        </w:rPr>
        <w:t>V návaznosti na videokonferenc</w:t>
      </w:r>
      <w:r w:rsidR="002623AA">
        <w:rPr>
          <w:rFonts w:ascii="Arial" w:eastAsia="Times New Roman" w:hAnsi="Arial" w:cs="Arial"/>
          <w:sz w:val="20"/>
          <w:szCs w:val="20"/>
          <w:bdr w:val="nil"/>
        </w:rPr>
        <w:t xml:space="preserve">i, která se uskutečnila dne 18. března 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2015 a i následnou komunikaci s </w:t>
      </w:r>
      <w:r w:rsidR="00EE21BF">
        <w:rPr>
          <w:rFonts w:ascii="Arial" w:eastAsia="Times New Roman" w:hAnsi="Arial" w:cs="Arial"/>
          <w:sz w:val="20"/>
          <w:szCs w:val="20"/>
          <w:bdr w:val="nil"/>
        </w:rPr>
        <w:t>EK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,</w:t>
      </w:r>
      <w:r w:rsidR="002623AA" w:rsidRPr="002623AA">
        <w:rPr>
          <w:rStyle w:val="Znakapoznpodarou"/>
          <w:rFonts w:ascii="Arial" w:eastAsia="Times New Roman" w:hAnsi="Arial" w:cs="Arial"/>
          <w:sz w:val="20"/>
          <w:szCs w:val="20"/>
          <w:bdr w:val="nil"/>
        </w:rPr>
        <w:t xml:space="preserve"> </w:t>
      </w:r>
      <w:r w:rsidR="002623AA">
        <w:rPr>
          <w:rStyle w:val="Znakapoznpodarou"/>
          <w:rFonts w:ascii="Arial" w:eastAsia="Times New Roman" w:hAnsi="Arial" w:cs="Arial"/>
          <w:sz w:val="20"/>
          <w:szCs w:val="20"/>
          <w:bdr w:val="nil"/>
        </w:rPr>
        <w:footnoteReference w:id="12"/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 došlo k úpravě akčního plánu plnění této předběžné podmínky. Ve spolupráci s relevantními subjekty byla připravena finální verze aktualizovaného akčního plánu reflektujícího požadavky EK, </w:t>
      </w:r>
      <w:r>
        <w:rPr>
          <w:rFonts w:ascii="Arial" w:eastAsia="Times New Roman" w:hAnsi="Arial" w:cs="Arial"/>
          <w:sz w:val="20"/>
          <w:szCs w:val="20"/>
          <w:bdr w:val="nil"/>
        </w:rPr>
        <w:t>kterou EK odsouhlasila.</w:t>
      </w:r>
    </w:p>
    <w:p w:rsidR="009029C3" w:rsidRPr="00615DB6" w:rsidRDefault="009029C3" w:rsidP="009029C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V rámci finální úpravy akčního plánu se podařilo zapracovat i požadavky EK na reflexi protikorupčních opatření, včetně nastavení pravidel souvisejících s nejasnou vlastnickou strukturou žadatelů, další postup v rámci elektronizace veřejného zadávání a reflexi požadavků v oblasti </w:t>
      </w:r>
      <w:r>
        <w:rPr>
          <w:rFonts w:ascii="Arial" w:eastAsia="Times New Roman" w:hAnsi="Arial" w:cs="Arial"/>
          <w:sz w:val="20"/>
          <w:szCs w:val="20"/>
          <w:bdr w:val="nil"/>
        </w:rPr>
        <w:t>„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best practise</w:t>
      </w:r>
      <w:r>
        <w:rPr>
          <w:rFonts w:ascii="Arial" w:eastAsia="Times New Roman" w:hAnsi="Arial" w:cs="Arial"/>
          <w:sz w:val="20"/>
          <w:szCs w:val="20"/>
          <w:bdr w:val="nil"/>
        </w:rPr>
        <w:t>“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9029C3" w:rsidRPr="00615DB6" w:rsidRDefault="009029C3" w:rsidP="00EE21BF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/>
        <w:outlineLvl w:val="2"/>
        <w:rPr>
          <w:rFonts w:ascii="Arial" w:eastAsia="Times New Roman" w:hAnsi="Arial" w:cs="Arial"/>
          <w:b/>
          <w:bCs/>
          <w:sz w:val="20"/>
          <w:szCs w:val="20"/>
          <w:bdr w:val="nil"/>
        </w:rPr>
      </w:pPr>
      <w:r w:rsidRPr="00EE21BF">
        <w:rPr>
          <w:rFonts w:ascii="Arial" w:eastAsia="Times New Roman" w:hAnsi="Arial" w:cs="Arial"/>
          <w:b/>
          <w:bCs/>
          <w:szCs w:val="20"/>
          <w:u w:val="single"/>
          <w:bdr w:val="nil"/>
        </w:rPr>
        <w:t>Veřejná podpora</w:t>
      </w:r>
      <w:bookmarkEnd w:id="75"/>
      <w:bookmarkEnd w:id="76"/>
      <w:bookmarkEnd w:id="77"/>
      <w:r w:rsidRPr="00EE21BF">
        <w:rPr>
          <w:rFonts w:ascii="Arial" w:eastAsia="Times New Roman" w:hAnsi="Arial" w:cs="Arial"/>
          <w:b/>
          <w:bCs/>
          <w:szCs w:val="20"/>
          <w:bdr w:val="nil"/>
        </w:rPr>
        <w:t xml:space="preserve"> - O5 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>(gestor: ministerstvo pro místní rozvoj)</w:t>
      </w:r>
    </w:p>
    <w:p w:rsid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bookmarkStart w:id="78" w:name="_Toc401823960"/>
      <w:bookmarkStart w:id="79" w:name="_Toc401839065"/>
      <w:bookmarkStart w:id="80" w:name="_Toc401842248"/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V návaznosti na připomínky EK, došlo k dalšímu rozpracování této oblasti. 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Dne 1. dubna 2015 byla </w:t>
      </w:r>
      <w:r w:rsidR="00D13917">
        <w:rPr>
          <w:rFonts w:ascii="Arial" w:eastAsia="Times New Roman" w:hAnsi="Arial" w:cs="Arial"/>
          <w:sz w:val="20"/>
          <w:szCs w:val="20"/>
          <w:bdr w:val="nil"/>
        </w:rPr>
        <w:t xml:space="preserve">ze strany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EK odsouhlasena aktualizace Akčního plánu k předběžné podmínce Veřejná podpora na národní úrovni, kde došlo ke konkretizaci 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t xml:space="preserve">opatření kritéria </w:t>
      </w:r>
      <w:r w:rsidR="00E23C7C" w:rsidRPr="00207347">
        <w:rPr>
          <w:rFonts w:ascii="Arial" w:eastAsia="Times New Roman" w:hAnsi="Arial" w:cs="Arial"/>
          <w:sz w:val="20"/>
          <w:szCs w:val="20"/>
          <w:bdr w:val="nil"/>
        </w:rPr>
        <w:t>týkající se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t> posílení správní kapacity pro provádění a uplatňování právních předpisů Unie k veřejné podpoře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tak, aby bylo z</w:t>
      </w:r>
      <w:r w:rsidRPr="00A00FDF">
        <w:rPr>
          <w:rFonts w:ascii="Arial" w:eastAsia="Times New Roman" w:hAnsi="Arial" w:cs="Arial"/>
          <w:sz w:val="20"/>
          <w:szCs w:val="20"/>
          <w:bdr w:val="nil"/>
          <w:lang w:val="x-none"/>
        </w:rPr>
        <w:t>hodnocen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o</w:t>
      </w:r>
      <w:r w:rsidRPr="00A00FDF">
        <w:rPr>
          <w:rFonts w:ascii="Arial" w:eastAsia="Times New Roman" w:hAnsi="Arial" w:cs="Arial"/>
          <w:sz w:val="20"/>
          <w:szCs w:val="20"/>
          <w:bdr w:val="nil"/>
          <w:lang w:val="x-none"/>
        </w:rPr>
        <w:t xml:space="preserve"> naplňování správní kapacity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a ta byla případně doplněna s termínem do 30. června 2016.</w:t>
      </w:r>
      <w:r w:rsidRPr="00ED13F7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Toto opatření je závazné pro všechny řídicí orgány, nicméně vzhledem k tomu, že některé programy již byly vloženy do systému SFC (OP Z, OP VVV, OP</w:t>
      </w:r>
      <w:r w:rsidR="00207347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ŽP</w:t>
      </w:r>
      <w:r w:rsidR="00ED13F7">
        <w:rPr>
          <w:rFonts w:ascii="Arial" w:eastAsia="Times New Roman" w:hAnsi="Arial" w:cs="Arial"/>
          <w:sz w:val="20"/>
          <w:szCs w:val="20"/>
          <w:bdr w:val="nil"/>
        </w:rPr>
        <w:t>, PRV a OP Rybářství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), můžeme očekávat, že EK v rámci připomínek v „interservice consultation“ bude vyžadovat zapracov</w:t>
      </w:r>
      <w:r w:rsidR="00723532">
        <w:rPr>
          <w:rFonts w:ascii="Arial" w:eastAsia="Times New Roman" w:hAnsi="Arial" w:cs="Arial"/>
          <w:sz w:val="20"/>
          <w:szCs w:val="20"/>
          <w:bdr w:val="nil"/>
        </w:rPr>
        <w:t>ání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to</w:t>
      </w:r>
      <w:r w:rsidR="00723532">
        <w:rPr>
          <w:rFonts w:ascii="Arial" w:eastAsia="Times New Roman" w:hAnsi="Arial" w:cs="Arial"/>
          <w:sz w:val="20"/>
          <w:szCs w:val="20"/>
          <w:bdr w:val="nil"/>
        </w:rPr>
        <w:t>ho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to opatření do  programu. </w:t>
      </w:r>
    </w:p>
    <w:p w:rsidR="009029C3" w:rsidRPr="00615DB6" w:rsidRDefault="009029C3" w:rsidP="00EE21BF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/>
        <w:outlineLvl w:val="2"/>
        <w:rPr>
          <w:rFonts w:ascii="Arial" w:eastAsia="Times New Roman" w:hAnsi="Arial" w:cs="Arial"/>
          <w:bCs/>
          <w:sz w:val="20"/>
          <w:szCs w:val="20"/>
          <w:bdr w:val="nil"/>
        </w:rPr>
      </w:pPr>
      <w:r w:rsidRPr="00EE21BF">
        <w:rPr>
          <w:rFonts w:ascii="Arial" w:eastAsia="Times New Roman" w:hAnsi="Arial" w:cs="Arial"/>
          <w:b/>
          <w:bCs/>
          <w:szCs w:val="20"/>
          <w:u w:val="single"/>
          <w:bdr w:val="nil"/>
        </w:rPr>
        <w:lastRenderedPageBreak/>
        <w:t>EIA</w:t>
      </w:r>
      <w:bookmarkEnd w:id="78"/>
      <w:bookmarkEnd w:id="79"/>
      <w:bookmarkEnd w:id="80"/>
      <w:r w:rsidRPr="00EE21BF">
        <w:rPr>
          <w:rFonts w:ascii="Arial" w:eastAsia="Times New Roman" w:hAnsi="Arial" w:cs="Arial"/>
          <w:b/>
          <w:bCs/>
          <w:szCs w:val="20"/>
          <w:bdr w:val="nil"/>
        </w:rPr>
        <w:t xml:space="preserve"> - O6 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>(gestor: ministerstvo životního prostředí)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Prezident ČR novelu zákona EIA podepsal dne 24. února 2015 a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dne 6. března 2015 byla vyhlášena ve Sbírce zákonů jako zákon č. 39/2015 Sb. Novela nabyla účinnosti dne 1. dubna 2015. 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sz w:val="20"/>
          <w:szCs w:val="20"/>
          <w:bdr w:val="nil"/>
        </w:rPr>
        <w:t>Zároveň je nutné vést v patrnosti vyjádření EK ze dne 19. února 2015, kdy na společném jednání upozornila, že novelu ještě prověří, zda skutečně obsahuje všechny dohodnuté náležitosti.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br/>
        <w:t>V této souvislosti je důležité připomenout, že  veškeré změny novely, ke kterým došlo v rámci legislativního procesu, byly průběžně konzultovány s </w:t>
      </w:r>
      <w:r w:rsidR="00E23C7C">
        <w:rPr>
          <w:rFonts w:ascii="Arial" w:eastAsia="Times New Roman" w:hAnsi="Arial" w:cs="Arial"/>
          <w:sz w:val="20"/>
          <w:szCs w:val="20"/>
          <w:bdr w:val="nil"/>
        </w:rPr>
        <w:t>EK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a její připomínky byly zohledněny. </w:t>
      </w:r>
      <w:r w:rsidR="00E23C7C">
        <w:rPr>
          <w:rFonts w:ascii="Arial" w:eastAsia="Times New Roman" w:hAnsi="Arial" w:cs="Arial"/>
          <w:sz w:val="20"/>
          <w:szCs w:val="20"/>
          <w:bdr w:val="nil"/>
        </w:rPr>
        <w:t>EK</w:t>
      </w:r>
      <w:r w:rsidR="00E23C7C" w:rsidRPr="00A00FDF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byla rovněž pravidelně informována o průběhu legislativního procesu a předpokládaném nabytí účinnosti novely, a proto lze doufat v kladná vyjádření </w:t>
      </w:r>
      <w:r w:rsidR="00E23C7C">
        <w:rPr>
          <w:rFonts w:ascii="Arial" w:eastAsia="Times New Roman" w:hAnsi="Arial" w:cs="Arial"/>
          <w:sz w:val="20"/>
          <w:szCs w:val="20"/>
          <w:bdr w:val="nil"/>
        </w:rPr>
        <w:t>Generálního ředitelství EK pro životní prostředí (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DG ENVI</w:t>
      </w:r>
      <w:r w:rsidR="00E23C7C">
        <w:rPr>
          <w:rFonts w:ascii="Arial" w:eastAsia="Times New Roman" w:hAnsi="Arial" w:cs="Arial"/>
          <w:sz w:val="20"/>
          <w:szCs w:val="20"/>
          <w:bdr w:val="nil"/>
        </w:rPr>
        <w:t>)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Na 29. května 2015 EK svolala jednání, tzv. package meeting. Mezi tématy, která EK předběžně projevila zájem diskutovat, je také naplňování předběžných podmínek v programovém období 2014–2020.</w:t>
      </w:r>
    </w:p>
    <w:p w:rsidR="009029C3" w:rsidRPr="00615DB6" w:rsidRDefault="009029C3" w:rsidP="00EE21BF">
      <w:pPr>
        <w:keepNext/>
        <w:spacing w:before="240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Inteligentní specializace</w:t>
      </w:r>
      <w:r w:rsidRPr="00EE21BF">
        <w:rPr>
          <w:rFonts w:ascii="Arial" w:eastAsia="Times New Roman" w:hAnsi="Arial" w:cs="Arial"/>
          <w:b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b/>
          <w:szCs w:val="20"/>
        </w:rPr>
        <w:t>-</w:t>
      </w:r>
      <w:r w:rsidRPr="00EE21BF">
        <w:rPr>
          <w:rFonts w:ascii="Arial" w:eastAsia="Times New Roman" w:hAnsi="Arial" w:cs="Arial"/>
          <w:b/>
          <w:szCs w:val="20"/>
        </w:rPr>
        <w:t xml:space="preserve"> T 1.1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615DB6">
        <w:rPr>
          <w:rFonts w:ascii="Arial" w:eastAsia="Times New Roman" w:hAnsi="Arial" w:cs="Arial"/>
          <w:sz w:val="20"/>
          <w:szCs w:val="20"/>
        </w:rPr>
        <w:t xml:space="preserve">(gestor: od 8. </w:t>
      </w:r>
      <w:r w:rsidR="000B36FC">
        <w:rPr>
          <w:rFonts w:ascii="Arial" w:eastAsia="Times New Roman" w:hAnsi="Arial" w:cs="Arial"/>
          <w:sz w:val="20"/>
          <w:szCs w:val="20"/>
        </w:rPr>
        <w:t>prosince</w:t>
      </w:r>
      <w:r w:rsidRPr="00615DB6">
        <w:rPr>
          <w:rFonts w:ascii="Arial" w:eastAsia="Times New Roman" w:hAnsi="Arial" w:cs="Arial"/>
          <w:sz w:val="20"/>
          <w:szCs w:val="20"/>
        </w:rPr>
        <w:t xml:space="preserve"> 2014 Úřad vlády</w:t>
      </w:r>
      <w:r w:rsidR="001919CC">
        <w:rPr>
          <w:rFonts w:ascii="Arial" w:eastAsia="Times New Roman" w:hAnsi="Arial" w:cs="Arial"/>
          <w:sz w:val="20"/>
          <w:szCs w:val="20"/>
        </w:rPr>
        <w:t xml:space="preserve"> ČR</w:t>
      </w:r>
      <w:r w:rsidRPr="00615DB6">
        <w:rPr>
          <w:rFonts w:ascii="Arial" w:eastAsia="Times New Roman" w:hAnsi="Arial" w:cs="Arial"/>
          <w:sz w:val="20"/>
          <w:szCs w:val="20"/>
        </w:rPr>
        <w:t>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Usnesením vlády </w:t>
      </w:r>
      <w:r w:rsidR="0036680B">
        <w:rPr>
          <w:rFonts w:ascii="Arial" w:eastAsia="Times New Roman" w:hAnsi="Arial" w:cs="Arial"/>
          <w:sz w:val="20"/>
          <w:szCs w:val="20"/>
          <w:bdr w:val="nil"/>
        </w:rPr>
        <w:t xml:space="preserve">ČR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č. 1028 ze dne 8. prosince 2014 bylo Úřadu vlády </w:t>
      </w:r>
      <w:r w:rsidR="001919CC">
        <w:rPr>
          <w:rFonts w:ascii="Arial" w:eastAsia="Times New Roman" w:hAnsi="Arial" w:cs="Arial"/>
          <w:sz w:val="20"/>
          <w:szCs w:val="20"/>
          <w:bdr w:val="nil"/>
        </w:rPr>
        <w:t xml:space="preserve">ČR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(místopředsedovi vlády pro vědu, výzkum a inovace) uloženo převzetí řízení </w:t>
      </w:r>
      <w:r w:rsidR="00E23C7C" w:rsidRPr="002C660E">
        <w:rPr>
          <w:rFonts w:ascii="Arial" w:eastAsia="Times New Roman" w:hAnsi="Arial" w:cs="Arial"/>
          <w:sz w:val="20"/>
          <w:szCs w:val="20"/>
          <w:bdr w:val="nil"/>
        </w:rPr>
        <w:t xml:space="preserve">Národní výzkumné a inovační strategie pro inteligentní specializaci ČR </w:t>
      </w:r>
      <w:r w:rsidR="00E23C7C">
        <w:rPr>
          <w:rFonts w:ascii="Arial" w:eastAsia="Times New Roman" w:hAnsi="Arial" w:cs="Arial"/>
          <w:sz w:val="20"/>
          <w:szCs w:val="20"/>
          <w:bdr w:val="nil"/>
        </w:rPr>
        <w:t>(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Národní RIS3 strategie</w:t>
      </w:r>
      <w:r w:rsidR="00E23C7C">
        <w:rPr>
          <w:rFonts w:ascii="Arial" w:eastAsia="Times New Roman" w:hAnsi="Arial" w:cs="Arial"/>
          <w:sz w:val="20"/>
          <w:szCs w:val="20"/>
          <w:bdr w:val="nil"/>
        </w:rPr>
        <w:t>)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Na základě připomínek EK k dokumentu je dopracováván návrh monitorovacích indikátorů Národní RIS3 </w:t>
      </w:r>
      <w:r w:rsidR="00E23C7C">
        <w:rPr>
          <w:rFonts w:ascii="Arial" w:eastAsia="Times New Roman" w:hAnsi="Arial" w:cs="Arial"/>
          <w:sz w:val="20"/>
          <w:szCs w:val="20"/>
          <w:bdr w:val="nil"/>
        </w:rPr>
        <w:t xml:space="preserve">strategie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a metodika monitorování (o popis role krajských subjektů při monitorování intervencí RIS3, které jsou relevantní pro splnění dané PP, bude také nezbytné provést revizi zdrojů veřejných rozpočtů na podporu VaVaI (národních i krajských) tak, aby bylo možno diferencovat zdroje určené na implementaci RIS3 a zdroje ostatní).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K naplnění výše uvedených PP dojde dle předpokladu gestora v září 2015. </w:t>
      </w:r>
    </w:p>
    <w:p w:rsidR="009029C3" w:rsidRPr="00615DB6" w:rsidRDefault="009029C3" w:rsidP="00EE21BF">
      <w:pPr>
        <w:keepNext/>
        <w:spacing w:before="240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Digitální Česko, Sítě nové generace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>T 2.1–2.2</w:t>
      </w:r>
      <w:r w:rsidRPr="00615DB6">
        <w:rPr>
          <w:rFonts w:ascii="Arial" w:eastAsia="Times New Roman" w:hAnsi="Arial" w:cs="Arial"/>
          <w:sz w:val="20"/>
          <w:szCs w:val="20"/>
        </w:rPr>
        <w:t xml:space="preserve"> (gestor: ministerstvo průmyslu a obchodu)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EK byly v rámci formálních připomínek poskytnuty požadované informace ke struktuře strategických dokumentů, které jsou předmětem naplňování předběžné podmínky a také jejich stručné obsahové zaměření (jedná se o DigiČesko 2, Strategický rámec rozvoje veřejné správy České republiky pro období 2014–2020, Strategie digitální gramotnosti ČR na období 2015 až  2020). 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Dle gestora předběžné podmínky 2.1 nyní zbývá pro naplnění předběžné podmínky dopracovat Strategii digitální gramotnosti ČR. 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Na konci února byla dopracována druhá verze této Strategie. Nejzazší termín pro schválení </w:t>
      </w:r>
      <w:r w:rsidR="00627E7A">
        <w:rPr>
          <w:rFonts w:ascii="Arial" w:eastAsia="Times New Roman" w:hAnsi="Arial" w:cs="Arial"/>
          <w:sz w:val="20"/>
          <w:szCs w:val="20"/>
          <w:bdr w:val="nil"/>
        </w:rPr>
        <w:t>v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ládou ČR je 30. června 2015.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Ke splnění předběžné podmínky 2.2 dojde schválením Národního plánu rozvoje sítí nové generace (NP NGN), u něhož byla k dílčí verzi MPO v prosinci 2014 vyhlášena veřejná konzultace. Došlé připomínky jsou vyhodnocovány a budou případně zohledněny v další verzi dokumentu. Na  základě převodu odpovědnosti za zpracování dokumentu na MPO (původně v gesci Českého telekomunikačního úřadu) byl posunut i termín finalizace NP NGN na červen 2015.</w:t>
      </w:r>
    </w:p>
    <w:p w:rsidR="009029C3" w:rsidRPr="00615DB6" w:rsidRDefault="009029C3" w:rsidP="00EE21BF">
      <w:pPr>
        <w:spacing w:before="240"/>
        <w:rPr>
          <w:rFonts w:ascii="Arial" w:eastAsia="Times New Roman" w:hAnsi="Arial" w:cs="Arial"/>
          <w:sz w:val="20"/>
          <w:szCs w:val="20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Oblast malého a středního podnikání</w:t>
      </w:r>
      <w:r w:rsidRPr="00EE21BF">
        <w:rPr>
          <w:rFonts w:ascii="Arial" w:eastAsia="Times New Roman" w:hAnsi="Arial" w:cs="Arial"/>
          <w:b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b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>T 3.1 a 8.2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615DB6">
        <w:rPr>
          <w:rFonts w:ascii="Arial" w:eastAsia="Times New Roman" w:hAnsi="Arial" w:cs="Arial"/>
          <w:sz w:val="20"/>
          <w:szCs w:val="20"/>
        </w:rPr>
        <w:t>(gestor: ministerstvo spravedlnosti)</w:t>
      </w:r>
    </w:p>
    <w:p w:rsidR="009029C3" w:rsidRPr="00A00FDF" w:rsidRDefault="00931E1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>
        <w:rPr>
          <w:rFonts w:ascii="Arial" w:eastAsia="Times New Roman" w:hAnsi="Arial" w:cs="Arial"/>
          <w:sz w:val="20"/>
          <w:szCs w:val="20"/>
          <w:bdr w:val="nil"/>
        </w:rPr>
        <w:t>Ministerstvo spravedlnosti (</w:t>
      </w:r>
      <w:r w:rsidR="009029C3" w:rsidRPr="00A00FDF">
        <w:rPr>
          <w:rFonts w:ascii="Arial" w:eastAsia="Times New Roman" w:hAnsi="Arial" w:cs="Arial"/>
          <w:sz w:val="20"/>
          <w:szCs w:val="20"/>
          <w:bdr w:val="nil"/>
        </w:rPr>
        <w:t>MSp</w:t>
      </w:r>
      <w:r>
        <w:rPr>
          <w:rFonts w:ascii="Arial" w:eastAsia="Times New Roman" w:hAnsi="Arial" w:cs="Arial"/>
          <w:sz w:val="20"/>
          <w:szCs w:val="20"/>
          <w:bdr w:val="nil"/>
        </w:rPr>
        <w:t>)</w:t>
      </w:r>
      <w:r w:rsidR="009029C3" w:rsidRPr="00A00FDF">
        <w:rPr>
          <w:rFonts w:ascii="Arial" w:eastAsia="Times New Roman" w:hAnsi="Arial" w:cs="Arial"/>
          <w:sz w:val="20"/>
          <w:szCs w:val="20"/>
          <w:bdr w:val="nil"/>
        </w:rPr>
        <w:t xml:space="preserve"> připravilo legislativně-technickou změnu směřující ke splnění požadavku na snížení nákladů nutných k založení podniku na 100 EUR.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Aktuálně hrozí, že proces přijímání legislativy nabere zdržení oproti harmonogramu akčního plánu.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Jednání o návrhu zákona bylo v Legislativní radě vlády (LRV) přerušeno a MSp v současnosti spolupracuje s  vybranými členy LRV na tom, aby návrh zákona nemusel být opětovně projednán v komisích LRV, ale byl schválen formou stanoviska a legislativní proces mohl co nejdříve pokračovat.</w:t>
      </w:r>
    </w:p>
    <w:p w:rsidR="009029C3" w:rsidRPr="00615DB6" w:rsidRDefault="009029C3" w:rsidP="00EE21BF">
      <w:pPr>
        <w:keepNext/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lastRenderedPageBreak/>
        <w:t>Energetická účinnost</w:t>
      </w:r>
      <w:r w:rsidRPr="00EE21BF">
        <w:rPr>
          <w:rFonts w:ascii="Arial" w:eastAsia="Times New Roman" w:hAnsi="Arial" w:cs="Arial"/>
          <w:b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b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 xml:space="preserve">T 4.1 </w:t>
      </w:r>
      <w:r w:rsidRPr="00615DB6">
        <w:rPr>
          <w:rFonts w:ascii="Arial" w:eastAsia="Times New Roman" w:hAnsi="Arial" w:cs="Arial"/>
          <w:sz w:val="20"/>
          <w:szCs w:val="20"/>
        </w:rPr>
        <w:t>(gestor: ministerstvo průmyslu a obchodu)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ČR zapracovala minimální požadavky na energetickou náročnost budov do zákona č. 406/2000 Sb., o hospodaření energií, který měl nabýt účinnosti v květnu 2015. V rámci projednávání v </w:t>
      </w:r>
      <w:r w:rsidR="00931E13">
        <w:rPr>
          <w:rFonts w:ascii="Arial" w:eastAsia="Times New Roman" w:hAnsi="Arial" w:cs="Arial"/>
          <w:sz w:val="20"/>
          <w:szCs w:val="20"/>
          <w:bdr w:val="nil"/>
        </w:rPr>
        <w:t>Poslanecké sněmovně Parlamentu ČR</w:t>
      </w:r>
      <w:r w:rsidR="00931E13" w:rsidRPr="00A00FDF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však došlo k dalšímu posunu termínu účinnosti zákona, a to na červenec 2015. 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Dále byla připravena novela zákona č. 458/2000 Sb., o podmínkách podnikání a o výkonu státní správy v energetických odvětvích a o změně některých zákonů (energetický zákon), která bude účinná v červenci 2015.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U obou těchto zákonů, které mimo jiné reflektují požadavky předběžné podmínky a mají zhojit i nedostatky vytýkané v rámci infringementových řízení, došlo k posunu termínů, což pochopitelně zvyšuje míru rizika.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Aktuálně byl odeslán nový Akční plán na EK.</w:t>
      </w:r>
    </w:p>
    <w:p w:rsidR="009029C3" w:rsidRPr="00615DB6" w:rsidRDefault="009029C3" w:rsidP="00EE21BF">
      <w:pPr>
        <w:keepNext/>
        <w:spacing w:before="240"/>
        <w:rPr>
          <w:rFonts w:ascii="Arial" w:hAnsi="Arial" w:cs="Arial"/>
          <w:b/>
          <w:sz w:val="20"/>
          <w:szCs w:val="20"/>
        </w:rPr>
      </w:pPr>
      <w:r w:rsidRPr="00EE21BF">
        <w:rPr>
          <w:rFonts w:ascii="Arial" w:hAnsi="Arial" w:cs="Arial"/>
          <w:b/>
          <w:szCs w:val="20"/>
          <w:u w:val="single"/>
        </w:rPr>
        <w:t>Řízení a prevence rizik</w:t>
      </w:r>
      <w:r w:rsidRPr="00EE21BF">
        <w:rPr>
          <w:rFonts w:ascii="Arial" w:hAnsi="Arial" w:cs="Arial"/>
          <w:b/>
          <w:szCs w:val="20"/>
        </w:rPr>
        <w:t xml:space="preserve"> </w:t>
      </w:r>
      <w:r w:rsidR="00EE21BF" w:rsidRPr="00EE21BF">
        <w:rPr>
          <w:rFonts w:ascii="Arial" w:hAnsi="Arial" w:cs="Arial"/>
          <w:b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>T 5.1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615DB6">
        <w:rPr>
          <w:rFonts w:ascii="Arial" w:hAnsi="Arial" w:cs="Arial"/>
          <w:sz w:val="20"/>
          <w:szCs w:val="20"/>
        </w:rPr>
        <w:t>(gestor: ministerstvo životního prostředí, ministerstvo zemědělství)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Součástí naplňování předběžné podmínky je Strategie přizpůsobení se změně klimatu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br/>
        <w:t>v podmínkách ČR (Adaptační strategie). Strategie bude předložena ke schválení po posouzení procesem SEA v září 2015.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Součástí předběžné podmínky jsou i další dokumenty a podklad, a to např. Plány pro zvládání povodňových rizik, Plány povodí, Koncepce environmentální bezpečnosti 2015–2020 s výhledem do roku 2030, Zpracování studie dopadů, zranitelnosti a zdrojů rizik souvisejících se změnou klimatu pro nejohroženější sektory a Definování kritérií pro stanovování investičních priorit v závislosti na riziku – strategie a podklady by měly být k dispozici do konce roku 2015.</w:t>
      </w:r>
    </w:p>
    <w:p w:rsidR="009029C3" w:rsidRPr="00EE21BF" w:rsidRDefault="009029C3" w:rsidP="00EE21BF">
      <w:pPr>
        <w:spacing w:before="240"/>
        <w:rPr>
          <w:rFonts w:ascii="Arial" w:hAnsi="Arial" w:cs="Arial"/>
          <w:szCs w:val="20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Regulace vodohospodářského trhu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>T 6.1</w:t>
      </w:r>
      <w:r w:rsidRPr="00EE21BF">
        <w:rPr>
          <w:rFonts w:ascii="Arial" w:eastAsia="Times New Roman" w:hAnsi="Arial" w:cs="Arial"/>
          <w:szCs w:val="20"/>
        </w:rPr>
        <w:t xml:space="preserve"> </w:t>
      </w:r>
    </w:p>
    <w:p w:rsidR="009029C3" w:rsidRPr="00615DB6" w:rsidRDefault="009029C3" w:rsidP="009029C3">
      <w:pPr>
        <w:widowControl w:val="0"/>
        <w:spacing w:before="0"/>
        <w:rPr>
          <w:rFonts w:ascii="Arial" w:eastAsia="Times New Roman" w:hAnsi="Arial" w:cs="Arial"/>
          <w:sz w:val="20"/>
          <w:szCs w:val="20"/>
        </w:rPr>
      </w:pPr>
      <w:r w:rsidRPr="00615DB6">
        <w:rPr>
          <w:rFonts w:ascii="Arial" w:eastAsia="Times New Roman" w:hAnsi="Arial" w:cs="Arial"/>
          <w:sz w:val="20"/>
          <w:szCs w:val="20"/>
        </w:rPr>
        <w:t>(gestor: ministerstvo životního prostředí</w:t>
      </w:r>
      <w:r w:rsidR="00E23C7C">
        <w:rPr>
          <w:rFonts w:ascii="Arial" w:eastAsia="Times New Roman" w:hAnsi="Arial" w:cs="Arial"/>
          <w:sz w:val="20"/>
          <w:szCs w:val="20"/>
        </w:rPr>
        <w:t>,</w:t>
      </w:r>
      <w:r w:rsidRPr="00615DB6">
        <w:rPr>
          <w:rFonts w:ascii="Arial" w:eastAsia="Times New Roman" w:hAnsi="Arial" w:cs="Arial"/>
          <w:sz w:val="20"/>
          <w:szCs w:val="20"/>
        </w:rPr>
        <w:t xml:space="preserve"> </w:t>
      </w:r>
      <w:r w:rsidR="00E23C7C">
        <w:rPr>
          <w:rFonts w:ascii="Arial" w:eastAsia="Times New Roman" w:hAnsi="Arial" w:cs="Arial"/>
          <w:sz w:val="20"/>
          <w:szCs w:val="20"/>
        </w:rPr>
        <w:t>ministerstvo</w:t>
      </w:r>
      <w:r w:rsidRPr="00615DB6">
        <w:rPr>
          <w:rFonts w:ascii="Arial" w:eastAsia="Times New Roman" w:hAnsi="Arial" w:cs="Arial"/>
          <w:sz w:val="20"/>
          <w:szCs w:val="20"/>
        </w:rPr>
        <w:t xml:space="preserve"> zemědělství, spolugestor: ministerstvo financí)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Dne 20. března 2015 došlo k dohodě s EK nad konečným zněním akčního plánu a předpokládalo se, že první kritérium předběžné podmínky bude považováno za splněné. Bohužel EK nakonec první kritérium neodsouhlasila a požaduje vypracování ekonomické analýzy s termínem 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br/>
        <w:t>do 22.</w:t>
      </w:r>
      <w:r w:rsidR="0036680B">
        <w:rPr>
          <w:rFonts w:ascii="Arial" w:eastAsia="Times New Roman" w:hAnsi="Arial" w:cs="Arial"/>
          <w:sz w:val="20"/>
          <w:szCs w:val="20"/>
          <w:bdr w:val="nil"/>
        </w:rPr>
        <w:t> 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března 2016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t xml:space="preserve">, která by měla zahrnovat širší definici pro vodohospodářské služby 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br/>
        <w:t>a též spočítat a  zahrnout do úhrad</w:t>
      </w:r>
      <w:r w:rsidR="00931E13" w:rsidRPr="00207347">
        <w:rPr>
          <w:rFonts w:ascii="Arial" w:eastAsia="Times New Roman" w:hAnsi="Arial" w:cs="Arial"/>
          <w:sz w:val="20"/>
          <w:szCs w:val="20"/>
          <w:bdr w:val="nil"/>
        </w:rPr>
        <w:t>y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t xml:space="preserve"> nákladů environmentální náklady a náklady na využívané zdroje, ale  i náklady generované bodovými zdroji a také difuzními a plošnými zdroji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. </w:t>
      </w:r>
    </w:p>
    <w:p w:rsidR="009029C3" w:rsidRPr="00615DB6" w:rsidRDefault="009029C3" w:rsidP="00EE21BF">
      <w:pPr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EE21BF">
        <w:rPr>
          <w:rFonts w:ascii="Arial" w:hAnsi="Arial" w:cs="Arial"/>
          <w:b/>
          <w:szCs w:val="20"/>
          <w:u w:val="single"/>
        </w:rPr>
        <w:t>Odpady</w:t>
      </w:r>
      <w:r w:rsidRPr="00EE21BF">
        <w:rPr>
          <w:rFonts w:ascii="Arial" w:hAnsi="Arial" w:cs="Arial"/>
          <w:b/>
          <w:szCs w:val="20"/>
        </w:rPr>
        <w:t xml:space="preserve"> </w:t>
      </w:r>
      <w:r w:rsidR="00EE21BF" w:rsidRPr="00EE21BF">
        <w:rPr>
          <w:rFonts w:ascii="Arial" w:hAnsi="Arial" w:cs="Arial"/>
          <w:b/>
          <w:szCs w:val="20"/>
        </w:rPr>
        <w:t>-</w:t>
      </w:r>
      <w:r w:rsidRPr="00EE21BF">
        <w:rPr>
          <w:rFonts w:ascii="Arial" w:hAnsi="Arial" w:cs="Arial"/>
          <w:b/>
          <w:szCs w:val="20"/>
        </w:rPr>
        <w:t xml:space="preserve"> T 6.2 </w:t>
      </w:r>
      <w:r w:rsidRPr="00615DB6">
        <w:rPr>
          <w:rFonts w:ascii="Arial" w:hAnsi="Arial" w:cs="Arial"/>
          <w:sz w:val="20"/>
          <w:szCs w:val="20"/>
        </w:rPr>
        <w:t>(gestor: ministerstvo životního prostředí)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MŽP aktualizovalo na základě požadavku EK akční plán a doplnilo opatření k naplnění předběžné podmínky i regionální plány odpadového hospodářství, tím pádem došlo k posunu plnění až  na  polovinu roku 2016</w:t>
      </w:r>
      <w:r w:rsidR="0036680B"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Zároveň je nutné uvést, že EK již nepovažuje za blokační pro program uvádění dvojích dat v rámci odpadového hospodářství EUROSTAT vs. MŽP. Zároveň však tato problematika zůstává stále otevřenou a 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t>velmi rizikovou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.</w:t>
      </w:r>
    </w:p>
    <w:p w:rsidR="009029C3" w:rsidRPr="00615DB6" w:rsidRDefault="009029C3" w:rsidP="00EE21BF">
      <w:pPr>
        <w:spacing w:before="240"/>
        <w:rPr>
          <w:rFonts w:ascii="Arial" w:hAnsi="Arial" w:cs="Arial"/>
          <w:sz w:val="20"/>
          <w:szCs w:val="20"/>
        </w:rPr>
      </w:pPr>
      <w:r w:rsidRPr="00EE21BF">
        <w:rPr>
          <w:rFonts w:ascii="Arial" w:hAnsi="Arial" w:cs="Arial"/>
          <w:b/>
          <w:szCs w:val="20"/>
          <w:u w:val="single"/>
        </w:rPr>
        <w:t>Doprava</w:t>
      </w:r>
      <w:r w:rsidRPr="00EE21BF">
        <w:rPr>
          <w:rFonts w:ascii="Arial" w:hAnsi="Arial" w:cs="Arial"/>
          <w:szCs w:val="20"/>
        </w:rPr>
        <w:t xml:space="preserve"> </w:t>
      </w:r>
      <w:r w:rsidR="00EE21BF" w:rsidRPr="00EE21BF">
        <w:rPr>
          <w:rFonts w:ascii="Arial" w:hAnsi="Arial" w:cs="Arial"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>T 7.1–7.3</w:t>
      </w:r>
      <w:r w:rsidRPr="00615DB6">
        <w:rPr>
          <w:rFonts w:ascii="Arial" w:eastAsia="Times New Roman" w:hAnsi="Arial" w:cs="Arial"/>
          <w:sz w:val="20"/>
          <w:szCs w:val="20"/>
        </w:rPr>
        <w:t xml:space="preserve"> </w:t>
      </w:r>
      <w:r w:rsidRPr="00615DB6">
        <w:rPr>
          <w:rFonts w:ascii="Arial" w:hAnsi="Arial" w:cs="Arial"/>
          <w:sz w:val="20"/>
          <w:szCs w:val="20"/>
        </w:rPr>
        <w:t>(gestor: ministerstvo dopravy)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Ministerstvo dopravy </w:t>
      </w:r>
      <w:r w:rsidR="00931E13">
        <w:rPr>
          <w:rFonts w:ascii="Arial" w:eastAsia="Times New Roman" w:hAnsi="Arial" w:cs="Arial"/>
          <w:sz w:val="20"/>
          <w:szCs w:val="20"/>
          <w:bdr w:val="nil"/>
        </w:rPr>
        <w:t xml:space="preserve">(MD)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připravilo Akční plán k Dopravním sektorovým strategiím (DSS), 2. fáze, za  asistence JASPERS, ve kterém jsou v dostatečném detailu řešeny oblasti, kterým nemohla být ve vlastních Dopravních sektorových strategiích věnována dostatečná pozornost. Následně byl Akční plán zaslán a diskutován s EK. 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207347">
        <w:rPr>
          <w:rFonts w:ascii="Arial" w:eastAsia="Times New Roman" w:hAnsi="Arial" w:cs="Arial"/>
          <w:sz w:val="20"/>
          <w:szCs w:val="20"/>
          <w:bdr w:val="nil"/>
        </w:rPr>
        <w:t xml:space="preserve">Dílčí připomínky EK </w:t>
      </w:r>
      <w:r w:rsidR="000C21E2">
        <w:rPr>
          <w:rFonts w:ascii="Arial" w:eastAsia="Times New Roman" w:hAnsi="Arial" w:cs="Arial"/>
          <w:sz w:val="20"/>
          <w:szCs w:val="20"/>
          <w:bdr w:val="nil"/>
        </w:rPr>
        <w:t>(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t>např. k stanovení milníků</w:t>
      </w:r>
      <w:r w:rsidR="000C21E2">
        <w:rPr>
          <w:rFonts w:ascii="Arial" w:eastAsia="Times New Roman" w:hAnsi="Arial" w:cs="Arial"/>
          <w:sz w:val="20"/>
          <w:szCs w:val="20"/>
          <w:bdr w:val="nil"/>
        </w:rPr>
        <w:t>,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="000C21E2">
        <w:rPr>
          <w:rFonts w:ascii="Arial" w:eastAsia="Times New Roman" w:hAnsi="Arial" w:cs="Arial"/>
          <w:sz w:val="20"/>
          <w:szCs w:val="20"/>
          <w:bdr w:val="nil"/>
        </w:rPr>
        <w:t>p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osílení administrativní kapacity implementační struktury a klíčových příjemců</w:t>
      </w:r>
      <w:r w:rsidR="000C21E2">
        <w:rPr>
          <w:rFonts w:ascii="Arial" w:eastAsia="Times New Roman" w:hAnsi="Arial" w:cs="Arial"/>
          <w:sz w:val="20"/>
          <w:szCs w:val="20"/>
          <w:bdr w:val="nil"/>
        </w:rPr>
        <w:t>)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="00931E13">
        <w:rPr>
          <w:rFonts w:ascii="Arial" w:eastAsia="Times New Roman" w:hAnsi="Arial" w:cs="Arial"/>
          <w:sz w:val="20"/>
          <w:szCs w:val="20"/>
          <w:bdr w:val="nil"/>
        </w:rPr>
        <w:t>MD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 zapracovalo. MD považuje předběžné podmínky 7.1</w:t>
      </w:r>
      <w:r w:rsidR="00931E13">
        <w:rPr>
          <w:rFonts w:ascii="Arial" w:eastAsia="Times New Roman" w:hAnsi="Arial" w:cs="Arial"/>
          <w:sz w:val="20"/>
          <w:szCs w:val="20"/>
          <w:bdr w:val="nil"/>
        </w:rPr>
        <w:t>–</w:t>
      </w:r>
      <w:r w:rsidR="004362F0">
        <w:rPr>
          <w:rFonts w:ascii="Arial" w:eastAsia="Times New Roman" w:hAnsi="Arial" w:cs="Arial"/>
          <w:sz w:val="20"/>
          <w:szCs w:val="20"/>
          <w:bdr w:val="nil"/>
        </w:rPr>
        <w:t>7.3 za 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splněné. </w:t>
      </w:r>
      <w:r w:rsidR="00931E13">
        <w:rPr>
          <w:rFonts w:ascii="Arial" w:eastAsia="Times New Roman" w:hAnsi="Arial" w:cs="Arial"/>
          <w:sz w:val="20"/>
          <w:szCs w:val="20"/>
          <w:bdr w:val="nil"/>
        </w:rPr>
        <w:t>EK</w:t>
      </w:r>
      <w:r w:rsidR="00931E13" w:rsidRPr="00A00FDF">
        <w:rPr>
          <w:rFonts w:ascii="Arial" w:eastAsia="Times New Roman" w:hAnsi="Arial" w:cs="Arial"/>
          <w:sz w:val="20"/>
          <w:szCs w:val="20"/>
          <w:bdr w:val="nil"/>
        </w:rPr>
        <w:t xml:space="preserve">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však k 31. březnu 2015</w:t>
      </w:r>
      <w:r w:rsidR="004362F0">
        <w:rPr>
          <w:rFonts w:ascii="Arial" w:eastAsia="Times New Roman" w:hAnsi="Arial" w:cs="Arial"/>
          <w:sz w:val="20"/>
          <w:szCs w:val="20"/>
          <w:bdr w:val="nil"/>
        </w:rPr>
        <w:t xml:space="preserve"> verifikaci Akčního plánu DSS,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2. fáze neprovedla.</w:t>
      </w:r>
    </w:p>
    <w:p w:rsidR="009029C3" w:rsidRPr="00615DB6" w:rsidRDefault="009029C3" w:rsidP="00EE21BF">
      <w:pPr>
        <w:spacing w:before="240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Zaměstnanost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="00EE21BF">
        <w:rPr>
          <w:rFonts w:ascii="Arial" w:eastAsia="Times New Roman" w:hAnsi="Arial" w:cs="Arial"/>
          <w:b/>
          <w:szCs w:val="20"/>
        </w:rPr>
        <w:t>T 8.1, 8.3–</w:t>
      </w:r>
      <w:r w:rsidRPr="00EE21BF">
        <w:rPr>
          <w:rFonts w:ascii="Arial" w:eastAsia="Times New Roman" w:hAnsi="Arial" w:cs="Arial"/>
          <w:b/>
          <w:szCs w:val="20"/>
        </w:rPr>
        <w:t>8.5, 8.6</w:t>
      </w:r>
      <w:r w:rsidRPr="00615DB6">
        <w:rPr>
          <w:rFonts w:ascii="Arial" w:eastAsia="Times New Roman" w:hAnsi="Arial" w:cs="Arial"/>
          <w:sz w:val="20"/>
          <w:szCs w:val="20"/>
        </w:rPr>
        <w:t xml:space="preserve"> (gestor: ministerstvo práce a sociálních věcí)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V rámci předběžné podmínky 8.5 bude například nutné zavést systém vyhodnocování a předvídání kvalifikačních potřeb (termín splnění je gestorem stanoven na říjen 2015).</w:t>
      </w:r>
    </w:p>
    <w:p w:rsidR="009029C3" w:rsidRPr="00615DB6" w:rsidRDefault="009029C3" w:rsidP="00EE21BF">
      <w:pPr>
        <w:keepNext/>
        <w:spacing w:before="240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lastRenderedPageBreak/>
        <w:t>Začleňování Romů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szCs w:val="20"/>
        </w:rPr>
        <w:t>-</w:t>
      </w:r>
      <w:r w:rsidRPr="00EE21BF">
        <w:rPr>
          <w:rFonts w:ascii="Arial" w:eastAsia="Times New Roman" w:hAnsi="Arial" w:cs="Arial"/>
          <w:b/>
          <w:szCs w:val="20"/>
        </w:rPr>
        <w:t xml:space="preserve"> T 9.2 </w:t>
      </w:r>
      <w:r w:rsidRPr="00615DB6">
        <w:rPr>
          <w:rFonts w:ascii="Arial" w:eastAsia="Times New Roman" w:hAnsi="Arial" w:cs="Arial"/>
          <w:sz w:val="20"/>
          <w:szCs w:val="20"/>
        </w:rPr>
        <w:t>(gestor: Úřad vlády ČR)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Klíčovým dokumentem pro předběžnou podmínku je Strategie romské integrace do roku 2020. 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Ta  byla dne 23. února 2015 vládou ČR projednána a následně schválena. 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Nicméně vzhledem k důrazu, který na tuto oblast klade EK, nelze schválení vládou </w:t>
      </w:r>
      <w:r w:rsidR="0036680B">
        <w:rPr>
          <w:rFonts w:ascii="Arial" w:eastAsia="Times New Roman" w:hAnsi="Arial" w:cs="Arial"/>
          <w:sz w:val="20"/>
          <w:szCs w:val="20"/>
          <w:bdr w:val="nil"/>
        </w:rPr>
        <w:t xml:space="preserve">ČR 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považovat za  automatické splnění předběžné podmínky, ale bude nutné si tento krok nechat verifikovat ze  strany EK, byť ta byla o přípravě do</w:t>
      </w:r>
      <w:r>
        <w:rPr>
          <w:rFonts w:ascii="Arial" w:eastAsia="Times New Roman" w:hAnsi="Arial" w:cs="Arial"/>
          <w:sz w:val="20"/>
          <w:szCs w:val="20"/>
          <w:bdr w:val="nil"/>
        </w:rPr>
        <w:t>kumentu a obsahu jeho „meziverze</w:t>
      </w:r>
      <w:r w:rsidRPr="00615DB6">
        <w:rPr>
          <w:rFonts w:ascii="Arial" w:eastAsia="Times New Roman" w:hAnsi="Arial" w:cs="Arial"/>
          <w:sz w:val="20"/>
          <w:szCs w:val="20"/>
          <w:bdr w:val="nil"/>
        </w:rPr>
        <w:t>“ informována.</w:t>
      </w:r>
    </w:p>
    <w:p w:rsidR="009029C3" w:rsidRPr="00615DB6" w:rsidRDefault="00EE21BF" w:rsidP="00EE21BF">
      <w:pPr>
        <w:keepNext/>
        <w:spacing w:before="240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Zdraví</w:t>
      </w:r>
      <w:r w:rsidRPr="00EE21BF">
        <w:rPr>
          <w:rFonts w:ascii="Arial" w:eastAsia="Times New Roman" w:hAnsi="Arial" w:cs="Arial"/>
          <w:b/>
          <w:szCs w:val="20"/>
        </w:rPr>
        <w:t xml:space="preserve"> -</w:t>
      </w:r>
      <w:r w:rsidR="009029C3" w:rsidRPr="00EE21BF">
        <w:rPr>
          <w:rFonts w:ascii="Arial" w:eastAsia="Times New Roman" w:hAnsi="Arial" w:cs="Arial"/>
          <w:szCs w:val="20"/>
        </w:rPr>
        <w:t xml:space="preserve"> </w:t>
      </w:r>
      <w:r w:rsidR="009029C3" w:rsidRPr="00EE21BF">
        <w:rPr>
          <w:rFonts w:ascii="Arial" w:eastAsia="Times New Roman" w:hAnsi="Arial" w:cs="Arial"/>
          <w:b/>
          <w:szCs w:val="20"/>
        </w:rPr>
        <w:t>T 9.3</w:t>
      </w:r>
      <w:r w:rsidR="009029C3" w:rsidRPr="00615DB6">
        <w:rPr>
          <w:rFonts w:ascii="Arial" w:eastAsia="Times New Roman" w:hAnsi="Arial" w:cs="Arial"/>
          <w:sz w:val="20"/>
          <w:szCs w:val="20"/>
        </w:rPr>
        <w:t xml:space="preserve"> (gestor: ministerstvo zdravotnictví)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V průběhu roku 2015 jsou zpracovávány akční plány ke schválené strategii Zdraví 2020.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br/>
        <w:t>Do 31. prosince 2015 by mělo dojít ke schválení akčních plánů, tudíž i ke splnění předběžné podmínky.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>EK ve svých připomínkách k programům informovala, že by bylo vhodné dokončení akčních plánů urychlit. U této předběžné podmínky nevyloučila konstatování significant prejudice, což by  znamenalo pozastavení plateb na příslušné části programů.</w:t>
      </w:r>
    </w:p>
    <w:p w:rsidR="009029C3" w:rsidRPr="00615DB6" w:rsidRDefault="009029C3" w:rsidP="00EE21BF">
      <w:pPr>
        <w:spacing w:before="240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Vzdělávání</w:t>
      </w:r>
      <w:r w:rsidRPr="00EE21BF">
        <w:rPr>
          <w:rFonts w:ascii="Arial" w:eastAsia="Times New Roman" w:hAnsi="Arial" w:cs="Arial"/>
          <w:b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b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>T 10.1, 10. 3, 10.4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615DB6">
        <w:rPr>
          <w:rFonts w:ascii="Arial" w:eastAsia="Times New Roman" w:hAnsi="Arial" w:cs="Arial"/>
          <w:sz w:val="20"/>
          <w:szCs w:val="20"/>
        </w:rPr>
        <w:t>(gestor: ministerstvo školství, mládeže a tělovýchovy)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Ke splnění relevantních předběžných podmínek dojde po schválení implementačních dokumentů v oblasti vzdělávání, které by měly být schváleny do poloviny roku 2015. </w:t>
      </w:r>
    </w:p>
    <w:p w:rsidR="009029C3" w:rsidRPr="00615DB6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Zejména jde o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 xml:space="preserve">schválení Dlouhodobého záměru vzdělávání a rozvoje vzdělávací soustavy v ČR na  období 2015–2020. Schválením dokumentu dojde ke splnění PP 10. 4. Předběžné podmínky 10.1 a 10.3 budou naplněny po schválení Akčního plánu inkluzivního vzdělávání na roky 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br/>
        <w:t>2016</w:t>
      </w:r>
      <w:r w:rsidR="00931E13">
        <w:rPr>
          <w:rFonts w:ascii="Arial" w:eastAsia="Times New Roman" w:hAnsi="Arial" w:cs="Arial"/>
          <w:sz w:val="20"/>
          <w:szCs w:val="20"/>
          <w:bdr w:val="nil"/>
        </w:rPr>
        <w:t>–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2018, jehož podoba se nyní finalizuje na základě připomínek EK a na roky 2019</w:t>
      </w:r>
      <w:r w:rsidR="00931E13">
        <w:rPr>
          <w:rFonts w:ascii="Arial" w:eastAsia="Times New Roman" w:hAnsi="Arial" w:cs="Arial"/>
          <w:sz w:val="20"/>
          <w:szCs w:val="20"/>
          <w:bdr w:val="nil"/>
        </w:rPr>
        <w:t>–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2021, které navazují na Plán opatření k výkonu rozsudku Evropského so</w:t>
      </w:r>
      <w:r w:rsidR="004362F0">
        <w:rPr>
          <w:rFonts w:ascii="Arial" w:eastAsia="Times New Roman" w:hAnsi="Arial" w:cs="Arial"/>
          <w:sz w:val="20"/>
          <w:szCs w:val="20"/>
          <w:bdr w:val="nil"/>
        </w:rPr>
        <w:t>udu pro lidská práva ve věci D. </w:t>
      </w:r>
      <w:r w:rsidRPr="00A00FDF">
        <w:rPr>
          <w:rFonts w:ascii="Arial" w:eastAsia="Times New Roman" w:hAnsi="Arial" w:cs="Arial"/>
          <w:sz w:val="20"/>
          <w:szCs w:val="20"/>
          <w:bdr w:val="nil"/>
        </w:rPr>
        <w:t>H. proti ČR.</w:t>
      </w:r>
    </w:p>
    <w:p w:rsidR="009029C3" w:rsidRPr="00A00FDF" w:rsidRDefault="009029C3" w:rsidP="00A00F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561061">
        <w:rPr>
          <w:rFonts w:ascii="Arial" w:eastAsia="Times New Roman" w:hAnsi="Arial" w:cs="Arial"/>
          <w:sz w:val="20"/>
          <w:szCs w:val="20"/>
          <w:bdr w:val="nil"/>
        </w:rPr>
        <w:t xml:space="preserve">V únoru 2015 byl do meziresortního připomínkového řízení předložen Dlouhodobý záměr vzdělávání a rozvoje vzdělávací soustavy v ČR na období 2015–2020, připomínky byly vypořádány a materiál bude v nejbližších dnech předložen </w:t>
      </w:r>
      <w:r w:rsidR="0036680B">
        <w:rPr>
          <w:rFonts w:ascii="Arial" w:eastAsia="Times New Roman" w:hAnsi="Arial" w:cs="Arial"/>
          <w:sz w:val="20"/>
          <w:szCs w:val="20"/>
          <w:bdr w:val="nil"/>
        </w:rPr>
        <w:t>v</w:t>
      </w:r>
      <w:r w:rsidRPr="00561061">
        <w:rPr>
          <w:rFonts w:ascii="Arial" w:eastAsia="Times New Roman" w:hAnsi="Arial" w:cs="Arial"/>
          <w:sz w:val="20"/>
          <w:szCs w:val="20"/>
          <w:bdr w:val="nil"/>
        </w:rPr>
        <w:t>ládě ČR.</w:t>
      </w:r>
    </w:p>
    <w:p w:rsidR="009029C3" w:rsidRPr="00EE21BF" w:rsidRDefault="009029C3" w:rsidP="00EE21BF">
      <w:pPr>
        <w:spacing w:before="240"/>
        <w:rPr>
          <w:rFonts w:ascii="Arial" w:eastAsia="Times New Roman" w:hAnsi="Arial" w:cs="Arial"/>
          <w:b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Vysokoškolské vzdělávání</w:t>
      </w:r>
      <w:r w:rsidRPr="00EE21BF">
        <w:rPr>
          <w:rFonts w:ascii="Arial" w:eastAsia="Times New Roman" w:hAnsi="Arial" w:cs="Arial"/>
          <w:b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b/>
          <w:szCs w:val="20"/>
        </w:rPr>
        <w:t>-</w:t>
      </w:r>
      <w:r w:rsidRPr="00EE21BF">
        <w:rPr>
          <w:rFonts w:ascii="Arial" w:eastAsia="Times New Roman" w:hAnsi="Arial" w:cs="Arial"/>
          <w:b/>
          <w:szCs w:val="20"/>
        </w:rPr>
        <w:t xml:space="preserve"> T 10.2 </w:t>
      </w:r>
      <w:r w:rsidRPr="00EE21BF">
        <w:rPr>
          <w:rFonts w:ascii="Arial" w:eastAsia="Times New Roman" w:hAnsi="Arial" w:cs="Arial"/>
          <w:sz w:val="20"/>
          <w:szCs w:val="20"/>
        </w:rPr>
        <w:t>(gestor: ministerstvo školství, mládeže a tělovýchovy)</w:t>
      </w:r>
    </w:p>
    <w:p w:rsidR="009029C3" w:rsidRPr="00615DB6" w:rsidRDefault="009029C3" w:rsidP="009029C3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sz w:val="20"/>
          <w:szCs w:val="20"/>
          <w:bdr w:val="nil"/>
        </w:rPr>
        <w:t xml:space="preserve">Ke splnění předběžné podmínky dojde prostřednictvím Rámce rozvoje vysokého školství do  roku 2020 (dokument již přijatý na úrovni ministerstva) a Dlouhodobým záměrem vzdělávací a  vědecké, výzkumné, vývojové a inovační, umělecké a další tvůrčí činnosti pro oblast vysokých škol na období 2016–2020. Oba dokumenty již byly ve své finální verzi odeslány na EK k zhodnocení v průběhu února 2015. </w:t>
      </w:r>
    </w:p>
    <w:p w:rsidR="009029C3" w:rsidRPr="00615DB6" w:rsidRDefault="009029C3" w:rsidP="00EE21BF">
      <w:pPr>
        <w:spacing w:before="240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E21BF">
        <w:rPr>
          <w:rFonts w:ascii="Arial" w:eastAsia="Times New Roman" w:hAnsi="Arial" w:cs="Arial"/>
          <w:b/>
          <w:szCs w:val="20"/>
          <w:u w:val="single"/>
        </w:rPr>
        <w:t>Veřejná správa / strategie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="00EE21BF" w:rsidRPr="00EE21BF">
        <w:rPr>
          <w:rFonts w:ascii="Arial" w:eastAsia="Times New Roman" w:hAnsi="Arial" w:cs="Arial"/>
          <w:szCs w:val="20"/>
        </w:rPr>
        <w:t>-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EE21BF">
        <w:rPr>
          <w:rFonts w:ascii="Arial" w:eastAsia="Times New Roman" w:hAnsi="Arial" w:cs="Arial"/>
          <w:b/>
          <w:szCs w:val="20"/>
        </w:rPr>
        <w:t>T 11.1</w:t>
      </w:r>
      <w:r w:rsidRPr="00EE21BF">
        <w:rPr>
          <w:rFonts w:ascii="Arial" w:eastAsia="Times New Roman" w:hAnsi="Arial" w:cs="Arial"/>
          <w:szCs w:val="20"/>
        </w:rPr>
        <w:t xml:space="preserve"> </w:t>
      </w:r>
      <w:r w:rsidRPr="00615DB6">
        <w:rPr>
          <w:rFonts w:ascii="Arial" w:eastAsia="Times New Roman" w:hAnsi="Arial" w:cs="Arial"/>
          <w:sz w:val="20"/>
          <w:szCs w:val="20"/>
        </w:rPr>
        <w:t>(gestor: ministerstvo vnitra)</w:t>
      </w:r>
    </w:p>
    <w:p w:rsidR="009029C3" w:rsidRPr="00613A0A" w:rsidRDefault="009029C3" w:rsidP="00613A0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3A0A">
        <w:rPr>
          <w:rFonts w:ascii="Arial" w:eastAsia="Times New Roman" w:hAnsi="Arial" w:cs="Arial"/>
          <w:sz w:val="20"/>
          <w:szCs w:val="20"/>
          <w:bdr w:val="nil"/>
        </w:rPr>
        <w:t xml:space="preserve">Některá kritéria předběžné podmínky nejsou i přes schválení Implementačních plánů Strategického rámce rozvoje veřejné správy ČR pro období 2014–2020 splněna, čemuž musí být věnována značná pozornost v rámci aktuálně probíhající implementace (jde např. o zpracování aktuální analýzy veřejné správy, vývoje systémů řízení jakostí, racionalizaci správních postupů). </w:t>
      </w:r>
    </w:p>
    <w:p w:rsidR="009029C3" w:rsidRPr="00613A0A" w:rsidRDefault="009029C3" w:rsidP="00613A0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3A0A">
        <w:rPr>
          <w:rFonts w:ascii="Arial" w:eastAsia="Times New Roman" w:hAnsi="Arial" w:cs="Arial"/>
          <w:sz w:val="20"/>
          <w:szCs w:val="20"/>
          <w:bdr w:val="nil"/>
        </w:rPr>
        <w:t xml:space="preserve">Termín u některých nesplněných kritérií je stanoven na konec roku 2016, což je nejzazší termín splnění předběžných podmínek podle </w:t>
      </w:r>
      <w:r w:rsidR="00207347">
        <w:rPr>
          <w:rFonts w:ascii="Arial" w:eastAsia="Times New Roman" w:hAnsi="Arial" w:cs="Arial"/>
          <w:sz w:val="20"/>
          <w:szCs w:val="20"/>
          <w:bdr w:val="nil"/>
        </w:rPr>
        <w:t>n</w:t>
      </w:r>
      <w:r w:rsidRPr="00207347">
        <w:rPr>
          <w:rFonts w:ascii="Arial" w:eastAsia="Times New Roman" w:hAnsi="Arial" w:cs="Arial"/>
          <w:sz w:val="20"/>
          <w:szCs w:val="20"/>
          <w:bdr w:val="nil"/>
        </w:rPr>
        <w:t>ařízení</w:t>
      </w:r>
      <w:r w:rsidR="00207347">
        <w:rPr>
          <w:rFonts w:ascii="Arial" w:eastAsia="Times New Roman" w:hAnsi="Arial" w:cs="Arial"/>
          <w:sz w:val="20"/>
          <w:szCs w:val="20"/>
          <w:bdr w:val="nil"/>
        </w:rPr>
        <w:t xml:space="preserve"> EU</w:t>
      </w:r>
      <w:r w:rsidRPr="00613A0A">
        <w:rPr>
          <w:rFonts w:ascii="Arial" w:eastAsia="Times New Roman" w:hAnsi="Arial" w:cs="Arial"/>
          <w:sz w:val="20"/>
          <w:szCs w:val="20"/>
          <w:bdr w:val="nil"/>
        </w:rPr>
        <w:t>. Naplňování této předběžné podmínky je tedy velmi rizikové a bude muset být pečlivě monitorováno.</w:t>
      </w:r>
    </w:p>
    <w:p w:rsidR="009029C3" w:rsidRPr="00EE21BF" w:rsidRDefault="009029C3" w:rsidP="00EE21BF">
      <w:pPr>
        <w:spacing w:before="240"/>
        <w:rPr>
          <w:rFonts w:ascii="Arial" w:eastAsia="Times New Roman" w:hAnsi="Arial" w:cs="Arial"/>
          <w:b/>
          <w:bCs/>
          <w:szCs w:val="20"/>
          <w:bdr w:val="nil"/>
        </w:rPr>
      </w:pPr>
      <w:r w:rsidRPr="00EE21BF">
        <w:rPr>
          <w:rFonts w:ascii="Arial" w:eastAsia="Times New Roman" w:hAnsi="Arial" w:cs="Arial"/>
          <w:b/>
          <w:bCs/>
          <w:szCs w:val="20"/>
          <w:u w:val="single"/>
          <w:bdr w:val="nil"/>
        </w:rPr>
        <w:t>Služební zákon</w:t>
      </w:r>
      <w:r w:rsidRPr="00EE21BF">
        <w:rPr>
          <w:rFonts w:ascii="Arial" w:eastAsia="Times New Roman" w:hAnsi="Arial" w:cs="Arial"/>
          <w:b/>
          <w:bCs/>
          <w:szCs w:val="20"/>
          <w:bdr w:val="nil"/>
        </w:rPr>
        <w:t xml:space="preserve"> </w:t>
      </w:r>
      <w:r w:rsidR="00EE21BF" w:rsidRPr="00EE21BF">
        <w:rPr>
          <w:rFonts w:ascii="Arial" w:eastAsia="Times New Roman" w:hAnsi="Arial" w:cs="Arial"/>
          <w:b/>
          <w:bCs/>
          <w:szCs w:val="20"/>
          <w:bdr w:val="nil"/>
        </w:rPr>
        <w:t>-</w:t>
      </w:r>
      <w:r w:rsidRPr="00EE21BF">
        <w:rPr>
          <w:rFonts w:ascii="Arial" w:eastAsia="Times New Roman" w:hAnsi="Arial" w:cs="Arial"/>
          <w:b/>
          <w:bCs/>
          <w:szCs w:val="20"/>
          <w:bdr w:val="nil"/>
        </w:rPr>
        <w:t xml:space="preserve"> T 11 </w:t>
      </w:r>
    </w:p>
    <w:p w:rsidR="009029C3" w:rsidRPr="00615DB6" w:rsidRDefault="009029C3" w:rsidP="009029C3">
      <w:pPr>
        <w:spacing w:before="0"/>
        <w:rPr>
          <w:rFonts w:ascii="Arial" w:eastAsia="Times New Roman" w:hAnsi="Arial" w:cs="Arial"/>
          <w:bCs/>
          <w:sz w:val="20"/>
          <w:szCs w:val="20"/>
          <w:bdr w:val="nil"/>
        </w:rPr>
      </w:pP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>(gestor: sekce náměstka pro státní službu, problematika odměňování gestor: ministerstvo práce a sociální</w:t>
      </w:r>
      <w:r>
        <w:rPr>
          <w:rFonts w:ascii="Arial" w:eastAsia="Times New Roman" w:hAnsi="Arial" w:cs="Arial"/>
          <w:bCs/>
          <w:sz w:val="20"/>
          <w:szCs w:val="20"/>
          <w:bdr w:val="nil"/>
        </w:rPr>
        <w:t>ch věcí a ministerstvo financí)</w:t>
      </w:r>
    </w:p>
    <w:p w:rsidR="009029C3" w:rsidRDefault="00931E13" w:rsidP="00613A0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>
        <w:rPr>
          <w:rFonts w:ascii="Arial" w:eastAsia="Times New Roman" w:hAnsi="Arial" w:cs="Arial"/>
          <w:sz w:val="20"/>
          <w:szCs w:val="20"/>
          <w:bdr w:val="nil"/>
        </w:rPr>
        <w:t>N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t xml:space="preserve">a základě spolupráce relevantních resortů </w:t>
      </w:r>
      <w:r>
        <w:rPr>
          <w:rFonts w:ascii="Arial" w:eastAsia="Times New Roman" w:hAnsi="Arial" w:cs="Arial"/>
          <w:sz w:val="20"/>
          <w:szCs w:val="20"/>
          <w:bdr w:val="nil"/>
        </w:rPr>
        <w:t xml:space="preserve">byl 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t xml:space="preserve">připraven tzv. Conform letter jednoznačně deklarující připravenost ČR k naplnění veškerých předdefinovaných závazků. Tento dopis byl podepsán panem premiérem a odeslán </w:t>
      </w:r>
      <w:r w:rsidR="004362F0">
        <w:rPr>
          <w:rFonts w:ascii="Arial" w:eastAsia="Times New Roman" w:hAnsi="Arial" w:cs="Arial"/>
          <w:sz w:val="20"/>
          <w:szCs w:val="20"/>
          <w:bdr w:val="nil"/>
        </w:rPr>
        <w:t xml:space="preserve">předsedovi EK 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t xml:space="preserve">dne </w:t>
      </w:r>
      <w:r w:rsidR="004362F0">
        <w:rPr>
          <w:rFonts w:ascii="Arial" w:eastAsia="Times New Roman" w:hAnsi="Arial" w:cs="Arial"/>
          <w:sz w:val="20"/>
          <w:szCs w:val="20"/>
          <w:bdr w:val="nil"/>
        </w:rPr>
        <w:t>2. března 2015. Předseda EK ve 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t>svém dopise z 13. března 2015</w:t>
      </w:r>
      <w:r w:rsidR="004362F0">
        <w:rPr>
          <w:rFonts w:ascii="Arial" w:eastAsia="Times New Roman" w:hAnsi="Arial" w:cs="Arial"/>
          <w:sz w:val="20"/>
          <w:szCs w:val="20"/>
          <w:bdr w:val="nil"/>
        </w:rPr>
        <w:t xml:space="preserve"> adresovaném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t xml:space="preserve"> předsedovi vl</w:t>
      </w:r>
      <w:r w:rsidR="004362F0">
        <w:rPr>
          <w:rFonts w:ascii="Arial" w:eastAsia="Times New Roman" w:hAnsi="Arial" w:cs="Arial"/>
          <w:sz w:val="20"/>
          <w:szCs w:val="20"/>
          <w:bdr w:val="nil"/>
        </w:rPr>
        <w:t>ády ČR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t xml:space="preserve"> pozitivně hodnotil závazky, které na sebe </w:t>
      </w:r>
      <w:r>
        <w:rPr>
          <w:rFonts w:ascii="Arial" w:eastAsia="Times New Roman" w:hAnsi="Arial" w:cs="Arial"/>
          <w:sz w:val="20"/>
          <w:szCs w:val="20"/>
          <w:bdr w:val="nil"/>
        </w:rPr>
        <w:t>ČR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t xml:space="preserve"> převzala ve snaze zajistit účinnou a komplexní implementaci zákona </w:t>
      </w:r>
      <w:r w:rsidR="009029C3" w:rsidRPr="002312EE">
        <w:rPr>
          <w:rFonts w:ascii="Arial" w:eastAsia="Times New Roman" w:hAnsi="Arial" w:cs="Arial"/>
          <w:sz w:val="20"/>
          <w:szCs w:val="20"/>
          <w:bdr w:val="nil"/>
        </w:rPr>
        <w:lastRenderedPageBreak/>
        <w:t>o státní službě. Zároveň vyjádřil přesvědčení, že díky tomu bude proces schvalování programů rychle následovat.</w:t>
      </w:r>
    </w:p>
    <w:p w:rsidR="009029C3" w:rsidRPr="002312EE" w:rsidRDefault="009029C3" w:rsidP="00613A0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/>
        <w:ind w:left="426" w:hanging="357"/>
        <w:rPr>
          <w:rFonts w:ascii="Arial" w:eastAsia="Times New Roman" w:hAnsi="Arial" w:cs="Arial"/>
          <w:sz w:val="20"/>
          <w:szCs w:val="20"/>
          <w:bdr w:val="nil"/>
        </w:rPr>
      </w:pPr>
      <w:r w:rsidRPr="00613A0A">
        <w:rPr>
          <w:rFonts w:ascii="Arial" w:eastAsia="Times New Roman" w:hAnsi="Arial" w:cs="Arial"/>
          <w:sz w:val="20"/>
          <w:szCs w:val="20"/>
          <w:bdr w:val="nil"/>
        </w:rPr>
        <w:t xml:space="preserve">Pokud se jedná o problematiku zákona o státní službě v kontextu naplňování předběžných podmínek, v současnosti jsou předmětem řešení 3 oblasti: </w:t>
      </w:r>
    </w:p>
    <w:p w:rsidR="009029C3" w:rsidRPr="00615DB6" w:rsidRDefault="009029C3" w:rsidP="00460A5F">
      <w:pPr>
        <w:spacing w:before="0"/>
        <w:ind w:firstLine="708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 xml:space="preserve">i) příprava implementačních předpisů, </w:t>
      </w:r>
    </w:p>
    <w:p w:rsidR="009029C3" w:rsidRPr="00615DB6" w:rsidRDefault="009029C3" w:rsidP="00460A5F">
      <w:pPr>
        <w:spacing w:before="0"/>
        <w:ind w:firstLine="708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ii) vyřešení postavení agentur CzechInvest zprostředkující</w:t>
      </w:r>
      <w:r>
        <w:rPr>
          <w:rFonts w:ascii="Arial" w:hAnsi="Arial" w:cs="Arial"/>
          <w:sz w:val="20"/>
          <w:szCs w:val="20"/>
        </w:rPr>
        <w:t>ho subjektu</w:t>
      </w:r>
      <w:r w:rsidR="004362F0">
        <w:rPr>
          <w:rFonts w:ascii="Arial" w:hAnsi="Arial" w:cs="Arial"/>
          <w:sz w:val="20"/>
          <w:szCs w:val="20"/>
        </w:rPr>
        <w:t>,</w:t>
      </w:r>
      <w:r w:rsidRPr="00615DB6">
        <w:rPr>
          <w:rFonts w:ascii="Arial" w:hAnsi="Arial" w:cs="Arial"/>
          <w:sz w:val="20"/>
          <w:szCs w:val="20"/>
        </w:rPr>
        <w:t xml:space="preserve"> </w:t>
      </w:r>
    </w:p>
    <w:p w:rsidR="009029C3" w:rsidRPr="00615DB6" w:rsidRDefault="009029C3" w:rsidP="00460A5F">
      <w:pPr>
        <w:spacing w:before="0"/>
        <w:ind w:firstLine="708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iii) příprava příštího jednání tzv. Task Force</w:t>
      </w:r>
    </w:p>
    <w:p w:rsidR="004362F0" w:rsidRDefault="009029C3" w:rsidP="004362F0">
      <w:pPr>
        <w:ind w:left="425"/>
        <w:rPr>
          <w:rFonts w:ascii="Arial" w:hAnsi="Arial" w:cs="Arial"/>
          <w:sz w:val="20"/>
          <w:szCs w:val="20"/>
        </w:rPr>
      </w:pPr>
      <w:r w:rsidRPr="00EA59D6">
        <w:rPr>
          <w:rFonts w:ascii="Arial" w:hAnsi="Arial" w:cs="Arial"/>
          <w:b/>
          <w:sz w:val="20"/>
          <w:szCs w:val="20"/>
        </w:rPr>
        <w:t>i)</w:t>
      </w:r>
      <w:r w:rsidRPr="00615DB6">
        <w:rPr>
          <w:rFonts w:ascii="Arial" w:hAnsi="Arial" w:cs="Arial"/>
          <w:sz w:val="20"/>
          <w:szCs w:val="20"/>
        </w:rPr>
        <w:t xml:space="preserve"> </w:t>
      </w:r>
      <w:r w:rsidRPr="00615DB6">
        <w:rPr>
          <w:rFonts w:ascii="Arial" w:hAnsi="Arial" w:cs="Arial"/>
          <w:b/>
          <w:sz w:val="20"/>
          <w:szCs w:val="20"/>
        </w:rPr>
        <w:t>Implementace zákona o státní službě</w:t>
      </w:r>
      <w:r w:rsidRPr="00615DB6">
        <w:rPr>
          <w:rFonts w:ascii="Arial" w:hAnsi="Arial" w:cs="Arial"/>
          <w:sz w:val="20"/>
          <w:szCs w:val="20"/>
        </w:rPr>
        <w:t xml:space="preserve"> - Sekce náměstka pro státní službu ministerstva vnitra připravila několik návrhů implementačních předpisů. V souvislosti s agendou předběžných podmínek je  nutné zmínit Nařízení vlády, kterým se stanoví pravidla pro organizaci služebního úřadu, </w:t>
      </w:r>
      <w:r w:rsidRPr="00207347">
        <w:rPr>
          <w:rFonts w:ascii="Arial" w:hAnsi="Arial" w:cs="Arial"/>
          <w:sz w:val="20"/>
          <w:szCs w:val="20"/>
        </w:rPr>
        <w:t>provádí</w:t>
      </w:r>
      <w:r w:rsidRPr="00615DB6">
        <w:rPr>
          <w:rFonts w:ascii="Arial" w:hAnsi="Arial" w:cs="Arial"/>
          <w:sz w:val="20"/>
          <w:szCs w:val="20"/>
        </w:rPr>
        <w:t xml:space="preserve"> §  205 písm. a) zákona č. 234/2014 Sb., o státní službě; Nařízení vlády o výkonu služby z jiného místa a  předpokladech sladění rodinného a oso</w:t>
      </w:r>
      <w:r w:rsidR="004362F0">
        <w:rPr>
          <w:rFonts w:ascii="Arial" w:hAnsi="Arial" w:cs="Arial"/>
          <w:sz w:val="20"/>
          <w:szCs w:val="20"/>
        </w:rPr>
        <w:t>bního života s výkonem služby a </w:t>
      </w:r>
      <w:r w:rsidR="001919CC">
        <w:rPr>
          <w:rFonts w:ascii="Arial" w:hAnsi="Arial" w:cs="Arial"/>
          <w:sz w:val="20"/>
          <w:szCs w:val="20"/>
        </w:rPr>
        <w:t>N</w:t>
      </w:r>
      <w:r w:rsidRPr="00615DB6">
        <w:rPr>
          <w:rFonts w:ascii="Arial" w:hAnsi="Arial" w:cs="Arial"/>
          <w:sz w:val="20"/>
          <w:szCs w:val="20"/>
        </w:rPr>
        <w:t>ařízení vlády, kterým se stanoví další překážky ve službě, za které přísluší státnímu zaměstnanci plat.</w:t>
      </w:r>
    </w:p>
    <w:p w:rsidR="004362F0" w:rsidRDefault="009029C3" w:rsidP="004362F0">
      <w:pPr>
        <w:ind w:left="425"/>
        <w:rPr>
          <w:rFonts w:ascii="Arial" w:hAnsi="Arial" w:cs="Arial"/>
          <w:b/>
          <w:sz w:val="20"/>
          <w:szCs w:val="20"/>
        </w:rPr>
      </w:pPr>
      <w:r w:rsidRPr="00615DB6">
        <w:rPr>
          <w:rFonts w:ascii="Arial" w:hAnsi="Arial" w:cs="Arial"/>
          <w:b/>
          <w:sz w:val="20"/>
          <w:szCs w:val="20"/>
        </w:rPr>
        <w:t>V této souvislosti je nutné upo</w:t>
      </w:r>
      <w:r>
        <w:rPr>
          <w:rFonts w:ascii="Arial" w:hAnsi="Arial" w:cs="Arial"/>
          <w:b/>
          <w:sz w:val="20"/>
          <w:szCs w:val="20"/>
        </w:rPr>
        <w:t>zornit na skutečnost, že dochází</w:t>
      </w:r>
      <w:r w:rsidRPr="00615DB6">
        <w:rPr>
          <w:rFonts w:ascii="Arial" w:hAnsi="Arial" w:cs="Arial"/>
          <w:b/>
          <w:sz w:val="20"/>
          <w:szCs w:val="20"/>
        </w:rPr>
        <w:t xml:space="preserve"> ke zpožděním v souvislosti s přijímáním těchto předpisů. </w:t>
      </w:r>
    </w:p>
    <w:p w:rsidR="004362F0" w:rsidRDefault="009029C3" w:rsidP="004362F0">
      <w:pPr>
        <w:ind w:left="425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b/>
          <w:sz w:val="20"/>
          <w:szCs w:val="20"/>
        </w:rPr>
        <w:t>ii) Zprostředkující subjekty</w:t>
      </w:r>
      <w:r w:rsidRPr="00615DB6">
        <w:rPr>
          <w:rFonts w:ascii="Arial" w:hAnsi="Arial" w:cs="Arial"/>
          <w:sz w:val="20"/>
          <w:szCs w:val="20"/>
        </w:rPr>
        <w:t xml:space="preserve"> - 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 xml:space="preserve">Vláda </w:t>
      </w:r>
      <w:r w:rsidR="0036680B">
        <w:rPr>
          <w:rFonts w:ascii="Arial" w:eastAsia="Times New Roman" w:hAnsi="Arial" w:cs="Arial"/>
          <w:bCs/>
          <w:sz w:val="20"/>
          <w:szCs w:val="20"/>
          <w:bdr w:val="nil"/>
        </w:rPr>
        <w:t xml:space="preserve">ČR 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>na svém jednání dne 23. února 2015 řešila problematiku zprostředkujících subjektů v souvislosti s  jejich nepodřazením pod služební zákon. Usnesením č. 144</w:t>
      </w:r>
      <w:r w:rsidR="004362F0">
        <w:rPr>
          <w:rFonts w:ascii="Arial" w:eastAsia="Times New Roman" w:hAnsi="Arial" w:cs="Arial"/>
          <w:bCs/>
          <w:sz w:val="20"/>
          <w:szCs w:val="20"/>
          <w:bdr w:val="nil"/>
        </w:rPr>
        <w:t>/2015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 xml:space="preserve"> vzala na vědomí návrh řešení postavení Agentury pro podporu podnikání a investic CzechInvest v souladu s požadavky EK. Dne 25. března 2015 byl </w:t>
      </w:r>
      <w:r>
        <w:rPr>
          <w:rFonts w:ascii="Arial" w:eastAsia="Times New Roman" w:hAnsi="Arial" w:cs="Arial"/>
          <w:bCs/>
          <w:sz w:val="20"/>
          <w:szCs w:val="20"/>
          <w:bdr w:val="nil"/>
        </w:rPr>
        <w:t>EK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 xml:space="preserve"> odeslán dopis MPO, kterým byla </w:t>
      </w:r>
      <w:r w:rsidR="00931E13">
        <w:rPr>
          <w:rFonts w:ascii="Arial" w:eastAsia="Times New Roman" w:hAnsi="Arial" w:cs="Arial"/>
          <w:bCs/>
          <w:sz w:val="20"/>
          <w:szCs w:val="20"/>
          <w:bdr w:val="nil"/>
        </w:rPr>
        <w:t>EK</w:t>
      </w:r>
      <w:r w:rsidR="00931E13" w:rsidRPr="00615DB6">
        <w:rPr>
          <w:rFonts w:ascii="Arial" w:eastAsia="Times New Roman" w:hAnsi="Arial" w:cs="Arial"/>
          <w:bCs/>
          <w:sz w:val="20"/>
          <w:szCs w:val="20"/>
          <w:bdr w:val="nil"/>
        </w:rPr>
        <w:t xml:space="preserve"> </w:t>
      </w:r>
      <w:r w:rsidRPr="00615DB6">
        <w:rPr>
          <w:rFonts w:ascii="Arial" w:eastAsia="Times New Roman" w:hAnsi="Arial" w:cs="Arial"/>
          <w:bCs/>
          <w:sz w:val="20"/>
          <w:szCs w:val="20"/>
          <w:bdr w:val="nil"/>
        </w:rPr>
        <w:t xml:space="preserve">informována o přijatém řešení spočívajícím v tom, že </w:t>
      </w:r>
      <w:r>
        <w:rPr>
          <w:rFonts w:ascii="Arial" w:hAnsi="Arial" w:cs="Arial"/>
          <w:sz w:val="20"/>
          <w:szCs w:val="20"/>
        </w:rPr>
        <w:t xml:space="preserve">MPO přistoupí </w:t>
      </w:r>
      <w:r w:rsidRPr="00615DB6">
        <w:rPr>
          <w:rFonts w:ascii="Arial" w:hAnsi="Arial" w:cs="Arial"/>
          <w:sz w:val="20"/>
          <w:szCs w:val="20"/>
        </w:rPr>
        <w:t>k vyčlenění divize strukturálních fondů CzechInvestu do  samosta</w:t>
      </w:r>
      <w:r>
        <w:rPr>
          <w:rFonts w:ascii="Arial" w:hAnsi="Arial" w:cs="Arial"/>
          <w:sz w:val="20"/>
          <w:szCs w:val="20"/>
        </w:rPr>
        <w:t xml:space="preserve">tné nové příspěvkové organizace </w:t>
      </w:r>
      <w:r w:rsidRPr="00615DB6">
        <w:rPr>
          <w:rFonts w:ascii="Arial" w:hAnsi="Arial" w:cs="Arial"/>
          <w:sz w:val="20"/>
          <w:szCs w:val="20"/>
        </w:rPr>
        <w:t>v podřízenosti MPO, která bude plnit roli</w:t>
      </w:r>
      <w:r w:rsidR="004362F0">
        <w:rPr>
          <w:rFonts w:ascii="Arial" w:hAnsi="Arial" w:cs="Arial"/>
          <w:sz w:val="20"/>
          <w:szCs w:val="20"/>
        </w:rPr>
        <w:t xml:space="preserve"> zprostředkujícího subjektu </w:t>
      </w:r>
      <w:r>
        <w:rPr>
          <w:rFonts w:ascii="Arial" w:hAnsi="Arial" w:cs="Arial"/>
          <w:sz w:val="20"/>
          <w:szCs w:val="20"/>
        </w:rPr>
        <w:t>pro </w:t>
      </w:r>
      <w:r w:rsidRPr="00615DB6">
        <w:rPr>
          <w:rFonts w:ascii="Arial" w:hAnsi="Arial" w:cs="Arial"/>
          <w:sz w:val="20"/>
          <w:szCs w:val="20"/>
        </w:rPr>
        <w:t xml:space="preserve">OP PIK. </w:t>
      </w:r>
    </w:p>
    <w:p w:rsidR="004362F0" w:rsidRDefault="009029C3" w:rsidP="004362F0">
      <w:pPr>
        <w:ind w:left="425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 xml:space="preserve">Tato problematika byla řešena dále i na bilaterálním jednání mezi předsedou vlády </w:t>
      </w:r>
      <w:r w:rsidR="0036680B">
        <w:rPr>
          <w:rFonts w:ascii="Arial" w:hAnsi="Arial" w:cs="Arial"/>
          <w:sz w:val="20"/>
          <w:szCs w:val="20"/>
        </w:rPr>
        <w:t xml:space="preserve">ČR </w:t>
      </w:r>
      <w:r w:rsidRPr="00615DB6">
        <w:rPr>
          <w:rFonts w:ascii="Arial" w:hAnsi="Arial" w:cs="Arial"/>
          <w:sz w:val="20"/>
          <w:szCs w:val="20"/>
        </w:rPr>
        <w:t>a</w:t>
      </w:r>
      <w:r w:rsidR="0036680B">
        <w:rPr>
          <w:rFonts w:ascii="Arial" w:hAnsi="Arial" w:cs="Arial"/>
          <w:sz w:val="20"/>
          <w:szCs w:val="20"/>
        </w:rPr>
        <w:t> </w:t>
      </w:r>
      <w:r w:rsidRPr="00615DB6">
        <w:rPr>
          <w:rFonts w:ascii="Arial" w:hAnsi="Arial" w:cs="Arial"/>
          <w:sz w:val="20"/>
          <w:szCs w:val="20"/>
        </w:rPr>
        <w:t xml:space="preserve">komisařkou </w:t>
      </w:r>
      <w:r w:rsidR="004362F0">
        <w:rPr>
          <w:rFonts w:ascii="Arial" w:hAnsi="Arial" w:cs="Arial"/>
          <w:sz w:val="20"/>
          <w:szCs w:val="20"/>
        </w:rPr>
        <w:t>pro regionální politiku</w:t>
      </w:r>
      <w:r w:rsidRPr="00615DB6">
        <w:rPr>
          <w:rFonts w:ascii="Arial" w:hAnsi="Arial" w:cs="Arial"/>
          <w:sz w:val="20"/>
          <w:szCs w:val="20"/>
        </w:rPr>
        <w:t xml:space="preserve"> dne 31. března 2015. </w:t>
      </w:r>
    </w:p>
    <w:p w:rsidR="004362F0" w:rsidRDefault="009029C3" w:rsidP="004362F0">
      <w:pPr>
        <w:ind w:left="425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Aktuálně probíhá komunikace mezi zástupci ČR a EK za účelem nalezení vhodného řešení, včetně textace v rámci OP PIK, která by měla reflektovat poslední dohodu</w:t>
      </w:r>
      <w:r w:rsidR="004362F0">
        <w:rPr>
          <w:rFonts w:ascii="Arial" w:hAnsi="Arial" w:cs="Arial"/>
          <w:sz w:val="20"/>
          <w:szCs w:val="20"/>
        </w:rPr>
        <w:t>, a to konkrétně: že </w:t>
      </w:r>
      <w:r w:rsidRPr="00615DB6">
        <w:rPr>
          <w:rFonts w:ascii="Arial" w:hAnsi="Arial" w:cs="Arial"/>
          <w:sz w:val="20"/>
          <w:szCs w:val="20"/>
        </w:rPr>
        <w:t>dojde ke zřízení nové Agentury, která bude zprostředkujícím subjektem v r</w:t>
      </w:r>
      <w:r>
        <w:rPr>
          <w:rFonts w:ascii="Arial" w:hAnsi="Arial" w:cs="Arial"/>
          <w:sz w:val="20"/>
          <w:szCs w:val="20"/>
        </w:rPr>
        <w:t>ámci OP PIK. Zároveň dojde k co </w:t>
      </w:r>
      <w:r w:rsidRPr="00615DB6">
        <w:rPr>
          <w:rFonts w:ascii="Arial" w:hAnsi="Arial" w:cs="Arial"/>
          <w:sz w:val="20"/>
          <w:szCs w:val="20"/>
        </w:rPr>
        <w:t xml:space="preserve">nejrychlejšímu řešení, které umožní podřadit tuto </w:t>
      </w:r>
      <w:r w:rsidR="004362F0">
        <w:rPr>
          <w:rFonts w:ascii="Arial" w:hAnsi="Arial" w:cs="Arial"/>
          <w:sz w:val="20"/>
          <w:szCs w:val="20"/>
        </w:rPr>
        <w:t>a</w:t>
      </w:r>
      <w:r w:rsidRPr="00615DB6">
        <w:rPr>
          <w:rFonts w:ascii="Arial" w:hAnsi="Arial" w:cs="Arial"/>
          <w:sz w:val="20"/>
          <w:szCs w:val="20"/>
        </w:rPr>
        <w:t xml:space="preserve">genturu, </w:t>
      </w:r>
      <w:r>
        <w:rPr>
          <w:rFonts w:ascii="Arial" w:hAnsi="Arial" w:cs="Arial"/>
          <w:sz w:val="20"/>
          <w:szCs w:val="20"/>
        </w:rPr>
        <w:t>respektive její zaměstnance pod </w:t>
      </w:r>
      <w:r w:rsidRPr="00615DB6">
        <w:rPr>
          <w:rFonts w:ascii="Arial" w:hAnsi="Arial" w:cs="Arial"/>
          <w:sz w:val="20"/>
          <w:szCs w:val="20"/>
        </w:rPr>
        <w:t>režim služebního zákona.</w:t>
      </w:r>
      <w:r>
        <w:rPr>
          <w:rFonts w:ascii="Arial" w:hAnsi="Arial" w:cs="Arial"/>
          <w:sz w:val="20"/>
          <w:szCs w:val="20"/>
        </w:rPr>
        <w:t xml:space="preserve"> Stávající zaměstnanci budou v </w:t>
      </w:r>
      <w:r w:rsidR="004362F0">
        <w:rPr>
          <w:rFonts w:ascii="Arial" w:hAnsi="Arial" w:cs="Arial"/>
          <w:sz w:val="20"/>
          <w:szCs w:val="20"/>
        </w:rPr>
        <w:t>mezidobí do </w:t>
      </w:r>
      <w:r w:rsidRPr="00615DB6">
        <w:rPr>
          <w:rFonts w:ascii="Arial" w:hAnsi="Arial" w:cs="Arial"/>
          <w:sz w:val="20"/>
          <w:szCs w:val="20"/>
        </w:rPr>
        <w:t>realizace těchto legislativních zm</w:t>
      </w:r>
      <w:r>
        <w:rPr>
          <w:rFonts w:ascii="Arial" w:hAnsi="Arial" w:cs="Arial"/>
          <w:sz w:val="20"/>
          <w:szCs w:val="20"/>
        </w:rPr>
        <w:t xml:space="preserve">ěn podřízeni pravidlům obdobným, </w:t>
      </w:r>
      <w:r w:rsidRPr="00615DB6">
        <w:rPr>
          <w:rFonts w:ascii="Arial" w:hAnsi="Arial" w:cs="Arial"/>
          <w:sz w:val="20"/>
          <w:szCs w:val="20"/>
        </w:rPr>
        <w:t>jako jsou stanoveny služebním zákonem.</w:t>
      </w:r>
    </w:p>
    <w:p w:rsidR="004362F0" w:rsidRDefault="009029C3" w:rsidP="004362F0">
      <w:pPr>
        <w:ind w:left="425"/>
        <w:rPr>
          <w:rFonts w:ascii="Arial" w:hAnsi="Arial" w:cs="Arial"/>
          <w:sz w:val="20"/>
          <w:szCs w:val="20"/>
        </w:rPr>
      </w:pPr>
      <w:r w:rsidRPr="00EA59D6">
        <w:rPr>
          <w:rFonts w:ascii="Arial" w:hAnsi="Arial" w:cs="Arial"/>
          <w:b/>
          <w:sz w:val="20"/>
          <w:szCs w:val="20"/>
        </w:rPr>
        <w:t>iii)</w:t>
      </w:r>
      <w:r w:rsidRPr="00615DB6">
        <w:rPr>
          <w:rFonts w:ascii="Arial" w:hAnsi="Arial" w:cs="Arial"/>
          <w:sz w:val="20"/>
          <w:szCs w:val="20"/>
        </w:rPr>
        <w:t xml:space="preserve"> </w:t>
      </w:r>
      <w:r w:rsidRPr="00615DB6">
        <w:rPr>
          <w:rFonts w:ascii="Arial" w:hAnsi="Arial" w:cs="Arial"/>
          <w:b/>
          <w:sz w:val="20"/>
          <w:szCs w:val="20"/>
        </w:rPr>
        <w:t>Jednání Task Force</w:t>
      </w:r>
      <w:r w:rsidRPr="00615DB6">
        <w:rPr>
          <w:rFonts w:ascii="Arial" w:hAnsi="Arial" w:cs="Arial"/>
          <w:sz w:val="20"/>
          <w:szCs w:val="20"/>
        </w:rPr>
        <w:t xml:space="preserve"> - EK zaslala koncem března 2015 ČR návrh termínu pro konání dalšího vzájemného setkání k implementaci zákona o státní službě,</w:t>
      </w:r>
      <w:r w:rsidR="004362F0">
        <w:rPr>
          <w:rFonts w:ascii="Arial" w:hAnsi="Arial" w:cs="Arial"/>
          <w:sz w:val="20"/>
          <w:szCs w:val="20"/>
        </w:rPr>
        <w:t xml:space="preserve"> které se má uskutečnit dne 16. </w:t>
      </w:r>
      <w:r w:rsidRPr="00615DB6">
        <w:rPr>
          <w:rFonts w:ascii="Arial" w:hAnsi="Arial" w:cs="Arial"/>
          <w:sz w:val="20"/>
          <w:szCs w:val="20"/>
        </w:rPr>
        <w:t xml:space="preserve">dubna 2015. Předmětem jednání by měla být diskuse nad prováděcími právními předpisy o tématech </w:t>
      </w:r>
      <w:r>
        <w:rPr>
          <w:rFonts w:ascii="Arial" w:hAnsi="Arial" w:cs="Arial"/>
          <w:sz w:val="20"/>
          <w:szCs w:val="20"/>
        </w:rPr>
        <w:t>„</w:t>
      </w:r>
      <w:r w:rsidRPr="00615DB6">
        <w:rPr>
          <w:rFonts w:ascii="Arial" w:hAnsi="Arial" w:cs="Arial"/>
          <w:sz w:val="20"/>
          <w:szCs w:val="20"/>
        </w:rPr>
        <w:t>whistleblowing</w:t>
      </w:r>
      <w:r>
        <w:rPr>
          <w:rFonts w:ascii="Arial" w:hAnsi="Arial" w:cs="Arial"/>
          <w:sz w:val="20"/>
          <w:szCs w:val="20"/>
        </w:rPr>
        <w:t>“</w:t>
      </w:r>
      <w:r w:rsidRPr="00615DB6">
        <w:rPr>
          <w:rFonts w:ascii="Arial" w:hAnsi="Arial" w:cs="Arial"/>
          <w:sz w:val="20"/>
          <w:szCs w:val="20"/>
        </w:rPr>
        <w:t xml:space="preserve">, služební hodnocení s vazbou na odměňování, případně o dalších </w:t>
      </w:r>
      <w:r>
        <w:rPr>
          <w:rFonts w:ascii="Arial" w:hAnsi="Arial" w:cs="Arial"/>
          <w:sz w:val="20"/>
          <w:szCs w:val="20"/>
        </w:rPr>
        <w:t>prováděcích právních předpisech.</w:t>
      </w:r>
    </w:p>
    <w:p w:rsidR="009029C3" w:rsidRPr="004362F0" w:rsidRDefault="009029C3" w:rsidP="004362F0">
      <w:pPr>
        <w:ind w:left="425"/>
        <w:rPr>
          <w:rFonts w:ascii="Arial" w:hAnsi="Arial" w:cs="Arial"/>
          <w:sz w:val="20"/>
          <w:szCs w:val="20"/>
        </w:rPr>
      </w:pPr>
      <w:r w:rsidRPr="00615DB6">
        <w:rPr>
          <w:rFonts w:ascii="Arial" w:hAnsi="Arial" w:cs="Arial"/>
          <w:sz w:val="20"/>
          <w:szCs w:val="20"/>
        </w:rPr>
        <w:t>Dále pak bude tématem institucionální působnost služebního zákona, neboť EK shledává stávající zdůvodnění týkající se nepodřazení některých institucí pod sl</w:t>
      </w:r>
      <w:r w:rsidR="004362F0">
        <w:rPr>
          <w:rFonts w:ascii="Arial" w:hAnsi="Arial" w:cs="Arial"/>
          <w:sz w:val="20"/>
          <w:szCs w:val="20"/>
        </w:rPr>
        <w:t xml:space="preserve">užební zákon jako nedostatečné. </w:t>
      </w:r>
      <w:r w:rsidRPr="00615DB6">
        <w:rPr>
          <w:rFonts w:ascii="Arial" w:hAnsi="Arial" w:cs="Arial"/>
          <w:sz w:val="20"/>
          <w:szCs w:val="20"/>
        </w:rPr>
        <w:t xml:space="preserve">Toto se týká zejména </w:t>
      </w:r>
      <w:r w:rsidR="004362F0">
        <w:rPr>
          <w:rFonts w:ascii="Arial" w:hAnsi="Arial" w:cs="Arial"/>
          <w:sz w:val="20"/>
          <w:szCs w:val="20"/>
        </w:rPr>
        <w:t>a</w:t>
      </w:r>
      <w:r w:rsidRPr="00615DB6">
        <w:rPr>
          <w:rFonts w:ascii="Arial" w:hAnsi="Arial" w:cs="Arial"/>
          <w:sz w:val="20"/>
          <w:szCs w:val="20"/>
        </w:rPr>
        <w:t>gentury CzechInvest.</w:t>
      </w:r>
    </w:p>
    <w:p w:rsidR="00D03EAB" w:rsidRPr="00713F99" w:rsidRDefault="00D03EAB" w:rsidP="00713F99">
      <w:pPr>
        <w:spacing w:before="80"/>
        <w:rPr>
          <w:rFonts w:ascii="Arial" w:eastAsiaTheme="majorEastAsia" w:hAnsi="Arial" w:cs="Arial"/>
          <w:bCs/>
          <w:sz w:val="20"/>
          <w:szCs w:val="32"/>
        </w:rPr>
      </w:pPr>
      <w:r>
        <w:br w:type="page"/>
      </w:r>
    </w:p>
    <w:p w:rsidR="003016BD" w:rsidRPr="00CE0788" w:rsidRDefault="003A6035" w:rsidP="0094174F">
      <w:pPr>
        <w:pStyle w:val="Nadpis1"/>
        <w:ind w:left="426" w:hanging="426"/>
      </w:pPr>
      <w:bookmarkStart w:id="81" w:name="_Toc415736291"/>
      <w:r>
        <w:lastRenderedPageBreak/>
        <w:t>Další oblasti</w:t>
      </w:r>
      <w:bookmarkEnd w:id="63"/>
      <w:r>
        <w:t xml:space="preserve"> </w:t>
      </w:r>
      <w:r w:rsidR="00F337DE">
        <w:t>v rámci přípravy 2014–2020</w:t>
      </w:r>
      <w:bookmarkEnd w:id="81"/>
    </w:p>
    <w:p w:rsidR="00946DD0" w:rsidRDefault="00946DD0" w:rsidP="00946DD0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120" w:line="240" w:lineRule="auto"/>
        <w:outlineLvl w:val="2"/>
        <w:rPr>
          <w:rFonts w:ascii="Arial" w:hAnsi="Arial" w:cs="Arial"/>
          <w:sz w:val="20"/>
        </w:rPr>
      </w:pPr>
      <w:bookmarkStart w:id="82" w:name="_Toc415736292"/>
      <w:bookmarkStart w:id="83" w:name="_Toc401148480"/>
      <w:r>
        <w:rPr>
          <w:rFonts w:ascii="Arial" w:eastAsia="Times New Roman" w:hAnsi="Arial" w:cs="Arial"/>
          <w:b/>
          <w:bCs/>
          <w:u w:val="single"/>
          <w:bdr w:val="nil"/>
        </w:rPr>
        <w:t>Jednotné metodické prostředí</w:t>
      </w:r>
      <w:bookmarkEnd w:id="82"/>
    </w:p>
    <w:p w:rsidR="008D21D0" w:rsidRDefault="000C21E2" w:rsidP="008D21D0">
      <w:pPr>
        <w:pStyle w:val="Prosttext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D21D0">
        <w:rPr>
          <w:rFonts w:ascii="Arial" w:hAnsi="Arial" w:cs="Arial"/>
          <w:sz w:val="20"/>
          <w:szCs w:val="20"/>
        </w:rPr>
        <w:t xml:space="preserve">Dne </w:t>
      </w:r>
      <w:r w:rsidR="006F1B97" w:rsidRPr="008D21D0">
        <w:rPr>
          <w:rFonts w:ascii="Arial" w:hAnsi="Arial" w:cs="Arial"/>
          <w:sz w:val="20"/>
          <w:szCs w:val="20"/>
        </w:rPr>
        <w:t>26. března 2015 byla dokončena aktualizace Metodického pokynu pro monitorování</w:t>
      </w:r>
      <w:r w:rsidR="0036680B">
        <w:rPr>
          <w:rFonts w:ascii="Arial" w:hAnsi="Arial" w:cs="Arial"/>
          <w:sz w:val="20"/>
          <w:szCs w:val="20"/>
        </w:rPr>
        <w:t xml:space="preserve"> implementace </w:t>
      </w:r>
      <w:r w:rsidR="0029769C">
        <w:rPr>
          <w:rFonts w:ascii="Arial" w:hAnsi="Arial" w:cs="Arial"/>
          <w:sz w:val="20"/>
          <w:szCs w:val="20"/>
        </w:rPr>
        <w:t>E</w:t>
      </w:r>
      <w:r w:rsidR="0036680B">
        <w:rPr>
          <w:rFonts w:ascii="Arial" w:hAnsi="Arial" w:cs="Arial"/>
          <w:sz w:val="20"/>
          <w:szCs w:val="20"/>
        </w:rPr>
        <w:t>vropských strukturálních a investičních fondů v ČR</w:t>
      </w:r>
      <w:r w:rsidR="0036680B" w:rsidRPr="0036680B">
        <w:rPr>
          <w:rFonts w:ascii="Arial" w:hAnsi="Arial" w:cs="Arial"/>
          <w:sz w:val="20"/>
          <w:szCs w:val="20"/>
        </w:rPr>
        <w:t xml:space="preserve"> </w:t>
      </w:r>
      <w:r w:rsidR="0036680B" w:rsidRPr="008D21D0">
        <w:rPr>
          <w:rFonts w:ascii="Arial" w:hAnsi="Arial" w:cs="Arial"/>
          <w:sz w:val="20"/>
          <w:szCs w:val="20"/>
        </w:rPr>
        <w:t>v programovém období 2014–2020</w:t>
      </w:r>
      <w:r w:rsidR="006F1B97" w:rsidRPr="008D21D0">
        <w:rPr>
          <w:rFonts w:ascii="Arial" w:hAnsi="Arial" w:cs="Arial"/>
          <w:sz w:val="20"/>
          <w:szCs w:val="20"/>
        </w:rPr>
        <w:t xml:space="preserve">. Nadále probíhá aktualizace Metodického pokynu </w:t>
      </w:r>
      <w:r w:rsidR="0029769C">
        <w:rPr>
          <w:rFonts w:ascii="Arial" w:hAnsi="Arial" w:cs="Arial"/>
          <w:sz w:val="20"/>
          <w:szCs w:val="20"/>
        </w:rPr>
        <w:t>pro</w:t>
      </w:r>
      <w:r w:rsidR="0029769C" w:rsidRPr="008D21D0">
        <w:rPr>
          <w:rFonts w:ascii="Arial" w:hAnsi="Arial" w:cs="Arial"/>
          <w:sz w:val="20"/>
          <w:szCs w:val="20"/>
        </w:rPr>
        <w:t xml:space="preserve"> </w:t>
      </w:r>
      <w:r w:rsidR="006F1B97" w:rsidRPr="008D21D0">
        <w:rPr>
          <w:rFonts w:ascii="Arial" w:hAnsi="Arial" w:cs="Arial"/>
          <w:sz w:val="20"/>
          <w:szCs w:val="20"/>
        </w:rPr>
        <w:t xml:space="preserve">využití integrovaných </w:t>
      </w:r>
      <w:r w:rsidR="0029769C">
        <w:rPr>
          <w:rFonts w:ascii="Arial" w:hAnsi="Arial" w:cs="Arial"/>
          <w:sz w:val="20"/>
          <w:szCs w:val="20"/>
        </w:rPr>
        <w:t>nástrojů</w:t>
      </w:r>
      <w:r w:rsidR="0029769C" w:rsidRPr="008D21D0">
        <w:rPr>
          <w:rFonts w:ascii="Arial" w:hAnsi="Arial" w:cs="Arial"/>
          <w:sz w:val="20"/>
          <w:szCs w:val="20"/>
        </w:rPr>
        <w:t xml:space="preserve"> </w:t>
      </w:r>
      <w:r w:rsidR="006F1B97" w:rsidRPr="008D21D0">
        <w:rPr>
          <w:rFonts w:ascii="Arial" w:hAnsi="Arial" w:cs="Arial"/>
          <w:sz w:val="20"/>
          <w:szCs w:val="20"/>
        </w:rPr>
        <w:t>v</w:t>
      </w:r>
      <w:r w:rsidR="0036680B">
        <w:rPr>
          <w:rFonts w:ascii="Arial" w:hAnsi="Arial" w:cs="Arial"/>
          <w:sz w:val="20"/>
          <w:szCs w:val="20"/>
        </w:rPr>
        <w:t> </w:t>
      </w:r>
      <w:r w:rsidR="006F1B97" w:rsidRPr="008D21D0">
        <w:rPr>
          <w:rFonts w:ascii="Arial" w:hAnsi="Arial" w:cs="Arial"/>
          <w:sz w:val="20"/>
          <w:szCs w:val="20"/>
        </w:rPr>
        <w:t xml:space="preserve">programovém období 2014–2020. Aktualizace Metodického pokynu procesů řízení a monitorování </w:t>
      </w:r>
      <w:r w:rsidR="0029769C">
        <w:rPr>
          <w:rFonts w:ascii="Arial" w:hAnsi="Arial" w:cs="Arial"/>
          <w:sz w:val="20"/>
          <w:szCs w:val="20"/>
        </w:rPr>
        <w:t>Evropských strukturálních a investičních fondů</w:t>
      </w:r>
      <w:r w:rsidR="0029769C" w:rsidRPr="008D21D0">
        <w:rPr>
          <w:rFonts w:ascii="Arial" w:hAnsi="Arial" w:cs="Arial"/>
          <w:sz w:val="20"/>
          <w:szCs w:val="20"/>
        </w:rPr>
        <w:t xml:space="preserve"> </w:t>
      </w:r>
      <w:r w:rsidR="006F1B97" w:rsidRPr="008D21D0">
        <w:rPr>
          <w:rFonts w:ascii="Arial" w:hAnsi="Arial" w:cs="Arial"/>
          <w:sz w:val="20"/>
          <w:szCs w:val="20"/>
        </w:rPr>
        <w:t>v</w:t>
      </w:r>
      <w:r w:rsidR="00E55AC3" w:rsidRPr="008D21D0">
        <w:rPr>
          <w:rFonts w:ascii="Arial" w:hAnsi="Arial" w:cs="Arial"/>
          <w:sz w:val="20"/>
          <w:szCs w:val="20"/>
        </w:rPr>
        <w:t xml:space="preserve"> monitorovacím systému </w:t>
      </w:r>
      <w:r w:rsidR="006F1B97" w:rsidRPr="008D21D0">
        <w:rPr>
          <w:rFonts w:ascii="Arial" w:hAnsi="Arial" w:cs="Arial"/>
          <w:sz w:val="20"/>
          <w:szCs w:val="20"/>
        </w:rPr>
        <w:t>MS2014+ bude ukončena do</w:t>
      </w:r>
      <w:r w:rsidR="0029769C">
        <w:rPr>
          <w:rFonts w:ascii="Arial" w:hAnsi="Arial" w:cs="Arial"/>
          <w:sz w:val="20"/>
          <w:szCs w:val="20"/>
        </w:rPr>
        <w:t> </w:t>
      </w:r>
      <w:r w:rsidR="006F1B97" w:rsidRPr="008D21D0">
        <w:rPr>
          <w:rFonts w:ascii="Arial" w:hAnsi="Arial" w:cs="Arial"/>
          <w:sz w:val="20"/>
          <w:szCs w:val="20"/>
        </w:rPr>
        <w:t xml:space="preserve">poloviny roku 2015. Ke stejnému termínu je plánováno vydání Metodického pokynu pro certifikaci výdajů. </w:t>
      </w:r>
    </w:p>
    <w:p w:rsidR="008D21D0" w:rsidRDefault="006F1B97" w:rsidP="008D21D0">
      <w:pPr>
        <w:pStyle w:val="Prosttext"/>
        <w:spacing w:after="12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doporučení pro oblast veřejné podpory bylo odesláno vládě ČR </w:t>
      </w:r>
      <w:r w:rsidR="00E55AC3">
        <w:rPr>
          <w:rFonts w:ascii="Arial" w:hAnsi="Arial" w:cs="Arial"/>
          <w:sz w:val="20"/>
        </w:rPr>
        <w:t> pro informaci</w:t>
      </w:r>
      <w:r>
        <w:rPr>
          <w:rFonts w:ascii="Arial" w:hAnsi="Arial" w:cs="Arial"/>
          <w:sz w:val="20"/>
        </w:rPr>
        <w:t xml:space="preserve"> </w:t>
      </w:r>
      <w:r w:rsidR="00ED13F7">
        <w:rPr>
          <w:rFonts w:ascii="Arial" w:hAnsi="Arial" w:cs="Arial"/>
          <w:sz w:val="20"/>
        </w:rPr>
        <w:t xml:space="preserve">dne </w:t>
      </w:r>
      <w:r w:rsidR="00E5760D">
        <w:rPr>
          <w:rFonts w:ascii="Arial" w:hAnsi="Arial" w:cs="Arial"/>
          <w:sz w:val="20"/>
        </w:rPr>
        <w:t>31. </w:t>
      </w:r>
      <w:r>
        <w:rPr>
          <w:rFonts w:ascii="Arial" w:hAnsi="Arial" w:cs="Arial"/>
          <w:sz w:val="20"/>
        </w:rPr>
        <w:t>března 2015</w:t>
      </w:r>
      <w:r w:rsidR="00E55AC3">
        <w:rPr>
          <w:rFonts w:ascii="Arial" w:hAnsi="Arial" w:cs="Arial"/>
          <w:sz w:val="20"/>
        </w:rPr>
        <w:t xml:space="preserve"> a bylo zařazeno na jednání vlády </w:t>
      </w:r>
      <w:r w:rsidR="0036680B">
        <w:rPr>
          <w:rFonts w:ascii="Arial" w:hAnsi="Arial" w:cs="Arial"/>
          <w:sz w:val="20"/>
        </w:rPr>
        <w:t xml:space="preserve">ČR </w:t>
      </w:r>
      <w:r w:rsidR="00E55AC3">
        <w:rPr>
          <w:rFonts w:ascii="Arial" w:hAnsi="Arial" w:cs="Arial"/>
          <w:sz w:val="20"/>
        </w:rPr>
        <w:t>dne 8. dubna 2015</w:t>
      </w:r>
      <w:r>
        <w:rPr>
          <w:rFonts w:ascii="Arial" w:hAnsi="Arial" w:cs="Arial"/>
          <w:sz w:val="20"/>
        </w:rPr>
        <w:t xml:space="preserve">. </w:t>
      </w:r>
    </w:p>
    <w:p w:rsidR="008204C8" w:rsidRPr="008D21D0" w:rsidRDefault="00ED13F7" w:rsidP="008D21D0">
      <w:pPr>
        <w:pStyle w:val="Prosttext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Dne </w:t>
      </w:r>
      <w:r w:rsidR="006F1B97">
        <w:rPr>
          <w:rFonts w:ascii="Arial" w:hAnsi="Arial" w:cs="Arial"/>
          <w:sz w:val="20"/>
        </w:rPr>
        <w:t>26. března</w:t>
      </w:r>
      <w:r w:rsidR="00F97CC3">
        <w:rPr>
          <w:rFonts w:ascii="Arial" w:hAnsi="Arial" w:cs="Arial"/>
          <w:sz w:val="20"/>
        </w:rPr>
        <w:t xml:space="preserve"> 2015 byla vydána</w:t>
      </w:r>
      <w:r>
        <w:rPr>
          <w:rFonts w:ascii="Arial" w:hAnsi="Arial" w:cs="Arial"/>
          <w:sz w:val="20"/>
        </w:rPr>
        <w:t xml:space="preserve"> také</w:t>
      </w:r>
      <w:r w:rsidR="00F97CC3">
        <w:rPr>
          <w:rFonts w:ascii="Arial" w:hAnsi="Arial" w:cs="Arial"/>
          <w:sz w:val="20"/>
        </w:rPr>
        <w:t xml:space="preserve"> </w:t>
      </w:r>
      <w:r w:rsidR="00F97CC3" w:rsidRPr="00CC21CD">
        <w:rPr>
          <w:rFonts w:ascii="Arial" w:hAnsi="Arial" w:cs="Arial"/>
          <w:b/>
          <w:sz w:val="20"/>
        </w:rPr>
        <w:t>zastřešující Metodika řízení programů</w:t>
      </w:r>
      <w:r w:rsidR="0029769C">
        <w:rPr>
          <w:rFonts w:ascii="Arial" w:hAnsi="Arial" w:cs="Arial"/>
          <w:b/>
          <w:sz w:val="20"/>
        </w:rPr>
        <w:t xml:space="preserve"> v programovém období 2014–2020</w:t>
      </w:r>
      <w:r w:rsidR="00F97CC3">
        <w:rPr>
          <w:rFonts w:ascii="Arial" w:hAnsi="Arial" w:cs="Arial"/>
          <w:sz w:val="20"/>
        </w:rPr>
        <w:t>, která zahrnuje</w:t>
      </w:r>
      <w:r w:rsidR="00F97CC3" w:rsidRPr="00F026D0">
        <w:rPr>
          <w:rFonts w:ascii="Arial" w:hAnsi="Arial" w:cs="Arial"/>
          <w:sz w:val="20"/>
        </w:rPr>
        <w:t xml:space="preserve"> všechny dosud vydané metodické pokyny a doporučení v gesci </w:t>
      </w:r>
      <w:r w:rsidR="00F97CC3">
        <w:rPr>
          <w:rFonts w:ascii="Arial" w:hAnsi="Arial" w:cs="Arial"/>
          <w:sz w:val="20"/>
        </w:rPr>
        <w:t>MMR a MF</w:t>
      </w:r>
      <w:r w:rsidR="00F97CC3" w:rsidRPr="00F026D0">
        <w:rPr>
          <w:rFonts w:ascii="Arial" w:hAnsi="Arial" w:cs="Arial"/>
          <w:sz w:val="20"/>
        </w:rPr>
        <w:t>.</w:t>
      </w:r>
    </w:p>
    <w:p w:rsidR="00D03EAB" w:rsidRDefault="00D03EAB">
      <w:pPr>
        <w:spacing w:before="0" w:line="240" w:lineRule="auto"/>
        <w:jc w:val="left"/>
        <w:rPr>
          <w:rFonts w:ascii="Arial" w:eastAsiaTheme="majorEastAsia" w:hAnsi="Arial" w:cs="Arial"/>
          <w:b/>
          <w:bCs/>
          <w:sz w:val="36"/>
          <w:szCs w:val="32"/>
        </w:rPr>
      </w:pPr>
      <w:r>
        <w:br w:type="page"/>
      </w:r>
    </w:p>
    <w:p w:rsidR="00FB189D" w:rsidRDefault="00935294" w:rsidP="009C54BD">
      <w:pPr>
        <w:pStyle w:val="Nadpis1"/>
        <w:numPr>
          <w:ilvl w:val="0"/>
          <w:numId w:val="0"/>
        </w:numPr>
      </w:pPr>
      <w:bookmarkStart w:id="84" w:name="_Toc415736293"/>
      <w:r>
        <w:lastRenderedPageBreak/>
        <w:t>Seznam zkratek</w:t>
      </w:r>
      <w:bookmarkEnd w:id="83"/>
      <w:bookmarkEnd w:id="84"/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ČR</w:t>
      </w:r>
      <w:r w:rsidRPr="0070374F">
        <w:rPr>
          <w:rFonts w:ascii="Arial" w:hAnsi="Arial" w:cs="Arial"/>
          <w:sz w:val="20"/>
          <w:szCs w:val="20"/>
        </w:rPr>
        <w:tab/>
        <w:t>Česká republika</w:t>
      </w:r>
    </w:p>
    <w:p w:rsidR="00B65CE1" w:rsidRDefault="00B65CE1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DG </w:t>
      </w:r>
      <w:r w:rsidR="00E5760D">
        <w:rPr>
          <w:rFonts w:ascii="Arial" w:hAnsi="Arial" w:cs="Arial"/>
          <w:sz w:val="20"/>
          <w:szCs w:val="20"/>
        </w:rPr>
        <w:t>ENVI</w:t>
      </w:r>
      <w:r w:rsidR="007701B6">
        <w:rPr>
          <w:rFonts w:ascii="Arial" w:hAnsi="Arial" w:cs="Arial"/>
          <w:sz w:val="20"/>
          <w:szCs w:val="20"/>
        </w:rPr>
        <w:tab/>
        <w:t xml:space="preserve">Generální ředitelství pro </w:t>
      </w:r>
      <w:r w:rsidR="00E5760D">
        <w:rPr>
          <w:rFonts w:ascii="Arial" w:hAnsi="Arial" w:cs="Arial"/>
          <w:sz w:val="20"/>
          <w:szCs w:val="20"/>
        </w:rPr>
        <w:t>životní prostředí</w:t>
      </w:r>
    </w:p>
    <w:p w:rsidR="00622056" w:rsidRDefault="00622056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EFRR </w:t>
      </w:r>
      <w:r>
        <w:rPr>
          <w:rFonts w:ascii="Arial" w:hAnsi="Arial" w:cs="Arial"/>
          <w:sz w:val="20"/>
        </w:rPr>
        <w:tab/>
        <w:t>Evropský fond pro regionální rozvoj</w:t>
      </w:r>
    </w:p>
    <w:p w:rsidR="00BC0589" w:rsidRPr="0070374F" w:rsidRDefault="00BC0589" w:rsidP="00BC0589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EIA</w:t>
      </w:r>
      <w:r w:rsidRPr="0070374F">
        <w:rPr>
          <w:rFonts w:ascii="Arial" w:hAnsi="Arial" w:cs="Arial"/>
          <w:sz w:val="20"/>
          <w:szCs w:val="20"/>
        </w:rPr>
        <w:tab/>
        <w:t>Hodnocení vlivu na životní prostředí (Environmental Impact Assessment)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EK</w:t>
      </w:r>
      <w:r w:rsidRPr="0070374F">
        <w:rPr>
          <w:rFonts w:ascii="Arial" w:hAnsi="Arial" w:cs="Arial"/>
          <w:sz w:val="20"/>
          <w:szCs w:val="20"/>
        </w:rPr>
        <w:tab/>
        <w:t>Evropská komise</w:t>
      </w:r>
    </w:p>
    <w:p w:rsidR="007701B6" w:rsidRDefault="007701B6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ENRF</w:t>
      </w:r>
      <w:r>
        <w:rPr>
          <w:rFonts w:ascii="Arial" w:hAnsi="Arial" w:cs="Arial"/>
          <w:sz w:val="20"/>
          <w:szCs w:val="20"/>
        </w:rPr>
        <w:tab/>
        <w:t>Evropský námořní a rybářský fond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ESI fondy</w:t>
      </w:r>
      <w:r w:rsidRPr="0070374F">
        <w:rPr>
          <w:rFonts w:ascii="Arial" w:hAnsi="Arial" w:cs="Arial"/>
          <w:sz w:val="20"/>
          <w:szCs w:val="20"/>
        </w:rPr>
        <w:tab/>
        <w:t>Evropské strukturální a investiční fondy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EU</w:t>
      </w:r>
      <w:r w:rsidRPr="0070374F">
        <w:rPr>
          <w:rFonts w:ascii="Arial" w:hAnsi="Arial" w:cs="Arial"/>
          <w:sz w:val="20"/>
          <w:szCs w:val="20"/>
        </w:rPr>
        <w:tab/>
        <w:t>Evropská unie</w:t>
      </w:r>
    </w:p>
    <w:p w:rsidR="003463F1" w:rsidRPr="0070374F" w:rsidRDefault="003463F1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EÚS</w:t>
      </w:r>
      <w:r w:rsidRPr="0070374F">
        <w:rPr>
          <w:rFonts w:ascii="Arial" w:hAnsi="Arial" w:cs="Arial"/>
          <w:sz w:val="20"/>
          <w:szCs w:val="20"/>
        </w:rPr>
        <w:tab/>
        <w:t>Evropská územní spolupráce</w:t>
      </w:r>
    </w:p>
    <w:p w:rsidR="00E5760D" w:rsidRDefault="00E5760D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EZFRV</w:t>
      </w:r>
      <w:r>
        <w:rPr>
          <w:rFonts w:ascii="Arial" w:hAnsi="Arial" w:cs="Arial"/>
          <w:sz w:val="20"/>
          <w:szCs w:val="20"/>
        </w:rPr>
        <w:tab/>
        <w:t>Evropský zemědělský fond pro rozvoj venkova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IROP</w:t>
      </w:r>
      <w:r w:rsidRPr="0070374F">
        <w:rPr>
          <w:rFonts w:ascii="Arial" w:hAnsi="Arial" w:cs="Arial"/>
          <w:sz w:val="20"/>
          <w:szCs w:val="20"/>
        </w:rPr>
        <w:tab/>
        <w:t>Integrovaný regionální operační program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JMP</w:t>
      </w:r>
      <w:r w:rsidRPr="0070374F">
        <w:rPr>
          <w:rFonts w:ascii="Arial" w:hAnsi="Arial" w:cs="Arial"/>
          <w:sz w:val="20"/>
          <w:szCs w:val="20"/>
        </w:rPr>
        <w:tab/>
        <w:t>Jednotné metodické prostředí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MD</w:t>
      </w:r>
      <w:r w:rsidRPr="0070374F">
        <w:rPr>
          <w:rFonts w:ascii="Arial" w:hAnsi="Arial" w:cs="Arial"/>
          <w:sz w:val="20"/>
          <w:szCs w:val="20"/>
        </w:rPr>
        <w:tab/>
        <w:t>Ministerstvo dopravy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MF</w:t>
      </w:r>
      <w:r w:rsidRPr="0070374F">
        <w:rPr>
          <w:rFonts w:ascii="Arial" w:hAnsi="Arial" w:cs="Arial"/>
          <w:sz w:val="20"/>
          <w:szCs w:val="20"/>
        </w:rPr>
        <w:tab/>
        <w:t>Ministerstvo financí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MMR-NOK</w:t>
      </w:r>
      <w:r w:rsidRPr="0070374F">
        <w:rPr>
          <w:rFonts w:ascii="Arial" w:hAnsi="Arial" w:cs="Arial"/>
          <w:sz w:val="20"/>
          <w:szCs w:val="20"/>
        </w:rPr>
        <w:tab/>
        <w:t xml:space="preserve">Ministerstvo pro místní rozvoj </w:t>
      </w:r>
      <w:r w:rsidR="00B161E3" w:rsidRPr="0070374F">
        <w:rPr>
          <w:rFonts w:ascii="Arial" w:hAnsi="Arial" w:cs="Arial"/>
          <w:sz w:val="20"/>
          <w:szCs w:val="20"/>
        </w:rPr>
        <w:t>-</w:t>
      </w:r>
      <w:r w:rsidRPr="0070374F">
        <w:rPr>
          <w:rFonts w:ascii="Arial" w:hAnsi="Arial" w:cs="Arial"/>
          <w:sz w:val="20"/>
          <w:szCs w:val="20"/>
        </w:rPr>
        <w:t xml:space="preserve"> Národní orgán pro koordinaci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MPO</w:t>
      </w:r>
      <w:r w:rsidRPr="0070374F">
        <w:rPr>
          <w:rFonts w:ascii="Arial" w:hAnsi="Arial" w:cs="Arial"/>
          <w:sz w:val="20"/>
          <w:szCs w:val="20"/>
        </w:rPr>
        <w:tab/>
        <w:t>Ministerstvo průmyslu a obchodu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MPSV</w:t>
      </w:r>
      <w:r w:rsidRPr="0070374F">
        <w:rPr>
          <w:rFonts w:ascii="Arial" w:hAnsi="Arial" w:cs="Arial"/>
          <w:sz w:val="20"/>
          <w:szCs w:val="20"/>
        </w:rPr>
        <w:tab/>
        <w:t>Ministerstvo práce a sociálních věcí</w:t>
      </w:r>
    </w:p>
    <w:p w:rsidR="00074D6F" w:rsidRPr="0070374F" w:rsidRDefault="00074D6F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MS2014+</w:t>
      </w:r>
      <w:r w:rsidRPr="0070374F">
        <w:rPr>
          <w:rFonts w:ascii="Arial" w:hAnsi="Arial" w:cs="Arial"/>
          <w:sz w:val="20"/>
          <w:szCs w:val="20"/>
        </w:rPr>
        <w:tab/>
        <w:t xml:space="preserve">Jednotný monitorovací systém pro programové období 2014–2020 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MSp</w:t>
      </w:r>
      <w:r w:rsidRPr="0070374F">
        <w:rPr>
          <w:rFonts w:ascii="Arial" w:hAnsi="Arial" w:cs="Arial"/>
          <w:sz w:val="20"/>
          <w:szCs w:val="20"/>
        </w:rPr>
        <w:tab/>
        <w:t>Ministerstvo spravedlnosti</w:t>
      </w:r>
    </w:p>
    <w:p w:rsidR="005D7FB9" w:rsidRDefault="005D7FB9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MSP</w:t>
      </w:r>
      <w:r>
        <w:rPr>
          <w:rFonts w:ascii="Arial" w:hAnsi="Arial" w:cs="Arial"/>
          <w:sz w:val="20"/>
          <w:szCs w:val="20"/>
        </w:rPr>
        <w:tab/>
        <w:t>Malé a střední podniky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MŠMT</w:t>
      </w:r>
      <w:r w:rsidRPr="0070374F">
        <w:rPr>
          <w:rFonts w:ascii="Arial" w:hAnsi="Arial" w:cs="Arial"/>
          <w:sz w:val="20"/>
          <w:szCs w:val="20"/>
        </w:rPr>
        <w:tab/>
        <w:t>Ministerstvo školství, mládeže a tělovýchovy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MV</w:t>
      </w:r>
      <w:r w:rsidRPr="0070374F">
        <w:rPr>
          <w:rFonts w:ascii="Arial" w:hAnsi="Arial" w:cs="Arial"/>
          <w:sz w:val="20"/>
          <w:szCs w:val="20"/>
        </w:rPr>
        <w:tab/>
        <w:t>Ministerstvo vnitra</w:t>
      </w:r>
    </w:p>
    <w:p w:rsidR="009931BE" w:rsidRPr="0070374F" w:rsidRDefault="009931BE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MZd</w:t>
      </w:r>
      <w:r w:rsidRPr="0070374F">
        <w:rPr>
          <w:rFonts w:ascii="Arial" w:hAnsi="Arial" w:cs="Arial"/>
          <w:sz w:val="20"/>
          <w:szCs w:val="20"/>
        </w:rPr>
        <w:tab/>
        <w:t>Ministerstvo zdravotnictví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MZe</w:t>
      </w:r>
      <w:r w:rsidRPr="0070374F">
        <w:rPr>
          <w:rFonts w:ascii="Arial" w:hAnsi="Arial" w:cs="Arial"/>
          <w:sz w:val="20"/>
          <w:szCs w:val="20"/>
        </w:rPr>
        <w:tab/>
        <w:t>Ministerstvo zemědělství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MŽP</w:t>
      </w:r>
      <w:r w:rsidRPr="0070374F">
        <w:rPr>
          <w:rFonts w:ascii="Arial" w:hAnsi="Arial" w:cs="Arial"/>
          <w:sz w:val="20"/>
          <w:szCs w:val="20"/>
        </w:rPr>
        <w:tab/>
        <w:t>Ministerstvo životního prostředí</w:t>
      </w:r>
    </w:p>
    <w:p w:rsidR="00953F6A" w:rsidRPr="0070374F" w:rsidRDefault="00953F6A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</w:t>
      </w:r>
      <w:r w:rsidRPr="0070374F">
        <w:rPr>
          <w:rFonts w:ascii="Arial" w:hAnsi="Arial" w:cs="Arial"/>
          <w:sz w:val="20"/>
          <w:szCs w:val="20"/>
        </w:rPr>
        <w:tab/>
        <w:t>Operační program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D</w:t>
      </w:r>
      <w:r w:rsidRPr="0070374F">
        <w:rPr>
          <w:rFonts w:ascii="Arial" w:hAnsi="Arial" w:cs="Arial"/>
          <w:sz w:val="20"/>
          <w:szCs w:val="20"/>
        </w:rPr>
        <w:tab/>
        <w:t>OP Doprava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PIK</w:t>
      </w:r>
      <w:r w:rsidRPr="0070374F">
        <w:rPr>
          <w:rFonts w:ascii="Arial" w:hAnsi="Arial" w:cs="Arial"/>
          <w:sz w:val="20"/>
          <w:szCs w:val="20"/>
        </w:rPr>
        <w:tab/>
        <w:t>OP Podnikání a inovace pro konkurenceschopnost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PPR</w:t>
      </w:r>
      <w:r w:rsidRPr="0070374F">
        <w:rPr>
          <w:rFonts w:ascii="Arial" w:hAnsi="Arial" w:cs="Arial"/>
          <w:sz w:val="20"/>
          <w:szCs w:val="20"/>
        </w:rPr>
        <w:tab/>
        <w:t>OP Praha - pól růstu ČR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R</w:t>
      </w:r>
      <w:r w:rsidRPr="0070374F">
        <w:rPr>
          <w:rFonts w:ascii="Arial" w:hAnsi="Arial" w:cs="Arial"/>
          <w:sz w:val="20"/>
          <w:szCs w:val="20"/>
        </w:rPr>
        <w:tab/>
        <w:t>OP Rybářství</w:t>
      </w:r>
    </w:p>
    <w:p w:rsidR="00BC2083" w:rsidRPr="0070374F" w:rsidRDefault="00BC208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TP</w:t>
      </w:r>
      <w:r w:rsidRPr="0070374F">
        <w:rPr>
          <w:rFonts w:ascii="Arial" w:hAnsi="Arial" w:cs="Arial"/>
          <w:sz w:val="20"/>
          <w:szCs w:val="20"/>
        </w:rPr>
        <w:tab/>
        <w:t>OP Technická pomoc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VVV</w:t>
      </w:r>
      <w:r w:rsidRPr="0070374F">
        <w:rPr>
          <w:rFonts w:ascii="Arial" w:hAnsi="Arial" w:cs="Arial"/>
          <w:sz w:val="20"/>
          <w:szCs w:val="20"/>
        </w:rPr>
        <w:tab/>
        <w:t>OP Výzkum, vývoj a vzdělávání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Z </w:t>
      </w:r>
      <w:r w:rsidRPr="0070374F">
        <w:rPr>
          <w:rFonts w:ascii="Arial" w:hAnsi="Arial" w:cs="Arial"/>
          <w:sz w:val="20"/>
          <w:szCs w:val="20"/>
        </w:rPr>
        <w:tab/>
        <w:t>OP Zaměstnanost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OP ŽP</w:t>
      </w:r>
      <w:r w:rsidRPr="0070374F">
        <w:rPr>
          <w:rFonts w:ascii="Arial" w:hAnsi="Arial" w:cs="Arial"/>
          <w:sz w:val="20"/>
          <w:szCs w:val="20"/>
        </w:rPr>
        <w:tab/>
        <w:t>OP Životní prostředí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PP</w:t>
      </w:r>
      <w:r w:rsidRPr="0070374F">
        <w:rPr>
          <w:rFonts w:ascii="Arial" w:hAnsi="Arial" w:cs="Arial"/>
          <w:sz w:val="20"/>
          <w:szCs w:val="20"/>
        </w:rPr>
        <w:tab/>
        <w:t>Předběžná podmínka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PRV</w:t>
      </w:r>
      <w:r w:rsidRPr="0070374F">
        <w:rPr>
          <w:rFonts w:ascii="Arial" w:hAnsi="Arial" w:cs="Arial"/>
          <w:sz w:val="20"/>
          <w:szCs w:val="20"/>
        </w:rPr>
        <w:tab/>
        <w:t>Program rozvoje venkova</w:t>
      </w:r>
    </w:p>
    <w:p w:rsidR="00B161E3" w:rsidRPr="0070374F" w:rsidRDefault="00B161E3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RIS3</w:t>
      </w:r>
      <w:r w:rsidRPr="0070374F">
        <w:rPr>
          <w:rFonts w:ascii="Arial" w:hAnsi="Arial" w:cs="Arial"/>
          <w:sz w:val="20"/>
          <w:szCs w:val="20"/>
        </w:rPr>
        <w:tab/>
        <w:t>Strategie inteligentní specializace</w:t>
      </w:r>
    </w:p>
    <w:p w:rsidR="005C4A67" w:rsidRPr="0070374F" w:rsidRDefault="005C4A67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ŘO</w:t>
      </w:r>
      <w:r w:rsidRPr="0070374F">
        <w:rPr>
          <w:rFonts w:ascii="Arial" w:hAnsi="Arial" w:cs="Arial"/>
          <w:sz w:val="20"/>
          <w:szCs w:val="20"/>
        </w:rPr>
        <w:tab/>
        <w:t>Řídicí orgán</w:t>
      </w:r>
    </w:p>
    <w:p w:rsidR="00953F6A" w:rsidRPr="0070374F" w:rsidRDefault="00953F6A" w:rsidP="005C4A67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SEA</w:t>
      </w:r>
      <w:r w:rsidR="005C4A67" w:rsidRPr="0070374F">
        <w:rPr>
          <w:rFonts w:ascii="Arial" w:hAnsi="Arial" w:cs="Arial"/>
          <w:sz w:val="20"/>
          <w:szCs w:val="20"/>
        </w:rPr>
        <w:tab/>
        <w:t>Hodnocení vlivů na životní prostředí (Strategic Environment Assessment)</w:t>
      </w:r>
    </w:p>
    <w:p w:rsidR="00BC0589" w:rsidRDefault="00BC0589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 w:rsidRPr="0070374F">
        <w:rPr>
          <w:rFonts w:ascii="Arial" w:hAnsi="Arial" w:cs="Arial"/>
          <w:sz w:val="20"/>
          <w:szCs w:val="20"/>
        </w:rPr>
        <w:t>SPZ</w:t>
      </w:r>
      <w:r w:rsidRPr="0070374F">
        <w:rPr>
          <w:rFonts w:ascii="Arial" w:hAnsi="Arial" w:cs="Arial"/>
          <w:sz w:val="20"/>
          <w:szCs w:val="20"/>
        </w:rPr>
        <w:tab/>
        <w:t>Strategie politiky zaměstnanosti</w:t>
      </w:r>
    </w:p>
    <w:p w:rsidR="00E5760D" w:rsidRPr="0070374F" w:rsidRDefault="00E5760D" w:rsidP="00FB189D">
      <w:pPr>
        <w:pStyle w:val="Odstavecseseznamem"/>
        <w:tabs>
          <w:tab w:val="left" w:pos="2835"/>
        </w:tabs>
        <w:spacing w:after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ÚV</w:t>
      </w:r>
      <w:r>
        <w:rPr>
          <w:rFonts w:ascii="Arial" w:hAnsi="Arial" w:cs="Arial"/>
          <w:sz w:val="20"/>
          <w:szCs w:val="20"/>
        </w:rPr>
        <w:tab/>
        <w:t>Úřad vlády ČR</w:t>
      </w:r>
    </w:p>
    <w:p w:rsidR="000E2612" w:rsidRDefault="000E2612">
      <w:pPr>
        <w:spacing w:before="0" w:line="240" w:lineRule="auto"/>
        <w:jc w:val="left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E2612" w:rsidRDefault="000E2612" w:rsidP="000E2612">
      <w:pPr>
        <w:pStyle w:val="Nadpis1"/>
        <w:numPr>
          <w:ilvl w:val="0"/>
          <w:numId w:val="0"/>
        </w:numPr>
      </w:pPr>
      <w:bookmarkStart w:id="85" w:name="_Toc415736294"/>
      <w:r>
        <w:lastRenderedPageBreak/>
        <w:t>Příloha</w:t>
      </w:r>
      <w:bookmarkEnd w:id="85"/>
    </w:p>
    <w:p w:rsidR="00622056" w:rsidRPr="00622056" w:rsidRDefault="00622056" w:rsidP="00CA5C06">
      <w:pPr>
        <w:rPr>
          <w:rFonts w:ascii="Arial" w:hAnsi="Arial" w:cs="Arial"/>
          <w:b/>
          <w:sz w:val="24"/>
          <w:u w:val="single"/>
        </w:rPr>
      </w:pPr>
      <w:r w:rsidRPr="00622056">
        <w:rPr>
          <w:rFonts w:ascii="Arial" w:hAnsi="Arial" w:cs="Arial"/>
          <w:b/>
          <w:sz w:val="24"/>
          <w:u w:val="single"/>
        </w:rPr>
        <w:t>Programy v rámci cíle Evropská územní spolupráce</w:t>
      </w:r>
    </w:p>
    <w:p w:rsidR="007B09B5" w:rsidRDefault="000500B0" w:rsidP="00CA5C0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Vedle programů spolufinancovaných z Evropského fondu pro regionální rozvoj (EFRR) v rámci cíle Investice pro růst a zaměstnanost byly usnesením</w:t>
      </w:r>
      <w:r w:rsidR="007B09B5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vlády </w:t>
      </w:r>
      <w:r w:rsidR="0036680B">
        <w:rPr>
          <w:rFonts w:ascii="Arial" w:hAnsi="Arial" w:cs="Arial"/>
          <w:sz w:val="20"/>
        </w:rPr>
        <w:t xml:space="preserve">ČR </w:t>
      </w:r>
      <w:r w:rsidR="007B09B5">
        <w:rPr>
          <w:rFonts w:ascii="Arial" w:hAnsi="Arial" w:cs="Arial"/>
          <w:sz w:val="20"/>
        </w:rPr>
        <w:t xml:space="preserve">č. 867 </w:t>
      </w:r>
      <w:r>
        <w:rPr>
          <w:rFonts w:ascii="Arial" w:hAnsi="Arial" w:cs="Arial"/>
          <w:sz w:val="20"/>
        </w:rPr>
        <w:t xml:space="preserve">ze dne 28. listopadu 2012 </w:t>
      </w:r>
      <w:r w:rsidR="007B09B5">
        <w:rPr>
          <w:rFonts w:ascii="Arial" w:hAnsi="Arial" w:cs="Arial"/>
          <w:sz w:val="20"/>
        </w:rPr>
        <w:t>a č. 447 ze dne 12. června 201</w:t>
      </w:r>
      <w:r w:rsidR="00622056">
        <w:rPr>
          <w:rFonts w:ascii="Arial" w:hAnsi="Arial" w:cs="Arial"/>
          <w:sz w:val="20"/>
        </w:rPr>
        <w:t>4</w:t>
      </w:r>
      <w:r w:rsidR="007B09B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vymezeny rovněž programy spolufinancované z EFRR v rámci cíle Evropská územní spolupráce. </w:t>
      </w:r>
    </w:p>
    <w:p w:rsidR="000500B0" w:rsidRDefault="007B09B5" w:rsidP="00CA5C0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návaznosti na vyjednávání těchto programů s EK </w:t>
      </w:r>
      <w:r w:rsidRPr="00622056">
        <w:rPr>
          <w:rFonts w:ascii="Arial" w:hAnsi="Arial" w:cs="Arial"/>
          <w:b/>
          <w:sz w:val="20"/>
        </w:rPr>
        <w:t xml:space="preserve">došlo v souladu s požadavkem EK ke změně názvů některých z těchto programů </w:t>
      </w:r>
      <w:r w:rsidRPr="00622056">
        <w:rPr>
          <w:rFonts w:ascii="Arial" w:hAnsi="Arial" w:cs="Arial"/>
          <w:sz w:val="20"/>
        </w:rPr>
        <w:t>oproti názvům uvedeným ve</w:t>
      </w:r>
      <w:r w:rsidR="00E5760D">
        <w:rPr>
          <w:rFonts w:ascii="Arial" w:hAnsi="Arial" w:cs="Arial"/>
          <w:sz w:val="20"/>
        </w:rPr>
        <w:t> zmíněných usneseních vlády</w:t>
      </w:r>
      <w:r w:rsidR="0036680B">
        <w:rPr>
          <w:rFonts w:ascii="Arial" w:hAnsi="Arial" w:cs="Arial"/>
          <w:sz w:val="20"/>
        </w:rPr>
        <w:t xml:space="preserve"> ČR</w:t>
      </w:r>
      <w:r w:rsidR="00E5760D">
        <w:rPr>
          <w:rFonts w:ascii="Arial" w:hAnsi="Arial" w:cs="Arial"/>
          <w:sz w:val="20"/>
        </w:rPr>
        <w:t>. To </w:t>
      </w:r>
      <w:r w:rsidRPr="00622056">
        <w:rPr>
          <w:rFonts w:ascii="Arial" w:hAnsi="Arial" w:cs="Arial"/>
          <w:sz w:val="20"/>
        </w:rPr>
        <w:t>se týká zejména programů v </w:t>
      </w:r>
      <w:r w:rsidR="00582C56">
        <w:rPr>
          <w:rFonts w:ascii="Arial" w:hAnsi="Arial" w:cs="Arial"/>
          <w:sz w:val="20"/>
        </w:rPr>
        <w:t>rámci</w:t>
      </w:r>
      <w:r w:rsidRPr="00622056">
        <w:rPr>
          <w:rFonts w:ascii="Arial" w:hAnsi="Arial" w:cs="Arial"/>
          <w:sz w:val="20"/>
        </w:rPr>
        <w:t xml:space="preserve"> přeshraniční spolup</w:t>
      </w:r>
      <w:r>
        <w:rPr>
          <w:rFonts w:ascii="Arial" w:hAnsi="Arial" w:cs="Arial"/>
          <w:sz w:val="20"/>
        </w:rPr>
        <w:t xml:space="preserve">ráce, kde </w:t>
      </w:r>
      <w:r w:rsidRPr="00622056">
        <w:rPr>
          <w:rFonts w:ascii="Arial" w:hAnsi="Arial" w:cs="Arial"/>
          <w:sz w:val="20"/>
        </w:rPr>
        <w:t xml:space="preserve">s cílem harmonizace názvů těchto programů napříč jednotlivými členskými státy je </w:t>
      </w:r>
      <w:r w:rsidRPr="00622056">
        <w:rPr>
          <w:rFonts w:ascii="Arial" w:hAnsi="Arial" w:cs="Arial"/>
          <w:b/>
          <w:sz w:val="20"/>
        </w:rPr>
        <w:t xml:space="preserve">ze strany EK požadováno </w:t>
      </w:r>
      <w:r w:rsidR="00582C56">
        <w:rPr>
          <w:rFonts w:ascii="Arial" w:hAnsi="Arial" w:cs="Arial"/>
          <w:b/>
          <w:sz w:val="20"/>
        </w:rPr>
        <w:t xml:space="preserve">shodné </w:t>
      </w:r>
      <w:r w:rsidRPr="00622056">
        <w:rPr>
          <w:rFonts w:ascii="Arial" w:hAnsi="Arial" w:cs="Arial"/>
          <w:b/>
          <w:sz w:val="20"/>
        </w:rPr>
        <w:t>pojmenování INTERREG V-A</w:t>
      </w:r>
      <w:r>
        <w:rPr>
          <w:rFonts w:ascii="Arial" w:hAnsi="Arial" w:cs="Arial"/>
          <w:sz w:val="20"/>
        </w:rPr>
        <w:t xml:space="preserve">, ačkoliv legislativa EU toto neupravuje. Až v prováděcím nařízení EK, kterým byl schválen seznam </w:t>
      </w:r>
      <w:r w:rsidR="00622056">
        <w:rPr>
          <w:rFonts w:ascii="Arial" w:hAnsi="Arial" w:cs="Arial"/>
          <w:sz w:val="20"/>
        </w:rPr>
        <w:t>programů</w:t>
      </w:r>
      <w:r>
        <w:rPr>
          <w:rFonts w:ascii="Arial" w:hAnsi="Arial" w:cs="Arial"/>
          <w:sz w:val="20"/>
        </w:rPr>
        <w:t>, jsou programy</w:t>
      </w:r>
      <w:r w:rsidR="00622056">
        <w:rPr>
          <w:rFonts w:ascii="Arial" w:hAnsi="Arial" w:cs="Arial"/>
          <w:sz w:val="20"/>
        </w:rPr>
        <w:t xml:space="preserve"> přeshraniční spolupráce</w:t>
      </w:r>
      <w:r>
        <w:rPr>
          <w:rFonts w:ascii="Arial" w:hAnsi="Arial" w:cs="Arial"/>
          <w:sz w:val="20"/>
        </w:rPr>
        <w:t xml:space="preserve"> jako INTERREG V</w:t>
      </w:r>
      <w:r>
        <w:rPr>
          <w:rFonts w:ascii="Arial" w:hAnsi="Arial" w:cs="Arial"/>
          <w:sz w:val="20"/>
        </w:rPr>
        <w:noBreakHyphen/>
        <w:t>A</w:t>
      </w:r>
      <w:r w:rsidR="00582C56" w:rsidRPr="00582C56">
        <w:rPr>
          <w:rFonts w:ascii="Arial" w:hAnsi="Arial" w:cs="Arial"/>
          <w:sz w:val="20"/>
        </w:rPr>
        <w:t xml:space="preserve"> </w:t>
      </w:r>
      <w:r w:rsidR="00582C56">
        <w:rPr>
          <w:rFonts w:ascii="Arial" w:hAnsi="Arial" w:cs="Arial"/>
          <w:sz w:val="20"/>
        </w:rPr>
        <w:t>označeny</w:t>
      </w:r>
      <w:r>
        <w:rPr>
          <w:rFonts w:ascii="Arial" w:hAnsi="Arial" w:cs="Arial"/>
          <w:sz w:val="20"/>
        </w:rPr>
        <w:t>.</w:t>
      </w:r>
    </w:p>
    <w:p w:rsidR="007B09B5" w:rsidRDefault="007B09B5" w:rsidP="007B09B5">
      <w:pPr>
        <w:spacing w:after="2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EK se k názvům programů vyjádřila až v průběhu předkládání připomínek v rámci vyjednávání</w:t>
      </w:r>
      <w:r w:rsidR="00582C56">
        <w:rPr>
          <w:rFonts w:ascii="Arial" w:hAnsi="Arial" w:cs="Arial"/>
          <w:sz w:val="20"/>
        </w:rPr>
        <w:t xml:space="preserve"> jednotlivých programů</w:t>
      </w:r>
      <w:r>
        <w:rPr>
          <w:rFonts w:ascii="Arial" w:hAnsi="Arial" w:cs="Arial"/>
          <w:sz w:val="20"/>
        </w:rPr>
        <w:t xml:space="preserve">. V návaznosti na jednání s partnery zainteresovanými v přípravě </w:t>
      </w:r>
      <w:r w:rsidR="00582C56">
        <w:rPr>
          <w:rFonts w:ascii="Arial" w:hAnsi="Arial" w:cs="Arial"/>
          <w:sz w:val="20"/>
        </w:rPr>
        <w:t>těchto</w:t>
      </w:r>
      <w:r>
        <w:rPr>
          <w:rFonts w:ascii="Arial" w:hAnsi="Arial" w:cs="Arial"/>
          <w:sz w:val="20"/>
        </w:rPr>
        <w:t xml:space="preserve"> programů bylo rozhodnuto, zda název daného programu bude upraven v souladu s</w:t>
      </w:r>
      <w:r w:rsidR="00784868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požadavkem</w:t>
      </w:r>
      <w:r w:rsidR="00784868">
        <w:rPr>
          <w:rFonts w:ascii="Arial" w:hAnsi="Arial" w:cs="Arial"/>
          <w:sz w:val="20"/>
        </w:rPr>
        <w:t xml:space="preserve"> EK</w:t>
      </w:r>
      <w:r>
        <w:rPr>
          <w:rFonts w:ascii="Arial" w:hAnsi="Arial" w:cs="Arial"/>
          <w:sz w:val="20"/>
        </w:rPr>
        <w:t xml:space="preserve">. </w:t>
      </w:r>
      <w:r w:rsidR="00582C56">
        <w:rPr>
          <w:rFonts w:ascii="Arial" w:hAnsi="Arial" w:cs="Arial"/>
          <w:sz w:val="20"/>
        </w:rPr>
        <w:t xml:space="preserve">Z tohoto důvodu některé programy takto označeny jsou a jiné nikoliv. </w:t>
      </w:r>
      <w:r>
        <w:rPr>
          <w:rFonts w:ascii="Arial" w:hAnsi="Arial" w:cs="Arial"/>
          <w:sz w:val="20"/>
        </w:rPr>
        <w:t>V</w:t>
      </w:r>
      <w:r w:rsidR="0078486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této souvislosti jsou </w:t>
      </w:r>
      <w:r w:rsidRPr="00784868">
        <w:rPr>
          <w:rFonts w:ascii="Arial" w:hAnsi="Arial" w:cs="Arial"/>
          <w:b/>
          <w:sz w:val="20"/>
        </w:rPr>
        <w:t>níže uvedeny aktuální názvy programů</w:t>
      </w:r>
      <w:r>
        <w:rPr>
          <w:rFonts w:ascii="Arial" w:hAnsi="Arial" w:cs="Arial"/>
          <w:sz w:val="20"/>
        </w:rPr>
        <w:t xml:space="preserve"> spolufinancovaných v programovém období </w:t>
      </w:r>
      <w:r w:rsidR="00784868">
        <w:rPr>
          <w:rFonts w:ascii="Arial" w:hAnsi="Arial" w:cs="Arial"/>
          <w:sz w:val="20"/>
        </w:rPr>
        <w:t xml:space="preserve">2014–2020 </w:t>
      </w:r>
      <w:r>
        <w:rPr>
          <w:rFonts w:ascii="Arial" w:hAnsi="Arial" w:cs="Arial"/>
          <w:sz w:val="20"/>
        </w:rPr>
        <w:t>z EFRR v rámci cíle Evropská územní spolupráce.</w:t>
      </w:r>
    </w:p>
    <w:tbl>
      <w:tblPr>
        <w:tblW w:w="9071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425"/>
        <w:gridCol w:w="4818"/>
      </w:tblGrid>
      <w:tr w:rsidR="00622056" w:rsidRPr="00622056" w:rsidTr="00622056">
        <w:trPr>
          <w:trHeight w:val="73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99"/>
            </w:tcBorders>
            <w:shd w:val="clear" w:color="auto" w:fill="000099"/>
            <w:vAlign w:val="center"/>
          </w:tcPr>
          <w:p w:rsidR="00622056" w:rsidRPr="00622056" w:rsidRDefault="00622056" w:rsidP="00622056">
            <w:pPr>
              <w:ind w:left="142"/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0"/>
                <w:szCs w:val="20"/>
              </w:rPr>
              <w:t xml:space="preserve">Původní název programu </w:t>
            </w:r>
          </w:p>
          <w:p w:rsidR="00622056" w:rsidRPr="00622056" w:rsidRDefault="00622056" w:rsidP="00622056">
            <w:pPr>
              <w:ind w:left="142"/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0"/>
                <w:szCs w:val="20"/>
              </w:rPr>
              <w:t>dle UV 867/2012 a UV 447/2014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000099"/>
              <w:bottom w:val="single" w:sz="8" w:space="0" w:color="auto"/>
              <w:right w:val="single" w:sz="4" w:space="0" w:color="000099"/>
            </w:tcBorders>
            <w:shd w:val="clear" w:color="auto" w:fill="000099"/>
            <w:vAlign w:val="center"/>
          </w:tcPr>
          <w:p w:rsidR="00622056" w:rsidRPr="00622056" w:rsidRDefault="00622056" w:rsidP="00622056">
            <w:pPr>
              <w:contextualSpacing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8" w:space="0" w:color="auto"/>
              <w:left w:val="single" w:sz="4" w:space="0" w:color="000099"/>
              <w:bottom w:val="single" w:sz="8" w:space="0" w:color="auto"/>
              <w:right w:val="single" w:sz="8" w:space="0" w:color="auto"/>
            </w:tcBorders>
            <w:shd w:val="clear" w:color="auto" w:fill="0000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Pr="00622056" w:rsidRDefault="00622056" w:rsidP="00622056">
            <w:pPr>
              <w:contextualSpacing/>
              <w:jc w:val="lef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0"/>
                <w:szCs w:val="20"/>
              </w:rPr>
              <w:t>Aktuální název programu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přeshraniční spolupráce Česká republika – Polská republika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Pr="00622056" w:rsidRDefault="00622056" w:rsidP="00622056">
            <w:pPr>
              <w:spacing w:before="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INTERREG V-A Česká republika – Polsko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přeshraniční spolupráce Slovenská republika – Česká republika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INTERREG V-A Slovenská republika – Česká republika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přeshraniční spolupráce Rakouská republika – Česká republika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P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P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sz w:val="20"/>
                <w:szCs w:val="20"/>
              </w:rPr>
              <w:t>INTERREG V-A Rakousko – Česká republika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P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sz w:val="20"/>
                <w:szCs w:val="20"/>
              </w:rPr>
              <w:t>OP přeshraniční spolupráce Svobodný stát Bavorsko – Česká republika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P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P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sz w:val="20"/>
                <w:szCs w:val="20"/>
              </w:rPr>
              <w:t>Program přeshraniční spolupráce Česká republika – Svobodný stát Bavorsko Cíl EÚS 2014–2020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2056">
              <w:rPr>
                <w:rFonts w:ascii="Arial" w:hAnsi="Arial" w:cs="Arial"/>
                <w:sz w:val="20"/>
                <w:szCs w:val="20"/>
              </w:rPr>
              <w:t xml:space="preserve">OP přeshraniční spolupráce Svobodný stát </w:t>
            </w:r>
            <w:r>
              <w:rPr>
                <w:rFonts w:ascii="Arial" w:hAnsi="Arial" w:cs="Arial"/>
                <w:sz w:val="20"/>
                <w:szCs w:val="20"/>
              </w:rPr>
              <w:t>Sasko</w:t>
            </w:r>
            <w:r w:rsidRPr="00622056">
              <w:rPr>
                <w:rFonts w:ascii="Arial" w:hAnsi="Arial" w:cs="Arial"/>
                <w:sz w:val="20"/>
                <w:szCs w:val="20"/>
              </w:rPr>
              <w:t xml:space="preserve"> – Česká republika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P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  <w:highlight w:val="yellow"/>
              </w:rPr>
            </w:pPr>
            <w:r w:rsidRPr="00622056">
              <w:rPr>
                <w:rFonts w:ascii="Arial" w:hAnsi="Arial" w:cs="Arial"/>
                <w:sz w:val="20"/>
                <w:szCs w:val="20"/>
              </w:rPr>
              <w:t>Program spolupráce Svobodný stát Sasko – Česká republika 2014–2020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nadnárodní spolupráce Central Europe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nadnárodní spolupráce Interreg CENTRAL EUROPE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9029C3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Pr="00622056">
              <w:rPr>
                <w:rFonts w:ascii="Arial" w:hAnsi="Arial" w:cs="Arial"/>
                <w:sz w:val="20"/>
                <w:szCs w:val="20"/>
              </w:rPr>
              <w:t xml:space="preserve"> nadnárodní spolupráce Danube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9029C3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nadnárodní spolupráce DANUBE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vMerge w:val="restart"/>
            <w:tcBorders>
              <w:top w:val="nil"/>
              <w:left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Operační programy meziregionální spolupráce</w:t>
            </w:r>
          </w:p>
        </w:tc>
        <w:tc>
          <w:tcPr>
            <w:tcW w:w="42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meziregionální spolupráce INTERREG EUROPE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vMerge/>
            <w:tcBorders>
              <w:left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056">
              <w:rPr>
                <w:rFonts w:ascii="Arial" w:hAnsi="Arial" w:cs="Arial"/>
                <w:b/>
                <w:sz w:val="24"/>
                <w:szCs w:val="20"/>
              </w:rPr>
              <w:sym w:font="Symbol" w:char="F0DE"/>
            </w:r>
          </w:p>
        </w:tc>
        <w:tc>
          <w:tcPr>
            <w:tcW w:w="48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meziregionální spolupráce ESPON 2020</w:t>
            </w:r>
          </w:p>
        </w:tc>
      </w:tr>
      <w:tr w:rsidR="00622056" w:rsidTr="00622056">
        <w:trPr>
          <w:trHeight w:val="624"/>
        </w:trPr>
        <w:tc>
          <w:tcPr>
            <w:tcW w:w="382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  <w:vAlign w:val="center"/>
          </w:tcPr>
          <w:p w:rsidR="00622056" w:rsidRDefault="00622056" w:rsidP="00622056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2056" w:rsidRDefault="00622056" w:rsidP="00622056">
            <w:pPr>
              <w:spacing w:before="0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meziregionální spolupráce INTERACT III</w:t>
            </w:r>
          </w:p>
        </w:tc>
      </w:tr>
    </w:tbl>
    <w:p w:rsidR="00CA5C06" w:rsidRPr="00FB189D" w:rsidRDefault="00CA5C06" w:rsidP="005C4A67">
      <w:pPr>
        <w:pStyle w:val="Odstavecseseznamem"/>
        <w:tabs>
          <w:tab w:val="left" w:pos="2835"/>
        </w:tabs>
        <w:spacing w:after="0"/>
        <w:ind w:left="2835" w:hanging="2835"/>
        <w:jc w:val="left"/>
        <w:rPr>
          <w:rFonts w:ascii="Arial" w:hAnsi="Arial" w:cs="Arial"/>
          <w:sz w:val="20"/>
          <w:szCs w:val="20"/>
        </w:rPr>
      </w:pPr>
    </w:p>
    <w:sectPr w:rsidR="00CA5C06" w:rsidRPr="00FB189D" w:rsidSect="00417B12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4F" w:rsidRDefault="00C74E4F" w:rsidP="009D4DEB">
      <w:pPr>
        <w:spacing w:before="0" w:line="240" w:lineRule="auto"/>
      </w:pPr>
      <w:r>
        <w:separator/>
      </w:r>
    </w:p>
  </w:endnote>
  <w:endnote w:type="continuationSeparator" w:id="0">
    <w:p w:rsidR="00C74E4F" w:rsidRDefault="00C74E4F" w:rsidP="009D4DEB">
      <w:pPr>
        <w:spacing w:before="0" w:line="240" w:lineRule="auto"/>
      </w:pPr>
      <w:r>
        <w:continuationSeparator/>
      </w:r>
    </w:p>
  </w:endnote>
  <w:endnote w:type="continuationNotice" w:id="1">
    <w:p w:rsidR="00C74E4F" w:rsidRDefault="00C74E4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21779764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52FE6" w:rsidRPr="007E7FD9" w:rsidRDefault="00252FE6">
        <w:pPr>
          <w:pStyle w:val="Zpat"/>
          <w:jc w:val="center"/>
          <w:rPr>
            <w:rFonts w:ascii="Arial" w:hAnsi="Arial" w:cs="Arial"/>
            <w:sz w:val="20"/>
          </w:rPr>
        </w:pPr>
        <w:r w:rsidRPr="007E7FD9">
          <w:rPr>
            <w:rFonts w:ascii="Arial" w:hAnsi="Arial" w:cs="Arial"/>
            <w:sz w:val="20"/>
          </w:rPr>
          <w:fldChar w:fldCharType="begin"/>
        </w:r>
        <w:r w:rsidRPr="007E7FD9">
          <w:rPr>
            <w:rFonts w:ascii="Arial" w:hAnsi="Arial" w:cs="Arial"/>
            <w:sz w:val="20"/>
          </w:rPr>
          <w:instrText xml:space="preserve"> PAGE   \* MERGEFORMAT </w:instrText>
        </w:r>
        <w:r w:rsidRPr="007E7FD9">
          <w:rPr>
            <w:rFonts w:ascii="Arial" w:hAnsi="Arial" w:cs="Arial"/>
            <w:sz w:val="20"/>
          </w:rPr>
          <w:fldChar w:fldCharType="separate"/>
        </w:r>
        <w:r w:rsidR="001A1C6A">
          <w:rPr>
            <w:rFonts w:ascii="Arial" w:hAnsi="Arial" w:cs="Arial"/>
            <w:noProof/>
            <w:sz w:val="20"/>
          </w:rPr>
          <w:t>2</w:t>
        </w:r>
        <w:r w:rsidRPr="007E7FD9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252FE6" w:rsidRDefault="00252F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4F" w:rsidRDefault="00C74E4F" w:rsidP="009D4DEB">
      <w:pPr>
        <w:spacing w:before="0" w:line="240" w:lineRule="auto"/>
      </w:pPr>
      <w:r>
        <w:separator/>
      </w:r>
    </w:p>
  </w:footnote>
  <w:footnote w:type="continuationSeparator" w:id="0">
    <w:p w:rsidR="00C74E4F" w:rsidRDefault="00C74E4F" w:rsidP="009D4DEB">
      <w:pPr>
        <w:spacing w:before="0" w:line="240" w:lineRule="auto"/>
      </w:pPr>
      <w:r>
        <w:continuationSeparator/>
      </w:r>
    </w:p>
  </w:footnote>
  <w:footnote w:type="continuationNotice" w:id="1">
    <w:p w:rsidR="00C74E4F" w:rsidRDefault="00C74E4F">
      <w:pPr>
        <w:spacing w:before="0" w:line="240" w:lineRule="auto"/>
      </w:pPr>
    </w:p>
  </w:footnote>
  <w:footnote w:id="2">
    <w:p w:rsidR="00252FE6" w:rsidRPr="00381139" w:rsidRDefault="00252FE6" w:rsidP="000E2612">
      <w:pPr>
        <w:pStyle w:val="Textpoznpodarou"/>
        <w:ind w:left="142" w:hanging="142"/>
        <w:rPr>
          <w:rFonts w:ascii="Arial" w:hAnsi="Arial" w:cs="Arial"/>
          <w:sz w:val="18"/>
        </w:rPr>
      </w:pPr>
      <w:r w:rsidRPr="00381139">
        <w:rPr>
          <w:rStyle w:val="Znakapoznpodarou"/>
          <w:rFonts w:ascii="Arial" w:hAnsi="Arial" w:cs="Arial"/>
          <w:sz w:val="18"/>
        </w:rPr>
        <w:footnoteRef/>
      </w:r>
      <w:r w:rsidRPr="00381139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V návaznosti na požadavek EK byl původní název „Operační program přeshraniční spolupráce Česká republika – Polsko“ změněn na „INTERREG V-A Česká republika – Polsko“. Bližší informace viz příloha tohoto materiálu.</w:t>
      </w:r>
    </w:p>
  </w:footnote>
  <w:footnote w:id="3">
    <w:p w:rsidR="00252FE6" w:rsidRPr="008D21D0" w:rsidRDefault="00252FE6" w:rsidP="007E0C20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8D21D0">
        <w:rPr>
          <w:rStyle w:val="Znakapoznpodarou"/>
          <w:rFonts w:ascii="Arial" w:hAnsi="Arial" w:cs="Arial"/>
          <w:sz w:val="18"/>
          <w:szCs w:val="18"/>
        </w:rPr>
        <w:footnoteRef/>
      </w:r>
      <w:r w:rsidRPr="008D21D0">
        <w:rPr>
          <w:rFonts w:ascii="Arial" w:hAnsi="Arial" w:cs="Arial"/>
          <w:sz w:val="18"/>
          <w:szCs w:val="18"/>
        </w:rPr>
        <w:t xml:space="preserve"> Jedná se o stav naplňování PP, který je deklarován v programech ESIF; stav naplňování se může následně měnit (i ve vazbě na  hodnocení ze strany EK). Stav odpovídá pozici ČR a nemusí korespondovat s informacemi vloženými do systému SFC.</w:t>
      </w:r>
    </w:p>
  </w:footnote>
  <w:footnote w:id="4">
    <w:p w:rsidR="00252FE6" w:rsidRDefault="00252FE6" w:rsidP="008D21D0">
      <w:pPr>
        <w:pStyle w:val="Textpoznpodarou"/>
        <w:ind w:left="142" w:hanging="142"/>
      </w:pPr>
      <w:r w:rsidRPr="008D21D0">
        <w:rPr>
          <w:rStyle w:val="Znakapoznpodarou"/>
          <w:rFonts w:ascii="Arial" w:hAnsi="Arial" w:cs="Arial"/>
          <w:sz w:val="18"/>
          <w:szCs w:val="18"/>
        </w:rPr>
        <w:footnoteRef/>
      </w:r>
      <w:r w:rsidRPr="008D21D0">
        <w:rPr>
          <w:rFonts w:ascii="Arial" w:hAnsi="Arial" w:cs="Arial"/>
          <w:sz w:val="18"/>
          <w:szCs w:val="18"/>
        </w:rPr>
        <w:t xml:space="preserve"> Stav plnění odpovídá metodice EK, kdy nelze na úroveň kritéria deklarovat její </w:t>
      </w:r>
      <w:r>
        <w:rPr>
          <w:rFonts w:ascii="Arial" w:hAnsi="Arial" w:cs="Arial"/>
          <w:sz w:val="18"/>
          <w:szCs w:val="18"/>
        </w:rPr>
        <w:t>částečně naplnění (pouze ano či </w:t>
      </w:r>
      <w:r w:rsidRPr="008D21D0">
        <w:rPr>
          <w:rFonts w:ascii="Arial" w:hAnsi="Arial" w:cs="Arial"/>
          <w:sz w:val="18"/>
          <w:szCs w:val="18"/>
        </w:rPr>
        <w:t>ne). U většiny předběžných podmínek však v ČR kritéria částečně splněna jsou, např. existencí dílčích strategických dokumentů, které jsou součástí dané předběžné podmínky, ale nenaplňují ji zcela (i proto nelze deklarovat, že je kritérium splněno). Z těchto důvodů je  u některých PP uveden stav plnění 0%, byť řada z nich je před jejich kompletním dokončením nebo jsou přípravné práce na splnění ve vývoji.</w:t>
      </w:r>
    </w:p>
  </w:footnote>
  <w:footnote w:id="5">
    <w:p w:rsidR="00252FE6" w:rsidRPr="00EE21BF" w:rsidRDefault="00252FE6" w:rsidP="009029C3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EE21BF">
        <w:rPr>
          <w:rStyle w:val="Znakapoznpodarou"/>
          <w:rFonts w:ascii="Arial" w:hAnsi="Arial" w:cs="Arial"/>
          <w:sz w:val="18"/>
          <w:szCs w:val="18"/>
        </w:rPr>
        <w:footnoteRef/>
      </w:r>
      <w:r w:rsidRPr="00EE21BF">
        <w:rPr>
          <w:rFonts w:ascii="Arial" w:hAnsi="Arial" w:cs="Arial"/>
          <w:sz w:val="18"/>
          <w:szCs w:val="18"/>
        </w:rPr>
        <w:t xml:space="preserve"> PP bude splněna přijetím Národního plánu pro rozvoj sítí nové generace. Ten je v přípravné fázi – aktuálně bylo rozhodnuto o posunutí termínu finalizace dokumentu na červen 2015.</w:t>
      </w:r>
    </w:p>
  </w:footnote>
  <w:footnote w:id="6">
    <w:p w:rsidR="00252FE6" w:rsidRPr="00EE21BF" w:rsidRDefault="00252FE6" w:rsidP="009029C3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EE21BF">
        <w:rPr>
          <w:rStyle w:val="Znakapoznpodarou"/>
          <w:rFonts w:ascii="Arial" w:hAnsi="Arial" w:cs="Arial"/>
          <w:sz w:val="18"/>
          <w:szCs w:val="18"/>
        </w:rPr>
        <w:footnoteRef/>
      </w:r>
      <w:r w:rsidRPr="00EE21BF">
        <w:rPr>
          <w:rFonts w:ascii="Arial" w:hAnsi="Arial" w:cs="Arial"/>
          <w:sz w:val="18"/>
          <w:szCs w:val="18"/>
        </w:rPr>
        <w:t xml:space="preserve"> Fakticky je splněna velká část předběžné podmínky, bohužel tato předběžná podmínka je rozdělena na pouhá dvě kritéria, u  nichž vždy chybí část naplnění, tudíž vzhledem metodologii EK není možné reflektovat částečné plnění. Zároveň ve druhém z kritérií je naplňování plně poplatné termínům vyplývajících z relevantních směrnic, které mají být naplněny až k 31. březnu 2016</w:t>
      </w:r>
    </w:p>
  </w:footnote>
  <w:footnote w:id="7">
    <w:p w:rsidR="00252FE6" w:rsidRPr="00EE21BF" w:rsidRDefault="00252FE6" w:rsidP="002623AA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EE21BF">
        <w:rPr>
          <w:rStyle w:val="Znakapoznpodarou"/>
          <w:rFonts w:ascii="Arial" w:hAnsi="Arial" w:cs="Arial"/>
          <w:sz w:val="18"/>
          <w:szCs w:val="18"/>
        </w:rPr>
        <w:footnoteRef/>
      </w:r>
      <w:r w:rsidRPr="00EE21BF">
        <w:rPr>
          <w:rFonts w:ascii="Arial" w:hAnsi="Arial" w:cs="Arial"/>
          <w:sz w:val="18"/>
          <w:szCs w:val="18"/>
        </w:rPr>
        <w:t xml:space="preserve"> Podle MD jsou předběžné podmínky 7.1</w:t>
      </w:r>
      <w:r>
        <w:rPr>
          <w:rFonts w:ascii="Arial" w:hAnsi="Arial" w:cs="Arial"/>
          <w:sz w:val="18"/>
          <w:szCs w:val="18"/>
        </w:rPr>
        <w:t>–</w:t>
      </w:r>
      <w:r w:rsidRPr="00EE21BF">
        <w:rPr>
          <w:rFonts w:ascii="Arial" w:hAnsi="Arial" w:cs="Arial"/>
          <w:sz w:val="18"/>
          <w:szCs w:val="18"/>
        </w:rPr>
        <w:t>7.3 splněny, ze strany EK však finální validace splnění není k dispozici.</w:t>
      </w:r>
    </w:p>
  </w:footnote>
  <w:footnote w:id="8">
    <w:p w:rsidR="00252FE6" w:rsidRPr="00EE21BF" w:rsidRDefault="00252FE6" w:rsidP="009029C3">
      <w:pPr>
        <w:pStyle w:val="Textpoznpodarou"/>
        <w:rPr>
          <w:rFonts w:ascii="Arial" w:hAnsi="Arial" w:cs="Arial"/>
          <w:sz w:val="18"/>
          <w:szCs w:val="16"/>
        </w:rPr>
      </w:pPr>
      <w:r w:rsidRPr="00EE21BF">
        <w:rPr>
          <w:rStyle w:val="Znakapoznpodarou"/>
          <w:rFonts w:ascii="Arial" w:hAnsi="Arial" w:cs="Arial"/>
          <w:sz w:val="18"/>
          <w:szCs w:val="16"/>
        </w:rPr>
        <w:footnoteRef/>
      </w:r>
      <w:r w:rsidRPr="00EE21BF">
        <w:rPr>
          <w:rFonts w:ascii="Arial" w:hAnsi="Arial" w:cs="Arial"/>
          <w:sz w:val="18"/>
          <w:szCs w:val="16"/>
        </w:rPr>
        <w:t xml:space="preserve"> Podle ÚV je předběžná podmínka 9.2 splněna, ze strany EK však finální validace splnění zatím není k dispozici.</w:t>
      </w:r>
    </w:p>
  </w:footnote>
  <w:footnote w:id="9">
    <w:p w:rsidR="00252FE6" w:rsidRPr="00EE21BF" w:rsidRDefault="00252FE6" w:rsidP="009029C3">
      <w:pPr>
        <w:pStyle w:val="Textpoznpodarou"/>
        <w:ind w:left="142" w:hanging="142"/>
        <w:rPr>
          <w:rFonts w:ascii="Arial" w:hAnsi="Arial" w:cs="Arial"/>
          <w:sz w:val="18"/>
          <w:szCs w:val="16"/>
        </w:rPr>
      </w:pPr>
      <w:r w:rsidRPr="00EE21BF">
        <w:rPr>
          <w:rStyle w:val="Znakapoznpodarou"/>
          <w:rFonts w:ascii="Arial" w:hAnsi="Arial" w:cs="Arial"/>
          <w:sz w:val="18"/>
          <w:szCs w:val="16"/>
        </w:rPr>
        <w:footnoteRef/>
      </w:r>
      <w:r w:rsidRPr="00EE21BF">
        <w:rPr>
          <w:rFonts w:ascii="Arial" w:hAnsi="Arial" w:cs="Arial"/>
          <w:sz w:val="18"/>
          <w:szCs w:val="16"/>
        </w:rPr>
        <w:t xml:space="preserve"> PP 10.1 (stejně jako ostatní PP v oblasti vzdělávání) bude splněna přijetím strategických dokumentů pro oblast vzdělávání. Rámcový dokument přijat již byl – Strategie vzdělávací politiky do roku 2020. Termín dopracování jednotlivých dokumentů, kterými dojde k naplnění dané PP, je stanoven na polovinu roku 2015 (u PP 10.2 to je konec roku 2015).</w:t>
      </w:r>
    </w:p>
  </w:footnote>
  <w:footnote w:id="10">
    <w:p w:rsidR="00252FE6" w:rsidRPr="00EE21BF" w:rsidRDefault="00252FE6" w:rsidP="00A00FDF">
      <w:pPr>
        <w:pStyle w:val="Textpoznpodarou"/>
        <w:tabs>
          <w:tab w:val="left" w:pos="284"/>
        </w:tabs>
        <w:ind w:left="142" w:hanging="142"/>
        <w:rPr>
          <w:rFonts w:ascii="Arial" w:hAnsi="Arial" w:cs="Arial"/>
          <w:sz w:val="18"/>
          <w:szCs w:val="16"/>
        </w:rPr>
      </w:pPr>
      <w:r w:rsidRPr="00EE21BF">
        <w:rPr>
          <w:rFonts w:ascii="Arial" w:hAnsi="Arial" w:cs="Arial"/>
          <w:sz w:val="18"/>
          <w:szCs w:val="16"/>
          <w:vertAlign w:val="superscript"/>
        </w:rPr>
        <w:footnoteRef/>
      </w:r>
      <w:r w:rsidRPr="00EE21BF">
        <w:rPr>
          <w:rFonts w:ascii="Arial" w:hAnsi="Arial" w:cs="Arial"/>
          <w:sz w:val="18"/>
          <w:szCs w:val="16"/>
        </w:rPr>
        <w:t xml:space="preserve"> Rizikovost je dána jednak termínem naplnění kritérií, tj. u řady kritérií je splnění očekáváno až v nejzazším termínu stanoveném nařízením (31. prosince 2016), jednak tím, že se neplní většina kritéria a také riziky spojenými se zákonem o státní službě.</w:t>
      </w:r>
    </w:p>
  </w:footnote>
  <w:footnote w:id="11">
    <w:p w:rsidR="00252FE6" w:rsidRPr="00EE21BF" w:rsidRDefault="00252FE6" w:rsidP="009029C3">
      <w:pPr>
        <w:pStyle w:val="Textpoznpodarou"/>
        <w:ind w:left="142" w:hanging="142"/>
        <w:rPr>
          <w:rFonts w:ascii="Arial" w:hAnsi="Arial" w:cs="Arial"/>
          <w:sz w:val="18"/>
          <w:szCs w:val="16"/>
        </w:rPr>
      </w:pPr>
      <w:r w:rsidRPr="00EE21BF">
        <w:rPr>
          <w:rStyle w:val="Znakapoznpodarou"/>
          <w:rFonts w:ascii="Arial" w:hAnsi="Arial" w:cs="Arial"/>
          <w:sz w:val="18"/>
          <w:szCs w:val="16"/>
        </w:rPr>
        <w:footnoteRef/>
      </w:r>
      <w:r w:rsidRPr="00EE21BF">
        <w:rPr>
          <w:rFonts w:ascii="Arial" w:hAnsi="Arial" w:cs="Arial"/>
          <w:sz w:val="18"/>
          <w:szCs w:val="16"/>
        </w:rPr>
        <w:t xml:space="preserve"> PP 11 bude naplněna realizací Implementačních plánu Strategického rámce rozvoje veřejné správy. Jednotlivé aktivity jsou naplánovány až do konce roku 2016, tj. k nejzazšímu termínu splnění dle nařízení EK.</w:t>
      </w:r>
    </w:p>
  </w:footnote>
  <w:footnote w:id="12">
    <w:p w:rsidR="00252FE6" w:rsidRPr="00A00FDF" w:rsidRDefault="00252FE6" w:rsidP="002623AA">
      <w:pPr>
        <w:pStyle w:val="Textpoznpodarou"/>
        <w:rPr>
          <w:rFonts w:ascii="Arial" w:hAnsi="Arial" w:cs="Arial"/>
          <w:sz w:val="18"/>
        </w:rPr>
      </w:pPr>
      <w:r w:rsidRPr="00A00FDF">
        <w:rPr>
          <w:rStyle w:val="Znakapoznpodarou"/>
          <w:rFonts w:ascii="Arial" w:hAnsi="Arial" w:cs="Arial"/>
          <w:sz w:val="18"/>
        </w:rPr>
        <w:footnoteRef/>
      </w:r>
      <w:r w:rsidRPr="00A00FDF">
        <w:rPr>
          <w:rFonts w:ascii="Arial" w:hAnsi="Arial" w:cs="Arial"/>
          <w:sz w:val="18"/>
        </w:rPr>
        <w:t xml:space="preserve"> Detailní informace k požadavku EK na zřízení centrálního registru smluv jsou uvedeny v podkapitole 2.2.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9EA"/>
    <w:multiLevelType w:val="hybridMultilevel"/>
    <w:tmpl w:val="7F52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77FC5"/>
    <w:multiLevelType w:val="hybridMultilevel"/>
    <w:tmpl w:val="F9584B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549DA"/>
    <w:multiLevelType w:val="hybridMultilevel"/>
    <w:tmpl w:val="0A78EF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FA03F3"/>
    <w:multiLevelType w:val="hybridMultilevel"/>
    <w:tmpl w:val="6054D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0196A"/>
    <w:multiLevelType w:val="multilevel"/>
    <w:tmpl w:val="72A2422E"/>
    <w:lvl w:ilvl="0">
      <w:start w:val="1"/>
      <w:numFmt w:val="decimal"/>
      <w:pStyle w:val="Nadpis1"/>
      <w:lvlText w:val="%1."/>
      <w:lvlJc w:val="left"/>
      <w:pPr>
        <w:ind w:left="644" w:hanging="360"/>
      </w:pPr>
    </w:lvl>
    <w:lvl w:ilvl="1">
      <w:start w:val="1"/>
      <w:numFmt w:val="decimal"/>
      <w:pStyle w:val="Nadpis2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FE336A1"/>
    <w:multiLevelType w:val="hybridMultilevel"/>
    <w:tmpl w:val="11E6F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47971"/>
    <w:multiLevelType w:val="hybridMultilevel"/>
    <w:tmpl w:val="CB8C4C3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F31C0"/>
    <w:multiLevelType w:val="hybridMultilevel"/>
    <w:tmpl w:val="9C145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D1A15"/>
    <w:multiLevelType w:val="hybridMultilevel"/>
    <w:tmpl w:val="9E64E6D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01F003D"/>
    <w:multiLevelType w:val="hybridMultilevel"/>
    <w:tmpl w:val="DB607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67F56"/>
    <w:multiLevelType w:val="multilevel"/>
    <w:tmpl w:val="6942A6BE"/>
    <w:lvl w:ilvl="0">
      <w:start w:val="1"/>
      <w:numFmt w:val="decimal"/>
      <w:pStyle w:val="List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53B7A41"/>
    <w:multiLevelType w:val="hybridMultilevel"/>
    <w:tmpl w:val="C5504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F71606"/>
    <w:multiLevelType w:val="hybridMultilevel"/>
    <w:tmpl w:val="48E84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E428A"/>
    <w:multiLevelType w:val="hybridMultilevel"/>
    <w:tmpl w:val="F3CC9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F5CDC"/>
    <w:multiLevelType w:val="multilevel"/>
    <w:tmpl w:val="3EB042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F5D3AF4"/>
    <w:multiLevelType w:val="multilevel"/>
    <w:tmpl w:val="BE9AA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FF3332D"/>
    <w:multiLevelType w:val="hybridMultilevel"/>
    <w:tmpl w:val="0FA6B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083041"/>
    <w:multiLevelType w:val="hybridMultilevel"/>
    <w:tmpl w:val="CB96C034"/>
    <w:lvl w:ilvl="0" w:tplc="8BBE9D34">
      <w:start w:val="1"/>
      <w:numFmt w:val="lowerLetter"/>
      <w:pStyle w:val="Seznam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DD085C"/>
    <w:multiLevelType w:val="hybridMultilevel"/>
    <w:tmpl w:val="D0B07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2A4088"/>
    <w:multiLevelType w:val="hybridMultilevel"/>
    <w:tmpl w:val="EF624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F7840"/>
    <w:multiLevelType w:val="hybridMultilevel"/>
    <w:tmpl w:val="FA6E13A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F110B1"/>
    <w:multiLevelType w:val="hybridMultilevel"/>
    <w:tmpl w:val="374E1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AD1C40"/>
    <w:multiLevelType w:val="hybridMultilevel"/>
    <w:tmpl w:val="074EB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EF19DF"/>
    <w:multiLevelType w:val="hybridMultilevel"/>
    <w:tmpl w:val="5CD01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E246A"/>
    <w:multiLevelType w:val="hybridMultilevel"/>
    <w:tmpl w:val="42CAC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BD25E3"/>
    <w:multiLevelType w:val="multilevel"/>
    <w:tmpl w:val="471EB360"/>
    <w:styleLink w:val="List1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357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410"/>
        </w:tabs>
        <w:ind w:left="1410" w:hanging="330"/>
      </w:pPr>
      <w:rPr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position w:val="0"/>
        <w:sz w:val="22"/>
        <w:szCs w:val="22"/>
      </w:rPr>
    </w:lvl>
  </w:abstractNum>
  <w:abstractNum w:abstractNumId="26">
    <w:nsid w:val="742B6B42"/>
    <w:multiLevelType w:val="hybridMultilevel"/>
    <w:tmpl w:val="9E744C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B90A64"/>
    <w:multiLevelType w:val="hybridMultilevel"/>
    <w:tmpl w:val="0C440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33457C"/>
    <w:multiLevelType w:val="hybridMultilevel"/>
    <w:tmpl w:val="F0989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3F78A8"/>
    <w:multiLevelType w:val="hybridMultilevel"/>
    <w:tmpl w:val="A5B45E72"/>
    <w:lvl w:ilvl="0" w:tplc="B99C4F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7"/>
  </w:num>
  <w:num w:numId="4">
    <w:abstractNumId w:val="25"/>
  </w:num>
  <w:num w:numId="5">
    <w:abstractNumId w:val="20"/>
  </w:num>
  <w:num w:numId="6">
    <w:abstractNumId w:val="2"/>
  </w:num>
  <w:num w:numId="7">
    <w:abstractNumId w:val="14"/>
  </w:num>
  <w:num w:numId="8">
    <w:abstractNumId w:val="4"/>
  </w:num>
  <w:num w:numId="9">
    <w:abstractNumId w:val="13"/>
  </w:num>
  <w:num w:numId="10">
    <w:abstractNumId w:val="9"/>
  </w:num>
  <w:num w:numId="11">
    <w:abstractNumId w:val="21"/>
  </w:num>
  <w:num w:numId="12">
    <w:abstractNumId w:val="19"/>
  </w:num>
  <w:num w:numId="13">
    <w:abstractNumId w:val="26"/>
  </w:num>
  <w:num w:numId="14">
    <w:abstractNumId w:val="7"/>
  </w:num>
  <w:num w:numId="15">
    <w:abstractNumId w:val="22"/>
  </w:num>
  <w:num w:numId="16">
    <w:abstractNumId w:val="12"/>
  </w:num>
  <w:num w:numId="17">
    <w:abstractNumId w:val="3"/>
  </w:num>
  <w:num w:numId="18">
    <w:abstractNumId w:val="28"/>
  </w:num>
  <w:num w:numId="19">
    <w:abstractNumId w:val="2"/>
  </w:num>
  <w:num w:numId="20">
    <w:abstractNumId w:val="16"/>
  </w:num>
  <w:num w:numId="21">
    <w:abstractNumId w:val="11"/>
  </w:num>
  <w:num w:numId="22">
    <w:abstractNumId w:val="6"/>
  </w:num>
  <w:num w:numId="23">
    <w:abstractNumId w:val="24"/>
  </w:num>
  <w:num w:numId="24">
    <w:abstractNumId w:val="1"/>
  </w:num>
  <w:num w:numId="25">
    <w:abstractNumId w:val="5"/>
  </w:num>
  <w:num w:numId="26">
    <w:abstractNumId w:val="29"/>
  </w:num>
  <w:num w:numId="27">
    <w:abstractNumId w:val="23"/>
  </w:num>
  <w:num w:numId="28">
    <w:abstractNumId w:val="18"/>
  </w:num>
  <w:num w:numId="29">
    <w:abstractNumId w:val="8"/>
  </w:num>
  <w:num w:numId="30">
    <w:abstractNumId w:val="15"/>
  </w:num>
  <w:num w:numId="31">
    <w:abstractNumId w:val="0"/>
  </w:num>
  <w:num w:numId="32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19"/>
    <w:rsid w:val="00000647"/>
    <w:rsid w:val="000015D0"/>
    <w:rsid w:val="00002A66"/>
    <w:rsid w:val="00004C16"/>
    <w:rsid w:val="00007912"/>
    <w:rsid w:val="00011055"/>
    <w:rsid w:val="00013349"/>
    <w:rsid w:val="0001365E"/>
    <w:rsid w:val="000143B4"/>
    <w:rsid w:val="000144C8"/>
    <w:rsid w:val="000160DA"/>
    <w:rsid w:val="000209E5"/>
    <w:rsid w:val="00021465"/>
    <w:rsid w:val="00023827"/>
    <w:rsid w:val="00023E2E"/>
    <w:rsid w:val="00024BF7"/>
    <w:rsid w:val="00025A9D"/>
    <w:rsid w:val="00027478"/>
    <w:rsid w:val="000279EC"/>
    <w:rsid w:val="00027EA4"/>
    <w:rsid w:val="000317DA"/>
    <w:rsid w:val="00032D8D"/>
    <w:rsid w:val="00033326"/>
    <w:rsid w:val="000335AF"/>
    <w:rsid w:val="0003440E"/>
    <w:rsid w:val="00035000"/>
    <w:rsid w:val="00035E9D"/>
    <w:rsid w:val="000363C1"/>
    <w:rsid w:val="00037848"/>
    <w:rsid w:val="0004116D"/>
    <w:rsid w:val="00042490"/>
    <w:rsid w:val="000425D4"/>
    <w:rsid w:val="0004703A"/>
    <w:rsid w:val="000500B0"/>
    <w:rsid w:val="00050711"/>
    <w:rsid w:val="0005231A"/>
    <w:rsid w:val="00052AB6"/>
    <w:rsid w:val="00053B22"/>
    <w:rsid w:val="00056875"/>
    <w:rsid w:val="000569AF"/>
    <w:rsid w:val="00056CB3"/>
    <w:rsid w:val="0006073B"/>
    <w:rsid w:val="00062136"/>
    <w:rsid w:val="00063D89"/>
    <w:rsid w:val="00064876"/>
    <w:rsid w:val="00065049"/>
    <w:rsid w:val="000667E9"/>
    <w:rsid w:val="0006705E"/>
    <w:rsid w:val="0006758C"/>
    <w:rsid w:val="00070218"/>
    <w:rsid w:val="000716F1"/>
    <w:rsid w:val="000722F6"/>
    <w:rsid w:val="00073BCD"/>
    <w:rsid w:val="00074D6F"/>
    <w:rsid w:val="00076C26"/>
    <w:rsid w:val="00076DE4"/>
    <w:rsid w:val="00077C85"/>
    <w:rsid w:val="00080DAD"/>
    <w:rsid w:val="00082124"/>
    <w:rsid w:val="00083B1D"/>
    <w:rsid w:val="00085978"/>
    <w:rsid w:val="00085CC8"/>
    <w:rsid w:val="00086404"/>
    <w:rsid w:val="000871A9"/>
    <w:rsid w:val="00087961"/>
    <w:rsid w:val="00090789"/>
    <w:rsid w:val="000912DA"/>
    <w:rsid w:val="00093E82"/>
    <w:rsid w:val="00094784"/>
    <w:rsid w:val="00094A37"/>
    <w:rsid w:val="00095008"/>
    <w:rsid w:val="0009635F"/>
    <w:rsid w:val="00096FBC"/>
    <w:rsid w:val="000976E3"/>
    <w:rsid w:val="000A0446"/>
    <w:rsid w:val="000A0658"/>
    <w:rsid w:val="000A0D7C"/>
    <w:rsid w:val="000A0FE9"/>
    <w:rsid w:val="000A102F"/>
    <w:rsid w:val="000A4D89"/>
    <w:rsid w:val="000A51D0"/>
    <w:rsid w:val="000A7794"/>
    <w:rsid w:val="000B08DC"/>
    <w:rsid w:val="000B1AEB"/>
    <w:rsid w:val="000B36FC"/>
    <w:rsid w:val="000B3FD9"/>
    <w:rsid w:val="000B4A10"/>
    <w:rsid w:val="000B586C"/>
    <w:rsid w:val="000B696F"/>
    <w:rsid w:val="000B6BFB"/>
    <w:rsid w:val="000B7800"/>
    <w:rsid w:val="000C0727"/>
    <w:rsid w:val="000C0FAA"/>
    <w:rsid w:val="000C10A6"/>
    <w:rsid w:val="000C1EE3"/>
    <w:rsid w:val="000C21E2"/>
    <w:rsid w:val="000C46ED"/>
    <w:rsid w:val="000C657D"/>
    <w:rsid w:val="000C714C"/>
    <w:rsid w:val="000D0C1D"/>
    <w:rsid w:val="000D0F5C"/>
    <w:rsid w:val="000D103B"/>
    <w:rsid w:val="000D2BA9"/>
    <w:rsid w:val="000D2E23"/>
    <w:rsid w:val="000D38FC"/>
    <w:rsid w:val="000D562B"/>
    <w:rsid w:val="000D691A"/>
    <w:rsid w:val="000E044D"/>
    <w:rsid w:val="000E0C2F"/>
    <w:rsid w:val="000E0EF7"/>
    <w:rsid w:val="000E1512"/>
    <w:rsid w:val="000E22BF"/>
    <w:rsid w:val="000E2612"/>
    <w:rsid w:val="000E3006"/>
    <w:rsid w:val="000E3253"/>
    <w:rsid w:val="000E6E42"/>
    <w:rsid w:val="000F0DAC"/>
    <w:rsid w:val="000F2A99"/>
    <w:rsid w:val="000F2CA1"/>
    <w:rsid w:val="000F69A3"/>
    <w:rsid w:val="000F79FC"/>
    <w:rsid w:val="000F7E92"/>
    <w:rsid w:val="001007F9"/>
    <w:rsid w:val="00100EF1"/>
    <w:rsid w:val="00101E5B"/>
    <w:rsid w:val="0010255B"/>
    <w:rsid w:val="00102B48"/>
    <w:rsid w:val="0010410B"/>
    <w:rsid w:val="001068C0"/>
    <w:rsid w:val="00107577"/>
    <w:rsid w:val="00110F75"/>
    <w:rsid w:val="00111A0B"/>
    <w:rsid w:val="00112089"/>
    <w:rsid w:val="00114E5C"/>
    <w:rsid w:val="001216A1"/>
    <w:rsid w:val="0012175C"/>
    <w:rsid w:val="00121A15"/>
    <w:rsid w:val="00121D24"/>
    <w:rsid w:val="00123789"/>
    <w:rsid w:val="00123D3D"/>
    <w:rsid w:val="001240A1"/>
    <w:rsid w:val="00124529"/>
    <w:rsid w:val="0012499F"/>
    <w:rsid w:val="00125754"/>
    <w:rsid w:val="00125853"/>
    <w:rsid w:val="001260C9"/>
    <w:rsid w:val="00126CF2"/>
    <w:rsid w:val="001270D4"/>
    <w:rsid w:val="00127F40"/>
    <w:rsid w:val="0013016B"/>
    <w:rsid w:val="00132493"/>
    <w:rsid w:val="00132DF7"/>
    <w:rsid w:val="00135E05"/>
    <w:rsid w:val="00135E73"/>
    <w:rsid w:val="0013660B"/>
    <w:rsid w:val="00136ECE"/>
    <w:rsid w:val="00137538"/>
    <w:rsid w:val="0014171B"/>
    <w:rsid w:val="00141C76"/>
    <w:rsid w:val="0014796D"/>
    <w:rsid w:val="00153AA0"/>
    <w:rsid w:val="0015475C"/>
    <w:rsid w:val="00154C56"/>
    <w:rsid w:val="00154C84"/>
    <w:rsid w:val="00155991"/>
    <w:rsid w:val="00155D9A"/>
    <w:rsid w:val="00157134"/>
    <w:rsid w:val="00157143"/>
    <w:rsid w:val="0016189E"/>
    <w:rsid w:val="00162E26"/>
    <w:rsid w:val="001635A1"/>
    <w:rsid w:val="00163995"/>
    <w:rsid w:val="001653CC"/>
    <w:rsid w:val="0016567B"/>
    <w:rsid w:val="00167594"/>
    <w:rsid w:val="00170F50"/>
    <w:rsid w:val="001713F8"/>
    <w:rsid w:val="00171F05"/>
    <w:rsid w:val="0017528D"/>
    <w:rsid w:val="00175417"/>
    <w:rsid w:val="00175A07"/>
    <w:rsid w:val="00176B89"/>
    <w:rsid w:val="00176FE1"/>
    <w:rsid w:val="001778D9"/>
    <w:rsid w:val="001804E2"/>
    <w:rsid w:val="001806D8"/>
    <w:rsid w:val="00182795"/>
    <w:rsid w:val="00182E6C"/>
    <w:rsid w:val="00184495"/>
    <w:rsid w:val="001859DA"/>
    <w:rsid w:val="001870D9"/>
    <w:rsid w:val="00190494"/>
    <w:rsid w:val="001919CC"/>
    <w:rsid w:val="001922DE"/>
    <w:rsid w:val="0019389C"/>
    <w:rsid w:val="0019395F"/>
    <w:rsid w:val="0019453E"/>
    <w:rsid w:val="00194B00"/>
    <w:rsid w:val="001A03C9"/>
    <w:rsid w:val="001A0AD3"/>
    <w:rsid w:val="001A1C6A"/>
    <w:rsid w:val="001A3642"/>
    <w:rsid w:val="001A3C5F"/>
    <w:rsid w:val="001A5979"/>
    <w:rsid w:val="001A6CAB"/>
    <w:rsid w:val="001A796C"/>
    <w:rsid w:val="001A7D1B"/>
    <w:rsid w:val="001B4CD2"/>
    <w:rsid w:val="001B646B"/>
    <w:rsid w:val="001B70A2"/>
    <w:rsid w:val="001C11B0"/>
    <w:rsid w:val="001C188C"/>
    <w:rsid w:val="001C276E"/>
    <w:rsid w:val="001C3677"/>
    <w:rsid w:val="001C49F3"/>
    <w:rsid w:val="001C5122"/>
    <w:rsid w:val="001C6AD6"/>
    <w:rsid w:val="001C6C6E"/>
    <w:rsid w:val="001C6DCA"/>
    <w:rsid w:val="001C7E46"/>
    <w:rsid w:val="001D01E2"/>
    <w:rsid w:val="001D149A"/>
    <w:rsid w:val="001D2A46"/>
    <w:rsid w:val="001D2AF3"/>
    <w:rsid w:val="001D316F"/>
    <w:rsid w:val="001D4B08"/>
    <w:rsid w:val="001D70F8"/>
    <w:rsid w:val="001D7A52"/>
    <w:rsid w:val="001E029C"/>
    <w:rsid w:val="001E0A91"/>
    <w:rsid w:val="001E0D96"/>
    <w:rsid w:val="001E0ED3"/>
    <w:rsid w:val="001E1FBC"/>
    <w:rsid w:val="001E3A15"/>
    <w:rsid w:val="001E5A4D"/>
    <w:rsid w:val="001E6B72"/>
    <w:rsid w:val="001F0F3B"/>
    <w:rsid w:val="001F1B4B"/>
    <w:rsid w:val="001F1F14"/>
    <w:rsid w:val="001F2910"/>
    <w:rsid w:val="001F3778"/>
    <w:rsid w:val="001F3FBC"/>
    <w:rsid w:val="001F4579"/>
    <w:rsid w:val="001F45B4"/>
    <w:rsid w:val="001F5EDD"/>
    <w:rsid w:val="001F67A7"/>
    <w:rsid w:val="001F7330"/>
    <w:rsid w:val="001F7892"/>
    <w:rsid w:val="001F7A57"/>
    <w:rsid w:val="0020279F"/>
    <w:rsid w:val="002027F8"/>
    <w:rsid w:val="00202D7C"/>
    <w:rsid w:val="00202DB5"/>
    <w:rsid w:val="00204C4E"/>
    <w:rsid w:val="00206D37"/>
    <w:rsid w:val="00207347"/>
    <w:rsid w:val="002074D3"/>
    <w:rsid w:val="0020784D"/>
    <w:rsid w:val="002104AF"/>
    <w:rsid w:val="00211041"/>
    <w:rsid w:val="0021131B"/>
    <w:rsid w:val="00211561"/>
    <w:rsid w:val="002118A4"/>
    <w:rsid w:val="00212896"/>
    <w:rsid w:val="0021290D"/>
    <w:rsid w:val="00213B3E"/>
    <w:rsid w:val="00215F5D"/>
    <w:rsid w:val="00217F7C"/>
    <w:rsid w:val="00221777"/>
    <w:rsid w:val="00222D8C"/>
    <w:rsid w:val="0022352B"/>
    <w:rsid w:val="00223A5A"/>
    <w:rsid w:val="0022749A"/>
    <w:rsid w:val="0023286C"/>
    <w:rsid w:val="00233745"/>
    <w:rsid w:val="00233C30"/>
    <w:rsid w:val="00233C8B"/>
    <w:rsid w:val="00233EF5"/>
    <w:rsid w:val="002343AC"/>
    <w:rsid w:val="002377EB"/>
    <w:rsid w:val="002379CC"/>
    <w:rsid w:val="002400D7"/>
    <w:rsid w:val="00241558"/>
    <w:rsid w:val="00241948"/>
    <w:rsid w:val="00241D04"/>
    <w:rsid w:val="00243DE3"/>
    <w:rsid w:val="00244E73"/>
    <w:rsid w:val="0024521A"/>
    <w:rsid w:val="002460C9"/>
    <w:rsid w:val="0024654D"/>
    <w:rsid w:val="00246ECC"/>
    <w:rsid w:val="00247DEA"/>
    <w:rsid w:val="00250007"/>
    <w:rsid w:val="0025023E"/>
    <w:rsid w:val="0025280A"/>
    <w:rsid w:val="00252886"/>
    <w:rsid w:val="00252FE6"/>
    <w:rsid w:val="00254B0B"/>
    <w:rsid w:val="0025569E"/>
    <w:rsid w:val="00255ED3"/>
    <w:rsid w:val="00256A91"/>
    <w:rsid w:val="00256D19"/>
    <w:rsid w:val="002578AE"/>
    <w:rsid w:val="00257CE4"/>
    <w:rsid w:val="0026206A"/>
    <w:rsid w:val="002623AA"/>
    <w:rsid w:val="002642CC"/>
    <w:rsid w:val="002643AA"/>
    <w:rsid w:val="00266E99"/>
    <w:rsid w:val="0026755A"/>
    <w:rsid w:val="002709FB"/>
    <w:rsid w:val="00270B73"/>
    <w:rsid w:val="002714C4"/>
    <w:rsid w:val="002722F9"/>
    <w:rsid w:val="00272CE1"/>
    <w:rsid w:val="0027336C"/>
    <w:rsid w:val="002739F0"/>
    <w:rsid w:val="002747A3"/>
    <w:rsid w:val="00280D43"/>
    <w:rsid w:val="00280FDC"/>
    <w:rsid w:val="00281AA5"/>
    <w:rsid w:val="00281FBD"/>
    <w:rsid w:val="002836D3"/>
    <w:rsid w:val="0028791C"/>
    <w:rsid w:val="00287A66"/>
    <w:rsid w:val="00287FE2"/>
    <w:rsid w:val="00290E91"/>
    <w:rsid w:val="00291E9A"/>
    <w:rsid w:val="00293780"/>
    <w:rsid w:val="0029566A"/>
    <w:rsid w:val="0029769C"/>
    <w:rsid w:val="00297B67"/>
    <w:rsid w:val="00297EB2"/>
    <w:rsid w:val="002A1442"/>
    <w:rsid w:val="002A1ED9"/>
    <w:rsid w:val="002A29BE"/>
    <w:rsid w:val="002A3B8E"/>
    <w:rsid w:val="002A3C19"/>
    <w:rsid w:val="002A5454"/>
    <w:rsid w:val="002A71F4"/>
    <w:rsid w:val="002A7B39"/>
    <w:rsid w:val="002B11FE"/>
    <w:rsid w:val="002B37F0"/>
    <w:rsid w:val="002B58B4"/>
    <w:rsid w:val="002B62FD"/>
    <w:rsid w:val="002B7096"/>
    <w:rsid w:val="002B7BBD"/>
    <w:rsid w:val="002B7CE4"/>
    <w:rsid w:val="002C22FA"/>
    <w:rsid w:val="002C41AB"/>
    <w:rsid w:val="002C43F2"/>
    <w:rsid w:val="002C6BCE"/>
    <w:rsid w:val="002C74E9"/>
    <w:rsid w:val="002D0A99"/>
    <w:rsid w:val="002D2016"/>
    <w:rsid w:val="002D2366"/>
    <w:rsid w:val="002D3415"/>
    <w:rsid w:val="002D3773"/>
    <w:rsid w:val="002D4912"/>
    <w:rsid w:val="002D4D92"/>
    <w:rsid w:val="002E0344"/>
    <w:rsid w:val="002E2423"/>
    <w:rsid w:val="002E301B"/>
    <w:rsid w:val="002E4EA5"/>
    <w:rsid w:val="002E5E6D"/>
    <w:rsid w:val="002E67E5"/>
    <w:rsid w:val="002E68C4"/>
    <w:rsid w:val="002E778C"/>
    <w:rsid w:val="002E79E6"/>
    <w:rsid w:val="002F1832"/>
    <w:rsid w:val="002F1A54"/>
    <w:rsid w:val="003016BD"/>
    <w:rsid w:val="00301E2D"/>
    <w:rsid w:val="00302287"/>
    <w:rsid w:val="00303431"/>
    <w:rsid w:val="003046CB"/>
    <w:rsid w:val="0030538F"/>
    <w:rsid w:val="00307A69"/>
    <w:rsid w:val="00307C42"/>
    <w:rsid w:val="00310A2B"/>
    <w:rsid w:val="00311164"/>
    <w:rsid w:val="003140F7"/>
    <w:rsid w:val="003147F6"/>
    <w:rsid w:val="0031576B"/>
    <w:rsid w:val="00315E91"/>
    <w:rsid w:val="00316FF8"/>
    <w:rsid w:val="003214A1"/>
    <w:rsid w:val="0032206E"/>
    <w:rsid w:val="00323107"/>
    <w:rsid w:val="00324AC7"/>
    <w:rsid w:val="00324B1F"/>
    <w:rsid w:val="00324DC4"/>
    <w:rsid w:val="003276DE"/>
    <w:rsid w:val="00330283"/>
    <w:rsid w:val="003307D0"/>
    <w:rsid w:val="0033151E"/>
    <w:rsid w:val="0033152A"/>
    <w:rsid w:val="00331FF5"/>
    <w:rsid w:val="00332B26"/>
    <w:rsid w:val="00332F68"/>
    <w:rsid w:val="00333267"/>
    <w:rsid w:val="003343BC"/>
    <w:rsid w:val="00340975"/>
    <w:rsid w:val="00340D94"/>
    <w:rsid w:val="003431AB"/>
    <w:rsid w:val="00344934"/>
    <w:rsid w:val="003463F1"/>
    <w:rsid w:val="003465FF"/>
    <w:rsid w:val="00346A15"/>
    <w:rsid w:val="003506CA"/>
    <w:rsid w:val="0035085A"/>
    <w:rsid w:val="00351126"/>
    <w:rsid w:val="00351881"/>
    <w:rsid w:val="0035188B"/>
    <w:rsid w:val="00351B89"/>
    <w:rsid w:val="00351C48"/>
    <w:rsid w:val="0035219F"/>
    <w:rsid w:val="003524EF"/>
    <w:rsid w:val="00352580"/>
    <w:rsid w:val="003528EF"/>
    <w:rsid w:val="0035391E"/>
    <w:rsid w:val="00354A57"/>
    <w:rsid w:val="003550A9"/>
    <w:rsid w:val="00355B3B"/>
    <w:rsid w:val="003573C7"/>
    <w:rsid w:val="00361C7A"/>
    <w:rsid w:val="00362573"/>
    <w:rsid w:val="00363AEC"/>
    <w:rsid w:val="003644F4"/>
    <w:rsid w:val="00364E04"/>
    <w:rsid w:val="00364F64"/>
    <w:rsid w:val="0036680B"/>
    <w:rsid w:val="0036739F"/>
    <w:rsid w:val="003708C3"/>
    <w:rsid w:val="003716C8"/>
    <w:rsid w:val="00372FB8"/>
    <w:rsid w:val="003736CE"/>
    <w:rsid w:val="00373D7C"/>
    <w:rsid w:val="00373D91"/>
    <w:rsid w:val="0037744D"/>
    <w:rsid w:val="00381139"/>
    <w:rsid w:val="0038116C"/>
    <w:rsid w:val="00382A22"/>
    <w:rsid w:val="00383663"/>
    <w:rsid w:val="00383ED8"/>
    <w:rsid w:val="00384CFC"/>
    <w:rsid w:val="00384EA3"/>
    <w:rsid w:val="00386BF0"/>
    <w:rsid w:val="00386C67"/>
    <w:rsid w:val="00390D59"/>
    <w:rsid w:val="00391232"/>
    <w:rsid w:val="00391C6A"/>
    <w:rsid w:val="003933B1"/>
    <w:rsid w:val="003940CE"/>
    <w:rsid w:val="003943CD"/>
    <w:rsid w:val="00394E75"/>
    <w:rsid w:val="003953D5"/>
    <w:rsid w:val="00396FAC"/>
    <w:rsid w:val="003A0F42"/>
    <w:rsid w:val="003A25C3"/>
    <w:rsid w:val="003A2CA4"/>
    <w:rsid w:val="003A3122"/>
    <w:rsid w:val="003A4AF4"/>
    <w:rsid w:val="003A6035"/>
    <w:rsid w:val="003A7E4B"/>
    <w:rsid w:val="003B0F4C"/>
    <w:rsid w:val="003B1772"/>
    <w:rsid w:val="003B1852"/>
    <w:rsid w:val="003B3C04"/>
    <w:rsid w:val="003B49E7"/>
    <w:rsid w:val="003B4C75"/>
    <w:rsid w:val="003B5B30"/>
    <w:rsid w:val="003B5CA4"/>
    <w:rsid w:val="003B6640"/>
    <w:rsid w:val="003B667D"/>
    <w:rsid w:val="003B6AAB"/>
    <w:rsid w:val="003C01F8"/>
    <w:rsid w:val="003C098E"/>
    <w:rsid w:val="003C0D2D"/>
    <w:rsid w:val="003C1C5E"/>
    <w:rsid w:val="003C3B24"/>
    <w:rsid w:val="003C4357"/>
    <w:rsid w:val="003C468A"/>
    <w:rsid w:val="003C48B4"/>
    <w:rsid w:val="003C4B15"/>
    <w:rsid w:val="003D0C2C"/>
    <w:rsid w:val="003D14D6"/>
    <w:rsid w:val="003D2C14"/>
    <w:rsid w:val="003D4B5F"/>
    <w:rsid w:val="003D5005"/>
    <w:rsid w:val="003D60A5"/>
    <w:rsid w:val="003D684D"/>
    <w:rsid w:val="003E033B"/>
    <w:rsid w:val="003E0463"/>
    <w:rsid w:val="003E71C9"/>
    <w:rsid w:val="003F19BE"/>
    <w:rsid w:val="003F2CFC"/>
    <w:rsid w:val="003F3045"/>
    <w:rsid w:val="003F376E"/>
    <w:rsid w:val="003F4AC3"/>
    <w:rsid w:val="00401AD4"/>
    <w:rsid w:val="00402CF3"/>
    <w:rsid w:val="004045C3"/>
    <w:rsid w:val="00404656"/>
    <w:rsid w:val="0040780E"/>
    <w:rsid w:val="00411F3C"/>
    <w:rsid w:val="00412538"/>
    <w:rsid w:val="00413584"/>
    <w:rsid w:val="00413AE4"/>
    <w:rsid w:val="004145F8"/>
    <w:rsid w:val="004157BB"/>
    <w:rsid w:val="00417B12"/>
    <w:rsid w:val="00420805"/>
    <w:rsid w:val="00420897"/>
    <w:rsid w:val="00423802"/>
    <w:rsid w:val="00423AD5"/>
    <w:rsid w:val="004242EE"/>
    <w:rsid w:val="00424791"/>
    <w:rsid w:val="00425515"/>
    <w:rsid w:val="00425B38"/>
    <w:rsid w:val="00425CE3"/>
    <w:rsid w:val="00426053"/>
    <w:rsid w:val="004276BE"/>
    <w:rsid w:val="004318FC"/>
    <w:rsid w:val="00433E0F"/>
    <w:rsid w:val="00434890"/>
    <w:rsid w:val="004362F0"/>
    <w:rsid w:val="00436C1E"/>
    <w:rsid w:val="00437F50"/>
    <w:rsid w:val="00443BF0"/>
    <w:rsid w:val="004445D1"/>
    <w:rsid w:val="004454AE"/>
    <w:rsid w:val="00445836"/>
    <w:rsid w:val="004477F4"/>
    <w:rsid w:val="00451122"/>
    <w:rsid w:val="00451A42"/>
    <w:rsid w:val="004537C1"/>
    <w:rsid w:val="00454319"/>
    <w:rsid w:val="004544D3"/>
    <w:rsid w:val="00454C6D"/>
    <w:rsid w:val="004567B2"/>
    <w:rsid w:val="00460A5F"/>
    <w:rsid w:val="0046166A"/>
    <w:rsid w:val="00462141"/>
    <w:rsid w:val="00462292"/>
    <w:rsid w:val="00462E97"/>
    <w:rsid w:val="004636C9"/>
    <w:rsid w:val="004644A8"/>
    <w:rsid w:val="0046578D"/>
    <w:rsid w:val="004659BF"/>
    <w:rsid w:val="00470E64"/>
    <w:rsid w:val="0047252A"/>
    <w:rsid w:val="00477C5B"/>
    <w:rsid w:val="00480310"/>
    <w:rsid w:val="00482516"/>
    <w:rsid w:val="00482BB8"/>
    <w:rsid w:val="0048641F"/>
    <w:rsid w:val="00486591"/>
    <w:rsid w:val="00486D3C"/>
    <w:rsid w:val="00487A66"/>
    <w:rsid w:val="00487FCE"/>
    <w:rsid w:val="004909B4"/>
    <w:rsid w:val="00494103"/>
    <w:rsid w:val="00494E90"/>
    <w:rsid w:val="004953AB"/>
    <w:rsid w:val="00495410"/>
    <w:rsid w:val="004A076B"/>
    <w:rsid w:val="004A0921"/>
    <w:rsid w:val="004A1493"/>
    <w:rsid w:val="004A242A"/>
    <w:rsid w:val="004A2CB4"/>
    <w:rsid w:val="004A3AF8"/>
    <w:rsid w:val="004A443A"/>
    <w:rsid w:val="004A4898"/>
    <w:rsid w:val="004A4BE6"/>
    <w:rsid w:val="004A66E3"/>
    <w:rsid w:val="004A6A1A"/>
    <w:rsid w:val="004B0C96"/>
    <w:rsid w:val="004B334E"/>
    <w:rsid w:val="004B38A3"/>
    <w:rsid w:val="004B50EA"/>
    <w:rsid w:val="004B5DE7"/>
    <w:rsid w:val="004C05BF"/>
    <w:rsid w:val="004C16C4"/>
    <w:rsid w:val="004C2318"/>
    <w:rsid w:val="004C4226"/>
    <w:rsid w:val="004C46F3"/>
    <w:rsid w:val="004C5C86"/>
    <w:rsid w:val="004C5D41"/>
    <w:rsid w:val="004D007D"/>
    <w:rsid w:val="004D059D"/>
    <w:rsid w:val="004D3644"/>
    <w:rsid w:val="004D3BBA"/>
    <w:rsid w:val="004D59CF"/>
    <w:rsid w:val="004D7999"/>
    <w:rsid w:val="004E0785"/>
    <w:rsid w:val="004E1C0C"/>
    <w:rsid w:val="004E773D"/>
    <w:rsid w:val="004F0266"/>
    <w:rsid w:val="004F1202"/>
    <w:rsid w:val="004F2444"/>
    <w:rsid w:val="004F3608"/>
    <w:rsid w:val="004F49A0"/>
    <w:rsid w:val="004F5242"/>
    <w:rsid w:val="004F6B04"/>
    <w:rsid w:val="004F752E"/>
    <w:rsid w:val="004F7636"/>
    <w:rsid w:val="004F7C2F"/>
    <w:rsid w:val="00500B98"/>
    <w:rsid w:val="00500E26"/>
    <w:rsid w:val="005017B9"/>
    <w:rsid w:val="005021BF"/>
    <w:rsid w:val="00502589"/>
    <w:rsid w:val="005026B0"/>
    <w:rsid w:val="0050392D"/>
    <w:rsid w:val="005044C5"/>
    <w:rsid w:val="00504A88"/>
    <w:rsid w:val="00504D86"/>
    <w:rsid w:val="005062DD"/>
    <w:rsid w:val="00506FB3"/>
    <w:rsid w:val="0050786F"/>
    <w:rsid w:val="00512951"/>
    <w:rsid w:val="005129BF"/>
    <w:rsid w:val="0051312D"/>
    <w:rsid w:val="005135B3"/>
    <w:rsid w:val="00513EE3"/>
    <w:rsid w:val="00514B8E"/>
    <w:rsid w:val="0051588F"/>
    <w:rsid w:val="005158ED"/>
    <w:rsid w:val="005165B7"/>
    <w:rsid w:val="00520F58"/>
    <w:rsid w:val="00521918"/>
    <w:rsid w:val="00521DCA"/>
    <w:rsid w:val="00522287"/>
    <w:rsid w:val="0052264F"/>
    <w:rsid w:val="0052412A"/>
    <w:rsid w:val="0052607F"/>
    <w:rsid w:val="00530379"/>
    <w:rsid w:val="005304ED"/>
    <w:rsid w:val="0053160A"/>
    <w:rsid w:val="00532A9B"/>
    <w:rsid w:val="00534E9A"/>
    <w:rsid w:val="00537C77"/>
    <w:rsid w:val="00537EC9"/>
    <w:rsid w:val="0054387B"/>
    <w:rsid w:val="00544786"/>
    <w:rsid w:val="0054611C"/>
    <w:rsid w:val="00546D90"/>
    <w:rsid w:val="00547A75"/>
    <w:rsid w:val="00552E78"/>
    <w:rsid w:val="00554195"/>
    <w:rsid w:val="00555371"/>
    <w:rsid w:val="005556DC"/>
    <w:rsid w:val="0055584A"/>
    <w:rsid w:val="00557640"/>
    <w:rsid w:val="00557FDD"/>
    <w:rsid w:val="0056077B"/>
    <w:rsid w:val="00560A93"/>
    <w:rsid w:val="0056189D"/>
    <w:rsid w:val="005624F7"/>
    <w:rsid w:val="00562695"/>
    <w:rsid w:val="00563B4D"/>
    <w:rsid w:val="0056418B"/>
    <w:rsid w:val="00567310"/>
    <w:rsid w:val="00567C86"/>
    <w:rsid w:val="00567C8B"/>
    <w:rsid w:val="005704B6"/>
    <w:rsid w:val="0057098E"/>
    <w:rsid w:val="00570F3E"/>
    <w:rsid w:val="00572127"/>
    <w:rsid w:val="005722F7"/>
    <w:rsid w:val="00576FD8"/>
    <w:rsid w:val="00577472"/>
    <w:rsid w:val="00580D8C"/>
    <w:rsid w:val="005815BC"/>
    <w:rsid w:val="00582C56"/>
    <w:rsid w:val="00583333"/>
    <w:rsid w:val="00583691"/>
    <w:rsid w:val="00583CB5"/>
    <w:rsid w:val="005853DB"/>
    <w:rsid w:val="005857FF"/>
    <w:rsid w:val="00587999"/>
    <w:rsid w:val="00587BA3"/>
    <w:rsid w:val="005918BB"/>
    <w:rsid w:val="00593E8F"/>
    <w:rsid w:val="005949B3"/>
    <w:rsid w:val="00594F2A"/>
    <w:rsid w:val="0059552A"/>
    <w:rsid w:val="0059770D"/>
    <w:rsid w:val="005A0DD4"/>
    <w:rsid w:val="005A2F99"/>
    <w:rsid w:val="005A4C90"/>
    <w:rsid w:val="005A58B4"/>
    <w:rsid w:val="005A6256"/>
    <w:rsid w:val="005A6DC1"/>
    <w:rsid w:val="005A6F50"/>
    <w:rsid w:val="005B0E3E"/>
    <w:rsid w:val="005B17C4"/>
    <w:rsid w:val="005B2C8B"/>
    <w:rsid w:val="005B4BCE"/>
    <w:rsid w:val="005B6D6E"/>
    <w:rsid w:val="005B7D98"/>
    <w:rsid w:val="005C4A67"/>
    <w:rsid w:val="005C6ED9"/>
    <w:rsid w:val="005D1825"/>
    <w:rsid w:val="005D1F08"/>
    <w:rsid w:val="005D6DC0"/>
    <w:rsid w:val="005D7FB9"/>
    <w:rsid w:val="005E09FD"/>
    <w:rsid w:val="005E12EF"/>
    <w:rsid w:val="005E1F23"/>
    <w:rsid w:val="005E2249"/>
    <w:rsid w:val="005E240E"/>
    <w:rsid w:val="005E2A2F"/>
    <w:rsid w:val="005E2A4F"/>
    <w:rsid w:val="005E4AC3"/>
    <w:rsid w:val="005E5D6E"/>
    <w:rsid w:val="005E5E5E"/>
    <w:rsid w:val="005E6197"/>
    <w:rsid w:val="005E6DB3"/>
    <w:rsid w:val="005E76CA"/>
    <w:rsid w:val="005F30A4"/>
    <w:rsid w:val="0060110A"/>
    <w:rsid w:val="006023DF"/>
    <w:rsid w:val="00603567"/>
    <w:rsid w:val="00603AF7"/>
    <w:rsid w:val="00603FFE"/>
    <w:rsid w:val="006053B5"/>
    <w:rsid w:val="0061244D"/>
    <w:rsid w:val="00613A0A"/>
    <w:rsid w:val="00613E22"/>
    <w:rsid w:val="00614B06"/>
    <w:rsid w:val="00615420"/>
    <w:rsid w:val="006156FC"/>
    <w:rsid w:val="006167E5"/>
    <w:rsid w:val="00616B3D"/>
    <w:rsid w:val="006209FE"/>
    <w:rsid w:val="00621ADF"/>
    <w:rsid w:val="00621B47"/>
    <w:rsid w:val="00622056"/>
    <w:rsid w:val="00623289"/>
    <w:rsid w:val="00623900"/>
    <w:rsid w:val="00623E3B"/>
    <w:rsid w:val="00625144"/>
    <w:rsid w:val="0062794D"/>
    <w:rsid w:val="00627E7A"/>
    <w:rsid w:val="00630138"/>
    <w:rsid w:val="006304CA"/>
    <w:rsid w:val="0063092D"/>
    <w:rsid w:val="00630987"/>
    <w:rsid w:val="00630A9E"/>
    <w:rsid w:val="00631BB5"/>
    <w:rsid w:val="0063352C"/>
    <w:rsid w:val="006353E1"/>
    <w:rsid w:val="00637AAB"/>
    <w:rsid w:val="006405C1"/>
    <w:rsid w:val="006409CC"/>
    <w:rsid w:val="006411D5"/>
    <w:rsid w:val="00641227"/>
    <w:rsid w:val="006431D9"/>
    <w:rsid w:val="0064326B"/>
    <w:rsid w:val="00647DBF"/>
    <w:rsid w:val="00651C20"/>
    <w:rsid w:val="00651C8B"/>
    <w:rsid w:val="0065298A"/>
    <w:rsid w:val="006553AA"/>
    <w:rsid w:val="00657907"/>
    <w:rsid w:val="00657DB1"/>
    <w:rsid w:val="00661C4C"/>
    <w:rsid w:val="0066217E"/>
    <w:rsid w:val="00663A9C"/>
    <w:rsid w:val="00663ED9"/>
    <w:rsid w:val="0066524A"/>
    <w:rsid w:val="00667A2A"/>
    <w:rsid w:val="00670B72"/>
    <w:rsid w:val="00671DD2"/>
    <w:rsid w:val="006742D1"/>
    <w:rsid w:val="006743AF"/>
    <w:rsid w:val="006744F2"/>
    <w:rsid w:val="00674966"/>
    <w:rsid w:val="0067588E"/>
    <w:rsid w:val="006776B1"/>
    <w:rsid w:val="00680361"/>
    <w:rsid w:val="0068044D"/>
    <w:rsid w:val="00681537"/>
    <w:rsid w:val="0068229F"/>
    <w:rsid w:val="00684076"/>
    <w:rsid w:val="00684AE8"/>
    <w:rsid w:val="00687036"/>
    <w:rsid w:val="00687B56"/>
    <w:rsid w:val="00690938"/>
    <w:rsid w:val="00691481"/>
    <w:rsid w:val="00692847"/>
    <w:rsid w:val="00692C5D"/>
    <w:rsid w:val="00693DBA"/>
    <w:rsid w:val="00694417"/>
    <w:rsid w:val="00694C15"/>
    <w:rsid w:val="006950BA"/>
    <w:rsid w:val="00696E91"/>
    <w:rsid w:val="0069798F"/>
    <w:rsid w:val="006A0A1A"/>
    <w:rsid w:val="006A16FE"/>
    <w:rsid w:val="006A186E"/>
    <w:rsid w:val="006A2D54"/>
    <w:rsid w:val="006A3FCC"/>
    <w:rsid w:val="006A4D6D"/>
    <w:rsid w:val="006A4DD2"/>
    <w:rsid w:val="006A63EB"/>
    <w:rsid w:val="006A77FA"/>
    <w:rsid w:val="006A7F32"/>
    <w:rsid w:val="006B06D5"/>
    <w:rsid w:val="006B14DD"/>
    <w:rsid w:val="006B190E"/>
    <w:rsid w:val="006B4651"/>
    <w:rsid w:val="006B49DD"/>
    <w:rsid w:val="006B6990"/>
    <w:rsid w:val="006C168D"/>
    <w:rsid w:val="006C2E98"/>
    <w:rsid w:val="006C3DED"/>
    <w:rsid w:val="006C7B82"/>
    <w:rsid w:val="006D0810"/>
    <w:rsid w:val="006D28AC"/>
    <w:rsid w:val="006D4535"/>
    <w:rsid w:val="006D4550"/>
    <w:rsid w:val="006D65A2"/>
    <w:rsid w:val="006D76D5"/>
    <w:rsid w:val="006D7AA5"/>
    <w:rsid w:val="006E033C"/>
    <w:rsid w:val="006E0512"/>
    <w:rsid w:val="006E0EB4"/>
    <w:rsid w:val="006E19F6"/>
    <w:rsid w:val="006E1A30"/>
    <w:rsid w:val="006E1E43"/>
    <w:rsid w:val="006E4820"/>
    <w:rsid w:val="006E5774"/>
    <w:rsid w:val="006E58D6"/>
    <w:rsid w:val="006E6E25"/>
    <w:rsid w:val="006E7091"/>
    <w:rsid w:val="006E7C9A"/>
    <w:rsid w:val="006F0CB6"/>
    <w:rsid w:val="006F1B97"/>
    <w:rsid w:val="006F2702"/>
    <w:rsid w:val="006F3715"/>
    <w:rsid w:val="006F3EF6"/>
    <w:rsid w:val="006F3F6B"/>
    <w:rsid w:val="006F406F"/>
    <w:rsid w:val="006F52B6"/>
    <w:rsid w:val="006F7091"/>
    <w:rsid w:val="006F70E5"/>
    <w:rsid w:val="006F7794"/>
    <w:rsid w:val="00701027"/>
    <w:rsid w:val="0070290B"/>
    <w:rsid w:val="0070374F"/>
    <w:rsid w:val="007058DA"/>
    <w:rsid w:val="00706C05"/>
    <w:rsid w:val="007076E5"/>
    <w:rsid w:val="007077E6"/>
    <w:rsid w:val="00711344"/>
    <w:rsid w:val="007128D2"/>
    <w:rsid w:val="00712D2A"/>
    <w:rsid w:val="00712EA4"/>
    <w:rsid w:val="0071395A"/>
    <w:rsid w:val="00713F99"/>
    <w:rsid w:val="00714C6C"/>
    <w:rsid w:val="00714F2E"/>
    <w:rsid w:val="00714F59"/>
    <w:rsid w:val="00714FE5"/>
    <w:rsid w:val="00715D62"/>
    <w:rsid w:val="00716692"/>
    <w:rsid w:val="007202F2"/>
    <w:rsid w:val="00720980"/>
    <w:rsid w:val="0072106C"/>
    <w:rsid w:val="00723532"/>
    <w:rsid w:val="00724E7F"/>
    <w:rsid w:val="00725E0A"/>
    <w:rsid w:val="007303EC"/>
    <w:rsid w:val="00730C73"/>
    <w:rsid w:val="0073107F"/>
    <w:rsid w:val="0073258A"/>
    <w:rsid w:val="00732DDC"/>
    <w:rsid w:val="0073338D"/>
    <w:rsid w:val="00733CF6"/>
    <w:rsid w:val="00735E36"/>
    <w:rsid w:val="00736000"/>
    <w:rsid w:val="00736529"/>
    <w:rsid w:val="00736DCB"/>
    <w:rsid w:val="00740761"/>
    <w:rsid w:val="0074134D"/>
    <w:rsid w:val="00743FEB"/>
    <w:rsid w:val="00744094"/>
    <w:rsid w:val="00744C57"/>
    <w:rsid w:val="00747E6D"/>
    <w:rsid w:val="007506B7"/>
    <w:rsid w:val="00751B88"/>
    <w:rsid w:val="00752A34"/>
    <w:rsid w:val="00752AFF"/>
    <w:rsid w:val="00754A08"/>
    <w:rsid w:val="00754F96"/>
    <w:rsid w:val="00756708"/>
    <w:rsid w:val="00756D54"/>
    <w:rsid w:val="00757819"/>
    <w:rsid w:val="00760DF1"/>
    <w:rsid w:val="00762591"/>
    <w:rsid w:val="00764F75"/>
    <w:rsid w:val="00766824"/>
    <w:rsid w:val="00767E27"/>
    <w:rsid w:val="007701B6"/>
    <w:rsid w:val="007704E9"/>
    <w:rsid w:val="007707B8"/>
    <w:rsid w:val="00771061"/>
    <w:rsid w:val="0077219A"/>
    <w:rsid w:val="007723C4"/>
    <w:rsid w:val="0078056C"/>
    <w:rsid w:val="00781F1B"/>
    <w:rsid w:val="00783C8F"/>
    <w:rsid w:val="00784868"/>
    <w:rsid w:val="00785CE0"/>
    <w:rsid w:val="007915A3"/>
    <w:rsid w:val="00792B45"/>
    <w:rsid w:val="00792C4E"/>
    <w:rsid w:val="007950E4"/>
    <w:rsid w:val="00795BD9"/>
    <w:rsid w:val="007962E2"/>
    <w:rsid w:val="00796B45"/>
    <w:rsid w:val="007A0B86"/>
    <w:rsid w:val="007A1723"/>
    <w:rsid w:val="007A2974"/>
    <w:rsid w:val="007A3E59"/>
    <w:rsid w:val="007A4FD9"/>
    <w:rsid w:val="007A5B60"/>
    <w:rsid w:val="007A5E73"/>
    <w:rsid w:val="007B0487"/>
    <w:rsid w:val="007B09B5"/>
    <w:rsid w:val="007B3E94"/>
    <w:rsid w:val="007B60B6"/>
    <w:rsid w:val="007C0EBA"/>
    <w:rsid w:val="007C2B59"/>
    <w:rsid w:val="007C2C0C"/>
    <w:rsid w:val="007C43A8"/>
    <w:rsid w:val="007C690E"/>
    <w:rsid w:val="007C6B90"/>
    <w:rsid w:val="007D0ADA"/>
    <w:rsid w:val="007D2189"/>
    <w:rsid w:val="007D30AE"/>
    <w:rsid w:val="007D30CA"/>
    <w:rsid w:val="007D4A7B"/>
    <w:rsid w:val="007D5939"/>
    <w:rsid w:val="007D6FE4"/>
    <w:rsid w:val="007D713B"/>
    <w:rsid w:val="007D74E9"/>
    <w:rsid w:val="007E0C17"/>
    <w:rsid w:val="007E0C20"/>
    <w:rsid w:val="007E1972"/>
    <w:rsid w:val="007E24B4"/>
    <w:rsid w:val="007E3149"/>
    <w:rsid w:val="007E3DDE"/>
    <w:rsid w:val="007E4E77"/>
    <w:rsid w:val="007E566D"/>
    <w:rsid w:val="007E6B96"/>
    <w:rsid w:val="007E74B9"/>
    <w:rsid w:val="007E7FD9"/>
    <w:rsid w:val="007F02AD"/>
    <w:rsid w:val="007F209D"/>
    <w:rsid w:val="007F664A"/>
    <w:rsid w:val="007F68CE"/>
    <w:rsid w:val="007F76AC"/>
    <w:rsid w:val="007F78B2"/>
    <w:rsid w:val="007F7A89"/>
    <w:rsid w:val="007F7EEF"/>
    <w:rsid w:val="008003F6"/>
    <w:rsid w:val="00801C29"/>
    <w:rsid w:val="00801D35"/>
    <w:rsid w:val="008026BB"/>
    <w:rsid w:val="008035CE"/>
    <w:rsid w:val="00804EB0"/>
    <w:rsid w:val="00806EEB"/>
    <w:rsid w:val="008073B7"/>
    <w:rsid w:val="00807A75"/>
    <w:rsid w:val="00811E07"/>
    <w:rsid w:val="00812AAF"/>
    <w:rsid w:val="00813360"/>
    <w:rsid w:val="00814283"/>
    <w:rsid w:val="00815C1C"/>
    <w:rsid w:val="00816108"/>
    <w:rsid w:val="008169A6"/>
    <w:rsid w:val="0082039E"/>
    <w:rsid w:val="008204C8"/>
    <w:rsid w:val="00821569"/>
    <w:rsid w:val="0082595E"/>
    <w:rsid w:val="00825983"/>
    <w:rsid w:val="0083308B"/>
    <w:rsid w:val="0083323B"/>
    <w:rsid w:val="00833509"/>
    <w:rsid w:val="0083459E"/>
    <w:rsid w:val="00836616"/>
    <w:rsid w:val="00837635"/>
    <w:rsid w:val="00837FC0"/>
    <w:rsid w:val="008403E3"/>
    <w:rsid w:val="00842F29"/>
    <w:rsid w:val="00843C26"/>
    <w:rsid w:val="00844C78"/>
    <w:rsid w:val="008470D1"/>
    <w:rsid w:val="00850F66"/>
    <w:rsid w:val="00851EC1"/>
    <w:rsid w:val="00851F2B"/>
    <w:rsid w:val="00854B9C"/>
    <w:rsid w:val="00854E66"/>
    <w:rsid w:val="00855697"/>
    <w:rsid w:val="008558CF"/>
    <w:rsid w:val="00856334"/>
    <w:rsid w:val="00856CE7"/>
    <w:rsid w:val="00860246"/>
    <w:rsid w:val="0086117B"/>
    <w:rsid w:val="0086187F"/>
    <w:rsid w:val="00861E88"/>
    <w:rsid w:val="00864734"/>
    <w:rsid w:val="00865B2F"/>
    <w:rsid w:val="008668EF"/>
    <w:rsid w:val="00871CA9"/>
    <w:rsid w:val="00873E16"/>
    <w:rsid w:val="008752DA"/>
    <w:rsid w:val="00875AB4"/>
    <w:rsid w:val="00875CFB"/>
    <w:rsid w:val="008773DC"/>
    <w:rsid w:val="00877BCA"/>
    <w:rsid w:val="0088172A"/>
    <w:rsid w:val="00881E6F"/>
    <w:rsid w:val="0088269A"/>
    <w:rsid w:val="00882A0E"/>
    <w:rsid w:val="00882BDD"/>
    <w:rsid w:val="00886CA1"/>
    <w:rsid w:val="0089007E"/>
    <w:rsid w:val="0089063A"/>
    <w:rsid w:val="00892D40"/>
    <w:rsid w:val="0089310B"/>
    <w:rsid w:val="008940E7"/>
    <w:rsid w:val="008946C3"/>
    <w:rsid w:val="00897FC0"/>
    <w:rsid w:val="008A0376"/>
    <w:rsid w:val="008A0971"/>
    <w:rsid w:val="008A0D04"/>
    <w:rsid w:val="008A145C"/>
    <w:rsid w:val="008A2AFF"/>
    <w:rsid w:val="008A2C05"/>
    <w:rsid w:val="008A2EC7"/>
    <w:rsid w:val="008A32A9"/>
    <w:rsid w:val="008A3716"/>
    <w:rsid w:val="008A4ABE"/>
    <w:rsid w:val="008A6260"/>
    <w:rsid w:val="008A78AD"/>
    <w:rsid w:val="008A79C5"/>
    <w:rsid w:val="008B0285"/>
    <w:rsid w:val="008B0D87"/>
    <w:rsid w:val="008B1B7B"/>
    <w:rsid w:val="008B2D30"/>
    <w:rsid w:val="008B3216"/>
    <w:rsid w:val="008B5D59"/>
    <w:rsid w:val="008C0243"/>
    <w:rsid w:val="008C0842"/>
    <w:rsid w:val="008C22C4"/>
    <w:rsid w:val="008C3219"/>
    <w:rsid w:val="008C3995"/>
    <w:rsid w:val="008C4CFB"/>
    <w:rsid w:val="008C5648"/>
    <w:rsid w:val="008C585B"/>
    <w:rsid w:val="008D05F2"/>
    <w:rsid w:val="008D21D0"/>
    <w:rsid w:val="008D2AA9"/>
    <w:rsid w:val="008D72A9"/>
    <w:rsid w:val="008D7616"/>
    <w:rsid w:val="008D7652"/>
    <w:rsid w:val="008E0005"/>
    <w:rsid w:val="008E0B5E"/>
    <w:rsid w:val="008E3391"/>
    <w:rsid w:val="008E33E7"/>
    <w:rsid w:val="008E46CC"/>
    <w:rsid w:val="008E6142"/>
    <w:rsid w:val="008E6EFB"/>
    <w:rsid w:val="008E75C0"/>
    <w:rsid w:val="008F0CD6"/>
    <w:rsid w:val="008F0E69"/>
    <w:rsid w:val="008F1466"/>
    <w:rsid w:val="008F245A"/>
    <w:rsid w:val="008F24FB"/>
    <w:rsid w:val="008F2BCF"/>
    <w:rsid w:val="008F40CC"/>
    <w:rsid w:val="008F4486"/>
    <w:rsid w:val="008F45D6"/>
    <w:rsid w:val="0090051E"/>
    <w:rsid w:val="009023E8"/>
    <w:rsid w:val="009029C3"/>
    <w:rsid w:val="00903B36"/>
    <w:rsid w:val="00903D79"/>
    <w:rsid w:val="00904A0D"/>
    <w:rsid w:val="00905C43"/>
    <w:rsid w:val="0090663E"/>
    <w:rsid w:val="00906A53"/>
    <w:rsid w:val="00907469"/>
    <w:rsid w:val="00910F75"/>
    <w:rsid w:val="009115D6"/>
    <w:rsid w:val="00912E8B"/>
    <w:rsid w:val="009161C4"/>
    <w:rsid w:val="00917639"/>
    <w:rsid w:val="00922342"/>
    <w:rsid w:val="00923160"/>
    <w:rsid w:val="00923C91"/>
    <w:rsid w:val="0092549B"/>
    <w:rsid w:val="0092632C"/>
    <w:rsid w:val="00927E19"/>
    <w:rsid w:val="00927EC6"/>
    <w:rsid w:val="00931E13"/>
    <w:rsid w:val="00932DF7"/>
    <w:rsid w:val="00934411"/>
    <w:rsid w:val="00935294"/>
    <w:rsid w:val="0093677C"/>
    <w:rsid w:val="00936ADB"/>
    <w:rsid w:val="00936E0A"/>
    <w:rsid w:val="00937A47"/>
    <w:rsid w:val="0094064C"/>
    <w:rsid w:val="00941050"/>
    <w:rsid w:val="00941136"/>
    <w:rsid w:val="0094174F"/>
    <w:rsid w:val="0094191C"/>
    <w:rsid w:val="00942670"/>
    <w:rsid w:val="009445BD"/>
    <w:rsid w:val="0094536E"/>
    <w:rsid w:val="00946DD0"/>
    <w:rsid w:val="009479CF"/>
    <w:rsid w:val="009504A4"/>
    <w:rsid w:val="00950727"/>
    <w:rsid w:val="00950B7C"/>
    <w:rsid w:val="009512CB"/>
    <w:rsid w:val="00951AF4"/>
    <w:rsid w:val="00953F6A"/>
    <w:rsid w:val="00954884"/>
    <w:rsid w:val="00955335"/>
    <w:rsid w:val="0096051C"/>
    <w:rsid w:val="009613B4"/>
    <w:rsid w:val="009635B6"/>
    <w:rsid w:val="00963E9B"/>
    <w:rsid w:val="00970248"/>
    <w:rsid w:val="00970BDC"/>
    <w:rsid w:val="009722F5"/>
    <w:rsid w:val="00973554"/>
    <w:rsid w:val="009743E1"/>
    <w:rsid w:val="00974A46"/>
    <w:rsid w:val="0097656C"/>
    <w:rsid w:val="00976B3B"/>
    <w:rsid w:val="00976C60"/>
    <w:rsid w:val="009808F6"/>
    <w:rsid w:val="009856B5"/>
    <w:rsid w:val="00985F85"/>
    <w:rsid w:val="00986735"/>
    <w:rsid w:val="009867BD"/>
    <w:rsid w:val="00986D97"/>
    <w:rsid w:val="00990B93"/>
    <w:rsid w:val="00990FF8"/>
    <w:rsid w:val="00992B7E"/>
    <w:rsid w:val="009931BE"/>
    <w:rsid w:val="009937F9"/>
    <w:rsid w:val="0099426D"/>
    <w:rsid w:val="009969BE"/>
    <w:rsid w:val="00997385"/>
    <w:rsid w:val="00997F7C"/>
    <w:rsid w:val="009A0720"/>
    <w:rsid w:val="009A0B54"/>
    <w:rsid w:val="009A3385"/>
    <w:rsid w:val="009A4A3D"/>
    <w:rsid w:val="009A5AC2"/>
    <w:rsid w:val="009A5CB7"/>
    <w:rsid w:val="009A62AD"/>
    <w:rsid w:val="009B74F3"/>
    <w:rsid w:val="009C0DF8"/>
    <w:rsid w:val="009C3E61"/>
    <w:rsid w:val="009C45CC"/>
    <w:rsid w:val="009C54BD"/>
    <w:rsid w:val="009C5BE2"/>
    <w:rsid w:val="009C5FFF"/>
    <w:rsid w:val="009D0EE6"/>
    <w:rsid w:val="009D29E4"/>
    <w:rsid w:val="009D4DEB"/>
    <w:rsid w:val="009D5471"/>
    <w:rsid w:val="009D79F3"/>
    <w:rsid w:val="009D7B54"/>
    <w:rsid w:val="009E0F39"/>
    <w:rsid w:val="009E3D49"/>
    <w:rsid w:val="009E4303"/>
    <w:rsid w:val="009E50F7"/>
    <w:rsid w:val="009E544A"/>
    <w:rsid w:val="009E564B"/>
    <w:rsid w:val="009E5EF1"/>
    <w:rsid w:val="009E5FD5"/>
    <w:rsid w:val="009E6238"/>
    <w:rsid w:val="009E723B"/>
    <w:rsid w:val="009E7275"/>
    <w:rsid w:val="009F0393"/>
    <w:rsid w:val="009F0B29"/>
    <w:rsid w:val="009F2A31"/>
    <w:rsid w:val="009F2EC1"/>
    <w:rsid w:val="009F39D6"/>
    <w:rsid w:val="009F444D"/>
    <w:rsid w:val="009F4618"/>
    <w:rsid w:val="009F4A5D"/>
    <w:rsid w:val="009F6149"/>
    <w:rsid w:val="009F64D7"/>
    <w:rsid w:val="009F6E07"/>
    <w:rsid w:val="00A00FDF"/>
    <w:rsid w:val="00A01E1F"/>
    <w:rsid w:val="00A02478"/>
    <w:rsid w:val="00A02771"/>
    <w:rsid w:val="00A02797"/>
    <w:rsid w:val="00A02D10"/>
    <w:rsid w:val="00A0553E"/>
    <w:rsid w:val="00A055E7"/>
    <w:rsid w:val="00A06F0E"/>
    <w:rsid w:val="00A10388"/>
    <w:rsid w:val="00A115DB"/>
    <w:rsid w:val="00A12AE3"/>
    <w:rsid w:val="00A143C0"/>
    <w:rsid w:val="00A15977"/>
    <w:rsid w:val="00A174C0"/>
    <w:rsid w:val="00A21488"/>
    <w:rsid w:val="00A220AD"/>
    <w:rsid w:val="00A2268B"/>
    <w:rsid w:val="00A228AA"/>
    <w:rsid w:val="00A2291F"/>
    <w:rsid w:val="00A25467"/>
    <w:rsid w:val="00A25B7A"/>
    <w:rsid w:val="00A26A4A"/>
    <w:rsid w:val="00A27331"/>
    <w:rsid w:val="00A3194D"/>
    <w:rsid w:val="00A34602"/>
    <w:rsid w:val="00A366FE"/>
    <w:rsid w:val="00A37561"/>
    <w:rsid w:val="00A407D0"/>
    <w:rsid w:val="00A42CC5"/>
    <w:rsid w:val="00A442F5"/>
    <w:rsid w:val="00A4479A"/>
    <w:rsid w:val="00A449A5"/>
    <w:rsid w:val="00A45C52"/>
    <w:rsid w:val="00A46008"/>
    <w:rsid w:val="00A4621E"/>
    <w:rsid w:val="00A464E6"/>
    <w:rsid w:val="00A46818"/>
    <w:rsid w:val="00A47781"/>
    <w:rsid w:val="00A50665"/>
    <w:rsid w:val="00A50D35"/>
    <w:rsid w:val="00A529B2"/>
    <w:rsid w:val="00A52EC4"/>
    <w:rsid w:val="00A53F7E"/>
    <w:rsid w:val="00A53F81"/>
    <w:rsid w:val="00A57FC6"/>
    <w:rsid w:val="00A61D30"/>
    <w:rsid w:val="00A631D5"/>
    <w:rsid w:val="00A63A4A"/>
    <w:rsid w:val="00A63B84"/>
    <w:rsid w:val="00A64769"/>
    <w:rsid w:val="00A6494C"/>
    <w:rsid w:val="00A6500C"/>
    <w:rsid w:val="00A65BA8"/>
    <w:rsid w:val="00A66C78"/>
    <w:rsid w:val="00A66FBB"/>
    <w:rsid w:val="00A67423"/>
    <w:rsid w:val="00A67795"/>
    <w:rsid w:val="00A67ACC"/>
    <w:rsid w:val="00A67FBB"/>
    <w:rsid w:val="00A7292F"/>
    <w:rsid w:val="00A742DB"/>
    <w:rsid w:val="00A74542"/>
    <w:rsid w:val="00A750E4"/>
    <w:rsid w:val="00A76F5C"/>
    <w:rsid w:val="00A81670"/>
    <w:rsid w:val="00A829D2"/>
    <w:rsid w:val="00A8373C"/>
    <w:rsid w:val="00A847A6"/>
    <w:rsid w:val="00A84F01"/>
    <w:rsid w:val="00A85159"/>
    <w:rsid w:val="00A8529B"/>
    <w:rsid w:val="00A868C5"/>
    <w:rsid w:val="00A9021E"/>
    <w:rsid w:val="00A90CBA"/>
    <w:rsid w:val="00A91428"/>
    <w:rsid w:val="00A92E49"/>
    <w:rsid w:val="00A9318B"/>
    <w:rsid w:val="00A935DC"/>
    <w:rsid w:val="00A93FE3"/>
    <w:rsid w:val="00A94CC6"/>
    <w:rsid w:val="00A9562E"/>
    <w:rsid w:val="00A97525"/>
    <w:rsid w:val="00AA0914"/>
    <w:rsid w:val="00AA3DAF"/>
    <w:rsid w:val="00AA415D"/>
    <w:rsid w:val="00AA4778"/>
    <w:rsid w:val="00AA5267"/>
    <w:rsid w:val="00AA56CE"/>
    <w:rsid w:val="00AA636B"/>
    <w:rsid w:val="00AA67B1"/>
    <w:rsid w:val="00AA6C80"/>
    <w:rsid w:val="00AB4DBD"/>
    <w:rsid w:val="00AB5A9E"/>
    <w:rsid w:val="00AC301B"/>
    <w:rsid w:val="00AC30C2"/>
    <w:rsid w:val="00AC34D4"/>
    <w:rsid w:val="00AC4066"/>
    <w:rsid w:val="00AC566C"/>
    <w:rsid w:val="00AC7C23"/>
    <w:rsid w:val="00AD0ACE"/>
    <w:rsid w:val="00AD288E"/>
    <w:rsid w:val="00AD2D9F"/>
    <w:rsid w:val="00AD344A"/>
    <w:rsid w:val="00AD51D5"/>
    <w:rsid w:val="00AD555F"/>
    <w:rsid w:val="00AD5F05"/>
    <w:rsid w:val="00AD6806"/>
    <w:rsid w:val="00AE02AE"/>
    <w:rsid w:val="00AE276F"/>
    <w:rsid w:val="00AE2A26"/>
    <w:rsid w:val="00AE3987"/>
    <w:rsid w:val="00AE3DD1"/>
    <w:rsid w:val="00AE4019"/>
    <w:rsid w:val="00AE4567"/>
    <w:rsid w:val="00AE4C14"/>
    <w:rsid w:val="00AF1312"/>
    <w:rsid w:val="00AF17C8"/>
    <w:rsid w:val="00AF2B62"/>
    <w:rsid w:val="00AF2EBF"/>
    <w:rsid w:val="00AF5B21"/>
    <w:rsid w:val="00AF627E"/>
    <w:rsid w:val="00AF7C9E"/>
    <w:rsid w:val="00B010DE"/>
    <w:rsid w:val="00B02CB6"/>
    <w:rsid w:val="00B03CBB"/>
    <w:rsid w:val="00B04FA5"/>
    <w:rsid w:val="00B04FFB"/>
    <w:rsid w:val="00B06852"/>
    <w:rsid w:val="00B07A54"/>
    <w:rsid w:val="00B10565"/>
    <w:rsid w:val="00B1090C"/>
    <w:rsid w:val="00B12766"/>
    <w:rsid w:val="00B12DBF"/>
    <w:rsid w:val="00B14042"/>
    <w:rsid w:val="00B14ED6"/>
    <w:rsid w:val="00B154F1"/>
    <w:rsid w:val="00B161E3"/>
    <w:rsid w:val="00B16684"/>
    <w:rsid w:val="00B16938"/>
    <w:rsid w:val="00B171E8"/>
    <w:rsid w:val="00B17BFF"/>
    <w:rsid w:val="00B17CFF"/>
    <w:rsid w:val="00B225CF"/>
    <w:rsid w:val="00B2297C"/>
    <w:rsid w:val="00B22BD2"/>
    <w:rsid w:val="00B235CB"/>
    <w:rsid w:val="00B24695"/>
    <w:rsid w:val="00B24DEB"/>
    <w:rsid w:val="00B265D5"/>
    <w:rsid w:val="00B27045"/>
    <w:rsid w:val="00B32104"/>
    <w:rsid w:val="00B36212"/>
    <w:rsid w:val="00B37C85"/>
    <w:rsid w:val="00B40190"/>
    <w:rsid w:val="00B4025A"/>
    <w:rsid w:val="00B40FC2"/>
    <w:rsid w:val="00B410A3"/>
    <w:rsid w:val="00B444AC"/>
    <w:rsid w:val="00B44A49"/>
    <w:rsid w:val="00B44B0B"/>
    <w:rsid w:val="00B47195"/>
    <w:rsid w:val="00B47B13"/>
    <w:rsid w:val="00B50D27"/>
    <w:rsid w:val="00B51298"/>
    <w:rsid w:val="00B51977"/>
    <w:rsid w:val="00B5294E"/>
    <w:rsid w:val="00B54274"/>
    <w:rsid w:val="00B54755"/>
    <w:rsid w:val="00B55119"/>
    <w:rsid w:val="00B55212"/>
    <w:rsid w:val="00B55E22"/>
    <w:rsid w:val="00B56260"/>
    <w:rsid w:val="00B56A4E"/>
    <w:rsid w:val="00B627C6"/>
    <w:rsid w:val="00B63EAB"/>
    <w:rsid w:val="00B6486E"/>
    <w:rsid w:val="00B65AAC"/>
    <w:rsid w:val="00B65CD2"/>
    <w:rsid w:val="00B65CE1"/>
    <w:rsid w:val="00B66989"/>
    <w:rsid w:val="00B66BBB"/>
    <w:rsid w:val="00B742BA"/>
    <w:rsid w:val="00B74D31"/>
    <w:rsid w:val="00B80327"/>
    <w:rsid w:val="00B80A9A"/>
    <w:rsid w:val="00B82FF7"/>
    <w:rsid w:val="00B832B8"/>
    <w:rsid w:val="00B85B02"/>
    <w:rsid w:val="00B8618A"/>
    <w:rsid w:val="00B901B1"/>
    <w:rsid w:val="00B90CCD"/>
    <w:rsid w:val="00B92E66"/>
    <w:rsid w:val="00B93003"/>
    <w:rsid w:val="00B9388C"/>
    <w:rsid w:val="00B93B76"/>
    <w:rsid w:val="00B97377"/>
    <w:rsid w:val="00BA016A"/>
    <w:rsid w:val="00BA08ED"/>
    <w:rsid w:val="00BA1ACF"/>
    <w:rsid w:val="00BA3CCD"/>
    <w:rsid w:val="00BA5444"/>
    <w:rsid w:val="00BB0CDA"/>
    <w:rsid w:val="00BB0D93"/>
    <w:rsid w:val="00BB12DF"/>
    <w:rsid w:val="00BB1F2B"/>
    <w:rsid w:val="00BB2016"/>
    <w:rsid w:val="00BB4B65"/>
    <w:rsid w:val="00BB5080"/>
    <w:rsid w:val="00BB6885"/>
    <w:rsid w:val="00BB6AEA"/>
    <w:rsid w:val="00BB7431"/>
    <w:rsid w:val="00BB75E1"/>
    <w:rsid w:val="00BC02DD"/>
    <w:rsid w:val="00BC0589"/>
    <w:rsid w:val="00BC05D2"/>
    <w:rsid w:val="00BC0F1A"/>
    <w:rsid w:val="00BC2083"/>
    <w:rsid w:val="00BC2598"/>
    <w:rsid w:val="00BC4AE3"/>
    <w:rsid w:val="00BC524B"/>
    <w:rsid w:val="00BC5376"/>
    <w:rsid w:val="00BC7140"/>
    <w:rsid w:val="00BC75CB"/>
    <w:rsid w:val="00BD09F2"/>
    <w:rsid w:val="00BD0FCF"/>
    <w:rsid w:val="00BD2197"/>
    <w:rsid w:val="00BD3DE6"/>
    <w:rsid w:val="00BD6A44"/>
    <w:rsid w:val="00BD745E"/>
    <w:rsid w:val="00BD7850"/>
    <w:rsid w:val="00BE3795"/>
    <w:rsid w:val="00BE3D15"/>
    <w:rsid w:val="00BE44F5"/>
    <w:rsid w:val="00BE4A0A"/>
    <w:rsid w:val="00BE5113"/>
    <w:rsid w:val="00BE7281"/>
    <w:rsid w:val="00BF2038"/>
    <w:rsid w:val="00BF218B"/>
    <w:rsid w:val="00BF32A9"/>
    <w:rsid w:val="00BF360C"/>
    <w:rsid w:val="00BF4596"/>
    <w:rsid w:val="00BF7638"/>
    <w:rsid w:val="00C0147F"/>
    <w:rsid w:val="00C07CD1"/>
    <w:rsid w:val="00C07E81"/>
    <w:rsid w:val="00C10244"/>
    <w:rsid w:val="00C12EA7"/>
    <w:rsid w:val="00C166AE"/>
    <w:rsid w:val="00C16CCE"/>
    <w:rsid w:val="00C21FAB"/>
    <w:rsid w:val="00C22142"/>
    <w:rsid w:val="00C23257"/>
    <w:rsid w:val="00C23A06"/>
    <w:rsid w:val="00C2406F"/>
    <w:rsid w:val="00C24513"/>
    <w:rsid w:val="00C251D9"/>
    <w:rsid w:val="00C25374"/>
    <w:rsid w:val="00C26194"/>
    <w:rsid w:val="00C26B24"/>
    <w:rsid w:val="00C27887"/>
    <w:rsid w:val="00C27FD5"/>
    <w:rsid w:val="00C30EFF"/>
    <w:rsid w:val="00C313A3"/>
    <w:rsid w:val="00C31684"/>
    <w:rsid w:val="00C31EE4"/>
    <w:rsid w:val="00C32FBD"/>
    <w:rsid w:val="00C33F1F"/>
    <w:rsid w:val="00C34A05"/>
    <w:rsid w:val="00C35707"/>
    <w:rsid w:val="00C4042A"/>
    <w:rsid w:val="00C409A9"/>
    <w:rsid w:val="00C40B67"/>
    <w:rsid w:val="00C43845"/>
    <w:rsid w:val="00C43A19"/>
    <w:rsid w:val="00C43C23"/>
    <w:rsid w:val="00C440E5"/>
    <w:rsid w:val="00C44921"/>
    <w:rsid w:val="00C4586D"/>
    <w:rsid w:val="00C459F4"/>
    <w:rsid w:val="00C463E1"/>
    <w:rsid w:val="00C46A84"/>
    <w:rsid w:val="00C47AD4"/>
    <w:rsid w:val="00C50351"/>
    <w:rsid w:val="00C508D2"/>
    <w:rsid w:val="00C5104C"/>
    <w:rsid w:val="00C51793"/>
    <w:rsid w:val="00C51968"/>
    <w:rsid w:val="00C519A7"/>
    <w:rsid w:val="00C528AE"/>
    <w:rsid w:val="00C554B5"/>
    <w:rsid w:val="00C57421"/>
    <w:rsid w:val="00C608F5"/>
    <w:rsid w:val="00C60929"/>
    <w:rsid w:val="00C61C49"/>
    <w:rsid w:val="00C624B2"/>
    <w:rsid w:val="00C62A4F"/>
    <w:rsid w:val="00C6333D"/>
    <w:rsid w:val="00C6458E"/>
    <w:rsid w:val="00C66026"/>
    <w:rsid w:val="00C70130"/>
    <w:rsid w:val="00C74597"/>
    <w:rsid w:val="00C74E4F"/>
    <w:rsid w:val="00C77D36"/>
    <w:rsid w:val="00C80FA0"/>
    <w:rsid w:val="00C82EF8"/>
    <w:rsid w:val="00C83483"/>
    <w:rsid w:val="00C83DE7"/>
    <w:rsid w:val="00C863A3"/>
    <w:rsid w:val="00C8771B"/>
    <w:rsid w:val="00C902EE"/>
    <w:rsid w:val="00C90767"/>
    <w:rsid w:val="00C91A0F"/>
    <w:rsid w:val="00C9446E"/>
    <w:rsid w:val="00C94634"/>
    <w:rsid w:val="00C94F66"/>
    <w:rsid w:val="00C94FFC"/>
    <w:rsid w:val="00C95E39"/>
    <w:rsid w:val="00C974A4"/>
    <w:rsid w:val="00C9795E"/>
    <w:rsid w:val="00C97985"/>
    <w:rsid w:val="00C97BCA"/>
    <w:rsid w:val="00CA0FAF"/>
    <w:rsid w:val="00CA285B"/>
    <w:rsid w:val="00CA3818"/>
    <w:rsid w:val="00CA5545"/>
    <w:rsid w:val="00CA5BCF"/>
    <w:rsid w:val="00CA5C06"/>
    <w:rsid w:val="00CA61B6"/>
    <w:rsid w:val="00CA7859"/>
    <w:rsid w:val="00CB13D1"/>
    <w:rsid w:val="00CB25CD"/>
    <w:rsid w:val="00CB3261"/>
    <w:rsid w:val="00CB5CEF"/>
    <w:rsid w:val="00CC0286"/>
    <w:rsid w:val="00CC234C"/>
    <w:rsid w:val="00CC301D"/>
    <w:rsid w:val="00CC374A"/>
    <w:rsid w:val="00CC5114"/>
    <w:rsid w:val="00CC5BB1"/>
    <w:rsid w:val="00CC74AB"/>
    <w:rsid w:val="00CD02F7"/>
    <w:rsid w:val="00CD1B1F"/>
    <w:rsid w:val="00CD296F"/>
    <w:rsid w:val="00CD33D7"/>
    <w:rsid w:val="00CD474E"/>
    <w:rsid w:val="00CD70FD"/>
    <w:rsid w:val="00CD7FDE"/>
    <w:rsid w:val="00CE0788"/>
    <w:rsid w:val="00CE1498"/>
    <w:rsid w:val="00CE16BA"/>
    <w:rsid w:val="00CE2BDB"/>
    <w:rsid w:val="00CE3CAF"/>
    <w:rsid w:val="00CE70E3"/>
    <w:rsid w:val="00CE76B1"/>
    <w:rsid w:val="00CE7743"/>
    <w:rsid w:val="00CE78E8"/>
    <w:rsid w:val="00CE7C95"/>
    <w:rsid w:val="00CF0415"/>
    <w:rsid w:val="00CF146B"/>
    <w:rsid w:val="00CF166F"/>
    <w:rsid w:val="00CF4035"/>
    <w:rsid w:val="00CF512C"/>
    <w:rsid w:val="00CF5144"/>
    <w:rsid w:val="00CF6272"/>
    <w:rsid w:val="00CF77AE"/>
    <w:rsid w:val="00D00E32"/>
    <w:rsid w:val="00D00EE5"/>
    <w:rsid w:val="00D0305E"/>
    <w:rsid w:val="00D03EAB"/>
    <w:rsid w:val="00D03FAB"/>
    <w:rsid w:val="00D06B4F"/>
    <w:rsid w:val="00D13917"/>
    <w:rsid w:val="00D14A04"/>
    <w:rsid w:val="00D15185"/>
    <w:rsid w:val="00D16676"/>
    <w:rsid w:val="00D17356"/>
    <w:rsid w:val="00D2000D"/>
    <w:rsid w:val="00D209EF"/>
    <w:rsid w:val="00D21F65"/>
    <w:rsid w:val="00D22967"/>
    <w:rsid w:val="00D243B9"/>
    <w:rsid w:val="00D24F92"/>
    <w:rsid w:val="00D3216F"/>
    <w:rsid w:val="00D32ABF"/>
    <w:rsid w:val="00D334C7"/>
    <w:rsid w:val="00D35EB9"/>
    <w:rsid w:val="00D36DDD"/>
    <w:rsid w:val="00D40ADD"/>
    <w:rsid w:val="00D4174B"/>
    <w:rsid w:val="00D41E5C"/>
    <w:rsid w:val="00D4393A"/>
    <w:rsid w:val="00D44634"/>
    <w:rsid w:val="00D5002A"/>
    <w:rsid w:val="00D50B20"/>
    <w:rsid w:val="00D52974"/>
    <w:rsid w:val="00D52F3C"/>
    <w:rsid w:val="00D55E4B"/>
    <w:rsid w:val="00D56F98"/>
    <w:rsid w:val="00D603EC"/>
    <w:rsid w:val="00D60A52"/>
    <w:rsid w:val="00D62945"/>
    <w:rsid w:val="00D6297F"/>
    <w:rsid w:val="00D64C62"/>
    <w:rsid w:val="00D653C3"/>
    <w:rsid w:val="00D65B2E"/>
    <w:rsid w:val="00D65F19"/>
    <w:rsid w:val="00D70929"/>
    <w:rsid w:val="00D70A12"/>
    <w:rsid w:val="00D719CF"/>
    <w:rsid w:val="00D72248"/>
    <w:rsid w:val="00D7691B"/>
    <w:rsid w:val="00D8080B"/>
    <w:rsid w:val="00D81291"/>
    <w:rsid w:val="00D81F82"/>
    <w:rsid w:val="00D82A12"/>
    <w:rsid w:val="00D84D4B"/>
    <w:rsid w:val="00D8597F"/>
    <w:rsid w:val="00D9035E"/>
    <w:rsid w:val="00D9114B"/>
    <w:rsid w:val="00D92A5A"/>
    <w:rsid w:val="00D9319B"/>
    <w:rsid w:val="00D940A2"/>
    <w:rsid w:val="00D944FA"/>
    <w:rsid w:val="00D96771"/>
    <w:rsid w:val="00D970C3"/>
    <w:rsid w:val="00D97F4F"/>
    <w:rsid w:val="00DA000A"/>
    <w:rsid w:val="00DA049B"/>
    <w:rsid w:val="00DA0DF6"/>
    <w:rsid w:val="00DA1AC1"/>
    <w:rsid w:val="00DA2F48"/>
    <w:rsid w:val="00DA3D27"/>
    <w:rsid w:val="00DA546F"/>
    <w:rsid w:val="00DA713C"/>
    <w:rsid w:val="00DB203F"/>
    <w:rsid w:val="00DB2AB4"/>
    <w:rsid w:val="00DB330E"/>
    <w:rsid w:val="00DB49F8"/>
    <w:rsid w:val="00DB4D88"/>
    <w:rsid w:val="00DC0F47"/>
    <w:rsid w:val="00DC179F"/>
    <w:rsid w:val="00DC24EE"/>
    <w:rsid w:val="00DC2D60"/>
    <w:rsid w:val="00DC3675"/>
    <w:rsid w:val="00DC578F"/>
    <w:rsid w:val="00DC6DCE"/>
    <w:rsid w:val="00DC7994"/>
    <w:rsid w:val="00DD1B45"/>
    <w:rsid w:val="00DD1CD6"/>
    <w:rsid w:val="00DD7997"/>
    <w:rsid w:val="00DD7CA8"/>
    <w:rsid w:val="00DE24AB"/>
    <w:rsid w:val="00DE4C5E"/>
    <w:rsid w:val="00DE6AD7"/>
    <w:rsid w:val="00DE7076"/>
    <w:rsid w:val="00DF0830"/>
    <w:rsid w:val="00DF207F"/>
    <w:rsid w:val="00DF2350"/>
    <w:rsid w:val="00DF4386"/>
    <w:rsid w:val="00DF5571"/>
    <w:rsid w:val="00DF56C4"/>
    <w:rsid w:val="00DF611B"/>
    <w:rsid w:val="00DF7D3A"/>
    <w:rsid w:val="00E0175A"/>
    <w:rsid w:val="00E023A3"/>
    <w:rsid w:val="00E03C96"/>
    <w:rsid w:val="00E0656E"/>
    <w:rsid w:val="00E06A52"/>
    <w:rsid w:val="00E10327"/>
    <w:rsid w:val="00E10A8E"/>
    <w:rsid w:val="00E11191"/>
    <w:rsid w:val="00E116F6"/>
    <w:rsid w:val="00E122BF"/>
    <w:rsid w:val="00E1315C"/>
    <w:rsid w:val="00E157E1"/>
    <w:rsid w:val="00E16E69"/>
    <w:rsid w:val="00E21376"/>
    <w:rsid w:val="00E2200A"/>
    <w:rsid w:val="00E23157"/>
    <w:rsid w:val="00E23C7C"/>
    <w:rsid w:val="00E248D2"/>
    <w:rsid w:val="00E30394"/>
    <w:rsid w:val="00E3498D"/>
    <w:rsid w:val="00E3536D"/>
    <w:rsid w:val="00E354F4"/>
    <w:rsid w:val="00E35841"/>
    <w:rsid w:val="00E3585F"/>
    <w:rsid w:val="00E358FF"/>
    <w:rsid w:val="00E36A2D"/>
    <w:rsid w:val="00E426AD"/>
    <w:rsid w:val="00E442EF"/>
    <w:rsid w:val="00E459CE"/>
    <w:rsid w:val="00E45A3A"/>
    <w:rsid w:val="00E47FB8"/>
    <w:rsid w:val="00E50187"/>
    <w:rsid w:val="00E51D91"/>
    <w:rsid w:val="00E52511"/>
    <w:rsid w:val="00E528B7"/>
    <w:rsid w:val="00E52C79"/>
    <w:rsid w:val="00E53F5C"/>
    <w:rsid w:val="00E54235"/>
    <w:rsid w:val="00E544DF"/>
    <w:rsid w:val="00E55AC3"/>
    <w:rsid w:val="00E56343"/>
    <w:rsid w:val="00E5760D"/>
    <w:rsid w:val="00E57C97"/>
    <w:rsid w:val="00E60145"/>
    <w:rsid w:val="00E64028"/>
    <w:rsid w:val="00E64D4D"/>
    <w:rsid w:val="00E64E40"/>
    <w:rsid w:val="00E66814"/>
    <w:rsid w:val="00E71700"/>
    <w:rsid w:val="00E71C11"/>
    <w:rsid w:val="00E735FB"/>
    <w:rsid w:val="00E73FFA"/>
    <w:rsid w:val="00E74243"/>
    <w:rsid w:val="00E77309"/>
    <w:rsid w:val="00E776A5"/>
    <w:rsid w:val="00E80550"/>
    <w:rsid w:val="00E80EED"/>
    <w:rsid w:val="00E82222"/>
    <w:rsid w:val="00E826EC"/>
    <w:rsid w:val="00E830BC"/>
    <w:rsid w:val="00E83261"/>
    <w:rsid w:val="00E83370"/>
    <w:rsid w:val="00E83F7D"/>
    <w:rsid w:val="00E849BE"/>
    <w:rsid w:val="00E84B1A"/>
    <w:rsid w:val="00E84E2B"/>
    <w:rsid w:val="00E85AC3"/>
    <w:rsid w:val="00E85BC4"/>
    <w:rsid w:val="00E93E67"/>
    <w:rsid w:val="00E94174"/>
    <w:rsid w:val="00E9429A"/>
    <w:rsid w:val="00E94AD9"/>
    <w:rsid w:val="00E94B67"/>
    <w:rsid w:val="00E95467"/>
    <w:rsid w:val="00EA0541"/>
    <w:rsid w:val="00EA0F26"/>
    <w:rsid w:val="00EA1DEE"/>
    <w:rsid w:val="00EA247B"/>
    <w:rsid w:val="00EA2A21"/>
    <w:rsid w:val="00EA34CC"/>
    <w:rsid w:val="00EA4C7E"/>
    <w:rsid w:val="00EB2041"/>
    <w:rsid w:val="00EB2FFC"/>
    <w:rsid w:val="00EB407F"/>
    <w:rsid w:val="00EB4400"/>
    <w:rsid w:val="00EB4B3D"/>
    <w:rsid w:val="00EB64F5"/>
    <w:rsid w:val="00EB65B1"/>
    <w:rsid w:val="00EB6E2B"/>
    <w:rsid w:val="00EB6F41"/>
    <w:rsid w:val="00EC1DE4"/>
    <w:rsid w:val="00EC28A5"/>
    <w:rsid w:val="00EC34DC"/>
    <w:rsid w:val="00EC3B06"/>
    <w:rsid w:val="00EC3C46"/>
    <w:rsid w:val="00EC3E99"/>
    <w:rsid w:val="00EC712D"/>
    <w:rsid w:val="00EC7687"/>
    <w:rsid w:val="00EC7D94"/>
    <w:rsid w:val="00ED13F7"/>
    <w:rsid w:val="00ED2BD8"/>
    <w:rsid w:val="00ED31C7"/>
    <w:rsid w:val="00ED5250"/>
    <w:rsid w:val="00ED635D"/>
    <w:rsid w:val="00EE21B1"/>
    <w:rsid w:val="00EE21BF"/>
    <w:rsid w:val="00EE29AE"/>
    <w:rsid w:val="00EE3701"/>
    <w:rsid w:val="00EE4FEF"/>
    <w:rsid w:val="00EE6FC9"/>
    <w:rsid w:val="00EF0DC5"/>
    <w:rsid w:val="00EF314E"/>
    <w:rsid w:val="00EF31FB"/>
    <w:rsid w:val="00EF7D1B"/>
    <w:rsid w:val="00F00991"/>
    <w:rsid w:val="00F01B9C"/>
    <w:rsid w:val="00F01FEE"/>
    <w:rsid w:val="00F04C13"/>
    <w:rsid w:val="00F06491"/>
    <w:rsid w:val="00F06F4E"/>
    <w:rsid w:val="00F108F2"/>
    <w:rsid w:val="00F136FF"/>
    <w:rsid w:val="00F13AEE"/>
    <w:rsid w:val="00F14501"/>
    <w:rsid w:val="00F1557C"/>
    <w:rsid w:val="00F160C3"/>
    <w:rsid w:val="00F1761F"/>
    <w:rsid w:val="00F222E5"/>
    <w:rsid w:val="00F27631"/>
    <w:rsid w:val="00F312B0"/>
    <w:rsid w:val="00F32CA8"/>
    <w:rsid w:val="00F33189"/>
    <w:rsid w:val="00F33270"/>
    <w:rsid w:val="00F3344B"/>
    <w:rsid w:val="00F337DE"/>
    <w:rsid w:val="00F34619"/>
    <w:rsid w:val="00F34B81"/>
    <w:rsid w:val="00F3542C"/>
    <w:rsid w:val="00F356C7"/>
    <w:rsid w:val="00F36CF5"/>
    <w:rsid w:val="00F41584"/>
    <w:rsid w:val="00F41DE7"/>
    <w:rsid w:val="00F42915"/>
    <w:rsid w:val="00F42AAD"/>
    <w:rsid w:val="00F43073"/>
    <w:rsid w:val="00F446F5"/>
    <w:rsid w:val="00F47D61"/>
    <w:rsid w:val="00F50EE6"/>
    <w:rsid w:val="00F52A02"/>
    <w:rsid w:val="00F5370A"/>
    <w:rsid w:val="00F57572"/>
    <w:rsid w:val="00F621F3"/>
    <w:rsid w:val="00F623FB"/>
    <w:rsid w:val="00F645DE"/>
    <w:rsid w:val="00F66605"/>
    <w:rsid w:val="00F666D6"/>
    <w:rsid w:val="00F672EC"/>
    <w:rsid w:val="00F6762D"/>
    <w:rsid w:val="00F67934"/>
    <w:rsid w:val="00F7018B"/>
    <w:rsid w:val="00F70AD8"/>
    <w:rsid w:val="00F70C11"/>
    <w:rsid w:val="00F71760"/>
    <w:rsid w:val="00F71902"/>
    <w:rsid w:val="00F756AE"/>
    <w:rsid w:val="00F75722"/>
    <w:rsid w:val="00F75CDB"/>
    <w:rsid w:val="00F76ADA"/>
    <w:rsid w:val="00F77139"/>
    <w:rsid w:val="00F815CD"/>
    <w:rsid w:val="00F82626"/>
    <w:rsid w:val="00F84EB3"/>
    <w:rsid w:val="00F85379"/>
    <w:rsid w:val="00F85AFE"/>
    <w:rsid w:val="00F85F8F"/>
    <w:rsid w:val="00F87A63"/>
    <w:rsid w:val="00F905D4"/>
    <w:rsid w:val="00F9084B"/>
    <w:rsid w:val="00F90D37"/>
    <w:rsid w:val="00F91339"/>
    <w:rsid w:val="00F91462"/>
    <w:rsid w:val="00F94816"/>
    <w:rsid w:val="00F955A2"/>
    <w:rsid w:val="00F96229"/>
    <w:rsid w:val="00F96B9F"/>
    <w:rsid w:val="00F97A06"/>
    <w:rsid w:val="00F97CC3"/>
    <w:rsid w:val="00FA005A"/>
    <w:rsid w:val="00FA2679"/>
    <w:rsid w:val="00FA3C5E"/>
    <w:rsid w:val="00FA4BD2"/>
    <w:rsid w:val="00FA5131"/>
    <w:rsid w:val="00FA5281"/>
    <w:rsid w:val="00FA559A"/>
    <w:rsid w:val="00FB0E4E"/>
    <w:rsid w:val="00FB189D"/>
    <w:rsid w:val="00FB20C8"/>
    <w:rsid w:val="00FB3130"/>
    <w:rsid w:val="00FB609F"/>
    <w:rsid w:val="00FB6273"/>
    <w:rsid w:val="00FC12DC"/>
    <w:rsid w:val="00FC1B7A"/>
    <w:rsid w:val="00FC2A36"/>
    <w:rsid w:val="00FC4552"/>
    <w:rsid w:val="00FC5AE2"/>
    <w:rsid w:val="00FC7EE7"/>
    <w:rsid w:val="00FD1BC7"/>
    <w:rsid w:val="00FD1DC4"/>
    <w:rsid w:val="00FD4A34"/>
    <w:rsid w:val="00FD5B67"/>
    <w:rsid w:val="00FD6074"/>
    <w:rsid w:val="00FE1803"/>
    <w:rsid w:val="00FE4B36"/>
    <w:rsid w:val="00FE5DE0"/>
    <w:rsid w:val="00FE6A23"/>
    <w:rsid w:val="00FE7315"/>
    <w:rsid w:val="00FE774A"/>
    <w:rsid w:val="00FF141C"/>
    <w:rsid w:val="00FF1EED"/>
    <w:rsid w:val="00FF2442"/>
    <w:rsid w:val="00FF34AF"/>
    <w:rsid w:val="00FF398F"/>
    <w:rsid w:val="00FF48EC"/>
    <w:rsid w:val="00FF6111"/>
    <w:rsid w:val="00FF6A4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A08"/>
    <w:pPr>
      <w:spacing w:before="120" w:line="276" w:lineRule="auto"/>
      <w:jc w:val="both"/>
    </w:pPr>
    <w:rPr>
      <w:rFonts w:eastAsia="Arial Unicode MS"/>
      <w:sz w:val="22"/>
      <w:szCs w:val="22"/>
      <w:u w:color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9C54BD"/>
    <w:pPr>
      <w:keepNext/>
      <w:keepLines/>
      <w:numPr>
        <w:numId w:val="2"/>
      </w:numPr>
      <w:spacing w:before="480" w:after="240"/>
      <w:outlineLvl w:val="0"/>
    </w:pPr>
    <w:rPr>
      <w:rFonts w:ascii="Arial" w:eastAsiaTheme="majorEastAsia" w:hAnsi="Arial" w:cs="Arial"/>
      <w:b/>
      <w:bCs/>
      <w:sz w:val="36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91339"/>
    <w:pPr>
      <w:numPr>
        <w:ilvl w:val="1"/>
      </w:numPr>
      <w:spacing w:before="240" w:after="120"/>
      <w:ind w:left="709" w:hanging="709"/>
      <w:outlineLvl w:val="1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54BD"/>
    <w:rPr>
      <w:rFonts w:ascii="Arial" w:eastAsiaTheme="majorEastAsia" w:hAnsi="Arial" w:cs="Arial"/>
      <w:b/>
      <w:bCs/>
      <w:sz w:val="36"/>
      <w:szCs w:val="32"/>
      <w:u w:color="000000"/>
    </w:rPr>
  </w:style>
  <w:style w:type="character" w:styleId="Siln">
    <w:name w:val="Strong"/>
    <w:basedOn w:val="Standardnpsmoodstavce"/>
    <w:uiPriority w:val="22"/>
    <w:qFormat/>
    <w:rsid w:val="00754A08"/>
    <w:rPr>
      <w:b/>
      <w:bCs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54A08"/>
    <w:pPr>
      <w:spacing w:after="120"/>
      <w:ind w:left="720" w:hanging="284"/>
      <w:contextualSpacing/>
    </w:pPr>
    <w:rPr>
      <w:rFonts w:ascii="Calibri" w:hAnsi="Calibri" w:cs="Calibri"/>
      <w:lang w:eastAsia="en-US"/>
    </w:rPr>
  </w:style>
  <w:style w:type="paragraph" w:styleId="Nzev">
    <w:name w:val="Title"/>
    <w:basedOn w:val="Normln"/>
    <w:next w:val="Normln"/>
    <w:link w:val="NzevChar"/>
    <w:qFormat/>
    <w:rsid w:val="00754A08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54A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u w:color="000000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4A08"/>
    <w:pPr>
      <w:numPr>
        <w:ilvl w:val="1"/>
      </w:numPr>
      <w:spacing w:before="0" w:line="240" w:lineRule="auto"/>
      <w:jc w:val="center"/>
    </w:pPr>
    <w:rPr>
      <w:rFonts w:ascii="Arial" w:eastAsiaTheme="majorEastAsia" w:hAnsi="Arial" w:cs="Arial"/>
      <w:b/>
      <w:iCs/>
      <w:spacing w:val="15"/>
      <w:sz w:val="36"/>
      <w:szCs w:val="36"/>
    </w:rPr>
  </w:style>
  <w:style w:type="character" w:customStyle="1" w:styleId="PodtitulChar">
    <w:name w:val="Podtitul Char"/>
    <w:basedOn w:val="Standardnpsmoodstavce"/>
    <w:link w:val="Podtitul"/>
    <w:uiPriority w:val="11"/>
    <w:rsid w:val="00754A08"/>
    <w:rPr>
      <w:rFonts w:ascii="Arial" w:eastAsiaTheme="majorEastAsia" w:hAnsi="Arial" w:cs="Arial"/>
      <w:b/>
      <w:iCs/>
      <w:spacing w:val="15"/>
      <w:sz w:val="36"/>
      <w:szCs w:val="36"/>
      <w:u w:color="00000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nhideWhenUsed/>
    <w:qFormat/>
    <w:rsid w:val="009D4DEB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rsid w:val="009D4DEB"/>
    <w:rPr>
      <w:rFonts w:eastAsia="Arial Unicode MS"/>
      <w:u w:color="00000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,PGI Fußnote Ziffer,Légende.Char Car Car Car Car"/>
    <w:basedOn w:val="Standardnpsmoodstavce"/>
    <w:uiPriority w:val="99"/>
    <w:unhideWhenUsed/>
    <w:rsid w:val="009D4DE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3736CE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736C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736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6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6CE"/>
    <w:rPr>
      <w:rFonts w:ascii="Tahoma" w:eastAsia="Arial Unicode MS" w:hAnsi="Tahoma" w:cs="Tahoma"/>
      <w:sz w:val="16"/>
      <w:szCs w:val="16"/>
      <w:u w:color="000000"/>
    </w:rPr>
  </w:style>
  <w:style w:type="table" w:styleId="Mkatabulky">
    <w:name w:val="Table Grid"/>
    <w:basedOn w:val="Normlntabulka"/>
    <w:uiPriority w:val="59"/>
    <w:rsid w:val="0085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724E7F"/>
    <w:pPr>
      <w:spacing w:after="40" w:line="240" w:lineRule="auto"/>
      <w:ind w:left="142"/>
    </w:pPr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F91339"/>
    <w:rPr>
      <w:rFonts w:ascii="Arial" w:eastAsiaTheme="majorEastAsia" w:hAnsi="Arial" w:cs="Arial"/>
      <w:b/>
      <w:bCs/>
      <w:sz w:val="28"/>
      <w:szCs w:val="28"/>
      <w:u w:color="000000"/>
    </w:rPr>
  </w:style>
  <w:style w:type="paragraph" w:customStyle="1" w:styleId="Odstavecseseznamem1">
    <w:name w:val="Odstavec se seznamem1"/>
    <w:basedOn w:val="Normln"/>
    <w:link w:val="ListParagraphChar"/>
    <w:uiPriority w:val="34"/>
    <w:qFormat/>
    <w:rsid w:val="00923C91"/>
    <w:pPr>
      <w:spacing w:before="0" w:after="200"/>
      <w:ind w:left="720"/>
      <w:jc w:val="left"/>
    </w:pPr>
    <w:rPr>
      <w:rFonts w:ascii="Calibri" w:eastAsia="Times New Roman" w:hAnsi="Calibri" w:cs="Calibri"/>
      <w:lang w:eastAsia="en-US"/>
    </w:rPr>
  </w:style>
  <w:style w:type="character" w:customStyle="1" w:styleId="ListParagraphChar">
    <w:name w:val="List Paragraph Char"/>
    <w:basedOn w:val="Standardnpsmoodstavce"/>
    <w:link w:val="Odstavecseseznamem1"/>
    <w:uiPriority w:val="34"/>
    <w:locked/>
    <w:rsid w:val="00923C91"/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479A"/>
    <w:rPr>
      <w:rFonts w:eastAsia="Arial Unicode MS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479A"/>
    <w:rPr>
      <w:rFonts w:eastAsia="Arial Unicode MS"/>
      <w:sz w:val="22"/>
      <w:szCs w:val="22"/>
      <w:u w:color="000000"/>
    </w:rPr>
  </w:style>
  <w:style w:type="paragraph" w:customStyle="1" w:styleId="List0">
    <w:name w:val="List 0"/>
    <w:basedOn w:val="Normln"/>
    <w:semiHidden/>
    <w:rsid w:val="00E06A52"/>
    <w:pPr>
      <w:numPr>
        <w:numId w:val="1"/>
      </w:numPr>
      <w:spacing w:before="0" w:line="240" w:lineRule="auto"/>
      <w:jc w:val="left"/>
    </w:pPr>
    <w:rPr>
      <w:rFonts w:eastAsia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1870D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70D9"/>
    <w:rPr>
      <w:rFonts w:ascii="Arial" w:hAnsi="Arial" w:cs="Arial"/>
    </w:rPr>
  </w:style>
  <w:style w:type="paragraph" w:styleId="Textkomente">
    <w:name w:val="annotation text"/>
    <w:basedOn w:val="Normln"/>
    <w:link w:val="TextkomenteChar"/>
    <w:uiPriority w:val="99"/>
    <w:semiHidden/>
    <w:rsid w:val="001870D9"/>
    <w:pPr>
      <w:spacing w:before="0" w:line="240" w:lineRule="auto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1870D9"/>
    <w:rPr>
      <w:rFonts w:eastAsia="Arial Unicode MS"/>
      <w:u w:color="000000"/>
    </w:rPr>
  </w:style>
  <w:style w:type="paragraph" w:styleId="Bezmezer">
    <w:name w:val="No Spacing"/>
    <w:uiPriority w:val="1"/>
    <w:qFormat/>
    <w:rsid w:val="00CD02F7"/>
    <w:pPr>
      <w:jc w:val="both"/>
    </w:pPr>
    <w:rPr>
      <w:rFonts w:eastAsia="Arial Unicode MS"/>
      <w:sz w:val="22"/>
      <w:szCs w:val="22"/>
      <w:u w:color="000000"/>
    </w:rPr>
  </w:style>
  <w:style w:type="paragraph" w:styleId="Prosttext">
    <w:name w:val="Plain Text"/>
    <w:basedOn w:val="Normln"/>
    <w:link w:val="ProsttextChar"/>
    <w:uiPriority w:val="99"/>
    <w:unhideWhenUsed/>
    <w:rsid w:val="008A145C"/>
    <w:pPr>
      <w:spacing w:before="0" w:line="240" w:lineRule="auto"/>
      <w:jc w:val="left"/>
    </w:pPr>
    <w:rPr>
      <w:rFonts w:ascii="Calibri" w:eastAsiaTheme="minorHAns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145C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16BD"/>
    <w:rPr>
      <w:rFonts w:ascii="Calibri" w:eastAsia="Arial Unicode MS" w:hAnsi="Calibri" w:cs="Calibri"/>
      <w:sz w:val="22"/>
      <w:szCs w:val="22"/>
      <w:u w:color="000000"/>
      <w:lang w:eastAsia="en-US"/>
    </w:rPr>
  </w:style>
  <w:style w:type="paragraph" w:customStyle="1" w:styleId="Seznam">
    <w:name w:val="*Seznam"/>
    <w:basedOn w:val="Zkladntext"/>
    <w:rsid w:val="006D0810"/>
    <w:pPr>
      <w:numPr>
        <w:numId w:val="3"/>
      </w:numPr>
      <w:tabs>
        <w:tab w:val="clear" w:pos="720"/>
      </w:tabs>
      <w:overflowPunct w:val="0"/>
      <w:autoSpaceDE w:val="0"/>
      <w:autoSpaceDN w:val="0"/>
      <w:adjustRightInd w:val="0"/>
      <w:spacing w:line="240" w:lineRule="auto"/>
      <w:ind w:left="714" w:hanging="357"/>
      <w:contextualSpacing/>
      <w:jc w:val="left"/>
      <w:textAlignment w:val="baseline"/>
    </w:pPr>
    <w:rPr>
      <w:rFonts w:eastAsia="Times New Roman"/>
      <w:sz w:val="24"/>
      <w:szCs w:val="20"/>
    </w:rPr>
  </w:style>
  <w:style w:type="paragraph" w:customStyle="1" w:styleId="TextNOK">
    <w:name w:val="Text NOK"/>
    <w:basedOn w:val="Normln"/>
    <w:link w:val="TextNOKChar"/>
    <w:qFormat/>
    <w:rsid w:val="006D0810"/>
    <w:pPr>
      <w:spacing w:before="60" w:after="60" w:line="312" w:lineRule="auto"/>
    </w:pPr>
    <w:rPr>
      <w:rFonts w:eastAsia="Times New Roman"/>
      <w:szCs w:val="24"/>
    </w:rPr>
  </w:style>
  <w:style w:type="character" w:customStyle="1" w:styleId="TextNOKChar">
    <w:name w:val="Text NOK Char"/>
    <w:basedOn w:val="Standardnpsmoodstavce"/>
    <w:link w:val="TextNOK"/>
    <w:locked/>
    <w:rsid w:val="006D0810"/>
    <w:rPr>
      <w:sz w:val="22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081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0810"/>
    <w:rPr>
      <w:rFonts w:eastAsia="Arial Unicode MS"/>
      <w:sz w:val="22"/>
      <w:szCs w:val="22"/>
      <w:u w:color="000000"/>
    </w:rPr>
  </w:style>
  <w:style w:type="paragraph" w:customStyle="1" w:styleId="Styl2">
    <w:name w:val="Styl2"/>
    <w:basedOn w:val="Normln"/>
    <w:qFormat/>
    <w:rsid w:val="00123789"/>
    <w:pPr>
      <w:spacing w:before="60" w:after="60" w:line="288" w:lineRule="auto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623289"/>
    <w:rPr>
      <w:rFonts w:eastAsia="Arial Unicode MS"/>
      <w:sz w:val="22"/>
      <w:szCs w:val="22"/>
      <w:u w:color="000000"/>
    </w:rPr>
  </w:style>
  <w:style w:type="paragraph" w:styleId="Normlnweb">
    <w:name w:val="Normal (Web)"/>
    <w:basedOn w:val="Normln"/>
    <w:uiPriority w:val="99"/>
    <w:semiHidden/>
    <w:unhideWhenUsed/>
    <w:rsid w:val="00FC1B7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716F1"/>
    <w:pPr>
      <w:spacing w:after="100"/>
      <w:ind w:left="220"/>
    </w:pPr>
  </w:style>
  <w:style w:type="paragraph" w:customStyle="1" w:styleId="Tabulka">
    <w:name w:val="Tabulka"/>
    <w:basedOn w:val="Titulek"/>
    <w:link w:val="TabulkaChar"/>
    <w:qFormat/>
    <w:rsid w:val="00615420"/>
    <w:pPr>
      <w:spacing w:before="0" w:after="200"/>
      <w:ind w:left="0"/>
    </w:pPr>
    <w:rPr>
      <w:rFonts w:eastAsia="Times New Roman"/>
      <w:bCs w:val="0"/>
      <w:color w:val="4F81BD"/>
      <w:sz w:val="24"/>
      <w:szCs w:val="20"/>
    </w:rPr>
  </w:style>
  <w:style w:type="character" w:customStyle="1" w:styleId="TabulkaChar">
    <w:name w:val="Tabulka Char"/>
    <w:link w:val="Tabulka"/>
    <w:locked/>
    <w:rsid w:val="00615420"/>
    <w:rPr>
      <w:b/>
      <w:color w:val="4F81BD"/>
      <w:sz w:val="24"/>
    </w:rPr>
  </w:style>
  <w:style w:type="paragraph" w:customStyle="1" w:styleId="DAVA">
    <w:name w:val="DAVA"/>
    <w:basedOn w:val="Normln"/>
    <w:link w:val="DAVAChar"/>
    <w:qFormat/>
    <w:rsid w:val="00615420"/>
    <w:pPr>
      <w:spacing w:line="240" w:lineRule="auto"/>
      <w:jc w:val="left"/>
    </w:pPr>
    <w:rPr>
      <w:rFonts w:ascii="Arial" w:eastAsia="Times New Roman" w:hAnsi="Arial"/>
      <w:sz w:val="28"/>
      <w:szCs w:val="20"/>
    </w:rPr>
  </w:style>
  <w:style w:type="character" w:customStyle="1" w:styleId="DAVAChar">
    <w:name w:val="DAVA Char"/>
    <w:link w:val="DAVA"/>
    <w:locked/>
    <w:rsid w:val="00615420"/>
    <w:rPr>
      <w:rFonts w:ascii="Arial" w:hAnsi="Arial"/>
      <w:sz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2318"/>
    <w:pPr>
      <w:spacing w:before="120"/>
      <w:jc w:val="both"/>
    </w:pPr>
    <w:rPr>
      <w:rFonts w:ascii="Times New Roman" w:eastAsia="Arial Unicode MS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2318"/>
    <w:rPr>
      <w:rFonts w:ascii="Arial" w:eastAsia="Arial Unicode MS" w:hAnsi="Arial" w:cs="Arial"/>
      <w:b/>
      <w:bCs/>
      <w:u w:color="000000"/>
    </w:rPr>
  </w:style>
  <w:style w:type="paragraph" w:customStyle="1" w:styleId="111AAA">
    <w:name w:val="111AAA"/>
    <w:basedOn w:val="Normln"/>
    <w:rsid w:val="001F2910"/>
    <w:pPr>
      <w:spacing w:line="240" w:lineRule="auto"/>
    </w:pPr>
    <w:rPr>
      <w:rFonts w:eastAsia="Times New Roman"/>
      <w:sz w:val="24"/>
      <w:szCs w:val="20"/>
    </w:rPr>
  </w:style>
  <w:style w:type="numbering" w:customStyle="1" w:styleId="List1">
    <w:name w:val="List 1"/>
    <w:rsid w:val="00FC7EE7"/>
    <w:pPr>
      <w:numPr>
        <w:numId w:val="4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073B7"/>
    <w:pPr>
      <w:spacing w:after="100"/>
      <w:ind w:left="440"/>
    </w:pPr>
  </w:style>
  <w:style w:type="character" w:styleId="Zvraznn">
    <w:name w:val="Emphasis"/>
    <w:basedOn w:val="Standardnpsmoodstavce"/>
    <w:uiPriority w:val="20"/>
    <w:qFormat/>
    <w:rsid w:val="008E75C0"/>
    <w:rPr>
      <w:b/>
      <w:bCs/>
      <w:i w:val="0"/>
      <w:iCs w:val="0"/>
    </w:rPr>
  </w:style>
  <w:style w:type="character" w:customStyle="1" w:styleId="st1">
    <w:name w:val="st1"/>
    <w:basedOn w:val="Standardnpsmoodstavce"/>
    <w:rsid w:val="008E7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A08"/>
    <w:pPr>
      <w:spacing w:before="120" w:line="276" w:lineRule="auto"/>
      <w:jc w:val="both"/>
    </w:pPr>
    <w:rPr>
      <w:rFonts w:eastAsia="Arial Unicode MS"/>
      <w:sz w:val="22"/>
      <w:szCs w:val="22"/>
      <w:u w:color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9C54BD"/>
    <w:pPr>
      <w:keepNext/>
      <w:keepLines/>
      <w:numPr>
        <w:numId w:val="2"/>
      </w:numPr>
      <w:spacing w:before="480" w:after="240"/>
      <w:outlineLvl w:val="0"/>
    </w:pPr>
    <w:rPr>
      <w:rFonts w:ascii="Arial" w:eastAsiaTheme="majorEastAsia" w:hAnsi="Arial" w:cs="Arial"/>
      <w:b/>
      <w:bCs/>
      <w:sz w:val="36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91339"/>
    <w:pPr>
      <w:numPr>
        <w:ilvl w:val="1"/>
      </w:numPr>
      <w:spacing w:before="240" w:after="120"/>
      <w:ind w:left="709" w:hanging="709"/>
      <w:outlineLvl w:val="1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54BD"/>
    <w:rPr>
      <w:rFonts w:ascii="Arial" w:eastAsiaTheme="majorEastAsia" w:hAnsi="Arial" w:cs="Arial"/>
      <w:b/>
      <w:bCs/>
      <w:sz w:val="36"/>
      <w:szCs w:val="32"/>
      <w:u w:color="000000"/>
    </w:rPr>
  </w:style>
  <w:style w:type="character" w:styleId="Siln">
    <w:name w:val="Strong"/>
    <w:basedOn w:val="Standardnpsmoodstavce"/>
    <w:uiPriority w:val="22"/>
    <w:qFormat/>
    <w:rsid w:val="00754A08"/>
    <w:rPr>
      <w:b/>
      <w:bCs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54A08"/>
    <w:pPr>
      <w:spacing w:after="120"/>
      <w:ind w:left="720" w:hanging="284"/>
      <w:contextualSpacing/>
    </w:pPr>
    <w:rPr>
      <w:rFonts w:ascii="Calibri" w:hAnsi="Calibri" w:cs="Calibri"/>
      <w:lang w:eastAsia="en-US"/>
    </w:rPr>
  </w:style>
  <w:style w:type="paragraph" w:styleId="Nzev">
    <w:name w:val="Title"/>
    <w:basedOn w:val="Normln"/>
    <w:next w:val="Normln"/>
    <w:link w:val="NzevChar"/>
    <w:qFormat/>
    <w:rsid w:val="00754A08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54A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u w:color="000000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4A08"/>
    <w:pPr>
      <w:numPr>
        <w:ilvl w:val="1"/>
      </w:numPr>
      <w:spacing w:before="0" w:line="240" w:lineRule="auto"/>
      <w:jc w:val="center"/>
    </w:pPr>
    <w:rPr>
      <w:rFonts w:ascii="Arial" w:eastAsiaTheme="majorEastAsia" w:hAnsi="Arial" w:cs="Arial"/>
      <w:b/>
      <w:iCs/>
      <w:spacing w:val="15"/>
      <w:sz w:val="36"/>
      <w:szCs w:val="36"/>
    </w:rPr>
  </w:style>
  <w:style w:type="character" w:customStyle="1" w:styleId="PodtitulChar">
    <w:name w:val="Podtitul Char"/>
    <w:basedOn w:val="Standardnpsmoodstavce"/>
    <w:link w:val="Podtitul"/>
    <w:uiPriority w:val="11"/>
    <w:rsid w:val="00754A08"/>
    <w:rPr>
      <w:rFonts w:ascii="Arial" w:eastAsiaTheme="majorEastAsia" w:hAnsi="Arial" w:cs="Arial"/>
      <w:b/>
      <w:iCs/>
      <w:spacing w:val="15"/>
      <w:sz w:val="36"/>
      <w:szCs w:val="36"/>
      <w:u w:color="00000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nhideWhenUsed/>
    <w:qFormat/>
    <w:rsid w:val="009D4DEB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rsid w:val="009D4DEB"/>
    <w:rPr>
      <w:rFonts w:eastAsia="Arial Unicode MS"/>
      <w:u w:color="00000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,PGI Fußnote Ziffer,Légende.Char Car Car Car Car"/>
    <w:basedOn w:val="Standardnpsmoodstavce"/>
    <w:uiPriority w:val="99"/>
    <w:unhideWhenUsed/>
    <w:rsid w:val="009D4DE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3736CE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736C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736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6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6CE"/>
    <w:rPr>
      <w:rFonts w:ascii="Tahoma" w:eastAsia="Arial Unicode MS" w:hAnsi="Tahoma" w:cs="Tahoma"/>
      <w:sz w:val="16"/>
      <w:szCs w:val="16"/>
      <w:u w:color="000000"/>
    </w:rPr>
  </w:style>
  <w:style w:type="table" w:styleId="Mkatabulky">
    <w:name w:val="Table Grid"/>
    <w:basedOn w:val="Normlntabulka"/>
    <w:uiPriority w:val="59"/>
    <w:rsid w:val="0085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724E7F"/>
    <w:pPr>
      <w:spacing w:after="40" w:line="240" w:lineRule="auto"/>
      <w:ind w:left="142"/>
    </w:pPr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F91339"/>
    <w:rPr>
      <w:rFonts w:ascii="Arial" w:eastAsiaTheme="majorEastAsia" w:hAnsi="Arial" w:cs="Arial"/>
      <w:b/>
      <w:bCs/>
      <w:sz w:val="28"/>
      <w:szCs w:val="28"/>
      <w:u w:color="000000"/>
    </w:rPr>
  </w:style>
  <w:style w:type="paragraph" w:customStyle="1" w:styleId="Odstavecseseznamem1">
    <w:name w:val="Odstavec se seznamem1"/>
    <w:basedOn w:val="Normln"/>
    <w:link w:val="ListParagraphChar"/>
    <w:uiPriority w:val="34"/>
    <w:qFormat/>
    <w:rsid w:val="00923C91"/>
    <w:pPr>
      <w:spacing w:before="0" w:after="200"/>
      <w:ind w:left="720"/>
      <w:jc w:val="left"/>
    </w:pPr>
    <w:rPr>
      <w:rFonts w:ascii="Calibri" w:eastAsia="Times New Roman" w:hAnsi="Calibri" w:cs="Calibri"/>
      <w:lang w:eastAsia="en-US"/>
    </w:rPr>
  </w:style>
  <w:style w:type="character" w:customStyle="1" w:styleId="ListParagraphChar">
    <w:name w:val="List Paragraph Char"/>
    <w:basedOn w:val="Standardnpsmoodstavce"/>
    <w:link w:val="Odstavecseseznamem1"/>
    <w:uiPriority w:val="34"/>
    <w:locked/>
    <w:rsid w:val="00923C91"/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479A"/>
    <w:rPr>
      <w:rFonts w:eastAsia="Arial Unicode MS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A4479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479A"/>
    <w:rPr>
      <w:rFonts w:eastAsia="Arial Unicode MS"/>
      <w:sz w:val="22"/>
      <w:szCs w:val="22"/>
      <w:u w:color="000000"/>
    </w:rPr>
  </w:style>
  <w:style w:type="paragraph" w:customStyle="1" w:styleId="List0">
    <w:name w:val="List 0"/>
    <w:basedOn w:val="Normln"/>
    <w:semiHidden/>
    <w:rsid w:val="00E06A52"/>
    <w:pPr>
      <w:numPr>
        <w:numId w:val="1"/>
      </w:numPr>
      <w:spacing w:before="0" w:line="240" w:lineRule="auto"/>
      <w:jc w:val="left"/>
    </w:pPr>
    <w:rPr>
      <w:rFonts w:eastAsia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1870D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70D9"/>
    <w:rPr>
      <w:rFonts w:ascii="Arial" w:hAnsi="Arial" w:cs="Arial"/>
    </w:rPr>
  </w:style>
  <w:style w:type="paragraph" w:styleId="Textkomente">
    <w:name w:val="annotation text"/>
    <w:basedOn w:val="Normln"/>
    <w:link w:val="TextkomenteChar"/>
    <w:uiPriority w:val="99"/>
    <w:semiHidden/>
    <w:rsid w:val="001870D9"/>
    <w:pPr>
      <w:spacing w:before="0" w:line="240" w:lineRule="auto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1870D9"/>
    <w:rPr>
      <w:rFonts w:eastAsia="Arial Unicode MS"/>
      <w:u w:color="000000"/>
    </w:rPr>
  </w:style>
  <w:style w:type="paragraph" w:styleId="Bezmezer">
    <w:name w:val="No Spacing"/>
    <w:uiPriority w:val="1"/>
    <w:qFormat/>
    <w:rsid w:val="00CD02F7"/>
    <w:pPr>
      <w:jc w:val="both"/>
    </w:pPr>
    <w:rPr>
      <w:rFonts w:eastAsia="Arial Unicode MS"/>
      <w:sz w:val="22"/>
      <w:szCs w:val="22"/>
      <w:u w:color="000000"/>
    </w:rPr>
  </w:style>
  <w:style w:type="paragraph" w:styleId="Prosttext">
    <w:name w:val="Plain Text"/>
    <w:basedOn w:val="Normln"/>
    <w:link w:val="ProsttextChar"/>
    <w:uiPriority w:val="99"/>
    <w:unhideWhenUsed/>
    <w:rsid w:val="008A145C"/>
    <w:pPr>
      <w:spacing w:before="0" w:line="240" w:lineRule="auto"/>
      <w:jc w:val="left"/>
    </w:pPr>
    <w:rPr>
      <w:rFonts w:ascii="Calibri" w:eastAsiaTheme="minorHAns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145C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16BD"/>
    <w:rPr>
      <w:rFonts w:ascii="Calibri" w:eastAsia="Arial Unicode MS" w:hAnsi="Calibri" w:cs="Calibri"/>
      <w:sz w:val="22"/>
      <w:szCs w:val="22"/>
      <w:u w:color="000000"/>
      <w:lang w:eastAsia="en-US"/>
    </w:rPr>
  </w:style>
  <w:style w:type="paragraph" w:customStyle="1" w:styleId="Seznam">
    <w:name w:val="*Seznam"/>
    <w:basedOn w:val="Zkladntext"/>
    <w:rsid w:val="006D0810"/>
    <w:pPr>
      <w:numPr>
        <w:numId w:val="3"/>
      </w:numPr>
      <w:tabs>
        <w:tab w:val="clear" w:pos="720"/>
      </w:tabs>
      <w:overflowPunct w:val="0"/>
      <w:autoSpaceDE w:val="0"/>
      <w:autoSpaceDN w:val="0"/>
      <w:adjustRightInd w:val="0"/>
      <w:spacing w:line="240" w:lineRule="auto"/>
      <w:ind w:left="714" w:hanging="357"/>
      <w:contextualSpacing/>
      <w:jc w:val="left"/>
      <w:textAlignment w:val="baseline"/>
    </w:pPr>
    <w:rPr>
      <w:rFonts w:eastAsia="Times New Roman"/>
      <w:sz w:val="24"/>
      <w:szCs w:val="20"/>
    </w:rPr>
  </w:style>
  <w:style w:type="paragraph" w:customStyle="1" w:styleId="TextNOK">
    <w:name w:val="Text NOK"/>
    <w:basedOn w:val="Normln"/>
    <w:link w:val="TextNOKChar"/>
    <w:qFormat/>
    <w:rsid w:val="006D0810"/>
    <w:pPr>
      <w:spacing w:before="60" w:after="60" w:line="312" w:lineRule="auto"/>
    </w:pPr>
    <w:rPr>
      <w:rFonts w:eastAsia="Times New Roman"/>
      <w:szCs w:val="24"/>
    </w:rPr>
  </w:style>
  <w:style w:type="character" w:customStyle="1" w:styleId="TextNOKChar">
    <w:name w:val="Text NOK Char"/>
    <w:basedOn w:val="Standardnpsmoodstavce"/>
    <w:link w:val="TextNOK"/>
    <w:locked/>
    <w:rsid w:val="006D0810"/>
    <w:rPr>
      <w:sz w:val="22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081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0810"/>
    <w:rPr>
      <w:rFonts w:eastAsia="Arial Unicode MS"/>
      <w:sz w:val="22"/>
      <w:szCs w:val="22"/>
      <w:u w:color="000000"/>
    </w:rPr>
  </w:style>
  <w:style w:type="paragraph" w:customStyle="1" w:styleId="Styl2">
    <w:name w:val="Styl2"/>
    <w:basedOn w:val="Normln"/>
    <w:qFormat/>
    <w:rsid w:val="00123789"/>
    <w:pPr>
      <w:spacing w:before="60" w:after="60" w:line="288" w:lineRule="auto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623289"/>
    <w:rPr>
      <w:rFonts w:eastAsia="Arial Unicode MS"/>
      <w:sz w:val="22"/>
      <w:szCs w:val="22"/>
      <w:u w:color="000000"/>
    </w:rPr>
  </w:style>
  <w:style w:type="paragraph" w:styleId="Normlnweb">
    <w:name w:val="Normal (Web)"/>
    <w:basedOn w:val="Normln"/>
    <w:uiPriority w:val="99"/>
    <w:semiHidden/>
    <w:unhideWhenUsed/>
    <w:rsid w:val="00FC1B7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716F1"/>
    <w:pPr>
      <w:spacing w:after="100"/>
      <w:ind w:left="220"/>
    </w:pPr>
  </w:style>
  <w:style w:type="paragraph" w:customStyle="1" w:styleId="Tabulka">
    <w:name w:val="Tabulka"/>
    <w:basedOn w:val="Titulek"/>
    <w:link w:val="TabulkaChar"/>
    <w:qFormat/>
    <w:rsid w:val="00615420"/>
    <w:pPr>
      <w:spacing w:before="0" w:after="200"/>
      <w:ind w:left="0"/>
    </w:pPr>
    <w:rPr>
      <w:rFonts w:eastAsia="Times New Roman"/>
      <w:bCs w:val="0"/>
      <w:color w:val="4F81BD"/>
      <w:sz w:val="24"/>
      <w:szCs w:val="20"/>
    </w:rPr>
  </w:style>
  <w:style w:type="character" w:customStyle="1" w:styleId="TabulkaChar">
    <w:name w:val="Tabulka Char"/>
    <w:link w:val="Tabulka"/>
    <w:locked/>
    <w:rsid w:val="00615420"/>
    <w:rPr>
      <w:b/>
      <w:color w:val="4F81BD"/>
      <w:sz w:val="24"/>
    </w:rPr>
  </w:style>
  <w:style w:type="paragraph" w:customStyle="1" w:styleId="DAVA">
    <w:name w:val="DAVA"/>
    <w:basedOn w:val="Normln"/>
    <w:link w:val="DAVAChar"/>
    <w:qFormat/>
    <w:rsid w:val="00615420"/>
    <w:pPr>
      <w:spacing w:line="240" w:lineRule="auto"/>
      <w:jc w:val="left"/>
    </w:pPr>
    <w:rPr>
      <w:rFonts w:ascii="Arial" w:eastAsia="Times New Roman" w:hAnsi="Arial"/>
      <w:sz w:val="28"/>
      <w:szCs w:val="20"/>
    </w:rPr>
  </w:style>
  <w:style w:type="character" w:customStyle="1" w:styleId="DAVAChar">
    <w:name w:val="DAVA Char"/>
    <w:link w:val="DAVA"/>
    <w:locked/>
    <w:rsid w:val="00615420"/>
    <w:rPr>
      <w:rFonts w:ascii="Arial" w:hAnsi="Arial"/>
      <w:sz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2318"/>
    <w:pPr>
      <w:spacing w:before="120"/>
      <w:jc w:val="both"/>
    </w:pPr>
    <w:rPr>
      <w:rFonts w:ascii="Times New Roman" w:eastAsia="Arial Unicode MS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2318"/>
    <w:rPr>
      <w:rFonts w:ascii="Arial" w:eastAsia="Arial Unicode MS" w:hAnsi="Arial" w:cs="Arial"/>
      <w:b/>
      <w:bCs/>
      <w:u w:color="000000"/>
    </w:rPr>
  </w:style>
  <w:style w:type="paragraph" w:customStyle="1" w:styleId="111AAA">
    <w:name w:val="111AAA"/>
    <w:basedOn w:val="Normln"/>
    <w:rsid w:val="001F2910"/>
    <w:pPr>
      <w:spacing w:line="240" w:lineRule="auto"/>
    </w:pPr>
    <w:rPr>
      <w:rFonts w:eastAsia="Times New Roman"/>
      <w:sz w:val="24"/>
      <w:szCs w:val="20"/>
    </w:rPr>
  </w:style>
  <w:style w:type="numbering" w:customStyle="1" w:styleId="List1">
    <w:name w:val="List 1"/>
    <w:rsid w:val="00FC7EE7"/>
    <w:pPr>
      <w:numPr>
        <w:numId w:val="4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073B7"/>
    <w:pPr>
      <w:spacing w:after="100"/>
      <w:ind w:left="440"/>
    </w:pPr>
  </w:style>
  <w:style w:type="character" w:styleId="Zvraznn">
    <w:name w:val="Emphasis"/>
    <w:basedOn w:val="Standardnpsmoodstavce"/>
    <w:uiPriority w:val="20"/>
    <w:qFormat/>
    <w:rsid w:val="008E75C0"/>
    <w:rPr>
      <w:b/>
      <w:bCs/>
      <w:i w:val="0"/>
      <w:iCs w:val="0"/>
    </w:rPr>
  </w:style>
  <w:style w:type="character" w:customStyle="1" w:styleId="st1">
    <w:name w:val="st1"/>
    <w:basedOn w:val="Standardnpsmoodstavce"/>
    <w:rsid w:val="008E7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39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08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63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0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7066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40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27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10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4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88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563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602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86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22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60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29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35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89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794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322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67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652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3912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643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644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53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6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78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2147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8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92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76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6010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269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7253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3163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017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436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77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540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95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01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50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79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81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9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620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22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405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78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0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2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0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776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3334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41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26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100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46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3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6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4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28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25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34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01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7688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60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8594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4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539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567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0507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15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59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5372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5971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7747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98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028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77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625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6255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334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482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762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9101">
          <w:marLeft w:val="83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2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460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690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871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507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846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255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64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76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65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3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1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111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6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7101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23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212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777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880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375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348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102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48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549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6038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23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362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84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4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2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70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15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713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4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34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16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53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8476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011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675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082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15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2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96442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01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38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34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781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502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786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7420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480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893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5547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989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526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0008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D0DC7-A463-4711-B295-49DDC0D746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9116E-8D7B-47AA-9A71-628DAA24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5177</Words>
  <Characters>30551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Picková Veronika</dc:creator>
  <cp:lastModifiedBy>uzivatel</cp:lastModifiedBy>
  <cp:revision>2</cp:revision>
  <cp:lastPrinted>2014-12-19T08:56:00Z</cp:lastPrinted>
  <dcterms:created xsi:type="dcterms:W3CDTF">2015-04-16T11:35:00Z</dcterms:created>
  <dcterms:modified xsi:type="dcterms:W3CDTF">2015-04-16T11:35:00Z</dcterms:modified>
</cp:coreProperties>
</file>