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77" w:rsidRPr="00EF5377" w:rsidRDefault="00EF5377" w:rsidP="00CB5B1B">
      <w:pPr>
        <w:spacing w:after="24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EF5377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Výsledek posuzování výzkumných organizací v roce 2016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>Případy, kdy je podpora v oblasti VaVaI slučitelná s vnitřním trhem a za jakých podmínek, specifikují nové předpisy Evropské unie, jež nabyly účinnosti dne 1. července 2014: Nařízení Komise (EU) č. 651/2014, kterým se v souladu s články 107 a 108 Smlouvy prohlašují určité kategorie podpory za slučitelné s vnitřním trhem</w:t>
      </w:r>
      <w:r w:rsidRPr="00CB5B1B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CB5B1B">
        <w:rPr>
          <w:rFonts w:ascii="Arial" w:eastAsia="Times New Roman" w:hAnsi="Arial" w:cs="Arial"/>
          <w:lang w:eastAsia="cs-CZ"/>
        </w:rPr>
        <w:t xml:space="preserve"> (dále jen „nařízení Komise“), a Sdělení Komise – Rámec pro státní podporu výzkumu, vývoje a inovací</w:t>
      </w:r>
      <w:r w:rsidRPr="00CB5B1B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B5B1B">
        <w:rPr>
          <w:rFonts w:ascii="Arial" w:eastAsia="Times New Roman" w:hAnsi="Arial" w:cs="Arial"/>
          <w:lang w:eastAsia="cs-CZ"/>
        </w:rPr>
        <w:t xml:space="preserve"> (dále jen „Rámec“), přičemž veřejná podpora VaVaI pro oblast zemědělství a lesnictví je upravena rovněž nařízením Komise č. 702/2014</w:t>
      </w:r>
      <w:r w:rsidRPr="00CB5B1B">
        <w:rPr>
          <w:rFonts w:ascii="Arial" w:eastAsia="Times New Roman" w:hAnsi="Arial" w:cs="Arial"/>
          <w:vertAlign w:val="superscript"/>
          <w:lang w:eastAsia="cs-CZ"/>
        </w:rPr>
        <w:footnoteReference w:id="3"/>
      </w:r>
      <w:r w:rsidRPr="00CB5B1B">
        <w:rPr>
          <w:rFonts w:ascii="Arial" w:eastAsia="Times New Roman" w:hAnsi="Arial" w:cs="Arial"/>
          <w:lang w:eastAsia="cs-CZ"/>
        </w:rPr>
        <w:t>.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bCs/>
          <w:i/>
          <w:iCs/>
          <w:lang w:eastAsia="cs-CZ"/>
        </w:rPr>
        <w:t>Základním kritériem pro posouzení daného subjektu (uchazeče/příjemce) je naplnění definice výzkumné organizace dle nařízení Komise.</w:t>
      </w:r>
      <w:r w:rsidRPr="00CB5B1B">
        <w:rPr>
          <w:rFonts w:ascii="Arial" w:eastAsia="Times New Roman" w:hAnsi="Arial" w:cs="Arial"/>
          <w:lang w:eastAsia="cs-CZ"/>
        </w:rPr>
        <w:t xml:space="preserve"> Pro posouzení, zda subjekt splňuje / nesplňuje definici výzkumné organizace, schválila Rada „Postup při posuzování výzkumných organizací“ (298/A2 u).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>Z vymezení výzkumné organizace dle nařízení Komise a z podmínek pro poskytování veřejné podpory lze definovat šest základních kritérií, přičemž pro uznání za výzkumnou organizaci musí být splněna současně kritéria</w:t>
      </w:r>
      <w:r w:rsidR="00CB5B1B">
        <w:rPr>
          <w:rFonts w:ascii="Arial" w:eastAsia="Times New Roman" w:hAnsi="Arial" w:cs="Arial"/>
          <w:lang w:eastAsia="cs-CZ"/>
        </w:rPr>
        <w:t>:</w:t>
      </w:r>
    </w:p>
    <w:p w:rsidR="00EF5377" w:rsidRPr="00CB5B1B" w:rsidRDefault="00EF5377" w:rsidP="00CB5B1B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eastAsia="Times New Roman" w:hAnsi="Arial" w:cs="Arial"/>
          <w:lang w:eastAsia="cs-CZ"/>
        </w:rPr>
      </w:pPr>
      <w:bookmarkStart w:id="0" w:name="_Toc435002535"/>
      <w:r w:rsidRPr="00CB5B1B">
        <w:rPr>
          <w:rFonts w:ascii="Arial" w:eastAsia="Times New Roman" w:hAnsi="Arial" w:cs="Arial"/>
          <w:lang w:eastAsia="cs-CZ"/>
        </w:rPr>
        <w:t>Posuzovaný subjekt má samostatnou právní subjektivitu</w:t>
      </w:r>
      <w:bookmarkEnd w:id="0"/>
    </w:p>
    <w:p w:rsidR="00EF5377" w:rsidRPr="00CB5B1B" w:rsidRDefault="00EF5377" w:rsidP="00CB5B1B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eastAsia="Times New Roman" w:hAnsi="Arial" w:cs="Arial"/>
          <w:lang w:eastAsia="cs-CZ"/>
        </w:rPr>
      </w:pPr>
      <w:bookmarkStart w:id="1" w:name="_Toc396140930"/>
      <w:bookmarkStart w:id="2" w:name="_Toc435002536"/>
      <w:r w:rsidRPr="00CB5B1B">
        <w:rPr>
          <w:rFonts w:ascii="Arial" w:eastAsia="Times New Roman" w:hAnsi="Arial" w:cs="Arial"/>
          <w:lang w:eastAsia="cs-CZ"/>
        </w:rPr>
        <w:t>Hlavním cílem posuzovaného subjektu je provádět nezávisle</w:t>
      </w:r>
      <w:bookmarkEnd w:id="1"/>
      <w:r w:rsidRPr="00CB5B1B">
        <w:rPr>
          <w:rFonts w:ascii="Arial" w:eastAsia="Times New Roman" w:hAnsi="Arial" w:cs="Arial"/>
          <w:lang w:eastAsia="cs-CZ"/>
        </w:rPr>
        <w:t xml:space="preserve"> </w:t>
      </w:r>
      <w:bookmarkStart w:id="3" w:name="_Toc396140931"/>
      <w:proofErr w:type="spellStart"/>
      <w:r w:rsidRPr="00CB5B1B">
        <w:rPr>
          <w:rFonts w:ascii="Arial" w:eastAsia="Times New Roman" w:hAnsi="Arial" w:cs="Arial"/>
          <w:lang w:eastAsia="cs-CZ"/>
        </w:rPr>
        <w:t>nehospodářské</w:t>
      </w:r>
      <w:proofErr w:type="spellEnd"/>
      <w:r w:rsidRPr="00CB5B1B">
        <w:rPr>
          <w:rFonts w:ascii="Arial" w:eastAsia="Times New Roman" w:hAnsi="Arial" w:cs="Arial"/>
          <w:lang w:eastAsia="cs-CZ"/>
        </w:rPr>
        <w:t xml:space="preserve"> činnosti v souladu s Rámcem</w:t>
      </w:r>
      <w:bookmarkEnd w:id="2"/>
      <w:bookmarkEnd w:id="3"/>
    </w:p>
    <w:p w:rsidR="00EF5377" w:rsidRPr="00CB5B1B" w:rsidRDefault="00EF5377" w:rsidP="00CB5B1B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eastAsia="Times New Roman" w:hAnsi="Arial" w:cs="Arial"/>
          <w:lang w:eastAsia="cs-CZ"/>
        </w:rPr>
      </w:pPr>
      <w:bookmarkStart w:id="4" w:name="_Toc435002537"/>
      <w:r w:rsidRPr="00CB5B1B">
        <w:rPr>
          <w:rFonts w:ascii="Arial" w:eastAsia="Times New Roman" w:hAnsi="Arial" w:cs="Arial"/>
          <w:lang w:eastAsia="cs-CZ"/>
        </w:rPr>
        <w:t>Posuzovaný subjekt, pokud provádí činnosti v rámci transferu znalostí, veškeré zisky z těchto činností znovu investuje do primárních činností výzkumné organizace</w:t>
      </w:r>
      <w:bookmarkEnd w:id="4"/>
    </w:p>
    <w:p w:rsidR="00EF5377" w:rsidRPr="00CB5B1B" w:rsidRDefault="00EF5377" w:rsidP="00CB5B1B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eastAsia="Times New Roman" w:hAnsi="Arial" w:cs="Arial"/>
          <w:lang w:eastAsia="cs-CZ"/>
        </w:rPr>
      </w:pPr>
      <w:bookmarkStart w:id="5" w:name="_Toc435002538"/>
      <w:r w:rsidRPr="00CB5B1B">
        <w:rPr>
          <w:rFonts w:ascii="Arial" w:eastAsia="Times New Roman" w:hAnsi="Arial" w:cs="Arial"/>
          <w:lang w:eastAsia="cs-CZ"/>
        </w:rPr>
        <w:t>Podniky, jež mohou uplatňovat rozhodující vliv na posuzovaný subjekt, např. jako podílníci nebo členové, nesmí mít přednostní přístup k výsledkům, jichž dosáhl</w:t>
      </w:r>
      <w:bookmarkEnd w:id="5"/>
    </w:p>
    <w:p w:rsidR="00EF5377" w:rsidRPr="00CB5B1B" w:rsidRDefault="00EF5377" w:rsidP="00CB5B1B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eastAsia="Times New Roman" w:hAnsi="Arial" w:cs="Arial"/>
          <w:lang w:eastAsia="cs-CZ"/>
        </w:rPr>
      </w:pPr>
      <w:bookmarkStart w:id="6" w:name="_Toc435002539"/>
      <w:r w:rsidRPr="00CB5B1B">
        <w:rPr>
          <w:rFonts w:ascii="Arial" w:eastAsia="Times New Roman" w:hAnsi="Arial" w:cs="Arial"/>
          <w:lang w:eastAsia="cs-CZ"/>
        </w:rPr>
        <w:t xml:space="preserve">Posuzovaný subjekt vede oddělené účetnictví hospodářských a </w:t>
      </w:r>
      <w:proofErr w:type="spellStart"/>
      <w:r w:rsidRPr="00CB5B1B">
        <w:rPr>
          <w:rFonts w:ascii="Arial" w:eastAsia="Times New Roman" w:hAnsi="Arial" w:cs="Arial"/>
          <w:lang w:eastAsia="cs-CZ"/>
        </w:rPr>
        <w:t>nehospodářských</w:t>
      </w:r>
      <w:proofErr w:type="spellEnd"/>
      <w:r w:rsidRPr="00CB5B1B">
        <w:rPr>
          <w:rFonts w:ascii="Arial" w:eastAsia="Times New Roman" w:hAnsi="Arial" w:cs="Arial"/>
          <w:lang w:eastAsia="cs-CZ"/>
        </w:rPr>
        <w:t xml:space="preserve"> činností výzkumné organizace</w:t>
      </w:r>
      <w:bookmarkEnd w:id="6"/>
    </w:p>
    <w:p w:rsidR="00EF5377" w:rsidRPr="00CB5B1B" w:rsidRDefault="00EF5377" w:rsidP="00EF5377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eastAsia="Times New Roman" w:hAnsi="Arial" w:cs="Arial"/>
          <w:lang w:eastAsia="cs-CZ"/>
        </w:rPr>
      </w:pPr>
      <w:bookmarkStart w:id="7" w:name="_Toc396140934"/>
      <w:bookmarkStart w:id="8" w:name="_Toc435002540"/>
      <w:r w:rsidRPr="00CB5B1B">
        <w:rPr>
          <w:rFonts w:ascii="Arial" w:eastAsia="Times New Roman" w:hAnsi="Arial" w:cs="Arial"/>
          <w:lang w:eastAsia="cs-CZ"/>
        </w:rPr>
        <w:t>Posuzovaný subjekt má vnitřním předpisem upraven způsob nakládání s výsledky výzkumu a vývoje</w:t>
      </w:r>
      <w:bookmarkEnd w:id="7"/>
      <w:bookmarkEnd w:id="8"/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 xml:space="preserve">Daný subjekt může být označen jako výzkumná organizace pouze v případě, že splňuje definici výzkumné organizace a současně jako příjemce podpory buďto provádí ve výzkumu a vývoji pouze </w:t>
      </w:r>
      <w:proofErr w:type="spellStart"/>
      <w:r w:rsidRPr="00CB5B1B">
        <w:rPr>
          <w:rFonts w:ascii="Arial" w:eastAsia="Times New Roman" w:hAnsi="Arial" w:cs="Arial"/>
          <w:lang w:eastAsia="cs-CZ"/>
        </w:rPr>
        <w:t>nehospodářské</w:t>
      </w:r>
      <w:proofErr w:type="spellEnd"/>
      <w:r w:rsidRPr="00CB5B1B">
        <w:rPr>
          <w:rFonts w:ascii="Arial" w:eastAsia="Times New Roman" w:hAnsi="Arial" w:cs="Arial"/>
          <w:lang w:eastAsia="cs-CZ"/>
        </w:rPr>
        <w:t xml:space="preserve"> činnosti podle čl. 2.1.1 odst. 19 Rámce, nebo jsou tyto činnosti hospodářské činnosti vedlejší a zároveň omezené podle čl. 2.1.1 odst. 20 Rámce. Podle článku 2.1.1. odst. 20 Rámce platí, že je-li výzkumná organizace nebo výzkumná infrastruktura využívána téměř výhradně pro </w:t>
      </w:r>
      <w:proofErr w:type="spellStart"/>
      <w:r w:rsidRPr="00CB5B1B">
        <w:rPr>
          <w:rFonts w:ascii="Arial" w:eastAsia="Times New Roman" w:hAnsi="Arial" w:cs="Arial"/>
          <w:lang w:eastAsia="cs-CZ"/>
        </w:rPr>
        <w:t>nehospodářskou</w:t>
      </w:r>
      <w:proofErr w:type="spellEnd"/>
      <w:r w:rsidRPr="00CB5B1B">
        <w:rPr>
          <w:rFonts w:ascii="Arial" w:eastAsia="Times New Roman" w:hAnsi="Arial" w:cs="Arial"/>
          <w:lang w:eastAsia="cs-CZ"/>
        </w:rPr>
        <w:t xml:space="preserve"> činnost, může její financování zcela spadat mimo působnost pravidel státní podpory za předpokladu, že její hospodářské využití je čistě vedlejší, tj. jedná se o činnost, která přímo souvisí s provozem výzkumné organizace nebo výzkumné infrastruktury a je pro její provoz nezbytná či je neoddělitelně spojena s jejím hlavním </w:t>
      </w:r>
      <w:proofErr w:type="spellStart"/>
      <w:r w:rsidRPr="00CB5B1B">
        <w:rPr>
          <w:rFonts w:ascii="Arial" w:eastAsia="Times New Roman" w:hAnsi="Arial" w:cs="Arial"/>
          <w:lang w:eastAsia="cs-CZ"/>
        </w:rPr>
        <w:t>nehospodářským</w:t>
      </w:r>
      <w:proofErr w:type="spellEnd"/>
      <w:r w:rsidRPr="00CB5B1B">
        <w:rPr>
          <w:rFonts w:ascii="Arial" w:eastAsia="Times New Roman" w:hAnsi="Arial" w:cs="Arial"/>
          <w:lang w:eastAsia="cs-CZ"/>
        </w:rPr>
        <w:t xml:space="preserve"> využitím a je omezena co do rozsahu. 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b/>
          <w:lang w:eastAsia="cs-CZ"/>
        </w:rPr>
      </w:pPr>
      <w:r w:rsidRPr="00CB5B1B">
        <w:rPr>
          <w:rFonts w:ascii="Arial" w:eastAsia="Times New Roman" w:hAnsi="Arial" w:cs="Arial"/>
          <w:b/>
          <w:lang w:eastAsia="cs-CZ"/>
        </w:rPr>
        <w:t>Posouzení v dubnu 2016</w:t>
      </w:r>
    </w:p>
    <w:p w:rsidR="00EF5377" w:rsidRPr="00CB5B1B" w:rsidRDefault="00EE1CE2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Ministerstvo průmyslu a obchodu zaslalo d</w:t>
      </w:r>
      <w:r w:rsidR="00EF5377" w:rsidRPr="00CB5B1B">
        <w:rPr>
          <w:rFonts w:ascii="Arial" w:eastAsia="Times New Roman" w:hAnsi="Arial" w:cs="Arial"/>
          <w:lang w:eastAsia="cs-CZ"/>
        </w:rPr>
        <w:t xml:space="preserve">o konce března 2016 Úřadu vlády České republiky celkem 2 žádosti o posouzení. Z nich měla jedna žádost povahu opraveného a doplněného </w:t>
      </w:r>
      <w:r w:rsidR="00EF5377" w:rsidRPr="00CB5B1B">
        <w:rPr>
          <w:rFonts w:ascii="Arial" w:eastAsia="Times New Roman" w:hAnsi="Arial" w:cs="Arial"/>
          <w:lang w:eastAsia="cs-CZ"/>
        </w:rPr>
        <w:lastRenderedPageBreak/>
        <w:t xml:space="preserve">podání, druhá byla při minulém hodnocení podána mimo poskytovatele, tedy v rozporu s Postupem. Proto byla odmítnuta a nyní ji žadatel předložil </w:t>
      </w:r>
      <w:r>
        <w:rPr>
          <w:rFonts w:ascii="Arial" w:eastAsia="Times New Roman" w:hAnsi="Arial" w:cs="Arial"/>
          <w:lang w:eastAsia="cs-CZ"/>
        </w:rPr>
        <w:t>prostřednictvím</w:t>
      </w:r>
      <w:bookmarkStart w:id="9" w:name="_GoBack"/>
      <w:bookmarkEnd w:id="9"/>
      <w:r w:rsidR="00EF5377" w:rsidRPr="00CB5B1B">
        <w:rPr>
          <w:rFonts w:ascii="Arial" w:eastAsia="Times New Roman" w:hAnsi="Arial" w:cs="Arial"/>
          <w:lang w:eastAsia="cs-CZ"/>
        </w:rPr>
        <w:t xml:space="preserve"> MPO.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b/>
          <w:lang w:eastAsia="cs-CZ"/>
        </w:rPr>
      </w:pPr>
      <w:r w:rsidRPr="00CB5B1B">
        <w:rPr>
          <w:rFonts w:ascii="Arial" w:eastAsia="Times New Roman" w:hAnsi="Arial" w:cs="Arial"/>
          <w:b/>
          <w:lang w:eastAsia="cs-CZ"/>
        </w:rPr>
        <w:t>Žádosti o posouzení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2867"/>
      </w:tblGrid>
      <w:tr w:rsidR="00EF5377" w:rsidRPr="00CB5B1B" w:rsidTr="00EF5377">
        <w:tc>
          <w:tcPr>
            <w:tcW w:w="3510" w:type="dxa"/>
            <w:vAlign w:val="center"/>
          </w:tcPr>
          <w:p w:rsidR="00EF5377" w:rsidRPr="00CB5B1B" w:rsidRDefault="00EF5377" w:rsidP="00EF5377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B5B1B">
              <w:rPr>
                <w:rFonts w:ascii="Arial" w:eastAsia="Times New Roman" w:hAnsi="Arial" w:cs="Arial"/>
                <w:b/>
                <w:lang w:eastAsia="cs-CZ"/>
              </w:rPr>
              <w:t>Poskytovatel</w:t>
            </w:r>
          </w:p>
        </w:tc>
        <w:tc>
          <w:tcPr>
            <w:tcW w:w="2835" w:type="dxa"/>
            <w:vAlign w:val="center"/>
          </w:tcPr>
          <w:p w:rsidR="00EF5377" w:rsidRPr="00CB5B1B" w:rsidRDefault="00EF5377" w:rsidP="00EF5377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B5B1B">
              <w:rPr>
                <w:rFonts w:ascii="Arial" w:eastAsia="Times New Roman" w:hAnsi="Arial" w:cs="Arial"/>
                <w:b/>
                <w:lang w:eastAsia="cs-CZ"/>
              </w:rPr>
              <w:t>Počet zaslaných žádostí</w:t>
            </w:r>
          </w:p>
        </w:tc>
        <w:tc>
          <w:tcPr>
            <w:tcW w:w="2867" w:type="dxa"/>
            <w:vAlign w:val="center"/>
          </w:tcPr>
          <w:p w:rsidR="00EF5377" w:rsidRPr="00CB5B1B" w:rsidRDefault="00EF5377" w:rsidP="00EF5377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B5B1B">
              <w:rPr>
                <w:rFonts w:ascii="Arial" w:eastAsia="Times New Roman" w:hAnsi="Arial" w:cs="Arial"/>
                <w:b/>
                <w:lang w:eastAsia="cs-CZ"/>
              </w:rPr>
              <w:t>Počet posuzovaných žádostí</w:t>
            </w:r>
          </w:p>
        </w:tc>
      </w:tr>
      <w:tr w:rsidR="00EF5377" w:rsidRPr="00CB5B1B" w:rsidTr="00C75CB6">
        <w:tc>
          <w:tcPr>
            <w:tcW w:w="3510" w:type="dxa"/>
          </w:tcPr>
          <w:p w:rsidR="00EF5377" w:rsidRPr="00CB5B1B" w:rsidRDefault="00EF5377" w:rsidP="00CB5B1B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Ministerstvo průmyslu a obchodu</w:t>
            </w:r>
          </w:p>
        </w:tc>
        <w:tc>
          <w:tcPr>
            <w:tcW w:w="2835" w:type="dxa"/>
          </w:tcPr>
          <w:p w:rsidR="00EF5377" w:rsidRPr="00CB5B1B" w:rsidRDefault="00EF5377" w:rsidP="00CB5B1B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2867" w:type="dxa"/>
          </w:tcPr>
          <w:p w:rsidR="00EF5377" w:rsidRPr="00CB5B1B" w:rsidRDefault="00EF5377" w:rsidP="00CB5B1B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EF5377" w:rsidRPr="00CB5B1B" w:rsidTr="00C75CB6">
        <w:tc>
          <w:tcPr>
            <w:tcW w:w="3510" w:type="dxa"/>
          </w:tcPr>
          <w:p w:rsidR="00EF5377" w:rsidRPr="00CB5B1B" w:rsidRDefault="00EF5377" w:rsidP="00CB5B1B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Celkem</w:t>
            </w:r>
          </w:p>
        </w:tc>
        <w:tc>
          <w:tcPr>
            <w:tcW w:w="2835" w:type="dxa"/>
          </w:tcPr>
          <w:p w:rsidR="00EF5377" w:rsidRPr="00CB5B1B" w:rsidRDefault="00EF5377" w:rsidP="00CB5B1B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2867" w:type="dxa"/>
          </w:tcPr>
          <w:p w:rsidR="00EF5377" w:rsidRPr="00CB5B1B" w:rsidRDefault="00EF5377" w:rsidP="00CB5B1B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5B1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</w:tbl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 xml:space="preserve">Žádosti vyhověly požadavku uvedenému v části 3 odst. 4 Postupu při posuzování výzkumných organizací, že 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i/>
          <w:iCs/>
          <w:lang w:eastAsia="cs-CZ"/>
        </w:rPr>
      </w:pPr>
      <w:r w:rsidRPr="00CB5B1B">
        <w:rPr>
          <w:rFonts w:ascii="Arial" w:eastAsia="Times New Roman" w:hAnsi="Arial" w:cs="Arial"/>
          <w:i/>
          <w:iCs/>
          <w:lang w:eastAsia="cs-CZ"/>
        </w:rPr>
        <w:t>„4) Subjekt doručí poskytovateli veškeré podklady k prokázání splnění kritérií posuzování v termínu, který stanoví návazně poskytovatel. Podklady subjekt poskytovateli předá všechny v elektronické podobě včetně čestných prohlášení, jejichž originály uchovává poskytovatel. Poskytovatel posoudí správnost a úplnost podkladů a případně vyzve subjekt k jejich doplnění. Úplné podklady pouze v elektronické podobě poskytovatel postoupí Radě.“.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b/>
          <w:lang w:eastAsia="cs-CZ"/>
        </w:rPr>
      </w:pPr>
      <w:r w:rsidRPr="00CB5B1B">
        <w:rPr>
          <w:rFonts w:ascii="Arial" w:eastAsia="Times New Roman" w:hAnsi="Arial" w:cs="Arial"/>
          <w:b/>
          <w:lang w:eastAsia="cs-CZ"/>
        </w:rPr>
        <w:t>Právní subjektivita posuzovaných subjektů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>Jeden posuzovaný subjekt je společností s ručením omezeným (VVUÚ výzkum a vývoj, s.r.o.), druhý je akciovou společností (VÚKV, a.s.).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b/>
          <w:lang w:eastAsia="cs-CZ"/>
        </w:rPr>
      </w:pPr>
      <w:r w:rsidRPr="00CB5B1B">
        <w:rPr>
          <w:rFonts w:ascii="Arial" w:eastAsia="Times New Roman" w:hAnsi="Arial" w:cs="Arial"/>
          <w:b/>
          <w:lang w:eastAsia="cs-CZ"/>
        </w:rPr>
        <w:t>Výsledek posouzení - rekapitulace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lang w:eastAsia="cs-CZ"/>
        </w:rPr>
        <w:t>Na základě posouzení splnění kritérií dle Postupu se navrhuje, aby Rada vydala doporučení u obou posuzovaných subjektů:</w:t>
      </w:r>
    </w:p>
    <w:p w:rsidR="00EF5377" w:rsidRPr="00CB5B1B" w:rsidRDefault="00EF5377" w:rsidP="00EF5377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CB5B1B">
        <w:rPr>
          <w:rFonts w:ascii="Arial" w:eastAsia="Times New Roman" w:hAnsi="Arial" w:cs="Arial"/>
          <w:i/>
          <w:iCs/>
          <w:lang w:eastAsia="cs-CZ"/>
        </w:rPr>
        <w:t>„Subjekt by mohl být považován za výzkumnou organizaci, neboť podle názoru Rady splňuje podmínky definice výzkumné organizace“</w:t>
      </w:r>
      <w:r w:rsidRPr="00CB5B1B">
        <w:rPr>
          <w:rFonts w:ascii="Arial" w:eastAsia="Times New Roman" w:hAnsi="Arial" w:cs="Arial"/>
          <w:lang w:eastAsia="cs-CZ"/>
        </w:rPr>
        <w:t>.</w:t>
      </w:r>
    </w:p>
    <w:p w:rsidR="00EF5377" w:rsidRPr="00AB339A" w:rsidRDefault="00EF5377" w:rsidP="00EF5377">
      <w:pPr>
        <w:rPr>
          <w:i/>
          <w:iCs/>
          <w:color w:val="000000"/>
        </w:rPr>
      </w:pPr>
    </w:p>
    <w:p w:rsidR="00EF5377" w:rsidRDefault="00EF5377" w:rsidP="00EF5377">
      <w:pPr>
        <w:pStyle w:val="Nadpis2"/>
        <w:sectPr w:rsidR="00EF5377" w:rsidSect="00034EA5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F5377" w:rsidRPr="00EF5377" w:rsidRDefault="00EF5377" w:rsidP="00EF5377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F5377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Výsledek posouzení - tabulka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724"/>
        <w:gridCol w:w="992"/>
        <w:gridCol w:w="992"/>
        <w:gridCol w:w="567"/>
        <w:gridCol w:w="567"/>
        <w:gridCol w:w="567"/>
        <w:gridCol w:w="546"/>
        <w:gridCol w:w="1013"/>
        <w:gridCol w:w="972"/>
        <w:gridCol w:w="1013"/>
        <w:gridCol w:w="1134"/>
        <w:gridCol w:w="1134"/>
        <w:gridCol w:w="850"/>
      </w:tblGrid>
      <w:tr w:rsidR="00EF5377" w:rsidRPr="00556282" w:rsidTr="00C75CB6">
        <w:trPr>
          <w:trHeight w:val="298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Předkladatel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Název posuzovaného subjektu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Samostatná právní subjektivita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Hlavní cíl - nezávislé provádění </w:t>
            </w:r>
            <w:proofErr w:type="spellStart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nehospodářské</w:t>
            </w:r>
            <w:proofErr w:type="spellEnd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činnosti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Reinvestice zisku z transferu znalostí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Neuplatnění přednostního práva přístupu k výsledkům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Oddělené účetnictví </w:t>
            </w:r>
            <w:proofErr w:type="spellStart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Vnitřní předpis pro nakládání s výsledky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Posouzení </w:t>
            </w:r>
            <w:proofErr w:type="spellStart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Výsledek posouzení</w:t>
            </w:r>
          </w:p>
        </w:tc>
      </w:tr>
      <w:tr w:rsidR="00EF5377" w:rsidRPr="00556282" w:rsidTr="00C75CB6">
        <w:trPr>
          <w:trHeight w:val="76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77" w:rsidRPr="00556282" w:rsidRDefault="00EF5377" w:rsidP="00C75C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77" w:rsidRPr="00556282" w:rsidRDefault="00EF5377" w:rsidP="00C75C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Výsledek posouzení kritéria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2/a1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2/</w:t>
            </w:r>
            <w:r w:rsidRPr="0055628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2/a3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2/b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377" w:rsidRPr="00556282" w:rsidTr="00C75CB6">
        <w:trPr>
          <w:trHeight w:val="493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MPO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VVUÚ výzkum a vývoj,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</w:tr>
      <w:tr w:rsidR="00EF5377" w:rsidRPr="00556282" w:rsidTr="00C75CB6">
        <w:trPr>
          <w:trHeight w:val="300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77" w:rsidRPr="00556282" w:rsidRDefault="00EF5377" w:rsidP="00C75CB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VÚKV,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6282">
              <w:rPr>
                <w:rFonts w:eastAsia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77" w:rsidRPr="00556282" w:rsidRDefault="00EF5377" w:rsidP="00C75C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ANO</w:t>
            </w:r>
          </w:p>
        </w:tc>
      </w:tr>
    </w:tbl>
    <w:p w:rsidR="00EF5377" w:rsidRPr="00D70DAB" w:rsidRDefault="00EF5377" w:rsidP="00EF5377">
      <w:pPr>
        <w:rPr>
          <w:color w:val="000000"/>
        </w:rPr>
      </w:pPr>
    </w:p>
    <w:p w:rsidR="00EF5377" w:rsidRDefault="00EF5377" w:rsidP="0068711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EF5377" w:rsidSect="00EF5377"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83" w:rsidRDefault="00BF0C83" w:rsidP="00A927B9">
      <w:pPr>
        <w:spacing w:after="0" w:line="240" w:lineRule="auto"/>
      </w:pPr>
      <w:r>
        <w:separator/>
      </w:r>
    </w:p>
  </w:endnote>
  <w:endnote w:type="continuationSeparator" w:id="0">
    <w:p w:rsidR="00BF0C83" w:rsidRDefault="00BF0C83" w:rsidP="00A9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77" w:rsidRDefault="00EF5377">
    <w:pPr>
      <w:pStyle w:val="Zpat"/>
    </w:pPr>
    <w:fldSimple w:instr=" FILENAME   \* MERGEFORMAT ">
      <w:r>
        <w:rPr>
          <w:noProof/>
        </w:rPr>
        <w:t>VO 2016 vysledek duben 2016 (2)</w:t>
      </w:r>
    </w:fldSimple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1CE2">
      <w:rPr>
        <w:noProof/>
      </w:rPr>
      <w:t>2</w:t>
    </w:r>
    <w:r>
      <w:fldChar w:fldCharType="end"/>
    </w:r>
    <w:r>
      <w:t xml:space="preserve"> / </w:t>
    </w:r>
    <w:r w:rsidR="00EE1CE2">
      <w:fldChar w:fldCharType="begin"/>
    </w:r>
    <w:r w:rsidR="00EE1CE2">
      <w:instrText xml:space="preserve"> NUMPAGES   \* MERGEFORMAT </w:instrText>
    </w:r>
    <w:r w:rsidR="00EE1CE2">
      <w:fldChar w:fldCharType="separate"/>
    </w:r>
    <w:r w:rsidR="00EE1CE2">
      <w:rPr>
        <w:noProof/>
      </w:rPr>
      <w:t>3</w:t>
    </w:r>
    <w:r w:rsidR="00EE1CE2">
      <w:rPr>
        <w:noProof/>
      </w:rPr>
      <w:fldChar w:fldCharType="end"/>
    </w:r>
  </w:p>
  <w:p w:rsidR="00EF5377" w:rsidRDefault="00EF5377">
    <w:pPr>
      <w:pStyle w:val="Zpat"/>
    </w:pPr>
    <w:r>
      <w:t>JM; 18.4.2016 7:21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A5" w:rsidRDefault="00034EA5" w:rsidP="00034EA5">
    <w:pPr>
      <w:pStyle w:val="Zpat"/>
    </w:pPr>
    <w:fldSimple w:instr=" FILENAME   \* MERGEFORMAT ">
      <w:r>
        <w:rPr>
          <w:noProof/>
        </w:rPr>
        <w:t>VO 2016 vysledek duben 2016 (2)</w:t>
      </w:r>
    </w:fldSimple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1CE2">
      <w:rPr>
        <w:noProof/>
      </w:rPr>
      <w:t>1</w:t>
    </w:r>
    <w:r>
      <w:fldChar w:fldCharType="end"/>
    </w:r>
    <w:r>
      <w:t xml:space="preserve"> / </w:t>
    </w:r>
    <w:fldSimple w:instr=" NUMPAGES   \* MERGEFORMAT ">
      <w:r w:rsidR="00EE1CE2">
        <w:rPr>
          <w:noProof/>
        </w:rPr>
        <w:t>3</w:t>
      </w:r>
    </w:fldSimple>
  </w:p>
  <w:p w:rsidR="00034EA5" w:rsidRDefault="00034EA5">
    <w:pPr>
      <w:pStyle w:val="Zpat"/>
    </w:pPr>
    <w:r>
      <w:t>JM; 18.4.2016 7:21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B9" w:rsidRDefault="00EE1CE2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 w:rsidR="00B81C82">
      <w:rPr>
        <w:noProof/>
      </w:rPr>
      <w:t>314 Jednani se zahranicnimi partnery</w:t>
    </w:r>
    <w:r>
      <w:rPr>
        <w:noProof/>
      </w:rPr>
      <w:fldChar w:fldCharType="end"/>
    </w:r>
    <w:r w:rsidR="00A927B9">
      <w:tab/>
    </w:r>
    <w:r w:rsidR="00A927B9">
      <w:tab/>
    </w:r>
    <w:r w:rsidR="00A927B9">
      <w:fldChar w:fldCharType="begin"/>
    </w:r>
    <w:r w:rsidR="00A927B9">
      <w:instrText xml:space="preserve"> PAGE   \* MERGEFORMAT </w:instrText>
    </w:r>
    <w:r w:rsidR="00A927B9">
      <w:fldChar w:fldCharType="separate"/>
    </w:r>
    <w:r w:rsidR="00EF5377">
      <w:rPr>
        <w:noProof/>
      </w:rPr>
      <w:t>2</w:t>
    </w:r>
    <w:r w:rsidR="00A927B9">
      <w:fldChar w:fldCharType="end"/>
    </w:r>
    <w:r w:rsidR="00A927B9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EF5377">
      <w:rPr>
        <w:noProof/>
      </w:rPr>
      <w:t>2</w:t>
    </w:r>
    <w:r>
      <w:rPr>
        <w:noProof/>
      </w:rPr>
      <w:fldChar w:fldCharType="end"/>
    </w:r>
  </w:p>
  <w:p w:rsidR="00A927B9" w:rsidRDefault="00A927B9">
    <w:pPr>
      <w:pStyle w:val="Zpat"/>
    </w:pPr>
    <w:r>
      <w:t xml:space="preserve">JM, </w:t>
    </w:r>
    <w:r w:rsidR="002277EF">
      <w:t>13.1.2016 11:22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FE" w:rsidRDefault="00EE1CE2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 w:rsidR="00397C28">
      <w:rPr>
        <w:noProof/>
      </w:rPr>
      <w:t>314 Hodnocení</w:t>
    </w:r>
    <w:r>
      <w:rPr>
        <w:noProof/>
      </w:rPr>
      <w:fldChar w:fldCharType="end"/>
    </w:r>
    <w:r w:rsidR="002C32FE">
      <w:tab/>
    </w:r>
    <w:r w:rsidR="002C32FE">
      <w:tab/>
    </w:r>
    <w:r w:rsidR="002C32FE">
      <w:fldChar w:fldCharType="begin"/>
    </w:r>
    <w:r w:rsidR="002C32FE">
      <w:instrText xml:space="preserve"> PAGE   \* MERGEFORMAT </w:instrText>
    </w:r>
    <w:r w:rsidR="002C32FE">
      <w:fldChar w:fldCharType="separate"/>
    </w:r>
    <w:r w:rsidR="00FA36F7">
      <w:rPr>
        <w:noProof/>
      </w:rPr>
      <w:t>3</w:t>
    </w:r>
    <w:r w:rsidR="002C32FE">
      <w:fldChar w:fldCharType="end"/>
    </w:r>
    <w:r w:rsidR="002C32FE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FA36F7">
      <w:rPr>
        <w:noProof/>
      </w:rPr>
      <w:t>3</w:t>
    </w:r>
    <w:r>
      <w:rPr>
        <w:noProof/>
      </w:rPr>
      <w:fldChar w:fldCharType="end"/>
    </w:r>
  </w:p>
  <w:p w:rsidR="002C32FE" w:rsidRDefault="002C32FE">
    <w:pPr>
      <w:pStyle w:val="Zpat"/>
    </w:pPr>
    <w:r>
      <w:t>JM</w:t>
    </w:r>
    <w:r w:rsidR="00397C28">
      <w:t>LM</w:t>
    </w:r>
    <w:r>
      <w:t xml:space="preserve">; </w:t>
    </w:r>
    <w:r w:rsidR="00397C28">
      <w:t>23.3.2016 10:56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83" w:rsidRDefault="00BF0C83" w:rsidP="00A927B9">
      <w:pPr>
        <w:spacing w:after="0" w:line="240" w:lineRule="auto"/>
      </w:pPr>
      <w:r>
        <w:separator/>
      </w:r>
    </w:p>
  </w:footnote>
  <w:footnote w:type="continuationSeparator" w:id="0">
    <w:p w:rsidR="00BF0C83" w:rsidRDefault="00BF0C83" w:rsidP="00A927B9">
      <w:pPr>
        <w:spacing w:after="0" w:line="240" w:lineRule="auto"/>
      </w:pPr>
      <w:r>
        <w:continuationSeparator/>
      </w:r>
    </w:p>
  </w:footnote>
  <w:footnote w:id="1">
    <w:p w:rsidR="00EF5377" w:rsidRPr="002F0C3A" w:rsidRDefault="00EF5377" w:rsidP="00EF5377">
      <w:pPr>
        <w:pStyle w:val="Textpoznpodarou"/>
        <w:ind w:left="181" w:hanging="181"/>
        <w:jc w:val="both"/>
        <w:rPr>
          <w:lang w:val="cs-CZ"/>
        </w:rPr>
      </w:pPr>
      <w:r w:rsidRPr="00F551C2">
        <w:rPr>
          <w:rStyle w:val="Znakapoznpodarou"/>
        </w:rPr>
        <w:footnoteRef/>
      </w:r>
      <w:r w:rsidRPr="00F551C2">
        <w:t xml:space="preserve"> </w:t>
      </w:r>
      <w:r w:rsidRPr="00747255">
        <w:t>Úřední věstník Evropské unie ze dne</w:t>
      </w:r>
      <w:r>
        <w:t xml:space="preserve"> </w:t>
      </w:r>
      <w:r>
        <w:rPr>
          <w:lang w:val="cs-CZ"/>
        </w:rPr>
        <w:t>26. června 2014, L 187</w:t>
      </w:r>
    </w:p>
  </w:footnote>
  <w:footnote w:id="2">
    <w:p w:rsidR="00EF5377" w:rsidRPr="00F551C2" w:rsidRDefault="00EF5377" w:rsidP="00EF5377">
      <w:pPr>
        <w:pStyle w:val="Textpoznpodarou"/>
        <w:ind w:left="181" w:hanging="181"/>
        <w:jc w:val="both"/>
        <w:rPr>
          <w:highlight w:val="green"/>
        </w:rPr>
      </w:pPr>
      <w:r w:rsidRPr="00650A22">
        <w:rPr>
          <w:vertAlign w:val="superscript"/>
        </w:rPr>
        <w:footnoteRef/>
      </w:r>
      <w:r w:rsidRPr="00650A22">
        <w:t xml:space="preserve"> </w:t>
      </w:r>
      <w:r w:rsidRPr="00747255">
        <w:t>Úřední věstník Evropské unie ze dne</w:t>
      </w:r>
      <w:r>
        <w:t xml:space="preserve"> </w:t>
      </w:r>
      <w:r>
        <w:rPr>
          <w:lang w:val="cs-CZ"/>
        </w:rPr>
        <w:t>26. června 2014, C 198</w:t>
      </w:r>
    </w:p>
  </w:footnote>
  <w:footnote w:id="3">
    <w:p w:rsidR="00EF5377" w:rsidRPr="001F0B42" w:rsidRDefault="00EF5377" w:rsidP="00EF5377">
      <w:pPr>
        <w:pStyle w:val="Textpoznpodarou"/>
        <w:ind w:left="181" w:hanging="181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Nařízení Komise (EU) č. 702/2014, kterým se v souladu s články 107 a 108 Smlouvy o fungování Evropské unie prohlašují určité kategorie podpory v odvětvích zemědělství a lesnictví a ve venkovských oblastech za slučitelné s vnitřním trhem; Úřední věstník Evropské unie ze dne 1. července 2014, L 193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EF5377" w:rsidTr="00C75C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EF5377" w:rsidRPr="004671AE" w:rsidRDefault="00EF5377" w:rsidP="00C75CB6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7222A259" wp14:editId="35BB1FD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EF5377" w:rsidRPr="004671AE" w:rsidRDefault="00EF5377" w:rsidP="00C75CB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315/B2</w:t>
          </w:r>
        </w:p>
      </w:tc>
    </w:tr>
  </w:tbl>
  <w:p w:rsidR="00EF5377" w:rsidRDefault="00EF53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43D" w:rsidRDefault="009F2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1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F2269D"/>
    <w:multiLevelType w:val="hybridMultilevel"/>
    <w:tmpl w:val="FE00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6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29A410A"/>
    <w:multiLevelType w:val="hybridMultilevel"/>
    <w:tmpl w:val="B6009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26A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7857BB"/>
    <w:multiLevelType w:val="hybridMultilevel"/>
    <w:tmpl w:val="EA266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A2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CE3029"/>
    <w:multiLevelType w:val="hybridMultilevel"/>
    <w:tmpl w:val="96941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079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122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8762C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48F4756D"/>
    <w:multiLevelType w:val="hybridMultilevel"/>
    <w:tmpl w:val="4DB20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21B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39537B"/>
    <w:multiLevelType w:val="hybridMultilevel"/>
    <w:tmpl w:val="D2826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41AF5"/>
    <w:multiLevelType w:val="hybridMultilevel"/>
    <w:tmpl w:val="BEDEB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86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31E69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510C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C2B1C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4D473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5F7630"/>
    <w:multiLevelType w:val="hybridMultilevel"/>
    <w:tmpl w:val="B5C4C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4BD"/>
    <w:multiLevelType w:val="hybridMultilevel"/>
    <w:tmpl w:val="198EC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4"/>
  </w:num>
  <w:num w:numId="8">
    <w:abstractNumId w:val="20"/>
  </w:num>
  <w:num w:numId="9">
    <w:abstractNumId w:val="6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  <w:num w:numId="14">
    <w:abstractNumId w:val="0"/>
  </w:num>
  <w:num w:numId="15">
    <w:abstractNumId w:val="18"/>
  </w:num>
  <w:num w:numId="16">
    <w:abstractNumId w:val="7"/>
  </w:num>
  <w:num w:numId="17">
    <w:abstractNumId w:val="19"/>
  </w:num>
  <w:num w:numId="18">
    <w:abstractNumId w:val="16"/>
  </w:num>
  <w:num w:numId="19">
    <w:abstractNumId w:val="15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1F"/>
    <w:rsid w:val="00034EA5"/>
    <w:rsid w:val="0007515A"/>
    <w:rsid w:val="000C31F4"/>
    <w:rsid w:val="00112A98"/>
    <w:rsid w:val="00125C16"/>
    <w:rsid w:val="001323C5"/>
    <w:rsid w:val="00134EEB"/>
    <w:rsid w:val="001B1193"/>
    <w:rsid w:val="001B19C9"/>
    <w:rsid w:val="001F389E"/>
    <w:rsid w:val="002277EF"/>
    <w:rsid w:val="002C32FE"/>
    <w:rsid w:val="00397C28"/>
    <w:rsid w:val="00431DD4"/>
    <w:rsid w:val="004378DA"/>
    <w:rsid w:val="00453537"/>
    <w:rsid w:val="004543CD"/>
    <w:rsid w:val="0046000E"/>
    <w:rsid w:val="004932FE"/>
    <w:rsid w:val="004D611F"/>
    <w:rsid w:val="0056681E"/>
    <w:rsid w:val="005705A5"/>
    <w:rsid w:val="005A10DE"/>
    <w:rsid w:val="005E0CEA"/>
    <w:rsid w:val="0068711E"/>
    <w:rsid w:val="006A66B6"/>
    <w:rsid w:val="00713857"/>
    <w:rsid w:val="007405A1"/>
    <w:rsid w:val="00786025"/>
    <w:rsid w:val="008F0841"/>
    <w:rsid w:val="00953D74"/>
    <w:rsid w:val="009570DA"/>
    <w:rsid w:val="00975F24"/>
    <w:rsid w:val="009D459C"/>
    <w:rsid w:val="009F243D"/>
    <w:rsid w:val="00A927B9"/>
    <w:rsid w:val="00AC378B"/>
    <w:rsid w:val="00B81C82"/>
    <w:rsid w:val="00BE687D"/>
    <w:rsid w:val="00BF0C83"/>
    <w:rsid w:val="00C22D70"/>
    <w:rsid w:val="00C32F9E"/>
    <w:rsid w:val="00C83985"/>
    <w:rsid w:val="00C9135B"/>
    <w:rsid w:val="00CB5B1B"/>
    <w:rsid w:val="00CE0F0C"/>
    <w:rsid w:val="00D06160"/>
    <w:rsid w:val="00D34EDF"/>
    <w:rsid w:val="00D906EB"/>
    <w:rsid w:val="00E45EC9"/>
    <w:rsid w:val="00EB2D49"/>
    <w:rsid w:val="00EE1CE2"/>
    <w:rsid w:val="00EF5377"/>
    <w:rsid w:val="00FA36F7"/>
    <w:rsid w:val="00FB57DC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8711E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711E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11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11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11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11E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11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11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11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857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87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1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1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11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11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Zvraznn">
    <w:name w:val="Emphasis"/>
    <w:uiPriority w:val="20"/>
    <w:qFormat/>
    <w:rsid w:val="0068711E"/>
    <w:rPr>
      <w:i/>
      <w:iCs/>
    </w:rPr>
  </w:style>
  <w:style w:type="table" w:styleId="Mkatabulky">
    <w:name w:val="Table Grid"/>
    <w:basedOn w:val="Normlntabulka"/>
    <w:uiPriority w:val="59"/>
    <w:rsid w:val="00C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EF5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5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semiHidden/>
    <w:rsid w:val="00EF5377"/>
    <w:pPr>
      <w:spacing w:after="0" w:line="240" w:lineRule="auto"/>
    </w:pPr>
    <w:rPr>
      <w:rFonts w:ascii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537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EF5377"/>
    <w:rPr>
      <w:vertAlign w:val="superscript"/>
    </w:rPr>
  </w:style>
  <w:style w:type="character" w:styleId="Zdraznnintenzivn">
    <w:name w:val="Intense Emphasis"/>
    <w:uiPriority w:val="21"/>
    <w:qFormat/>
    <w:rsid w:val="00EF5377"/>
    <w:rPr>
      <w:b/>
      <w:bCs/>
      <w:i/>
      <w:iCs/>
      <w:color w:val="4F81BD"/>
    </w:rPr>
  </w:style>
  <w:style w:type="character" w:styleId="Hypertextovodkaz">
    <w:name w:val="Hyperlink"/>
    <w:basedOn w:val="Standardnpsmoodstavce"/>
    <w:uiPriority w:val="99"/>
    <w:unhideWhenUsed/>
    <w:rsid w:val="00EF5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8711E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711E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11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11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11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11E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11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11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11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857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87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1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1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11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11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Zvraznn">
    <w:name w:val="Emphasis"/>
    <w:uiPriority w:val="20"/>
    <w:qFormat/>
    <w:rsid w:val="0068711E"/>
    <w:rPr>
      <w:i/>
      <w:iCs/>
    </w:rPr>
  </w:style>
  <w:style w:type="table" w:styleId="Mkatabulky">
    <w:name w:val="Table Grid"/>
    <w:basedOn w:val="Normlntabulka"/>
    <w:uiPriority w:val="59"/>
    <w:rsid w:val="00C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EF5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5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semiHidden/>
    <w:rsid w:val="00EF5377"/>
    <w:pPr>
      <w:spacing w:after="0" w:line="240" w:lineRule="auto"/>
    </w:pPr>
    <w:rPr>
      <w:rFonts w:ascii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537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EF5377"/>
    <w:rPr>
      <w:vertAlign w:val="superscript"/>
    </w:rPr>
  </w:style>
  <w:style w:type="character" w:styleId="Zdraznnintenzivn">
    <w:name w:val="Intense Emphasis"/>
    <w:uiPriority w:val="21"/>
    <w:qFormat/>
    <w:rsid w:val="00EF5377"/>
    <w:rPr>
      <w:b/>
      <w:bCs/>
      <w:i/>
      <w:iCs/>
      <w:color w:val="4F81BD"/>
    </w:rPr>
  </w:style>
  <w:style w:type="character" w:styleId="Hypertextovodkaz">
    <w:name w:val="Hyperlink"/>
    <w:basedOn w:val="Standardnpsmoodstavce"/>
    <w:uiPriority w:val="99"/>
    <w:unhideWhenUsed/>
    <w:rsid w:val="00EF5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F2DD-A71F-4393-8EB4-4CB1534A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11</cp:revision>
  <cp:lastPrinted>2016-01-15T07:33:00Z</cp:lastPrinted>
  <dcterms:created xsi:type="dcterms:W3CDTF">2016-03-23T09:56:00Z</dcterms:created>
  <dcterms:modified xsi:type="dcterms:W3CDTF">2016-04-21T08:12:00Z</dcterms:modified>
</cp:coreProperties>
</file>