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126" w:rsidRPr="00F72914" w:rsidRDefault="00416126" w:rsidP="009C6435">
      <w:pPr>
        <w:spacing w:before="120"/>
        <w:jc w:val="right"/>
      </w:pPr>
      <w:r w:rsidRPr="00F72914">
        <w:rPr>
          <w:bCs/>
        </w:rPr>
        <w:t>II.</w:t>
      </w:r>
      <w:r w:rsidRPr="00F72914">
        <w:t xml:space="preserve"> </w:t>
      </w:r>
    </w:p>
    <w:p w:rsidR="00416126" w:rsidRPr="00025570" w:rsidRDefault="00416126" w:rsidP="00025570">
      <w:pPr>
        <w:spacing w:before="120"/>
        <w:jc w:val="center"/>
        <w:rPr>
          <w:b/>
        </w:rPr>
      </w:pPr>
      <w:r w:rsidRPr="00025570">
        <w:rPr>
          <w:b/>
        </w:rPr>
        <w:t>PŘEDKLÁDACÍ ZPRÁVA</w:t>
      </w:r>
    </w:p>
    <w:p w:rsidR="00E32DDD" w:rsidRPr="00025570" w:rsidRDefault="00E32DDD" w:rsidP="00025570">
      <w:pPr>
        <w:spacing w:before="120"/>
        <w:jc w:val="both"/>
        <w:rPr>
          <w:b/>
        </w:rPr>
      </w:pPr>
    </w:p>
    <w:p w:rsidR="00E32DDD" w:rsidRPr="00025570" w:rsidRDefault="008E4DC8" w:rsidP="00025570">
      <w:pPr>
        <w:spacing w:before="120"/>
        <w:jc w:val="both"/>
        <w:rPr>
          <w:b/>
        </w:rPr>
      </w:pPr>
      <w:r w:rsidRPr="00025570">
        <w:rPr>
          <w:b/>
        </w:rPr>
        <w:t>I. Účel a cíl navrhované úpravy</w:t>
      </w:r>
    </w:p>
    <w:p w:rsidR="009D1DC6" w:rsidRPr="00025570" w:rsidRDefault="009D1DC6" w:rsidP="00025570">
      <w:pPr>
        <w:spacing w:before="120"/>
        <w:jc w:val="both"/>
      </w:pPr>
      <w:r w:rsidRPr="00025570">
        <w:t>V souladu s Plánem legislativních prací vlády na rok 2015, schváleným usnesením vlády ze dne 15. prosince 2014 č. 1056, ve znění usnesení vlády ze dne 6. května 2015 č. 329 a usnesení vlády ze dne 29. července 2015 č. 627, se</w:t>
      </w:r>
      <w:r w:rsidR="00025570">
        <w:t xml:space="preserve"> předkládá věcný záměr zákona o </w:t>
      </w:r>
      <w:r w:rsidRPr="00025570">
        <w:t xml:space="preserve">podpoře výzkumu, vývoje a inovací. </w:t>
      </w:r>
    </w:p>
    <w:p w:rsidR="00416126" w:rsidRPr="00025570" w:rsidRDefault="00416126" w:rsidP="00025570">
      <w:pPr>
        <w:spacing w:before="120"/>
        <w:jc w:val="both"/>
      </w:pPr>
      <w:r w:rsidRPr="00025570">
        <w:t>Cílem návrhu je vytvořit ve společnosti</w:t>
      </w:r>
      <w:r w:rsidR="004161BC" w:rsidRPr="00025570">
        <w:t xml:space="preserve"> podmínky pro zvýšení kvality a </w:t>
      </w:r>
      <w:r w:rsidRPr="00025570">
        <w:t xml:space="preserve">konkurenceschopnosti výzkumu a vývoje v ČR, k čemuž je potřeba prostřednictvím legislativního rámce zajistit udržitelný rozvoj systému </w:t>
      </w:r>
      <w:proofErr w:type="spellStart"/>
      <w:r w:rsidRPr="00025570">
        <w:t>VaVaI</w:t>
      </w:r>
      <w:proofErr w:type="spellEnd"/>
      <w:r w:rsidRPr="00025570">
        <w:t xml:space="preserve">, zajistit efektivnost výdajů na </w:t>
      </w:r>
      <w:proofErr w:type="spellStart"/>
      <w:r w:rsidRPr="00025570">
        <w:t>VaVaI</w:t>
      </w:r>
      <w:proofErr w:type="spellEnd"/>
      <w:r w:rsidRPr="00025570">
        <w:t xml:space="preserve"> a potřeby ekonomiky a společnosti. Splnění tohoto cíle je podle názoru předkladatele podmíněno zásadní změnou dosavadního systému podpory výzkumu, vývoje a inovací, kterou již nelze jak pro její kvalitativní, tak kvantitativní parametry zapracovat prostřednictvím novely do stávajícího platného zákona.</w:t>
      </w:r>
    </w:p>
    <w:p w:rsidR="00416126" w:rsidRPr="00025570" w:rsidRDefault="00416126" w:rsidP="00025570">
      <w:pPr>
        <w:spacing w:before="120"/>
        <w:jc w:val="both"/>
      </w:pPr>
      <w:r w:rsidRPr="00025570">
        <w:t xml:space="preserve">Na základě shody relevantních představitelů vědecké veřejnosti, poskytovatelů podpory, jakož i dlouhodobě analyzovaných poznatků a zkušeností předkladatele se ke splnění vymezeného cíle jeví jako nezbytné provést změny ve třech stěžejních oblastech. V prvé řadě je to nové nastavení podmínek, zásad a kritérií podpory tak, aby zajišťovaly výrazně lépe než dosavadní pravidla ekonomický rozvoj a udržitelnost systému podpory </w:t>
      </w:r>
      <w:proofErr w:type="spellStart"/>
      <w:r w:rsidRPr="00025570">
        <w:t>VaVaI</w:t>
      </w:r>
      <w:proofErr w:type="spellEnd"/>
      <w:r w:rsidRPr="00025570">
        <w:t xml:space="preserve">. Rovněž musí být legislativně vyřešena absence inovací v systému státní podpory </w:t>
      </w:r>
      <w:proofErr w:type="spellStart"/>
      <w:r w:rsidRPr="00025570">
        <w:t>VaVaI</w:t>
      </w:r>
      <w:proofErr w:type="spellEnd"/>
      <w:r w:rsidRPr="00025570">
        <w:t xml:space="preserve">. </w:t>
      </w:r>
    </w:p>
    <w:p w:rsidR="00416126" w:rsidRPr="00025570" w:rsidRDefault="00416126" w:rsidP="00025570">
      <w:pPr>
        <w:spacing w:before="120"/>
        <w:jc w:val="both"/>
      </w:pPr>
      <w:r w:rsidRPr="00025570">
        <w:t>V neposlední řadě je pak třeba uvést, že všechna nová, b</w:t>
      </w:r>
      <w:r w:rsidR="00CF076B" w:rsidRPr="00025570">
        <w:t>yť sebelepší pravidla nemohou v </w:t>
      </w:r>
      <w:r w:rsidRPr="00025570">
        <w:t xml:space="preserve">praxi úspěšně fungovat a přinést žádoucí změnu bez vybudování zcela nové struktury státní správy a administrativní podpory </w:t>
      </w:r>
      <w:proofErr w:type="spellStart"/>
      <w:r w:rsidRPr="00025570">
        <w:t>VaVaI</w:t>
      </w:r>
      <w:proofErr w:type="spellEnd"/>
      <w:r w:rsidRPr="00025570">
        <w:t xml:space="preserve">, která odstraní dosavadní roztříštěnost správy způsobenou jak několikanásobně novelizovanou a v některých směrech ne zcela provázanou právní úpravou, tak mnohdy i historicky nastolenými stereotypy ve vztazích mezi jednotlivými relevantními správními úřady, majícími tendenci působit jako tradice, kterou je nežádoucí až riskantní měnit. Při přípravě věcného záměru byly posuzovány jednotlivé varianty zejména právě ve vztahu k budoucímu uspořádání </w:t>
      </w:r>
      <w:r w:rsidR="00CF076B" w:rsidRPr="00025570">
        <w:t>státní správy výzkumu, vývoje a </w:t>
      </w:r>
      <w:r w:rsidRPr="00025570">
        <w:t xml:space="preserve">inovací – od v zásadě ponechání stávajícího stavu, případně s podřízením GA ČR pod MŠMT a TA ČR pod MPO, až po vytvoření nového ministerstva, </w:t>
      </w:r>
      <w:r w:rsidR="00AF4427" w:rsidRPr="00025570">
        <w:t>na nějž by byla z</w:t>
      </w:r>
      <w:r w:rsidR="00934B40" w:rsidRPr="00025570">
        <w:t> </w:t>
      </w:r>
      <w:r w:rsidR="00AF4427" w:rsidRPr="00025570">
        <w:t>M</w:t>
      </w:r>
      <w:r w:rsidR="00934B40" w:rsidRPr="00025570">
        <w:t xml:space="preserve">inisterstva školství, mládeže a tělovýchovy </w:t>
      </w:r>
      <w:r w:rsidR="00AF4427" w:rsidRPr="00025570">
        <w:t xml:space="preserve">přesunuta i odpovědnost za problematiku vysokoškolského vzděláváním. </w:t>
      </w:r>
      <w:r w:rsidR="00934B40" w:rsidRPr="00025570">
        <w:t xml:space="preserve">S ohledem na provedené vyhodnocení nákladů a přínosů jednotlivých, ve věcném záměru zvažovaných, variant byla v současné době jako nejvhodnější varianta zvolena </w:t>
      </w:r>
      <w:r w:rsidR="00C02B7C" w:rsidRPr="00025570">
        <w:t xml:space="preserve">ta, </w:t>
      </w:r>
      <w:r w:rsidR="00934B40" w:rsidRPr="00025570">
        <w:t xml:space="preserve">jejímž cílem je </w:t>
      </w:r>
      <w:r w:rsidRPr="00025570">
        <w:t>zřízení n</w:t>
      </w:r>
      <w:r w:rsidR="00934B40" w:rsidRPr="00025570">
        <w:t>ového Ministerstva pro výzkum a vývoj (dále jen „MVV“), přičemž gesce</w:t>
      </w:r>
      <w:r w:rsidRPr="00025570">
        <w:t xml:space="preserve"> pro oblast vysokých škol </w:t>
      </w:r>
      <w:r w:rsidR="00934B40" w:rsidRPr="00025570">
        <w:t xml:space="preserve">se ponechá </w:t>
      </w:r>
      <w:r w:rsidRPr="00025570">
        <w:t>Ministerstvu školství, mládeže a tělovýchovy.</w:t>
      </w:r>
    </w:p>
    <w:p w:rsidR="00416126" w:rsidRPr="00025570" w:rsidRDefault="00912A53" w:rsidP="00025570">
      <w:pPr>
        <w:spacing w:before="120"/>
        <w:jc w:val="both"/>
      </w:pPr>
      <w:r w:rsidRPr="00025570">
        <w:t xml:space="preserve">K realizaci, již zmíněných </w:t>
      </w:r>
      <w:r w:rsidR="00416126" w:rsidRPr="00025570">
        <w:t>základních cílů se zejména navrhuje:</w:t>
      </w:r>
    </w:p>
    <w:p w:rsidR="00416126" w:rsidRPr="00025570" w:rsidRDefault="00416126" w:rsidP="00025570">
      <w:pPr>
        <w:pStyle w:val="Odstavecseseznamem"/>
        <w:numPr>
          <w:ilvl w:val="0"/>
          <w:numId w:val="1"/>
        </w:numPr>
        <w:spacing w:before="120"/>
        <w:contextualSpacing w:val="0"/>
        <w:jc w:val="both"/>
      </w:pPr>
      <w:r w:rsidRPr="00025570">
        <w:t xml:space="preserve">zavést nové kategorie podpory dle přímo použitelných předpisů EU, které v dosavadní právní úpravě nemají procesní oporu a nastavit principy a pravidla jejich využívání. </w:t>
      </w:r>
      <w:r w:rsidR="004B64A3" w:rsidRPr="00025570">
        <w:t xml:space="preserve">Současně </w:t>
      </w:r>
      <w:r w:rsidRPr="00025570">
        <w:t>některé z těchto nově zavedených kategorií podpory napomohou udržitelnosti systému financová</w:t>
      </w:r>
      <w:r w:rsidR="004B64A3" w:rsidRPr="00025570">
        <w:t>ní výzkumu a vývoje v ČR (např. </w:t>
      </w:r>
      <w:r w:rsidRPr="00025570">
        <w:t>financování tzv. národních infrastruktur).</w:t>
      </w:r>
    </w:p>
    <w:p w:rsidR="00416126" w:rsidRPr="00025570" w:rsidRDefault="00416126" w:rsidP="00025570">
      <w:pPr>
        <w:pStyle w:val="Odstavecseseznamem"/>
        <w:numPr>
          <w:ilvl w:val="0"/>
          <w:numId w:val="1"/>
        </w:numPr>
        <w:spacing w:before="120"/>
        <w:contextualSpacing w:val="0"/>
        <w:jc w:val="both"/>
      </w:pPr>
      <w:r w:rsidRPr="00025570">
        <w:lastRenderedPageBreak/>
        <w:t>zjednodušit procesní pravidla poskytování podpory, stanovit jednoznačně definované přezkumné mechanismy, odbourat nadbytečnou administrativní zátěž jak na straně příjemců, tak i poskytovatelů.</w:t>
      </w:r>
    </w:p>
    <w:p w:rsidR="00416126" w:rsidRPr="00025570" w:rsidRDefault="00416126" w:rsidP="00025570">
      <w:pPr>
        <w:pStyle w:val="Odstavecseseznamem"/>
        <w:numPr>
          <w:ilvl w:val="0"/>
          <w:numId w:val="1"/>
        </w:numPr>
        <w:spacing w:before="120"/>
        <w:contextualSpacing w:val="0"/>
        <w:jc w:val="both"/>
      </w:pPr>
      <w:r w:rsidRPr="00025570">
        <w:t>založit zcela nový systém hodnocení výzkumných organizací, včetně podmínek pro jeho postupný</w:t>
      </w:r>
      <w:r w:rsidR="00D351C1" w:rsidRPr="00025570">
        <w:t xml:space="preserve"> náběh/</w:t>
      </w:r>
      <w:r w:rsidR="004B64A3" w:rsidRPr="00025570">
        <w:t>postupné uplatňování</w:t>
      </w:r>
      <w:r w:rsidR="00D351C1" w:rsidRPr="00025570">
        <w:rPr>
          <w:i/>
        </w:rPr>
        <w:t xml:space="preserve">. </w:t>
      </w:r>
    </w:p>
    <w:p w:rsidR="00416126" w:rsidRPr="00025570" w:rsidRDefault="00416126" w:rsidP="00025570">
      <w:pPr>
        <w:pStyle w:val="Odstavecseseznamem"/>
        <w:numPr>
          <w:ilvl w:val="0"/>
          <w:numId w:val="1"/>
        </w:numPr>
        <w:spacing w:before="120"/>
        <w:contextualSpacing w:val="0"/>
        <w:jc w:val="both"/>
      </w:pPr>
      <w:r w:rsidRPr="00025570">
        <w:t xml:space="preserve">zrevidovat systém státní správy </w:t>
      </w:r>
      <w:proofErr w:type="spellStart"/>
      <w:r w:rsidRPr="00025570">
        <w:t>VaVaI</w:t>
      </w:r>
      <w:proofErr w:type="spellEnd"/>
      <w:r w:rsidRPr="00025570">
        <w:t>, stanovi</w:t>
      </w:r>
      <w:r w:rsidR="004B64A3" w:rsidRPr="00025570">
        <w:t>t nové kapacity státní správy a </w:t>
      </w:r>
      <w:r w:rsidRPr="00025570">
        <w:t xml:space="preserve">administrativní podpory koordinace a řízení </w:t>
      </w:r>
      <w:proofErr w:type="spellStart"/>
      <w:r w:rsidRPr="00025570">
        <w:t>VaVaI</w:t>
      </w:r>
      <w:proofErr w:type="spellEnd"/>
      <w:r w:rsidRPr="00025570">
        <w:t>, precizovat vymezení pravomocí jednotli</w:t>
      </w:r>
      <w:r w:rsidR="004B64A3" w:rsidRPr="00025570">
        <w:t>vých správn</w:t>
      </w:r>
      <w:r w:rsidR="00D351C1" w:rsidRPr="00025570">
        <w:t>ích úřadů, vytvořit centrální úřad</w:t>
      </w:r>
      <w:r w:rsidRPr="00025570">
        <w:t xml:space="preserve"> (ministers</w:t>
      </w:r>
      <w:r w:rsidR="00D351C1" w:rsidRPr="00025570">
        <w:t>tvo) odpovědný</w:t>
      </w:r>
      <w:r w:rsidR="004B64A3" w:rsidRPr="00025570">
        <w:t xml:space="preserve"> za koordinaci </w:t>
      </w:r>
      <w:proofErr w:type="spellStart"/>
      <w:r w:rsidRPr="00025570">
        <w:t>VaVaI</w:t>
      </w:r>
      <w:proofErr w:type="spellEnd"/>
      <w:r w:rsidRPr="00025570">
        <w:t>. Minimalizovat odchylky od standardního vnitřního uspořádání některých organizačních složek státu a zjednodušit strukturu jejic</w:t>
      </w:r>
      <w:r w:rsidR="00336CA1" w:rsidRPr="00025570">
        <w:t>h orgánů (GA ČR a </w:t>
      </w:r>
      <w:r w:rsidRPr="00025570">
        <w:t>TA ČR).</w:t>
      </w:r>
    </w:p>
    <w:p w:rsidR="00416126" w:rsidRPr="00025570" w:rsidRDefault="00416126" w:rsidP="00025570">
      <w:pPr>
        <w:pStyle w:val="Odstavecseseznamem"/>
        <w:numPr>
          <w:ilvl w:val="0"/>
          <w:numId w:val="1"/>
        </w:numPr>
        <w:spacing w:before="120"/>
        <w:contextualSpacing w:val="0"/>
        <w:jc w:val="both"/>
      </w:pPr>
      <w:r w:rsidRPr="00025570">
        <w:t>stanovení jednoznačné hierarchie strategických a koncepčních dokumentů pro oblas</w:t>
      </w:r>
      <w:r w:rsidR="00D351C1" w:rsidRPr="00025570">
        <w:t xml:space="preserve">t </w:t>
      </w:r>
      <w:proofErr w:type="spellStart"/>
      <w:r w:rsidR="00D351C1" w:rsidRPr="00025570">
        <w:t>VaVaI</w:t>
      </w:r>
      <w:proofErr w:type="spellEnd"/>
      <w:r w:rsidR="00D351C1" w:rsidRPr="00025570">
        <w:t>, včetně jejich provázanosti</w:t>
      </w:r>
      <w:r w:rsidRPr="00025570">
        <w:t xml:space="preserve"> na přípravu návrhu výdajů státního rozpočtu na </w:t>
      </w:r>
      <w:proofErr w:type="spellStart"/>
      <w:r w:rsidRPr="00025570">
        <w:t>VaVaI</w:t>
      </w:r>
      <w:proofErr w:type="spellEnd"/>
      <w:r w:rsidRPr="00025570">
        <w:t>, a to s důrazem na jejich dlouhodobé „plánování“.</w:t>
      </w:r>
    </w:p>
    <w:p w:rsidR="003F59BF" w:rsidRPr="00025570" w:rsidRDefault="00416126" w:rsidP="00025570">
      <w:pPr>
        <w:spacing w:before="120"/>
        <w:jc w:val="both"/>
      </w:pPr>
      <w:r w:rsidRPr="00025570">
        <w:t>Návrh dále reaguje na podněty z aplikační praxe dosavadního zákona o podpoře výzkumu, experimentálního vývoje a inovací. Dalším jeho cílem je proto odstranění některých výkladových problémů a celkové zkvalitnění a zefektivnění právní úpravy podpory výzkumu, vývoje a inovací.</w:t>
      </w:r>
    </w:p>
    <w:p w:rsidR="00E32DDD" w:rsidRPr="00025570" w:rsidRDefault="00E32DDD" w:rsidP="00025570">
      <w:pPr>
        <w:autoSpaceDE w:val="0"/>
        <w:autoSpaceDN w:val="0"/>
        <w:adjustRightInd w:val="0"/>
        <w:spacing w:before="120"/>
        <w:rPr>
          <w:b/>
        </w:rPr>
      </w:pPr>
    </w:p>
    <w:p w:rsidR="003F59BF" w:rsidRPr="00025570" w:rsidRDefault="003F59BF" w:rsidP="00025570">
      <w:pPr>
        <w:autoSpaceDE w:val="0"/>
        <w:autoSpaceDN w:val="0"/>
        <w:adjustRightInd w:val="0"/>
        <w:spacing w:before="120"/>
        <w:rPr>
          <w:rFonts w:eastAsiaTheme="minorHAnsi"/>
          <w:b/>
          <w:lang w:eastAsia="en-US"/>
        </w:rPr>
      </w:pPr>
      <w:r w:rsidRPr="00025570">
        <w:rPr>
          <w:b/>
        </w:rPr>
        <w:t xml:space="preserve">II. </w:t>
      </w:r>
      <w:r w:rsidRPr="00025570">
        <w:rPr>
          <w:rFonts w:eastAsiaTheme="minorHAnsi"/>
          <w:b/>
          <w:lang w:eastAsia="en-US"/>
        </w:rPr>
        <w:t>Předpokládaný hospodářský a finanční dopad navrhované právní úpravy na státní</w:t>
      </w:r>
    </w:p>
    <w:p w:rsidR="003F59BF" w:rsidRPr="00025570" w:rsidRDefault="003F59BF" w:rsidP="00025570">
      <w:pPr>
        <w:spacing w:before="120"/>
        <w:jc w:val="both"/>
        <w:rPr>
          <w:b/>
        </w:rPr>
      </w:pPr>
      <w:r w:rsidRPr="00025570">
        <w:rPr>
          <w:rFonts w:eastAsiaTheme="minorHAnsi"/>
          <w:b/>
          <w:lang w:eastAsia="en-US"/>
        </w:rPr>
        <w:t>rozpočet a ostatní veřejné rozpočty</w:t>
      </w:r>
    </w:p>
    <w:p w:rsidR="00351C4D" w:rsidRPr="00025570" w:rsidRDefault="00416126" w:rsidP="00025570">
      <w:pPr>
        <w:spacing w:before="120"/>
        <w:jc w:val="both"/>
      </w:pPr>
      <w:r w:rsidRPr="00025570">
        <w:t xml:space="preserve">Předpokladem pro vznik nového centrálního úřadu pro </w:t>
      </w:r>
      <w:proofErr w:type="spellStart"/>
      <w:r w:rsidRPr="00025570">
        <w:t>VaVaI</w:t>
      </w:r>
      <w:proofErr w:type="spellEnd"/>
      <w:r w:rsidRPr="00025570">
        <w:t xml:space="preserve"> dle doporučení Mezinárodního auditu </w:t>
      </w:r>
      <w:proofErr w:type="spellStart"/>
      <w:r w:rsidRPr="00025570">
        <w:t>VaVaI</w:t>
      </w:r>
      <w:proofErr w:type="spellEnd"/>
      <w:r w:rsidRPr="00025570">
        <w:t xml:space="preserve"> by bylo vybudování vlastního nezávisléh</w:t>
      </w:r>
      <w:r w:rsidR="00336CA1" w:rsidRPr="00025570">
        <w:t>o organizačního, ekonomického a </w:t>
      </w:r>
      <w:r w:rsidRPr="00025570">
        <w:t xml:space="preserve">technického zázemí </w:t>
      </w:r>
      <w:r w:rsidR="007E0956">
        <w:t>MVV</w:t>
      </w:r>
      <w:r w:rsidRPr="00025570">
        <w:t xml:space="preserve">. </w:t>
      </w:r>
      <w:r w:rsidR="00351C4D" w:rsidRPr="00025570">
        <w:t xml:space="preserve">Vedle potřebných mzdových prostředků pro zaměstnance MVV je tento záměr spojen s výdaji na pronájem vhodných prostor (pokud by se nepodařilo dohledat volné prostory mezi nemovitostmi, které jsou v hospodaření státu), pořízení, správa a údržba informačních technologií, a s dalšími běžnými výdaji na provoz (pořízení služebních vozidel, kancelářského vybavení, režijní výdaje apod.). Vyčíslení nároků na pořízení majetku (kancelářská technika, výpočetní technika apod.) odpovídá pořízení majetku nového; v případě, že by došlo k převodu majetku, který je nyní ve správě Úřadu vlády ČR (popřípadě MŠMT) a který mají stávající pracovníci k dispozici, byly by toto náklady na pořízení výrazně nižší. V cílovém stavu se předpokládá celkový počet zaměstnanců 157 osob. </w:t>
      </w:r>
    </w:p>
    <w:p w:rsidR="00351C4D" w:rsidRPr="00025570" w:rsidRDefault="00351C4D" w:rsidP="00025570">
      <w:pPr>
        <w:spacing w:before="120"/>
        <w:jc w:val="both"/>
      </w:pPr>
      <w:r w:rsidRPr="00025570">
        <w:t xml:space="preserve">Na základě uvedeného se předpokládají celkové výdaje v prvním roce fungování MVV přibližně 208 mil. Kč (v nichž jsou zahrnuty platy a podobné a související výdaje, ostatní běžné výdaje, kapitálové výdaje), v dalších letech pak přibližně 218 mil. Kč. K uvedenému je nutné zdůraznit, že v případě delimitace služebních (pracovních) míst z jiných ústředních správních úřadů (zejména Úřad vlády ČR a MŠMT) v souvislosti s přesunem působností nedojde k zvyšování výdajů státního rozpočtu na administrativu příslušných </w:t>
      </w:r>
      <w:proofErr w:type="spellStart"/>
      <w:r w:rsidRPr="00025570">
        <w:t>realokovaných</w:t>
      </w:r>
      <w:proofErr w:type="spellEnd"/>
      <w:r w:rsidRPr="00025570">
        <w:t xml:space="preserve"> činností. Prezentované údaje tedy vyjadřují celkové náklady na chod ústředního správního úřadu, nikoliv částku, o kterou by v důsledku vzniku tohoto úřadu musely být navýšeny výdaje státního rozpočtu. Při zohlednění zmiňovaných delimitací – např. z Úřadu vlády ČR 65 míst – se navržené opatření</w:t>
      </w:r>
      <w:r w:rsidR="005A362D" w:rsidRPr="00025570">
        <w:t>,</w:t>
      </w:r>
      <w:r w:rsidRPr="00025570">
        <w:t xml:space="preserve"> v soustavě ústředních správních úřadů</w:t>
      </w:r>
      <w:r w:rsidR="005A362D" w:rsidRPr="00025570">
        <w:t>,</w:t>
      </w:r>
      <w:r w:rsidRPr="00025570">
        <w:t xml:space="preserve"> </w:t>
      </w:r>
      <w:r w:rsidR="005A362D" w:rsidRPr="00025570">
        <w:t xml:space="preserve">v podstatě </w:t>
      </w:r>
      <w:r w:rsidRPr="00025570">
        <w:t>jeví jako rozpočtově neutrální.</w:t>
      </w:r>
    </w:p>
    <w:p w:rsidR="00E32DDD" w:rsidRPr="00025570" w:rsidRDefault="00351C4D" w:rsidP="00025570">
      <w:pPr>
        <w:spacing w:before="120"/>
        <w:jc w:val="both"/>
        <w:rPr>
          <w:i/>
        </w:rPr>
      </w:pPr>
      <w:r w:rsidRPr="00025570">
        <w:t xml:space="preserve">Náklady na zavedení navržených změn IS </w:t>
      </w:r>
      <w:proofErr w:type="spellStart"/>
      <w:r w:rsidRPr="00025570">
        <w:t>VaVaI</w:t>
      </w:r>
      <w:proofErr w:type="spellEnd"/>
      <w:r w:rsidRPr="00025570">
        <w:t xml:space="preserve"> budou spočívat v úpravách a změnách vlastního IS </w:t>
      </w:r>
      <w:proofErr w:type="spellStart"/>
      <w:r w:rsidRPr="00025570">
        <w:t>VaVaI</w:t>
      </w:r>
      <w:proofErr w:type="spellEnd"/>
      <w:r w:rsidRPr="00025570">
        <w:t xml:space="preserve"> a budou hrazeny z výdajů MVV, další menší část nákladů bude spočívat v navazujících změnách informačních systémů jednotlivých poskytovatelů (které je však </w:t>
      </w:r>
      <w:r w:rsidRPr="00025570">
        <w:lastRenderedPageBreak/>
        <w:t>nutno v dohledné době rovněž změnit) a nejmenší část nákladů bude ve změnách informačních systémů uchazečů a příjemců, zejména těch, kteří se zabývají transferem znalostí a inovacemi</w:t>
      </w:r>
      <w:r w:rsidRPr="00025570">
        <w:rPr>
          <w:i/>
        </w:rPr>
        <w:t>.</w:t>
      </w:r>
    </w:p>
    <w:p w:rsidR="00651289" w:rsidRPr="00025570" w:rsidRDefault="00651289" w:rsidP="00025570">
      <w:pPr>
        <w:spacing w:before="120"/>
        <w:jc w:val="both"/>
        <w:rPr>
          <w:b/>
        </w:rPr>
      </w:pPr>
    </w:p>
    <w:p w:rsidR="00941D62" w:rsidRPr="00025570" w:rsidRDefault="008E4DC8" w:rsidP="00025570">
      <w:pPr>
        <w:spacing w:before="120"/>
        <w:jc w:val="both"/>
        <w:rPr>
          <w:b/>
        </w:rPr>
      </w:pPr>
      <w:r w:rsidRPr="00025570">
        <w:rPr>
          <w:b/>
        </w:rPr>
        <w:t>II</w:t>
      </w:r>
      <w:r w:rsidR="003F59BF" w:rsidRPr="00025570">
        <w:rPr>
          <w:b/>
        </w:rPr>
        <w:t>I</w:t>
      </w:r>
      <w:r w:rsidRPr="00025570">
        <w:rPr>
          <w:b/>
        </w:rPr>
        <w:t>. Připomínkové řízení</w:t>
      </w:r>
    </w:p>
    <w:p w:rsidR="00941D62" w:rsidRPr="00025570" w:rsidRDefault="008E4DC8" w:rsidP="00025570">
      <w:pPr>
        <w:spacing w:before="120"/>
        <w:jc w:val="both"/>
      </w:pPr>
      <w:r w:rsidRPr="00025570">
        <w:t xml:space="preserve">Věcný záměr zákona byl dne 11. září 2015 rozeslán do mezirezortního připomínkového řízení s termínem pro </w:t>
      </w:r>
      <w:r w:rsidR="00C856C6" w:rsidRPr="00025570">
        <w:t xml:space="preserve">zaslání (uplatnění) připomínek do 5. října 2015. </w:t>
      </w:r>
    </w:p>
    <w:p w:rsidR="005B60CF" w:rsidRPr="00025570" w:rsidRDefault="00416126" w:rsidP="00025570">
      <w:pPr>
        <w:spacing w:before="120"/>
        <w:jc w:val="both"/>
      </w:pPr>
      <w:r w:rsidRPr="00025570">
        <w:t xml:space="preserve">Věcný záměr zákona byl </w:t>
      </w:r>
      <w:r w:rsidR="009D1DC6" w:rsidRPr="00025570">
        <w:t>v souladu s čl. 5 odst. 1</w:t>
      </w:r>
      <w:r w:rsidR="00273271" w:rsidRPr="00025570">
        <w:t xml:space="preserve"> a 11</w:t>
      </w:r>
      <w:r w:rsidR="009D1DC6" w:rsidRPr="00025570">
        <w:t xml:space="preserve"> Legislativních pravidel vlády </w:t>
      </w:r>
      <w:r w:rsidR="00273271" w:rsidRPr="00025570">
        <w:t xml:space="preserve">zaslán </w:t>
      </w:r>
      <w:r w:rsidR="009D1DC6" w:rsidRPr="00025570">
        <w:t>připomínkovým místům</w:t>
      </w:r>
      <w:r w:rsidRPr="00025570">
        <w:t xml:space="preserve">, z toho </w:t>
      </w:r>
      <w:r w:rsidR="00273271" w:rsidRPr="00025570">
        <w:t>23</w:t>
      </w:r>
      <w:r w:rsidR="00C856C6" w:rsidRPr="00025570">
        <w:t xml:space="preserve"> </w:t>
      </w:r>
      <w:r w:rsidRPr="00025570">
        <w:t>připomínkových míst uplatnilo zásadní připomínky</w:t>
      </w:r>
      <w:r w:rsidR="00273271" w:rsidRPr="00025570">
        <w:t xml:space="preserve">. </w:t>
      </w:r>
      <w:r w:rsidR="00C856C6" w:rsidRPr="00025570">
        <w:t xml:space="preserve">Jednalo se o tato připomínková místa: </w:t>
      </w:r>
      <w:r w:rsidR="005B60CF" w:rsidRPr="00025570">
        <w:t xml:space="preserve">Ministerstvo dopravy, Ministerstvo financí, Ministerstvo práce a sociálních věcí, Ministerstvo pro místní </w:t>
      </w:r>
      <w:r w:rsidR="00025570">
        <w:t>rozvoj, Ministerstvo průmyslu a </w:t>
      </w:r>
      <w:r w:rsidR="005B60CF" w:rsidRPr="00025570">
        <w:t xml:space="preserve">obchodu, Ministerstvo spravedlnosti, Ministerstvo </w:t>
      </w:r>
      <w:r w:rsidR="00336CA1" w:rsidRPr="00025570">
        <w:t>školství, mládeže a </w:t>
      </w:r>
      <w:r w:rsidR="005B60CF" w:rsidRPr="00025570">
        <w:t xml:space="preserve">tělovýchovy, Ministerstvo vnitra, Ministerstvo zemědělství, Ministerstvo zahraničních věcí, Ministerstvo životního prostředí, Ministr pro lidská práva, rovné příležitosti a legislativu, Úřad pro ochranu hospodářské soutěže, Úřad pro ochranu osobních údajů, Akademie věd ČR, Grantová agentura ČR, Technologická agentury ČR, Česká konference rektorů, Rada vysokých škol, Asociace výzkumných organizací, Hospodářská komora ČR, </w:t>
      </w:r>
      <w:r w:rsidR="00336CA1" w:rsidRPr="00025570">
        <w:t>Svaz průmyslu a </w:t>
      </w:r>
      <w:r w:rsidR="005B60CF" w:rsidRPr="00025570">
        <w:t xml:space="preserve">dopravy ČR, Českomoravská konfederace odborových svazů. </w:t>
      </w:r>
    </w:p>
    <w:p w:rsidR="00273271" w:rsidRPr="00025570" w:rsidRDefault="00846CCB" w:rsidP="00025570">
      <w:pPr>
        <w:spacing w:before="120"/>
        <w:jc w:val="both"/>
      </w:pPr>
      <w:r w:rsidRPr="00025570">
        <w:t>Připomínky doporučujícího charakteru uplatnila následující připomínková místa: Ministerstvo kultury</w:t>
      </w:r>
      <w:r w:rsidR="004E0B76" w:rsidRPr="00025570">
        <w:t xml:space="preserve">, </w:t>
      </w:r>
      <w:r w:rsidRPr="00025570">
        <w:t>Ministerstvo zdravotnictví</w:t>
      </w:r>
      <w:r w:rsidR="0079143E" w:rsidRPr="00025570">
        <w:t xml:space="preserve">, </w:t>
      </w:r>
      <w:r w:rsidRPr="00025570">
        <w:t>Úřad vlády – odbor kompatibility</w:t>
      </w:r>
      <w:r w:rsidR="00ED5513" w:rsidRPr="00025570">
        <w:t xml:space="preserve">, </w:t>
      </w:r>
      <w:r w:rsidRPr="00025570">
        <w:t>Česká národní banka</w:t>
      </w:r>
      <w:r w:rsidR="00ED5513" w:rsidRPr="00025570">
        <w:t xml:space="preserve">, </w:t>
      </w:r>
      <w:r w:rsidRPr="00025570">
        <w:t>Český statistický úřad</w:t>
      </w:r>
      <w:r w:rsidR="00ED5513" w:rsidRPr="00025570">
        <w:t xml:space="preserve">, </w:t>
      </w:r>
      <w:r w:rsidRPr="00025570">
        <w:t>Nejvyšší kontrolní úřad</w:t>
      </w:r>
      <w:r w:rsidR="00ED5513" w:rsidRPr="00025570">
        <w:t xml:space="preserve">, </w:t>
      </w:r>
      <w:r w:rsidRPr="00025570">
        <w:t>Hl. m. Praha</w:t>
      </w:r>
      <w:r w:rsidR="00ED5513" w:rsidRPr="00025570">
        <w:t xml:space="preserve">, </w:t>
      </w:r>
      <w:r w:rsidRPr="00025570">
        <w:t>Liberecký kraj</w:t>
      </w:r>
      <w:r w:rsidR="00ED5513" w:rsidRPr="00025570">
        <w:t xml:space="preserve">, </w:t>
      </w:r>
      <w:r w:rsidRPr="00025570">
        <w:t>Sv</w:t>
      </w:r>
      <w:r w:rsidR="00025570">
        <w:t>az měst a </w:t>
      </w:r>
      <w:r w:rsidRPr="00025570">
        <w:t>obcí</w:t>
      </w:r>
      <w:r w:rsidR="00273271" w:rsidRPr="00025570">
        <w:t xml:space="preserve">. </w:t>
      </w:r>
    </w:p>
    <w:p w:rsidR="00C856C6" w:rsidRPr="00025570" w:rsidRDefault="00977383" w:rsidP="00025570">
      <w:pPr>
        <w:spacing w:before="120"/>
        <w:jc w:val="both"/>
      </w:pPr>
      <w:r w:rsidRPr="00025570">
        <w:t>Jednotlivé připomínky vzešlé z mezirezortního připomínkového řízení jsou podrobně uvedeny v</w:t>
      </w:r>
      <w:r w:rsidR="009652ED" w:rsidRPr="00025570">
        <w:t xml:space="preserve"> části</w:t>
      </w:r>
      <w:r w:rsidRPr="00025570">
        <w:t xml:space="preserve"> IV. </w:t>
      </w:r>
      <w:r w:rsidR="00737653" w:rsidRPr="00025570">
        <w:t>t</w:t>
      </w:r>
      <w:r w:rsidRPr="00025570">
        <w:t xml:space="preserve">ohoto materiálu. </w:t>
      </w:r>
    </w:p>
    <w:p w:rsidR="00977383" w:rsidRPr="00025570" w:rsidRDefault="007D7713" w:rsidP="00025570">
      <w:pPr>
        <w:spacing w:before="120"/>
        <w:jc w:val="both"/>
      </w:pPr>
      <w:r w:rsidRPr="00025570">
        <w:t xml:space="preserve">Převážnou většinu </w:t>
      </w:r>
      <w:r w:rsidR="00D351C1" w:rsidRPr="00025570">
        <w:t xml:space="preserve">uplatněných </w:t>
      </w:r>
      <w:r w:rsidRPr="00025570">
        <w:t xml:space="preserve">připomínek, jež se staly předmětem </w:t>
      </w:r>
      <w:r w:rsidR="00F15F23" w:rsidRPr="00025570">
        <w:t>rozpor</w:t>
      </w:r>
      <w:r w:rsidR="00D351C1" w:rsidRPr="00025570">
        <w:t>u</w:t>
      </w:r>
      <w:r w:rsidRPr="00025570">
        <w:t>,</w:t>
      </w:r>
      <w:r w:rsidR="00D351C1" w:rsidRPr="00025570">
        <w:t xml:space="preserve"> se podařilo </w:t>
      </w:r>
      <w:r w:rsidR="00A0286C" w:rsidRPr="00025570">
        <w:t xml:space="preserve">vyřešit </w:t>
      </w:r>
      <w:r w:rsidR="00F32452" w:rsidRPr="00025570">
        <w:t>jednáním</w:t>
      </w:r>
      <w:r w:rsidR="00EB1459">
        <w:t xml:space="preserve"> předkladatele se zástupci jednotlivých připomínkových míst</w:t>
      </w:r>
      <w:r w:rsidR="00A0286C" w:rsidRPr="00025570">
        <w:t>.</w:t>
      </w:r>
    </w:p>
    <w:p w:rsidR="00737653" w:rsidRPr="00025570" w:rsidRDefault="00737653" w:rsidP="00025570">
      <w:pPr>
        <w:spacing w:before="120"/>
        <w:jc w:val="both"/>
      </w:pPr>
      <w:r w:rsidRPr="00025570">
        <w:t xml:space="preserve">Přes shora uvedená jednání a veškerou </w:t>
      </w:r>
      <w:r w:rsidR="00B856D0" w:rsidRPr="00025570">
        <w:t>s</w:t>
      </w:r>
      <w:r w:rsidRPr="00025570">
        <w:t xml:space="preserve">nahu </w:t>
      </w:r>
      <w:r w:rsidR="00057211" w:rsidRPr="00025570">
        <w:t xml:space="preserve">vynaloženou </w:t>
      </w:r>
      <w:r w:rsidRPr="00025570">
        <w:t>předkladatele</w:t>
      </w:r>
      <w:r w:rsidR="00B856D0" w:rsidRPr="00025570">
        <w:t>m</w:t>
      </w:r>
      <w:r w:rsidR="00403BD3" w:rsidRPr="00025570">
        <w:t>,</w:t>
      </w:r>
      <w:r w:rsidR="001A608C">
        <w:t xml:space="preserve"> se věcný záměr zákona předkládá</w:t>
      </w:r>
      <w:r w:rsidRPr="00025570">
        <w:t xml:space="preserve"> vládě s</w:t>
      </w:r>
      <w:r w:rsidR="00025570">
        <w:t> </w:t>
      </w:r>
      <w:r w:rsidRPr="00025570">
        <w:t>rozporem</w:t>
      </w:r>
      <w:r w:rsidR="00025570">
        <w:t xml:space="preserve"> s</w:t>
      </w:r>
      <w:r w:rsidR="001A608C">
        <w:t xml:space="preserve"> následujícími</w:t>
      </w:r>
      <w:r w:rsidR="00025570">
        <w:t xml:space="preserve"> připomínkovými místy ve smyslu čl. 5 odst. 7 </w:t>
      </w:r>
      <w:r w:rsidR="00893900">
        <w:t xml:space="preserve">Legislativních pravidel vlády, tj. </w:t>
      </w:r>
      <w:r w:rsidR="00EB1459">
        <w:t> Ministerstvem financí a</w:t>
      </w:r>
      <w:r w:rsidRPr="00025570">
        <w:t xml:space="preserve"> Českomoravskou konfederací odborových svazů</w:t>
      </w:r>
      <w:r w:rsidR="00A26942">
        <w:t xml:space="preserve">. </w:t>
      </w:r>
    </w:p>
    <w:p w:rsidR="0058362D" w:rsidRPr="00025570" w:rsidRDefault="001A608C" w:rsidP="00025570">
      <w:pPr>
        <w:spacing w:before="120"/>
        <w:jc w:val="both"/>
      </w:pPr>
      <w:r>
        <w:t>Jedná</w:t>
      </w:r>
      <w:r w:rsidR="00737653" w:rsidRPr="00025570">
        <w:t xml:space="preserve"> se o následující rozpory: </w:t>
      </w:r>
    </w:p>
    <w:p w:rsidR="009E50E1" w:rsidRDefault="009E50E1" w:rsidP="009E50E1">
      <w:pPr>
        <w:spacing w:before="120"/>
        <w:jc w:val="both"/>
      </w:pPr>
      <w:r>
        <w:t xml:space="preserve">1.) </w:t>
      </w:r>
      <w:r w:rsidR="00F902FD" w:rsidRPr="00025570">
        <w:t>Rozpor s Ministerstvem financí</w:t>
      </w:r>
      <w:r w:rsidR="00893900">
        <w:t xml:space="preserve"> </w:t>
      </w:r>
      <w:r>
        <w:t xml:space="preserve">ve věci: </w:t>
      </w:r>
    </w:p>
    <w:p w:rsidR="009E50E1" w:rsidRDefault="007B3647" w:rsidP="005851E0">
      <w:pPr>
        <w:pStyle w:val="Odstavecseseznamem"/>
        <w:numPr>
          <w:ilvl w:val="0"/>
          <w:numId w:val="12"/>
        </w:numPr>
        <w:jc w:val="both"/>
      </w:pPr>
      <w:r>
        <w:t>vyčíslení přesného</w:t>
      </w:r>
      <w:r w:rsidR="009E50E1" w:rsidRPr="00391F14">
        <w:t xml:space="preserve"> p</w:t>
      </w:r>
      <w:r w:rsidR="001A608C">
        <w:t>očtu míst, která</w:t>
      </w:r>
      <w:r w:rsidR="009E50E1">
        <w:t xml:space="preserve"> budou </w:t>
      </w:r>
      <w:r w:rsidR="001A608C">
        <w:t>převedena</w:t>
      </w:r>
      <w:r w:rsidR="009E50E1" w:rsidRPr="00391F14">
        <w:t xml:space="preserve"> z MŠMT, Ú</w:t>
      </w:r>
      <w:r>
        <w:t>řadu vlády</w:t>
      </w:r>
      <w:r w:rsidR="001A608C">
        <w:t xml:space="preserve"> ČR</w:t>
      </w:r>
      <w:r>
        <w:t xml:space="preserve"> </w:t>
      </w:r>
      <w:r w:rsidR="009E50E1">
        <w:t xml:space="preserve">a případně z jiných ústředních orgánů </w:t>
      </w:r>
      <w:r w:rsidR="009E50E1" w:rsidRPr="00391F14">
        <w:t>do nového MVV (tj. </w:t>
      </w:r>
      <w:r w:rsidR="00310E7D">
        <w:t>přesné údaje o </w:t>
      </w:r>
      <w:r>
        <w:t>personálních kapacitách)</w:t>
      </w:r>
      <w:r w:rsidR="009E50E1" w:rsidRPr="00391F14">
        <w:t>,</w:t>
      </w:r>
    </w:p>
    <w:p w:rsidR="005851E0" w:rsidRDefault="005851E0" w:rsidP="005851E0">
      <w:pPr>
        <w:pStyle w:val="Odstavecseseznamem"/>
        <w:numPr>
          <w:ilvl w:val="0"/>
          <w:numId w:val="12"/>
        </w:numPr>
        <w:jc w:val="both"/>
      </w:pPr>
      <w:r>
        <w:t>vyčíslení přesných nákladů na vznik a následné fungování nového MVV (náklady na provoz, personál – platy, nájem/koupi budovy apod.),</w:t>
      </w:r>
    </w:p>
    <w:p w:rsidR="005851E0" w:rsidRDefault="004F5F1C" w:rsidP="00F105B9">
      <w:pPr>
        <w:pStyle w:val="Odstavecseseznamem"/>
        <w:numPr>
          <w:ilvl w:val="0"/>
          <w:numId w:val="12"/>
        </w:numPr>
        <w:spacing w:before="120"/>
        <w:jc w:val="both"/>
      </w:pPr>
      <w:r>
        <w:t>ne</w:t>
      </w:r>
      <w:r w:rsidR="005851E0">
        <w:t xml:space="preserve">snížení počtu </w:t>
      </w:r>
      <w:r w:rsidR="0058078A">
        <w:t>poskytovatelů podpory</w:t>
      </w:r>
      <w:r w:rsidR="001A608C">
        <w:t xml:space="preserve"> v důsledku zřízení MVV</w:t>
      </w:r>
      <w:r w:rsidR="005851E0">
        <w:t xml:space="preserve">. </w:t>
      </w:r>
    </w:p>
    <w:p w:rsidR="00893900" w:rsidRDefault="00433498" w:rsidP="001A608C">
      <w:pPr>
        <w:spacing w:before="120"/>
        <w:jc w:val="both"/>
      </w:pPr>
      <w:r w:rsidRPr="00025570">
        <w:t>2</w:t>
      </w:r>
      <w:r w:rsidR="00893900">
        <w:t xml:space="preserve">.) </w:t>
      </w:r>
      <w:r w:rsidR="00F902FD" w:rsidRPr="00025570">
        <w:t>Rozpor s Českomoravskou konfederací odborových svazů</w:t>
      </w:r>
      <w:r w:rsidR="00231BD2" w:rsidRPr="00025570">
        <w:t xml:space="preserve"> </w:t>
      </w:r>
      <w:r w:rsidR="009E50E1">
        <w:t>ve věci</w:t>
      </w:r>
      <w:r w:rsidR="00F105B9">
        <w:t> nevytvoření ústředního orgánu státní správy – Ministerstva pro výzkum, vývoj a vzdělávání, na nějž by byla přesunuta mimo jiné i odpovědnost za problematiku vysokoškolského vzdělávání z </w:t>
      </w:r>
      <w:r w:rsidR="005851E0">
        <w:t xml:space="preserve">MŠMT. </w:t>
      </w:r>
    </w:p>
    <w:p w:rsidR="00BF4B37" w:rsidRDefault="00BF4B37" w:rsidP="00951EC8">
      <w:pPr>
        <w:spacing w:before="120"/>
        <w:jc w:val="both"/>
      </w:pPr>
      <w:r>
        <w:t>Z ostatních připomínkových, jimž byl věcný záměr zák</w:t>
      </w:r>
      <w:r w:rsidR="00951EC8">
        <w:t>ona o podpoře výzkumu, vývoje a </w:t>
      </w:r>
      <w:r>
        <w:t xml:space="preserve">inovací v souladu s čl. 5 odst. 11 </w:t>
      </w:r>
      <w:r w:rsidRPr="00025570">
        <w:t>Legislativních pravidel vlády</w:t>
      </w:r>
      <w:r>
        <w:t xml:space="preserve"> zaslán,</w:t>
      </w:r>
      <w:r w:rsidRPr="00025570">
        <w:t xml:space="preserve"> </w:t>
      </w:r>
      <w:r>
        <w:t xml:space="preserve">zůstaly nevyřešené rozpory s Radou vysokých škol. </w:t>
      </w:r>
    </w:p>
    <w:p w:rsidR="00FB585C" w:rsidRDefault="00FB585C" w:rsidP="00951EC8">
      <w:pPr>
        <w:spacing w:before="120"/>
        <w:jc w:val="both"/>
      </w:pPr>
      <w:bookmarkStart w:id="0" w:name="_GoBack"/>
      <w:bookmarkEnd w:id="0"/>
    </w:p>
    <w:p w:rsidR="00951EC8" w:rsidRDefault="00BF4B37" w:rsidP="00951EC8">
      <w:pPr>
        <w:spacing w:before="120"/>
        <w:jc w:val="both"/>
      </w:pPr>
      <w:r>
        <w:lastRenderedPageBreak/>
        <w:t xml:space="preserve">Rozpor s Radou </w:t>
      </w:r>
      <w:r w:rsidR="00951EC8">
        <w:t>vysokých škol spočívá</w:t>
      </w:r>
      <w:r w:rsidR="00F87122">
        <w:t xml:space="preserve"> ve věci</w:t>
      </w:r>
      <w:r w:rsidR="00951EC8">
        <w:t>:</w:t>
      </w:r>
    </w:p>
    <w:p w:rsidR="00BF4B37" w:rsidRDefault="00BF4B37" w:rsidP="009E50E1">
      <w:pPr>
        <w:pStyle w:val="Odstavecseseznamem"/>
        <w:numPr>
          <w:ilvl w:val="0"/>
          <w:numId w:val="10"/>
        </w:numPr>
        <w:spacing w:before="120"/>
        <w:jc w:val="both"/>
      </w:pPr>
      <w:r>
        <w:t xml:space="preserve">údajné nedostatečné a nepřesvědčivé argumentaci odůvodňující </w:t>
      </w:r>
      <w:r w:rsidR="00B42049">
        <w:t>zřízení</w:t>
      </w:r>
      <w:r w:rsidR="005851E0">
        <w:t xml:space="preserve"> MVV</w:t>
      </w:r>
      <w:r w:rsidR="00951EC8">
        <w:t xml:space="preserve">, </w:t>
      </w:r>
    </w:p>
    <w:p w:rsidR="00951EC8" w:rsidRDefault="00B42049" w:rsidP="00951EC8">
      <w:pPr>
        <w:pStyle w:val="Odstavecseseznamem"/>
        <w:numPr>
          <w:ilvl w:val="0"/>
          <w:numId w:val="10"/>
        </w:numPr>
        <w:spacing w:before="120"/>
        <w:jc w:val="both"/>
      </w:pPr>
      <w:r>
        <w:t>nezahrnutí</w:t>
      </w:r>
      <w:r w:rsidR="00951EC8">
        <w:t xml:space="preserve"> všech poskytovatelů pod</w:t>
      </w:r>
      <w:r>
        <w:t xml:space="preserve"> působnost</w:t>
      </w:r>
      <w:r w:rsidR="00951EC8">
        <w:t xml:space="preserve"> </w:t>
      </w:r>
      <w:r w:rsidR="005851E0">
        <w:t xml:space="preserve">MVV, </w:t>
      </w:r>
    </w:p>
    <w:p w:rsidR="00951EC8" w:rsidRDefault="00951EC8" w:rsidP="00951EC8">
      <w:pPr>
        <w:pStyle w:val="Odstavecseseznamem"/>
        <w:numPr>
          <w:ilvl w:val="0"/>
          <w:numId w:val="10"/>
        </w:numPr>
        <w:spacing w:before="120"/>
        <w:jc w:val="both"/>
      </w:pPr>
      <w:r>
        <w:t>nevytvoření ústředního orgánu státní správy – Ministerstva pro výzkum, vývoj a vzdělávání, na nějž by byla přesunuta mimo jiné i odpovědnost za problematiku vysokoškolského vzdělávání</w:t>
      </w:r>
      <w:r w:rsidR="00F105B9">
        <w:t xml:space="preserve"> z</w:t>
      </w:r>
      <w:r w:rsidR="005851E0">
        <w:t xml:space="preserve"> MŠMT, </w:t>
      </w:r>
    </w:p>
    <w:p w:rsidR="00951EC8" w:rsidRPr="00025570" w:rsidRDefault="001A608C" w:rsidP="00951EC8">
      <w:pPr>
        <w:pStyle w:val="Odstavecseseznamem"/>
        <w:numPr>
          <w:ilvl w:val="0"/>
          <w:numId w:val="10"/>
        </w:numPr>
        <w:spacing w:before="120"/>
        <w:jc w:val="both"/>
      </w:pPr>
      <w:r>
        <w:t xml:space="preserve">uplatnění nevhodného legislativního řešení – dle </w:t>
      </w:r>
      <w:r w:rsidR="00B42049">
        <w:t>Rady vysokých škol vzhledem k rozsahu změn postačuje novela stávajícího zákona o podpoře výzkumu, experimentálního vývoje a inovací.</w:t>
      </w:r>
    </w:p>
    <w:sectPr w:rsidR="00951EC8" w:rsidRPr="00025570" w:rsidSect="00582DE9">
      <w:footerReference w:type="default" r:id="rId9"/>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1F0" w:rsidRDefault="00CE31F0">
      <w:r>
        <w:separator/>
      </w:r>
    </w:p>
  </w:endnote>
  <w:endnote w:type="continuationSeparator" w:id="0">
    <w:p w:rsidR="00CE31F0" w:rsidRDefault="00CE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E9" w:rsidRPr="00582DE9" w:rsidRDefault="00E60FF6" w:rsidP="00582DE9">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FB585C">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FB585C">
      <w:rPr>
        <w:rFonts w:ascii="Arial" w:hAnsi="Arial" w:cs="Arial"/>
        <w:noProof/>
        <w:sz w:val="22"/>
        <w:szCs w:val="22"/>
      </w:rPr>
      <w:t>4</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1F0" w:rsidRDefault="00CE31F0">
      <w:r>
        <w:separator/>
      </w:r>
    </w:p>
  </w:footnote>
  <w:footnote w:type="continuationSeparator" w:id="0">
    <w:p w:rsidR="00CE31F0" w:rsidRDefault="00CE31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7A7"/>
    <w:multiLevelType w:val="hybridMultilevel"/>
    <w:tmpl w:val="27E025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7B1E70"/>
    <w:multiLevelType w:val="hybridMultilevel"/>
    <w:tmpl w:val="D242B1E6"/>
    <w:lvl w:ilvl="0" w:tplc="CD4C5C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9AC75A5"/>
    <w:multiLevelType w:val="hybridMultilevel"/>
    <w:tmpl w:val="6458F64E"/>
    <w:lvl w:ilvl="0" w:tplc="EADA2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01043D"/>
    <w:multiLevelType w:val="hybridMultilevel"/>
    <w:tmpl w:val="6ACEF9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5577C8D"/>
    <w:multiLevelType w:val="hybridMultilevel"/>
    <w:tmpl w:val="EC784E46"/>
    <w:lvl w:ilvl="0" w:tplc="A816BE6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5F70E24"/>
    <w:multiLevelType w:val="hybridMultilevel"/>
    <w:tmpl w:val="18944B60"/>
    <w:lvl w:ilvl="0" w:tplc="0AF83E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D26ABD"/>
    <w:multiLevelType w:val="hybridMultilevel"/>
    <w:tmpl w:val="CED202E4"/>
    <w:lvl w:ilvl="0" w:tplc="7A521F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0135D45"/>
    <w:multiLevelType w:val="hybridMultilevel"/>
    <w:tmpl w:val="E5B25B06"/>
    <w:lvl w:ilvl="0" w:tplc="E06C34C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24938F0"/>
    <w:multiLevelType w:val="hybridMultilevel"/>
    <w:tmpl w:val="CAD4B460"/>
    <w:lvl w:ilvl="0" w:tplc="FC561A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BF1711A"/>
    <w:multiLevelType w:val="hybridMultilevel"/>
    <w:tmpl w:val="A914ED8E"/>
    <w:lvl w:ilvl="0" w:tplc="3C4ED7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F0162AE"/>
    <w:multiLevelType w:val="hybridMultilevel"/>
    <w:tmpl w:val="FB5E0C50"/>
    <w:lvl w:ilvl="0" w:tplc="B8EA639A">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AD87C6E"/>
    <w:multiLevelType w:val="hybridMultilevel"/>
    <w:tmpl w:val="37D425A4"/>
    <w:lvl w:ilvl="0" w:tplc="AC2E13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EF719EE"/>
    <w:multiLevelType w:val="hybridMultilevel"/>
    <w:tmpl w:val="F00A3D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0"/>
  </w:num>
  <w:num w:numId="3">
    <w:abstractNumId w:val="5"/>
  </w:num>
  <w:num w:numId="4">
    <w:abstractNumId w:val="7"/>
  </w:num>
  <w:num w:numId="5">
    <w:abstractNumId w:val="9"/>
  </w:num>
  <w:num w:numId="6">
    <w:abstractNumId w:val="2"/>
  </w:num>
  <w:num w:numId="7">
    <w:abstractNumId w:val="6"/>
  </w:num>
  <w:num w:numId="8">
    <w:abstractNumId w:val="11"/>
  </w:num>
  <w:num w:numId="9">
    <w:abstractNumId w:val="4"/>
  </w:num>
  <w:num w:numId="10">
    <w:abstractNumId w:val="10"/>
  </w:num>
  <w:num w:numId="11">
    <w:abstractNumId w:val="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126"/>
    <w:rsid w:val="00025570"/>
    <w:rsid w:val="00040660"/>
    <w:rsid w:val="00057211"/>
    <w:rsid w:val="000A2BD2"/>
    <w:rsid w:val="000B55D1"/>
    <w:rsid w:val="001A47A2"/>
    <w:rsid w:val="001A608C"/>
    <w:rsid w:val="001B2006"/>
    <w:rsid w:val="00205FEE"/>
    <w:rsid w:val="00231BD2"/>
    <w:rsid w:val="002326DA"/>
    <w:rsid w:val="00273271"/>
    <w:rsid w:val="0028511D"/>
    <w:rsid w:val="002C6F99"/>
    <w:rsid w:val="00310E7D"/>
    <w:rsid w:val="003145A3"/>
    <w:rsid w:val="003363C0"/>
    <w:rsid w:val="00336CA1"/>
    <w:rsid w:val="003456CE"/>
    <w:rsid w:val="00351C4D"/>
    <w:rsid w:val="00370F0C"/>
    <w:rsid w:val="003B0EB4"/>
    <w:rsid w:val="003B5875"/>
    <w:rsid w:val="003E4861"/>
    <w:rsid w:val="003F59BF"/>
    <w:rsid w:val="00403BD3"/>
    <w:rsid w:val="00416126"/>
    <w:rsid w:val="004161BC"/>
    <w:rsid w:val="00433498"/>
    <w:rsid w:val="004535EA"/>
    <w:rsid w:val="00455BF7"/>
    <w:rsid w:val="00466795"/>
    <w:rsid w:val="004B64A3"/>
    <w:rsid w:val="004B6774"/>
    <w:rsid w:val="004E0B76"/>
    <w:rsid w:val="004F5F1C"/>
    <w:rsid w:val="00500765"/>
    <w:rsid w:val="00501F87"/>
    <w:rsid w:val="00503B89"/>
    <w:rsid w:val="0057541B"/>
    <w:rsid w:val="0058078A"/>
    <w:rsid w:val="0058362D"/>
    <w:rsid w:val="005839F7"/>
    <w:rsid w:val="005851E0"/>
    <w:rsid w:val="00592CD0"/>
    <w:rsid w:val="005A362D"/>
    <w:rsid w:val="005B60CF"/>
    <w:rsid w:val="005D2EC8"/>
    <w:rsid w:val="0063458C"/>
    <w:rsid w:val="00640465"/>
    <w:rsid w:val="00651289"/>
    <w:rsid w:val="00661B83"/>
    <w:rsid w:val="00664E01"/>
    <w:rsid w:val="00674B7C"/>
    <w:rsid w:val="006C7415"/>
    <w:rsid w:val="00737653"/>
    <w:rsid w:val="0079143E"/>
    <w:rsid w:val="007B08A4"/>
    <w:rsid w:val="007B3647"/>
    <w:rsid w:val="007C199F"/>
    <w:rsid w:val="007D7713"/>
    <w:rsid w:val="007E0956"/>
    <w:rsid w:val="00826E8E"/>
    <w:rsid w:val="00843ABE"/>
    <w:rsid w:val="00846CCB"/>
    <w:rsid w:val="0087637C"/>
    <w:rsid w:val="00893900"/>
    <w:rsid w:val="008D210F"/>
    <w:rsid w:val="008E4DC8"/>
    <w:rsid w:val="00912A53"/>
    <w:rsid w:val="00934B40"/>
    <w:rsid w:val="00941D62"/>
    <w:rsid w:val="00951EC8"/>
    <w:rsid w:val="00955058"/>
    <w:rsid w:val="009652ED"/>
    <w:rsid w:val="00977383"/>
    <w:rsid w:val="00980954"/>
    <w:rsid w:val="00996488"/>
    <w:rsid w:val="009C6435"/>
    <w:rsid w:val="009C6F43"/>
    <w:rsid w:val="009D1DC6"/>
    <w:rsid w:val="009E50E1"/>
    <w:rsid w:val="00A0286C"/>
    <w:rsid w:val="00A26942"/>
    <w:rsid w:val="00A757BE"/>
    <w:rsid w:val="00A926ED"/>
    <w:rsid w:val="00AC1A2E"/>
    <w:rsid w:val="00AD79F3"/>
    <w:rsid w:val="00AF4427"/>
    <w:rsid w:val="00B126A5"/>
    <w:rsid w:val="00B42049"/>
    <w:rsid w:val="00B47F6F"/>
    <w:rsid w:val="00B57C2D"/>
    <w:rsid w:val="00B80128"/>
    <w:rsid w:val="00B856D0"/>
    <w:rsid w:val="00B921C1"/>
    <w:rsid w:val="00BB0428"/>
    <w:rsid w:val="00BF4B37"/>
    <w:rsid w:val="00BF6B20"/>
    <w:rsid w:val="00C02B7C"/>
    <w:rsid w:val="00C5472B"/>
    <w:rsid w:val="00C856C6"/>
    <w:rsid w:val="00CB457C"/>
    <w:rsid w:val="00CE31F0"/>
    <w:rsid w:val="00CF076B"/>
    <w:rsid w:val="00D351C1"/>
    <w:rsid w:val="00D36931"/>
    <w:rsid w:val="00DD7C57"/>
    <w:rsid w:val="00E04534"/>
    <w:rsid w:val="00E32DDD"/>
    <w:rsid w:val="00E60FF6"/>
    <w:rsid w:val="00EB1459"/>
    <w:rsid w:val="00ED036E"/>
    <w:rsid w:val="00ED5513"/>
    <w:rsid w:val="00EF6D22"/>
    <w:rsid w:val="00F105B9"/>
    <w:rsid w:val="00F15F23"/>
    <w:rsid w:val="00F32452"/>
    <w:rsid w:val="00F72914"/>
    <w:rsid w:val="00F87122"/>
    <w:rsid w:val="00F87E01"/>
    <w:rsid w:val="00F902FD"/>
    <w:rsid w:val="00F91C3A"/>
    <w:rsid w:val="00FB585C"/>
    <w:rsid w:val="00FC38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612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41612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416126"/>
    <w:rPr>
      <w:rFonts w:ascii="Cambria" w:eastAsia="Times New Roman" w:hAnsi="Cambria" w:cs="Times New Roman"/>
      <w:sz w:val="24"/>
      <w:szCs w:val="24"/>
      <w:lang w:eastAsia="cs-CZ"/>
    </w:rPr>
  </w:style>
  <w:style w:type="paragraph" w:styleId="Odstavecseseznamem">
    <w:name w:val="List Paragraph"/>
    <w:basedOn w:val="Normln"/>
    <w:link w:val="OdstavecseseznamemChar"/>
    <w:uiPriority w:val="34"/>
    <w:qFormat/>
    <w:rsid w:val="00416126"/>
    <w:pPr>
      <w:ind w:left="720"/>
      <w:contextualSpacing/>
    </w:pPr>
  </w:style>
  <w:style w:type="character" w:customStyle="1" w:styleId="OdstavecseseznamemChar">
    <w:name w:val="Odstavec se seznamem Char"/>
    <w:link w:val="Odstavecseseznamem"/>
    <w:uiPriority w:val="34"/>
    <w:locked/>
    <w:rsid w:val="0041612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7A2"/>
    <w:rPr>
      <w:rFonts w:ascii="Tahoma" w:hAnsi="Tahoma" w:cs="Tahoma"/>
      <w:sz w:val="16"/>
      <w:szCs w:val="16"/>
    </w:rPr>
  </w:style>
  <w:style w:type="character" w:customStyle="1" w:styleId="TextbublinyChar">
    <w:name w:val="Text bubliny Char"/>
    <w:basedOn w:val="Standardnpsmoodstavce"/>
    <w:link w:val="Textbubliny"/>
    <w:uiPriority w:val="99"/>
    <w:semiHidden/>
    <w:rsid w:val="001A47A2"/>
    <w:rPr>
      <w:rFonts w:ascii="Tahoma" w:eastAsia="Times New Roman" w:hAnsi="Tahoma" w:cs="Tahoma"/>
      <w:sz w:val="16"/>
      <w:szCs w:val="16"/>
      <w:lang w:eastAsia="cs-CZ"/>
    </w:rPr>
  </w:style>
  <w:style w:type="paragraph" w:styleId="Zkladntext">
    <w:name w:val="Body Text"/>
    <w:basedOn w:val="Normln"/>
    <w:link w:val="ZkladntextChar"/>
    <w:semiHidden/>
    <w:unhideWhenUsed/>
    <w:rsid w:val="003B0EB4"/>
    <w:pPr>
      <w:jc w:val="both"/>
    </w:pPr>
    <w:rPr>
      <w:rFonts w:ascii="Arial" w:hAnsi="Arial" w:cs="Arial"/>
    </w:rPr>
  </w:style>
  <w:style w:type="character" w:customStyle="1" w:styleId="ZkladntextChar">
    <w:name w:val="Základní text Char"/>
    <w:basedOn w:val="Standardnpsmoodstavce"/>
    <w:link w:val="Zkladntext"/>
    <w:semiHidden/>
    <w:rsid w:val="003B0EB4"/>
    <w:rPr>
      <w:rFonts w:ascii="Arial" w:eastAsia="Times New Roman" w:hAnsi="Arial" w:cs="Arial"/>
      <w:sz w:val="24"/>
      <w:szCs w:val="24"/>
      <w:lang w:eastAsia="cs-CZ"/>
    </w:rPr>
  </w:style>
  <w:style w:type="paragraph" w:customStyle="1" w:styleId="Default">
    <w:name w:val="Default"/>
    <w:rsid w:val="007C199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612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41612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416126"/>
    <w:rPr>
      <w:rFonts w:ascii="Cambria" w:eastAsia="Times New Roman" w:hAnsi="Cambria" w:cs="Times New Roman"/>
      <w:sz w:val="24"/>
      <w:szCs w:val="24"/>
      <w:lang w:eastAsia="cs-CZ"/>
    </w:rPr>
  </w:style>
  <w:style w:type="paragraph" w:styleId="Odstavecseseznamem">
    <w:name w:val="List Paragraph"/>
    <w:basedOn w:val="Normln"/>
    <w:link w:val="OdstavecseseznamemChar"/>
    <w:uiPriority w:val="34"/>
    <w:qFormat/>
    <w:rsid w:val="00416126"/>
    <w:pPr>
      <w:ind w:left="720"/>
      <w:contextualSpacing/>
    </w:pPr>
  </w:style>
  <w:style w:type="character" w:customStyle="1" w:styleId="OdstavecseseznamemChar">
    <w:name w:val="Odstavec se seznamem Char"/>
    <w:link w:val="Odstavecseseznamem"/>
    <w:uiPriority w:val="34"/>
    <w:locked/>
    <w:rsid w:val="0041612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7A2"/>
    <w:rPr>
      <w:rFonts w:ascii="Tahoma" w:hAnsi="Tahoma" w:cs="Tahoma"/>
      <w:sz w:val="16"/>
      <w:szCs w:val="16"/>
    </w:rPr>
  </w:style>
  <w:style w:type="character" w:customStyle="1" w:styleId="TextbublinyChar">
    <w:name w:val="Text bubliny Char"/>
    <w:basedOn w:val="Standardnpsmoodstavce"/>
    <w:link w:val="Textbubliny"/>
    <w:uiPriority w:val="99"/>
    <w:semiHidden/>
    <w:rsid w:val="001A47A2"/>
    <w:rPr>
      <w:rFonts w:ascii="Tahoma" w:eastAsia="Times New Roman" w:hAnsi="Tahoma" w:cs="Tahoma"/>
      <w:sz w:val="16"/>
      <w:szCs w:val="16"/>
      <w:lang w:eastAsia="cs-CZ"/>
    </w:rPr>
  </w:style>
  <w:style w:type="paragraph" w:styleId="Zkladntext">
    <w:name w:val="Body Text"/>
    <w:basedOn w:val="Normln"/>
    <w:link w:val="ZkladntextChar"/>
    <w:semiHidden/>
    <w:unhideWhenUsed/>
    <w:rsid w:val="003B0EB4"/>
    <w:pPr>
      <w:jc w:val="both"/>
    </w:pPr>
    <w:rPr>
      <w:rFonts w:ascii="Arial" w:hAnsi="Arial" w:cs="Arial"/>
    </w:rPr>
  </w:style>
  <w:style w:type="character" w:customStyle="1" w:styleId="ZkladntextChar">
    <w:name w:val="Základní text Char"/>
    <w:basedOn w:val="Standardnpsmoodstavce"/>
    <w:link w:val="Zkladntext"/>
    <w:semiHidden/>
    <w:rsid w:val="003B0EB4"/>
    <w:rPr>
      <w:rFonts w:ascii="Arial" w:eastAsia="Times New Roman" w:hAnsi="Arial" w:cs="Arial"/>
      <w:sz w:val="24"/>
      <w:szCs w:val="24"/>
      <w:lang w:eastAsia="cs-CZ"/>
    </w:rPr>
  </w:style>
  <w:style w:type="paragraph" w:customStyle="1" w:styleId="Default">
    <w:name w:val="Default"/>
    <w:rsid w:val="007C199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008C0-F916-41E6-87B0-C8EE0B80B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1478</Words>
  <Characters>8721</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Tesařová Lenka</dc:creator>
  <cp:lastModifiedBy>Šimůnek Miroslav</cp:lastModifiedBy>
  <cp:revision>8</cp:revision>
  <cp:lastPrinted>2016-04-06T08:38:00Z</cp:lastPrinted>
  <dcterms:created xsi:type="dcterms:W3CDTF">2016-04-05T16:29:00Z</dcterms:created>
  <dcterms:modified xsi:type="dcterms:W3CDTF">2016-04-06T11:52:00Z</dcterms:modified>
</cp:coreProperties>
</file>