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92644C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F11D5C">
        <w:rPr>
          <w:rFonts w:ascii="Arial" w:hAnsi="Arial" w:cs="Arial"/>
          <w:b/>
          <w:color w:val="0070C0"/>
          <w:sz w:val="28"/>
          <w:szCs w:val="28"/>
        </w:rPr>
        <w:t xml:space="preserve">září </w:t>
      </w:r>
      <w:r w:rsidRPr="00E56D35">
        <w:rPr>
          <w:rFonts w:ascii="Arial" w:hAnsi="Arial" w:cs="Arial"/>
          <w:b/>
          <w:color w:val="0070C0"/>
          <w:sz w:val="28"/>
          <w:szCs w:val="28"/>
        </w:rPr>
        <w:t>2016)</w:t>
      </w:r>
    </w:p>
    <w:p w:rsidR="00077E76" w:rsidRDefault="00077E76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</w:p>
    <w:p w:rsidR="00077E76" w:rsidRDefault="00077E76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Výzva k podávání návrhů grantových projektů: Podpora mezinárodní spolupráce pro získávání ERC grantů</w:t>
      </w:r>
    </w:p>
    <w:p w:rsidR="00077E76" w:rsidRDefault="00077E76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</w:p>
    <w:p w:rsidR="00077E76" w:rsidRDefault="00077E76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Cs/>
          <w:iCs/>
          <w:sz w:val="22"/>
          <w:szCs w:val="22"/>
        </w:rPr>
      </w:pPr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>Grantová agentura České republiky vyhlásila výzvu k podávání návrhů grantových projektů v</w:t>
      </w:r>
      <w:r w:rsidR="00E5364D">
        <w:rPr>
          <w:rFonts w:asciiTheme="minorBidi" w:eastAsia="Calibri" w:hAnsiTheme="minorBidi" w:cstheme="minorBidi"/>
          <w:bCs/>
          <w:iCs/>
          <w:sz w:val="22"/>
          <w:szCs w:val="22"/>
        </w:rPr>
        <w:t> </w:t>
      </w:r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>rámci skupiny grantových projektů</w:t>
      </w:r>
      <w:r w:rsidRPr="00077E76">
        <w:rPr>
          <w:rFonts w:asciiTheme="minorBidi" w:eastAsia="Calibri" w:hAnsiTheme="minorBidi" w:cstheme="minorBidi"/>
          <w:b/>
          <w:iCs/>
          <w:sz w:val="22"/>
          <w:szCs w:val="22"/>
        </w:rPr>
        <w:t>: podpora mezinárodní spolupráce pro získání ERC grantů v základním výzkumu.</w:t>
      </w:r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 xml:space="preserve"> </w:t>
      </w:r>
      <w:r w:rsidRPr="00077E76">
        <w:rPr>
          <w:rFonts w:asciiTheme="minorBidi" w:eastAsia="Calibri" w:hAnsiTheme="minorBidi" w:cstheme="minorBidi"/>
          <w:b/>
          <w:iCs/>
          <w:sz w:val="22"/>
          <w:szCs w:val="22"/>
        </w:rPr>
        <w:t>Program „Podpora ERC žadatelů“</w:t>
      </w:r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 xml:space="preserve"> vznikl v souvislosti s</w:t>
      </w:r>
      <w:r w:rsidR="00E5364D">
        <w:rPr>
          <w:rFonts w:asciiTheme="minorBidi" w:eastAsia="Calibri" w:hAnsiTheme="minorBidi" w:cstheme="minorBidi"/>
          <w:bCs/>
          <w:iCs/>
          <w:sz w:val="22"/>
          <w:szCs w:val="22"/>
        </w:rPr>
        <w:t> </w:t>
      </w:r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>iniciativou Evropské rady pro výzkum (</w:t>
      </w:r>
      <w:proofErr w:type="spellStart"/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>European</w:t>
      </w:r>
      <w:proofErr w:type="spellEnd"/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 xml:space="preserve"> </w:t>
      </w:r>
      <w:proofErr w:type="spellStart"/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>Research</w:t>
      </w:r>
      <w:proofErr w:type="spellEnd"/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 xml:space="preserve"> </w:t>
      </w:r>
      <w:proofErr w:type="spellStart"/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>Council</w:t>
      </w:r>
      <w:proofErr w:type="spellEnd"/>
      <w:r w:rsidRPr="00077E76">
        <w:rPr>
          <w:rFonts w:asciiTheme="minorBidi" w:eastAsia="Calibri" w:hAnsiTheme="minorBidi" w:cstheme="minorBidi"/>
          <w:bCs/>
          <w:iCs/>
          <w:sz w:val="22"/>
          <w:szCs w:val="22"/>
        </w:rPr>
        <w:t>, ERC), která vyzvala národní poskytovatele financí k založení programů, které by umožnili potenciálním žadatelům navštívit zahraniční výzkumné týmy realizující projekty financované ERC. Výzva se vztahuje na projekty, které budou řešeny na zahraniční instituci po dobu 3-6 měsíců. Výzva je průběžná, podpora bude poskytována od vyhlášení výzvy do roku 2022</w:t>
      </w:r>
      <w:r>
        <w:rPr>
          <w:rFonts w:asciiTheme="minorBidi" w:eastAsia="Calibri" w:hAnsiTheme="minorBidi" w:cstheme="minorBidi"/>
          <w:bCs/>
          <w:iCs/>
          <w:sz w:val="22"/>
          <w:szCs w:val="22"/>
        </w:rPr>
        <w:t xml:space="preserve">. Více informací naleznete na stránkách Grantové agentury ČR. </w:t>
      </w:r>
    </w:p>
    <w:p w:rsidR="00077E76" w:rsidRPr="00077E76" w:rsidRDefault="00077E76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Cs/>
          <w:iCs/>
          <w:sz w:val="22"/>
          <w:szCs w:val="22"/>
        </w:rPr>
      </w:pPr>
    </w:p>
    <w:p w:rsidR="00077E76" w:rsidRPr="00077E76" w:rsidRDefault="00077E76" w:rsidP="00077E76">
      <w:pPr>
        <w:shd w:val="clear" w:color="auto" w:fill="FFFFFF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Výzva</w:t>
      </w:r>
      <w:r>
        <w:rPr>
          <w:rFonts w:asciiTheme="minorBidi" w:eastAsia="Calibri" w:hAnsiTheme="minorBidi" w:cstheme="minorBidi"/>
          <w:b/>
          <w:iCs/>
          <w:color w:val="0070C0"/>
          <w:szCs w:val="22"/>
        </w:rPr>
        <w:t>:</w:t>
      </w: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 xml:space="preserve"> Česko-bavorská výzkumná konsorcia 2017</w:t>
      </w:r>
    </w:p>
    <w:p w:rsidR="00077E76" w:rsidRPr="00077E76" w:rsidRDefault="00077E76" w:rsidP="00077E76">
      <w:pPr>
        <w:shd w:val="clear" w:color="auto" w:fill="FFFFFF"/>
        <w:spacing w:after="120"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hAnsiTheme="minorBidi" w:cstheme="minorBidi"/>
          <w:sz w:val="22"/>
          <w:szCs w:val="22"/>
        </w:rPr>
        <w:t>(zdroj: web CZELO)</w:t>
      </w:r>
    </w:p>
    <w:p w:rsidR="00077E76" w:rsidRPr="003A74E8" w:rsidRDefault="003A74E8" w:rsidP="003A74E8">
      <w:pPr>
        <w:shd w:val="clear" w:color="auto" w:fill="FFFFFF"/>
        <w:spacing w:line="276" w:lineRule="auto"/>
        <w:jc w:val="both"/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</w:pPr>
      <w:r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P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rogram </w:t>
      </w:r>
      <w:r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Česko-bavorská výzkumná konsorcia 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je ur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č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en na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podporu spolupr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á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ce 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v</w:t>
      </w:r>
      <w:r w:rsidR="00E5364D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 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oblasti v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zkumu mezi 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Č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eskou republikou a Bavorskem 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v r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á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mci tematick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ch v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zkumn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ch konsorci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, je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ž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sdru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ž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uj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v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ce partnersk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ch</w:t>
      </w:r>
      <w:r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za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ří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zen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v ka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ž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d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é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z obou zem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.</w:t>
      </w:r>
      <w:r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Na obdob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2017 a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ž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2020 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je ro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č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n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ě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 k dispozici celkem cca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500.000 eur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, je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ž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 maj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 b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t rozd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ě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leny p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ř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edb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ěž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n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ě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 mezi cca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t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ř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i v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zkumn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á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konsorcia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. Doba trv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á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n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í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 podpory jednoho v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ý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zkumn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é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ho konsorcia se m</w:t>
      </w:r>
      <w:r w:rsidRPr="003A74E8">
        <w:rPr>
          <w:rFonts w:asciiTheme="minorBidi" w:eastAsiaTheme="minorHAnsi" w:hAnsiTheme="minorBidi" w:cstheme="minorBidi" w:hint="eastAsia"/>
          <w:bCs/>
          <w:color w:val="000000"/>
          <w:sz w:val="22"/>
          <w:szCs w:val="22"/>
          <w:lang w:eastAsia="en-US"/>
        </w:rPr>
        <w:t>ůž</w:t>
      </w:r>
      <w:r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>e pohybovat mezi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1 a</w:t>
      </w:r>
      <w:r w:rsidRPr="003A74E8">
        <w:rPr>
          <w:rFonts w:asciiTheme="minorBidi" w:eastAsiaTheme="minorHAnsi" w:hAnsiTheme="minorBidi" w:cstheme="minorBidi" w:hint="eastAsia"/>
          <w:b/>
          <w:color w:val="000000"/>
          <w:sz w:val="22"/>
          <w:szCs w:val="22"/>
          <w:lang w:eastAsia="en-US"/>
        </w:rPr>
        <w:t>ž</w:t>
      </w:r>
      <w:r w:rsidRPr="003A74E8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4 roky. </w:t>
      </w:r>
      <w:r w:rsidR="00077E76"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Aktuální výzvy </w:t>
      </w:r>
      <w:proofErr w:type="spellStart"/>
      <w:r w:rsidR="00077E76"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Bayhost</w:t>
      </w:r>
      <w:proofErr w:type="spellEnd"/>
      <w:r w:rsidR="00077E76"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a Bavorsko-české vysokoškolské agentury </w:t>
      </w:r>
      <w:r w:rsidR="00077E76"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v rámci programu Česko-bavorská výzkumná konsorcia jsou určeny na podporu spolupráce </w:t>
      </w:r>
      <w:r w:rsidR="00077E76" w:rsidRPr="003A74E8">
        <w:rPr>
          <w:rFonts w:asciiTheme="minorBidi" w:eastAsiaTheme="minorHAnsi" w:hAnsiTheme="minorBidi" w:cstheme="minorBidi"/>
          <w:bCs/>
          <w:color w:val="000000"/>
          <w:sz w:val="22"/>
          <w:szCs w:val="22"/>
          <w:lang w:eastAsia="en-US"/>
        </w:rPr>
        <w:t xml:space="preserve">v následujících </w:t>
      </w:r>
      <w:r w:rsidR="00077E76"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třech tematických oblastech: česko-bavorské vztahy, chemie a vědy o materiálech a digitalizace</w:t>
      </w:r>
      <w:r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. </w:t>
      </w:r>
      <w:r w:rsidRPr="003A74E8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Uzávěrka pro první stupeň podání žádostí je 14. října 2016.</w:t>
      </w:r>
      <w:r w:rsidR="005C4ABC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Více na stránkách Ministerstva školství, mládeže a tělovýchovy ČR.</w:t>
      </w:r>
    </w:p>
    <w:p w:rsidR="00676E0F" w:rsidRPr="00077E76" w:rsidRDefault="00676E0F" w:rsidP="00077E76">
      <w:pPr>
        <w:autoSpaceDE w:val="0"/>
        <w:autoSpaceDN w:val="0"/>
        <w:adjustRightInd w:val="0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</w:p>
    <w:p w:rsidR="00940B21" w:rsidRPr="00077E76" w:rsidRDefault="00E1588E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Tendr: Chytré továrny v nových členských státech</w:t>
      </w:r>
    </w:p>
    <w:p w:rsidR="00940B21" w:rsidRPr="00077E76" w:rsidRDefault="00940B21" w:rsidP="00077E76">
      <w:pPr>
        <w:shd w:val="clear" w:color="auto" w:fill="FFFFFF"/>
        <w:spacing w:after="120"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hAnsiTheme="minorBidi" w:cstheme="minorBidi"/>
          <w:sz w:val="22"/>
          <w:szCs w:val="22"/>
        </w:rPr>
        <w:t>(zdroj: web CZELO)</w:t>
      </w:r>
    </w:p>
    <w:p w:rsidR="00940B21" w:rsidRPr="00077E76" w:rsidRDefault="00E1588E" w:rsidP="00077E76">
      <w:pPr>
        <w:shd w:val="clear" w:color="auto" w:fill="FFFFFF"/>
        <w:spacing w:after="150"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Evropská komise spustila strategii na podporu digitální transformace evropského průmyslového sektoru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. Cílem je, aby průmyslový sektor přijal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koncept chytrých továren a</w:t>
      </w:r>
      <w:r w:rsidR="002A4670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s ním spojené digitální technologie jako jsou </w:t>
      </w:r>
      <w:proofErr w:type="spellStart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kyber</w:t>
      </w:r>
      <w:proofErr w:type="spellEnd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-fyzické systémy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(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Cyber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-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Physical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-Systems, CPS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),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internet věcí 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(</w:t>
      </w:r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Internet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of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Things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,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IoT</w:t>
      </w:r>
      <w:proofErr w:type="spellEnd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),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průmyslovou robotiku, 3D tisk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a</w:t>
      </w:r>
      <w:r w:rsidR="002A4670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další. Digitální technologie jsou používány v </w:t>
      </w:r>
      <w:proofErr w:type="spellStart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hi-tech</w:t>
      </w:r>
      <w:proofErr w:type="spellEnd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průmyslu, ale ostatní průmyslová odvětví a zejména MSP </w:t>
      </w:r>
      <w:r w:rsidR="00883E2E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v tomto směru 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zaostávají. Evropská komise chce zajistit, aby všechna průmyslová odvětví využívala výhod digitálních inovací, a za tímto účelem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investuje 500 milionů eur do Digitálních inovačních center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(</w:t>
      </w:r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Digital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Innovation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hubs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,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DIHs</w:t>
      </w:r>
      <w:proofErr w:type="spellEnd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). Jádrem každého DIH je odpovědné centrum (</w:t>
      </w:r>
      <w:proofErr w:type="spellStart"/>
      <w:r w:rsidR="00676E0F"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C</w:t>
      </w:r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ompetence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centre, CC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), které je</w:t>
      </w:r>
      <w:r w:rsidR="002A4670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bookmarkStart w:id="0" w:name="_GoBack"/>
      <w:bookmarkEnd w:id="0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součástí technické univerzity nebo výzkumného centra, a které poskytne MSP přístup k</w:t>
      </w:r>
      <w:r w:rsidR="00E5364D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vybavení, které jim umožní vyzkoušet si a otestovat digitální inovace a taktéž jim poskytne poradenství ohledně možností financování a školení pracovníků. </w:t>
      </w:r>
    </w:p>
    <w:p w:rsidR="00940B21" w:rsidRPr="00077E76" w:rsidRDefault="00E1588E" w:rsidP="00077E76">
      <w:pPr>
        <w:shd w:val="clear" w:color="auto" w:fill="FFFFFF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Cílem vyhlášeného tendru je získat jasná politická doporučení jak založit DIH v nových členských státech (EU13)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. Úkolem smluvního partnera tak bude realizovat řadu aktivit 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lastRenderedPageBreak/>
        <w:t xml:space="preserve">cílených na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založení alespoň 30 regionálních DIH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v evropských regionech alespoň 8</w:t>
      </w:r>
      <w:r w:rsidR="00E5364D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nových členských států a připravit politická doporučení ke zvýšení konkurenceschopnosti ve vybraných regionech. </w:t>
      </w:r>
    </w:p>
    <w:p w:rsidR="00676E0F" w:rsidRPr="00077E76" w:rsidRDefault="00676E0F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</w:p>
    <w:p w:rsidR="003F46A7" w:rsidRPr="00077E76" w:rsidRDefault="003F46A7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Noví členové Vědecké rady Evropské rady pro výzkum (ERC)</w:t>
      </w:r>
    </w:p>
    <w:p w:rsidR="00676E0F" w:rsidRPr="00077E76" w:rsidRDefault="00676E0F" w:rsidP="00077E76">
      <w:pPr>
        <w:shd w:val="clear" w:color="auto" w:fill="FFFFFF"/>
        <w:spacing w:after="120"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hAnsiTheme="minorBidi" w:cstheme="minorBidi"/>
          <w:sz w:val="22"/>
          <w:szCs w:val="22"/>
        </w:rPr>
        <w:t>(zdroj: web CZELO)</w:t>
      </w:r>
    </w:p>
    <w:p w:rsidR="00940B21" w:rsidRPr="00077E76" w:rsidRDefault="003F46A7" w:rsidP="00077E76">
      <w:pPr>
        <w:shd w:val="clear" w:color="auto" w:fill="FFFFFF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Byli jmenováni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dva noví členové řídícího orgánu Evropské rady pro výzkum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(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European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Research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Council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, ERC</w:t>
      </w:r>
      <w:r w:rsidR="00883E2E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). 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Jsou jimi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Kurt </w:t>
      </w:r>
      <w:proofErr w:type="spellStart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Mehlhorn</w:t>
      </w:r>
      <w:proofErr w:type="spellEnd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a </w:t>
      </w:r>
      <w:proofErr w:type="spellStart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Nektarios</w:t>
      </w:r>
      <w:proofErr w:type="spellEnd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Tavernarakis</w:t>
      </w:r>
      <w:proofErr w:type="spellEnd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. Vědecká rada se skládá z 22 členů, kteří mají mandát na čtyři roky. </w:t>
      </w:r>
    </w:p>
    <w:p w:rsidR="00676E0F" w:rsidRPr="00077E76" w:rsidRDefault="00676E0F" w:rsidP="00077E76">
      <w:pPr>
        <w:shd w:val="clear" w:color="auto" w:fill="FFFFFF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</w:p>
    <w:p w:rsidR="00077E76" w:rsidRPr="00077E76" w:rsidRDefault="00077E76" w:rsidP="00077E76">
      <w:pPr>
        <w:shd w:val="clear" w:color="auto" w:fill="FFFFFF"/>
        <w:spacing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G20: Akční plán pro inovace 2016</w:t>
      </w:r>
    </w:p>
    <w:p w:rsidR="00077E76" w:rsidRPr="00077E76" w:rsidRDefault="00077E76" w:rsidP="00077E76">
      <w:pPr>
        <w:shd w:val="clear" w:color="auto" w:fill="FFFFFF"/>
        <w:spacing w:after="120" w:line="276" w:lineRule="auto"/>
        <w:rPr>
          <w:rFonts w:asciiTheme="minorBidi" w:hAnsiTheme="minorBidi" w:cstheme="minorBidi"/>
          <w:color w:val="333333"/>
          <w:sz w:val="21"/>
          <w:szCs w:val="21"/>
        </w:rPr>
      </w:pPr>
      <w:r w:rsidRPr="00077E76">
        <w:rPr>
          <w:rFonts w:asciiTheme="minorBidi" w:hAnsiTheme="minorBidi" w:cstheme="minorBidi"/>
          <w:sz w:val="22"/>
          <w:szCs w:val="22"/>
        </w:rPr>
        <w:t>(zdroj: web CZELO)</w:t>
      </w:r>
    </w:p>
    <w:p w:rsidR="00077E76" w:rsidRDefault="00077E76" w:rsidP="00077E76">
      <w:pPr>
        <w:autoSpaceDE w:val="0"/>
        <w:autoSpaceDN w:val="0"/>
        <w:adjustRightInd w:val="0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Na summitu leaderů nejvyspělejších světových ekonomik světa G20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v čínském </w:t>
      </w:r>
      <w:proofErr w:type="spellStart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Chang-čou</w:t>
      </w:r>
      <w:proofErr w:type="spellEnd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ve dnech 4. – 5. září 2016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byl přijat dokument „</w:t>
      </w:r>
      <w:hyperlink r:id="rId8" w:tgtFrame="_blank" w:history="1">
        <w:r w:rsidRPr="00077E76">
          <w:rPr>
            <w:rFonts w:asciiTheme="minorBidi" w:eastAsiaTheme="minorHAnsi" w:hAnsiTheme="minorBidi" w:cstheme="minorBidi"/>
            <w:b/>
            <w:i/>
            <w:iCs/>
            <w:color w:val="000000"/>
            <w:sz w:val="22"/>
            <w:szCs w:val="22"/>
            <w:lang w:eastAsia="en-US"/>
          </w:rPr>
          <w:t xml:space="preserve">G20 2016 </w:t>
        </w:r>
        <w:proofErr w:type="spellStart"/>
        <w:r w:rsidRPr="00077E76">
          <w:rPr>
            <w:rFonts w:asciiTheme="minorBidi" w:eastAsiaTheme="minorHAnsi" w:hAnsiTheme="minorBidi" w:cstheme="minorBidi"/>
            <w:b/>
            <w:i/>
            <w:iCs/>
            <w:color w:val="000000"/>
            <w:sz w:val="22"/>
            <w:szCs w:val="22"/>
            <w:lang w:eastAsia="en-US"/>
          </w:rPr>
          <w:t>Innovation</w:t>
        </w:r>
        <w:proofErr w:type="spellEnd"/>
        <w:r w:rsidRPr="00077E76">
          <w:rPr>
            <w:rFonts w:asciiTheme="minorBidi" w:eastAsiaTheme="minorHAnsi" w:hAnsiTheme="minorBidi" w:cstheme="minorBidi"/>
            <w:b/>
            <w:i/>
            <w:iCs/>
            <w:color w:val="000000"/>
            <w:sz w:val="22"/>
            <w:szCs w:val="22"/>
            <w:lang w:eastAsia="en-US"/>
          </w:rPr>
          <w:t xml:space="preserve"> </w:t>
        </w:r>
        <w:proofErr w:type="spellStart"/>
        <w:r w:rsidRPr="00077E76">
          <w:rPr>
            <w:rFonts w:asciiTheme="minorBidi" w:eastAsiaTheme="minorHAnsi" w:hAnsiTheme="minorBidi" w:cstheme="minorBidi"/>
            <w:b/>
            <w:i/>
            <w:iCs/>
            <w:color w:val="000000"/>
            <w:sz w:val="22"/>
            <w:szCs w:val="22"/>
            <w:lang w:eastAsia="en-US"/>
          </w:rPr>
          <w:t>Action</w:t>
        </w:r>
        <w:proofErr w:type="spellEnd"/>
        <w:r w:rsidRPr="00077E76">
          <w:rPr>
            <w:rFonts w:asciiTheme="minorBidi" w:eastAsiaTheme="minorHAnsi" w:hAnsiTheme="minorBidi" w:cstheme="minorBidi"/>
            <w:b/>
            <w:i/>
            <w:iCs/>
            <w:color w:val="000000"/>
            <w:sz w:val="22"/>
            <w:szCs w:val="22"/>
            <w:lang w:eastAsia="en-US"/>
          </w:rPr>
          <w:t xml:space="preserve"> </w:t>
        </w:r>
        <w:proofErr w:type="spellStart"/>
        <w:r w:rsidRPr="00077E76">
          <w:rPr>
            <w:rFonts w:asciiTheme="minorBidi" w:eastAsiaTheme="minorHAnsi" w:hAnsiTheme="minorBidi" w:cstheme="minorBidi"/>
            <w:b/>
            <w:i/>
            <w:iCs/>
            <w:color w:val="000000"/>
            <w:sz w:val="22"/>
            <w:szCs w:val="22"/>
            <w:lang w:eastAsia="en-US"/>
          </w:rPr>
          <w:t>Plan</w:t>
        </w:r>
        <w:proofErr w:type="spellEnd"/>
      </w:hyperlink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>“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, akční plán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na podporu inovací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, které jsou v současnosti klíčem hospodářského růstu. Akční plán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počítá zejména s koherentní výzkumnou politikou a se zvýšením výdajů na</w:t>
      </w:r>
      <w:r w:rsidR="00E5364D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podporu vědy, technologického výzkumu a vzdělávání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.</w:t>
      </w:r>
    </w:p>
    <w:p w:rsidR="00077E76" w:rsidRPr="00077E76" w:rsidRDefault="00077E76" w:rsidP="00077E76">
      <w:pPr>
        <w:autoSpaceDE w:val="0"/>
        <w:autoSpaceDN w:val="0"/>
        <w:adjustRightInd w:val="0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</w:p>
    <w:p w:rsidR="00EE53C4" w:rsidRPr="00077E76" w:rsidRDefault="00EE53C4" w:rsidP="00077E76">
      <w:pPr>
        <w:shd w:val="clear" w:color="auto" w:fill="FFFFFF"/>
        <w:spacing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Čeští vědci vyhráli soutěž '</w:t>
      </w:r>
      <w:proofErr w:type="spellStart"/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Computing</w:t>
      </w:r>
      <w:proofErr w:type="spellEnd"/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 xml:space="preserve"> in </w:t>
      </w:r>
      <w:proofErr w:type="spellStart"/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Cardiology</w:t>
      </w:r>
      <w:proofErr w:type="spellEnd"/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 xml:space="preserve"> </w:t>
      </w:r>
      <w:proofErr w:type="spellStart"/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Challenge</w:t>
      </w:r>
      <w:proofErr w:type="spellEnd"/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' zaměřenou na</w:t>
      </w:r>
      <w:r w:rsidR="002A4670">
        <w:rPr>
          <w:rFonts w:asciiTheme="minorBidi" w:eastAsia="Calibri" w:hAnsiTheme="minorBidi" w:cstheme="minorBidi"/>
          <w:b/>
          <w:iCs/>
          <w:color w:val="0070C0"/>
          <w:szCs w:val="22"/>
        </w:rPr>
        <w:t> </w:t>
      </w:r>
      <w:r w:rsidRPr="00077E76">
        <w:rPr>
          <w:rFonts w:asciiTheme="minorBidi" w:eastAsia="Calibri" w:hAnsiTheme="minorBidi" w:cstheme="minorBidi"/>
          <w:b/>
          <w:iCs/>
          <w:color w:val="0070C0"/>
          <w:szCs w:val="22"/>
        </w:rPr>
        <w:t>omezení falešných alarmů srdečních arytmií na jednotkách intenzivní péče</w:t>
      </w:r>
    </w:p>
    <w:p w:rsidR="00676E0F" w:rsidRPr="00077E76" w:rsidRDefault="00676E0F" w:rsidP="00077E76">
      <w:pPr>
        <w:shd w:val="clear" w:color="auto" w:fill="FFFFFF"/>
        <w:spacing w:after="120" w:line="276" w:lineRule="auto"/>
        <w:jc w:val="both"/>
        <w:rPr>
          <w:rFonts w:asciiTheme="minorBidi" w:eastAsia="Calibri" w:hAnsiTheme="minorBidi" w:cstheme="minorBidi"/>
          <w:b/>
          <w:iCs/>
          <w:color w:val="0070C0"/>
          <w:szCs w:val="22"/>
        </w:rPr>
      </w:pPr>
      <w:r w:rsidRPr="00077E76">
        <w:rPr>
          <w:rFonts w:asciiTheme="minorBidi" w:hAnsiTheme="minorBidi" w:cstheme="minorBidi"/>
          <w:sz w:val="22"/>
          <w:szCs w:val="22"/>
        </w:rPr>
        <w:t>(zdroj: web CZELO)</w:t>
      </w:r>
    </w:p>
    <w:p w:rsidR="00EE53C4" w:rsidRPr="00077E76" w:rsidRDefault="00EE53C4" w:rsidP="00077E76">
      <w:pPr>
        <w:shd w:val="clear" w:color="auto" w:fill="FFFFFF"/>
        <w:spacing w:after="150"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Mezinárodní soutěž </w:t>
      </w:r>
      <w:proofErr w:type="spellStart"/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>PhysioNet</w:t>
      </w:r>
      <w:proofErr w:type="spellEnd"/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>/</w:t>
      </w:r>
      <w:proofErr w:type="spellStart"/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>Computing</w:t>
      </w:r>
      <w:proofErr w:type="spellEnd"/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 xml:space="preserve"> in </w:t>
      </w:r>
      <w:proofErr w:type="spellStart"/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>Cardiology</w:t>
      </w:r>
      <w:proofErr w:type="spellEnd"/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b/>
          <w:i/>
          <w:color w:val="000000"/>
          <w:sz w:val="22"/>
          <w:szCs w:val="22"/>
          <w:lang w:eastAsia="en-US"/>
        </w:rPr>
        <w:t>Challenge</w:t>
      </w:r>
      <w:proofErr w:type="spellEnd"/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je již od roku 2000 každoročně organizována skupinou laboratoří z MIT (</w:t>
      </w:r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Massachusetts Institute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of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Technology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) a BIH (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Beth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Israel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Deaconess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>Medical</w:t>
      </w:r>
      <w:proofErr w:type="spellEnd"/>
      <w:r w:rsidRPr="00077E76">
        <w:rPr>
          <w:rFonts w:asciiTheme="minorBidi" w:eastAsiaTheme="minorHAnsi" w:hAnsiTheme="minorBidi" w:cstheme="minorBidi"/>
          <w:i/>
          <w:color w:val="000000"/>
          <w:sz w:val="22"/>
          <w:szCs w:val="22"/>
          <w:lang w:eastAsia="en-US"/>
        </w:rPr>
        <w:t xml:space="preserve"> Center, Boston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).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Letošní výzvou bylo vymyslet algoritmus, který co nejlépe rozliší opravdové alarmy od těch falešných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.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Cílem je</w:t>
      </w:r>
      <w:r w:rsidR="00E5364D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předejít negativním vlivům jako je rušení spánku pacientů a snižování pozornosti a</w:t>
      </w:r>
      <w:r w:rsidR="00E5364D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zpomalování reakcí zdravotnického personálu na jednotkách intenzivní péče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. </w:t>
      </w:r>
    </w:p>
    <w:p w:rsidR="007B1230" w:rsidRPr="00077E76" w:rsidRDefault="00EE53C4" w:rsidP="007B1230">
      <w:pPr>
        <w:shd w:val="clear" w:color="auto" w:fill="FFFFFF"/>
        <w:spacing w:after="150"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Každý z 38 zúčastněných týmů obdržel skóre na základě úspěšnosti svého algoritmu při</w:t>
      </w:r>
      <w:r w:rsidR="002A4670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rozpoznávání falešných alarmů. </w:t>
      </w:r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 xml:space="preserve">Tým českých vědců z Ústavu přístrojové techniky Akademie věd ČR (Filip </w:t>
      </w:r>
      <w:proofErr w:type="spellStart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Plešinger</w:t>
      </w:r>
      <w:proofErr w:type="spellEnd"/>
      <w:r w:rsidRPr="00077E76">
        <w:rPr>
          <w:rFonts w:asciiTheme="minorBidi" w:eastAsiaTheme="minorHAnsi" w:hAnsiTheme="minorBidi" w:cstheme="minorBidi"/>
          <w:b/>
          <w:color w:val="000000"/>
          <w:sz w:val="22"/>
          <w:szCs w:val="22"/>
          <w:lang w:eastAsia="en-US"/>
        </w:rPr>
        <w:t>, Petr Klimeš, Josef Halámek a Pavel Jurák) získal první a druhé místo ve dvou souběžných kategoriích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(analýza v reálném čase a</w:t>
      </w:r>
      <w:r w:rsidR="00E5364D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077E76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retrospektivní analýza).</w:t>
      </w:r>
    </w:p>
    <w:p w:rsidR="00EE53C4" w:rsidRPr="00077E76" w:rsidRDefault="00EE53C4" w:rsidP="00077E76">
      <w:pPr>
        <w:shd w:val="clear" w:color="auto" w:fill="FFFFFF"/>
        <w:spacing w:after="150"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</w:p>
    <w:sectPr w:rsidR="00EE53C4" w:rsidRPr="00077E76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82" w:rsidRDefault="00E74482">
      <w:r>
        <w:separator/>
      </w:r>
    </w:p>
  </w:endnote>
  <w:endnote w:type="continuationSeparator" w:id="0">
    <w:p w:rsidR="00E74482" w:rsidRDefault="00E7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91AEE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91AEE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91AEE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91AEE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82" w:rsidRDefault="00E74482">
      <w:r>
        <w:separator/>
      </w:r>
    </w:p>
  </w:footnote>
  <w:footnote w:type="continuationSeparator" w:id="0">
    <w:p w:rsidR="00E74482" w:rsidRDefault="00E7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CC2CE85" wp14:editId="287969B5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D910BB" wp14:editId="2663B6D1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96253D" w:rsidP="009C770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318</w:t>
          </w:r>
          <w:r w:rsidR="00110409"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201E"/>
    <w:multiLevelType w:val="multilevel"/>
    <w:tmpl w:val="A12E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444D"/>
    <w:rsid w:val="00047448"/>
    <w:rsid w:val="00061928"/>
    <w:rsid w:val="00075037"/>
    <w:rsid w:val="00077E76"/>
    <w:rsid w:val="00086B8A"/>
    <w:rsid w:val="000B17A0"/>
    <w:rsid w:val="00103339"/>
    <w:rsid w:val="00110409"/>
    <w:rsid w:val="00125B0A"/>
    <w:rsid w:val="00151CAE"/>
    <w:rsid w:val="00166264"/>
    <w:rsid w:val="00167E66"/>
    <w:rsid w:val="00172C2E"/>
    <w:rsid w:val="0020502B"/>
    <w:rsid w:val="002110C6"/>
    <w:rsid w:val="00214AF0"/>
    <w:rsid w:val="0027209D"/>
    <w:rsid w:val="002A4670"/>
    <w:rsid w:val="00304769"/>
    <w:rsid w:val="003A74E8"/>
    <w:rsid w:val="003C0E36"/>
    <w:rsid w:val="003F46A7"/>
    <w:rsid w:val="00414F21"/>
    <w:rsid w:val="00451786"/>
    <w:rsid w:val="004649AB"/>
    <w:rsid w:val="004C0965"/>
    <w:rsid w:val="0051360E"/>
    <w:rsid w:val="0052249D"/>
    <w:rsid w:val="00522FCE"/>
    <w:rsid w:val="00542489"/>
    <w:rsid w:val="005B444A"/>
    <w:rsid w:val="005C4ABC"/>
    <w:rsid w:val="005D1759"/>
    <w:rsid w:val="005D62BF"/>
    <w:rsid w:val="005E3BB6"/>
    <w:rsid w:val="00604DDE"/>
    <w:rsid w:val="006532AF"/>
    <w:rsid w:val="00660F71"/>
    <w:rsid w:val="006739C2"/>
    <w:rsid w:val="00676E0F"/>
    <w:rsid w:val="006E753B"/>
    <w:rsid w:val="00736308"/>
    <w:rsid w:val="007664DC"/>
    <w:rsid w:val="007929B4"/>
    <w:rsid w:val="007A17F9"/>
    <w:rsid w:val="007B1230"/>
    <w:rsid w:val="007B28E9"/>
    <w:rsid w:val="007D3CD7"/>
    <w:rsid w:val="007D513D"/>
    <w:rsid w:val="007F4CCB"/>
    <w:rsid w:val="00800B43"/>
    <w:rsid w:val="008710A2"/>
    <w:rsid w:val="008714CD"/>
    <w:rsid w:val="00883E2E"/>
    <w:rsid w:val="0088519E"/>
    <w:rsid w:val="00894733"/>
    <w:rsid w:val="008B4E5D"/>
    <w:rsid w:val="008B53D9"/>
    <w:rsid w:val="008E23B8"/>
    <w:rsid w:val="00916E39"/>
    <w:rsid w:val="0092644C"/>
    <w:rsid w:val="00940B21"/>
    <w:rsid w:val="00953317"/>
    <w:rsid w:val="0096253D"/>
    <w:rsid w:val="009C5F5B"/>
    <w:rsid w:val="009C770A"/>
    <w:rsid w:val="00A03BAD"/>
    <w:rsid w:val="00A31ABB"/>
    <w:rsid w:val="00A42BA0"/>
    <w:rsid w:val="00A56499"/>
    <w:rsid w:val="00A863BE"/>
    <w:rsid w:val="00A91AEE"/>
    <w:rsid w:val="00B00D34"/>
    <w:rsid w:val="00B24B48"/>
    <w:rsid w:val="00B47391"/>
    <w:rsid w:val="00B705E6"/>
    <w:rsid w:val="00B76D66"/>
    <w:rsid w:val="00BB1CAC"/>
    <w:rsid w:val="00BB27B1"/>
    <w:rsid w:val="00BE3825"/>
    <w:rsid w:val="00C04B87"/>
    <w:rsid w:val="00C543C8"/>
    <w:rsid w:val="00C56B46"/>
    <w:rsid w:val="00C70CA1"/>
    <w:rsid w:val="00CB5F3A"/>
    <w:rsid w:val="00CD3ED2"/>
    <w:rsid w:val="00CE433A"/>
    <w:rsid w:val="00CF386A"/>
    <w:rsid w:val="00D46D0A"/>
    <w:rsid w:val="00D54DB4"/>
    <w:rsid w:val="00D652F7"/>
    <w:rsid w:val="00D67F41"/>
    <w:rsid w:val="00D8368E"/>
    <w:rsid w:val="00DB610C"/>
    <w:rsid w:val="00DE78B7"/>
    <w:rsid w:val="00DF7525"/>
    <w:rsid w:val="00E1588E"/>
    <w:rsid w:val="00E43456"/>
    <w:rsid w:val="00E5364D"/>
    <w:rsid w:val="00E56A17"/>
    <w:rsid w:val="00E56D35"/>
    <w:rsid w:val="00E742F1"/>
    <w:rsid w:val="00E74482"/>
    <w:rsid w:val="00E94579"/>
    <w:rsid w:val="00EE53C4"/>
    <w:rsid w:val="00EF3740"/>
    <w:rsid w:val="00F11D5C"/>
    <w:rsid w:val="00F17C1B"/>
    <w:rsid w:val="00F23145"/>
    <w:rsid w:val="00F23154"/>
    <w:rsid w:val="00F37F8C"/>
    <w:rsid w:val="00F40CDA"/>
    <w:rsid w:val="00F646B5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Datum5">
    <w:name w:val="Datum5"/>
    <w:basedOn w:val="Standardnpsmoodstavce"/>
    <w:rsid w:val="005D1759"/>
  </w:style>
  <w:style w:type="character" w:customStyle="1" w:styleId="Datum6">
    <w:name w:val="Datum6"/>
    <w:basedOn w:val="Standardnpsmoodstavce"/>
    <w:rsid w:val="00E1588E"/>
  </w:style>
  <w:style w:type="character" w:customStyle="1" w:styleId="Datum7">
    <w:name w:val="Datum7"/>
    <w:basedOn w:val="Standardnpsmoodstavce"/>
    <w:rsid w:val="00464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Datum5">
    <w:name w:val="Datum5"/>
    <w:basedOn w:val="Standardnpsmoodstavce"/>
    <w:rsid w:val="005D1759"/>
  </w:style>
  <w:style w:type="character" w:customStyle="1" w:styleId="Datum6">
    <w:name w:val="Datum6"/>
    <w:basedOn w:val="Standardnpsmoodstavce"/>
    <w:rsid w:val="00E1588E"/>
  </w:style>
  <w:style w:type="character" w:customStyle="1" w:styleId="Datum7">
    <w:name w:val="Datum7"/>
    <w:basedOn w:val="Standardnpsmoodstavce"/>
    <w:rsid w:val="0046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7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96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682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03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085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24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370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7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94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54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71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3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62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80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188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408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8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57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16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7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79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1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1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09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0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235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4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86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40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56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8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46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66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005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2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461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6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43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66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48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71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6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286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20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3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20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3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8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79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4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2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4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12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7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699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7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0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1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81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75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961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5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58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04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14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0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7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630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85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4000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2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fa.go.jp/mofaj/files/000185872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8</cp:revision>
  <cp:lastPrinted>2016-09-21T07:46:00Z</cp:lastPrinted>
  <dcterms:created xsi:type="dcterms:W3CDTF">2016-09-16T08:41:00Z</dcterms:created>
  <dcterms:modified xsi:type="dcterms:W3CDTF">2016-09-21T07:46:00Z</dcterms:modified>
</cp:coreProperties>
</file>