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96E95" w:rsidRPr="00181D6D" w:rsidRDefault="00F7387A" w:rsidP="00136C51">
      <w:pPr>
        <w:pStyle w:val="Nzev"/>
        <w:spacing w:after="0"/>
        <w:rPr>
          <w:rFonts w:ascii="Arial" w:hAnsi="Arial" w:cs="Arial"/>
          <w:b/>
          <w:color w:val="0070C0"/>
        </w:rPr>
      </w:pPr>
      <w:bookmarkStart w:id="0" w:name="_GoBack"/>
      <w:bookmarkEnd w:id="0"/>
      <w:r w:rsidRPr="00181D6D">
        <w:rPr>
          <w:rFonts w:ascii="Arial" w:hAnsi="Arial" w:cs="Arial"/>
          <w:b/>
          <w:color w:val="0070C0"/>
        </w:rPr>
        <w:t>METODIK</w:t>
      </w:r>
      <w:r w:rsidR="00EC0E94" w:rsidRPr="00181D6D">
        <w:rPr>
          <w:rFonts w:ascii="Arial" w:hAnsi="Arial" w:cs="Arial"/>
          <w:b/>
          <w:color w:val="0070C0"/>
        </w:rPr>
        <w:t>A</w:t>
      </w:r>
      <w:r w:rsidR="00E023DC" w:rsidRPr="00181D6D">
        <w:rPr>
          <w:rFonts w:ascii="Arial" w:hAnsi="Arial" w:cs="Arial"/>
          <w:b/>
          <w:color w:val="0070C0"/>
        </w:rPr>
        <w:t>17+</w:t>
      </w:r>
      <w:r w:rsidR="000C6D1D" w:rsidRPr="00181D6D">
        <w:rPr>
          <w:rFonts w:ascii="Arial" w:hAnsi="Arial" w:cs="Arial"/>
          <w:b/>
          <w:color w:val="0070C0"/>
        </w:rPr>
        <w:t xml:space="preserve"> </w:t>
      </w:r>
    </w:p>
    <w:bookmarkStart w:id="1" w:name="_Toc453843490" w:displacedByCustomXml="next"/>
    <w:bookmarkStart w:id="2" w:name="_Toc453930855" w:displacedByCustomXml="next"/>
    <w:sdt>
      <w:sdtPr>
        <w:rPr>
          <w:rFonts w:asciiTheme="minorHAnsi" w:eastAsiaTheme="minorHAnsi" w:hAnsiTheme="minorHAnsi" w:cstheme="minorBidi"/>
          <w:b w:val="0"/>
          <w:bCs w:val="0"/>
          <w:color w:val="auto"/>
          <w:sz w:val="22"/>
          <w:szCs w:val="22"/>
        </w:rPr>
        <w:id w:val="-912154838"/>
        <w:docPartObj>
          <w:docPartGallery w:val="Table of Contents"/>
          <w:docPartUnique/>
        </w:docPartObj>
      </w:sdtPr>
      <w:sdtEndPr>
        <w:rPr>
          <w:rFonts w:eastAsiaTheme="minorEastAsia"/>
        </w:rPr>
      </w:sdtEndPr>
      <w:sdtContent>
        <w:p w:rsidR="00181D6D" w:rsidRDefault="00181D6D">
          <w:pPr>
            <w:pStyle w:val="Nadpisobsahu"/>
          </w:pPr>
          <w:r>
            <w:t>Obsah</w:t>
          </w:r>
        </w:p>
        <w:p w:rsidR="00FE10BD" w:rsidRDefault="00713336">
          <w:pPr>
            <w:pStyle w:val="Obsah1"/>
            <w:tabs>
              <w:tab w:val="right" w:leader="dot" w:pos="9060"/>
            </w:tabs>
            <w:rPr>
              <w:b w:val="0"/>
              <w:bCs w:val="0"/>
              <w:i w:val="0"/>
              <w:iCs w:val="0"/>
              <w:noProof/>
              <w:sz w:val="22"/>
              <w:szCs w:val="22"/>
            </w:rPr>
          </w:pPr>
          <w:r>
            <w:fldChar w:fldCharType="begin"/>
          </w:r>
          <w:r w:rsidR="00181D6D">
            <w:instrText xml:space="preserve"> TOC \o "1-3" \h \z \u </w:instrText>
          </w:r>
          <w:r>
            <w:fldChar w:fldCharType="separate"/>
          </w:r>
          <w:hyperlink w:anchor="_Toc462064466" w:history="1">
            <w:r w:rsidR="00FE10BD" w:rsidRPr="00AA424B">
              <w:rPr>
                <w:rStyle w:val="Hypertextovodkaz"/>
                <w:rFonts w:cs="Arial"/>
                <w:noProof/>
              </w:rPr>
              <w:t>Úvod</w:t>
            </w:r>
            <w:r w:rsidR="00FE10BD">
              <w:rPr>
                <w:noProof/>
                <w:webHidden/>
              </w:rPr>
              <w:tab/>
            </w:r>
            <w:r w:rsidR="00FE10BD">
              <w:rPr>
                <w:noProof/>
                <w:webHidden/>
              </w:rPr>
              <w:fldChar w:fldCharType="begin"/>
            </w:r>
            <w:r w:rsidR="00FE10BD">
              <w:rPr>
                <w:noProof/>
                <w:webHidden/>
              </w:rPr>
              <w:instrText xml:space="preserve"> PAGEREF _Toc462064466 \h </w:instrText>
            </w:r>
            <w:r w:rsidR="00FE10BD">
              <w:rPr>
                <w:noProof/>
                <w:webHidden/>
              </w:rPr>
            </w:r>
            <w:r w:rsidR="00FE10BD">
              <w:rPr>
                <w:noProof/>
                <w:webHidden/>
              </w:rPr>
              <w:fldChar w:fldCharType="separate"/>
            </w:r>
            <w:r w:rsidR="0016136C">
              <w:rPr>
                <w:noProof/>
                <w:webHidden/>
              </w:rPr>
              <w:t>4</w:t>
            </w:r>
            <w:r w:rsidR="00FE10BD">
              <w:rPr>
                <w:noProof/>
                <w:webHidden/>
              </w:rPr>
              <w:fldChar w:fldCharType="end"/>
            </w:r>
          </w:hyperlink>
        </w:p>
        <w:p w:rsidR="00FE10BD" w:rsidRDefault="0016136C">
          <w:pPr>
            <w:pStyle w:val="Obsah1"/>
            <w:tabs>
              <w:tab w:val="left" w:pos="440"/>
              <w:tab w:val="right" w:leader="dot" w:pos="9060"/>
            </w:tabs>
            <w:rPr>
              <w:b w:val="0"/>
              <w:bCs w:val="0"/>
              <w:i w:val="0"/>
              <w:iCs w:val="0"/>
              <w:noProof/>
              <w:sz w:val="22"/>
              <w:szCs w:val="22"/>
            </w:rPr>
          </w:pPr>
          <w:hyperlink w:anchor="_Toc462064467" w:history="1">
            <w:r w:rsidR="00FE10BD" w:rsidRPr="00AA424B">
              <w:rPr>
                <w:rStyle w:val="Hypertextovodkaz"/>
                <w:noProof/>
              </w:rPr>
              <w:t>1</w:t>
            </w:r>
            <w:r w:rsidR="00FE10BD">
              <w:rPr>
                <w:b w:val="0"/>
                <w:bCs w:val="0"/>
                <w:i w:val="0"/>
                <w:iCs w:val="0"/>
                <w:noProof/>
                <w:sz w:val="22"/>
                <w:szCs w:val="22"/>
              </w:rPr>
              <w:tab/>
            </w:r>
            <w:r w:rsidR="00FE10BD" w:rsidRPr="00AA424B">
              <w:rPr>
                <w:rStyle w:val="Hypertextovodkaz"/>
                <w:noProof/>
              </w:rPr>
              <w:t>Hlavní cíle, účel a východiska hodnocení</w:t>
            </w:r>
            <w:r w:rsidR="00FE10BD">
              <w:rPr>
                <w:noProof/>
                <w:webHidden/>
              </w:rPr>
              <w:tab/>
            </w:r>
            <w:r w:rsidR="00FE10BD">
              <w:rPr>
                <w:noProof/>
                <w:webHidden/>
              </w:rPr>
              <w:fldChar w:fldCharType="begin"/>
            </w:r>
            <w:r w:rsidR="00FE10BD">
              <w:rPr>
                <w:noProof/>
                <w:webHidden/>
              </w:rPr>
              <w:instrText xml:space="preserve"> PAGEREF _Toc462064467 \h </w:instrText>
            </w:r>
            <w:r w:rsidR="00FE10BD">
              <w:rPr>
                <w:noProof/>
                <w:webHidden/>
              </w:rPr>
            </w:r>
            <w:r w:rsidR="00FE10BD">
              <w:rPr>
                <w:noProof/>
                <w:webHidden/>
              </w:rPr>
              <w:fldChar w:fldCharType="separate"/>
            </w:r>
            <w:r>
              <w:rPr>
                <w:noProof/>
                <w:webHidden/>
              </w:rPr>
              <w:t>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68" w:history="1">
            <w:r w:rsidR="00FE10BD" w:rsidRPr="00AA424B">
              <w:rPr>
                <w:rStyle w:val="Hypertextovodkaz"/>
                <w:noProof/>
              </w:rPr>
              <w:t>1.1</w:t>
            </w:r>
            <w:r w:rsidR="00FE10BD">
              <w:rPr>
                <w:b w:val="0"/>
                <w:bCs w:val="0"/>
                <w:noProof/>
              </w:rPr>
              <w:tab/>
            </w:r>
            <w:r w:rsidR="00FE10BD" w:rsidRPr="00AA424B">
              <w:rPr>
                <w:rStyle w:val="Hypertextovodkaz"/>
                <w:noProof/>
              </w:rPr>
              <w:t>Principy financování v implementačním období</w:t>
            </w:r>
            <w:r w:rsidR="00FE10BD">
              <w:rPr>
                <w:noProof/>
                <w:webHidden/>
              </w:rPr>
              <w:tab/>
            </w:r>
            <w:r w:rsidR="00FE10BD">
              <w:rPr>
                <w:noProof/>
                <w:webHidden/>
              </w:rPr>
              <w:fldChar w:fldCharType="begin"/>
            </w:r>
            <w:r w:rsidR="00FE10BD">
              <w:rPr>
                <w:noProof/>
                <w:webHidden/>
              </w:rPr>
              <w:instrText xml:space="preserve"> PAGEREF _Toc462064468 \h </w:instrText>
            </w:r>
            <w:r w:rsidR="00FE10BD">
              <w:rPr>
                <w:noProof/>
                <w:webHidden/>
              </w:rPr>
            </w:r>
            <w:r w:rsidR="00FE10BD">
              <w:rPr>
                <w:noProof/>
                <w:webHidden/>
              </w:rPr>
              <w:fldChar w:fldCharType="separate"/>
            </w:r>
            <w:r>
              <w:rPr>
                <w:noProof/>
                <w:webHidden/>
              </w:rPr>
              <w:t>7</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69" w:history="1">
            <w:r w:rsidR="00FE10BD" w:rsidRPr="00AA424B">
              <w:rPr>
                <w:rStyle w:val="Hypertextovodkaz"/>
                <w:noProof/>
              </w:rPr>
              <w:t>1.1.1</w:t>
            </w:r>
            <w:r w:rsidR="00FE10BD">
              <w:rPr>
                <w:noProof/>
                <w:sz w:val="22"/>
                <w:szCs w:val="22"/>
              </w:rPr>
              <w:tab/>
            </w:r>
            <w:r w:rsidR="00FE10BD" w:rsidRPr="00AA424B">
              <w:rPr>
                <w:rStyle w:val="Hypertextovodkaz"/>
                <w:noProof/>
              </w:rPr>
              <w:t>Fixace základny</w:t>
            </w:r>
            <w:r w:rsidR="00FE10BD">
              <w:rPr>
                <w:noProof/>
                <w:webHidden/>
              </w:rPr>
              <w:tab/>
            </w:r>
            <w:r w:rsidR="00FE10BD">
              <w:rPr>
                <w:noProof/>
                <w:webHidden/>
              </w:rPr>
              <w:fldChar w:fldCharType="begin"/>
            </w:r>
            <w:r w:rsidR="00FE10BD">
              <w:rPr>
                <w:noProof/>
                <w:webHidden/>
              </w:rPr>
              <w:instrText xml:space="preserve"> PAGEREF _Toc462064469 \h </w:instrText>
            </w:r>
            <w:r w:rsidR="00FE10BD">
              <w:rPr>
                <w:noProof/>
                <w:webHidden/>
              </w:rPr>
            </w:r>
            <w:r w:rsidR="00FE10BD">
              <w:rPr>
                <w:noProof/>
                <w:webHidden/>
              </w:rPr>
              <w:fldChar w:fldCharType="separate"/>
            </w:r>
            <w:r>
              <w:rPr>
                <w:noProof/>
                <w:webHidden/>
              </w:rPr>
              <w:t>7</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70" w:history="1">
            <w:r w:rsidR="00FE10BD" w:rsidRPr="00AA424B">
              <w:rPr>
                <w:rStyle w:val="Hypertextovodkaz"/>
                <w:noProof/>
              </w:rPr>
              <w:t>1.1.2</w:t>
            </w:r>
            <w:r w:rsidR="00FE10BD">
              <w:rPr>
                <w:noProof/>
                <w:sz w:val="22"/>
                <w:szCs w:val="22"/>
              </w:rPr>
              <w:tab/>
            </w:r>
            <w:r w:rsidR="00FE10BD" w:rsidRPr="00AA424B">
              <w:rPr>
                <w:rStyle w:val="Hypertextovodkaz"/>
                <w:noProof/>
              </w:rPr>
              <w:t>Způsob rozdělování přírůstku podpory na základě hodnocení</w:t>
            </w:r>
            <w:r w:rsidR="00FE10BD">
              <w:rPr>
                <w:noProof/>
                <w:webHidden/>
              </w:rPr>
              <w:tab/>
            </w:r>
            <w:r w:rsidR="00FE10BD">
              <w:rPr>
                <w:noProof/>
                <w:webHidden/>
              </w:rPr>
              <w:fldChar w:fldCharType="begin"/>
            </w:r>
            <w:r w:rsidR="00FE10BD">
              <w:rPr>
                <w:noProof/>
                <w:webHidden/>
              </w:rPr>
              <w:instrText xml:space="preserve"> PAGEREF _Toc462064470 \h </w:instrText>
            </w:r>
            <w:r w:rsidR="00FE10BD">
              <w:rPr>
                <w:noProof/>
                <w:webHidden/>
              </w:rPr>
            </w:r>
            <w:r w:rsidR="00FE10BD">
              <w:rPr>
                <w:noProof/>
                <w:webHidden/>
              </w:rPr>
              <w:fldChar w:fldCharType="separate"/>
            </w:r>
            <w:r>
              <w:rPr>
                <w:noProof/>
                <w:webHidden/>
              </w:rPr>
              <w:t>8</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1" w:history="1">
            <w:r w:rsidR="00FE10BD" w:rsidRPr="00AA424B">
              <w:rPr>
                <w:rStyle w:val="Hypertextovodkaz"/>
                <w:noProof/>
              </w:rPr>
              <w:t>1.2</w:t>
            </w:r>
            <w:r w:rsidR="00FE10BD">
              <w:rPr>
                <w:b w:val="0"/>
                <w:bCs w:val="0"/>
                <w:noProof/>
              </w:rPr>
              <w:tab/>
            </w:r>
            <w:r w:rsidR="00FE10BD" w:rsidRPr="00AA424B">
              <w:rPr>
                <w:rStyle w:val="Hypertextovodkaz"/>
                <w:noProof/>
              </w:rPr>
              <w:t>Principy hodnocení podle Metodiky 17+ v implementační fázi</w:t>
            </w:r>
            <w:r w:rsidR="00FE10BD">
              <w:rPr>
                <w:noProof/>
                <w:webHidden/>
              </w:rPr>
              <w:tab/>
            </w:r>
            <w:r w:rsidR="00FE10BD">
              <w:rPr>
                <w:noProof/>
                <w:webHidden/>
              </w:rPr>
              <w:fldChar w:fldCharType="begin"/>
            </w:r>
            <w:r w:rsidR="00FE10BD">
              <w:rPr>
                <w:noProof/>
                <w:webHidden/>
              </w:rPr>
              <w:instrText xml:space="preserve"> PAGEREF _Toc462064471 \h </w:instrText>
            </w:r>
            <w:r w:rsidR="00FE10BD">
              <w:rPr>
                <w:noProof/>
                <w:webHidden/>
              </w:rPr>
            </w:r>
            <w:r w:rsidR="00FE10BD">
              <w:rPr>
                <w:noProof/>
                <w:webHidden/>
              </w:rPr>
              <w:fldChar w:fldCharType="separate"/>
            </w:r>
            <w:r>
              <w:rPr>
                <w:noProof/>
                <w:webHidden/>
              </w:rPr>
              <w:t>9</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2" w:history="1">
            <w:r w:rsidR="00FE10BD" w:rsidRPr="00AA424B">
              <w:rPr>
                <w:rStyle w:val="Hypertextovodkaz"/>
                <w:noProof/>
              </w:rPr>
              <w:t>1.3</w:t>
            </w:r>
            <w:r w:rsidR="00FE10BD">
              <w:rPr>
                <w:b w:val="0"/>
                <w:bCs w:val="0"/>
                <w:noProof/>
              </w:rPr>
              <w:tab/>
            </w:r>
            <w:r w:rsidR="00FE10BD" w:rsidRPr="00AA424B">
              <w:rPr>
                <w:rStyle w:val="Hypertextovodkaz"/>
                <w:noProof/>
              </w:rPr>
              <w:t>Definice výsledků</w:t>
            </w:r>
            <w:r w:rsidR="00FE10BD">
              <w:rPr>
                <w:noProof/>
                <w:webHidden/>
              </w:rPr>
              <w:tab/>
            </w:r>
            <w:r w:rsidR="00FE10BD">
              <w:rPr>
                <w:noProof/>
                <w:webHidden/>
              </w:rPr>
              <w:fldChar w:fldCharType="begin"/>
            </w:r>
            <w:r w:rsidR="00FE10BD">
              <w:rPr>
                <w:noProof/>
                <w:webHidden/>
              </w:rPr>
              <w:instrText xml:space="preserve"> PAGEREF _Toc462064472 \h </w:instrText>
            </w:r>
            <w:r w:rsidR="00FE10BD">
              <w:rPr>
                <w:noProof/>
                <w:webHidden/>
              </w:rPr>
            </w:r>
            <w:r w:rsidR="00FE10BD">
              <w:rPr>
                <w:noProof/>
                <w:webHidden/>
              </w:rPr>
              <w:fldChar w:fldCharType="separate"/>
            </w:r>
            <w:r>
              <w:rPr>
                <w:noProof/>
                <w:webHidden/>
              </w:rPr>
              <w:t>9</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3" w:history="1">
            <w:r w:rsidR="00FE10BD" w:rsidRPr="00AA424B">
              <w:rPr>
                <w:rStyle w:val="Hypertextovodkaz"/>
                <w:noProof/>
              </w:rPr>
              <w:t>1.4</w:t>
            </w:r>
            <w:r w:rsidR="00FE10BD">
              <w:rPr>
                <w:b w:val="0"/>
                <w:bCs w:val="0"/>
                <w:noProof/>
              </w:rPr>
              <w:tab/>
            </w:r>
            <w:r w:rsidR="00FE10BD" w:rsidRPr="00AA424B">
              <w:rPr>
                <w:rStyle w:val="Hypertextovodkaz"/>
                <w:noProof/>
              </w:rPr>
              <w:t>Zajištění podmínek pro hodnocení</w:t>
            </w:r>
            <w:r w:rsidR="00FE10BD">
              <w:rPr>
                <w:noProof/>
                <w:webHidden/>
              </w:rPr>
              <w:tab/>
            </w:r>
            <w:r w:rsidR="00FE10BD">
              <w:rPr>
                <w:noProof/>
                <w:webHidden/>
              </w:rPr>
              <w:fldChar w:fldCharType="begin"/>
            </w:r>
            <w:r w:rsidR="00FE10BD">
              <w:rPr>
                <w:noProof/>
                <w:webHidden/>
              </w:rPr>
              <w:instrText xml:space="preserve"> PAGEREF _Toc462064473 \h </w:instrText>
            </w:r>
            <w:r w:rsidR="00FE10BD">
              <w:rPr>
                <w:noProof/>
                <w:webHidden/>
              </w:rPr>
            </w:r>
            <w:r w:rsidR="00FE10BD">
              <w:rPr>
                <w:noProof/>
                <w:webHidden/>
              </w:rPr>
              <w:fldChar w:fldCharType="separate"/>
            </w:r>
            <w:r>
              <w:rPr>
                <w:noProof/>
                <w:webHidden/>
              </w:rPr>
              <w:t>10</w:t>
            </w:r>
            <w:r w:rsidR="00FE10BD">
              <w:rPr>
                <w:noProof/>
                <w:webHidden/>
              </w:rPr>
              <w:fldChar w:fldCharType="end"/>
            </w:r>
          </w:hyperlink>
        </w:p>
        <w:p w:rsidR="00FE10BD" w:rsidRDefault="0016136C">
          <w:pPr>
            <w:pStyle w:val="Obsah1"/>
            <w:tabs>
              <w:tab w:val="left" w:pos="440"/>
              <w:tab w:val="right" w:leader="dot" w:pos="9060"/>
            </w:tabs>
            <w:rPr>
              <w:b w:val="0"/>
              <w:bCs w:val="0"/>
              <w:i w:val="0"/>
              <w:iCs w:val="0"/>
              <w:noProof/>
              <w:sz w:val="22"/>
              <w:szCs w:val="22"/>
            </w:rPr>
          </w:pPr>
          <w:hyperlink w:anchor="_Toc462064474" w:history="1">
            <w:r w:rsidR="00FE10BD" w:rsidRPr="00AA424B">
              <w:rPr>
                <w:rStyle w:val="Hypertextovodkaz"/>
                <w:noProof/>
              </w:rPr>
              <w:t>2</w:t>
            </w:r>
            <w:r w:rsidR="00FE10BD">
              <w:rPr>
                <w:b w:val="0"/>
                <w:bCs w:val="0"/>
                <w:i w:val="0"/>
                <w:iCs w:val="0"/>
                <w:noProof/>
                <w:sz w:val="22"/>
                <w:szCs w:val="22"/>
              </w:rPr>
              <w:tab/>
            </w:r>
            <w:r w:rsidR="00FE10BD" w:rsidRPr="00AA424B">
              <w:rPr>
                <w:rStyle w:val="Hypertextovodkaz"/>
                <w:noProof/>
              </w:rPr>
              <w:t>Národní úroveň hodnocení</w:t>
            </w:r>
            <w:r w:rsidR="00FE10BD">
              <w:rPr>
                <w:noProof/>
                <w:webHidden/>
              </w:rPr>
              <w:tab/>
            </w:r>
            <w:r w:rsidR="00FE10BD">
              <w:rPr>
                <w:noProof/>
                <w:webHidden/>
              </w:rPr>
              <w:fldChar w:fldCharType="begin"/>
            </w:r>
            <w:r w:rsidR="00FE10BD">
              <w:rPr>
                <w:noProof/>
                <w:webHidden/>
              </w:rPr>
              <w:instrText xml:space="preserve"> PAGEREF _Toc462064474 \h </w:instrText>
            </w:r>
            <w:r w:rsidR="00FE10BD">
              <w:rPr>
                <w:noProof/>
                <w:webHidden/>
              </w:rPr>
            </w:r>
            <w:r w:rsidR="00FE10BD">
              <w:rPr>
                <w:noProof/>
                <w:webHidden/>
              </w:rPr>
              <w:fldChar w:fldCharType="separate"/>
            </w:r>
            <w:r>
              <w:rPr>
                <w:noProof/>
                <w:webHidden/>
              </w:rPr>
              <w:t>12</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5" w:history="1">
            <w:r w:rsidR="00FE10BD" w:rsidRPr="00AA424B">
              <w:rPr>
                <w:rStyle w:val="Hypertextovodkaz"/>
                <w:noProof/>
              </w:rPr>
              <w:t>2.1</w:t>
            </w:r>
            <w:r w:rsidR="00FE10BD">
              <w:rPr>
                <w:b w:val="0"/>
                <w:bCs w:val="0"/>
                <w:noProof/>
              </w:rPr>
              <w:tab/>
            </w:r>
            <w:r w:rsidR="00FE10BD" w:rsidRPr="00AA424B">
              <w:rPr>
                <w:rStyle w:val="Hypertextovodkaz"/>
                <w:noProof/>
              </w:rPr>
              <w:t>Hodnocení stavu VaVaI</w:t>
            </w:r>
            <w:r w:rsidR="00FE10BD">
              <w:rPr>
                <w:noProof/>
                <w:webHidden/>
              </w:rPr>
              <w:tab/>
            </w:r>
            <w:r w:rsidR="00FE10BD">
              <w:rPr>
                <w:noProof/>
                <w:webHidden/>
              </w:rPr>
              <w:fldChar w:fldCharType="begin"/>
            </w:r>
            <w:r w:rsidR="00FE10BD">
              <w:rPr>
                <w:noProof/>
                <w:webHidden/>
              </w:rPr>
              <w:instrText xml:space="preserve"> PAGEREF _Toc462064475 \h </w:instrText>
            </w:r>
            <w:r w:rsidR="00FE10BD">
              <w:rPr>
                <w:noProof/>
                <w:webHidden/>
              </w:rPr>
            </w:r>
            <w:r w:rsidR="00FE10BD">
              <w:rPr>
                <w:noProof/>
                <w:webHidden/>
              </w:rPr>
              <w:fldChar w:fldCharType="separate"/>
            </w:r>
            <w:r>
              <w:rPr>
                <w:noProof/>
                <w:webHidden/>
              </w:rPr>
              <w:t>12</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6" w:history="1">
            <w:r w:rsidR="00FE10BD" w:rsidRPr="00AA424B">
              <w:rPr>
                <w:rStyle w:val="Hypertextovodkaz"/>
                <w:noProof/>
              </w:rPr>
              <w:t>2.2</w:t>
            </w:r>
            <w:r w:rsidR="00FE10BD">
              <w:rPr>
                <w:b w:val="0"/>
                <w:bCs w:val="0"/>
                <w:noProof/>
              </w:rPr>
              <w:tab/>
            </w:r>
            <w:r w:rsidR="00FE10BD" w:rsidRPr="00AA424B">
              <w:rPr>
                <w:rStyle w:val="Hypertextovodkaz"/>
                <w:noProof/>
              </w:rPr>
              <w:t>Každoroční hodnocení vybraných výsledků</w:t>
            </w:r>
            <w:r w:rsidR="00FE10BD">
              <w:rPr>
                <w:noProof/>
                <w:webHidden/>
              </w:rPr>
              <w:tab/>
            </w:r>
            <w:r w:rsidR="00FE10BD">
              <w:rPr>
                <w:noProof/>
                <w:webHidden/>
              </w:rPr>
              <w:fldChar w:fldCharType="begin"/>
            </w:r>
            <w:r w:rsidR="00FE10BD">
              <w:rPr>
                <w:noProof/>
                <w:webHidden/>
              </w:rPr>
              <w:instrText xml:space="preserve"> PAGEREF _Toc462064476 \h </w:instrText>
            </w:r>
            <w:r w:rsidR="00FE10BD">
              <w:rPr>
                <w:noProof/>
                <w:webHidden/>
              </w:rPr>
            </w:r>
            <w:r w:rsidR="00FE10BD">
              <w:rPr>
                <w:noProof/>
                <w:webHidden/>
              </w:rPr>
              <w:fldChar w:fldCharType="separate"/>
            </w:r>
            <w:r>
              <w:rPr>
                <w:noProof/>
                <w:webHidden/>
              </w:rPr>
              <w:t>12</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7" w:history="1">
            <w:r w:rsidR="00FE10BD" w:rsidRPr="00AA424B">
              <w:rPr>
                <w:rStyle w:val="Hypertextovodkaz"/>
                <w:noProof/>
              </w:rPr>
              <w:t>2.3</w:t>
            </w:r>
            <w:r w:rsidR="00FE10BD">
              <w:rPr>
                <w:b w:val="0"/>
                <w:bCs w:val="0"/>
                <w:noProof/>
              </w:rPr>
              <w:tab/>
            </w:r>
            <w:r w:rsidR="00FE10BD" w:rsidRPr="00AA424B">
              <w:rPr>
                <w:rStyle w:val="Hypertextovodkaz"/>
                <w:noProof/>
              </w:rPr>
              <w:t>Odborný dohled nad hodnocením</w:t>
            </w:r>
            <w:r w:rsidR="00FE10BD">
              <w:rPr>
                <w:noProof/>
                <w:webHidden/>
              </w:rPr>
              <w:tab/>
            </w:r>
            <w:r w:rsidR="00FE10BD">
              <w:rPr>
                <w:noProof/>
                <w:webHidden/>
              </w:rPr>
              <w:fldChar w:fldCharType="begin"/>
            </w:r>
            <w:r w:rsidR="00FE10BD">
              <w:rPr>
                <w:noProof/>
                <w:webHidden/>
              </w:rPr>
              <w:instrText xml:space="preserve"> PAGEREF _Toc462064477 \h </w:instrText>
            </w:r>
            <w:r w:rsidR="00FE10BD">
              <w:rPr>
                <w:noProof/>
                <w:webHidden/>
              </w:rPr>
            </w:r>
            <w:r w:rsidR="00FE10BD">
              <w:rPr>
                <w:noProof/>
                <w:webHidden/>
              </w:rPr>
              <w:fldChar w:fldCharType="separate"/>
            </w:r>
            <w:r>
              <w:rPr>
                <w:noProof/>
                <w:webHidden/>
              </w:rPr>
              <w:t>13</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78" w:history="1">
            <w:r w:rsidR="00FE10BD" w:rsidRPr="00AA424B">
              <w:rPr>
                <w:rStyle w:val="Hypertextovodkaz"/>
                <w:noProof/>
              </w:rPr>
              <w:t>2.4</w:t>
            </w:r>
            <w:r w:rsidR="00FE10BD">
              <w:rPr>
                <w:b w:val="0"/>
                <w:bCs w:val="0"/>
                <w:noProof/>
              </w:rPr>
              <w:tab/>
            </w:r>
            <w:r w:rsidR="00FE10BD" w:rsidRPr="00AA424B">
              <w:rPr>
                <w:rStyle w:val="Hypertextovodkaz"/>
                <w:noProof/>
              </w:rPr>
              <w:t>MODUL 1 – Kvalita vybraných výsledků</w:t>
            </w:r>
            <w:r w:rsidR="00FE10BD">
              <w:rPr>
                <w:noProof/>
                <w:webHidden/>
              </w:rPr>
              <w:tab/>
            </w:r>
            <w:r w:rsidR="00FE10BD">
              <w:rPr>
                <w:noProof/>
                <w:webHidden/>
              </w:rPr>
              <w:fldChar w:fldCharType="begin"/>
            </w:r>
            <w:r w:rsidR="00FE10BD">
              <w:rPr>
                <w:noProof/>
                <w:webHidden/>
              </w:rPr>
              <w:instrText xml:space="preserve"> PAGEREF _Toc462064478 \h </w:instrText>
            </w:r>
            <w:r w:rsidR="00FE10BD">
              <w:rPr>
                <w:noProof/>
                <w:webHidden/>
              </w:rPr>
            </w:r>
            <w:r w:rsidR="00FE10BD">
              <w:rPr>
                <w:noProof/>
                <w:webHidden/>
              </w:rPr>
              <w:fldChar w:fldCharType="separate"/>
            </w:r>
            <w:r>
              <w:rPr>
                <w:noProof/>
                <w:webHidden/>
              </w:rPr>
              <w:t>13</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79" w:history="1">
            <w:r w:rsidR="00FE10BD" w:rsidRPr="00AA424B">
              <w:rPr>
                <w:rStyle w:val="Hypertextovodkaz"/>
                <w:noProof/>
              </w:rPr>
              <w:t>2.4.1</w:t>
            </w:r>
            <w:r w:rsidR="00FE10BD">
              <w:rPr>
                <w:noProof/>
                <w:sz w:val="22"/>
                <w:szCs w:val="22"/>
              </w:rPr>
              <w:tab/>
            </w:r>
            <w:r w:rsidR="00FE10BD" w:rsidRPr="00AA424B">
              <w:rPr>
                <w:rStyle w:val="Hypertextovodkaz"/>
                <w:noProof/>
              </w:rPr>
              <w:t>Počet posuzovaných výsledků</w:t>
            </w:r>
            <w:r w:rsidR="00FE10BD">
              <w:rPr>
                <w:noProof/>
                <w:webHidden/>
              </w:rPr>
              <w:tab/>
            </w:r>
            <w:r w:rsidR="00FE10BD">
              <w:rPr>
                <w:noProof/>
                <w:webHidden/>
              </w:rPr>
              <w:fldChar w:fldCharType="begin"/>
            </w:r>
            <w:r w:rsidR="00FE10BD">
              <w:rPr>
                <w:noProof/>
                <w:webHidden/>
              </w:rPr>
              <w:instrText xml:space="preserve"> PAGEREF _Toc462064479 \h </w:instrText>
            </w:r>
            <w:r w:rsidR="00FE10BD">
              <w:rPr>
                <w:noProof/>
                <w:webHidden/>
              </w:rPr>
            </w:r>
            <w:r w:rsidR="00FE10BD">
              <w:rPr>
                <w:noProof/>
                <w:webHidden/>
              </w:rPr>
              <w:fldChar w:fldCharType="separate"/>
            </w:r>
            <w:r>
              <w:rPr>
                <w:noProof/>
                <w:webHidden/>
              </w:rPr>
              <w:t>13</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80" w:history="1">
            <w:r w:rsidR="00FE10BD" w:rsidRPr="00AA424B">
              <w:rPr>
                <w:rStyle w:val="Hypertextovodkaz"/>
                <w:noProof/>
              </w:rPr>
              <w:t>2.4.2</w:t>
            </w:r>
            <w:r w:rsidR="00FE10BD">
              <w:rPr>
                <w:noProof/>
                <w:sz w:val="22"/>
                <w:szCs w:val="22"/>
              </w:rPr>
              <w:tab/>
            </w:r>
            <w:r w:rsidR="00FE10BD" w:rsidRPr="00AA424B">
              <w:rPr>
                <w:rStyle w:val="Hypertextovodkaz"/>
                <w:noProof/>
              </w:rPr>
              <w:t>Nástroje hodnocení</w:t>
            </w:r>
            <w:r w:rsidR="00FE10BD">
              <w:rPr>
                <w:noProof/>
                <w:webHidden/>
              </w:rPr>
              <w:tab/>
            </w:r>
            <w:r w:rsidR="00FE10BD">
              <w:rPr>
                <w:noProof/>
                <w:webHidden/>
              </w:rPr>
              <w:fldChar w:fldCharType="begin"/>
            </w:r>
            <w:r w:rsidR="00FE10BD">
              <w:rPr>
                <w:noProof/>
                <w:webHidden/>
              </w:rPr>
              <w:instrText xml:space="preserve"> PAGEREF _Toc462064480 \h </w:instrText>
            </w:r>
            <w:r w:rsidR="00FE10BD">
              <w:rPr>
                <w:noProof/>
                <w:webHidden/>
              </w:rPr>
            </w:r>
            <w:r w:rsidR="00FE10BD">
              <w:rPr>
                <w:noProof/>
                <w:webHidden/>
              </w:rPr>
              <w:fldChar w:fldCharType="separate"/>
            </w:r>
            <w:r>
              <w:rPr>
                <w:noProof/>
                <w:webHidden/>
              </w:rPr>
              <w:t>14</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81" w:history="1">
            <w:r w:rsidR="00FE10BD" w:rsidRPr="00AA424B">
              <w:rPr>
                <w:rStyle w:val="Hypertextovodkaz"/>
                <w:noProof/>
              </w:rPr>
              <w:t>2.4.3</w:t>
            </w:r>
            <w:r w:rsidR="00FE10BD">
              <w:rPr>
                <w:noProof/>
                <w:sz w:val="22"/>
                <w:szCs w:val="22"/>
              </w:rPr>
              <w:tab/>
            </w:r>
            <w:r w:rsidR="00FE10BD" w:rsidRPr="00AA424B">
              <w:rPr>
                <w:rStyle w:val="Hypertextovodkaz"/>
                <w:noProof/>
              </w:rPr>
              <w:t>Výsledná škálovací stupnice</w:t>
            </w:r>
            <w:r w:rsidR="00FE10BD">
              <w:rPr>
                <w:noProof/>
                <w:webHidden/>
              </w:rPr>
              <w:tab/>
            </w:r>
            <w:r w:rsidR="00FE10BD">
              <w:rPr>
                <w:noProof/>
                <w:webHidden/>
              </w:rPr>
              <w:fldChar w:fldCharType="begin"/>
            </w:r>
            <w:r w:rsidR="00FE10BD">
              <w:rPr>
                <w:noProof/>
                <w:webHidden/>
              </w:rPr>
              <w:instrText xml:space="preserve"> PAGEREF _Toc462064481 \h </w:instrText>
            </w:r>
            <w:r w:rsidR="00FE10BD">
              <w:rPr>
                <w:noProof/>
                <w:webHidden/>
              </w:rPr>
            </w:r>
            <w:r w:rsidR="00FE10BD">
              <w:rPr>
                <w:noProof/>
                <w:webHidden/>
              </w:rPr>
              <w:fldChar w:fldCharType="separate"/>
            </w:r>
            <w:r>
              <w:rPr>
                <w:noProof/>
                <w:webHidden/>
              </w:rPr>
              <w:t>16</w:t>
            </w:r>
            <w:r w:rsidR="00FE10BD">
              <w:rPr>
                <w:noProof/>
                <w:webHidden/>
              </w:rPr>
              <w:fldChar w:fldCharType="end"/>
            </w:r>
          </w:hyperlink>
        </w:p>
        <w:p w:rsidR="00FE10BD" w:rsidRDefault="0016136C">
          <w:pPr>
            <w:pStyle w:val="Obsah1"/>
            <w:tabs>
              <w:tab w:val="left" w:pos="440"/>
              <w:tab w:val="right" w:leader="dot" w:pos="9060"/>
            </w:tabs>
            <w:rPr>
              <w:b w:val="0"/>
              <w:bCs w:val="0"/>
              <w:i w:val="0"/>
              <w:iCs w:val="0"/>
              <w:noProof/>
              <w:sz w:val="22"/>
              <w:szCs w:val="22"/>
            </w:rPr>
          </w:pPr>
          <w:hyperlink w:anchor="_Toc462064482" w:history="1">
            <w:r w:rsidR="00FE10BD" w:rsidRPr="00AA424B">
              <w:rPr>
                <w:rStyle w:val="Hypertextovodkaz"/>
                <w:noProof/>
              </w:rPr>
              <w:t>3</w:t>
            </w:r>
            <w:r w:rsidR="00FE10BD">
              <w:rPr>
                <w:b w:val="0"/>
                <w:bCs w:val="0"/>
                <w:i w:val="0"/>
                <w:iCs w:val="0"/>
                <w:noProof/>
                <w:sz w:val="22"/>
                <w:szCs w:val="22"/>
              </w:rPr>
              <w:tab/>
            </w:r>
            <w:r w:rsidR="00FE10BD" w:rsidRPr="00AA424B">
              <w:rPr>
                <w:rStyle w:val="Hypertextovodkaz"/>
                <w:noProof/>
              </w:rPr>
              <w:t>Hodnocení v segmentu vysokých škol</w:t>
            </w:r>
            <w:r w:rsidR="00FE10BD">
              <w:rPr>
                <w:noProof/>
                <w:webHidden/>
              </w:rPr>
              <w:tab/>
            </w:r>
            <w:r w:rsidR="00FE10BD">
              <w:rPr>
                <w:noProof/>
                <w:webHidden/>
              </w:rPr>
              <w:fldChar w:fldCharType="begin"/>
            </w:r>
            <w:r w:rsidR="00FE10BD">
              <w:rPr>
                <w:noProof/>
                <w:webHidden/>
              </w:rPr>
              <w:instrText xml:space="preserve"> PAGEREF _Toc462064482 \h </w:instrText>
            </w:r>
            <w:r w:rsidR="00FE10BD">
              <w:rPr>
                <w:noProof/>
                <w:webHidden/>
              </w:rPr>
            </w:r>
            <w:r w:rsidR="00FE10BD">
              <w:rPr>
                <w:noProof/>
                <w:webHidden/>
              </w:rPr>
              <w:fldChar w:fldCharType="separate"/>
            </w:r>
            <w:r>
              <w:rPr>
                <w:noProof/>
                <w:webHidden/>
              </w:rPr>
              <w:t>17</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3" w:history="1">
            <w:r w:rsidR="00FE10BD" w:rsidRPr="00AA424B">
              <w:rPr>
                <w:rStyle w:val="Hypertextovodkaz"/>
                <w:noProof/>
              </w:rPr>
              <w:t>3.1</w:t>
            </w:r>
            <w:r w:rsidR="00FE10BD">
              <w:rPr>
                <w:b w:val="0"/>
                <w:bCs w:val="0"/>
                <w:noProof/>
              </w:rPr>
              <w:tab/>
            </w:r>
            <w:r w:rsidR="00FE10BD" w:rsidRPr="00AA424B">
              <w:rPr>
                <w:rStyle w:val="Hypertextovodkaz"/>
                <w:noProof/>
              </w:rPr>
              <w:t>MODUL 1 – Kvalita vybraných výsledků</w:t>
            </w:r>
            <w:r w:rsidR="00FE10BD">
              <w:rPr>
                <w:noProof/>
                <w:webHidden/>
              </w:rPr>
              <w:tab/>
            </w:r>
            <w:r w:rsidR="00FE10BD">
              <w:rPr>
                <w:noProof/>
                <w:webHidden/>
              </w:rPr>
              <w:fldChar w:fldCharType="begin"/>
            </w:r>
            <w:r w:rsidR="00FE10BD">
              <w:rPr>
                <w:noProof/>
                <w:webHidden/>
              </w:rPr>
              <w:instrText xml:space="preserve"> PAGEREF _Toc462064483 \h </w:instrText>
            </w:r>
            <w:r w:rsidR="00FE10BD">
              <w:rPr>
                <w:noProof/>
                <w:webHidden/>
              </w:rPr>
            </w:r>
            <w:r w:rsidR="00FE10BD">
              <w:rPr>
                <w:noProof/>
                <w:webHidden/>
              </w:rPr>
              <w:fldChar w:fldCharType="separate"/>
            </w:r>
            <w:r>
              <w:rPr>
                <w:noProof/>
                <w:webHidden/>
              </w:rPr>
              <w:t>17</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4" w:history="1">
            <w:r w:rsidR="00FE10BD" w:rsidRPr="00AA424B">
              <w:rPr>
                <w:rStyle w:val="Hypertextovodkaz"/>
                <w:noProof/>
              </w:rPr>
              <w:t>3.2</w:t>
            </w:r>
            <w:r w:rsidR="00FE10BD">
              <w:rPr>
                <w:b w:val="0"/>
                <w:bCs w:val="0"/>
                <w:noProof/>
              </w:rPr>
              <w:tab/>
            </w:r>
            <w:r w:rsidR="00FE10BD" w:rsidRPr="00AA424B">
              <w:rPr>
                <w:rStyle w:val="Hypertextovodkaz"/>
                <w:noProof/>
              </w:rPr>
              <w:t>MODUL 2 – Výkonnost výzkumu</w:t>
            </w:r>
            <w:r w:rsidR="00FE10BD">
              <w:rPr>
                <w:noProof/>
                <w:webHidden/>
              </w:rPr>
              <w:tab/>
            </w:r>
            <w:r w:rsidR="00FE10BD">
              <w:rPr>
                <w:noProof/>
                <w:webHidden/>
              </w:rPr>
              <w:fldChar w:fldCharType="begin"/>
            </w:r>
            <w:r w:rsidR="00FE10BD">
              <w:rPr>
                <w:noProof/>
                <w:webHidden/>
              </w:rPr>
              <w:instrText xml:space="preserve"> PAGEREF _Toc462064484 \h </w:instrText>
            </w:r>
            <w:r w:rsidR="00FE10BD">
              <w:rPr>
                <w:noProof/>
                <w:webHidden/>
              </w:rPr>
            </w:r>
            <w:r w:rsidR="00FE10BD">
              <w:rPr>
                <w:noProof/>
                <w:webHidden/>
              </w:rPr>
              <w:fldChar w:fldCharType="separate"/>
            </w:r>
            <w:r>
              <w:rPr>
                <w:noProof/>
                <w:webHidden/>
              </w:rPr>
              <w:t>17</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5" w:history="1">
            <w:r w:rsidR="00FE10BD" w:rsidRPr="00AA424B">
              <w:rPr>
                <w:rStyle w:val="Hypertextovodkaz"/>
                <w:noProof/>
              </w:rPr>
              <w:t>3.3</w:t>
            </w:r>
            <w:r w:rsidR="00FE10BD">
              <w:rPr>
                <w:b w:val="0"/>
                <w:bCs w:val="0"/>
                <w:noProof/>
              </w:rPr>
              <w:tab/>
            </w:r>
            <w:r w:rsidR="00FE10BD" w:rsidRPr="00AA424B">
              <w:rPr>
                <w:rStyle w:val="Hypertextovodkaz"/>
                <w:noProof/>
              </w:rPr>
              <w:t>MODUL 3 – Společenská relevance</w:t>
            </w:r>
            <w:r w:rsidR="00FE10BD">
              <w:rPr>
                <w:noProof/>
                <w:webHidden/>
              </w:rPr>
              <w:tab/>
            </w:r>
            <w:r w:rsidR="00FE10BD">
              <w:rPr>
                <w:noProof/>
                <w:webHidden/>
              </w:rPr>
              <w:fldChar w:fldCharType="begin"/>
            </w:r>
            <w:r w:rsidR="00FE10BD">
              <w:rPr>
                <w:noProof/>
                <w:webHidden/>
              </w:rPr>
              <w:instrText xml:space="preserve"> PAGEREF _Toc462064485 \h </w:instrText>
            </w:r>
            <w:r w:rsidR="00FE10BD">
              <w:rPr>
                <w:noProof/>
                <w:webHidden/>
              </w:rPr>
            </w:r>
            <w:r w:rsidR="00FE10BD">
              <w:rPr>
                <w:noProof/>
                <w:webHidden/>
              </w:rPr>
              <w:fldChar w:fldCharType="separate"/>
            </w:r>
            <w:r>
              <w:rPr>
                <w:noProof/>
                <w:webHidden/>
              </w:rPr>
              <w:t>17</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6" w:history="1">
            <w:r w:rsidR="00FE10BD" w:rsidRPr="00AA424B">
              <w:rPr>
                <w:rStyle w:val="Hypertextovodkaz"/>
                <w:noProof/>
              </w:rPr>
              <w:t>3.4</w:t>
            </w:r>
            <w:r w:rsidR="00FE10BD">
              <w:rPr>
                <w:b w:val="0"/>
                <w:bCs w:val="0"/>
                <w:noProof/>
              </w:rPr>
              <w:tab/>
            </w:r>
            <w:r w:rsidR="00FE10BD" w:rsidRPr="00AA424B">
              <w:rPr>
                <w:rStyle w:val="Hypertextovodkaz"/>
                <w:noProof/>
              </w:rPr>
              <w:t>MODUL 4 – Viabilita</w:t>
            </w:r>
            <w:r w:rsidR="00FE10BD">
              <w:rPr>
                <w:noProof/>
                <w:webHidden/>
              </w:rPr>
              <w:tab/>
            </w:r>
            <w:r w:rsidR="00FE10BD">
              <w:rPr>
                <w:noProof/>
                <w:webHidden/>
              </w:rPr>
              <w:fldChar w:fldCharType="begin"/>
            </w:r>
            <w:r w:rsidR="00FE10BD">
              <w:rPr>
                <w:noProof/>
                <w:webHidden/>
              </w:rPr>
              <w:instrText xml:space="preserve"> PAGEREF _Toc462064486 \h </w:instrText>
            </w:r>
            <w:r w:rsidR="00FE10BD">
              <w:rPr>
                <w:noProof/>
                <w:webHidden/>
              </w:rPr>
            </w:r>
            <w:r w:rsidR="00FE10BD">
              <w:rPr>
                <w:noProof/>
                <w:webHidden/>
              </w:rPr>
              <w:fldChar w:fldCharType="separate"/>
            </w:r>
            <w:r>
              <w:rPr>
                <w:noProof/>
                <w:webHidden/>
              </w:rPr>
              <w:t>17</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7" w:history="1">
            <w:r w:rsidR="00FE10BD" w:rsidRPr="00AA424B">
              <w:rPr>
                <w:rStyle w:val="Hypertextovodkaz"/>
                <w:noProof/>
              </w:rPr>
              <w:t>3.5</w:t>
            </w:r>
            <w:r w:rsidR="00FE10BD">
              <w:rPr>
                <w:b w:val="0"/>
                <w:bCs w:val="0"/>
                <w:noProof/>
              </w:rPr>
              <w:tab/>
            </w:r>
            <w:r w:rsidR="00FE10BD" w:rsidRPr="00AA424B">
              <w:rPr>
                <w:rStyle w:val="Hypertextovodkaz"/>
                <w:noProof/>
              </w:rPr>
              <w:t>MODUL 5 – Strategie a koncepce</w:t>
            </w:r>
            <w:r w:rsidR="00FE10BD">
              <w:rPr>
                <w:noProof/>
                <w:webHidden/>
              </w:rPr>
              <w:tab/>
            </w:r>
            <w:r w:rsidR="00FE10BD">
              <w:rPr>
                <w:noProof/>
                <w:webHidden/>
              </w:rPr>
              <w:fldChar w:fldCharType="begin"/>
            </w:r>
            <w:r w:rsidR="00FE10BD">
              <w:rPr>
                <w:noProof/>
                <w:webHidden/>
              </w:rPr>
              <w:instrText xml:space="preserve"> PAGEREF _Toc462064487 \h </w:instrText>
            </w:r>
            <w:r w:rsidR="00FE10BD">
              <w:rPr>
                <w:noProof/>
                <w:webHidden/>
              </w:rPr>
            </w:r>
            <w:r w:rsidR="00FE10BD">
              <w:rPr>
                <w:noProof/>
                <w:webHidden/>
              </w:rPr>
              <w:fldChar w:fldCharType="separate"/>
            </w:r>
            <w:r>
              <w:rPr>
                <w:noProof/>
                <w:webHidden/>
              </w:rPr>
              <w:t>18</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88" w:history="1">
            <w:r w:rsidR="00FE10BD" w:rsidRPr="00AA424B">
              <w:rPr>
                <w:rStyle w:val="Hypertextovodkaz"/>
                <w:noProof/>
              </w:rPr>
              <w:t>3.6</w:t>
            </w:r>
            <w:r w:rsidR="00FE10BD">
              <w:rPr>
                <w:b w:val="0"/>
                <w:bCs w:val="0"/>
                <w:noProof/>
              </w:rPr>
              <w:tab/>
            </w:r>
            <w:r w:rsidR="00FE10BD" w:rsidRPr="00AA424B">
              <w:rPr>
                <w:rStyle w:val="Hypertextovodkaz"/>
                <w:noProof/>
              </w:rPr>
              <w:t>Obsah každoročního hodnocení výsledků pro segment vysokých škol</w:t>
            </w:r>
            <w:r w:rsidR="00FE10BD">
              <w:rPr>
                <w:noProof/>
                <w:webHidden/>
              </w:rPr>
              <w:tab/>
            </w:r>
            <w:r w:rsidR="00FE10BD">
              <w:rPr>
                <w:noProof/>
                <w:webHidden/>
              </w:rPr>
              <w:fldChar w:fldCharType="begin"/>
            </w:r>
            <w:r w:rsidR="00FE10BD">
              <w:rPr>
                <w:noProof/>
                <w:webHidden/>
              </w:rPr>
              <w:instrText xml:space="preserve"> PAGEREF _Toc462064488 \h </w:instrText>
            </w:r>
            <w:r w:rsidR="00FE10BD">
              <w:rPr>
                <w:noProof/>
                <w:webHidden/>
              </w:rPr>
            </w:r>
            <w:r w:rsidR="00FE10BD">
              <w:rPr>
                <w:noProof/>
                <w:webHidden/>
              </w:rPr>
              <w:fldChar w:fldCharType="separate"/>
            </w:r>
            <w:r>
              <w:rPr>
                <w:noProof/>
                <w:webHidden/>
              </w:rPr>
              <w:t>18</w:t>
            </w:r>
            <w:r w:rsidR="00FE10BD">
              <w:rPr>
                <w:noProof/>
                <w:webHidden/>
              </w:rPr>
              <w:fldChar w:fldCharType="end"/>
            </w:r>
          </w:hyperlink>
        </w:p>
        <w:p w:rsidR="00FE10BD" w:rsidRDefault="0016136C">
          <w:pPr>
            <w:pStyle w:val="Obsah1"/>
            <w:tabs>
              <w:tab w:val="left" w:pos="440"/>
              <w:tab w:val="right" w:leader="dot" w:pos="9060"/>
            </w:tabs>
            <w:rPr>
              <w:b w:val="0"/>
              <w:bCs w:val="0"/>
              <w:i w:val="0"/>
              <w:iCs w:val="0"/>
              <w:noProof/>
              <w:sz w:val="22"/>
              <w:szCs w:val="22"/>
            </w:rPr>
          </w:pPr>
          <w:hyperlink w:anchor="_Toc462064489" w:history="1">
            <w:r w:rsidR="00FE10BD" w:rsidRPr="00AA424B">
              <w:rPr>
                <w:rStyle w:val="Hypertextovodkaz"/>
                <w:rFonts w:eastAsia="Times New Roman"/>
                <w:noProof/>
              </w:rPr>
              <w:t>4</w:t>
            </w:r>
            <w:r w:rsidR="00FE10BD">
              <w:rPr>
                <w:b w:val="0"/>
                <w:bCs w:val="0"/>
                <w:i w:val="0"/>
                <w:iCs w:val="0"/>
                <w:noProof/>
                <w:sz w:val="22"/>
                <w:szCs w:val="22"/>
              </w:rPr>
              <w:tab/>
            </w:r>
            <w:r w:rsidR="00FE10BD" w:rsidRPr="00AA424B">
              <w:rPr>
                <w:rStyle w:val="Hypertextovodkaz"/>
                <w:rFonts w:eastAsia="Times New Roman"/>
                <w:noProof/>
              </w:rPr>
              <w:t>Metodika hodnocení výzkumných organizací v segmentu rezortů</w:t>
            </w:r>
            <w:r w:rsidR="00FE10BD">
              <w:rPr>
                <w:noProof/>
                <w:webHidden/>
              </w:rPr>
              <w:tab/>
            </w:r>
            <w:r w:rsidR="00FE10BD">
              <w:rPr>
                <w:noProof/>
                <w:webHidden/>
              </w:rPr>
              <w:fldChar w:fldCharType="begin"/>
            </w:r>
            <w:r w:rsidR="00FE10BD">
              <w:rPr>
                <w:noProof/>
                <w:webHidden/>
              </w:rPr>
              <w:instrText xml:space="preserve"> PAGEREF _Toc462064489 \h </w:instrText>
            </w:r>
            <w:r w:rsidR="00FE10BD">
              <w:rPr>
                <w:noProof/>
                <w:webHidden/>
              </w:rPr>
            </w:r>
            <w:r w:rsidR="00FE10BD">
              <w:rPr>
                <w:noProof/>
                <w:webHidden/>
              </w:rPr>
              <w:fldChar w:fldCharType="separate"/>
            </w:r>
            <w:r>
              <w:rPr>
                <w:noProof/>
                <w:webHidden/>
              </w:rPr>
              <w:t>23</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90" w:history="1">
            <w:r w:rsidR="00FE10BD" w:rsidRPr="00AA424B">
              <w:rPr>
                <w:rStyle w:val="Hypertextovodkaz"/>
                <w:noProof/>
              </w:rPr>
              <w:t>4.1</w:t>
            </w:r>
            <w:r w:rsidR="00FE10BD">
              <w:rPr>
                <w:b w:val="0"/>
                <w:bCs w:val="0"/>
                <w:noProof/>
              </w:rPr>
              <w:tab/>
            </w:r>
            <w:r w:rsidR="00FE10BD" w:rsidRPr="00AA424B">
              <w:rPr>
                <w:rStyle w:val="Hypertextovodkaz"/>
                <w:noProof/>
              </w:rPr>
              <w:t>Úvod</w:t>
            </w:r>
            <w:r w:rsidR="00FE10BD">
              <w:rPr>
                <w:noProof/>
                <w:webHidden/>
              </w:rPr>
              <w:tab/>
            </w:r>
            <w:r w:rsidR="00FE10BD">
              <w:rPr>
                <w:noProof/>
                <w:webHidden/>
              </w:rPr>
              <w:fldChar w:fldCharType="begin"/>
            </w:r>
            <w:r w:rsidR="00FE10BD">
              <w:rPr>
                <w:noProof/>
                <w:webHidden/>
              </w:rPr>
              <w:instrText xml:space="preserve"> PAGEREF _Toc462064490 \h </w:instrText>
            </w:r>
            <w:r w:rsidR="00FE10BD">
              <w:rPr>
                <w:noProof/>
                <w:webHidden/>
              </w:rPr>
            </w:r>
            <w:r w:rsidR="00FE10BD">
              <w:rPr>
                <w:noProof/>
                <w:webHidden/>
              </w:rPr>
              <w:fldChar w:fldCharType="separate"/>
            </w:r>
            <w:r>
              <w:rPr>
                <w:noProof/>
                <w:webHidden/>
              </w:rPr>
              <w:t>23</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91" w:history="1">
            <w:r w:rsidR="00FE10BD" w:rsidRPr="00AA424B">
              <w:rPr>
                <w:rStyle w:val="Hypertextovodkaz"/>
                <w:noProof/>
              </w:rPr>
              <w:t>4.2</w:t>
            </w:r>
            <w:r w:rsidR="00FE10BD">
              <w:rPr>
                <w:b w:val="0"/>
                <w:bCs w:val="0"/>
                <w:noProof/>
              </w:rPr>
              <w:tab/>
            </w:r>
            <w:r w:rsidR="00FE10BD" w:rsidRPr="00AA424B">
              <w:rPr>
                <w:rStyle w:val="Hypertextovodkaz"/>
                <w:noProof/>
              </w:rPr>
              <w:t xml:space="preserve">Obecné zásady hodnocení </w:t>
            </w:r>
            <w:r w:rsidR="00FE10BD" w:rsidRPr="00AA424B">
              <w:rPr>
                <w:rStyle w:val="Hypertextovodkaz"/>
                <w:rFonts w:eastAsia="Times New Roman"/>
                <w:noProof/>
              </w:rPr>
              <w:t>v segmentu rezortů</w:t>
            </w:r>
            <w:r w:rsidR="00FE10BD">
              <w:rPr>
                <w:noProof/>
                <w:webHidden/>
              </w:rPr>
              <w:tab/>
            </w:r>
            <w:r w:rsidR="00FE10BD">
              <w:rPr>
                <w:noProof/>
                <w:webHidden/>
              </w:rPr>
              <w:fldChar w:fldCharType="begin"/>
            </w:r>
            <w:r w:rsidR="00FE10BD">
              <w:rPr>
                <w:noProof/>
                <w:webHidden/>
              </w:rPr>
              <w:instrText xml:space="preserve"> PAGEREF _Toc462064491 \h </w:instrText>
            </w:r>
            <w:r w:rsidR="00FE10BD">
              <w:rPr>
                <w:noProof/>
                <w:webHidden/>
              </w:rPr>
            </w:r>
            <w:r w:rsidR="00FE10BD">
              <w:rPr>
                <w:noProof/>
                <w:webHidden/>
              </w:rPr>
              <w:fldChar w:fldCharType="separate"/>
            </w:r>
            <w:r>
              <w:rPr>
                <w:noProof/>
                <w:webHidden/>
              </w:rPr>
              <w:t>23</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92" w:history="1">
            <w:r w:rsidR="00FE10BD" w:rsidRPr="00AA424B">
              <w:rPr>
                <w:rStyle w:val="Hypertextovodkaz"/>
                <w:noProof/>
              </w:rPr>
              <w:t>4.2.1</w:t>
            </w:r>
            <w:r w:rsidR="00FE10BD">
              <w:rPr>
                <w:noProof/>
                <w:sz w:val="22"/>
                <w:szCs w:val="22"/>
              </w:rPr>
              <w:tab/>
            </w:r>
            <w:r w:rsidR="00FE10BD" w:rsidRPr="00AA424B">
              <w:rPr>
                <w:rStyle w:val="Hypertextovodkaz"/>
                <w:noProof/>
              </w:rPr>
              <w:t>Cíle hodnocení</w:t>
            </w:r>
            <w:r w:rsidR="00FE10BD">
              <w:rPr>
                <w:noProof/>
                <w:webHidden/>
              </w:rPr>
              <w:tab/>
            </w:r>
            <w:r w:rsidR="00FE10BD">
              <w:rPr>
                <w:noProof/>
                <w:webHidden/>
              </w:rPr>
              <w:fldChar w:fldCharType="begin"/>
            </w:r>
            <w:r w:rsidR="00FE10BD">
              <w:rPr>
                <w:noProof/>
                <w:webHidden/>
              </w:rPr>
              <w:instrText xml:space="preserve"> PAGEREF _Toc462064492 \h </w:instrText>
            </w:r>
            <w:r w:rsidR="00FE10BD">
              <w:rPr>
                <w:noProof/>
                <w:webHidden/>
              </w:rPr>
            </w:r>
            <w:r w:rsidR="00FE10BD">
              <w:rPr>
                <w:noProof/>
                <w:webHidden/>
              </w:rPr>
              <w:fldChar w:fldCharType="separate"/>
            </w:r>
            <w:r>
              <w:rPr>
                <w:noProof/>
                <w:webHidden/>
              </w:rPr>
              <w:t>23</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93" w:history="1">
            <w:r w:rsidR="00FE10BD" w:rsidRPr="00AA424B">
              <w:rPr>
                <w:rStyle w:val="Hypertextovodkaz"/>
                <w:noProof/>
              </w:rPr>
              <w:t>4.2.2</w:t>
            </w:r>
            <w:r w:rsidR="00FE10BD">
              <w:rPr>
                <w:noProof/>
                <w:sz w:val="22"/>
                <w:szCs w:val="22"/>
              </w:rPr>
              <w:tab/>
            </w:r>
            <w:r w:rsidR="00FE10BD" w:rsidRPr="00AA424B">
              <w:rPr>
                <w:rStyle w:val="Hypertextovodkaz"/>
                <w:noProof/>
              </w:rPr>
              <w:t>Principy a zásady hodnocení</w:t>
            </w:r>
            <w:r w:rsidR="00FE10BD">
              <w:rPr>
                <w:noProof/>
                <w:webHidden/>
              </w:rPr>
              <w:tab/>
            </w:r>
            <w:r w:rsidR="00FE10BD">
              <w:rPr>
                <w:noProof/>
                <w:webHidden/>
              </w:rPr>
              <w:fldChar w:fldCharType="begin"/>
            </w:r>
            <w:r w:rsidR="00FE10BD">
              <w:rPr>
                <w:noProof/>
                <w:webHidden/>
              </w:rPr>
              <w:instrText xml:space="preserve"> PAGEREF _Toc462064493 \h </w:instrText>
            </w:r>
            <w:r w:rsidR="00FE10BD">
              <w:rPr>
                <w:noProof/>
                <w:webHidden/>
              </w:rPr>
            </w:r>
            <w:r w:rsidR="00FE10BD">
              <w:rPr>
                <w:noProof/>
                <w:webHidden/>
              </w:rPr>
              <w:fldChar w:fldCharType="separate"/>
            </w:r>
            <w:r>
              <w:rPr>
                <w:noProof/>
                <w:webHidden/>
              </w:rPr>
              <w:t>23</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94" w:history="1">
            <w:r w:rsidR="00FE10BD" w:rsidRPr="00AA424B">
              <w:rPr>
                <w:rStyle w:val="Hypertextovodkaz"/>
                <w:noProof/>
              </w:rPr>
              <w:t>4.2.3</w:t>
            </w:r>
            <w:r w:rsidR="00FE10BD">
              <w:rPr>
                <w:noProof/>
                <w:sz w:val="22"/>
                <w:szCs w:val="22"/>
              </w:rPr>
              <w:tab/>
            </w:r>
            <w:r w:rsidR="00FE10BD" w:rsidRPr="00AA424B">
              <w:rPr>
                <w:rStyle w:val="Hypertextovodkaz"/>
                <w:noProof/>
              </w:rPr>
              <w:t>Termíny hodnocení</w:t>
            </w:r>
            <w:r w:rsidR="00FE10BD">
              <w:rPr>
                <w:noProof/>
                <w:webHidden/>
              </w:rPr>
              <w:tab/>
            </w:r>
            <w:r w:rsidR="00FE10BD">
              <w:rPr>
                <w:noProof/>
                <w:webHidden/>
              </w:rPr>
              <w:fldChar w:fldCharType="begin"/>
            </w:r>
            <w:r w:rsidR="00FE10BD">
              <w:rPr>
                <w:noProof/>
                <w:webHidden/>
              </w:rPr>
              <w:instrText xml:space="preserve"> PAGEREF _Toc462064494 \h </w:instrText>
            </w:r>
            <w:r w:rsidR="00FE10BD">
              <w:rPr>
                <w:noProof/>
                <w:webHidden/>
              </w:rPr>
            </w:r>
            <w:r w:rsidR="00FE10BD">
              <w:rPr>
                <w:noProof/>
                <w:webHidden/>
              </w:rPr>
              <w:fldChar w:fldCharType="separate"/>
            </w:r>
            <w:r>
              <w:rPr>
                <w:noProof/>
                <w:webHidden/>
              </w:rPr>
              <w:t>25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95" w:history="1">
            <w:r w:rsidR="00FE10BD" w:rsidRPr="00AA424B">
              <w:rPr>
                <w:rStyle w:val="Hypertextovodkaz"/>
                <w:noProof/>
              </w:rPr>
              <w:t>4.3</w:t>
            </w:r>
            <w:r w:rsidR="00FE10BD">
              <w:rPr>
                <w:b w:val="0"/>
                <w:bCs w:val="0"/>
                <w:noProof/>
              </w:rPr>
              <w:tab/>
            </w:r>
            <w:r w:rsidR="00FE10BD" w:rsidRPr="00AA424B">
              <w:rPr>
                <w:rStyle w:val="Hypertextovodkaz"/>
                <w:noProof/>
              </w:rPr>
              <w:t>Hodnocení VO podle dlouhodobé koncepce rozvoje VO prováděné poskytovatelem</w:t>
            </w:r>
            <w:r w:rsidR="00FE10BD">
              <w:rPr>
                <w:noProof/>
                <w:webHidden/>
              </w:rPr>
              <w:tab/>
            </w:r>
            <w:r w:rsidR="00FE10BD">
              <w:rPr>
                <w:noProof/>
                <w:webHidden/>
              </w:rPr>
              <w:fldChar w:fldCharType="begin"/>
            </w:r>
            <w:r w:rsidR="00FE10BD">
              <w:rPr>
                <w:noProof/>
                <w:webHidden/>
              </w:rPr>
              <w:instrText xml:space="preserve"> PAGEREF _Toc462064495 \h </w:instrText>
            </w:r>
            <w:r w:rsidR="00FE10BD">
              <w:rPr>
                <w:noProof/>
                <w:webHidden/>
              </w:rPr>
            </w:r>
            <w:r w:rsidR="00FE10BD">
              <w:rPr>
                <w:noProof/>
                <w:webHidden/>
              </w:rPr>
              <w:fldChar w:fldCharType="separate"/>
            </w:r>
            <w:r>
              <w:rPr>
                <w:noProof/>
                <w:webHidden/>
              </w:rPr>
              <w:t>25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496" w:history="1">
            <w:r w:rsidR="00FE10BD" w:rsidRPr="00AA424B">
              <w:rPr>
                <w:rStyle w:val="Hypertextovodkaz"/>
                <w:noProof/>
              </w:rPr>
              <w:t>4.4</w:t>
            </w:r>
            <w:r w:rsidR="00FE10BD">
              <w:rPr>
                <w:b w:val="0"/>
                <w:bCs w:val="0"/>
                <w:noProof/>
              </w:rPr>
              <w:tab/>
            </w:r>
            <w:r w:rsidR="00FE10BD" w:rsidRPr="00AA424B">
              <w:rPr>
                <w:rStyle w:val="Hypertextovodkaz"/>
                <w:noProof/>
              </w:rPr>
              <w:t>Postup při hodnocení VO podle dlouhodobé koncepce rozvoje VO prováděném poskytovatelem</w:t>
            </w:r>
            <w:r w:rsidR="00FE10BD">
              <w:rPr>
                <w:noProof/>
                <w:webHidden/>
              </w:rPr>
              <w:tab/>
            </w:r>
            <w:r w:rsidR="00FE10BD">
              <w:rPr>
                <w:noProof/>
                <w:webHidden/>
              </w:rPr>
              <w:fldChar w:fldCharType="begin"/>
            </w:r>
            <w:r w:rsidR="00FE10BD">
              <w:rPr>
                <w:noProof/>
                <w:webHidden/>
              </w:rPr>
              <w:instrText xml:space="preserve"> PAGEREF _Toc462064496 \h </w:instrText>
            </w:r>
            <w:r w:rsidR="00FE10BD">
              <w:rPr>
                <w:noProof/>
                <w:webHidden/>
              </w:rPr>
            </w:r>
            <w:r w:rsidR="00FE10BD">
              <w:rPr>
                <w:noProof/>
                <w:webHidden/>
              </w:rPr>
              <w:fldChar w:fldCharType="separate"/>
            </w:r>
            <w:r>
              <w:rPr>
                <w:noProof/>
                <w:webHidden/>
              </w:rPr>
              <w:t>26</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97" w:history="1">
            <w:r w:rsidR="00FE10BD" w:rsidRPr="00AA424B">
              <w:rPr>
                <w:rStyle w:val="Hypertextovodkaz"/>
                <w:noProof/>
              </w:rPr>
              <w:t>4.4.1</w:t>
            </w:r>
            <w:r w:rsidR="00FE10BD">
              <w:rPr>
                <w:noProof/>
                <w:sz w:val="22"/>
                <w:szCs w:val="22"/>
              </w:rPr>
              <w:tab/>
            </w:r>
            <w:r w:rsidR="00FE10BD" w:rsidRPr="00AA424B">
              <w:rPr>
                <w:rStyle w:val="Hypertextovodkaz"/>
                <w:noProof/>
              </w:rPr>
              <w:t>Základní principy hodnocení VO</w:t>
            </w:r>
            <w:r w:rsidR="00FE10BD">
              <w:rPr>
                <w:noProof/>
                <w:webHidden/>
              </w:rPr>
              <w:tab/>
            </w:r>
            <w:r w:rsidR="00FE10BD">
              <w:rPr>
                <w:noProof/>
                <w:webHidden/>
              </w:rPr>
              <w:fldChar w:fldCharType="begin"/>
            </w:r>
            <w:r w:rsidR="00FE10BD">
              <w:rPr>
                <w:noProof/>
                <w:webHidden/>
              </w:rPr>
              <w:instrText xml:space="preserve"> PAGEREF _Toc462064497 \h </w:instrText>
            </w:r>
            <w:r w:rsidR="00FE10BD">
              <w:rPr>
                <w:noProof/>
                <w:webHidden/>
              </w:rPr>
            </w:r>
            <w:r w:rsidR="00FE10BD">
              <w:rPr>
                <w:noProof/>
                <w:webHidden/>
              </w:rPr>
              <w:fldChar w:fldCharType="separate"/>
            </w:r>
            <w:r>
              <w:rPr>
                <w:noProof/>
                <w:webHidden/>
              </w:rPr>
              <w:t>26</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498" w:history="1">
            <w:r w:rsidR="00FE10BD" w:rsidRPr="00AA424B">
              <w:rPr>
                <w:rStyle w:val="Hypertextovodkaz"/>
                <w:noProof/>
              </w:rPr>
              <w:t>4.4.2</w:t>
            </w:r>
            <w:r w:rsidR="00FE10BD">
              <w:rPr>
                <w:noProof/>
                <w:sz w:val="22"/>
                <w:szCs w:val="22"/>
              </w:rPr>
              <w:tab/>
            </w:r>
            <w:r w:rsidR="00FE10BD" w:rsidRPr="00AA424B">
              <w:rPr>
                <w:rStyle w:val="Hypertextovodkaz"/>
                <w:noProof/>
              </w:rPr>
              <w:t>Vstupní hodnocení na léta 2018 – 2022 prováděné v r. 2017</w:t>
            </w:r>
            <w:r w:rsidR="00FE10BD">
              <w:rPr>
                <w:noProof/>
                <w:webHidden/>
              </w:rPr>
              <w:tab/>
            </w:r>
            <w:r w:rsidR="00FE10BD">
              <w:rPr>
                <w:noProof/>
                <w:webHidden/>
              </w:rPr>
              <w:fldChar w:fldCharType="begin"/>
            </w:r>
            <w:r w:rsidR="00FE10BD">
              <w:rPr>
                <w:noProof/>
                <w:webHidden/>
              </w:rPr>
              <w:instrText xml:space="preserve"> PAGEREF _Toc462064498 \h </w:instrText>
            </w:r>
            <w:r w:rsidR="00FE10BD">
              <w:rPr>
                <w:noProof/>
                <w:webHidden/>
              </w:rPr>
            </w:r>
            <w:r w:rsidR="00FE10BD">
              <w:rPr>
                <w:noProof/>
                <w:webHidden/>
              </w:rPr>
              <w:fldChar w:fldCharType="separate"/>
            </w:r>
            <w:r>
              <w:rPr>
                <w:noProof/>
                <w:webHidden/>
              </w:rPr>
              <w:t>28</w:t>
            </w:r>
            <w:r w:rsidR="00FE10BD">
              <w:rPr>
                <w:noProof/>
                <w:webHidden/>
              </w:rPr>
              <w:fldChar w:fldCharType="end"/>
            </w:r>
          </w:hyperlink>
        </w:p>
        <w:p w:rsidR="00FE10BD" w:rsidRDefault="0016136C">
          <w:pPr>
            <w:pStyle w:val="Obsah3"/>
            <w:tabs>
              <w:tab w:val="left" w:pos="1320"/>
              <w:tab w:val="right" w:leader="dot" w:pos="9060"/>
            </w:tabs>
            <w:rPr>
              <w:noProof/>
              <w:sz w:val="22"/>
              <w:szCs w:val="22"/>
            </w:rPr>
          </w:pPr>
          <w:hyperlink w:anchor="_Toc462064499" w:history="1">
            <w:r w:rsidR="00FE10BD" w:rsidRPr="00AA424B">
              <w:rPr>
                <w:rStyle w:val="Hypertextovodkaz"/>
                <w:noProof/>
              </w:rPr>
              <w:t>1.1.1.</w:t>
            </w:r>
            <w:r w:rsidR="00FE10BD">
              <w:rPr>
                <w:noProof/>
                <w:sz w:val="22"/>
                <w:szCs w:val="22"/>
              </w:rPr>
              <w:tab/>
            </w:r>
            <w:r w:rsidR="00FE10BD" w:rsidRPr="00AA424B">
              <w:rPr>
                <w:rStyle w:val="Hypertextovodkaz"/>
                <w:noProof/>
              </w:rPr>
              <w:t>Výzva VO k předložení podkladů se stanovenými náležitostmi a se stanovením maximální výše podpory</w:t>
            </w:r>
            <w:r w:rsidR="00FE10BD">
              <w:rPr>
                <w:noProof/>
                <w:webHidden/>
              </w:rPr>
              <w:tab/>
            </w:r>
            <w:r w:rsidR="00FE10BD">
              <w:rPr>
                <w:noProof/>
                <w:webHidden/>
              </w:rPr>
              <w:fldChar w:fldCharType="begin"/>
            </w:r>
            <w:r w:rsidR="00FE10BD">
              <w:rPr>
                <w:noProof/>
                <w:webHidden/>
              </w:rPr>
              <w:instrText xml:space="preserve"> PAGEREF _Toc462064499 \h </w:instrText>
            </w:r>
            <w:r w:rsidR="00FE10BD">
              <w:rPr>
                <w:noProof/>
                <w:webHidden/>
              </w:rPr>
            </w:r>
            <w:r w:rsidR="00FE10BD">
              <w:rPr>
                <w:noProof/>
                <w:webHidden/>
              </w:rPr>
              <w:fldChar w:fldCharType="separate"/>
            </w:r>
            <w:r>
              <w:rPr>
                <w:noProof/>
                <w:webHidden/>
              </w:rPr>
              <w:t>28</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0" w:history="1">
            <w:r w:rsidR="00FE10BD" w:rsidRPr="00AA424B">
              <w:rPr>
                <w:rStyle w:val="Hypertextovodkaz"/>
                <w:noProof/>
              </w:rPr>
              <w:t>4.4.3</w:t>
            </w:r>
            <w:r w:rsidR="00FE10BD">
              <w:rPr>
                <w:noProof/>
                <w:sz w:val="22"/>
                <w:szCs w:val="22"/>
              </w:rPr>
              <w:tab/>
            </w:r>
            <w:r w:rsidR="00FE10BD" w:rsidRPr="00AA424B">
              <w:rPr>
                <w:rStyle w:val="Hypertextovodkaz"/>
                <w:noProof/>
              </w:rPr>
              <w:t>Předložení podkladů se stanovenými náležitostmi</w:t>
            </w:r>
            <w:r w:rsidR="00FE10BD">
              <w:rPr>
                <w:noProof/>
                <w:webHidden/>
              </w:rPr>
              <w:tab/>
            </w:r>
            <w:r w:rsidR="00FE10BD">
              <w:rPr>
                <w:noProof/>
                <w:webHidden/>
              </w:rPr>
              <w:fldChar w:fldCharType="begin"/>
            </w:r>
            <w:r w:rsidR="00FE10BD">
              <w:rPr>
                <w:noProof/>
                <w:webHidden/>
              </w:rPr>
              <w:instrText xml:space="preserve"> PAGEREF _Toc462064500 \h </w:instrText>
            </w:r>
            <w:r w:rsidR="00FE10BD">
              <w:rPr>
                <w:noProof/>
                <w:webHidden/>
              </w:rPr>
            </w:r>
            <w:r w:rsidR="00FE10BD">
              <w:rPr>
                <w:noProof/>
                <w:webHidden/>
              </w:rPr>
              <w:fldChar w:fldCharType="separate"/>
            </w:r>
            <w:r>
              <w:rPr>
                <w:noProof/>
                <w:webHidden/>
              </w:rPr>
              <w:t>30</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1" w:history="1">
            <w:r w:rsidR="00FE10BD" w:rsidRPr="00AA424B">
              <w:rPr>
                <w:rStyle w:val="Hypertextovodkaz"/>
                <w:noProof/>
              </w:rPr>
              <w:t>4.4.4</w:t>
            </w:r>
            <w:r w:rsidR="00FE10BD">
              <w:rPr>
                <w:noProof/>
                <w:sz w:val="22"/>
                <w:szCs w:val="22"/>
              </w:rPr>
              <w:tab/>
            </w:r>
            <w:r w:rsidR="00FE10BD" w:rsidRPr="00AA424B">
              <w:rPr>
                <w:rStyle w:val="Hypertextovodkaz"/>
                <w:noProof/>
              </w:rPr>
              <w:t>Zhodnocení úplnosti podkladů a údajů poskytovatelem (1. fáze hodnocení)</w:t>
            </w:r>
            <w:r w:rsidR="00FE10BD">
              <w:rPr>
                <w:noProof/>
                <w:webHidden/>
              </w:rPr>
              <w:tab/>
            </w:r>
            <w:r w:rsidR="00FE10BD">
              <w:rPr>
                <w:noProof/>
                <w:webHidden/>
              </w:rPr>
              <w:fldChar w:fldCharType="begin"/>
            </w:r>
            <w:r w:rsidR="00FE10BD">
              <w:rPr>
                <w:noProof/>
                <w:webHidden/>
              </w:rPr>
              <w:instrText xml:space="preserve"> PAGEREF _Toc462064501 \h </w:instrText>
            </w:r>
            <w:r w:rsidR="00FE10BD">
              <w:rPr>
                <w:noProof/>
                <w:webHidden/>
              </w:rPr>
            </w:r>
            <w:r w:rsidR="00FE10BD">
              <w:rPr>
                <w:noProof/>
                <w:webHidden/>
              </w:rPr>
              <w:fldChar w:fldCharType="separate"/>
            </w:r>
            <w:r>
              <w:rPr>
                <w:noProof/>
                <w:webHidden/>
              </w:rPr>
              <w:t>30</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2" w:history="1">
            <w:r w:rsidR="00FE10BD" w:rsidRPr="00AA424B">
              <w:rPr>
                <w:rStyle w:val="Hypertextovodkaz"/>
                <w:noProof/>
              </w:rPr>
              <w:t>4.4.5</w:t>
            </w:r>
            <w:r w:rsidR="00FE10BD">
              <w:rPr>
                <w:noProof/>
                <w:sz w:val="22"/>
                <w:szCs w:val="22"/>
              </w:rPr>
              <w:tab/>
            </w:r>
            <w:r w:rsidR="00FE10BD" w:rsidRPr="00AA424B">
              <w:rPr>
                <w:rStyle w:val="Hypertextovodkaz"/>
                <w:noProof/>
              </w:rPr>
              <w:t>Zhodnocení plnění kritérií pro poskytnutí podpory poskytovatelem (2. fáze hodnocení)</w:t>
            </w:r>
            <w:r w:rsidR="00FE10BD">
              <w:rPr>
                <w:noProof/>
                <w:webHidden/>
              </w:rPr>
              <w:tab/>
            </w:r>
            <w:r w:rsidR="00FE10BD">
              <w:rPr>
                <w:noProof/>
                <w:webHidden/>
              </w:rPr>
              <w:fldChar w:fldCharType="begin"/>
            </w:r>
            <w:r w:rsidR="00FE10BD">
              <w:rPr>
                <w:noProof/>
                <w:webHidden/>
              </w:rPr>
              <w:instrText xml:space="preserve"> PAGEREF _Toc462064502 \h </w:instrText>
            </w:r>
            <w:r w:rsidR="00FE10BD">
              <w:rPr>
                <w:noProof/>
                <w:webHidden/>
              </w:rPr>
            </w:r>
            <w:r w:rsidR="00FE10BD">
              <w:rPr>
                <w:noProof/>
                <w:webHidden/>
              </w:rPr>
              <w:fldChar w:fldCharType="separate"/>
            </w:r>
            <w:r>
              <w:rPr>
                <w:noProof/>
                <w:webHidden/>
              </w:rPr>
              <w:t>30</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3" w:history="1">
            <w:r w:rsidR="00FE10BD" w:rsidRPr="00AA424B">
              <w:rPr>
                <w:rStyle w:val="Hypertextovodkaz"/>
                <w:noProof/>
              </w:rPr>
              <w:t>4.4.6</w:t>
            </w:r>
            <w:r w:rsidR="00FE10BD">
              <w:rPr>
                <w:noProof/>
                <w:sz w:val="22"/>
                <w:szCs w:val="22"/>
              </w:rPr>
              <w:tab/>
            </w:r>
            <w:r w:rsidR="00FE10BD" w:rsidRPr="00AA424B">
              <w:rPr>
                <w:rStyle w:val="Hypertextovodkaz"/>
                <w:noProof/>
              </w:rPr>
              <w:t>Zhodnocení dlouhodobé koncepce rozvoje VO poskytovatelem hodnocením „peer review“ pomocí odborného poradního orgánu (3. fáze hodnocení)</w:t>
            </w:r>
            <w:r w:rsidR="00FE10BD">
              <w:rPr>
                <w:noProof/>
                <w:webHidden/>
              </w:rPr>
              <w:tab/>
            </w:r>
            <w:r w:rsidR="00FE10BD">
              <w:rPr>
                <w:noProof/>
                <w:webHidden/>
              </w:rPr>
              <w:fldChar w:fldCharType="begin"/>
            </w:r>
            <w:r w:rsidR="00FE10BD">
              <w:rPr>
                <w:noProof/>
                <w:webHidden/>
              </w:rPr>
              <w:instrText xml:space="preserve"> PAGEREF _Toc462064503 \h </w:instrText>
            </w:r>
            <w:r w:rsidR="00FE10BD">
              <w:rPr>
                <w:noProof/>
                <w:webHidden/>
              </w:rPr>
            </w:r>
            <w:r w:rsidR="00FE10BD">
              <w:rPr>
                <w:noProof/>
                <w:webHidden/>
              </w:rPr>
              <w:fldChar w:fldCharType="separate"/>
            </w:r>
            <w:r>
              <w:rPr>
                <w:noProof/>
                <w:webHidden/>
              </w:rPr>
              <w:t>30</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4" w:history="1">
            <w:r w:rsidR="00FE10BD" w:rsidRPr="00AA424B">
              <w:rPr>
                <w:rStyle w:val="Hypertextovodkaz"/>
                <w:noProof/>
              </w:rPr>
              <w:t>4.4.7</w:t>
            </w:r>
            <w:r w:rsidR="00FE10BD">
              <w:rPr>
                <w:noProof/>
                <w:sz w:val="22"/>
                <w:szCs w:val="22"/>
              </w:rPr>
              <w:tab/>
            </w:r>
            <w:r w:rsidR="00FE10BD" w:rsidRPr="00AA424B">
              <w:rPr>
                <w:rStyle w:val="Hypertextovodkaz"/>
                <w:noProof/>
              </w:rPr>
              <w:t>Vydání rozhodnutí o poskytnutí institucionální podpory a jeho zveřejnění</w:t>
            </w:r>
            <w:r w:rsidR="00FE10BD">
              <w:rPr>
                <w:noProof/>
                <w:webHidden/>
              </w:rPr>
              <w:tab/>
            </w:r>
            <w:r w:rsidR="00FE10BD">
              <w:rPr>
                <w:noProof/>
                <w:webHidden/>
              </w:rPr>
              <w:fldChar w:fldCharType="begin"/>
            </w:r>
            <w:r w:rsidR="00FE10BD">
              <w:rPr>
                <w:noProof/>
                <w:webHidden/>
              </w:rPr>
              <w:instrText xml:space="preserve"> PAGEREF _Toc462064504 \h </w:instrText>
            </w:r>
            <w:r w:rsidR="00FE10BD">
              <w:rPr>
                <w:noProof/>
                <w:webHidden/>
              </w:rPr>
            </w:r>
            <w:r w:rsidR="00FE10BD">
              <w:rPr>
                <w:noProof/>
                <w:webHidden/>
              </w:rPr>
              <w:fldChar w:fldCharType="separate"/>
            </w:r>
            <w:r>
              <w:rPr>
                <w:noProof/>
                <w:webHidden/>
              </w:rPr>
              <w:t>31</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5" w:history="1">
            <w:r w:rsidR="00FE10BD" w:rsidRPr="00AA424B">
              <w:rPr>
                <w:rStyle w:val="Hypertextovodkaz"/>
                <w:noProof/>
              </w:rPr>
              <w:t>4.4.8</w:t>
            </w:r>
            <w:r w:rsidR="00FE10BD">
              <w:rPr>
                <w:noProof/>
                <w:sz w:val="22"/>
                <w:szCs w:val="22"/>
              </w:rPr>
              <w:tab/>
            </w:r>
            <w:r w:rsidR="00FE10BD" w:rsidRPr="00AA424B">
              <w:rPr>
                <w:rStyle w:val="Hypertextovodkaz"/>
                <w:noProof/>
              </w:rPr>
              <w:t>Průběžné hodnocení za roky 2018 – 2021 prováděné v letech 2019 - 2022</w:t>
            </w:r>
            <w:r w:rsidR="00FE10BD">
              <w:rPr>
                <w:noProof/>
                <w:webHidden/>
              </w:rPr>
              <w:tab/>
            </w:r>
            <w:r w:rsidR="00FE10BD">
              <w:rPr>
                <w:noProof/>
                <w:webHidden/>
              </w:rPr>
              <w:fldChar w:fldCharType="begin"/>
            </w:r>
            <w:r w:rsidR="00FE10BD">
              <w:rPr>
                <w:noProof/>
                <w:webHidden/>
              </w:rPr>
              <w:instrText xml:space="preserve"> PAGEREF _Toc462064505 \h </w:instrText>
            </w:r>
            <w:r w:rsidR="00FE10BD">
              <w:rPr>
                <w:noProof/>
                <w:webHidden/>
              </w:rPr>
            </w:r>
            <w:r w:rsidR="00FE10BD">
              <w:rPr>
                <w:noProof/>
                <w:webHidden/>
              </w:rPr>
              <w:fldChar w:fldCharType="separate"/>
            </w:r>
            <w:r>
              <w:rPr>
                <w:noProof/>
                <w:webHidden/>
              </w:rPr>
              <w:t>32</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6" w:history="1">
            <w:r w:rsidR="00FE10BD" w:rsidRPr="00AA424B">
              <w:rPr>
                <w:rStyle w:val="Hypertextovodkaz"/>
                <w:noProof/>
              </w:rPr>
              <w:t>4.4.9</w:t>
            </w:r>
            <w:r w:rsidR="00FE10BD">
              <w:rPr>
                <w:noProof/>
                <w:sz w:val="22"/>
                <w:szCs w:val="22"/>
              </w:rPr>
              <w:tab/>
            </w:r>
            <w:r w:rsidR="00FE10BD" w:rsidRPr="00AA424B">
              <w:rPr>
                <w:rStyle w:val="Hypertextovodkaz"/>
                <w:noProof/>
              </w:rPr>
              <w:t>Průběžná zpráva</w:t>
            </w:r>
            <w:r w:rsidR="00FE10BD">
              <w:rPr>
                <w:noProof/>
                <w:webHidden/>
              </w:rPr>
              <w:tab/>
            </w:r>
            <w:r w:rsidR="00FE10BD">
              <w:rPr>
                <w:noProof/>
                <w:webHidden/>
              </w:rPr>
              <w:fldChar w:fldCharType="begin"/>
            </w:r>
            <w:r w:rsidR="00FE10BD">
              <w:rPr>
                <w:noProof/>
                <w:webHidden/>
              </w:rPr>
              <w:instrText xml:space="preserve"> PAGEREF _Toc462064506 \h </w:instrText>
            </w:r>
            <w:r w:rsidR="00FE10BD">
              <w:rPr>
                <w:noProof/>
                <w:webHidden/>
              </w:rPr>
            </w:r>
            <w:r w:rsidR="00FE10BD">
              <w:rPr>
                <w:noProof/>
                <w:webHidden/>
              </w:rPr>
              <w:fldChar w:fldCharType="separate"/>
            </w:r>
            <w:r>
              <w:rPr>
                <w:noProof/>
                <w:webHidden/>
              </w:rPr>
              <w:t>32</w:t>
            </w:r>
            <w:r w:rsidR="00FE10BD">
              <w:rPr>
                <w:noProof/>
                <w:webHidden/>
              </w:rPr>
              <w:fldChar w:fldCharType="end"/>
            </w:r>
          </w:hyperlink>
        </w:p>
        <w:p w:rsidR="00FE10BD" w:rsidRDefault="0016136C">
          <w:pPr>
            <w:pStyle w:val="Obsah3"/>
            <w:tabs>
              <w:tab w:val="left" w:pos="1320"/>
              <w:tab w:val="right" w:leader="dot" w:pos="9060"/>
            </w:tabs>
            <w:rPr>
              <w:noProof/>
              <w:sz w:val="22"/>
              <w:szCs w:val="22"/>
            </w:rPr>
          </w:pPr>
          <w:hyperlink w:anchor="_Toc462064507" w:history="1">
            <w:r w:rsidR="00FE10BD" w:rsidRPr="00AA424B">
              <w:rPr>
                <w:rStyle w:val="Hypertextovodkaz"/>
                <w:noProof/>
              </w:rPr>
              <w:t>4.4.10</w:t>
            </w:r>
            <w:r w:rsidR="00FE10BD">
              <w:rPr>
                <w:noProof/>
                <w:sz w:val="22"/>
                <w:szCs w:val="22"/>
              </w:rPr>
              <w:tab/>
            </w:r>
            <w:r w:rsidR="00FE10BD" w:rsidRPr="00AA424B">
              <w:rPr>
                <w:rStyle w:val="Hypertextovodkaz"/>
                <w:noProof/>
              </w:rPr>
              <w:t>Změny v průběhu roku</w:t>
            </w:r>
            <w:r w:rsidR="00FE10BD">
              <w:rPr>
                <w:noProof/>
                <w:webHidden/>
              </w:rPr>
              <w:tab/>
            </w:r>
            <w:r w:rsidR="00FE10BD">
              <w:rPr>
                <w:noProof/>
                <w:webHidden/>
              </w:rPr>
              <w:fldChar w:fldCharType="begin"/>
            </w:r>
            <w:r w:rsidR="00FE10BD">
              <w:rPr>
                <w:noProof/>
                <w:webHidden/>
              </w:rPr>
              <w:instrText xml:space="preserve"> PAGEREF _Toc462064507 \h </w:instrText>
            </w:r>
            <w:r w:rsidR="00FE10BD">
              <w:rPr>
                <w:noProof/>
                <w:webHidden/>
              </w:rPr>
            </w:r>
            <w:r w:rsidR="00FE10BD">
              <w:rPr>
                <w:noProof/>
                <w:webHidden/>
              </w:rPr>
              <w:fldChar w:fldCharType="separate"/>
            </w:r>
            <w:r>
              <w:rPr>
                <w:noProof/>
                <w:webHidden/>
              </w:rPr>
              <w:t>32</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08" w:history="1">
            <w:r w:rsidR="00FE10BD" w:rsidRPr="00AA424B">
              <w:rPr>
                <w:rStyle w:val="Hypertextovodkaz"/>
                <w:noProof/>
              </w:rPr>
              <w:t>4.5</w:t>
            </w:r>
            <w:r w:rsidR="00FE10BD">
              <w:rPr>
                <w:b w:val="0"/>
                <w:bCs w:val="0"/>
                <w:noProof/>
              </w:rPr>
              <w:tab/>
            </w:r>
            <w:r w:rsidR="00FE10BD" w:rsidRPr="00AA424B">
              <w:rPr>
                <w:rStyle w:val="Hypertextovodkaz"/>
                <w:noProof/>
              </w:rPr>
              <w:t>Závěrečné hodnocení za období 2018 – 2022 prováděné v r. 2023</w:t>
            </w:r>
            <w:r w:rsidR="00FE10BD">
              <w:rPr>
                <w:noProof/>
                <w:webHidden/>
              </w:rPr>
              <w:tab/>
            </w:r>
            <w:r w:rsidR="00FE10BD">
              <w:rPr>
                <w:noProof/>
                <w:webHidden/>
              </w:rPr>
              <w:fldChar w:fldCharType="begin"/>
            </w:r>
            <w:r w:rsidR="00FE10BD">
              <w:rPr>
                <w:noProof/>
                <w:webHidden/>
              </w:rPr>
              <w:instrText xml:space="preserve"> PAGEREF _Toc462064508 \h </w:instrText>
            </w:r>
            <w:r w:rsidR="00FE10BD">
              <w:rPr>
                <w:noProof/>
                <w:webHidden/>
              </w:rPr>
            </w:r>
            <w:r w:rsidR="00FE10BD">
              <w:rPr>
                <w:noProof/>
                <w:webHidden/>
              </w:rPr>
              <w:fldChar w:fldCharType="separate"/>
            </w:r>
            <w:r>
              <w:rPr>
                <w:noProof/>
                <w:webHidden/>
              </w:rPr>
              <w:t>32</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09" w:history="1">
            <w:r w:rsidR="00FE10BD" w:rsidRPr="00AA424B">
              <w:rPr>
                <w:rStyle w:val="Hypertextovodkaz"/>
                <w:noProof/>
              </w:rPr>
              <w:t>4.5.1</w:t>
            </w:r>
            <w:r w:rsidR="00FE10BD">
              <w:rPr>
                <w:noProof/>
                <w:sz w:val="22"/>
                <w:szCs w:val="22"/>
              </w:rPr>
              <w:tab/>
            </w:r>
            <w:r w:rsidR="00FE10BD" w:rsidRPr="00AA424B">
              <w:rPr>
                <w:rStyle w:val="Hypertextovodkaz"/>
                <w:noProof/>
              </w:rPr>
              <w:t>Závěrečná zpráva</w:t>
            </w:r>
            <w:r w:rsidR="00FE10BD">
              <w:rPr>
                <w:noProof/>
                <w:webHidden/>
              </w:rPr>
              <w:tab/>
            </w:r>
            <w:r w:rsidR="00FE10BD">
              <w:rPr>
                <w:noProof/>
                <w:webHidden/>
              </w:rPr>
              <w:fldChar w:fldCharType="begin"/>
            </w:r>
            <w:r w:rsidR="00FE10BD">
              <w:rPr>
                <w:noProof/>
                <w:webHidden/>
              </w:rPr>
              <w:instrText xml:space="preserve"> PAGEREF _Toc462064509 \h </w:instrText>
            </w:r>
            <w:r w:rsidR="00FE10BD">
              <w:rPr>
                <w:noProof/>
                <w:webHidden/>
              </w:rPr>
            </w:r>
            <w:r w:rsidR="00FE10BD">
              <w:rPr>
                <w:noProof/>
                <w:webHidden/>
              </w:rPr>
              <w:fldChar w:fldCharType="separate"/>
            </w:r>
            <w:r>
              <w:rPr>
                <w:noProof/>
                <w:webHidden/>
              </w:rPr>
              <w:t>32</w:t>
            </w:r>
            <w:r w:rsidR="00FE10BD">
              <w:rPr>
                <w:noProof/>
                <w:webHidden/>
              </w:rPr>
              <w:fldChar w:fldCharType="end"/>
            </w:r>
          </w:hyperlink>
        </w:p>
        <w:p w:rsidR="00FE10BD" w:rsidRDefault="0016136C">
          <w:pPr>
            <w:pStyle w:val="Obsah3"/>
            <w:tabs>
              <w:tab w:val="left" w:pos="1100"/>
              <w:tab w:val="right" w:leader="dot" w:pos="9060"/>
            </w:tabs>
            <w:rPr>
              <w:noProof/>
              <w:sz w:val="22"/>
              <w:szCs w:val="22"/>
            </w:rPr>
          </w:pPr>
          <w:hyperlink w:anchor="_Toc462064510" w:history="1">
            <w:r w:rsidR="00FE10BD" w:rsidRPr="00AA424B">
              <w:rPr>
                <w:rStyle w:val="Hypertextovodkaz"/>
                <w:noProof/>
              </w:rPr>
              <w:t>4.5.2</w:t>
            </w:r>
            <w:r w:rsidR="00FE10BD">
              <w:rPr>
                <w:noProof/>
                <w:sz w:val="22"/>
                <w:szCs w:val="22"/>
              </w:rPr>
              <w:tab/>
            </w:r>
            <w:r w:rsidR="00FE10BD" w:rsidRPr="00AA424B">
              <w:rPr>
                <w:rStyle w:val="Hypertextovodkaz"/>
                <w:noProof/>
              </w:rPr>
              <w:t>Závěrečné hodnocení</w:t>
            </w:r>
            <w:r w:rsidR="00FE10BD">
              <w:rPr>
                <w:noProof/>
                <w:webHidden/>
              </w:rPr>
              <w:tab/>
            </w:r>
            <w:r w:rsidR="00FE10BD">
              <w:rPr>
                <w:noProof/>
                <w:webHidden/>
              </w:rPr>
              <w:fldChar w:fldCharType="begin"/>
            </w:r>
            <w:r w:rsidR="00FE10BD">
              <w:rPr>
                <w:noProof/>
                <w:webHidden/>
              </w:rPr>
              <w:instrText xml:space="preserve"> PAGEREF _Toc462064510 \h </w:instrText>
            </w:r>
            <w:r w:rsidR="00FE10BD">
              <w:rPr>
                <w:noProof/>
                <w:webHidden/>
              </w:rPr>
            </w:r>
            <w:r w:rsidR="00FE10BD">
              <w:rPr>
                <w:noProof/>
                <w:webHidden/>
              </w:rPr>
              <w:fldChar w:fldCharType="separate"/>
            </w:r>
            <w:r>
              <w:rPr>
                <w:noProof/>
                <w:webHidden/>
              </w:rPr>
              <w:t>33</w:t>
            </w:r>
            <w:r w:rsidR="00FE10BD">
              <w:rPr>
                <w:noProof/>
                <w:webHidden/>
              </w:rPr>
              <w:fldChar w:fldCharType="end"/>
            </w:r>
          </w:hyperlink>
        </w:p>
        <w:p w:rsidR="00FE10BD" w:rsidRDefault="0016136C">
          <w:pPr>
            <w:pStyle w:val="Obsah1"/>
            <w:tabs>
              <w:tab w:val="left" w:pos="440"/>
              <w:tab w:val="right" w:leader="dot" w:pos="9060"/>
            </w:tabs>
            <w:rPr>
              <w:b w:val="0"/>
              <w:bCs w:val="0"/>
              <w:i w:val="0"/>
              <w:iCs w:val="0"/>
              <w:noProof/>
              <w:sz w:val="22"/>
              <w:szCs w:val="22"/>
            </w:rPr>
          </w:pPr>
          <w:hyperlink w:anchor="_Toc462064511" w:history="1">
            <w:r w:rsidR="00FE10BD" w:rsidRPr="00AA424B">
              <w:rPr>
                <w:rStyle w:val="Hypertextovodkaz"/>
                <w:noProof/>
              </w:rPr>
              <w:t>5</w:t>
            </w:r>
            <w:r w:rsidR="00FE10BD">
              <w:rPr>
                <w:b w:val="0"/>
                <w:bCs w:val="0"/>
                <w:i w:val="0"/>
                <w:iCs w:val="0"/>
                <w:noProof/>
                <w:sz w:val="22"/>
                <w:szCs w:val="22"/>
              </w:rPr>
              <w:tab/>
            </w:r>
            <w:r w:rsidR="00FE10BD" w:rsidRPr="00AA424B">
              <w:rPr>
                <w:rStyle w:val="Hypertextovodkaz"/>
                <w:noProof/>
              </w:rPr>
              <w:t>Hodnocení AV ČR</w:t>
            </w:r>
            <w:r w:rsidR="00FE10BD">
              <w:rPr>
                <w:noProof/>
                <w:webHidden/>
              </w:rPr>
              <w:tab/>
            </w:r>
            <w:r w:rsidR="00FE10BD">
              <w:rPr>
                <w:noProof/>
                <w:webHidden/>
              </w:rPr>
              <w:fldChar w:fldCharType="begin"/>
            </w:r>
            <w:r w:rsidR="00FE10BD">
              <w:rPr>
                <w:noProof/>
                <w:webHidden/>
              </w:rPr>
              <w:instrText xml:space="preserve"> PAGEREF _Toc462064511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12" w:history="1">
            <w:r w:rsidR="00FE10BD" w:rsidRPr="00AA424B">
              <w:rPr>
                <w:rStyle w:val="Hypertextovodkaz"/>
                <w:noProof/>
              </w:rPr>
              <w:t>5.1</w:t>
            </w:r>
            <w:r w:rsidR="00FE10BD">
              <w:rPr>
                <w:b w:val="0"/>
                <w:bCs w:val="0"/>
                <w:noProof/>
              </w:rPr>
              <w:tab/>
            </w:r>
            <w:r w:rsidR="00FE10BD" w:rsidRPr="00AA424B">
              <w:rPr>
                <w:rStyle w:val="Hypertextovodkaz"/>
                <w:noProof/>
              </w:rPr>
              <w:t>Stav</w:t>
            </w:r>
            <w:r w:rsidR="00FE10BD">
              <w:rPr>
                <w:noProof/>
                <w:webHidden/>
              </w:rPr>
              <w:tab/>
            </w:r>
            <w:r w:rsidR="00FE10BD">
              <w:rPr>
                <w:noProof/>
                <w:webHidden/>
              </w:rPr>
              <w:fldChar w:fldCharType="begin"/>
            </w:r>
            <w:r w:rsidR="00FE10BD">
              <w:rPr>
                <w:noProof/>
                <w:webHidden/>
              </w:rPr>
              <w:instrText xml:space="preserve"> PAGEREF _Toc462064512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13" w:history="1">
            <w:r w:rsidR="00FE10BD" w:rsidRPr="00AA424B">
              <w:rPr>
                <w:rStyle w:val="Hypertextovodkaz"/>
                <w:noProof/>
              </w:rPr>
              <w:t>5.2</w:t>
            </w:r>
            <w:r w:rsidR="00FE10BD">
              <w:rPr>
                <w:b w:val="0"/>
                <w:bCs w:val="0"/>
                <w:noProof/>
              </w:rPr>
              <w:tab/>
            </w:r>
            <w:r w:rsidR="00FE10BD" w:rsidRPr="00AA424B">
              <w:rPr>
                <w:rStyle w:val="Hypertextovodkaz"/>
                <w:noProof/>
              </w:rPr>
              <w:t>Účel hodnocení</w:t>
            </w:r>
            <w:r w:rsidR="00FE10BD">
              <w:rPr>
                <w:noProof/>
                <w:webHidden/>
              </w:rPr>
              <w:tab/>
            </w:r>
            <w:r w:rsidR="00FE10BD">
              <w:rPr>
                <w:noProof/>
                <w:webHidden/>
              </w:rPr>
              <w:fldChar w:fldCharType="begin"/>
            </w:r>
            <w:r w:rsidR="00FE10BD">
              <w:rPr>
                <w:noProof/>
                <w:webHidden/>
              </w:rPr>
              <w:instrText xml:space="preserve"> PAGEREF _Toc462064513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14" w:history="1">
            <w:r w:rsidR="00FE10BD" w:rsidRPr="00AA424B">
              <w:rPr>
                <w:rStyle w:val="Hypertextovodkaz"/>
                <w:noProof/>
              </w:rPr>
              <w:t>5.3</w:t>
            </w:r>
            <w:r w:rsidR="00FE10BD">
              <w:rPr>
                <w:b w:val="0"/>
                <w:bCs w:val="0"/>
                <w:noProof/>
              </w:rPr>
              <w:tab/>
            </w:r>
            <w:r w:rsidR="00FE10BD" w:rsidRPr="00AA424B">
              <w:rPr>
                <w:rStyle w:val="Hypertextovodkaz"/>
                <w:noProof/>
              </w:rPr>
              <w:t>Cíle hodnocení</w:t>
            </w:r>
            <w:r w:rsidR="00FE10BD">
              <w:rPr>
                <w:noProof/>
                <w:webHidden/>
              </w:rPr>
              <w:tab/>
            </w:r>
            <w:r w:rsidR="00FE10BD">
              <w:rPr>
                <w:noProof/>
                <w:webHidden/>
              </w:rPr>
              <w:fldChar w:fldCharType="begin"/>
            </w:r>
            <w:r w:rsidR="00FE10BD">
              <w:rPr>
                <w:noProof/>
                <w:webHidden/>
              </w:rPr>
              <w:instrText xml:space="preserve"> PAGEREF _Toc462064514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15" w:history="1">
            <w:r w:rsidR="00FE10BD" w:rsidRPr="00AA424B">
              <w:rPr>
                <w:rStyle w:val="Hypertextovodkaz"/>
                <w:noProof/>
              </w:rPr>
              <w:t>5.4</w:t>
            </w:r>
            <w:r w:rsidR="00FE10BD">
              <w:rPr>
                <w:b w:val="0"/>
                <w:bCs w:val="0"/>
                <w:noProof/>
              </w:rPr>
              <w:tab/>
            </w:r>
            <w:r w:rsidR="00FE10BD" w:rsidRPr="00AA424B">
              <w:rPr>
                <w:rStyle w:val="Hypertextovodkaz"/>
                <w:noProof/>
              </w:rPr>
              <w:t>Principy, obsah a hodnotící procesy</w:t>
            </w:r>
            <w:r w:rsidR="00FE10BD">
              <w:rPr>
                <w:noProof/>
                <w:webHidden/>
              </w:rPr>
              <w:tab/>
            </w:r>
            <w:r w:rsidR="00FE10BD">
              <w:rPr>
                <w:noProof/>
                <w:webHidden/>
              </w:rPr>
              <w:fldChar w:fldCharType="begin"/>
            </w:r>
            <w:r w:rsidR="00FE10BD">
              <w:rPr>
                <w:noProof/>
                <w:webHidden/>
              </w:rPr>
              <w:instrText xml:space="preserve"> PAGEREF _Toc462064515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FE10BD" w:rsidRDefault="0016136C">
          <w:pPr>
            <w:pStyle w:val="Obsah2"/>
            <w:tabs>
              <w:tab w:val="left" w:pos="880"/>
              <w:tab w:val="right" w:leader="dot" w:pos="9060"/>
            </w:tabs>
            <w:rPr>
              <w:b w:val="0"/>
              <w:bCs w:val="0"/>
              <w:noProof/>
            </w:rPr>
          </w:pPr>
          <w:hyperlink w:anchor="_Toc462064516" w:history="1">
            <w:r w:rsidR="00FE10BD" w:rsidRPr="00AA424B">
              <w:rPr>
                <w:rStyle w:val="Hypertextovodkaz"/>
                <w:noProof/>
              </w:rPr>
              <w:t>5.5</w:t>
            </w:r>
            <w:r w:rsidR="00FE10BD">
              <w:rPr>
                <w:b w:val="0"/>
                <w:bCs w:val="0"/>
                <w:noProof/>
              </w:rPr>
              <w:tab/>
            </w:r>
            <w:r w:rsidR="00FE10BD" w:rsidRPr="00AA424B">
              <w:rPr>
                <w:rStyle w:val="Hypertextovodkaz"/>
                <w:noProof/>
              </w:rPr>
              <w:t>Budoucí vývoj</w:t>
            </w:r>
            <w:r w:rsidR="00FE10BD">
              <w:rPr>
                <w:noProof/>
                <w:webHidden/>
              </w:rPr>
              <w:tab/>
            </w:r>
            <w:r w:rsidR="00FE10BD">
              <w:rPr>
                <w:noProof/>
                <w:webHidden/>
              </w:rPr>
              <w:fldChar w:fldCharType="begin"/>
            </w:r>
            <w:r w:rsidR="00FE10BD">
              <w:rPr>
                <w:noProof/>
                <w:webHidden/>
              </w:rPr>
              <w:instrText xml:space="preserve"> PAGEREF _Toc462064516 \h </w:instrText>
            </w:r>
            <w:r w:rsidR="00FE10BD">
              <w:rPr>
                <w:noProof/>
                <w:webHidden/>
              </w:rPr>
            </w:r>
            <w:r w:rsidR="00FE10BD">
              <w:rPr>
                <w:noProof/>
                <w:webHidden/>
              </w:rPr>
              <w:fldChar w:fldCharType="separate"/>
            </w:r>
            <w:r>
              <w:rPr>
                <w:noProof/>
                <w:webHidden/>
              </w:rPr>
              <w:t>35</w:t>
            </w:r>
            <w:r w:rsidR="00FE10BD">
              <w:rPr>
                <w:noProof/>
                <w:webHidden/>
              </w:rPr>
              <w:fldChar w:fldCharType="end"/>
            </w:r>
          </w:hyperlink>
        </w:p>
        <w:p w:rsidR="00181D6D" w:rsidRDefault="00713336">
          <w:r>
            <w:rPr>
              <w:b/>
              <w:bCs/>
            </w:rPr>
            <w:fldChar w:fldCharType="end"/>
          </w:r>
        </w:p>
      </w:sdtContent>
    </w:sdt>
    <w:p w:rsidR="00353F87" w:rsidRDefault="00353F87">
      <w:pPr>
        <w:rPr>
          <w:rFonts w:eastAsiaTheme="majorEastAsia" w:cs="Arial"/>
          <w:b/>
          <w:bCs/>
          <w:color w:val="0070C0"/>
          <w:sz w:val="28"/>
          <w:szCs w:val="28"/>
        </w:rPr>
      </w:pPr>
      <w:r>
        <w:rPr>
          <w:rFonts w:cs="Arial"/>
          <w:color w:val="0070C0"/>
        </w:rPr>
        <w:br w:type="page"/>
      </w:r>
    </w:p>
    <w:p w:rsidR="00F666E0" w:rsidRPr="00A1431D" w:rsidRDefault="00F666E0" w:rsidP="00F666E0">
      <w:pPr>
        <w:rPr>
          <w:b/>
        </w:rPr>
      </w:pPr>
      <w:r w:rsidRPr="00A1431D">
        <w:rPr>
          <w:b/>
        </w:rPr>
        <w:lastRenderedPageBreak/>
        <w:t>Průvodní informace</w:t>
      </w:r>
    </w:p>
    <w:p w:rsidR="00A44B7C" w:rsidRDefault="0069740D" w:rsidP="00303A51">
      <w:pPr>
        <w:jc w:val="both"/>
      </w:pPr>
      <w:r w:rsidRPr="00A1431D">
        <w:t xml:space="preserve">V materiálu je obsažena </w:t>
      </w:r>
      <w:r w:rsidR="001153E7" w:rsidRPr="00A1431D">
        <w:t xml:space="preserve">další </w:t>
      </w:r>
      <w:r w:rsidRPr="00A1431D">
        <w:t xml:space="preserve">konkretizace kroků v implementačním období a charakterizace konečného stavu při respektování </w:t>
      </w:r>
      <w:r w:rsidR="00A44B7C">
        <w:t xml:space="preserve">Zásad </w:t>
      </w:r>
      <w:r w:rsidRPr="00A1431D">
        <w:t xml:space="preserve">Metodiky17+ projednávané na červnovém zasedání RVVI. </w:t>
      </w:r>
    </w:p>
    <w:p w:rsidR="00A44B7C" w:rsidRDefault="00A44B7C" w:rsidP="00303A51">
      <w:pPr>
        <w:jc w:val="both"/>
      </w:pPr>
      <w:r>
        <w:t>Součástí materiálu je návrh metodiky hodnocení na úrovni rezortů, který obsahuje revize provedené na základě připomínek vzešlých od rezortů a je dále rozpracováván.</w:t>
      </w:r>
    </w:p>
    <w:p w:rsidR="00A44B7C" w:rsidRDefault="00A44B7C" w:rsidP="00303A51">
      <w:pPr>
        <w:jc w:val="both"/>
      </w:pPr>
      <w:r>
        <w:t>V materiálu byly zohledňovány dosavadní závěry a podněty z jednání představitelů Sekce VVI s hlavními aktéry systému VaVaI v ČR.</w:t>
      </w:r>
    </w:p>
    <w:p w:rsidR="00847587" w:rsidRPr="00847587" w:rsidRDefault="00847587" w:rsidP="00847587">
      <w:pPr>
        <w:spacing w:after="60" w:line="288" w:lineRule="auto"/>
        <w:jc w:val="both"/>
        <w:rPr>
          <w:rFonts w:ascii="Calibri" w:eastAsia="Calibri" w:hAnsi="Calibri" w:cs="Times New Roman"/>
          <w:lang w:eastAsia="en-US"/>
        </w:rPr>
      </w:pPr>
      <w:r w:rsidRPr="00847587">
        <w:rPr>
          <w:rFonts w:ascii="Calibri" w:eastAsia="Calibri" w:hAnsi="Calibri" w:cs="Times New Roman"/>
          <w:lang w:eastAsia="en-US"/>
        </w:rPr>
        <w:t xml:space="preserve">Předložený materiál představuje návrh vzešlý z posledních podnětů členů RVVI a akceptování připomínek dr. Barana, prof. Jungwirtha a dr. Gajdůškové. Jeho ambicí není zavádět permanentní náročné peer review, naopak navrhovaná každoročně opakovaná složka hodnocení na národní úrovni byla dále významně zjednodušena, aniž by tím výsledky hodnocení pozbyly legitimity. Zapracováno bylo využití bibliometrických ukazatelů pro hodnocení kvality omezeného počtu vybraných výsledků (tam, kde je to vhodné a účelné) v kombinaci se zabezpečením vzdáleného recenzování (tam, kde bibliometrie selhává). Akceptování výchozího modulu hodnocení v předkládané podobě jako společného východiska pro národní úroveň </w:t>
      </w:r>
      <w:r w:rsidR="00CA0C45">
        <w:rPr>
          <w:rFonts w:ascii="Calibri" w:eastAsia="Calibri" w:hAnsi="Calibri" w:cs="Times New Roman"/>
          <w:lang w:eastAsia="en-US"/>
        </w:rPr>
        <w:t>představuje</w:t>
      </w:r>
      <w:r w:rsidRPr="00847587">
        <w:rPr>
          <w:rFonts w:ascii="Calibri" w:eastAsia="Calibri" w:hAnsi="Calibri" w:cs="Times New Roman"/>
          <w:lang w:eastAsia="en-US"/>
        </w:rPr>
        <w:t xml:space="preserve"> průnik představ všech zainteresovaných stran. </w:t>
      </w:r>
    </w:p>
    <w:p w:rsidR="00FE10BD" w:rsidRDefault="000E194B" w:rsidP="00303A51">
      <w:pPr>
        <w:jc w:val="both"/>
      </w:pPr>
      <w:r w:rsidRPr="00A1431D">
        <w:t>Materiál je předkládán k</w:t>
      </w:r>
      <w:r w:rsidR="00CA0C45">
        <w:t> </w:t>
      </w:r>
      <w:r w:rsidRPr="00A1431D">
        <w:t>rozpravě</w:t>
      </w:r>
      <w:r w:rsidR="00CA0C45">
        <w:t xml:space="preserve">. </w:t>
      </w:r>
    </w:p>
    <w:p w:rsidR="00F666E0" w:rsidRPr="00A44B7C" w:rsidRDefault="00DE49C3" w:rsidP="00303A51">
      <w:pPr>
        <w:jc w:val="both"/>
        <w:rPr>
          <w:b/>
        </w:rPr>
      </w:pPr>
      <w:r w:rsidRPr="00A44B7C">
        <w:rPr>
          <w:b/>
        </w:rPr>
        <w:t>Harmonogram</w:t>
      </w:r>
    </w:p>
    <w:p w:rsidR="00A44B7C" w:rsidRDefault="00DE49C3" w:rsidP="00594F03">
      <w:pPr>
        <w:pStyle w:val="Odstavecseseznamem"/>
        <w:numPr>
          <w:ilvl w:val="0"/>
          <w:numId w:val="6"/>
        </w:numPr>
        <w:jc w:val="both"/>
      </w:pPr>
      <w:r>
        <w:t xml:space="preserve">závěr září: dopracování dalších detailů na základě </w:t>
      </w:r>
      <w:r w:rsidR="00A44B7C">
        <w:t xml:space="preserve">připomínek RVVI, </w:t>
      </w:r>
      <w:r w:rsidR="003530A5">
        <w:t>jednání s rezorty, s</w:t>
      </w:r>
      <w:r w:rsidR="000832F1">
        <w:t> </w:t>
      </w:r>
      <w:r w:rsidR="003530A5">
        <w:t xml:space="preserve">pověřenými zástupci AVČR a VŠ, a na základě </w:t>
      </w:r>
      <w:r>
        <w:t>připomínek</w:t>
      </w:r>
      <w:r w:rsidR="00886663">
        <w:t xml:space="preserve"> ze zasedání</w:t>
      </w:r>
      <w:r>
        <w:t xml:space="preserve"> </w:t>
      </w:r>
      <w:r w:rsidR="00DD7C7F">
        <w:t>KHV</w:t>
      </w:r>
      <w:r w:rsidR="00886663">
        <w:t xml:space="preserve"> dne 13. 9. </w:t>
      </w:r>
    </w:p>
    <w:p w:rsidR="00886663" w:rsidRDefault="00A44B7C" w:rsidP="00594F03">
      <w:pPr>
        <w:pStyle w:val="Odstavecseseznamem"/>
        <w:numPr>
          <w:ilvl w:val="0"/>
          <w:numId w:val="6"/>
        </w:numPr>
        <w:jc w:val="both"/>
      </w:pPr>
      <w:r>
        <w:t>d</w:t>
      </w:r>
      <w:r w:rsidR="003530A5">
        <w:t xml:space="preserve">o poloviny </w:t>
      </w:r>
      <w:r w:rsidR="00886663">
        <w:t>říjn</w:t>
      </w:r>
      <w:r w:rsidR="003530A5">
        <w:t>a</w:t>
      </w:r>
      <w:r w:rsidR="00886663">
        <w:t>: dopracování pod</w:t>
      </w:r>
      <w:r>
        <w:t>le připomínek RVVI ze zasedání 29</w:t>
      </w:r>
      <w:r w:rsidR="000832F1">
        <w:t>. září</w:t>
      </w:r>
    </w:p>
    <w:p w:rsidR="00A44B7C" w:rsidRDefault="00DD7C7F" w:rsidP="00594F03">
      <w:pPr>
        <w:pStyle w:val="Odstavecseseznamem"/>
        <w:numPr>
          <w:ilvl w:val="0"/>
          <w:numId w:val="6"/>
        </w:numPr>
        <w:jc w:val="both"/>
      </w:pPr>
      <w:r>
        <w:t xml:space="preserve">konec října </w:t>
      </w:r>
      <w:r w:rsidR="00DE49C3" w:rsidRPr="006F0D25">
        <w:t>20</w:t>
      </w:r>
      <w:r w:rsidR="000832F1">
        <w:t>16: schválení nové Metodiky 17+</w:t>
      </w:r>
    </w:p>
    <w:p w:rsidR="00DE49C3" w:rsidRDefault="00DE49C3" w:rsidP="00594F03">
      <w:pPr>
        <w:pStyle w:val="Odstavecseseznamem"/>
        <w:numPr>
          <w:ilvl w:val="0"/>
          <w:numId w:val="6"/>
        </w:numPr>
        <w:jc w:val="both"/>
      </w:pPr>
      <w:r>
        <w:t>listopad 2016</w:t>
      </w:r>
      <w:r w:rsidR="00DD7C7F">
        <w:t xml:space="preserve">: </w:t>
      </w:r>
      <w:r>
        <w:t>mezirezortní připomínkové řízení</w:t>
      </w:r>
    </w:p>
    <w:p w:rsidR="00DE49C3" w:rsidRDefault="00DE49C3" w:rsidP="00594F03">
      <w:pPr>
        <w:pStyle w:val="Odstavecseseznamem"/>
        <w:numPr>
          <w:ilvl w:val="0"/>
          <w:numId w:val="6"/>
        </w:numPr>
        <w:jc w:val="both"/>
      </w:pPr>
      <w:r>
        <w:t>prosinec 2016</w:t>
      </w:r>
      <w:r w:rsidR="00DD7C7F">
        <w:t xml:space="preserve">: </w:t>
      </w:r>
      <w:r>
        <w:t>schválení vládou</w:t>
      </w:r>
    </w:p>
    <w:p w:rsidR="00EC6B01" w:rsidRDefault="00EC6B01">
      <w:pPr>
        <w:rPr>
          <w:rFonts w:eastAsiaTheme="majorEastAsia" w:cs="Arial"/>
          <w:b/>
          <w:bCs/>
          <w:color w:val="0070C0"/>
          <w:sz w:val="28"/>
          <w:szCs w:val="28"/>
        </w:rPr>
      </w:pPr>
      <w:r>
        <w:rPr>
          <w:rFonts w:cs="Arial"/>
          <w:color w:val="0070C0"/>
        </w:rPr>
        <w:br w:type="page"/>
      </w:r>
    </w:p>
    <w:p w:rsidR="00AE19CE" w:rsidRPr="00E45360" w:rsidRDefault="002E0A04" w:rsidP="003B33F9">
      <w:pPr>
        <w:pStyle w:val="Nadpis1"/>
        <w:numPr>
          <w:ilvl w:val="0"/>
          <w:numId w:val="0"/>
        </w:numPr>
        <w:rPr>
          <w:rFonts w:asciiTheme="minorHAnsi" w:hAnsiTheme="minorHAnsi" w:cs="Arial"/>
        </w:rPr>
      </w:pPr>
      <w:bookmarkStart w:id="3" w:name="_Toc462064466"/>
      <w:r w:rsidRPr="00E45360">
        <w:rPr>
          <w:rFonts w:asciiTheme="minorHAnsi" w:hAnsiTheme="minorHAnsi" w:cs="Arial"/>
          <w:color w:val="0070C0"/>
        </w:rPr>
        <w:lastRenderedPageBreak/>
        <w:t>Úvod</w:t>
      </w:r>
      <w:bookmarkEnd w:id="3"/>
      <w:bookmarkEnd w:id="2"/>
      <w:bookmarkEnd w:id="1"/>
    </w:p>
    <w:p w:rsidR="00531488" w:rsidRDefault="00531488" w:rsidP="00E45360">
      <w:pPr>
        <w:jc w:val="both"/>
        <w:rPr>
          <w:sz w:val="23"/>
          <w:szCs w:val="23"/>
        </w:rPr>
      </w:pPr>
      <w:r>
        <w:t>Hodnocení výzkumných organizací ve své formativní funkci je zásadním strategickým nástrojem nezbytným pro efektivní řízení systému VaVaI na všech úrovních. Z poznatků získaných při hodnocení vycházejí strategické dokumenty národní vědní politiky, návrhy prioritních směrů výzkumu, národních programů, návrhy na reformu systému VaVaI a eventuální reorganizaci institucí VaV</w:t>
      </w:r>
      <w:r w:rsidR="00D408BE">
        <w:t>aI</w:t>
      </w:r>
      <w:r>
        <w:t>. Význam hodnocení v celém světě roste v důsledku sílící odpovědnosti za účelně a hospodárně vynaložené prostředky daňových poplatníků a stupňujícího se tlaku společnosti na sociální zdůvodnitelnost výzkumu. Důležitost hodnocení výzkumných organizací stoupá i v důsledku omezenosti disponibilních finančních zdrojů.</w:t>
      </w:r>
    </w:p>
    <w:p w:rsidR="002E0A04" w:rsidRDefault="002E0A04" w:rsidP="00E45360">
      <w:pPr>
        <w:jc w:val="both"/>
      </w:pPr>
      <w:r w:rsidRPr="00E45360">
        <w:t>Tento předpis naplňuje povinnost Rady pro výzkum, vývoj a inovace (RVVI) uloženou jí zákonem č.</w:t>
      </w:r>
      <w:r w:rsidR="00781848">
        <w:t> </w:t>
      </w:r>
      <w:r w:rsidRPr="00E45360">
        <w:t>130/2002 Sb., o podpoře výzkumu, experimentálního vývoje a ino</w:t>
      </w:r>
      <w:r w:rsidR="000832F1">
        <w:t>vací z veřejných prostředků a o </w:t>
      </w:r>
      <w:r w:rsidRPr="00E45360">
        <w:t>změně některých souvisejících zákonů (zákon o podpoře výzkumu, experimentálního vývoje a inovací), ve znění pozdějších předpisů, (dále jen „zákon“). RVVI má dle § 35 odst. 2 písm. c) zákona zabezpečit „přípravu Metodiky hodnocení výsledků výzkumných organizací a výsledků ukončených programů a její předložení vládě“ a dále dle § 35 odst. 2 písm. d) zákona zabezpečit „hodnocení výsledků výzkumných organizací a výsledků ukončených programů podle Metodiky hodnocení výsledků výzkumných organizací a výsledků ukončených programů schvalované vládou“.</w:t>
      </w:r>
    </w:p>
    <w:p w:rsidR="00EC6B01" w:rsidRDefault="00B869FD" w:rsidP="00E45360">
      <w:pPr>
        <w:jc w:val="both"/>
      </w:pPr>
      <w:r w:rsidRPr="00B869FD">
        <w:t xml:space="preserve">Jednotná metodika </w:t>
      </w:r>
      <w:r w:rsidR="00781848">
        <w:t>je</w:t>
      </w:r>
      <w:r w:rsidRPr="00B869FD">
        <w:t xml:space="preserve"> v souladu s</w:t>
      </w:r>
      <w:r w:rsidR="000832F1">
        <w:t xml:space="preserve"> povinnostmi a </w:t>
      </w:r>
      <w:r w:rsidRPr="00B869FD">
        <w:t>potřebami poskytovatelů</w:t>
      </w:r>
      <w:r w:rsidR="00781848">
        <w:t>,</w:t>
      </w:r>
      <w:r w:rsidRPr="00B869FD">
        <w:t xml:space="preserve"> </w:t>
      </w:r>
      <w:r w:rsidR="00781848" w:rsidRPr="00B869FD">
        <w:t>zohledň</w:t>
      </w:r>
      <w:r w:rsidR="00781848">
        <w:t>uje</w:t>
      </w:r>
      <w:r w:rsidR="00781848" w:rsidRPr="00B869FD">
        <w:t xml:space="preserve"> </w:t>
      </w:r>
      <w:r w:rsidRPr="00B869FD">
        <w:t xml:space="preserve">jejich současnou praxi a zároveň </w:t>
      </w:r>
      <w:r w:rsidR="00781848" w:rsidRPr="00B869FD">
        <w:t>umož</w:t>
      </w:r>
      <w:r w:rsidR="00781848">
        <w:t>ňuje</w:t>
      </w:r>
      <w:r w:rsidR="00781848" w:rsidRPr="00B869FD">
        <w:t xml:space="preserve"> </w:t>
      </w:r>
      <w:r w:rsidRPr="00B869FD">
        <w:t>centrální úrovni řízení systému VaVaI získávat relevantní informace pro kvalifikovaná rozhodnutí.</w:t>
      </w:r>
    </w:p>
    <w:p w:rsidR="00EC6B01" w:rsidRDefault="00EC6B01">
      <w:r>
        <w:br w:type="page"/>
      </w:r>
    </w:p>
    <w:p w:rsidR="00353F87" w:rsidRPr="00440914" w:rsidRDefault="00353F87" w:rsidP="00353F87">
      <w:pPr>
        <w:pStyle w:val="Nadpis1"/>
      </w:pPr>
      <w:bookmarkStart w:id="4" w:name="_Toc462064467"/>
      <w:r>
        <w:lastRenderedPageBreak/>
        <w:t>Hlavní cíle, účel a východiska hodnocení</w:t>
      </w:r>
      <w:bookmarkEnd w:id="4"/>
    </w:p>
    <w:p w:rsidR="00495747" w:rsidRDefault="007B634B" w:rsidP="00E45360">
      <w:pPr>
        <w:jc w:val="both"/>
      </w:pPr>
      <w:r w:rsidRPr="00E45360">
        <w:t xml:space="preserve">Cílem je </w:t>
      </w:r>
      <w:r w:rsidR="00531488">
        <w:t xml:space="preserve">především získat informace pro kvalitní řízení VaVaI na všech stupních (formativní stránka), </w:t>
      </w:r>
      <w:r w:rsidR="00EC246F">
        <w:t>zvýšit efektivitu vynakládání veřejných prostředků (sumativní stránka) a p</w:t>
      </w:r>
      <w:r w:rsidR="00531488">
        <w:t>odpořit zvýšení kvality a konkurenceschopnosti českého VaVaI</w:t>
      </w:r>
      <w:r w:rsidR="00EC246F">
        <w:t>.</w:t>
      </w:r>
      <w:r w:rsidR="00531488">
        <w:t xml:space="preserve"> </w:t>
      </w:r>
      <w:r w:rsidR="00495747">
        <w:t xml:space="preserve">Jde tedy především o získání podkladů pro </w:t>
      </w:r>
      <w:r w:rsidR="00495747" w:rsidRPr="00495747">
        <w:t>poskytování institucionální podpory na DKRVO v souladu s platnými předpisy, získávání informací pro řízení systému výzkumu, vývoje a inovací (dále jen „VaVaI“) v ČR jako celku, informací pro plnění úloh poskytovatelů a pro dlouhodobé řízení VO jejich managementem.</w:t>
      </w:r>
    </w:p>
    <w:p w:rsidR="00377FEB" w:rsidRDefault="00F20692" w:rsidP="00F20692">
      <w:pPr>
        <w:jc w:val="both"/>
      </w:pPr>
      <w:r>
        <w:t xml:space="preserve">Navrhovaný postup koresponduje se základními strategickými dokumenty platnými aktuálně pro oblast VaVaI: Národní politikou VaVaI na léta 2016 – 2020, Národním programem reforem ČR pro rok 2016, programovým prohlášením vlády, </w:t>
      </w:r>
      <w:r w:rsidR="002C7363" w:rsidRPr="008F4C27">
        <w:t xml:space="preserve">usneseními vlády č. 1066 </w:t>
      </w:r>
      <w:r w:rsidR="002C7363" w:rsidRPr="008F4C27">
        <w:rPr>
          <w:rFonts w:cs="Arial"/>
        </w:rPr>
        <w:t>a 1067 ze</w:t>
      </w:r>
      <w:r w:rsidR="002C7363" w:rsidRPr="00837104">
        <w:rPr>
          <w:rFonts w:cs="Arial"/>
        </w:rPr>
        <w:t xml:space="preserve"> dne 21. 12. 2015</w:t>
      </w:r>
      <w:r w:rsidR="002C7363">
        <w:rPr>
          <w:rFonts w:cs="Arial"/>
        </w:rPr>
        <w:t>,</w:t>
      </w:r>
      <w:r w:rsidR="002C7363">
        <w:t xml:space="preserve"> </w:t>
      </w:r>
      <w:r>
        <w:t xml:space="preserve">Národními prioritami orientovaného výzkumu, experimentálního vývoje a inovací a je v souladu </w:t>
      </w:r>
      <w:r w:rsidR="006E6092">
        <w:t>s</w:t>
      </w:r>
      <w:r w:rsidR="00515E51">
        <w:t> </w:t>
      </w:r>
      <w:r w:rsidR="006E6092">
        <w:t>dlouhodobými principy hodnocení výzkumných organizací, které byly přijaty Radou pro výzkum, vývoj a inovace na jejím 263. zasedání v březnu 2011.</w:t>
      </w:r>
      <w:r>
        <w:t xml:space="preserve"> Podle opatření 10 Národní politiky je cílovým stavem: </w:t>
      </w:r>
    </w:p>
    <w:p w:rsidR="00F20692" w:rsidRPr="00E76F94" w:rsidRDefault="00F20692" w:rsidP="00D2541C">
      <w:pPr>
        <w:ind w:left="426" w:right="423"/>
        <w:jc w:val="both"/>
        <w:rPr>
          <w:i/>
        </w:rPr>
      </w:pPr>
      <w:r w:rsidRPr="00E76F94">
        <w:rPr>
          <w:i/>
        </w:rPr>
        <w:t xml:space="preserve">„Zavést hodnocení výzkumných organizací, které bude motivovat ke zvyšování kvality výzkumu: V návaznosti na výstupy IPN Metodika a zkušenosti z hodnocení pracovišť AV ČR zavést hodnocení výzkumných organizací, které bude zohledňovat rozdíly mezi výzkumnými organizacemi podle jejich poslání a úlohy v systému VaVaI a motivovat tyto organizace ke zvyšování kvality výzkumu, zapojení do mezinárodního výzkumu i k realizaci výzkumu s využitím v aplikacích a rozvoji spolupráce s aplikační sférou. </w:t>
      </w:r>
    </w:p>
    <w:p w:rsidR="00F20692" w:rsidRPr="00E76F94" w:rsidRDefault="00F20692" w:rsidP="00D2541C">
      <w:pPr>
        <w:ind w:left="426" w:right="423"/>
        <w:jc w:val="both"/>
        <w:rPr>
          <w:i/>
        </w:rPr>
      </w:pPr>
      <w:r w:rsidRPr="00E76F94">
        <w:rPr>
          <w:i/>
        </w:rPr>
        <w:t xml:space="preserve">Z tohoto důvodu bude hodnocení obsahovat kritéria zohledňující různé aspekty výzkumné činnosti (výzkumné prostředí, mezinárodní a národní spolupráce, excelence ve výzkumu, výkonnost výzkumu, relevance výzkumu pro společnost a jeho dopady). Hodnocení (včetně vazeb na rozdělování institucionální podpory podle jeho výsledků) bude zároveň stimulovat </w:t>
      </w:r>
      <w:r w:rsidR="006E6092" w:rsidRPr="00E76F94">
        <w:rPr>
          <w:i/>
        </w:rPr>
        <w:t>VO</w:t>
      </w:r>
      <w:r w:rsidRPr="00E76F94">
        <w:rPr>
          <w:i/>
        </w:rPr>
        <w:t xml:space="preserve"> ke zlepšení strategického řízení organizací, rozvoji mezinárodní spolupráce a vytváření vazeb s</w:t>
      </w:r>
      <w:r w:rsidR="00515E51" w:rsidRPr="00E76F94">
        <w:rPr>
          <w:i/>
        </w:rPr>
        <w:t> a</w:t>
      </w:r>
      <w:r w:rsidRPr="00E76F94">
        <w:rPr>
          <w:i/>
        </w:rPr>
        <w:t>plikační sférou. Odpovědnost: ÚV ČR – Sekce VVI, RVVI, spolugesce: MŠMT, spolupracují: další správní úřady odpovědné za výzkum a vývoj v oblasti svých působností.“</w:t>
      </w:r>
    </w:p>
    <w:p w:rsidR="00870CAE" w:rsidRPr="006E6092" w:rsidRDefault="00870CAE" w:rsidP="00870CAE">
      <w:pPr>
        <w:jc w:val="both"/>
      </w:pPr>
      <w:r w:rsidRPr="006E6092">
        <w:t>Hodnoceny budou výzkumné organizace</w:t>
      </w:r>
      <w:r w:rsidR="00A10E31">
        <w:t xml:space="preserve"> zapsané do Seznamu výzkumných organizací, vedeného MŠMT</w:t>
      </w:r>
      <w:r w:rsidR="00515E51">
        <w:t xml:space="preserve"> podle § 33a zákona č. 130/2002 Sb</w:t>
      </w:r>
      <w:r w:rsidRPr="006E6092">
        <w:t>.</w:t>
      </w:r>
      <w:r w:rsidR="005872FF">
        <w:t xml:space="preserve"> Metodika hodnocení zohledňuje organizační strukturu a oborová specifika v rámci jednotlivých výzkumných organizací.</w:t>
      </w:r>
    </w:p>
    <w:p w:rsidR="00531488" w:rsidRDefault="00531488" w:rsidP="00E45360">
      <w:pPr>
        <w:jc w:val="both"/>
      </w:pPr>
      <w:r>
        <w:t>Hodnocení zohledň</w:t>
      </w:r>
      <w:r w:rsidR="00377FEB">
        <w:t>uje</w:t>
      </w:r>
      <w:r>
        <w:t xml:space="preserve"> rozdílnost poslání VO ve výzkumném systému, hodnot</w:t>
      </w:r>
      <w:r w:rsidR="00AC7DBC">
        <w:t>í</w:t>
      </w:r>
      <w:r w:rsidR="00515E51">
        <w:t xml:space="preserve"> výstupy, dopady a </w:t>
      </w:r>
      <w:r>
        <w:t>institucionální výhledy rozvoje VO, b</w:t>
      </w:r>
      <w:r w:rsidR="00AC7DBC">
        <w:t>ere</w:t>
      </w:r>
      <w:r>
        <w:t xml:space="preserve"> zřetel na oborová specifika, použív</w:t>
      </w:r>
      <w:r w:rsidR="00AC7DBC">
        <w:t>á</w:t>
      </w:r>
      <w:r>
        <w:t xml:space="preserve"> v hodnotícím procesu informované peer review, poskyt</w:t>
      </w:r>
      <w:r w:rsidR="00AC7DBC">
        <w:t>uje</w:t>
      </w:r>
      <w:r>
        <w:t xml:space="preserve"> údaje pro alokaci části veřejných prostředků určených na institucionální rozvoj VO. </w:t>
      </w:r>
      <w:r w:rsidR="00AC7DBC">
        <w:t>V</w:t>
      </w:r>
      <w:r>
        <w:t xml:space="preserve">ychází ze zkušeností posledního hodnocení </w:t>
      </w:r>
      <w:r w:rsidR="00A60747">
        <w:t>pracovišť</w:t>
      </w:r>
      <w:r>
        <w:t xml:space="preserve"> AV ČR, </w:t>
      </w:r>
      <w:r w:rsidR="00C03D07">
        <w:t xml:space="preserve">hodnocení resortních výzkumných organizací, </w:t>
      </w:r>
      <w:r>
        <w:t>hodnocení VaV</w:t>
      </w:r>
      <w:r w:rsidR="00800A01">
        <w:t>aI</w:t>
      </w:r>
      <w:r>
        <w:t xml:space="preserve"> podle Metodiky 2013</w:t>
      </w:r>
      <w:r w:rsidR="000C626B">
        <w:t xml:space="preserve"> – 2016 </w:t>
      </w:r>
      <w:r>
        <w:t xml:space="preserve">a z doporučení projektu IPN Metodika. </w:t>
      </w:r>
      <w:r w:rsidR="00AC7DBC">
        <w:t xml:space="preserve">Je </w:t>
      </w:r>
      <w:r w:rsidR="00E45360">
        <w:t xml:space="preserve">v souladu s Národní politikou výzkumu, vývoje a inovací České republiky na léta 2016-2020 a </w:t>
      </w:r>
      <w:r w:rsidR="00781848">
        <w:t xml:space="preserve">odpovídá </w:t>
      </w:r>
      <w:r>
        <w:t>dlouhodobým principům hodnocení výzkumných organizací, které byly přijaty Radou pro výzkum, vývoj a inovace na jejím 263. zasedání v březnu 2011</w:t>
      </w:r>
      <w:r w:rsidR="00E45360">
        <w:t>.</w:t>
      </w:r>
    </w:p>
    <w:p w:rsidR="00832A75" w:rsidRDefault="00531488" w:rsidP="00832A75">
      <w:pPr>
        <w:spacing w:after="0"/>
        <w:jc w:val="both"/>
      </w:pPr>
      <w:r w:rsidRPr="00E45360">
        <w:t xml:space="preserve">Metodika hodnocení </w:t>
      </w:r>
      <w:r w:rsidR="005872FF">
        <w:t xml:space="preserve">využívá společné a jednotící prvky a je </w:t>
      </w:r>
      <w:r w:rsidRPr="00E45360">
        <w:t>diferencovaným do tří vrstev podle úrovně řízení (</w:t>
      </w:r>
      <w:r w:rsidR="00E45360" w:rsidRPr="00E45360">
        <w:t>vláda</w:t>
      </w:r>
      <w:r w:rsidRPr="00E45360">
        <w:t>, poskytovatelé, výzkumn</w:t>
      </w:r>
      <w:r w:rsidR="00E45360" w:rsidRPr="00E45360">
        <w:t>é</w:t>
      </w:r>
      <w:r w:rsidRPr="00E45360">
        <w:t xml:space="preserve"> organizac</w:t>
      </w:r>
      <w:r w:rsidR="00E45360" w:rsidRPr="00E45360">
        <w:t>e</w:t>
      </w:r>
      <w:r w:rsidRPr="00E45360">
        <w:t>)</w:t>
      </w:r>
      <w:r w:rsidR="00E45360" w:rsidRPr="00E45360">
        <w:t xml:space="preserve">. </w:t>
      </w:r>
      <w:r w:rsidR="00832A75">
        <w:t xml:space="preserve">Podle různých úrovní řízení v systému </w:t>
      </w:r>
      <w:r w:rsidR="00832A75">
        <w:lastRenderedPageBreak/>
        <w:t>VaVaI se odvozují i různé potřeby, které evaluace pln</w:t>
      </w:r>
      <w:r w:rsidR="00AC7DBC">
        <w:t>í</w:t>
      </w:r>
      <w:r w:rsidR="00800A01">
        <w:t xml:space="preserve"> </w:t>
      </w:r>
      <w:r w:rsidR="00832A75">
        <w:t xml:space="preserve">s ohledem na zacílení, vstupy, podobu a míru detailu požadovaných výstupů z hodnocení. Rozlišuje proto následující </w:t>
      </w:r>
      <w:r w:rsidR="00AC7DBC">
        <w:t xml:space="preserve">systémové </w:t>
      </w:r>
      <w:r w:rsidR="00832A75">
        <w:t>úrovně hodnocení:</w:t>
      </w:r>
    </w:p>
    <w:p w:rsidR="00832A75" w:rsidRDefault="00832A75" w:rsidP="00832A75">
      <w:pPr>
        <w:spacing w:after="0"/>
        <w:jc w:val="both"/>
      </w:pPr>
      <w:r>
        <w:t>I.</w:t>
      </w:r>
      <w:r>
        <w:tab/>
        <w:t xml:space="preserve">hodnocení pro účely řízení a financování celého systému (centrální úřad </w:t>
      </w:r>
      <w:r w:rsidR="00AC7DBC">
        <w:t>-</w:t>
      </w:r>
      <w:r>
        <w:t>RVVI/Sekce VVI),</w:t>
      </w:r>
    </w:p>
    <w:p w:rsidR="00832A75" w:rsidRDefault="00832A75" w:rsidP="00832A75">
      <w:pPr>
        <w:spacing w:after="0"/>
        <w:jc w:val="both"/>
      </w:pPr>
      <w:r>
        <w:t>II.</w:t>
      </w:r>
      <w:r>
        <w:tab/>
        <w:t>hodn</w:t>
      </w:r>
      <w:r w:rsidR="00C03D07">
        <w:t>ocení na úrovni poskytovatelů,</w:t>
      </w:r>
    </w:p>
    <w:p w:rsidR="00531488" w:rsidRDefault="00832A75" w:rsidP="00832A75">
      <w:pPr>
        <w:jc w:val="both"/>
      </w:pPr>
      <w:r>
        <w:t>III.</w:t>
      </w:r>
      <w:r>
        <w:tab/>
        <w:t>hodnocení pro potřeby manažerského řízení VO.</w:t>
      </w:r>
    </w:p>
    <w:p w:rsidR="00720FAD" w:rsidRPr="00720FAD" w:rsidRDefault="00720FAD" w:rsidP="00832A75">
      <w:pPr>
        <w:jc w:val="both"/>
      </w:pPr>
      <w:r w:rsidRPr="00E76F94">
        <w:rPr>
          <w:b/>
        </w:rPr>
        <w:t>Obrázek 1:</w:t>
      </w:r>
      <w:r>
        <w:t xml:space="preserve"> Úrovně řízení VaVaI</w:t>
      </w:r>
    </w:p>
    <w:p w:rsidR="00303A51" w:rsidRDefault="00303A51" w:rsidP="00303A51">
      <w:pPr>
        <w:jc w:val="center"/>
      </w:pPr>
      <w:r w:rsidRPr="00440914">
        <w:rPr>
          <w:rFonts w:ascii="Arial" w:hAnsi="Arial" w:cs="Arial"/>
          <w:noProof/>
        </w:rPr>
        <w:drawing>
          <wp:inline distT="0" distB="0" distL="0" distR="0" wp14:anchorId="7C54D1E7" wp14:editId="5D0585E0">
            <wp:extent cx="4483290" cy="2608575"/>
            <wp:effectExtent l="0" t="0" r="0" b="0"/>
            <wp:docPr id="1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87813" cy="2611207"/>
                    </a:xfrm>
                    <a:prstGeom prst="rect">
                      <a:avLst/>
                    </a:prstGeom>
                    <a:noFill/>
                  </pic:spPr>
                </pic:pic>
              </a:graphicData>
            </a:graphic>
          </wp:inline>
        </w:drawing>
      </w:r>
    </w:p>
    <w:p w:rsidR="00FB5B4A" w:rsidRDefault="00FB045A" w:rsidP="004E493D">
      <w:pPr>
        <w:jc w:val="both"/>
      </w:pPr>
      <w:r w:rsidRPr="004E493D">
        <w:t xml:space="preserve">Účel hodnocení </w:t>
      </w:r>
      <w:r w:rsidR="00AC7DBC">
        <w:t>je</w:t>
      </w:r>
      <w:r w:rsidRPr="004E493D">
        <w:t xml:space="preserve"> diferencován podle úrovně odpovědnosti a </w:t>
      </w:r>
      <w:r w:rsidR="004E493D">
        <w:t>řízení</w:t>
      </w:r>
      <w:r w:rsidRPr="004E493D">
        <w:t xml:space="preserve"> v systému VaVaI.</w:t>
      </w:r>
      <w:r w:rsidR="00AD663E">
        <w:t xml:space="preserve"> Jinou odpovědnost a působnost má Sekce </w:t>
      </w:r>
      <w:r w:rsidR="000C626B">
        <w:t xml:space="preserve">VVI </w:t>
      </w:r>
      <w:r w:rsidR="00AD663E">
        <w:t xml:space="preserve"> a RVVI, </w:t>
      </w:r>
      <w:r w:rsidR="00FB5B4A">
        <w:t>jinou odpovědnost a působnost mají jednotliví poskytovatelé, což vyplývá z role zřizovatele výzkumných organizací v jejich působnosti a poskytovatele zejména institucionální podpory. Třetí rovinou, naprosto odlišnou co do podrobnosti informací pro řízení, jsou managementy jednotlivých výzkumných organizací.</w:t>
      </w:r>
    </w:p>
    <w:p w:rsidR="00A10E31" w:rsidRDefault="00FB5B4A" w:rsidP="00594F03">
      <w:pPr>
        <w:pStyle w:val="Odstavecseseznamem"/>
        <w:numPr>
          <w:ilvl w:val="0"/>
          <w:numId w:val="15"/>
        </w:numPr>
        <w:jc w:val="both"/>
      </w:pPr>
      <w:r>
        <w:t>Úkolem úrovně I. (zde označené jako „centrální úřa</w:t>
      </w:r>
      <w:r w:rsidR="00932A32">
        <w:t>d</w:t>
      </w:r>
      <w:r w:rsidR="000C626B">
        <w:t>“</w:t>
      </w:r>
      <w:r w:rsidR="00932A32">
        <w:t>) není hodnotit a rozhodovat o </w:t>
      </w:r>
      <w:r>
        <w:t>financování jednotlivých výzkumných organizací, což je s</w:t>
      </w:r>
      <w:r w:rsidR="00932A32">
        <w:t>vrchovaná působnost (pravomoc i </w:t>
      </w:r>
      <w:r>
        <w:t>zodpovědnost) jednotlivých poskytovatelů, ale řídit a koordinovat sféru výzkumu, vývoje a inovací na úrovni státu a celé vlády a navrhovat vládě alokaci výdajů státního rozpočtu na VaVaI do jed</w:t>
      </w:r>
      <w:r w:rsidR="00932A32">
        <w:t>notlivých rozpočtových kapitol.</w:t>
      </w:r>
    </w:p>
    <w:p w:rsidR="00A10E31" w:rsidRDefault="00FB5B4A" w:rsidP="00594F03">
      <w:pPr>
        <w:pStyle w:val="Odstavecseseznamem"/>
        <w:numPr>
          <w:ilvl w:val="0"/>
          <w:numId w:val="15"/>
        </w:numPr>
        <w:jc w:val="both"/>
      </w:pPr>
      <w:r>
        <w:t>Úkolem úrovně II. (zde označené jako „poskytovatelé“) je zajistit řízení a financování výzkumu, vývoje a inovací ve své působnosti a financovat a řídit výzkumné organizace.</w:t>
      </w:r>
    </w:p>
    <w:p w:rsidR="00A10E31" w:rsidRDefault="00165C9B">
      <w:pPr>
        <w:jc w:val="both"/>
      </w:pPr>
      <w:r>
        <w:t>Role jednotlivých aktérů se vzájemně doplňují a nelze je zaměňovat. Pro každou úroveň řízení a financování VaVaI je zapotřebí jiná míra podrobnosti informací, využívají se částečně jiné zdroje informací a často i jiné informace. Neplatí jednoduchá představa, že znalost (=součet) výsledků hodnocení všech výzkumných organizací dává úplný obraz o celé sféře VaVaI v ČR a pro řízení a financování VaVaI je dostačující.</w:t>
      </w:r>
    </w:p>
    <w:p w:rsidR="00BA5B19" w:rsidRDefault="00CE50DC" w:rsidP="004E493D">
      <w:pPr>
        <w:jc w:val="both"/>
      </w:pPr>
      <w:r>
        <w:t xml:space="preserve">Metodika hodnocení </w:t>
      </w:r>
      <w:r w:rsidRPr="005C38E0">
        <w:t>použív</w:t>
      </w:r>
      <w:r w:rsidR="00AC7DBC">
        <w:t>á</w:t>
      </w:r>
      <w:r w:rsidRPr="005C38E0">
        <w:t xml:space="preserve"> </w:t>
      </w:r>
      <w:r w:rsidR="00BA5B19">
        <w:t xml:space="preserve">společný </w:t>
      </w:r>
      <w:r w:rsidRPr="005C38E0">
        <w:t>rámec pro posouzení VO</w:t>
      </w:r>
      <w:r w:rsidR="00F20692">
        <w:t>, který bude zajišťovat</w:t>
      </w:r>
      <w:r w:rsidRPr="005C38E0">
        <w:t xml:space="preserve"> srovnatelnost výsledků hodnocení napříč</w:t>
      </w:r>
      <w:r w:rsidR="00800A01">
        <w:t xml:space="preserve"> systémem VaVaI</w:t>
      </w:r>
      <w:r w:rsidRPr="005C38E0">
        <w:t xml:space="preserve">. Hodnocení </w:t>
      </w:r>
      <w:r w:rsidR="00800A01">
        <w:t xml:space="preserve">VO </w:t>
      </w:r>
      <w:r w:rsidR="001C1AEA">
        <w:t>využívá několik</w:t>
      </w:r>
      <w:r w:rsidR="001C1AEA" w:rsidRPr="00F20692">
        <w:t xml:space="preserve"> </w:t>
      </w:r>
      <w:r w:rsidRPr="00F20692">
        <w:t xml:space="preserve">hodnoticích </w:t>
      </w:r>
      <w:r w:rsidR="00044095">
        <w:t>kritérií</w:t>
      </w:r>
      <w:r w:rsidR="001C1AEA">
        <w:t>, majících sice společný základ, ale současně odpovídajících zvyklostem v jednotlivých skupiná</w:t>
      </w:r>
      <w:r w:rsidR="003115E0">
        <w:t>ch</w:t>
      </w:r>
      <w:r w:rsidR="001C1AEA">
        <w:t xml:space="preserve"> výzkumných organizací (</w:t>
      </w:r>
      <w:r w:rsidR="00576076">
        <w:t xml:space="preserve">rozdělení </w:t>
      </w:r>
      <w:r w:rsidR="001C1AEA">
        <w:t>viz bod I níže</w:t>
      </w:r>
      <w:r w:rsidR="00576076">
        <w:t xml:space="preserve">). Základem hodnocení je posouzení kvality </w:t>
      </w:r>
      <w:r w:rsidR="00B91B93">
        <w:t xml:space="preserve">vybraných </w:t>
      </w:r>
      <w:r w:rsidR="00B91B93">
        <w:lastRenderedPageBreak/>
        <w:t xml:space="preserve">výsledků, </w:t>
      </w:r>
      <w:r w:rsidR="00576076">
        <w:t xml:space="preserve">celkové </w:t>
      </w:r>
      <w:r w:rsidR="00F20692">
        <w:t>výkonnost</w:t>
      </w:r>
      <w:r w:rsidR="00576076">
        <w:t>i</w:t>
      </w:r>
      <w:r w:rsidR="00F20692">
        <w:t xml:space="preserve"> VO, </w:t>
      </w:r>
      <w:r w:rsidR="006E6092">
        <w:t>společenská relevance</w:t>
      </w:r>
      <w:r w:rsidR="001C1AEA">
        <w:t xml:space="preserve"> prováděného výzkumu</w:t>
      </w:r>
      <w:r w:rsidR="006E6092">
        <w:t>,</w:t>
      </w:r>
      <w:r w:rsidR="00B91B93">
        <w:t xml:space="preserve"> strategie a koncepce</w:t>
      </w:r>
      <w:r w:rsidR="00576076">
        <w:t xml:space="preserve"> a </w:t>
      </w:r>
      <w:r w:rsidR="006E6092">
        <w:t>výzkumné prostředí a potenciál</w:t>
      </w:r>
      <w:r w:rsidR="00AF219E">
        <w:t>,</w:t>
      </w:r>
      <w:r w:rsidR="006E6092">
        <w:t xml:space="preserve"> postavení v</w:t>
      </w:r>
      <w:r w:rsidR="001F67DE">
        <w:t> národní a mezinárodní</w:t>
      </w:r>
      <w:r w:rsidR="006E6092">
        <w:t xml:space="preserve"> výzkumné komunitě.</w:t>
      </w:r>
      <w:r w:rsidR="003115E0">
        <w:t xml:space="preserve"> </w:t>
      </w:r>
      <w:r w:rsidR="00576076">
        <w:t>Výslovně se zde upozorňuje, že obsah těchto obecných pojmů a jejich význam v hodnocení se u jednotlivých skupin výzkumných organizací v některých případech velmi odlišuje, neboť úloha jednotlivých institucí v systému je jiná a hodnocení musí být vždy vztaženo k této misi.</w:t>
      </w:r>
    </w:p>
    <w:p w:rsidR="00CE50DC" w:rsidRDefault="00DC219F" w:rsidP="004E493D">
      <w:pPr>
        <w:jc w:val="both"/>
      </w:pPr>
      <w:r>
        <w:t>R</w:t>
      </w:r>
      <w:r w:rsidR="00BA5B19">
        <w:t>ealizace hodnocení podle kritérií probíhá pomocí tzv. modulů. Gesce za realizac</w:t>
      </w:r>
      <w:r>
        <w:t>e</w:t>
      </w:r>
      <w:r w:rsidR="00BA5B19">
        <w:t xml:space="preserve"> modulů vyplývá ze zákona </w:t>
      </w:r>
      <w:r w:rsidR="00044095">
        <w:t xml:space="preserve">č. 130/2002 Sb. a zákona č. 218/2000 Sb. </w:t>
      </w:r>
      <w:r w:rsidR="00BA5B19">
        <w:t xml:space="preserve">a </w:t>
      </w:r>
      <w:r w:rsidR="00D47D33">
        <w:t>respektuje</w:t>
      </w:r>
      <w:r>
        <w:t xml:space="preserve"> účel hodnocení.</w:t>
      </w:r>
    </w:p>
    <w:p w:rsidR="004E493D" w:rsidRDefault="004E493D" w:rsidP="004E493D">
      <w:pPr>
        <w:jc w:val="both"/>
      </w:pPr>
      <w:r>
        <w:t xml:space="preserve">Pro účely hodnocení </w:t>
      </w:r>
      <w:r w:rsidR="00E11273">
        <w:t xml:space="preserve">jsou </w:t>
      </w:r>
      <w:r>
        <w:t>VO rozděleny do tří základních skupin</w:t>
      </w:r>
      <w:r w:rsidR="00B869FD">
        <w:t xml:space="preserve"> podle svého postavení v systému VaVaI a účelu zřízení</w:t>
      </w:r>
      <w:r>
        <w:t xml:space="preserve">: </w:t>
      </w:r>
      <w:r w:rsidR="005F0478">
        <w:t xml:space="preserve">ústavy </w:t>
      </w:r>
      <w:r>
        <w:t>AV ČR, vysoké školy, rezortní VO.</w:t>
      </w:r>
      <w:r w:rsidR="00B869FD">
        <w:t xml:space="preserve"> Toto rozdělení zároveň refle</w:t>
      </w:r>
      <w:r w:rsidR="001F67DE">
        <w:t>kt</w:t>
      </w:r>
      <w:r w:rsidR="00B869FD">
        <w:t xml:space="preserve">uje jejich </w:t>
      </w:r>
      <w:r w:rsidR="00B869FD" w:rsidRPr="00B869FD">
        <w:t>připravenost</w:t>
      </w:r>
      <w:r w:rsidR="00B869FD">
        <w:t xml:space="preserve"> a připravenost poskytovatelů zavést Metodiku 17+ v kompletní podobě</w:t>
      </w:r>
      <w:r w:rsidR="00850921">
        <w:t xml:space="preserve"> a odráží se v celkovém harmonogramu hodnocení, který je rozložen tak, aby se kompletní hodnocení v jednotlivých segmentech nepřekrývala</w:t>
      </w:r>
      <w:r w:rsidR="00B869FD">
        <w:t>.</w:t>
      </w:r>
    </w:p>
    <w:p w:rsidR="002E0A04" w:rsidRDefault="00B91B93" w:rsidP="004E493D">
      <w:pPr>
        <w:jc w:val="both"/>
      </w:pPr>
      <w:r>
        <w:t xml:space="preserve">Hodnocení </w:t>
      </w:r>
      <w:r w:rsidR="002E0A04" w:rsidRPr="004E493D">
        <w:t>v souladu se zněním § 5a odst. 2 písm. b) zákona</w:t>
      </w:r>
      <w:r w:rsidR="00D61EFE">
        <w:t xml:space="preserve"> č. 130/2002 Sb.</w:t>
      </w:r>
      <w:r w:rsidR="002E0A04" w:rsidRPr="004E493D">
        <w:t xml:space="preserve"> tvoří jeden z podkladů, z</w:t>
      </w:r>
      <w:r>
        <w:t>e</w:t>
      </w:r>
      <w:r w:rsidR="002E0A04" w:rsidRPr="004E493D">
        <w:t xml:space="preserve"> kterých vychází RVVI při přípravě návrhu státního rozpočtu </w:t>
      </w:r>
      <w:r>
        <w:t>pro</w:t>
      </w:r>
      <w:r w:rsidR="002E0A04" w:rsidRPr="004E493D">
        <w:t xml:space="preserve"> oblast VaVaI.</w:t>
      </w:r>
      <w:r w:rsidR="00E45360" w:rsidRPr="004E493D">
        <w:t xml:space="preserve"> </w:t>
      </w:r>
      <w:r w:rsidR="00530FC0" w:rsidRPr="00530FC0">
        <w:t>Vzhledem k odlišnému zaměření a účelu, ke kterému byly zřízeny VO v </w:t>
      </w:r>
      <w:r w:rsidR="00530FC0">
        <w:t>působnosti</w:t>
      </w:r>
      <w:r w:rsidR="00530FC0" w:rsidRPr="00530FC0">
        <w:t xml:space="preserve"> jednotlivých poskytovatelů, nelze hodnocení přímo promítat do návrhu SR VaVaI. </w:t>
      </w:r>
      <w:r w:rsidR="00530FC0">
        <w:t>Hodnocení v</w:t>
      </w:r>
      <w:r w:rsidR="00530FC0" w:rsidRPr="004E493D">
        <w:t>ytv</w:t>
      </w:r>
      <w:r w:rsidR="00530FC0">
        <w:t xml:space="preserve">áří </w:t>
      </w:r>
      <w:r>
        <w:t>také</w:t>
      </w:r>
      <w:r w:rsidR="00E45360" w:rsidRPr="004E493D">
        <w:t xml:space="preserve"> </w:t>
      </w:r>
      <w:r w:rsidR="003D5B5E">
        <w:t xml:space="preserve">jeden z podkladů </w:t>
      </w:r>
      <w:r w:rsidR="00E45360" w:rsidRPr="004E493D">
        <w:t xml:space="preserve">pro rozhodnutí o efektivním přidělení </w:t>
      </w:r>
      <w:r w:rsidR="004E493D" w:rsidRPr="004E493D">
        <w:t>institucionální podpory na rozvoj výzkumné organizace</w:t>
      </w:r>
      <w:r w:rsidR="00E45360" w:rsidRPr="004E493D">
        <w:t xml:space="preserve"> </w:t>
      </w:r>
      <w:r w:rsidR="004E493D" w:rsidRPr="004E493D">
        <w:t>(</w:t>
      </w:r>
      <w:r w:rsidR="00E1442E">
        <w:t>DK</w:t>
      </w:r>
      <w:r w:rsidR="00E45360" w:rsidRPr="004E493D">
        <w:t>RVO</w:t>
      </w:r>
      <w:r w:rsidR="004E493D" w:rsidRPr="004E493D">
        <w:t>)</w:t>
      </w:r>
      <w:r w:rsidR="00E45360" w:rsidRPr="004E493D">
        <w:t>, které bude sloužit jako motivační nástroj pro zkvalitnění činnosti VO</w:t>
      </w:r>
      <w:r w:rsidR="004E493D" w:rsidRPr="004E493D">
        <w:t>.</w:t>
      </w:r>
    </w:p>
    <w:p w:rsidR="004E493D" w:rsidRDefault="004E493D" w:rsidP="004E493D">
      <w:pPr>
        <w:jc w:val="both"/>
      </w:pPr>
      <w:r w:rsidRPr="004E493D">
        <w:t xml:space="preserve">Systém hodnocení </w:t>
      </w:r>
      <w:r>
        <w:t>VO</w:t>
      </w:r>
      <w:r w:rsidRPr="004E493D">
        <w:t xml:space="preserve"> bude budován postupně v</w:t>
      </w:r>
      <w:r w:rsidR="00E11273">
        <w:t> </w:t>
      </w:r>
      <w:r w:rsidRPr="004E493D">
        <w:t>následujících</w:t>
      </w:r>
      <w:r w:rsidR="00E11273">
        <w:t xml:space="preserve"> čtyřech </w:t>
      </w:r>
      <w:r w:rsidRPr="004E493D">
        <w:t>letech, kdy se bude každoročně zvyšovat jeho komplexnost</w:t>
      </w:r>
      <w:r>
        <w:t xml:space="preserve">. V implementačním období bude hodnocení </w:t>
      </w:r>
      <w:r w:rsidR="00B91B93">
        <w:t xml:space="preserve">na národní úrovni </w:t>
      </w:r>
      <w:r>
        <w:t xml:space="preserve">každoroční </w:t>
      </w:r>
      <w:r w:rsidR="000C626B">
        <w:t xml:space="preserve">v souladu </w:t>
      </w:r>
      <w:r w:rsidR="00E76F94">
        <w:t> se zněním</w:t>
      </w:r>
      <w:r w:rsidR="000C626B">
        <w:t xml:space="preserve"> zákona č. 130/2002 Sb. </w:t>
      </w:r>
      <w:r>
        <w:t xml:space="preserve">s výhledem </w:t>
      </w:r>
      <w:r w:rsidRPr="004E493D">
        <w:t xml:space="preserve">prodloužit periodicitu po roce 2020 na </w:t>
      </w:r>
      <w:r w:rsidR="00530FC0">
        <w:t>pětil</w:t>
      </w:r>
      <w:r w:rsidRPr="004E493D">
        <w:t>eté období.</w:t>
      </w:r>
    </w:p>
    <w:p w:rsidR="00A10E31" w:rsidRDefault="00B70DBF">
      <w:pPr>
        <w:jc w:val="both"/>
      </w:pPr>
      <w:r w:rsidRPr="006F0D25">
        <w:t xml:space="preserve">Na národní úrovni řízení systému VaVaI bude hodnocení zajišťovat </w:t>
      </w:r>
      <w:r>
        <w:t>RVVI/Sekce VVI</w:t>
      </w:r>
      <w:r w:rsidRPr="006F0D25">
        <w:t xml:space="preserve"> ve spolupráci s poskytovateli. </w:t>
      </w:r>
      <w:r>
        <w:t xml:space="preserve">Na úrovni poskytovatelů bude hodnocení probíhat ve spolupráci s RVVI/Sekcí VVI. </w:t>
      </w:r>
    </w:p>
    <w:p w:rsidR="00B905D0" w:rsidRDefault="00B905D0" w:rsidP="005B0DD0">
      <w:pPr>
        <w:pStyle w:val="Nadpis2"/>
        <w:ind w:left="709" w:hanging="709"/>
      </w:pPr>
      <w:bookmarkStart w:id="5" w:name="_Toc462064468"/>
      <w:r>
        <w:t xml:space="preserve">Principy financování </w:t>
      </w:r>
      <w:r w:rsidR="00187D5A">
        <w:t>v implementačním období</w:t>
      </w:r>
      <w:bookmarkEnd w:id="5"/>
    </w:p>
    <w:p w:rsidR="000B5971" w:rsidRPr="000B5971" w:rsidRDefault="00D67BF7" w:rsidP="000B5971">
      <w:r>
        <w:rPr>
          <w:bCs/>
        </w:rPr>
        <w:t>R</w:t>
      </w:r>
      <w:r w:rsidR="000B5971" w:rsidRPr="000B5971">
        <w:rPr>
          <w:bCs/>
        </w:rPr>
        <w:t>o</w:t>
      </w:r>
      <w:r w:rsidR="000B5971" w:rsidRPr="000B5971">
        <w:t xml:space="preserve">zdělení prostředků na institucionální financování rozvoje výzkumných organizací (prostředky na dlouhodobý koncepční rozvoj výzkumných organizací, zkráceně RVO) </w:t>
      </w:r>
      <w:r>
        <w:t xml:space="preserve">se rozdělí </w:t>
      </w:r>
      <w:r w:rsidR="000B5971" w:rsidRPr="000B5971">
        <w:t xml:space="preserve">na dvě složky: stabilizační (základna) a motivační (nárůst). </w:t>
      </w:r>
    </w:p>
    <w:p w:rsidR="000B5971" w:rsidRPr="000B5971" w:rsidRDefault="000B5971" w:rsidP="00D67BF7">
      <w:pPr>
        <w:pStyle w:val="Nadpis3"/>
      </w:pPr>
      <w:bookmarkStart w:id="6" w:name="_Toc453841528"/>
      <w:bookmarkStart w:id="7" w:name="_Toc453843507"/>
      <w:bookmarkStart w:id="8" w:name="_Toc453930872"/>
      <w:bookmarkStart w:id="9" w:name="_Toc462064469"/>
      <w:r w:rsidRPr="000B5971">
        <w:t>Fixace základny</w:t>
      </w:r>
      <w:bookmarkEnd w:id="6"/>
      <w:bookmarkEnd w:id="7"/>
      <w:bookmarkEnd w:id="8"/>
      <w:bookmarkEnd w:id="9"/>
    </w:p>
    <w:p w:rsidR="000B5971" w:rsidRPr="000B5971" w:rsidRDefault="000B5971" w:rsidP="000B5971">
      <w:r w:rsidRPr="000B5971">
        <w:rPr>
          <w:b/>
          <w:bCs/>
        </w:rPr>
        <w:t xml:space="preserve">Základna. </w:t>
      </w:r>
      <w:r w:rsidRPr="000B5971">
        <w:rPr>
          <w:bCs/>
        </w:rPr>
        <w:t xml:space="preserve">Tyto prostředky jsou založeny na fixaci až 100 % </w:t>
      </w:r>
      <w:r w:rsidRPr="000B5971">
        <w:t xml:space="preserve">rozdělení RVO podle </w:t>
      </w:r>
      <w:r w:rsidRPr="000B5971">
        <w:rPr>
          <w:i/>
        </w:rPr>
        <w:t>Metodiky</w:t>
      </w:r>
      <w:r w:rsidRPr="000B5971">
        <w:t xml:space="preserve"> </w:t>
      </w:r>
      <w:r w:rsidRPr="000B5971">
        <w:rPr>
          <w:i/>
        </w:rPr>
        <w:t>hodnocení výsledků výzkumných organizací a hodnocení výsledků ukončených programů platné pro léta 2013 – 2016,</w:t>
      </w:r>
      <w:r w:rsidRPr="000B5971">
        <w:t xml:space="preserve"> schválené usnesením vlády ze dne 19. 6. 2013</w:t>
      </w:r>
      <w:r w:rsidR="00781848" w:rsidRPr="00781848">
        <w:t xml:space="preserve"> </w:t>
      </w:r>
      <w:r w:rsidR="00781848" w:rsidRPr="000B5971">
        <w:t>č. 475</w:t>
      </w:r>
      <w:r w:rsidRPr="000B5971">
        <w:t xml:space="preserve">, ve smyslu usnesení vlády ze dne 16. 4. 2014 č. 250 a usnesení vlády ze dne 29. července 2015 č. 605 (dále jen </w:t>
      </w:r>
      <w:r w:rsidR="00781848">
        <w:t>„</w:t>
      </w:r>
      <w:r w:rsidRPr="000B5971">
        <w:rPr>
          <w:i/>
        </w:rPr>
        <w:t>Metodika</w:t>
      </w:r>
      <w:r w:rsidR="00781848">
        <w:rPr>
          <w:i/>
        </w:rPr>
        <w:t>“</w:t>
      </w:r>
      <w:r w:rsidRPr="000B5971">
        <w:t>) v souladu s vládou schváleným návrhem</w:t>
      </w:r>
      <w:r w:rsidRPr="000B5971">
        <w:rPr>
          <w:bCs/>
        </w:rPr>
        <w:t xml:space="preserve">. </w:t>
      </w:r>
      <w:r w:rsidRPr="000B5971">
        <w:t xml:space="preserve">Institucionální prostředky typu RVO budou zafixovány na úroveň výzkumných organizací. V souladu s §7 odst. 7 zákona přitom dále platí, že </w:t>
      </w:r>
      <w:r w:rsidR="00781848">
        <w:t>„p</w:t>
      </w:r>
      <w:r w:rsidRPr="000B5971">
        <w:t>oskytovatel může výši podpory upravit podle podrobnějšího hodnocení používajícího mezinárodně uznávaných metodik, které společně s výsledky podrobnějšího hodnocení a pravidly úpravy podpory před jejím poskytnutím zveřejní.“</w:t>
      </w:r>
    </w:p>
    <w:p w:rsidR="000B5971" w:rsidRPr="000B5971" w:rsidRDefault="000B5971" w:rsidP="00D67BF7">
      <w:pPr>
        <w:pStyle w:val="Nadpis3"/>
      </w:pPr>
      <w:bookmarkStart w:id="10" w:name="_Toc453841529"/>
      <w:bookmarkStart w:id="11" w:name="_Toc453843508"/>
      <w:bookmarkStart w:id="12" w:name="_Toc453930873"/>
      <w:bookmarkStart w:id="13" w:name="_Toc462064470"/>
      <w:r w:rsidRPr="000B5971">
        <w:lastRenderedPageBreak/>
        <w:t>Způsob rozdělování přírůstku podpory na základě hodnocení</w:t>
      </w:r>
      <w:bookmarkEnd w:id="10"/>
      <w:bookmarkEnd w:id="11"/>
      <w:bookmarkEnd w:id="12"/>
      <w:bookmarkEnd w:id="13"/>
    </w:p>
    <w:p w:rsidR="000B5971" w:rsidRPr="000B5971" w:rsidRDefault="000B5971" w:rsidP="000B5971">
      <w:r w:rsidRPr="000B5971">
        <w:rPr>
          <w:b/>
        </w:rPr>
        <w:t>Nárůst.</w:t>
      </w:r>
      <w:r w:rsidRPr="000B5971">
        <w:t xml:space="preserve"> Další prostředky minimálně v rozsahu daném meziročním nárůstem RVO budou rozděleny </w:t>
      </w:r>
      <w:r w:rsidRPr="000B5971">
        <w:rPr>
          <w:bCs/>
        </w:rPr>
        <w:t>na základě hodnocení podle výše popsaných principů</w:t>
      </w:r>
      <w:r w:rsidRPr="000B5971">
        <w:t xml:space="preserve">. Výsledkem hodnocení bude rozdělení </w:t>
      </w:r>
      <w:r w:rsidR="00D67BF7">
        <w:t>v</w:t>
      </w:r>
      <w:r w:rsidRPr="000B5971">
        <w:t xml:space="preserve">ýzkumných organizací do </w:t>
      </w:r>
      <w:r w:rsidR="00D61EFE">
        <w:t>4</w:t>
      </w:r>
      <w:r w:rsidR="00CE19E9">
        <w:t xml:space="preserve"> </w:t>
      </w:r>
      <w:r w:rsidRPr="000B5971">
        <w:rPr>
          <w:bCs/>
        </w:rPr>
        <w:t xml:space="preserve">skupin/pásem/klastrů A, B, C, </w:t>
      </w:r>
      <w:r w:rsidR="00D61EFE">
        <w:rPr>
          <w:bCs/>
        </w:rPr>
        <w:t xml:space="preserve">D, </w:t>
      </w:r>
      <w:r w:rsidRPr="000B5971">
        <w:t xml:space="preserve">podle kterého budou VO diferencovaně přiděleny prostředky (čili indexy nárůstu RVO/organizace). </w:t>
      </w:r>
    </w:p>
    <w:p w:rsidR="000B5971" w:rsidRPr="000B5971" w:rsidRDefault="000B5971" w:rsidP="005F173E">
      <w:pPr>
        <w:keepNext/>
        <w:rPr>
          <w:b/>
          <w:bCs/>
        </w:rPr>
      </w:pPr>
      <w:r w:rsidRPr="000B5971">
        <w:rPr>
          <w:b/>
          <w:bCs/>
        </w:rPr>
        <w:t xml:space="preserve">Obrázek </w:t>
      </w:r>
      <w:r w:rsidR="00720FAD">
        <w:rPr>
          <w:b/>
          <w:bCs/>
        </w:rPr>
        <w:t>2</w:t>
      </w:r>
      <w:r w:rsidRPr="000B5971">
        <w:rPr>
          <w:b/>
          <w:bCs/>
        </w:rPr>
        <w:t xml:space="preserve">: </w:t>
      </w:r>
      <w:r w:rsidRPr="00CE19E9">
        <w:rPr>
          <w:bCs/>
        </w:rPr>
        <w:t>Schéma rozdělení RVO</w:t>
      </w:r>
      <w:r w:rsidR="00CE19E9">
        <w:rPr>
          <w:rStyle w:val="Znakapoznpodarou"/>
          <w:b/>
          <w:bCs/>
        </w:rPr>
        <w:footnoteReference w:id="1"/>
      </w:r>
    </w:p>
    <w:p w:rsidR="000B5971" w:rsidRPr="000B5971" w:rsidRDefault="00FE10BD" w:rsidP="000B5971">
      <w:r w:rsidRPr="00FE10BD">
        <w:rPr>
          <w:noProof/>
        </w:rPr>
        <w:drawing>
          <wp:inline distT="0" distB="0" distL="0" distR="0" wp14:anchorId="13D22B1F" wp14:editId="00CCEED4">
            <wp:extent cx="4433674" cy="2655418"/>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37170" cy="2657512"/>
                    </a:xfrm>
                    <a:prstGeom prst="rect">
                      <a:avLst/>
                    </a:prstGeom>
                    <a:noFill/>
                    <a:ln>
                      <a:noFill/>
                    </a:ln>
                  </pic:spPr>
                </pic:pic>
              </a:graphicData>
            </a:graphic>
          </wp:inline>
        </w:drawing>
      </w:r>
    </w:p>
    <w:p w:rsidR="000B5971" w:rsidRPr="000B5971" w:rsidRDefault="000B5971" w:rsidP="000B5971">
      <w:r w:rsidRPr="000B5971">
        <w:t xml:space="preserve">Vláda schválila </w:t>
      </w:r>
      <w:r w:rsidRPr="000B5971">
        <w:rPr>
          <w:i/>
        </w:rPr>
        <w:t>Návrh výdajů SR VaVaI na rok 2017 se střednědobým výhledem na léta 2018 a 2019 a dlouhodobým výhledem do roku 2021</w:t>
      </w:r>
      <w:r w:rsidRPr="000B5971">
        <w:t xml:space="preserve"> podle návrhu RVVI z 315. zasedání dne 6. 5. 2016, který počítá s pravidelným růstem RVO. Na základě usnesení vlády ze dne 30. 5. 2016 </w:t>
      </w:r>
      <w:r w:rsidR="009E1647" w:rsidRPr="000B5971">
        <w:t xml:space="preserve">č. 477 </w:t>
      </w:r>
      <w:r w:rsidRPr="000B5971">
        <w:t>dojde k nárůstům alokovaným na úroveň poskytovatele podle následující tabulky</w:t>
      </w:r>
    </w:p>
    <w:p w:rsidR="000B5971" w:rsidRPr="00D67BF7" w:rsidRDefault="000B5971" w:rsidP="000B5971">
      <w:pPr>
        <w:rPr>
          <w:bCs/>
        </w:rPr>
      </w:pPr>
      <w:r w:rsidRPr="00CE19E9">
        <w:rPr>
          <w:b/>
          <w:bCs/>
        </w:rPr>
        <w:t xml:space="preserve">Tabulka 1: </w:t>
      </w:r>
      <w:r w:rsidRPr="00D67BF7">
        <w:rPr>
          <w:bCs/>
        </w:rPr>
        <w:t xml:space="preserve">Institucionální výdaje na Rozvoj výzkumných organizací (RVO) - navýšení v letech 2017-2019 schválené usnesením vlády č. 477 ze dne 30. 5. 2016 </w:t>
      </w:r>
      <w:r w:rsidR="000D63E3">
        <w:rPr>
          <w:bCs/>
        </w:rPr>
        <w:t>(v Kč)</w:t>
      </w:r>
    </w:p>
    <w:tbl>
      <w:tblPr>
        <w:tblW w:w="8946" w:type="dxa"/>
        <w:tblInd w:w="55" w:type="dxa"/>
        <w:tblCellMar>
          <w:left w:w="70" w:type="dxa"/>
          <w:right w:w="70" w:type="dxa"/>
        </w:tblCellMar>
        <w:tblLook w:val="04A0" w:firstRow="1" w:lastRow="0" w:firstColumn="1" w:lastColumn="0" w:noHBand="0" w:noVBand="1"/>
      </w:tblPr>
      <w:tblGrid>
        <w:gridCol w:w="1716"/>
        <w:gridCol w:w="1560"/>
        <w:gridCol w:w="1984"/>
        <w:gridCol w:w="1985"/>
        <w:gridCol w:w="1701"/>
      </w:tblGrid>
      <w:tr w:rsidR="000B5971" w:rsidRPr="000B5971" w:rsidTr="000D63E3">
        <w:trPr>
          <w:trHeight w:val="405"/>
        </w:trPr>
        <w:tc>
          <w:tcPr>
            <w:tcW w:w="171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rsidR="000B5971" w:rsidRPr="000B5971" w:rsidRDefault="000B5971" w:rsidP="000B5971">
            <w:pPr>
              <w:rPr>
                <w:b/>
                <w:bCs/>
              </w:rPr>
            </w:pPr>
            <w:r w:rsidRPr="000B5971">
              <w:rPr>
                <w:b/>
                <w:bCs/>
              </w:rPr>
              <w:t>Rozpočtová kapitola</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0B5971" w:rsidRPr="000B5971" w:rsidRDefault="000B5971" w:rsidP="000B5971">
            <w:pPr>
              <w:rPr>
                <w:b/>
                <w:bCs/>
              </w:rPr>
            </w:pPr>
            <w:r w:rsidRPr="000B5971">
              <w:rPr>
                <w:b/>
                <w:bCs/>
              </w:rPr>
              <w:t>2016</w:t>
            </w:r>
            <w:r w:rsidRPr="000B5971">
              <w:rPr>
                <w:b/>
                <w:bCs/>
              </w:rPr>
              <w:br/>
            </w:r>
            <w:r w:rsidRPr="000B5971">
              <w:t>dle zákona č. 400/2015 o SR</w:t>
            </w:r>
          </w:p>
        </w:tc>
        <w:tc>
          <w:tcPr>
            <w:tcW w:w="5670" w:type="dxa"/>
            <w:gridSpan w:val="3"/>
            <w:tcBorders>
              <w:top w:val="single" w:sz="8" w:space="0" w:color="auto"/>
              <w:left w:val="nil"/>
              <w:bottom w:val="single" w:sz="8" w:space="0" w:color="auto"/>
              <w:right w:val="single" w:sz="8" w:space="0" w:color="000000"/>
            </w:tcBorders>
            <w:shd w:val="clear" w:color="000000" w:fill="F2DCDB"/>
            <w:noWrap/>
            <w:vAlign w:val="center"/>
            <w:hideMark/>
          </w:tcPr>
          <w:p w:rsidR="000B5971" w:rsidRPr="000B5971" w:rsidRDefault="000B5971" w:rsidP="000D63E3">
            <w:pPr>
              <w:rPr>
                <w:b/>
                <w:bCs/>
              </w:rPr>
            </w:pPr>
            <w:r w:rsidRPr="000B5971">
              <w:rPr>
                <w:b/>
                <w:bCs/>
              </w:rPr>
              <w:t xml:space="preserve">navýšení oproti rozp. 2016 </w:t>
            </w:r>
          </w:p>
        </w:tc>
      </w:tr>
      <w:tr w:rsidR="000B5971" w:rsidRPr="000B5971" w:rsidTr="000D63E3">
        <w:trPr>
          <w:trHeight w:val="113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0B5971" w:rsidRPr="000B5971" w:rsidRDefault="000B5971" w:rsidP="000B5971">
            <w:pPr>
              <w:rPr>
                <w:b/>
                <w:bCs/>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0B5971" w:rsidRPr="000B5971" w:rsidRDefault="000B5971" w:rsidP="000B5971">
            <w:pPr>
              <w:rPr>
                <w:b/>
                <w:bCs/>
              </w:rPr>
            </w:pPr>
          </w:p>
        </w:tc>
        <w:tc>
          <w:tcPr>
            <w:tcW w:w="1984" w:type="dxa"/>
            <w:tcBorders>
              <w:top w:val="nil"/>
              <w:left w:val="nil"/>
              <w:bottom w:val="single" w:sz="8" w:space="0" w:color="auto"/>
              <w:right w:val="single" w:sz="8" w:space="0" w:color="auto"/>
            </w:tcBorders>
            <w:shd w:val="clear" w:color="000000" w:fill="F2DCDB"/>
            <w:vAlign w:val="center"/>
            <w:hideMark/>
          </w:tcPr>
          <w:p w:rsidR="000B5971" w:rsidRPr="000B5971" w:rsidRDefault="000B5971" w:rsidP="000B5971">
            <w:pPr>
              <w:rPr>
                <w:b/>
                <w:bCs/>
              </w:rPr>
            </w:pPr>
            <w:r w:rsidRPr="000B5971">
              <w:rPr>
                <w:b/>
                <w:bCs/>
              </w:rPr>
              <w:t>2017</w:t>
            </w:r>
            <w:r w:rsidRPr="000B5971">
              <w:rPr>
                <w:b/>
                <w:bCs/>
              </w:rPr>
              <w:br/>
            </w:r>
            <w:r w:rsidRPr="000B5971">
              <w:t>navýšení dle usn. vl.</w:t>
            </w:r>
            <w:r w:rsidRPr="000B5971">
              <w:br/>
              <w:t>č. 477/2016</w:t>
            </w:r>
          </w:p>
        </w:tc>
        <w:tc>
          <w:tcPr>
            <w:tcW w:w="1985" w:type="dxa"/>
            <w:tcBorders>
              <w:top w:val="nil"/>
              <w:left w:val="nil"/>
              <w:bottom w:val="single" w:sz="8" w:space="0" w:color="auto"/>
              <w:right w:val="single" w:sz="8" w:space="0" w:color="auto"/>
            </w:tcBorders>
            <w:shd w:val="clear" w:color="000000" w:fill="F2DCDB"/>
            <w:vAlign w:val="center"/>
            <w:hideMark/>
          </w:tcPr>
          <w:p w:rsidR="000B5971" w:rsidRPr="000B5971" w:rsidRDefault="000B5971" w:rsidP="000B5971">
            <w:pPr>
              <w:rPr>
                <w:b/>
                <w:bCs/>
              </w:rPr>
            </w:pPr>
            <w:r w:rsidRPr="000B5971">
              <w:rPr>
                <w:b/>
                <w:bCs/>
              </w:rPr>
              <w:t>2018</w:t>
            </w:r>
            <w:r w:rsidRPr="000B5971">
              <w:rPr>
                <w:b/>
                <w:bCs/>
              </w:rPr>
              <w:br/>
            </w:r>
            <w:r w:rsidRPr="000B5971">
              <w:t>navýšení dle usn. vl.</w:t>
            </w:r>
            <w:r w:rsidRPr="000B5971">
              <w:br/>
              <w:t>č. 477/2016</w:t>
            </w:r>
          </w:p>
        </w:tc>
        <w:tc>
          <w:tcPr>
            <w:tcW w:w="1701" w:type="dxa"/>
            <w:tcBorders>
              <w:top w:val="nil"/>
              <w:left w:val="nil"/>
              <w:bottom w:val="single" w:sz="8" w:space="0" w:color="auto"/>
              <w:right w:val="single" w:sz="8" w:space="0" w:color="auto"/>
            </w:tcBorders>
            <w:shd w:val="clear" w:color="000000" w:fill="F2DCDB"/>
            <w:vAlign w:val="center"/>
            <w:hideMark/>
          </w:tcPr>
          <w:p w:rsidR="000B5971" w:rsidRPr="000B5971" w:rsidRDefault="000B5971" w:rsidP="000B5971">
            <w:pPr>
              <w:rPr>
                <w:b/>
                <w:bCs/>
              </w:rPr>
            </w:pPr>
            <w:r w:rsidRPr="000B5971">
              <w:rPr>
                <w:b/>
                <w:bCs/>
              </w:rPr>
              <w:t>2019</w:t>
            </w:r>
            <w:r w:rsidRPr="000B5971">
              <w:rPr>
                <w:b/>
                <w:bCs/>
              </w:rPr>
              <w:br/>
            </w:r>
            <w:r w:rsidRPr="000B5971">
              <w:t xml:space="preserve">navýšení dle </w:t>
            </w:r>
            <w:r w:rsidRPr="000B5971">
              <w:br/>
              <w:t>usn. vl.</w:t>
            </w:r>
            <w:r w:rsidRPr="000B5971">
              <w:br/>
              <w:t>č. 477/2016</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MO</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85 913 000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3 865 000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5 253 000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8 576 000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MV</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60 675 000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2 730 000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3 710 000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6 058 000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MPO</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214 980 000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9 671 000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13 144 000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21 463 000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MZe</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391 377 000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17 607 000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23 929 000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39 074 000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lastRenderedPageBreak/>
              <w:t>MŠMT RVO(1)*</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5 770 877 000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251 500 902</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341 835 426</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558 103 352</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pPr>
              <w:rPr>
                <w:i/>
                <w:iCs/>
              </w:rPr>
            </w:pPr>
            <w:r w:rsidRPr="000B5971">
              <w:rPr>
                <w:i/>
                <w:iCs/>
              </w:rPr>
              <w:t>MŠMT RVO(2)**</w:t>
            </w:r>
          </w:p>
        </w:tc>
        <w:tc>
          <w:tcPr>
            <w:tcW w:w="1560" w:type="dxa"/>
            <w:tcBorders>
              <w:top w:val="nil"/>
              <w:left w:val="nil"/>
              <w:bottom w:val="single" w:sz="4" w:space="0" w:color="auto"/>
              <w:right w:val="single" w:sz="8" w:space="0" w:color="auto"/>
            </w:tcBorders>
            <w:shd w:val="clear" w:color="000000" w:fill="D8E4BC"/>
            <w:vAlign w:val="center"/>
            <w:hideMark/>
          </w:tcPr>
          <w:p w:rsidR="000B5971" w:rsidRPr="000B5971" w:rsidRDefault="000B5971" w:rsidP="000D63E3">
            <w:pPr>
              <w:jc w:val="right"/>
              <w:rPr>
                <w:i/>
                <w:iCs/>
              </w:rPr>
            </w:pPr>
            <w:r w:rsidRPr="000B5971">
              <w:rPr>
                <w:i/>
                <w:iCs/>
              </w:rPr>
              <w:t>-180 386 539</w:t>
            </w:r>
          </w:p>
        </w:tc>
        <w:tc>
          <w:tcPr>
            <w:tcW w:w="1984" w:type="dxa"/>
            <w:tcBorders>
              <w:top w:val="nil"/>
              <w:left w:val="nil"/>
              <w:bottom w:val="single" w:sz="4" w:space="0" w:color="auto"/>
              <w:right w:val="single" w:sz="8" w:space="0" w:color="auto"/>
            </w:tcBorders>
            <w:shd w:val="clear" w:color="000000" w:fill="D8E4BC"/>
            <w:noWrap/>
            <w:vAlign w:val="center"/>
            <w:hideMark/>
          </w:tcPr>
          <w:p w:rsidR="000B5971" w:rsidRPr="000B5971" w:rsidRDefault="000B5971" w:rsidP="000D63E3">
            <w:pPr>
              <w:jc w:val="right"/>
              <w:rPr>
                <w:i/>
                <w:iCs/>
              </w:rPr>
            </w:pPr>
            <w:r w:rsidRPr="000B5971">
              <w:rPr>
                <w:i/>
                <w:iCs/>
              </w:rPr>
              <w:t>0</w:t>
            </w:r>
          </w:p>
        </w:tc>
        <w:tc>
          <w:tcPr>
            <w:tcW w:w="1985" w:type="dxa"/>
            <w:tcBorders>
              <w:top w:val="nil"/>
              <w:left w:val="nil"/>
              <w:bottom w:val="single" w:sz="4" w:space="0" w:color="auto"/>
              <w:right w:val="nil"/>
            </w:tcBorders>
            <w:shd w:val="clear" w:color="000000" w:fill="D8E4BC"/>
            <w:noWrap/>
            <w:vAlign w:val="center"/>
            <w:hideMark/>
          </w:tcPr>
          <w:p w:rsidR="000B5971" w:rsidRPr="000B5971" w:rsidRDefault="000B5971" w:rsidP="000D63E3">
            <w:pPr>
              <w:jc w:val="right"/>
              <w:rPr>
                <w:i/>
                <w:iCs/>
              </w:rPr>
            </w:pPr>
            <w:r w:rsidRPr="000B5971">
              <w:rPr>
                <w:i/>
                <w:iCs/>
              </w:rPr>
              <w:t>0</w:t>
            </w:r>
          </w:p>
        </w:tc>
        <w:tc>
          <w:tcPr>
            <w:tcW w:w="1701" w:type="dxa"/>
            <w:tcBorders>
              <w:top w:val="nil"/>
              <w:left w:val="single" w:sz="8" w:space="0" w:color="auto"/>
              <w:bottom w:val="single" w:sz="4" w:space="0" w:color="auto"/>
              <w:right w:val="single" w:sz="8" w:space="0" w:color="auto"/>
            </w:tcBorders>
            <w:shd w:val="clear" w:color="000000" w:fill="D8E4BC"/>
            <w:noWrap/>
            <w:vAlign w:val="center"/>
            <w:hideMark/>
          </w:tcPr>
          <w:p w:rsidR="000B5971" w:rsidRPr="000B5971" w:rsidRDefault="000B5971" w:rsidP="000D63E3">
            <w:pPr>
              <w:jc w:val="right"/>
              <w:rPr>
                <w:i/>
                <w:iCs/>
              </w:rPr>
            </w:pPr>
            <w:r w:rsidRPr="000B5971">
              <w:rPr>
                <w:i/>
                <w:iCs/>
              </w:rPr>
              <w:t>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MK</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84 880 000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3 819 000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5 159 000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8 474 000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MZd</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637 079 000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28 660 000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38 952 000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63 603 000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AV ČR</w:t>
            </w:r>
          </w:p>
        </w:tc>
        <w:tc>
          <w:tcPr>
            <w:tcW w:w="1560" w:type="dxa"/>
            <w:tcBorders>
              <w:top w:val="nil"/>
              <w:left w:val="nil"/>
              <w:bottom w:val="single" w:sz="4" w:space="0" w:color="auto"/>
              <w:right w:val="single" w:sz="8" w:space="0" w:color="auto"/>
            </w:tcBorders>
            <w:shd w:val="clear" w:color="000000" w:fill="C5D9F1"/>
            <w:vAlign w:val="center"/>
            <w:hideMark/>
          </w:tcPr>
          <w:p w:rsidR="000B5971" w:rsidRPr="000B5971" w:rsidRDefault="000B5971" w:rsidP="000D63E3">
            <w:pPr>
              <w:jc w:val="right"/>
            </w:pPr>
            <w:r w:rsidRPr="000B5971">
              <w:t>3 401 674 000</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153 032 000</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207 983 000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339 610 000</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MD</w:t>
            </w:r>
          </w:p>
        </w:tc>
        <w:tc>
          <w:tcPr>
            <w:tcW w:w="1560" w:type="dxa"/>
            <w:tcBorders>
              <w:top w:val="nil"/>
              <w:left w:val="nil"/>
              <w:bottom w:val="single" w:sz="4" w:space="0" w:color="auto"/>
              <w:right w:val="single" w:sz="8" w:space="0" w:color="auto"/>
            </w:tcBorders>
            <w:shd w:val="clear" w:color="000000" w:fill="D8E4BC"/>
            <w:vAlign w:val="center"/>
            <w:hideMark/>
          </w:tcPr>
          <w:p w:rsidR="000B5971" w:rsidRPr="000B5971" w:rsidRDefault="000B5971" w:rsidP="000D63E3">
            <w:pPr>
              <w:jc w:val="right"/>
            </w:pPr>
            <w:r w:rsidRPr="000B5971">
              <w:t>14 672 854</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660 092</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895 044</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1 467 285</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MPSV</w:t>
            </w:r>
          </w:p>
        </w:tc>
        <w:tc>
          <w:tcPr>
            <w:tcW w:w="1560" w:type="dxa"/>
            <w:tcBorders>
              <w:top w:val="nil"/>
              <w:left w:val="nil"/>
              <w:bottom w:val="single" w:sz="4" w:space="0" w:color="auto"/>
              <w:right w:val="single" w:sz="8" w:space="0" w:color="auto"/>
            </w:tcBorders>
            <w:shd w:val="clear" w:color="000000" w:fill="D8E4BC"/>
            <w:vAlign w:val="center"/>
            <w:hideMark/>
          </w:tcPr>
          <w:p w:rsidR="000B5971" w:rsidRPr="000B5971" w:rsidRDefault="000B5971" w:rsidP="000D63E3">
            <w:pPr>
              <w:jc w:val="right"/>
            </w:pPr>
            <w:r w:rsidRPr="000B5971">
              <w:t>9 547 859</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429 532</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582 419</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954 786</w:t>
            </w:r>
          </w:p>
        </w:tc>
      </w:tr>
      <w:tr w:rsidR="000B5971" w:rsidRPr="000B5971" w:rsidTr="000D63E3">
        <w:trPr>
          <w:trHeight w:val="300"/>
        </w:trPr>
        <w:tc>
          <w:tcPr>
            <w:tcW w:w="1716" w:type="dxa"/>
            <w:tcBorders>
              <w:top w:val="nil"/>
              <w:left w:val="single" w:sz="8" w:space="0" w:color="auto"/>
              <w:bottom w:val="single" w:sz="4" w:space="0" w:color="auto"/>
              <w:right w:val="single" w:sz="8" w:space="0" w:color="auto"/>
            </w:tcBorders>
            <w:shd w:val="clear" w:color="000000" w:fill="D9D9D9"/>
            <w:noWrap/>
            <w:vAlign w:val="center"/>
            <w:hideMark/>
          </w:tcPr>
          <w:p w:rsidR="000B5971" w:rsidRPr="000B5971" w:rsidRDefault="000B5971" w:rsidP="000B5971">
            <w:r w:rsidRPr="000B5971">
              <w:t>MZV</w:t>
            </w:r>
          </w:p>
        </w:tc>
        <w:tc>
          <w:tcPr>
            <w:tcW w:w="1560" w:type="dxa"/>
            <w:tcBorders>
              <w:top w:val="nil"/>
              <w:left w:val="nil"/>
              <w:bottom w:val="single" w:sz="4" w:space="0" w:color="auto"/>
              <w:right w:val="single" w:sz="8" w:space="0" w:color="auto"/>
            </w:tcBorders>
            <w:shd w:val="clear" w:color="000000" w:fill="D8E4BC"/>
            <w:vAlign w:val="center"/>
            <w:hideMark/>
          </w:tcPr>
          <w:p w:rsidR="000B5971" w:rsidRPr="000B5971" w:rsidRDefault="000B5971" w:rsidP="000D63E3">
            <w:pPr>
              <w:jc w:val="right"/>
            </w:pPr>
            <w:r w:rsidRPr="000B5971">
              <w:t>9 530 993</w:t>
            </w:r>
          </w:p>
        </w:tc>
        <w:tc>
          <w:tcPr>
            <w:tcW w:w="1984" w:type="dxa"/>
            <w:tcBorders>
              <w:top w:val="nil"/>
              <w:left w:val="nil"/>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428 773</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581 390</w:t>
            </w:r>
          </w:p>
        </w:tc>
        <w:tc>
          <w:tcPr>
            <w:tcW w:w="1701" w:type="dxa"/>
            <w:tcBorders>
              <w:top w:val="nil"/>
              <w:left w:val="single" w:sz="8" w:space="0" w:color="auto"/>
              <w:bottom w:val="single" w:sz="4" w:space="0" w:color="auto"/>
              <w:right w:val="single" w:sz="8" w:space="0" w:color="auto"/>
            </w:tcBorders>
            <w:shd w:val="clear" w:color="auto" w:fill="auto"/>
            <w:noWrap/>
            <w:vAlign w:val="center"/>
            <w:hideMark/>
          </w:tcPr>
          <w:p w:rsidR="000B5971" w:rsidRPr="000B5971" w:rsidRDefault="000B5971" w:rsidP="000D63E3">
            <w:pPr>
              <w:jc w:val="right"/>
            </w:pPr>
            <w:r w:rsidRPr="000B5971">
              <w:t>953 098</w:t>
            </w:r>
          </w:p>
        </w:tc>
      </w:tr>
      <w:tr w:rsidR="000B5971" w:rsidRPr="000B5971" w:rsidTr="000D63E3">
        <w:trPr>
          <w:trHeight w:val="315"/>
        </w:trPr>
        <w:tc>
          <w:tcPr>
            <w:tcW w:w="1716" w:type="dxa"/>
            <w:tcBorders>
              <w:top w:val="nil"/>
              <w:left w:val="single" w:sz="8" w:space="0" w:color="auto"/>
              <w:bottom w:val="nil"/>
              <w:right w:val="single" w:sz="8" w:space="0" w:color="auto"/>
            </w:tcBorders>
            <w:shd w:val="clear" w:color="000000" w:fill="D9D9D9"/>
            <w:noWrap/>
            <w:vAlign w:val="center"/>
            <w:hideMark/>
          </w:tcPr>
          <w:p w:rsidR="000B5971" w:rsidRPr="000B5971" w:rsidRDefault="000B5971" w:rsidP="000B5971">
            <w:r w:rsidRPr="000B5971">
              <w:t>MŽP</w:t>
            </w:r>
          </w:p>
        </w:tc>
        <w:tc>
          <w:tcPr>
            <w:tcW w:w="1560" w:type="dxa"/>
            <w:tcBorders>
              <w:top w:val="nil"/>
              <w:left w:val="nil"/>
              <w:bottom w:val="single" w:sz="8" w:space="0" w:color="auto"/>
              <w:right w:val="single" w:sz="8" w:space="0" w:color="auto"/>
            </w:tcBorders>
            <w:shd w:val="clear" w:color="000000" w:fill="D8E4BC"/>
            <w:vAlign w:val="center"/>
            <w:hideMark/>
          </w:tcPr>
          <w:p w:rsidR="000B5971" w:rsidRPr="000B5971" w:rsidRDefault="000B5971" w:rsidP="000D63E3">
            <w:pPr>
              <w:jc w:val="right"/>
            </w:pPr>
            <w:r w:rsidRPr="000B5971">
              <w:t>146 634 833</w:t>
            </w:r>
          </w:p>
        </w:tc>
        <w:tc>
          <w:tcPr>
            <w:tcW w:w="1984" w:type="dxa"/>
            <w:tcBorders>
              <w:top w:val="nil"/>
              <w:left w:val="nil"/>
              <w:bottom w:val="single" w:sz="8" w:space="0" w:color="auto"/>
              <w:right w:val="single" w:sz="8" w:space="0" w:color="auto"/>
            </w:tcBorders>
            <w:shd w:val="clear" w:color="auto" w:fill="auto"/>
            <w:noWrap/>
            <w:vAlign w:val="center"/>
            <w:hideMark/>
          </w:tcPr>
          <w:p w:rsidR="000B5971" w:rsidRPr="000B5971" w:rsidRDefault="000B5971" w:rsidP="000D63E3">
            <w:pPr>
              <w:jc w:val="right"/>
            </w:pPr>
            <w:r w:rsidRPr="000B5971">
              <w:t>6 596 701</w:t>
            </w:r>
          </w:p>
        </w:tc>
        <w:tc>
          <w:tcPr>
            <w:tcW w:w="1985" w:type="dxa"/>
            <w:tcBorders>
              <w:top w:val="nil"/>
              <w:left w:val="nil"/>
              <w:bottom w:val="single" w:sz="4" w:space="0" w:color="auto"/>
              <w:right w:val="nil"/>
            </w:tcBorders>
            <w:shd w:val="clear" w:color="auto" w:fill="auto"/>
            <w:noWrap/>
            <w:vAlign w:val="center"/>
            <w:hideMark/>
          </w:tcPr>
          <w:p w:rsidR="000B5971" w:rsidRPr="000B5971" w:rsidRDefault="000B5971" w:rsidP="000D63E3">
            <w:pPr>
              <w:jc w:val="right"/>
            </w:pPr>
            <w:r w:rsidRPr="000B5971">
              <w:t>8 944 721</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0B5971" w:rsidRPr="000B5971" w:rsidRDefault="000B5971" w:rsidP="000D63E3">
            <w:pPr>
              <w:jc w:val="right"/>
            </w:pPr>
            <w:r w:rsidRPr="000B5971">
              <w:t>14 663 479</w:t>
            </w:r>
          </w:p>
        </w:tc>
      </w:tr>
      <w:tr w:rsidR="000B5971" w:rsidRPr="000B5971" w:rsidTr="000D63E3">
        <w:trPr>
          <w:trHeight w:val="315"/>
        </w:trPr>
        <w:tc>
          <w:tcPr>
            <w:tcW w:w="17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0B5971" w:rsidRPr="000B5971" w:rsidRDefault="000B5971" w:rsidP="000B5971">
            <w:pPr>
              <w:rPr>
                <w:b/>
                <w:bCs/>
              </w:rPr>
            </w:pPr>
            <w:r w:rsidRPr="000B5971">
              <w:rPr>
                <w:b/>
                <w:bCs/>
              </w:rPr>
              <w:t>Celkem</w:t>
            </w:r>
          </w:p>
        </w:tc>
        <w:tc>
          <w:tcPr>
            <w:tcW w:w="1560" w:type="dxa"/>
            <w:tcBorders>
              <w:top w:val="nil"/>
              <w:left w:val="nil"/>
              <w:bottom w:val="single" w:sz="8" w:space="0" w:color="auto"/>
              <w:right w:val="nil"/>
            </w:tcBorders>
            <w:shd w:val="clear" w:color="000000" w:fill="8DB4E2"/>
            <w:noWrap/>
            <w:vAlign w:val="center"/>
            <w:hideMark/>
          </w:tcPr>
          <w:p w:rsidR="000B5971" w:rsidRPr="000B5971" w:rsidRDefault="000B5971" w:rsidP="000D63E3">
            <w:pPr>
              <w:jc w:val="right"/>
              <w:rPr>
                <w:b/>
                <w:bCs/>
              </w:rPr>
            </w:pPr>
            <w:r w:rsidRPr="000B5971">
              <w:rPr>
                <w:b/>
                <w:bCs/>
              </w:rPr>
              <w:t>10 647 455 000</w:t>
            </w:r>
          </w:p>
        </w:tc>
        <w:tc>
          <w:tcPr>
            <w:tcW w:w="1984" w:type="dxa"/>
            <w:tcBorders>
              <w:top w:val="nil"/>
              <w:left w:val="single" w:sz="8" w:space="0" w:color="auto"/>
              <w:bottom w:val="single" w:sz="8" w:space="0" w:color="auto"/>
              <w:right w:val="single" w:sz="8" w:space="0" w:color="auto"/>
            </w:tcBorders>
            <w:shd w:val="clear" w:color="auto" w:fill="auto"/>
            <w:noWrap/>
            <w:vAlign w:val="center"/>
            <w:hideMark/>
          </w:tcPr>
          <w:p w:rsidR="000B5971" w:rsidRPr="000B5971" w:rsidRDefault="000B5971" w:rsidP="000D63E3">
            <w:pPr>
              <w:jc w:val="right"/>
              <w:rPr>
                <w:b/>
                <w:bCs/>
              </w:rPr>
            </w:pPr>
            <w:r w:rsidRPr="000B5971">
              <w:rPr>
                <w:b/>
                <w:bCs/>
              </w:rPr>
              <w:t>479 000 000</w:t>
            </w:r>
          </w:p>
        </w:tc>
        <w:tc>
          <w:tcPr>
            <w:tcW w:w="1985" w:type="dxa"/>
            <w:tcBorders>
              <w:top w:val="single" w:sz="8" w:space="0" w:color="auto"/>
              <w:left w:val="nil"/>
              <w:bottom w:val="single" w:sz="8" w:space="0" w:color="auto"/>
              <w:right w:val="nil"/>
            </w:tcBorders>
            <w:shd w:val="clear" w:color="auto" w:fill="auto"/>
            <w:noWrap/>
            <w:vAlign w:val="center"/>
            <w:hideMark/>
          </w:tcPr>
          <w:p w:rsidR="000B5971" w:rsidRPr="000B5971" w:rsidRDefault="000B5971" w:rsidP="000D63E3">
            <w:pPr>
              <w:jc w:val="right"/>
              <w:rPr>
                <w:b/>
                <w:bCs/>
              </w:rPr>
            </w:pPr>
            <w:r w:rsidRPr="000B5971">
              <w:rPr>
                <w:b/>
                <w:bCs/>
              </w:rPr>
              <w:t>650 969 000</w:t>
            </w:r>
          </w:p>
        </w:tc>
        <w:tc>
          <w:tcPr>
            <w:tcW w:w="1701" w:type="dxa"/>
            <w:tcBorders>
              <w:top w:val="nil"/>
              <w:left w:val="single" w:sz="8" w:space="0" w:color="auto"/>
              <w:bottom w:val="single" w:sz="8" w:space="0" w:color="auto"/>
              <w:right w:val="single" w:sz="8" w:space="0" w:color="auto"/>
            </w:tcBorders>
            <w:shd w:val="clear" w:color="auto" w:fill="auto"/>
            <w:noWrap/>
            <w:vAlign w:val="center"/>
            <w:hideMark/>
          </w:tcPr>
          <w:p w:rsidR="000B5971" w:rsidRPr="000B5971" w:rsidRDefault="000B5971" w:rsidP="000D63E3">
            <w:pPr>
              <w:jc w:val="right"/>
              <w:rPr>
                <w:b/>
                <w:bCs/>
              </w:rPr>
            </w:pPr>
            <w:r w:rsidRPr="000B5971">
              <w:rPr>
                <w:b/>
                <w:bCs/>
              </w:rPr>
              <w:t>1 063 000 000</w:t>
            </w:r>
          </w:p>
        </w:tc>
      </w:tr>
      <w:tr w:rsidR="000B5971" w:rsidRPr="000B5971" w:rsidTr="000D63E3">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0B5971" w:rsidRPr="000B5971" w:rsidRDefault="000B5971" w:rsidP="000B5971">
            <w:r w:rsidRPr="000B5971">
              <w:t>navýšení (%)***</w:t>
            </w:r>
          </w:p>
        </w:tc>
        <w:tc>
          <w:tcPr>
            <w:tcW w:w="1560" w:type="dxa"/>
            <w:tcBorders>
              <w:top w:val="nil"/>
              <w:left w:val="nil"/>
              <w:bottom w:val="single" w:sz="4" w:space="0" w:color="auto"/>
              <w:right w:val="single" w:sz="4" w:space="0" w:color="auto"/>
            </w:tcBorders>
            <w:shd w:val="clear" w:color="auto" w:fill="auto"/>
            <w:noWrap/>
            <w:vAlign w:val="center"/>
            <w:hideMark/>
          </w:tcPr>
          <w:p w:rsidR="000B5971" w:rsidRPr="000B5971" w:rsidRDefault="000B5971" w:rsidP="000D63E3">
            <w:pPr>
              <w:jc w:val="center"/>
            </w:pPr>
          </w:p>
        </w:tc>
        <w:tc>
          <w:tcPr>
            <w:tcW w:w="1984" w:type="dxa"/>
            <w:tcBorders>
              <w:top w:val="nil"/>
              <w:left w:val="nil"/>
              <w:bottom w:val="single" w:sz="4" w:space="0" w:color="auto"/>
              <w:right w:val="single" w:sz="4" w:space="0" w:color="auto"/>
            </w:tcBorders>
            <w:shd w:val="clear" w:color="000000" w:fill="F2DCDB"/>
            <w:noWrap/>
            <w:vAlign w:val="center"/>
            <w:hideMark/>
          </w:tcPr>
          <w:p w:rsidR="000B5971" w:rsidRPr="000B5971" w:rsidRDefault="000B5971" w:rsidP="000D63E3">
            <w:pPr>
              <w:jc w:val="center"/>
            </w:pPr>
            <w:r w:rsidRPr="000B5971">
              <w:t>4,50%</w:t>
            </w:r>
          </w:p>
        </w:tc>
        <w:tc>
          <w:tcPr>
            <w:tcW w:w="1985" w:type="dxa"/>
            <w:tcBorders>
              <w:top w:val="nil"/>
              <w:left w:val="nil"/>
              <w:bottom w:val="single" w:sz="4" w:space="0" w:color="auto"/>
              <w:right w:val="single" w:sz="4" w:space="0" w:color="auto"/>
            </w:tcBorders>
            <w:shd w:val="clear" w:color="000000" w:fill="F2DCDB"/>
            <w:noWrap/>
            <w:vAlign w:val="center"/>
            <w:hideMark/>
          </w:tcPr>
          <w:p w:rsidR="000B5971" w:rsidRPr="000B5971" w:rsidRDefault="000B5971" w:rsidP="000D63E3">
            <w:pPr>
              <w:jc w:val="center"/>
            </w:pPr>
            <w:r w:rsidRPr="000B5971">
              <w:t>6,11%</w:t>
            </w:r>
          </w:p>
        </w:tc>
        <w:tc>
          <w:tcPr>
            <w:tcW w:w="1701" w:type="dxa"/>
            <w:tcBorders>
              <w:top w:val="nil"/>
              <w:left w:val="nil"/>
              <w:bottom w:val="single" w:sz="4" w:space="0" w:color="auto"/>
              <w:right w:val="single" w:sz="4" w:space="0" w:color="auto"/>
            </w:tcBorders>
            <w:shd w:val="clear" w:color="000000" w:fill="F2DCDB"/>
            <w:noWrap/>
            <w:vAlign w:val="center"/>
            <w:hideMark/>
          </w:tcPr>
          <w:p w:rsidR="000B5971" w:rsidRPr="000B5971" w:rsidRDefault="000B5971" w:rsidP="000D63E3">
            <w:pPr>
              <w:jc w:val="center"/>
            </w:pPr>
            <w:r w:rsidRPr="000B5971">
              <w:t>9,98%</w:t>
            </w:r>
          </w:p>
        </w:tc>
      </w:tr>
    </w:tbl>
    <w:p w:rsidR="000B5971" w:rsidRPr="00E1442E" w:rsidRDefault="00713336" w:rsidP="00B53119">
      <w:pPr>
        <w:spacing w:after="0" w:line="240" w:lineRule="auto"/>
        <w:rPr>
          <w:sz w:val="20"/>
          <w:szCs w:val="20"/>
        </w:rPr>
      </w:pPr>
      <w:r w:rsidRPr="00713336">
        <w:rPr>
          <w:sz w:val="20"/>
          <w:szCs w:val="20"/>
        </w:rPr>
        <w:t xml:space="preserve">Poznámky: MD, MPSV, MZV, MŽP v r. 2016 - částky alokované pod MŠMT, schválen jejich převod na uvedené kapitoly od r. 2017 vč. </w:t>
      </w:r>
      <w:r w:rsidR="003C1A42">
        <w:rPr>
          <w:sz w:val="20"/>
          <w:szCs w:val="20"/>
        </w:rPr>
        <w:t>n</w:t>
      </w:r>
      <w:r w:rsidRPr="00713336">
        <w:rPr>
          <w:sz w:val="20"/>
          <w:szCs w:val="20"/>
        </w:rPr>
        <w:t>avýšení.</w:t>
      </w:r>
    </w:p>
    <w:p w:rsidR="000B5971" w:rsidRPr="00E1442E" w:rsidRDefault="00713336" w:rsidP="00B53119">
      <w:pPr>
        <w:spacing w:after="0" w:line="240" w:lineRule="auto"/>
        <w:rPr>
          <w:sz w:val="20"/>
          <w:szCs w:val="20"/>
        </w:rPr>
      </w:pPr>
      <w:r w:rsidRPr="00713336">
        <w:rPr>
          <w:sz w:val="20"/>
          <w:szCs w:val="20"/>
        </w:rPr>
        <w:t>* MŠMT RVO(1): objem RVO v r. 2016 obsahující částku pro MD, MPSV, MZV a MŽP alokovanou pod MŠMT (tj. obsahující objem MŠMT RVO(2).</w:t>
      </w:r>
    </w:p>
    <w:p w:rsidR="000B5971" w:rsidRPr="00E1442E" w:rsidRDefault="00713336" w:rsidP="00B53119">
      <w:pPr>
        <w:spacing w:after="0" w:line="240" w:lineRule="auto"/>
        <w:rPr>
          <w:sz w:val="20"/>
          <w:szCs w:val="20"/>
        </w:rPr>
      </w:pPr>
      <w:r w:rsidRPr="00713336">
        <w:rPr>
          <w:sz w:val="20"/>
          <w:szCs w:val="20"/>
        </w:rPr>
        <w:t>** MŠMT RVO(2): objem RVO v r. 2016 pro MD, MPSV, MZV a MŽP alokovaný pod MŠMT.</w:t>
      </w:r>
    </w:p>
    <w:p w:rsidR="000B5971" w:rsidRPr="00E1442E" w:rsidRDefault="00713336" w:rsidP="00B53119">
      <w:pPr>
        <w:spacing w:after="0" w:line="240" w:lineRule="auto"/>
        <w:rPr>
          <w:sz w:val="20"/>
          <w:szCs w:val="20"/>
        </w:rPr>
      </w:pPr>
      <w:r w:rsidRPr="00713336">
        <w:rPr>
          <w:sz w:val="20"/>
          <w:szCs w:val="20"/>
        </w:rPr>
        <w:t xml:space="preserve">*** Navýšení (%):představuje navýšení RVO proti rozpočtu r. 2016. </w:t>
      </w:r>
    </w:p>
    <w:p w:rsidR="00B53119" w:rsidRPr="000B5971" w:rsidRDefault="00B53119" w:rsidP="00B53119">
      <w:pPr>
        <w:spacing w:after="0" w:line="240" w:lineRule="auto"/>
      </w:pPr>
    </w:p>
    <w:p w:rsidR="007B634B" w:rsidRPr="00EC0E94" w:rsidRDefault="007B634B" w:rsidP="005B0DD0">
      <w:pPr>
        <w:pStyle w:val="Nadpis2"/>
        <w:ind w:left="709" w:hanging="709"/>
      </w:pPr>
      <w:bookmarkStart w:id="14" w:name="_Toc462064471"/>
      <w:r w:rsidRPr="00EC0E94">
        <w:t xml:space="preserve">Principy hodnocení </w:t>
      </w:r>
      <w:r w:rsidR="00CE50DC" w:rsidRPr="00EC0E94">
        <w:t xml:space="preserve">podle </w:t>
      </w:r>
      <w:r w:rsidR="00C32ECA" w:rsidRPr="00EC0E94">
        <w:t xml:space="preserve">Metodiky </w:t>
      </w:r>
      <w:r w:rsidRPr="00EC0E94">
        <w:t>17</w:t>
      </w:r>
      <w:r w:rsidR="00C32ECA" w:rsidRPr="00EC0E94">
        <w:t>+</w:t>
      </w:r>
      <w:r w:rsidRPr="00EC0E94">
        <w:t xml:space="preserve"> </w:t>
      </w:r>
      <w:r w:rsidR="00CE50DC" w:rsidRPr="00EC0E94">
        <w:t>v implementační fázi</w:t>
      </w:r>
      <w:bookmarkEnd w:id="14"/>
      <w:r w:rsidRPr="00EC0E94">
        <w:t xml:space="preserve"> </w:t>
      </w:r>
    </w:p>
    <w:p w:rsidR="0039031B" w:rsidRDefault="00CE50DC" w:rsidP="006E6092">
      <w:pPr>
        <w:jc w:val="both"/>
      </w:pPr>
      <w:r w:rsidRPr="006E6092">
        <w:t>Přechod na novou metodiku hodnocení odpovídající mezinárodním standardům bude postupný v letech 2017-2019</w:t>
      </w:r>
      <w:r w:rsidR="006E6092">
        <w:t xml:space="preserve"> (implementační fáze)</w:t>
      </w:r>
      <w:r w:rsidRPr="006E6092">
        <w:t>.</w:t>
      </w:r>
      <w:r w:rsidR="00ED16B2" w:rsidRPr="006E6092">
        <w:t xml:space="preserve"> </w:t>
      </w:r>
      <w:r w:rsidR="00530FC0">
        <w:t>V</w:t>
      </w:r>
      <w:r w:rsidR="00530FC0" w:rsidRPr="006E6092">
        <w:t xml:space="preserve">ýzkumné </w:t>
      </w:r>
      <w:r w:rsidRPr="006E6092">
        <w:t>organizace</w:t>
      </w:r>
      <w:r w:rsidR="00E1442E">
        <w:t xml:space="preserve"> </w:t>
      </w:r>
      <w:r w:rsidR="00530FC0" w:rsidRPr="006E6092">
        <w:t xml:space="preserve">budou </w:t>
      </w:r>
      <w:r w:rsidR="00530FC0">
        <w:t>h</w:t>
      </w:r>
      <w:r w:rsidR="00530FC0" w:rsidRPr="006E6092">
        <w:t xml:space="preserve">odnoceny </w:t>
      </w:r>
      <w:r w:rsidR="00E1442E">
        <w:t>na úrovni poskytovatele, nikoliv na národní úrovni</w:t>
      </w:r>
      <w:r w:rsidRPr="006E6092">
        <w:t xml:space="preserve">. </w:t>
      </w:r>
      <w:r w:rsidR="00C54A20" w:rsidRPr="00CD0743">
        <w:t xml:space="preserve">Základem </w:t>
      </w:r>
      <w:r w:rsidR="007B634B" w:rsidRPr="00CD0743">
        <w:t xml:space="preserve">hodnocení </w:t>
      </w:r>
      <w:r w:rsidR="00B70DBF">
        <w:t xml:space="preserve">pro národní úroveň </w:t>
      </w:r>
      <w:r w:rsidR="006E6092" w:rsidRPr="00CD0743">
        <w:t xml:space="preserve">v roce 2017 </w:t>
      </w:r>
      <w:r w:rsidR="00B869FD" w:rsidRPr="00CD0743">
        <w:t>bude hodnocení vybraných</w:t>
      </w:r>
      <w:r w:rsidR="007B634B" w:rsidRPr="00CD0743">
        <w:t xml:space="preserve"> výsledk</w:t>
      </w:r>
      <w:r w:rsidR="0039031B" w:rsidRPr="00CD0743">
        <w:t>ů</w:t>
      </w:r>
      <w:r w:rsidR="007B634B" w:rsidRPr="00CD0743">
        <w:t xml:space="preserve"> </w:t>
      </w:r>
      <w:r w:rsidR="006E6092" w:rsidRPr="00CD0743">
        <w:t>VO</w:t>
      </w:r>
      <w:r w:rsidR="00B869FD" w:rsidRPr="00CD0743">
        <w:t>.</w:t>
      </w:r>
      <w:r w:rsidR="007B634B" w:rsidRPr="006E6092">
        <w:t xml:space="preserve"> </w:t>
      </w:r>
      <w:r w:rsidR="00B70DBF">
        <w:t xml:space="preserve">AV ČR kompletní hodnocení již provedla, proto další kompletní hodnocení proběhne v roce 2021. V segmentu rezortů bude kompletní hodnocení provedeno v letech 2017, respektive 2018. V </w:t>
      </w:r>
      <w:r w:rsidR="00461916">
        <w:t xml:space="preserve">segmentu VŠ </w:t>
      </w:r>
      <w:r w:rsidR="00B70DBF">
        <w:t>bude od roku 2017 kompletní hodnocení postupně budováno a bude dokončeno v roce 2020.</w:t>
      </w:r>
    </w:p>
    <w:p w:rsidR="00D61EFE" w:rsidRDefault="00D61EFE" w:rsidP="006E6092">
      <w:pPr>
        <w:jc w:val="both"/>
      </w:pPr>
      <w:r>
        <w:t xml:space="preserve">Mezi poskytovateli a jednotlivými částmi systému existují významné rozdíly v připravenosti k hodnocení. Této skutečnosti je </w:t>
      </w:r>
      <w:r w:rsidR="002D19D4">
        <w:t>implementace Metodiky17+ p</w:t>
      </w:r>
      <w:r>
        <w:t>řizpůsobena.</w:t>
      </w:r>
    </w:p>
    <w:p w:rsidR="005B0DD0" w:rsidRDefault="005B0DD0" w:rsidP="005B0DD0">
      <w:pPr>
        <w:pStyle w:val="Nadpis2"/>
        <w:ind w:left="709" w:hanging="709"/>
      </w:pPr>
      <w:bookmarkStart w:id="15" w:name="_Toc462064472"/>
      <w:r>
        <w:t>Definice výsledků</w:t>
      </w:r>
      <w:bookmarkEnd w:id="15"/>
    </w:p>
    <w:p w:rsidR="00720FAD" w:rsidRDefault="00720FAD" w:rsidP="00E76F94">
      <w:r w:rsidRPr="00FA2142">
        <w:rPr>
          <w:szCs w:val="24"/>
        </w:rPr>
        <w:t>V souvislosti s M</w:t>
      </w:r>
      <w:r w:rsidR="00E76F94">
        <w:rPr>
          <w:szCs w:val="24"/>
        </w:rPr>
        <w:t>etodikou</w:t>
      </w:r>
      <w:r w:rsidRPr="00FA2142">
        <w:rPr>
          <w:szCs w:val="24"/>
        </w:rPr>
        <w:t xml:space="preserve">17+ </w:t>
      </w:r>
      <w:r>
        <w:rPr>
          <w:szCs w:val="24"/>
        </w:rPr>
        <w:t>jsou</w:t>
      </w:r>
      <w:r w:rsidRPr="00FA2142">
        <w:rPr>
          <w:szCs w:val="24"/>
        </w:rPr>
        <w:t xml:space="preserve"> </w:t>
      </w:r>
      <w:r>
        <w:rPr>
          <w:szCs w:val="24"/>
        </w:rPr>
        <w:t xml:space="preserve">upřesněny </w:t>
      </w:r>
      <w:r w:rsidRPr="00FA2142">
        <w:rPr>
          <w:szCs w:val="24"/>
        </w:rPr>
        <w:t xml:space="preserve">definice druhů výsledků, kritéria jejich ověřitelnosti a způsob zadávání </w:t>
      </w:r>
      <w:r>
        <w:rPr>
          <w:szCs w:val="24"/>
        </w:rPr>
        <w:t xml:space="preserve">údajů </w:t>
      </w:r>
      <w:r w:rsidRPr="00FA2142">
        <w:rPr>
          <w:szCs w:val="24"/>
        </w:rPr>
        <w:t xml:space="preserve">do IS pro potřeby evidence VaVaI na národní úrovni. Aby </w:t>
      </w:r>
      <w:r w:rsidR="00E76F94" w:rsidRPr="00FA2142">
        <w:rPr>
          <w:szCs w:val="24"/>
        </w:rPr>
        <w:t>byl</w:t>
      </w:r>
      <w:r w:rsidR="00E76F94">
        <w:rPr>
          <w:szCs w:val="24"/>
        </w:rPr>
        <w:t>a</w:t>
      </w:r>
      <w:r w:rsidR="00E76F94" w:rsidRPr="00FA2142">
        <w:rPr>
          <w:szCs w:val="24"/>
        </w:rPr>
        <w:t xml:space="preserve"> </w:t>
      </w:r>
      <w:r w:rsidRPr="00FA2142">
        <w:rPr>
          <w:szCs w:val="24"/>
        </w:rPr>
        <w:t>umožněna jejich aktualizace bez potřeby otevírání výchozího dokumentu</w:t>
      </w:r>
      <w:r>
        <w:rPr>
          <w:szCs w:val="24"/>
        </w:rPr>
        <w:t>,</w:t>
      </w:r>
      <w:r w:rsidRPr="00FA2142">
        <w:rPr>
          <w:szCs w:val="24"/>
        </w:rPr>
        <w:t xml:space="preserve"> </w:t>
      </w:r>
      <w:r>
        <w:rPr>
          <w:szCs w:val="24"/>
        </w:rPr>
        <w:t>j</w:t>
      </w:r>
      <w:r w:rsidRPr="00FA2142">
        <w:rPr>
          <w:szCs w:val="24"/>
        </w:rPr>
        <w:t>e ta</w:t>
      </w:r>
      <w:r>
        <w:rPr>
          <w:szCs w:val="24"/>
        </w:rPr>
        <w:t>t</w:t>
      </w:r>
      <w:r w:rsidR="00D61EFE">
        <w:rPr>
          <w:szCs w:val="24"/>
        </w:rPr>
        <w:t xml:space="preserve">o problematika zpracována </w:t>
      </w:r>
      <w:r w:rsidRPr="00FA2142">
        <w:rPr>
          <w:szCs w:val="24"/>
        </w:rPr>
        <w:t>formou samostatné</w:t>
      </w:r>
      <w:r>
        <w:rPr>
          <w:szCs w:val="24"/>
        </w:rPr>
        <w:t>ho materiálu</w:t>
      </w:r>
      <w:r w:rsidRPr="00FA2142">
        <w:rPr>
          <w:szCs w:val="24"/>
        </w:rPr>
        <w:t xml:space="preserve"> schvalovaného vládou/RVVI. </w:t>
      </w:r>
    </w:p>
    <w:p w:rsidR="007B634B" w:rsidRPr="00353F87" w:rsidRDefault="00C32ECA" w:rsidP="005B0DD0">
      <w:pPr>
        <w:pStyle w:val="Nadpis2"/>
        <w:ind w:left="709" w:hanging="709"/>
      </w:pPr>
      <w:bookmarkStart w:id="16" w:name="_Toc462064473"/>
      <w:r w:rsidRPr="00353F87">
        <w:lastRenderedPageBreak/>
        <w:t>Zajištění podmínek pro hodnocení</w:t>
      </w:r>
      <w:bookmarkEnd w:id="16"/>
    </w:p>
    <w:p w:rsidR="00EC246F" w:rsidRDefault="00CE3275" w:rsidP="00A10E31">
      <w:pPr>
        <w:jc w:val="both"/>
      </w:pPr>
      <w:r w:rsidRPr="006F0D25">
        <w:t>S nárůstem komplexity hodnocení</w:t>
      </w:r>
      <w:r w:rsidR="009E1647">
        <w:t>,</w:t>
      </w:r>
      <w:r w:rsidRPr="006F0D25">
        <w:t xml:space="preserve"> a tedy i úkolů s ním spojených, vznik</w:t>
      </w:r>
      <w:r w:rsidR="00720FAD">
        <w:t>á</w:t>
      </w:r>
      <w:r w:rsidRPr="006F0D25">
        <w:t xml:space="preserve"> v</w:t>
      </w:r>
      <w:r w:rsidR="007B634B" w:rsidRPr="006F0D25">
        <w:t> rámci Sekce VVI nejdříve oddělení,</w:t>
      </w:r>
      <w:r w:rsidRPr="006F0D25">
        <w:t xml:space="preserve"> které bude</w:t>
      </w:r>
      <w:r w:rsidR="007B634B" w:rsidRPr="006F0D25">
        <w:t xml:space="preserve"> v následujících letech přebud</w:t>
      </w:r>
      <w:r w:rsidRPr="006F0D25">
        <w:t>ováno</w:t>
      </w:r>
      <w:r w:rsidR="007B634B" w:rsidRPr="006F0D25">
        <w:t xml:space="preserve"> na samostatný odbor. Tento </w:t>
      </w:r>
      <w:r w:rsidR="009E1647">
        <w:t>útvar</w:t>
      </w:r>
      <w:r w:rsidR="009E1647" w:rsidRPr="006F0D25">
        <w:t xml:space="preserve"> </w:t>
      </w:r>
      <w:r w:rsidR="007B634B" w:rsidRPr="006F0D25">
        <w:t xml:space="preserve">Sekce VVI </w:t>
      </w:r>
      <w:r w:rsidR="00720FAD">
        <w:t>má</w:t>
      </w:r>
      <w:r w:rsidR="007B634B" w:rsidRPr="006F0D25">
        <w:t xml:space="preserve"> také za úkol na centrální úrovni zajišťovat metodické řízení pro všechny úrovně hodnocení.</w:t>
      </w:r>
      <w:r w:rsidR="00530FC0">
        <w:t xml:space="preserve"> </w:t>
      </w:r>
      <w:r w:rsidR="00F660C5" w:rsidRPr="00F660C5">
        <w:t xml:space="preserve">V rozpočtu Sekce VVI jsou příslušné prostředky alokovány ve střednědobém výhledu až do roku 2019 (viz usnesení vlády ze dne 30. </w:t>
      </w:r>
      <w:r w:rsidR="0039329D">
        <w:t>května</w:t>
      </w:r>
      <w:r w:rsidR="00F660C5" w:rsidRPr="00F660C5">
        <w:t xml:space="preserve"> 2016</w:t>
      </w:r>
      <w:r w:rsidR="009E1647" w:rsidRPr="009E1647">
        <w:t xml:space="preserve"> </w:t>
      </w:r>
      <w:r w:rsidR="009E1647" w:rsidRPr="00F660C5">
        <w:t>č. 477</w:t>
      </w:r>
      <w:r w:rsidR="00F660C5" w:rsidRPr="00F660C5">
        <w:t>).</w:t>
      </w:r>
    </w:p>
    <w:p w:rsidR="002D19D4" w:rsidRDefault="002D19D4" w:rsidP="00A10E31">
      <w:pPr>
        <w:jc w:val="both"/>
      </w:pPr>
      <w:r>
        <w:t>Kvalitní personální zajištění je nezbytnou podmínkou úspěchu při změně systému hodnocení.</w:t>
      </w:r>
    </w:p>
    <w:p w:rsidR="00B77657" w:rsidRDefault="00B77657" w:rsidP="008D60D2">
      <w:pPr>
        <w:sectPr w:rsidR="00B77657" w:rsidSect="00067336">
          <w:headerReference w:type="default" r:id="rId11"/>
          <w:footerReference w:type="default" r:id="rId12"/>
          <w:pgSz w:w="11906" w:h="16838" w:code="9"/>
          <w:pgMar w:top="1418" w:right="1418" w:bottom="1418" w:left="1418" w:header="510" w:footer="397" w:gutter="0"/>
          <w:pgNumType w:start="1"/>
          <w:cols w:space="708"/>
          <w:docGrid w:linePitch="299"/>
        </w:sectPr>
      </w:pPr>
    </w:p>
    <w:p w:rsidR="008D60D2" w:rsidRDefault="00720FAD" w:rsidP="008D60D2">
      <w:r w:rsidRPr="00E76F94">
        <w:rPr>
          <w:b/>
        </w:rPr>
        <w:lastRenderedPageBreak/>
        <w:t xml:space="preserve">Schéma </w:t>
      </w:r>
      <w:r>
        <w:rPr>
          <w:b/>
        </w:rPr>
        <w:t>1</w:t>
      </w:r>
      <w:r w:rsidRPr="00E76F94">
        <w:rPr>
          <w:b/>
        </w:rPr>
        <w:t>:</w:t>
      </w:r>
      <w:r>
        <w:t xml:space="preserve"> </w:t>
      </w:r>
      <w:r w:rsidR="008D60D2" w:rsidRPr="00585088">
        <w:t xml:space="preserve">Hlavní aktivity v jednotlivých letech napříč systémem a podle úrovně hlavní zodpovědnosti </w:t>
      </w:r>
    </w:p>
    <w:tbl>
      <w:tblPr>
        <w:tblStyle w:val="Mkatabulky"/>
        <w:tblpPr w:leftFromText="141" w:rightFromText="141" w:horzAnchor="margin" w:tblpY="968"/>
        <w:tblW w:w="0" w:type="auto"/>
        <w:tblLayout w:type="fixed"/>
        <w:tblCellMar>
          <w:left w:w="57" w:type="dxa"/>
          <w:right w:w="57" w:type="dxa"/>
        </w:tblCellMar>
        <w:tblLook w:val="04A0" w:firstRow="1" w:lastRow="0" w:firstColumn="1" w:lastColumn="0" w:noHBand="0" w:noVBand="1"/>
      </w:tblPr>
      <w:tblGrid>
        <w:gridCol w:w="1333"/>
        <w:gridCol w:w="1572"/>
        <w:gridCol w:w="1121"/>
        <w:gridCol w:w="1361"/>
        <w:gridCol w:w="1247"/>
        <w:gridCol w:w="1247"/>
        <w:gridCol w:w="1246"/>
        <w:gridCol w:w="1249"/>
        <w:gridCol w:w="1246"/>
        <w:gridCol w:w="1249"/>
        <w:gridCol w:w="1247"/>
      </w:tblGrid>
      <w:tr w:rsidR="00B77657" w:rsidTr="00781848">
        <w:tc>
          <w:tcPr>
            <w:tcW w:w="1333" w:type="dxa"/>
            <w:tcBorders>
              <w:top w:val="nil"/>
              <w:left w:val="nil"/>
              <w:bottom w:val="single" w:sz="18" w:space="0" w:color="auto"/>
              <w:right w:val="single" w:sz="18" w:space="0" w:color="auto"/>
            </w:tcBorders>
          </w:tcPr>
          <w:p w:rsidR="00B77657" w:rsidRDefault="00B77657" w:rsidP="00781848"/>
        </w:tc>
        <w:tc>
          <w:tcPr>
            <w:tcW w:w="1572" w:type="dxa"/>
            <w:tcBorders>
              <w:top w:val="single" w:sz="18" w:space="0" w:color="auto"/>
              <w:left w:val="single" w:sz="18" w:space="0" w:color="auto"/>
              <w:bottom w:val="single" w:sz="4"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2017</w:t>
            </w:r>
          </w:p>
        </w:tc>
        <w:tc>
          <w:tcPr>
            <w:tcW w:w="1121"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2018</w:t>
            </w:r>
          </w:p>
        </w:tc>
        <w:tc>
          <w:tcPr>
            <w:tcW w:w="1361"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2019</w:t>
            </w:r>
          </w:p>
        </w:tc>
        <w:tc>
          <w:tcPr>
            <w:tcW w:w="1247"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2020</w:t>
            </w:r>
          </w:p>
        </w:tc>
        <w:tc>
          <w:tcPr>
            <w:tcW w:w="1247"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2021</w:t>
            </w:r>
          </w:p>
        </w:tc>
        <w:tc>
          <w:tcPr>
            <w:tcW w:w="1246"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2022</w:t>
            </w:r>
          </w:p>
        </w:tc>
        <w:tc>
          <w:tcPr>
            <w:tcW w:w="1249"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2023</w:t>
            </w:r>
          </w:p>
        </w:tc>
        <w:tc>
          <w:tcPr>
            <w:tcW w:w="1246"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2024</w:t>
            </w:r>
          </w:p>
        </w:tc>
        <w:tc>
          <w:tcPr>
            <w:tcW w:w="1249" w:type="dxa"/>
            <w:tcBorders>
              <w:top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2025</w:t>
            </w:r>
          </w:p>
        </w:tc>
        <w:tc>
          <w:tcPr>
            <w:tcW w:w="1247" w:type="dxa"/>
            <w:tcBorders>
              <w:top w:val="single" w:sz="18" w:space="0" w:color="auto"/>
              <w:right w:val="single" w:sz="18" w:space="0" w:color="auto"/>
            </w:tcBorders>
            <w:shd w:val="clear" w:color="auto" w:fill="8DB3E2" w:themeFill="text2" w:themeFillTint="66"/>
          </w:tcPr>
          <w:p w:rsidR="00B77657" w:rsidRPr="00585088" w:rsidRDefault="00B77657" w:rsidP="00781848">
            <w:pPr>
              <w:jc w:val="center"/>
              <w:rPr>
                <w:b/>
                <w:color w:val="FFFFFF" w:themeColor="background1"/>
              </w:rPr>
            </w:pPr>
            <w:r w:rsidRPr="00585088">
              <w:rPr>
                <w:b/>
                <w:color w:val="FFFFFF" w:themeColor="background1"/>
              </w:rPr>
              <w:t>2026</w:t>
            </w:r>
          </w:p>
        </w:tc>
      </w:tr>
      <w:tr w:rsidR="00B77657" w:rsidTr="00781848">
        <w:trPr>
          <w:trHeight w:val="2556"/>
        </w:trPr>
        <w:tc>
          <w:tcPr>
            <w:tcW w:w="1333" w:type="dxa"/>
            <w:tcBorders>
              <w:top w:val="single" w:sz="18" w:space="0" w:color="auto"/>
              <w:left w:val="single" w:sz="18" w:space="0" w:color="auto"/>
              <w:bottom w:val="single" w:sz="18" w:space="0" w:color="auto"/>
              <w:right w:val="single" w:sz="18" w:space="0" w:color="auto"/>
            </w:tcBorders>
            <w:shd w:val="clear" w:color="auto" w:fill="F2F2F2" w:themeFill="background1" w:themeFillShade="F2"/>
          </w:tcPr>
          <w:p w:rsidR="00B77657" w:rsidRPr="00C53BB5" w:rsidRDefault="00B77657" w:rsidP="00781848">
            <w:pPr>
              <w:rPr>
                <w:sz w:val="16"/>
                <w:szCs w:val="16"/>
              </w:rPr>
            </w:pPr>
            <w:r>
              <w:rPr>
                <w:sz w:val="16"/>
                <w:szCs w:val="16"/>
              </w:rPr>
              <w:t>Ú</w:t>
            </w:r>
            <w:r w:rsidRPr="00C53BB5">
              <w:rPr>
                <w:sz w:val="16"/>
                <w:szCs w:val="16"/>
              </w:rPr>
              <w:t>rov</w:t>
            </w:r>
            <w:r>
              <w:rPr>
                <w:sz w:val="16"/>
                <w:szCs w:val="16"/>
              </w:rPr>
              <w:t>eň</w:t>
            </w:r>
            <w:r w:rsidRPr="00C53BB5">
              <w:rPr>
                <w:sz w:val="16"/>
                <w:szCs w:val="16"/>
              </w:rPr>
              <w:t xml:space="preserve"> RVVI/Sekce VVI</w:t>
            </w:r>
          </w:p>
        </w:tc>
        <w:tc>
          <w:tcPr>
            <w:tcW w:w="1572" w:type="dxa"/>
            <w:tcBorders>
              <w:left w:val="single" w:sz="18" w:space="0" w:color="auto"/>
              <w:bottom w:val="single" w:sz="18" w:space="0" w:color="auto"/>
            </w:tcBorders>
            <w:shd w:val="clear" w:color="auto" w:fill="F2F2F2" w:themeFill="background1" w:themeFillShade="F2"/>
          </w:tcPr>
          <w:p w:rsidR="00B77657" w:rsidRPr="00585088" w:rsidRDefault="00B77657" w:rsidP="00781848">
            <w:pPr>
              <w:pStyle w:val="Odstavecseseznamem"/>
              <w:ind w:left="51"/>
              <w:rPr>
                <w:sz w:val="18"/>
                <w:szCs w:val="18"/>
              </w:rPr>
            </w:pPr>
            <w:r>
              <w:rPr>
                <w:sz w:val="18"/>
                <w:szCs w:val="18"/>
              </w:rPr>
              <w:t>•</w:t>
            </w:r>
            <w:r w:rsidRPr="00585088">
              <w:rPr>
                <w:sz w:val="18"/>
                <w:szCs w:val="18"/>
              </w:rPr>
              <w:t xml:space="preserve">Náběh hodnocení </w:t>
            </w:r>
          </w:p>
          <w:p w:rsidR="00B77657" w:rsidRPr="00585088" w:rsidRDefault="00CC39F2" w:rsidP="00781848">
            <w:pPr>
              <w:pStyle w:val="Odstavecseseznamem"/>
              <w:ind w:left="51"/>
              <w:rPr>
                <w:sz w:val="18"/>
                <w:szCs w:val="18"/>
              </w:rPr>
            </w:pPr>
            <w:r>
              <w:rPr>
                <w:noProof/>
                <w:sz w:val="18"/>
                <w:szCs w:val="18"/>
              </w:rPr>
              <mc:AlternateContent>
                <mc:Choice Requires="wps">
                  <w:drawing>
                    <wp:anchor distT="0" distB="0" distL="114300" distR="114300" simplePos="0" relativeHeight="251673600" behindDoc="0" locked="0" layoutInCell="1" allowOverlap="1" wp14:anchorId="21EEA6E8" wp14:editId="5B85C861">
                      <wp:simplePos x="0" y="0"/>
                      <wp:positionH relativeFrom="column">
                        <wp:posOffset>-3810</wp:posOffset>
                      </wp:positionH>
                      <wp:positionV relativeFrom="paragraph">
                        <wp:posOffset>854710</wp:posOffset>
                      </wp:positionV>
                      <wp:extent cx="1631950" cy="1337310"/>
                      <wp:effectExtent l="0" t="0" r="25400" b="15240"/>
                      <wp:wrapNone/>
                      <wp:docPr id="19" name="Zaoblený obdélník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31950" cy="133731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19" o:spid="_x0000_s1026" style="position:absolute;margin-left:-.3pt;margin-top:67.3pt;width:128.5pt;height:105.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HetQIAAJ4FAAAOAAAAZHJzL2Uyb0RvYy54bWysVM1O3DAQvlfqO1i+l2x2WehGZNEKRFVp&#10;BSugQupt1nFIhONxbe9f36iHPkJPvFjHTjZQQD1UzSGyPTPfzHzzc3K6bRRbS+tq1DlPDwacSS2w&#10;qPV9zr/cXnz4yJnzoAtQqGXOd9Lx0+n7dycbk8khVqgKaRmBaJdtTM4r702WJE5UsgF3gEZqEpZo&#10;G/B0tfdJYWFD6I1KhoPBUbJBWxiLQjpHr+etkE8jfllK4a/K0knPVM4pNh//Nv6X4Z9MTyC7t2Cq&#10;WnRhwD9E0UCtyWkPdQ4e2MrWr6CaWlh0WPoDgU2CZVkLGXOgbNLBi2xuKjAy5kLkONPT5P4frLhc&#10;LyyrC6rdhDMNDdXoK+BSSf34i+GyePyh9OPPB0Zi4mpjXEYmN2ZhQ7bOzFE8OBIkf0jCxXU629I2&#10;QZdyZdtI/K4nXm49E/SYHo3SyZjqI0iWjkbHozSWJoFsb26s858kNiwccm5xpYtrKm9kHdZz50MU&#10;kO31gkuNF7VSscRKs03OJ+PhOBoErXNwFVsDNUZBp5AdmSvd5dKGHxPxOyUDnNLXsiSuKOBhRIld&#10;Ks+UbWFACKl92ooqKGT7PB7Q18H3Fp0zAgzIJYXZY3cAYQJeY7dRdvrBVMYm740HfwusNe4tomfU&#10;vjduao32LQBFWXWeW/09SS01gaUlFjvqJIvtiDkjLmoieQ7OL8DSTFF1aU/4K/qVCqkY2J04q9B+&#10;f+s96FOrk5SzDc1ozt23FVjJmfqsaQgm6eFhGOp4ORwfD+lin0uWzyV61ZwhVTuljWREPAZ9r/bH&#10;0mJzR+tkFrySCLQg3zkX3u4vZ77dHbSQhJzNohoNsgE/1zdGBPDAamiv2+0dWNO1q6dOv8T9PEP2&#10;omFb3WCpcbbyWNaxm5947fimJRAbp1tYYcs8v0etp7U6/Q0AAP//AwBQSwMEFAAGAAgAAAAhAH+H&#10;pzveAAAACQEAAA8AAABkcnMvZG93bnJldi54bWxMj8FOwzAQRO9I/IO1SFxQ65AmLgpxKkDqESFa&#10;PsCJlyQlXkexm4a/ZznBbXdnNPum3C1uEDNOofek4X6dgEBqvO2p1fBx3K8eQIRoyJrBE2r4xgC7&#10;6vqqNIX1F3rH+RBbwSEUCqOhi3EspAxNh86EtR+RWPv0kzOR16mVdjIXDneDTJNESWd64g+dGfGl&#10;w+brcHYa0uP4vH093Z3e9nmtxq1186Kc1rc3y9MjiIhL/DPDLz6jQ8VMtT+TDWLQsFJs5PMm44H1&#10;NFcZiFrDJstTkFUp/zeofgAAAP//AwBQSwECLQAUAAYACAAAACEAtoM4kv4AAADhAQAAEwAAAAAA&#10;AAAAAAAAAAAAAAAAW0NvbnRlbnRfVHlwZXNdLnhtbFBLAQItABQABgAIAAAAIQA4/SH/1gAAAJQB&#10;AAALAAAAAAAAAAAAAAAAAC8BAABfcmVscy8ucmVsc1BLAQItABQABgAIAAAAIQB/Z2HetQIAAJ4F&#10;AAAOAAAAAAAAAAAAAAAAAC4CAABkcnMvZTJvRG9jLnhtbFBLAQItABQABgAIAAAAIQB/h6c73gAA&#10;AAkBAAAPAAAAAAAAAAAAAAAAAA8FAABkcnMvZG93bnJldi54bWxQSwUGAAAAAAQABADzAAAAGgYA&#10;AAAA&#10;" filled="f" strokecolor="#243f60 [1604]">
                      <v:stroke dashstyle="dash"/>
                      <v:path arrowok="t"/>
                    </v:roundrect>
                  </w:pict>
                </mc:Fallback>
              </mc:AlternateContent>
            </w:r>
            <w:r>
              <w:rPr>
                <w:noProof/>
                <w:sz w:val="18"/>
                <w:szCs w:val="18"/>
              </w:rPr>
              <mc:AlternateContent>
                <mc:Choice Requires="wps">
                  <w:drawing>
                    <wp:anchor distT="0" distB="0" distL="114300" distR="114300" simplePos="0" relativeHeight="251672576" behindDoc="0" locked="0" layoutInCell="1" allowOverlap="1" wp14:anchorId="3665109F" wp14:editId="5E3B865E">
                      <wp:simplePos x="0" y="0"/>
                      <wp:positionH relativeFrom="column">
                        <wp:posOffset>793750</wp:posOffset>
                      </wp:positionH>
                      <wp:positionV relativeFrom="paragraph">
                        <wp:posOffset>262255</wp:posOffset>
                      </wp:positionV>
                      <wp:extent cx="2495550" cy="292100"/>
                      <wp:effectExtent l="0" t="0" r="19050" b="12700"/>
                      <wp:wrapNone/>
                      <wp:docPr id="3" name="Zaoblený 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95550" cy="29210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3" o:spid="_x0000_s1026" style="position:absolute;margin-left:62.5pt;margin-top:20.65pt;width:196.5pt;height: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vRaswIAAJsFAAAOAAAAZHJzL2Uyb0RvYy54bWysVM1O3DAQvlfqO1i+l2TDpu1GZNEKRFVp&#10;BQiokHrzOjaJcDyu7d3s9o166CP0xIt17GQDBdRD1Rwi2zPzzcw3P0fH21aRjbCuAV3SyUFKidAc&#10;qkbflfTLzdm7j5Q4z3TFFGhR0p1w9Hj+9s1RZwqRQQ2qEpYgiHZFZ0pae2+KJHG8Fi1zB2CERqEE&#10;2zKPV3uXVJZ1iN6qJEvT90kHtjIWuHAOX097IZ1HfCkF9xdSOuGJKinG5uPfxv8q/JP5ESvuLDN1&#10;w4cw2D9E0bJGo9MR6pR5Rta2eQHVNtyCA+kPOLQJSNlwEXPAbCbps2yua2ZEzAXJcWakyf0/WH6+&#10;ubSkqUp6SIlmLZboK4OVEvrhF4FV9fBD6Yef9+QwMNUZV6DBtbm0IVdnlsDvHQqSPyTh4gadrbRt&#10;0MVMyTbSvhtpF1tPOD5m01me51gdjrJslk3SWJeEFXtrY53/JKAl4VBSC2tdXWFtI+Vss3Q+BMGK&#10;vV7wqOGsUSrWV2nSlXSWZ3k0CFqnzNVkw7ArKjyF5NBc6SGVPvqYh98pEeCUvhISiQrxRpTYouJE&#10;2R6GcS60n/SimlWif85T/Ab40WJwhoABWWKYI/YAENr/JXYf5aAfTEXs8NE4/VtgvfFoET2D9qNx&#10;22iwrwEozGrw3OvvSeqpCSytoNphG1no58sZftYgyUvm/CWzOFBYXFwS/gJ/UgEWA4YTJTXY76+9&#10;B33sc5RS0uGAltR9WzMrKFGfNU7AbDKdhomOl2n+IcOLfSpZPZXodXsCWO0JriPD4zHoe7U/Sgvt&#10;Le6SRfCKIqY5+i4p93Z/OfH94sBtxMViEdVwig3zS31teAAPrIb2utneMmuGdvXY6OewH2ZWPGvY&#10;XjdYalisPcgmdvMjrwPfuAFi4wzbKqyYp/eo9bhT578BAAD//wMAUEsDBBQABgAIAAAAIQCcnuW1&#10;3gAAAAkBAAAPAAAAZHJzL2Rvd25yZXYueG1sTI/NTsMwEITvSLyDtUhcEHWSkh+FOBUg9YgQLQ/g&#10;xEuSEq+j2E3D27Oc4Dizo9lvqt1qR7Hg7AdHCuJNBAKpdWagTsHHcX9fgPBBk9GjI1TwjR529fVV&#10;pUvjLvSOyyF0gkvIl1pBH8JUSunbHq32Gzch8e3TzVYHlnMnzawvXG5HmURRJq0eiD/0esKXHtuv&#10;w9kqSI7Tc/56uju97dMmm3JjlzWzSt3erE+PIAKu4S8Mv/iMDjUzNe5MxouRdZLylqDgId6C4EAa&#10;F2w0Cop8C7Ku5P8F9Q8AAAD//wMAUEsBAi0AFAAGAAgAAAAhALaDOJL+AAAA4QEAABMAAAAAAAAA&#10;AAAAAAAAAAAAAFtDb250ZW50X1R5cGVzXS54bWxQSwECLQAUAAYACAAAACEAOP0h/9YAAACUAQAA&#10;CwAAAAAAAAAAAAAAAAAvAQAAX3JlbHMvLnJlbHNQSwECLQAUAAYACAAAACEAusb0WrMCAACbBQAA&#10;DgAAAAAAAAAAAAAAAAAuAgAAZHJzL2Uyb0RvYy54bWxQSwECLQAUAAYACAAAACEAnJ7ltd4AAAAJ&#10;AQAADwAAAAAAAAAAAAAAAAANBQAAZHJzL2Rvd25yZXYueG1sUEsFBgAAAAAEAAQA8wAAABgGAAAA&#10;AA==&#10;" filled="f" strokecolor="#243f60 [1604]">
                      <v:stroke dashstyle="dash"/>
                      <v:path arrowok="t"/>
                    </v:roundrect>
                  </w:pict>
                </mc:Fallback>
              </mc:AlternateContent>
            </w:r>
          </w:p>
        </w:tc>
        <w:tc>
          <w:tcPr>
            <w:tcW w:w="1121"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w:t>
            </w:r>
            <w:r w:rsidRPr="00585088">
              <w:rPr>
                <w:sz w:val="18"/>
                <w:szCs w:val="18"/>
              </w:rPr>
              <w:t>Náběh hodnocení VŠ</w:t>
            </w:r>
          </w:p>
          <w:p w:rsidR="00B77657" w:rsidRPr="00585088"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•Hodnocení</w:t>
            </w:r>
            <w:r w:rsidRPr="00585088">
              <w:rPr>
                <w:sz w:val="18"/>
                <w:szCs w:val="18"/>
              </w:rPr>
              <w:t xml:space="preserve"> v segmentu rezortů</w:t>
            </w:r>
          </w:p>
        </w:tc>
        <w:tc>
          <w:tcPr>
            <w:tcW w:w="1361" w:type="dxa"/>
            <w:tcBorders>
              <w:bottom w:val="single" w:sz="18" w:space="0" w:color="auto"/>
            </w:tcBorders>
            <w:shd w:val="clear" w:color="auto" w:fill="F2F2F2" w:themeFill="background1" w:themeFillShade="F2"/>
          </w:tcPr>
          <w:p w:rsidR="00B77657" w:rsidRPr="00585088" w:rsidRDefault="00B77657" w:rsidP="00781848">
            <w:pPr>
              <w:rPr>
                <w:sz w:val="18"/>
                <w:szCs w:val="18"/>
              </w:rPr>
            </w:pPr>
            <w:r>
              <w:rPr>
                <w:sz w:val="18"/>
                <w:szCs w:val="18"/>
              </w:rPr>
              <w:t>•</w:t>
            </w:r>
            <w:r w:rsidRPr="00585088">
              <w:rPr>
                <w:sz w:val="18"/>
                <w:szCs w:val="18"/>
              </w:rPr>
              <w:t>M5</w:t>
            </w:r>
            <w:r>
              <w:rPr>
                <w:sz w:val="18"/>
                <w:szCs w:val="18"/>
              </w:rPr>
              <w:t xml:space="preserve"> T</w:t>
            </w:r>
            <w:r w:rsidRPr="00585088">
              <w:rPr>
                <w:sz w:val="18"/>
                <w:szCs w:val="18"/>
              </w:rPr>
              <w:t xml:space="preserve">ematický modul </w:t>
            </w:r>
          </w:p>
          <w:p w:rsidR="00B77657" w:rsidRDefault="00B77657" w:rsidP="00781848">
            <w:pPr>
              <w:rPr>
                <w:sz w:val="18"/>
                <w:szCs w:val="18"/>
              </w:rPr>
            </w:pPr>
          </w:p>
          <w:p w:rsidR="00B77657" w:rsidRPr="00585088" w:rsidRDefault="00B77657" w:rsidP="00781848">
            <w:pPr>
              <w:rPr>
                <w:sz w:val="18"/>
                <w:szCs w:val="18"/>
              </w:rPr>
            </w:pPr>
            <w:r>
              <w:rPr>
                <w:sz w:val="18"/>
                <w:szCs w:val="18"/>
              </w:rPr>
              <w:t>•</w:t>
            </w:r>
            <w:r w:rsidRPr="00585088">
              <w:rPr>
                <w:sz w:val="18"/>
                <w:szCs w:val="18"/>
              </w:rPr>
              <w:t>Náběh hodnocení VŠ</w:t>
            </w:r>
          </w:p>
          <w:p w:rsidR="00B77657" w:rsidRDefault="00B77657" w:rsidP="00781848">
            <w:pPr>
              <w:rPr>
                <w:sz w:val="18"/>
                <w:szCs w:val="18"/>
              </w:rPr>
            </w:pPr>
          </w:p>
          <w:p w:rsidR="00B77657" w:rsidRPr="00585088" w:rsidRDefault="00B77657" w:rsidP="00781848">
            <w:pPr>
              <w:rPr>
                <w:sz w:val="18"/>
                <w:szCs w:val="18"/>
              </w:rPr>
            </w:pPr>
          </w:p>
        </w:tc>
        <w:tc>
          <w:tcPr>
            <w:tcW w:w="1247"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w:t>
            </w:r>
            <w:r w:rsidRPr="00585088">
              <w:rPr>
                <w:sz w:val="18"/>
                <w:szCs w:val="18"/>
              </w:rPr>
              <w:t>Dokončení hodnocení VŠ</w:t>
            </w:r>
          </w:p>
          <w:p w:rsidR="00B77657" w:rsidRDefault="00CC39F2" w:rsidP="00781848">
            <w:pPr>
              <w:rPr>
                <w:sz w:val="18"/>
                <w:szCs w:val="18"/>
              </w:rPr>
            </w:pPr>
            <w:r>
              <w:rPr>
                <w:noProof/>
                <w:sz w:val="18"/>
                <w:szCs w:val="18"/>
              </w:rPr>
              <mc:AlternateContent>
                <mc:Choice Requires="wps">
                  <w:drawing>
                    <wp:anchor distT="0" distB="0" distL="114300" distR="114300" simplePos="0" relativeHeight="251674624" behindDoc="0" locked="0" layoutInCell="1" allowOverlap="1" wp14:anchorId="2C9E9F7D" wp14:editId="5C5941FE">
                      <wp:simplePos x="0" y="0"/>
                      <wp:positionH relativeFrom="column">
                        <wp:posOffset>708660</wp:posOffset>
                      </wp:positionH>
                      <wp:positionV relativeFrom="paragraph">
                        <wp:posOffset>270510</wp:posOffset>
                      </wp:positionV>
                      <wp:extent cx="880110" cy="1362710"/>
                      <wp:effectExtent l="0" t="0" r="15240" b="27940"/>
                      <wp:wrapNone/>
                      <wp:docPr id="20" name="Zaoblený obdélník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0110" cy="136271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20" o:spid="_x0000_s1026" style="position:absolute;margin-left:55.8pt;margin-top:21.3pt;width:69.3pt;height:107.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ZCAsgIAAJ0FAAAOAAAAZHJzL2Uyb0RvYy54bWysVM1u2zAMvg/YOwi6r46zpj9GnSJo0WFA&#10;0AZthwK7KbJUG5VFTVLiZG+0wx5hp77YKMlxu7bYYZgPhiiSH8lPJE9ON60ia2FdA7qk+d6IEqE5&#10;VI2+L+mX24sPR5Q4z3TFFGhR0q1w9HT6/t1JZwoxhhpUJSxBEO2KzpS09t4UWeZ4LVrm9sAIjUoJ&#10;tmUeRXufVZZ1iN6qbDwaHWQd2MpY4MI5vD1PSjqN+FIK7q+kdMITVVLMzce/jf9l+GfTE1bcW2bq&#10;hvdpsH/IomWNxqAD1DnzjKxs8wqqbbgFB9LvcWgzkLLhItaA1eSjF9Xc1MyIWAuS48xAk/t/sPxy&#10;vbCkqUo6Rno0a/GNvjJYKqEffxFYVo8/lH78+UBQjVx1xhXocmMWNlTrzBz4g0NF9ocmCK632Ujb&#10;BluslWwi8duBeLHxhOPl0dEozzE+R1X+8WB8iEIAZcXO21jnPwloSTiU1MJKV9f4upF0tp47n+x3&#10;diGihotGKbxnhdKkK+nxZDyJDsHqnLmarBn2RYWnPpzSfSkp+1iH3yqRMK6FRKow33FEiU0qzpRN&#10;MIxzoX2eVDWrRLqejPDr4QePWJvSCBiQJaY5YPcAYQBeY6cie/vgKmKPD86jvyWWnAePGBm0H5zb&#10;RoN9C0BhVX3kZL8jKVETWFpCtcVGspAmzBl+0SDJc+b8glkcKXxdXBP+Cn9SAT4G9CdKarDf37oP&#10;9tjpqKWkwxEtqfu2YlZQoj5rnIHjfH8/zHQU9ieHoYPtc83yuUav2jPA185xIRkej8Heq91RWmjv&#10;cJvMQlRUMc0xdkm5tzvhzKfVgfuIi9ksmuEcG+bn+sbwAB5YDe11u7lj1vTt6rHRL2E3zqx40bDJ&#10;NnhqmK08yCZ28xOvPd+4A2Lj9PsqLJnncrR62qrT3wAAAP//AwBQSwMEFAAGAAgAAAAhAOYrX5/d&#10;AAAACgEAAA8AAABkcnMvZG93bnJldi54bWxMj8FOwzAQRO9I/IO1SFwQdWLRBKVxKkDqESFaPsCJ&#10;lyRtvI5iNw1/z/YEp93RjGbfltvFDWLGKfSeNKSrBARS421PrYavw+7xGUSIhqwZPKGGHwywrW5v&#10;SlNYf6FPnPexFVxCoTAauhjHQsrQdOhMWPkRib1vPzkTWU6ttJO5cLkbpEqSTDrTE1/ozIhvHTan&#10;/dlpUIfxNX8/Phw/dus6G3Pr5iVzWt/fLS8bEBGX+BeGKz6jQ8VMtT+TDWJgnaYZRzU8KZ4cUOtE&#10;gaivS65AVqX8/0L1CwAA//8DAFBLAQItABQABgAIAAAAIQC2gziS/gAAAOEBAAATAAAAAAAAAAAA&#10;AAAAAAAAAABbQ29udGVudF9UeXBlc10ueG1sUEsBAi0AFAAGAAgAAAAhADj9If/WAAAAlAEAAAsA&#10;AAAAAAAAAAAAAAAALwEAAF9yZWxzLy5yZWxzUEsBAi0AFAAGAAgAAAAhAF5VkICyAgAAnQUAAA4A&#10;AAAAAAAAAAAAAAAALgIAAGRycy9lMm9Eb2MueG1sUEsBAi0AFAAGAAgAAAAhAOYrX5/dAAAACgEA&#10;AA8AAAAAAAAAAAAAAAAADAUAAGRycy9kb3ducmV2LnhtbFBLBQYAAAAABAAEAPMAAAAWBgAAAAA=&#10;" filled="f" strokecolor="#243f60 [1604]">
                      <v:stroke dashstyle="dash"/>
                      <v:path arrowok="t"/>
                    </v:roundrect>
                  </w:pict>
                </mc:Fallback>
              </mc:AlternateContent>
            </w:r>
          </w:p>
        </w:tc>
        <w:tc>
          <w:tcPr>
            <w:tcW w:w="1247"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•H</w:t>
            </w:r>
            <w:r w:rsidRPr="00585088">
              <w:rPr>
                <w:sz w:val="18"/>
                <w:szCs w:val="18"/>
              </w:rPr>
              <w:t>odnocení AV ČR</w:t>
            </w:r>
          </w:p>
        </w:tc>
        <w:tc>
          <w:tcPr>
            <w:tcW w:w="1246" w:type="dxa"/>
            <w:tcBorders>
              <w:bottom w:val="single" w:sz="18" w:space="0" w:color="auto"/>
            </w:tcBorders>
            <w:shd w:val="clear" w:color="auto" w:fill="F2F2F2" w:themeFill="background1" w:themeFillShade="F2"/>
          </w:tcPr>
          <w:p w:rsidR="00B77657" w:rsidRPr="00585088" w:rsidRDefault="00B77657" w:rsidP="00781848">
            <w:pPr>
              <w:rPr>
                <w:sz w:val="18"/>
                <w:szCs w:val="18"/>
              </w:rPr>
            </w:pPr>
            <w:r>
              <w:rPr>
                <w:sz w:val="18"/>
                <w:szCs w:val="18"/>
              </w:rPr>
              <w:t>•</w:t>
            </w:r>
            <w:r w:rsidRPr="00585088">
              <w:rPr>
                <w:sz w:val="18"/>
                <w:szCs w:val="18"/>
              </w:rPr>
              <w:t>M5</w:t>
            </w:r>
            <w:r>
              <w:rPr>
                <w:sz w:val="18"/>
                <w:szCs w:val="18"/>
              </w:rPr>
              <w:t xml:space="preserve"> </w:t>
            </w:r>
            <w:r w:rsidRPr="00585088">
              <w:rPr>
                <w:sz w:val="18"/>
                <w:szCs w:val="18"/>
              </w:rPr>
              <w:t>Tematický modul</w:t>
            </w:r>
          </w:p>
          <w:p w:rsidR="00B77657" w:rsidRPr="00585088" w:rsidRDefault="00B77657" w:rsidP="00781848">
            <w:pPr>
              <w:rPr>
                <w:sz w:val="18"/>
                <w:szCs w:val="18"/>
              </w:rPr>
            </w:pPr>
          </w:p>
          <w:p w:rsidR="00B77657" w:rsidRPr="00585088" w:rsidRDefault="00B77657" w:rsidP="00781848">
            <w:pPr>
              <w:rPr>
                <w:sz w:val="18"/>
                <w:szCs w:val="18"/>
              </w:rPr>
            </w:pPr>
          </w:p>
          <w:p w:rsidR="00B77657" w:rsidRPr="00585088" w:rsidRDefault="00CC39F2" w:rsidP="00781848">
            <w:pPr>
              <w:rPr>
                <w:sz w:val="18"/>
                <w:szCs w:val="18"/>
              </w:rPr>
            </w:pPr>
            <w:r>
              <w:rPr>
                <w:noProof/>
                <w:sz w:val="18"/>
                <w:szCs w:val="18"/>
              </w:rPr>
              <mc:AlternateContent>
                <mc:Choice Requires="wps">
                  <w:drawing>
                    <wp:anchor distT="0" distB="0" distL="114300" distR="114300" simplePos="0" relativeHeight="251675648" behindDoc="0" locked="0" layoutInCell="1" allowOverlap="1" wp14:anchorId="6745A754" wp14:editId="76313D98">
                      <wp:simplePos x="0" y="0"/>
                      <wp:positionH relativeFrom="column">
                        <wp:posOffset>703580</wp:posOffset>
                      </wp:positionH>
                      <wp:positionV relativeFrom="paragraph">
                        <wp:posOffset>419100</wp:posOffset>
                      </wp:positionV>
                      <wp:extent cx="880110" cy="1353820"/>
                      <wp:effectExtent l="0" t="0" r="15240" b="17780"/>
                      <wp:wrapNone/>
                      <wp:docPr id="21" name="Zaoblený obdélník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0110" cy="135382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21" o:spid="_x0000_s1026" style="position:absolute;margin-left:55.4pt;margin-top:33pt;width:69.3pt;height:106.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v8ctQIAAJ0FAAAOAAAAZHJzL2Uyb0RvYy54bWysVM1O3DAQvlfqO1i+l2wWtl0ismgFoqq0&#10;AgRUSL3NOg6JcDyu7d3s9o049BF64sU6drKBAuqhag6R7Zn5Zuabn6PjTaPYWlpXo855ujfiTGqB&#10;Ra3vcv715uzDlDPnQRegUMucb6Xjx7P3745ak8kxVqgKaRmBaJe1JueV9yZLEicq2YDbQyM1CUu0&#10;DXi62ruksNASeqOS8Wj0MWnRFsaikM7R62kn5LOIX5ZS+IuydNIzlXOKzce/jf9l+CezI8juLJiq&#10;Fn0Y8A9RNFBrcjpAnYIHtrL1K6imFhYdln5PYJNgWdZCxhwom3T0IpvrCoyMuRA5zgw0uf8HK87X&#10;l5bVRc7HKWcaGqrRN8ClkvrxF8Nl8fig9OPPe0Zi4qo1LiOTa3NpQ7bOLFDcOxIkf0jCxfU6m9I2&#10;QZdyZZtI/HYgXm48E/Q4nY7SlMojSJTuT/an41iZBLKdtbHOf5bYsHDIucWVLq6oupF0WC+cD0FA&#10;ttMLHjWe1UrFCivN2pwfTsaTaBC0TsFVbA3UFwWdQnJkrnSfShd9zMNvlQxwSl/JkqiieMcRJTap&#10;PFG2gwEhpPZpJ6qgkN3zZERfDz9Y9M4IMCCXFOaA3QOEAXiN3UXZ6wdTGXt8MB79LbDOeLCInlH7&#10;wbipNdq3ABRl1Xvu9HckddQElpZYbKmRLHYT5ow4q4nkBTh/CZZGiqpLa8Jf0K9USMXA/sRZhfbH&#10;W+9BnzqdpJy1NKI5d99XYCVn6oumGThMDw7CTMfLweQTNQ2zzyXL5xK9ak6Qqk1tTtHFY9D3ancs&#10;LTa3tE3mwSuJQAvynXPh7e5y4rvVQftIyPk8qtEcG/ALfW1EAA+shva62dyCNX27emr0c9yNM2Qv&#10;GrbTDZYa5yuPZR27+YnXnm/aAbFx+n0Vlszze9R62qqz3wAAAP//AwBQSwMEFAAGAAgAAAAhAPsz&#10;vfjeAAAACgEAAA8AAABkcnMvZG93bnJldi54bWxMj8FOwzAQRO9I/IO1SFwQdRqVhKZxKkDqESFa&#10;PsCJt0lKvLZiNw1/z3Kitx3taOZNuZ3tICYcQ+9IwXKRgEBqnOmpVfB12D0+gwhRk9GDI1TwgwG2&#10;1e1NqQvjLvSJ0z62gkMoFFpBF6MvpAxNh1aHhfNI/Du60erIcmylGfWFw+0g0yTJpNU9cUOnPb51&#10;2Hzvz1ZBevCv+fvp4fSxe6oznxs7zZlV6v5uftmAiDjHfzP84TM6VMxUuzOZIAbWy4TRo4Is401s&#10;SFfrFYiaj3ydgqxKeT2h+gUAAP//AwBQSwECLQAUAAYACAAAACEAtoM4kv4AAADhAQAAEwAAAAAA&#10;AAAAAAAAAAAAAAAAW0NvbnRlbnRfVHlwZXNdLnhtbFBLAQItABQABgAIAAAAIQA4/SH/1gAAAJQB&#10;AAALAAAAAAAAAAAAAAAAAC8BAABfcmVscy8ucmVsc1BLAQItABQABgAIAAAAIQCskv8ctQIAAJ0F&#10;AAAOAAAAAAAAAAAAAAAAAC4CAABkcnMvZTJvRG9jLnhtbFBLAQItABQABgAIAAAAIQD7M7343gAA&#10;AAoBAAAPAAAAAAAAAAAAAAAAAA8FAABkcnMvZG93bnJldi54bWxQSwUGAAAAAAQABADzAAAAGgYA&#10;AAAA&#10;" filled="f" strokecolor="#243f60 [1604]">
                      <v:stroke dashstyle="dash"/>
                      <v:path arrowok="t"/>
                    </v:roundrect>
                  </w:pict>
                </mc:Fallback>
              </mc:AlternateContent>
            </w:r>
          </w:p>
        </w:tc>
        <w:tc>
          <w:tcPr>
            <w:tcW w:w="1249"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Default="00CC39F2" w:rsidP="00781848">
            <w:pPr>
              <w:rPr>
                <w:sz w:val="18"/>
                <w:szCs w:val="18"/>
              </w:rPr>
            </w:pPr>
            <w:r>
              <w:rPr>
                <w:noProof/>
                <w:sz w:val="18"/>
                <w:szCs w:val="18"/>
              </w:rPr>
              <mc:AlternateContent>
                <mc:Choice Requires="wps">
                  <w:drawing>
                    <wp:anchor distT="0" distB="0" distL="114300" distR="114300" simplePos="0" relativeHeight="251677696" behindDoc="0" locked="0" layoutInCell="1" allowOverlap="1" wp14:anchorId="5A14E8A1" wp14:editId="6F2D3E6E">
                      <wp:simplePos x="0" y="0"/>
                      <wp:positionH relativeFrom="column">
                        <wp:posOffset>670560</wp:posOffset>
                      </wp:positionH>
                      <wp:positionV relativeFrom="paragraph">
                        <wp:posOffset>8890</wp:posOffset>
                      </wp:positionV>
                      <wp:extent cx="1682750" cy="450850"/>
                      <wp:effectExtent l="0" t="0" r="12700" b="25400"/>
                      <wp:wrapNone/>
                      <wp:docPr id="22" name="Zaoblený obdélník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2750" cy="45085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22" o:spid="_x0000_s1026" style="position:absolute;margin-left:52.8pt;margin-top:.7pt;width:132.5pt;height:3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qjsgIAAJ0FAAAOAAAAZHJzL2Uyb0RvYy54bWysVM1O3DAQvlfqO1i+l2SjXX4ismgFoqq0&#10;AgRUSL15HZtEOB7X9v71jXrgEXrixTq2s4EC6qFqDpHHM/PNzOeZOT7ZdIqshHUt6IqO9nJKhOZQ&#10;t/q+ol9vzz8dUuI80zVToEVFt8LRk+nHD8drU4oCGlC1sARBtCvXpqKN96bMMscb0TG3B0ZoVEqw&#10;HfMo2vustmyN6J3Kijzfz9Zga2OBC+fw9iwp6TTiSym4v5TSCU9URTE3H/82/hfhn02PWXlvmWla&#10;3qfB/iGLjrUagw5QZ8wzsrTtG6iu5RYcSL/HoctAypaLWANWM8pfVXPTMCNiLUiOMwNN7v/B8ovV&#10;lSVtXdGioESzDt/oG4OFEvrpF4FF/fRT6afHB4Jq5GptXIkuN+bKhmqdmQN/cKjI/tAEwfU2G2m7&#10;YIu1kk0kfjsQLzaecLwc7R8WBxN8H4668SQ/xHMAZeXO21jnPwvoSDhU1MJS19f4upF0tpo7n+x3&#10;diGihvNWKbxnpdJkXdGjSTGJDsHqjLmGrBj2RY2nPpzSfSkp+1iH3yqRMK6FRKow3yKixCYVp8om&#10;GMa50H6UVA2rRbqe5Pj18INHrE1pBAzIEtMcsHuAMABvsVORvX1wFbHHB+f8b4kl58EjRgbtB+eu&#10;1WDfA1BYVR852e9IStQElhZQb7GRLKQJc4aft0jynDl/xSyOFD4urgl/iT+pAB8D+hMlDdgf790H&#10;e+x01FKyxhGtqPu+ZFZQor5onIGj0XgcZjoK48lBgYJ9qVm81Ohldwr42iNcSIbHY7D3aneUFro7&#10;3CazEBVVTHOMXVHu7U449Wl14D7iYjaLZjjHhvm5vjE8gAdWQ3vdbu6YNX27emz0C9iNMytfNWyy&#10;DZ4aZksPso3d/MxrzzfugNg4/b4KS+alHK2et+r0NwAAAP//AwBQSwMEFAAGAAgAAAAhAFqNEoLb&#10;AAAACAEAAA8AAABkcnMvZG93bnJldi54bWxMj8FOwzAQRO9I/IO1SFwQtQltgkKcCpB6RIiWD3Di&#10;JUmJ11bspuHvWU5w26cZzc5U28WNYsYpDp403K0UCKTW24E6DR+H3e0DiJgMWTN6Qg3fGGFbX15U&#10;prT+TO8471MnOIRiaTT0KYVSytj26Exc+YDE2qefnEmMUyftZM4c7kaZKZVLZwbiD70J+NJj+7U/&#10;OQ3ZITwXr8eb49tu0+ShsG5ecqf19dXy9Agi4ZL+zPBbn6tDzZ0afyIbxcisNjlb+ViDYP2+UMyN&#10;hiJbg6wr+X9A/QMAAP//AwBQSwECLQAUAAYACAAAACEAtoM4kv4AAADhAQAAEwAAAAAAAAAAAAAA&#10;AAAAAAAAW0NvbnRlbnRfVHlwZXNdLnhtbFBLAQItABQABgAIAAAAIQA4/SH/1gAAAJQBAAALAAAA&#10;AAAAAAAAAAAAAC8BAABfcmVscy8ucmVsc1BLAQItABQABgAIAAAAIQAZG+qjsgIAAJ0FAAAOAAAA&#10;AAAAAAAAAAAAAC4CAABkcnMvZTJvRG9jLnhtbFBLAQItABQABgAIAAAAIQBajRKC2wAAAAgBAAAP&#10;AAAAAAAAAAAAAAAAAAwFAABkcnMvZG93bnJldi54bWxQSwUGAAAAAAQABADzAAAAFAYAAAAA&#10;" filled="f" strokecolor="#243f60 [1604]">
                      <v:stroke dashstyle="dash"/>
                      <v:path arrowok="t"/>
                    </v:roundrect>
                  </w:pict>
                </mc:Fallback>
              </mc:AlternateContent>
            </w: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•H</w:t>
            </w:r>
            <w:r w:rsidRPr="00585088">
              <w:rPr>
                <w:sz w:val="18"/>
                <w:szCs w:val="18"/>
              </w:rPr>
              <w:t>odnocení v segmentu rezortů</w:t>
            </w:r>
          </w:p>
        </w:tc>
        <w:tc>
          <w:tcPr>
            <w:tcW w:w="1246"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r>
              <w:rPr>
                <w:sz w:val="18"/>
                <w:szCs w:val="18"/>
              </w:rPr>
              <w:t>•</w:t>
            </w:r>
            <w:r w:rsidRPr="00585088">
              <w:rPr>
                <w:sz w:val="18"/>
                <w:szCs w:val="18"/>
              </w:rPr>
              <w:t xml:space="preserve">Zahájení hodnocení v segmentu VŠ </w:t>
            </w:r>
          </w:p>
          <w:p w:rsidR="00B77657" w:rsidRDefault="00B77657" w:rsidP="00781848">
            <w:pPr>
              <w:rPr>
                <w:sz w:val="18"/>
                <w:szCs w:val="18"/>
              </w:rPr>
            </w:pPr>
          </w:p>
          <w:p w:rsidR="00B77657" w:rsidRPr="00585088" w:rsidRDefault="00B77657" w:rsidP="00781848">
            <w:pPr>
              <w:rPr>
                <w:sz w:val="18"/>
                <w:szCs w:val="18"/>
              </w:rPr>
            </w:pPr>
          </w:p>
        </w:tc>
        <w:tc>
          <w:tcPr>
            <w:tcW w:w="1249" w:type="dxa"/>
            <w:tcBorders>
              <w:bottom w:val="single" w:sz="18" w:space="0" w:color="auto"/>
            </w:tcBorders>
            <w:shd w:val="clear" w:color="auto" w:fill="F2F2F2" w:themeFill="background1" w:themeFillShade="F2"/>
          </w:tcPr>
          <w:p w:rsidR="00B77657" w:rsidRDefault="00B77657" w:rsidP="00781848">
            <w:pPr>
              <w:rPr>
                <w:sz w:val="18"/>
                <w:szCs w:val="18"/>
              </w:rPr>
            </w:pPr>
          </w:p>
          <w:p w:rsidR="00B77657" w:rsidRDefault="00B77657" w:rsidP="00781848">
            <w:pPr>
              <w:rPr>
                <w:sz w:val="18"/>
                <w:szCs w:val="18"/>
              </w:rPr>
            </w:pPr>
          </w:p>
          <w:p w:rsidR="00B77657" w:rsidRPr="00585088" w:rsidRDefault="00CC39F2" w:rsidP="00781848">
            <w:pPr>
              <w:rPr>
                <w:sz w:val="18"/>
                <w:szCs w:val="18"/>
              </w:rPr>
            </w:pPr>
            <w:r>
              <w:rPr>
                <w:noProof/>
                <w:sz w:val="18"/>
                <w:szCs w:val="18"/>
              </w:rPr>
              <mc:AlternateContent>
                <mc:Choice Requires="wps">
                  <w:drawing>
                    <wp:anchor distT="0" distB="0" distL="114300" distR="114300" simplePos="0" relativeHeight="251676672" behindDoc="0" locked="0" layoutInCell="1" allowOverlap="1" wp14:anchorId="35C0E8EA" wp14:editId="44B422AA">
                      <wp:simplePos x="0" y="0"/>
                      <wp:positionH relativeFrom="column">
                        <wp:posOffset>683260</wp:posOffset>
                      </wp:positionH>
                      <wp:positionV relativeFrom="paragraph">
                        <wp:posOffset>698500</wp:posOffset>
                      </wp:positionV>
                      <wp:extent cx="894080" cy="1353820"/>
                      <wp:effectExtent l="0" t="0" r="20320" b="17780"/>
                      <wp:wrapNone/>
                      <wp:docPr id="23" name="Zaoblený obdélní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94080" cy="1353820"/>
                              </a:xfrm>
                              <a:prstGeom prst="roundRect">
                                <a:avLst/>
                              </a:prstGeom>
                              <a:noFill/>
                              <a:ln w="9525">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23" o:spid="_x0000_s1026" style="position:absolute;margin-left:53.8pt;margin-top:55pt;width:70.4pt;height:106.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FQEtgIAAJ0FAAAOAAAAZHJzL2Uyb0RvYy54bWysVM1u2zAMvg/YOwi6r3bSZEuNOkXQosOA&#10;oCvaDgV2Y2S5NiqLmqTEyd5ohz3CTn2xUbLjdm2xwzAfDEkkP5Iff45Pto1iG2ldjTrno4OUM6kF&#10;FrW+y/mXm/N3M86cB12AQi1zvpOOn8zfvjluTSbHWKEqpGUEol3WmpxX3pssSZyoZAPuAI3UJCzR&#10;NuDpau+SwkJL6I1Kxmn6PmnRFsaikM7R61kn5POIX5ZS+M9l6aRnKucUm49/G/+r8E/mx5DdWTBV&#10;Lfow4B+iaKDW5HSAOgMPbG3rF1BNLSw6LP2BwCbBsqyFjDlQNqP0WTbXFRgZcyFynBlocv8PVlxs&#10;Li2ri5yPDznT0FCNvgKulNQPvxiuiocfSj/8vGckJq5a4zIyuTaXNmTrzBLFvSNB8ockXFyvsy1t&#10;E3QpV7aNxO8G4uXWM0GPs6NJOqPyCBKNDqeHs3GsTALZ3tpY5z9KbFg45NziWhdXVN1IOmyWzocg&#10;INvrBY8az2ulYoWVZm3Oj6bjaTQIWmfgKrYB6ouCTiE5Mle6T6WLPubhd0oGOKWvZElUUbzjiBKb&#10;VJ4q28GAEFL7USeqoJDd8zSlr4cfLHpnBBiQSwpzwO4BwgC8xO6i7PWDqYw9PhinfwusMx4somfU&#10;fjBuao32NQBFWfWeO/09SR01gaUVFjtqJIvdhDkjzmsieQnOX4KlkaLq0prwn+lXKqRiYH/irEL7&#10;/bX3oE+dTlLOWhrRnLtva7CSM/VJ0wwcjSaTMNPxMpl+oKZh9qlk9VSi180pUrVHtJCMiMeg79X+&#10;WFpsbmmbLIJXEoEW5Dvnwtv95dR3q4P2kZCLRVSjOTbgl/raiAAeWA3tdbO9BWv6dvXU6Be4H2fI&#10;njVspxssNS7WHss6dvMjrz3ftANi4/T7KiyZp/eo9bhV578BAAD//wMAUEsDBBQABgAIAAAAIQD/&#10;cp0+3gAAAAsBAAAPAAAAZHJzL2Rvd25yZXYueG1sTI9NTsMwEIX3SNzBGiQ2iNp1S1KlcSpA6hIh&#10;Wg7gxG6SEo+t2E3D7RlWsJun+fR+yt3sBjbZMfYeFSwXApjFxpseWwWfx/3jBlhMGo0ePFoF3zbC&#10;rrq9KXVh/BU/7HRILSMTjIVW0KUUCs5j01mn48IHi/Q7+dHpRHJsuRn1lczdwKUQGXe6R0rodLCv&#10;nW2+DhenQB7DS/52fji/75/qLOTGTXPmlLq/m5+3wJKd0x8Mv/WpOlTUqfYXNJENpEWeEUrHUtAo&#10;IuR6swZWK1jJlQRelfz/huoHAAD//wMAUEsBAi0AFAAGAAgAAAAhALaDOJL+AAAA4QEAABMAAAAA&#10;AAAAAAAAAAAAAAAAAFtDb250ZW50X1R5cGVzXS54bWxQSwECLQAUAAYACAAAACEAOP0h/9YAAACU&#10;AQAACwAAAAAAAAAAAAAAAAAvAQAAX3JlbHMvLnJlbHNQSwECLQAUAAYACAAAACEAHKBUBLYCAACd&#10;BQAADgAAAAAAAAAAAAAAAAAuAgAAZHJzL2Uyb0RvYy54bWxQSwECLQAUAAYACAAAACEA/3KdPt4A&#10;AAALAQAADwAAAAAAAAAAAAAAAAAQBQAAZHJzL2Rvd25yZXYueG1sUEsFBgAAAAAEAAQA8wAAABsG&#10;AAAAAA==&#10;" filled="f" strokecolor="#243f60 [1604]">
                      <v:stroke dashstyle="dash"/>
                      <v:path arrowok="t"/>
                    </v:roundrect>
                  </w:pict>
                </mc:Fallback>
              </mc:AlternateContent>
            </w:r>
            <w:r w:rsidR="00B77657">
              <w:rPr>
                <w:sz w:val="18"/>
                <w:szCs w:val="18"/>
              </w:rPr>
              <w:t>•</w:t>
            </w:r>
            <w:r w:rsidR="00B77657" w:rsidRPr="00585088">
              <w:rPr>
                <w:sz w:val="18"/>
                <w:szCs w:val="18"/>
              </w:rPr>
              <w:t>Dokončení hodnocení v segmentu VŠ</w:t>
            </w:r>
          </w:p>
        </w:tc>
        <w:tc>
          <w:tcPr>
            <w:tcW w:w="1247" w:type="dxa"/>
            <w:tcBorders>
              <w:bottom w:val="single" w:sz="18" w:space="0" w:color="auto"/>
              <w:right w:val="single" w:sz="18" w:space="0" w:color="auto"/>
            </w:tcBorders>
            <w:shd w:val="clear" w:color="auto" w:fill="F2F2F2" w:themeFill="background1" w:themeFillShade="F2"/>
          </w:tcPr>
          <w:p w:rsidR="00B77657" w:rsidRPr="00585088" w:rsidRDefault="00B77657" w:rsidP="00781848">
            <w:pPr>
              <w:rPr>
                <w:sz w:val="18"/>
                <w:szCs w:val="18"/>
              </w:rPr>
            </w:pPr>
            <w:r>
              <w:rPr>
                <w:sz w:val="18"/>
                <w:szCs w:val="18"/>
              </w:rPr>
              <w:t>•</w:t>
            </w:r>
            <w:r w:rsidRPr="00585088">
              <w:rPr>
                <w:sz w:val="18"/>
                <w:szCs w:val="18"/>
              </w:rPr>
              <w:t>M5</w:t>
            </w:r>
            <w:r>
              <w:rPr>
                <w:sz w:val="18"/>
                <w:szCs w:val="18"/>
              </w:rPr>
              <w:t xml:space="preserve"> </w:t>
            </w:r>
            <w:r w:rsidRPr="00585088">
              <w:rPr>
                <w:sz w:val="18"/>
                <w:szCs w:val="18"/>
              </w:rPr>
              <w:t>Tematický modul</w:t>
            </w: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Default="00B77657" w:rsidP="00781848">
            <w:pPr>
              <w:rPr>
                <w:sz w:val="18"/>
                <w:szCs w:val="18"/>
              </w:rPr>
            </w:pPr>
          </w:p>
          <w:p w:rsidR="00B77657" w:rsidRPr="00585088" w:rsidRDefault="00B77657" w:rsidP="00781848">
            <w:pPr>
              <w:rPr>
                <w:sz w:val="18"/>
                <w:szCs w:val="18"/>
              </w:rPr>
            </w:pPr>
            <w:r>
              <w:rPr>
                <w:sz w:val="18"/>
                <w:szCs w:val="18"/>
              </w:rPr>
              <w:t>•H</w:t>
            </w:r>
            <w:r w:rsidRPr="00585088">
              <w:rPr>
                <w:sz w:val="18"/>
                <w:szCs w:val="18"/>
              </w:rPr>
              <w:t>odnocení AV ČR</w:t>
            </w:r>
          </w:p>
        </w:tc>
      </w:tr>
      <w:tr w:rsidR="00B77657" w:rsidTr="00781848">
        <w:tc>
          <w:tcPr>
            <w:tcW w:w="1333" w:type="dxa"/>
            <w:tcBorders>
              <w:top w:val="single" w:sz="18" w:space="0" w:color="auto"/>
              <w:left w:val="single" w:sz="18" w:space="0" w:color="auto"/>
              <w:bottom w:val="single" w:sz="18" w:space="0" w:color="auto"/>
              <w:right w:val="single" w:sz="18" w:space="0" w:color="auto"/>
            </w:tcBorders>
            <w:shd w:val="clear" w:color="auto" w:fill="BFBFBF" w:themeFill="background1" w:themeFillShade="BF"/>
          </w:tcPr>
          <w:p w:rsidR="00B77657" w:rsidRDefault="00B77657" w:rsidP="00781848">
            <w:pPr>
              <w:rPr>
                <w:sz w:val="16"/>
                <w:szCs w:val="16"/>
              </w:rPr>
            </w:pPr>
            <w:r>
              <w:rPr>
                <w:sz w:val="16"/>
                <w:szCs w:val="16"/>
              </w:rPr>
              <w:t>Úroveň</w:t>
            </w:r>
            <w:r w:rsidRPr="00C53BB5">
              <w:rPr>
                <w:sz w:val="16"/>
                <w:szCs w:val="16"/>
              </w:rPr>
              <w:t xml:space="preserve"> </w:t>
            </w:r>
            <w:r>
              <w:rPr>
                <w:sz w:val="16"/>
                <w:szCs w:val="16"/>
              </w:rPr>
              <w:t>poskytovatelů/</w:t>
            </w:r>
          </w:p>
          <w:p w:rsidR="00B77657" w:rsidRDefault="00B77657" w:rsidP="00781848">
            <w:r>
              <w:rPr>
                <w:sz w:val="16"/>
                <w:szCs w:val="16"/>
              </w:rPr>
              <w:t>rezortů</w:t>
            </w:r>
          </w:p>
        </w:tc>
        <w:tc>
          <w:tcPr>
            <w:tcW w:w="1572" w:type="dxa"/>
            <w:tcBorders>
              <w:top w:val="single" w:sz="18" w:space="0" w:color="auto"/>
              <w:left w:val="single" w:sz="18" w:space="0" w:color="auto"/>
              <w:bottom w:val="single" w:sz="18" w:space="0" w:color="auto"/>
            </w:tcBorders>
            <w:shd w:val="clear" w:color="auto" w:fill="BFBFBF" w:themeFill="background1" w:themeFillShade="BF"/>
          </w:tcPr>
          <w:p w:rsidR="00B77657" w:rsidRPr="00585088" w:rsidRDefault="00B77657" w:rsidP="00781848">
            <w:pPr>
              <w:pStyle w:val="Odstavecseseznamem"/>
              <w:ind w:left="51"/>
              <w:rPr>
                <w:sz w:val="18"/>
                <w:szCs w:val="18"/>
              </w:rPr>
            </w:pPr>
            <w:r>
              <w:rPr>
                <w:sz w:val="18"/>
                <w:szCs w:val="18"/>
              </w:rPr>
              <w:t>•</w:t>
            </w:r>
            <w:r w:rsidRPr="00585088">
              <w:rPr>
                <w:sz w:val="18"/>
                <w:szCs w:val="18"/>
              </w:rPr>
              <w:t>Příprava rezortů, zahájení u připravených rezortů</w:t>
            </w:r>
          </w:p>
        </w:tc>
        <w:tc>
          <w:tcPr>
            <w:tcW w:w="1121"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r>
              <w:rPr>
                <w:sz w:val="18"/>
                <w:szCs w:val="18"/>
              </w:rPr>
              <w:t>•</w:t>
            </w:r>
            <w:r w:rsidRPr="00585088">
              <w:rPr>
                <w:sz w:val="18"/>
                <w:szCs w:val="18"/>
              </w:rPr>
              <w:t>Hodnocení v segmentu rezortů</w:t>
            </w:r>
          </w:p>
          <w:p w:rsidR="00B77657" w:rsidRPr="00585088" w:rsidRDefault="00B77657" w:rsidP="00781848">
            <w:pPr>
              <w:rPr>
                <w:sz w:val="18"/>
                <w:szCs w:val="18"/>
              </w:rPr>
            </w:pPr>
          </w:p>
        </w:tc>
        <w:tc>
          <w:tcPr>
            <w:tcW w:w="1361"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p>
        </w:tc>
        <w:tc>
          <w:tcPr>
            <w:tcW w:w="1247"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p>
        </w:tc>
        <w:tc>
          <w:tcPr>
            <w:tcW w:w="1247"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r>
              <w:rPr>
                <w:sz w:val="18"/>
                <w:szCs w:val="18"/>
              </w:rPr>
              <w:t>•H</w:t>
            </w:r>
            <w:r w:rsidRPr="00585088">
              <w:rPr>
                <w:sz w:val="18"/>
                <w:szCs w:val="18"/>
              </w:rPr>
              <w:t>odnocení AV ČR</w:t>
            </w:r>
          </w:p>
        </w:tc>
        <w:tc>
          <w:tcPr>
            <w:tcW w:w="1246"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p>
        </w:tc>
        <w:tc>
          <w:tcPr>
            <w:tcW w:w="1249"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r>
              <w:rPr>
                <w:sz w:val="18"/>
                <w:szCs w:val="18"/>
              </w:rPr>
              <w:t>•H</w:t>
            </w:r>
            <w:r w:rsidRPr="00585088">
              <w:rPr>
                <w:sz w:val="18"/>
                <w:szCs w:val="18"/>
              </w:rPr>
              <w:t>odnocení v segmentu rezortů</w:t>
            </w:r>
          </w:p>
        </w:tc>
        <w:tc>
          <w:tcPr>
            <w:tcW w:w="1246"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p>
        </w:tc>
        <w:tc>
          <w:tcPr>
            <w:tcW w:w="1249" w:type="dxa"/>
            <w:tcBorders>
              <w:top w:val="single" w:sz="18" w:space="0" w:color="auto"/>
              <w:bottom w:val="single" w:sz="18" w:space="0" w:color="auto"/>
            </w:tcBorders>
            <w:shd w:val="clear" w:color="auto" w:fill="BFBFBF" w:themeFill="background1" w:themeFillShade="BF"/>
          </w:tcPr>
          <w:p w:rsidR="00B77657" w:rsidRPr="00585088" w:rsidRDefault="00B77657" w:rsidP="00781848">
            <w:pPr>
              <w:rPr>
                <w:sz w:val="18"/>
                <w:szCs w:val="18"/>
              </w:rPr>
            </w:pPr>
          </w:p>
        </w:tc>
        <w:tc>
          <w:tcPr>
            <w:tcW w:w="1247" w:type="dxa"/>
            <w:tcBorders>
              <w:top w:val="single" w:sz="18" w:space="0" w:color="auto"/>
              <w:bottom w:val="single" w:sz="18" w:space="0" w:color="auto"/>
              <w:right w:val="single" w:sz="18" w:space="0" w:color="auto"/>
            </w:tcBorders>
            <w:shd w:val="clear" w:color="auto" w:fill="BFBFBF" w:themeFill="background1" w:themeFillShade="BF"/>
          </w:tcPr>
          <w:p w:rsidR="00B77657" w:rsidRDefault="00B77657" w:rsidP="00781848">
            <w:pPr>
              <w:rPr>
                <w:sz w:val="18"/>
                <w:szCs w:val="18"/>
              </w:rPr>
            </w:pPr>
            <w:r>
              <w:rPr>
                <w:sz w:val="18"/>
                <w:szCs w:val="18"/>
              </w:rPr>
              <w:t>•H</w:t>
            </w:r>
            <w:r w:rsidRPr="00585088">
              <w:rPr>
                <w:sz w:val="18"/>
                <w:szCs w:val="18"/>
              </w:rPr>
              <w:t>odnocení AV ČR</w:t>
            </w:r>
          </w:p>
          <w:p w:rsidR="00B77657" w:rsidRPr="00585088" w:rsidRDefault="00B77657" w:rsidP="00781848">
            <w:pPr>
              <w:rPr>
                <w:sz w:val="18"/>
                <w:szCs w:val="18"/>
              </w:rPr>
            </w:pPr>
          </w:p>
        </w:tc>
      </w:tr>
    </w:tbl>
    <w:p w:rsidR="00D51E7E" w:rsidRDefault="00D51E7E" w:rsidP="00F660C5">
      <w:pPr>
        <w:jc w:val="both"/>
      </w:pPr>
    </w:p>
    <w:p w:rsidR="00D51E7E" w:rsidRDefault="00D51E7E" w:rsidP="00F660C5">
      <w:pPr>
        <w:jc w:val="both"/>
      </w:pPr>
    </w:p>
    <w:p w:rsidR="00B77657" w:rsidRDefault="00B77657" w:rsidP="007C248F">
      <w:pPr>
        <w:pStyle w:val="Nadpis1"/>
        <w:sectPr w:rsidR="00B77657" w:rsidSect="00997F9C">
          <w:pgSz w:w="16838" w:h="11906" w:orient="landscape" w:code="9"/>
          <w:pgMar w:top="1418" w:right="1418" w:bottom="1418" w:left="1418" w:header="510" w:footer="397" w:gutter="0"/>
          <w:cols w:space="708"/>
          <w:docGrid w:linePitch="299"/>
        </w:sectPr>
      </w:pPr>
      <w:bookmarkStart w:id="17" w:name="_Toc453841527"/>
      <w:bookmarkStart w:id="18" w:name="_Toc453843506"/>
      <w:bookmarkStart w:id="19" w:name="_Toc453930871"/>
    </w:p>
    <w:p w:rsidR="006B39B8" w:rsidRPr="006B39B8" w:rsidRDefault="006B39B8" w:rsidP="007C248F">
      <w:pPr>
        <w:pStyle w:val="Nadpis1"/>
      </w:pPr>
      <w:bookmarkStart w:id="20" w:name="_Toc462064474"/>
      <w:r>
        <w:lastRenderedPageBreak/>
        <w:t>Národní úroveň hodnocení</w:t>
      </w:r>
      <w:bookmarkEnd w:id="20"/>
    </w:p>
    <w:p w:rsidR="005F5733" w:rsidRDefault="00B77657" w:rsidP="00BA5B19">
      <w:r w:rsidRPr="006A087F">
        <w:t xml:space="preserve">Cílem hodnocení </w:t>
      </w:r>
      <w:r w:rsidR="0034190F">
        <w:t xml:space="preserve">podle </w:t>
      </w:r>
      <w:r w:rsidR="009E1647">
        <w:t>Metodiky</w:t>
      </w:r>
      <w:r w:rsidR="00A60747">
        <w:t xml:space="preserve"> </w:t>
      </w:r>
      <w:r w:rsidR="009E1647">
        <w:t>17</w:t>
      </w:r>
      <w:r w:rsidRPr="006A087F">
        <w:t xml:space="preserve">+ na národní úrovni je </w:t>
      </w:r>
      <w:r w:rsidR="0039329D">
        <w:t>zajistit</w:t>
      </w:r>
    </w:p>
    <w:p w:rsidR="00A10E31" w:rsidRDefault="00B77657" w:rsidP="00594F03">
      <w:pPr>
        <w:pStyle w:val="Odstavecseseznamem"/>
        <w:numPr>
          <w:ilvl w:val="0"/>
          <w:numId w:val="13"/>
        </w:numPr>
      </w:pPr>
      <w:r w:rsidRPr="006A087F">
        <w:t xml:space="preserve">hodnocení stavu VaVaI v ČR jako celku, jeho srovnání se zahraničím, jeho příležitostí a rizik včetně </w:t>
      </w:r>
      <w:r w:rsidR="006A087F" w:rsidRPr="006A087F">
        <w:t>vyvozování</w:t>
      </w:r>
      <w:r w:rsidR="006A087F">
        <w:t xml:space="preserve"> souvisejících </w:t>
      </w:r>
      <w:r w:rsidRPr="006A087F">
        <w:t>opatření</w:t>
      </w:r>
      <w:r w:rsidR="00AD663E">
        <w:t>,</w:t>
      </w:r>
    </w:p>
    <w:p w:rsidR="00A10E31" w:rsidRDefault="005F5733" w:rsidP="00594F03">
      <w:pPr>
        <w:pStyle w:val="Odstavecseseznamem"/>
        <w:numPr>
          <w:ilvl w:val="0"/>
          <w:numId w:val="13"/>
        </w:numPr>
      </w:pPr>
      <w:r>
        <w:t>průběžné hodnocení podle § 7 odst. 7 zákona č. 130/2002 Sb.</w:t>
      </w:r>
      <w:r w:rsidR="00B77657" w:rsidRPr="006A087F">
        <w:t xml:space="preserve"> </w:t>
      </w:r>
      <w:r>
        <w:t>na základě každoročního hodnocení vybraných výsledků.</w:t>
      </w:r>
    </w:p>
    <w:p w:rsidR="00AD663E" w:rsidRDefault="00AD663E" w:rsidP="007C248F">
      <w:r>
        <w:t xml:space="preserve">Cíle hodnocení </w:t>
      </w:r>
      <w:r w:rsidR="0039329D">
        <w:t xml:space="preserve">na národní úrovni </w:t>
      </w:r>
      <w:r>
        <w:t>vycházejí z rozdělení působností jednotlivých ústředních správních úřadů a institucí, které se zabývají řízením anebo financování činností ve výzkumu, vývoji a inovacích (viz obr.</w:t>
      </w:r>
      <w:r w:rsidR="00F90919">
        <w:t xml:space="preserve"> 1</w:t>
      </w:r>
      <w:r>
        <w:t>).</w:t>
      </w:r>
    </w:p>
    <w:p w:rsidR="00A10E31" w:rsidRDefault="0012592A" w:rsidP="005B0DD0">
      <w:pPr>
        <w:pStyle w:val="Nadpis2"/>
        <w:ind w:left="709" w:hanging="709"/>
      </w:pPr>
      <w:bookmarkStart w:id="21" w:name="_Toc462064475"/>
      <w:r>
        <w:t>H</w:t>
      </w:r>
      <w:r w:rsidRPr="006A087F">
        <w:t>odnocení stavu VaVaI</w:t>
      </w:r>
      <w:bookmarkEnd w:id="21"/>
    </w:p>
    <w:p w:rsidR="00A10E31" w:rsidRDefault="0012592A">
      <w:r>
        <w:t xml:space="preserve">Hodnocení stavu VaVaI v ČR je strategicky </w:t>
      </w:r>
      <w:r w:rsidR="00E91DC5">
        <w:t xml:space="preserve">cílené </w:t>
      </w:r>
      <w:r>
        <w:t xml:space="preserve">hodnocení zaměřené na získání podkladů pro rozhodování vlády na úrovni Národní politiky VaVaI </w:t>
      </w:r>
      <w:r w:rsidR="00AD663E">
        <w:t xml:space="preserve">(její plnění, případné změny) </w:t>
      </w:r>
      <w:r>
        <w:t>a přípravy návrhu výdajů státního rozpočtu na VaVaI spolu se střednědobým výhledem.</w:t>
      </w:r>
    </w:p>
    <w:p w:rsidR="00A10E31" w:rsidRDefault="00AD663E">
      <w:r>
        <w:t>H</w:t>
      </w:r>
      <w:r w:rsidR="0012592A">
        <w:t xml:space="preserve">odnocení </w:t>
      </w:r>
      <w:r>
        <w:t xml:space="preserve">stavu VaVaI </w:t>
      </w:r>
      <w:r w:rsidR="0012592A">
        <w:t>vychází z</w:t>
      </w:r>
      <w:r w:rsidR="009856BF">
        <w:t>:</w:t>
      </w:r>
    </w:p>
    <w:p w:rsidR="00A10E31" w:rsidRDefault="0012592A" w:rsidP="009856BF">
      <w:pPr>
        <w:pStyle w:val="Odstavecseseznamem"/>
        <w:numPr>
          <w:ilvl w:val="0"/>
          <w:numId w:val="14"/>
        </w:numPr>
        <w:jc w:val="both"/>
      </w:pPr>
      <w:r>
        <w:t>Analýz zpracovaných Sekcí V</w:t>
      </w:r>
      <w:r w:rsidR="00E91DC5">
        <w:t>VI</w:t>
      </w:r>
      <w:r w:rsidR="00AD663E">
        <w:t xml:space="preserve"> (případně ve spolupráci s dalšími ústředními správními úřady), </w:t>
      </w:r>
      <w:r>
        <w:t>buď ve formě zprávy popisující celou sféru výzkumu, vývoje a inovací v ČR nebo z analýz zaměřených na určitou oblast VaVaI, např. na některý z oborů základního či aplikovaného výzkumu, nebo na horizontální aktivity a aspekty</w:t>
      </w:r>
      <w:r w:rsidR="00E91DC5">
        <w:t>.</w:t>
      </w:r>
      <w:r>
        <w:t xml:space="preserve"> </w:t>
      </w:r>
    </w:p>
    <w:p w:rsidR="00A10E31" w:rsidRDefault="0012592A" w:rsidP="009856BF">
      <w:pPr>
        <w:pStyle w:val="Odstavecseseznamem"/>
        <w:numPr>
          <w:ilvl w:val="0"/>
          <w:numId w:val="14"/>
        </w:numPr>
        <w:jc w:val="both"/>
      </w:pPr>
      <w:r>
        <w:t xml:space="preserve">Analýz a zpráv zpracovaných </w:t>
      </w:r>
      <w:r w:rsidR="00AD663E">
        <w:t xml:space="preserve">např. </w:t>
      </w:r>
      <w:r>
        <w:t>OECD, EK</w:t>
      </w:r>
      <w:r w:rsidR="00AD663E">
        <w:t xml:space="preserve"> nebo některou z českých institucí zabývajících se touto činností</w:t>
      </w:r>
      <w:r w:rsidR="00E91DC5">
        <w:t>.</w:t>
      </w:r>
    </w:p>
    <w:p w:rsidR="00A10E31" w:rsidRDefault="00AD663E" w:rsidP="009856BF">
      <w:pPr>
        <w:pStyle w:val="Odstavecseseznamem"/>
        <w:numPr>
          <w:ilvl w:val="0"/>
          <w:numId w:val="14"/>
        </w:numPr>
        <w:jc w:val="both"/>
      </w:pPr>
      <w:r>
        <w:t>Rezortních zpráv a výsledků hodnocení jimi zřizovaných nebo financovaných výzkumných organizací.</w:t>
      </w:r>
    </w:p>
    <w:p w:rsidR="00A10E31" w:rsidRDefault="00E1442E">
      <w:r>
        <w:t>Základní otázky, na které má hodnocení na národní úrovni odpovědět, se týkají celkové výkonnosti sféry VaVaI, plnění vládou schválené Národní politiky VaVaI</w:t>
      </w:r>
      <w:r w:rsidR="007772B5">
        <w:t xml:space="preserve">, případně potřeby korigovat </w:t>
      </w:r>
      <w:r w:rsidR="00E91DC5">
        <w:t xml:space="preserve">její </w:t>
      </w:r>
      <w:r w:rsidR="007772B5">
        <w:t xml:space="preserve">rozvoj či zaměření </w:t>
      </w:r>
    </w:p>
    <w:p w:rsidR="00A10E31" w:rsidRDefault="00AD663E" w:rsidP="005B0DD0">
      <w:pPr>
        <w:pStyle w:val="Nadpis2"/>
        <w:ind w:left="709" w:hanging="709"/>
      </w:pPr>
      <w:bookmarkStart w:id="22" w:name="_Toc462064476"/>
      <w:r>
        <w:t>Každoroční hodnocení vybraných výsledků</w:t>
      </w:r>
      <w:bookmarkEnd w:id="22"/>
    </w:p>
    <w:p w:rsidR="007C248F" w:rsidRDefault="00492F83" w:rsidP="007C248F">
      <w:r>
        <w:t>RVVI/Sekce VVI</w:t>
      </w:r>
      <w:r w:rsidR="00815DC9">
        <w:t xml:space="preserve"> je </w:t>
      </w:r>
      <w:r w:rsidR="006A087F">
        <w:t xml:space="preserve">zároveň </w:t>
      </w:r>
      <w:r w:rsidR="00815DC9">
        <w:t>odpovědn</w:t>
      </w:r>
      <w:r>
        <w:t>á</w:t>
      </w:r>
      <w:r w:rsidR="00815DC9">
        <w:t xml:space="preserve"> </w:t>
      </w:r>
      <w:r w:rsidR="00E91DC5">
        <w:t xml:space="preserve">za </w:t>
      </w:r>
      <w:r w:rsidR="0034190F">
        <w:t>splnění zákonné povinnosti</w:t>
      </w:r>
      <w:r w:rsidR="0034190F">
        <w:rPr>
          <w:rStyle w:val="Znakapoznpodarou"/>
        </w:rPr>
        <w:footnoteReference w:id="2"/>
      </w:r>
      <w:r w:rsidR="0034190F">
        <w:t xml:space="preserve">, tj. </w:t>
      </w:r>
      <w:r w:rsidR="00815DC9">
        <w:t>za</w:t>
      </w:r>
      <w:r>
        <w:t xml:space="preserve"> zajištění </w:t>
      </w:r>
      <w:r w:rsidR="0034190F">
        <w:t xml:space="preserve">každoročního </w:t>
      </w:r>
      <w:r w:rsidR="00665965">
        <w:t>hodnocení výsledků</w:t>
      </w:r>
      <w:r w:rsidR="00372C98">
        <w:t xml:space="preserve"> VaVaI</w:t>
      </w:r>
      <w:r w:rsidR="009F1FE7">
        <w:t xml:space="preserve">. Předává </w:t>
      </w:r>
      <w:r>
        <w:t xml:space="preserve">tyto </w:t>
      </w:r>
      <w:r w:rsidR="009F1FE7">
        <w:t xml:space="preserve">výstupy pro potřeby hodnocení </w:t>
      </w:r>
      <w:r w:rsidR="009650FC">
        <w:t xml:space="preserve">na úrovni </w:t>
      </w:r>
      <w:r w:rsidR="009F1FE7">
        <w:t xml:space="preserve">poskytovatelů. Přejímá od poskytovatelů výstupy </w:t>
      </w:r>
      <w:r>
        <w:t xml:space="preserve">z jejich </w:t>
      </w:r>
      <w:r w:rsidR="009F1FE7">
        <w:t>hodnocení pro potřeby hodnocení na národní úrovni.</w:t>
      </w:r>
    </w:p>
    <w:p w:rsidR="0012592A" w:rsidRDefault="0012592A" w:rsidP="007C248F">
      <w:r>
        <w:t xml:space="preserve">Do každoročního hodnocení vybraných výsledků vstupují všechny výzkumné organizace, které </w:t>
      </w:r>
      <w:r w:rsidRPr="00FA2142">
        <w:t>jsou uvedeny v informačním systému veřejné správy „Seznam výzkumných organizací“, jehož správcem je MŠMT podle § 33a zákona č. 130/2002 Sb.</w:t>
      </w:r>
    </w:p>
    <w:p w:rsidR="0005757B" w:rsidRPr="00265A3F" w:rsidRDefault="0074257B" w:rsidP="00153C20">
      <w:pPr>
        <w:rPr>
          <w:rFonts w:ascii="Arial" w:hAnsi="Arial" w:cs="Arial"/>
          <w:bCs/>
        </w:rPr>
      </w:pPr>
      <w:r w:rsidRPr="00B554D4">
        <w:t xml:space="preserve">RVVI </w:t>
      </w:r>
      <w:r w:rsidR="000C533A">
        <w:t>schválí</w:t>
      </w:r>
      <w:r w:rsidR="000C533A" w:rsidRPr="00B554D4">
        <w:t xml:space="preserve"> </w:t>
      </w:r>
      <w:r w:rsidRPr="00B554D4">
        <w:t xml:space="preserve">výsledek každoročního hodnocení, za jehož zabezpečení je zodpovědná podle </w:t>
      </w:r>
      <w:r w:rsidR="009650FC" w:rsidRPr="00E240BC">
        <w:t>§ 35 odst. 2 písm. d</w:t>
      </w:r>
      <w:r w:rsidR="009650FC">
        <w:t>)</w:t>
      </w:r>
      <w:r w:rsidR="009650FC" w:rsidRPr="00B554D4">
        <w:t xml:space="preserve"> </w:t>
      </w:r>
      <w:r w:rsidRPr="00B554D4">
        <w:t xml:space="preserve">zákona </w:t>
      </w:r>
      <w:r w:rsidRPr="00E240BC">
        <w:t>č. 130/2002 Sb.</w:t>
      </w:r>
    </w:p>
    <w:p w:rsidR="0005757B" w:rsidRPr="00425AE2" w:rsidRDefault="005F173E" w:rsidP="005B0DD0">
      <w:pPr>
        <w:pStyle w:val="Nadpis2"/>
        <w:ind w:left="709" w:hanging="709"/>
      </w:pPr>
      <w:bookmarkStart w:id="23" w:name="_Toc462064477"/>
      <w:r>
        <w:lastRenderedPageBreak/>
        <w:t>Odborný dohled nad hodnocením</w:t>
      </w:r>
      <w:bookmarkEnd w:id="23"/>
    </w:p>
    <w:p w:rsidR="00B30E3D" w:rsidRPr="00B30E3D" w:rsidRDefault="005F173E" w:rsidP="0005757B">
      <w:pPr>
        <w:rPr>
          <w:bCs/>
        </w:rPr>
      </w:pPr>
      <w:r>
        <w:rPr>
          <w:bCs/>
        </w:rPr>
        <w:t>Dohled nad hodnocením bude mít RVVI. Její úlohou bude</w:t>
      </w:r>
    </w:p>
    <w:p w:rsidR="00B30E3D" w:rsidRPr="00B30E3D" w:rsidRDefault="00B30E3D" w:rsidP="00594F03">
      <w:pPr>
        <w:pStyle w:val="Odstavecseseznamem"/>
        <w:numPr>
          <w:ilvl w:val="0"/>
          <w:numId w:val="8"/>
        </w:numPr>
        <w:spacing w:after="0"/>
        <w:rPr>
          <w:bCs/>
        </w:rPr>
      </w:pPr>
      <w:r w:rsidRPr="00B30E3D">
        <w:rPr>
          <w:bCs/>
        </w:rPr>
        <w:t xml:space="preserve">dohlížet </w:t>
      </w:r>
      <w:r w:rsidR="00DA6A41">
        <w:rPr>
          <w:bCs/>
        </w:rPr>
        <w:t xml:space="preserve">na </w:t>
      </w:r>
      <w:r w:rsidRPr="00B30E3D">
        <w:rPr>
          <w:bCs/>
        </w:rPr>
        <w:t>dodržování principů hodnocení,</w:t>
      </w:r>
    </w:p>
    <w:p w:rsidR="00B30E3D" w:rsidRPr="00B30E3D" w:rsidRDefault="00B30E3D" w:rsidP="00E76F94">
      <w:pPr>
        <w:pStyle w:val="Odstavecseseznamem"/>
        <w:numPr>
          <w:ilvl w:val="0"/>
          <w:numId w:val="8"/>
        </w:numPr>
        <w:ind w:left="714" w:hanging="357"/>
        <w:rPr>
          <w:bCs/>
        </w:rPr>
      </w:pPr>
      <w:r w:rsidRPr="00B30E3D">
        <w:rPr>
          <w:bCs/>
        </w:rPr>
        <w:t>řešit sporné případy, vzniklé nejasnosti a relevantní dotazy,</w:t>
      </w:r>
    </w:p>
    <w:p w:rsidR="00B30E3D" w:rsidRPr="00372C98" w:rsidRDefault="00372C98" w:rsidP="00372C98">
      <w:pPr>
        <w:rPr>
          <w:bCs/>
        </w:rPr>
      </w:pPr>
      <w:r>
        <w:rPr>
          <w:bCs/>
        </w:rPr>
        <w:t>RVVI n</w:t>
      </w:r>
      <w:r w:rsidR="00B30E3D" w:rsidRPr="00372C98">
        <w:rPr>
          <w:bCs/>
        </w:rPr>
        <w:t>ebude zasahovat do odborného posouzení hodnotící komisí.</w:t>
      </w:r>
    </w:p>
    <w:p w:rsidR="003227B8" w:rsidRDefault="003227B8" w:rsidP="005B0DD0">
      <w:pPr>
        <w:pStyle w:val="Nadpis2"/>
        <w:ind w:left="709" w:hanging="709"/>
      </w:pPr>
      <w:bookmarkStart w:id="24" w:name="_Toc462064478"/>
      <w:r>
        <w:t>MODUL</w:t>
      </w:r>
      <w:r w:rsidR="006976BF">
        <w:t xml:space="preserve"> 1</w:t>
      </w:r>
      <w:r>
        <w:t xml:space="preserve"> – Kvalita vybraných výsledků</w:t>
      </w:r>
      <w:bookmarkEnd w:id="24"/>
    </w:p>
    <w:p w:rsidR="003C2CB3" w:rsidRDefault="00E26E39" w:rsidP="00E26E39">
      <w:r>
        <w:t>Realizace modulu je v gesci RVVI/Sekce VVI.</w:t>
      </w:r>
    </w:p>
    <w:p w:rsidR="0073461F" w:rsidRDefault="00A10E31" w:rsidP="0073461F">
      <w:r>
        <w:t>Do hodnocení mohou být zařazeny pouze výsledky výzkumných organizací uvedené v RIV</w:t>
      </w:r>
      <w:r w:rsidR="005F173E">
        <w:t>. Výběr výsled</w:t>
      </w:r>
      <w:r>
        <w:t xml:space="preserve">ků pro hodnocení provedou jednotlivé výzkumné organizace, které současně označí obor výsledku dle třídění </w:t>
      </w:r>
      <w:r w:rsidR="009F0412">
        <w:t>OECD (</w:t>
      </w:r>
      <w:r>
        <w:t>Frascati Manual</w:t>
      </w:r>
      <w:r w:rsidR="009F0412">
        <w:t>)</w:t>
      </w:r>
      <w:r>
        <w:t>.</w:t>
      </w:r>
    </w:p>
    <w:p w:rsidR="00372C98" w:rsidRDefault="004A304C" w:rsidP="00372C98">
      <w:r>
        <w:t>Hodnotí se</w:t>
      </w:r>
      <w:r w:rsidRPr="00CA4D7A">
        <w:t xml:space="preserve"> omezen</w:t>
      </w:r>
      <w:r>
        <w:t xml:space="preserve">ý </w:t>
      </w:r>
      <w:r w:rsidRPr="00CA4D7A">
        <w:t>poč</w:t>
      </w:r>
      <w:r>
        <w:t>et</w:t>
      </w:r>
      <w:r w:rsidRPr="00CA4D7A">
        <w:t xml:space="preserve"> vybraných </w:t>
      </w:r>
      <w:r>
        <w:t>výsledků, které jsou posouzeny ve dvou odlišných kategoriích.</w:t>
      </w:r>
      <w:r w:rsidR="006644B9" w:rsidRPr="006644B9">
        <w:t xml:space="preserve"> </w:t>
      </w:r>
      <w:r w:rsidR="00372C98" w:rsidRPr="004177BC">
        <w:t xml:space="preserve">V první kategorii </w:t>
      </w:r>
      <w:r w:rsidR="00372C98">
        <w:t>je</w:t>
      </w:r>
      <w:r w:rsidR="00372C98" w:rsidRPr="004177BC">
        <w:t xml:space="preserve"> hlavním kritériem pro posouzení přínos</w:t>
      </w:r>
      <w:r w:rsidR="00372C98">
        <w:t xml:space="preserve"> k poznání. Ve</w:t>
      </w:r>
      <w:r w:rsidR="00372C98" w:rsidRPr="004177BC">
        <w:t> druhé</w:t>
      </w:r>
      <w:r w:rsidR="00372C98">
        <w:t xml:space="preserve"> kategorii je hlavním kritériem </w:t>
      </w:r>
      <w:r w:rsidR="00372C98" w:rsidRPr="004177BC">
        <w:t>společenská relevance</w:t>
      </w:r>
      <w:r w:rsidR="00E76F94">
        <w:t>, resp. relevance pro společnost a dopady</w:t>
      </w:r>
      <w:r w:rsidR="00372C98">
        <w:t>.</w:t>
      </w:r>
    </w:p>
    <w:p w:rsidR="00DB67EE" w:rsidRPr="003E6483" w:rsidRDefault="00DB67EE" w:rsidP="00594F03">
      <w:pPr>
        <w:pStyle w:val="Odstavecseseznamem"/>
        <w:numPr>
          <w:ilvl w:val="0"/>
          <w:numId w:val="5"/>
        </w:numPr>
      </w:pPr>
      <w:r w:rsidRPr="003E6483">
        <w:t xml:space="preserve">I. </w:t>
      </w:r>
      <w:r w:rsidR="003E6483" w:rsidRPr="003E6483">
        <w:t>K</w:t>
      </w:r>
      <w:r w:rsidRPr="003E6483">
        <w:t>ategorie</w:t>
      </w:r>
      <w:r w:rsidR="003E6483">
        <w:t>:</w:t>
      </w:r>
      <w:r w:rsidRPr="003E6483">
        <w:t xml:space="preserve"> zejména (nikoli výhradně) pro výsledky základního výzkumu, resp. výsledky publikační.</w:t>
      </w:r>
    </w:p>
    <w:p w:rsidR="00DB67EE" w:rsidRDefault="00DB67EE" w:rsidP="00594F03">
      <w:pPr>
        <w:pStyle w:val="Odstavecseseznamem"/>
        <w:numPr>
          <w:ilvl w:val="0"/>
          <w:numId w:val="5"/>
        </w:numPr>
      </w:pPr>
      <w:r w:rsidRPr="003E6483">
        <w:t xml:space="preserve">II. </w:t>
      </w:r>
      <w:r w:rsidR="003E6483" w:rsidRPr="003E6483">
        <w:t>K</w:t>
      </w:r>
      <w:r w:rsidRPr="003E6483">
        <w:t>ategorie</w:t>
      </w:r>
      <w:r w:rsidR="003E6483">
        <w:t>:</w:t>
      </w:r>
      <w:r w:rsidRPr="003E6483">
        <w:t xml:space="preserve"> </w:t>
      </w:r>
      <w:r w:rsidRPr="004177BC">
        <w:t>zejména pro výzkum aplikovaný</w:t>
      </w:r>
      <w:r>
        <w:t>, resp. výsledky nepublikační.</w:t>
      </w:r>
    </w:p>
    <w:p w:rsidR="00843580" w:rsidRDefault="00843580" w:rsidP="00843580">
      <w:r>
        <w:t xml:space="preserve">Jednotlivé vybrané výsledky přihlašují VO </w:t>
      </w:r>
      <w:r w:rsidR="00ED02ED">
        <w:t xml:space="preserve">prostřednictvím RIV </w:t>
      </w:r>
      <w:r>
        <w:t>do jedné ze dvou výše uvedených kategorií na základě svého uvážení, přičemž daný výsledek mohou za danou instituci přihlásit do hodnocení pouze jednou.</w:t>
      </w:r>
      <w:r w:rsidR="0039329D">
        <w:t xml:space="preserve"> Současně uvedou obor </w:t>
      </w:r>
      <w:r w:rsidR="00F327D0">
        <w:t xml:space="preserve">a podobor </w:t>
      </w:r>
      <w:r w:rsidR="0039329D">
        <w:t>výsledku</w:t>
      </w:r>
      <w:r w:rsidR="00F327D0">
        <w:t xml:space="preserve"> podle</w:t>
      </w:r>
      <w:r w:rsidR="009F0412">
        <w:t xml:space="preserve"> třídění OECD (</w:t>
      </w:r>
      <w:r w:rsidR="00F327D0">
        <w:t>F</w:t>
      </w:r>
      <w:r w:rsidR="009F0412">
        <w:t xml:space="preserve">rascati Manual) </w:t>
      </w:r>
      <w:r w:rsidR="009B7DA4">
        <w:t>a klíčová slova</w:t>
      </w:r>
      <w:r w:rsidR="009F0412">
        <w:t>.</w:t>
      </w:r>
    </w:p>
    <w:p w:rsidR="003227B8" w:rsidRPr="009F61BF" w:rsidRDefault="003227B8" w:rsidP="009F61BF">
      <w:pPr>
        <w:pStyle w:val="Nadpis3"/>
      </w:pPr>
      <w:bookmarkStart w:id="25" w:name="_Toc462064479"/>
      <w:r w:rsidRPr="009F61BF">
        <w:t xml:space="preserve">Počet </w:t>
      </w:r>
      <w:r w:rsidR="003344B4" w:rsidRPr="009F61BF">
        <w:t>posuzovaných</w:t>
      </w:r>
      <w:r w:rsidRPr="009F61BF">
        <w:t xml:space="preserve"> výsledků</w:t>
      </w:r>
      <w:bookmarkEnd w:id="25"/>
    </w:p>
    <w:p w:rsidR="003227B8" w:rsidRPr="00D925BA" w:rsidRDefault="003227B8" w:rsidP="0092725A">
      <w:r>
        <w:t xml:space="preserve">Počet předkládaných výsledků se odvíjí od velikosti organizace. Pro lepší srovnatelnost </w:t>
      </w:r>
      <w:r w:rsidR="003344B4">
        <w:t xml:space="preserve">je jako </w:t>
      </w:r>
      <w:r>
        <w:t xml:space="preserve">kritérium „velikosti“ </w:t>
      </w:r>
      <w:r w:rsidR="00A1431D">
        <w:t xml:space="preserve">využit </w:t>
      </w:r>
      <w:r>
        <w:t>poskytnutý objem institucionální podpory v minulém období</w:t>
      </w:r>
      <w:r w:rsidR="003E6483">
        <w:t xml:space="preserve">. </w:t>
      </w:r>
      <w:r w:rsidRPr="00D925BA">
        <w:t xml:space="preserve">Je </w:t>
      </w:r>
      <w:r>
        <w:t>však vhodné zároveň</w:t>
      </w:r>
      <w:r w:rsidRPr="00D925BA">
        <w:t xml:space="preserve"> zajistit pro hodnocení instituce takový počet výsledků, který poskytne alespoň rámcový</w:t>
      </w:r>
      <w:r>
        <w:t xml:space="preserve"> vhled do kvality její produkce v posledních pěti letech (interval dán mj. platným zákonem). </w:t>
      </w:r>
      <w:r w:rsidRPr="00D925BA">
        <w:t xml:space="preserve">Počet předkládaných výsledků </w:t>
      </w:r>
      <w:r w:rsidR="003517D3">
        <w:t>se stanoví</w:t>
      </w:r>
      <w:r w:rsidRPr="00D925BA">
        <w:t xml:space="preserve"> </w:t>
      </w:r>
      <w:r w:rsidR="0039329D">
        <w:t>takto</w:t>
      </w:r>
    </w:p>
    <w:p w:rsidR="003227B8" w:rsidRPr="003517D3" w:rsidRDefault="003517D3" w:rsidP="00594F03">
      <w:pPr>
        <w:pStyle w:val="Odstavecseseznamem"/>
        <w:numPr>
          <w:ilvl w:val="0"/>
          <w:numId w:val="9"/>
        </w:numPr>
      </w:pPr>
      <w:r>
        <w:t>Minimální počet</w:t>
      </w:r>
      <w:r w:rsidR="003227B8" w:rsidRPr="003517D3">
        <w:t xml:space="preserve"> předkládaných výsledků za jednu VO </w:t>
      </w:r>
      <w:r>
        <w:t>je 10 výsledků</w:t>
      </w:r>
      <w:r w:rsidR="008D0705">
        <w:t xml:space="preserve"> dosažených v uplynulých 5 letech</w:t>
      </w:r>
      <w:r>
        <w:t xml:space="preserve"> </w:t>
      </w:r>
      <w:r w:rsidR="003227B8" w:rsidRPr="003517D3">
        <w:t xml:space="preserve">s doporučením předat výsledky v proporcích odpovídajících vnitřní struktuře VO (na úroveň výzkumných organizačních jednotek či analogických útvarů). Povinnost proporčního předávání pro velké organizace předávajících do hodnocení 100 a více výsledků, tj. s příslušnou podporou ze SR přesahující 100 mil. Kč. (sloupec tabulky 2). </w:t>
      </w:r>
    </w:p>
    <w:p w:rsidR="00843580" w:rsidRPr="00372C98" w:rsidRDefault="003517D3" w:rsidP="00594F03">
      <w:pPr>
        <w:pStyle w:val="Odstavecseseznamem"/>
        <w:numPr>
          <w:ilvl w:val="0"/>
          <w:numId w:val="9"/>
        </w:numPr>
        <w:rPr>
          <w:b/>
        </w:rPr>
      </w:pPr>
      <w:r>
        <w:t>U vysokých škol se princip použije</w:t>
      </w:r>
      <w:r w:rsidR="003227B8" w:rsidRPr="00CA4D7A">
        <w:t xml:space="preserve"> nikoli na celou VO, ale na úroveň výzkumných organizačních jednotek typu fakulta.</w:t>
      </w:r>
    </w:p>
    <w:p w:rsidR="00372C98" w:rsidRPr="00372C98" w:rsidRDefault="00372C98" w:rsidP="00F90919">
      <w:pPr>
        <w:keepNext/>
      </w:pPr>
      <w:r>
        <w:rPr>
          <w:b/>
        </w:rPr>
        <w:lastRenderedPageBreak/>
        <w:t>Tabulka 2:</w:t>
      </w:r>
      <w:r>
        <w:t xml:space="preserve"> </w:t>
      </w:r>
      <w:r w:rsidR="00F9042C">
        <w:t>Varianty počtu hodnocených výsledků</w:t>
      </w:r>
    </w:p>
    <w:tbl>
      <w:tblPr>
        <w:tblW w:w="8946" w:type="dxa"/>
        <w:tblInd w:w="55" w:type="dxa"/>
        <w:tblCellMar>
          <w:left w:w="70" w:type="dxa"/>
          <w:right w:w="70" w:type="dxa"/>
        </w:tblCellMar>
        <w:tblLook w:val="04A0" w:firstRow="1" w:lastRow="0" w:firstColumn="1" w:lastColumn="0" w:noHBand="0" w:noVBand="1"/>
      </w:tblPr>
      <w:tblGrid>
        <w:gridCol w:w="1575"/>
        <w:gridCol w:w="1701"/>
        <w:gridCol w:w="1275"/>
        <w:gridCol w:w="1276"/>
        <w:gridCol w:w="1559"/>
        <w:gridCol w:w="1560"/>
      </w:tblGrid>
      <w:tr w:rsidR="003227B8" w:rsidRPr="006210BF" w:rsidTr="00461271">
        <w:trPr>
          <w:trHeight w:val="1003"/>
        </w:trPr>
        <w:tc>
          <w:tcPr>
            <w:tcW w:w="1575" w:type="dxa"/>
            <w:tcBorders>
              <w:top w:val="nil"/>
              <w:left w:val="nil"/>
              <w:bottom w:val="nil"/>
              <w:right w:val="nil"/>
            </w:tcBorders>
            <w:shd w:val="clear" w:color="auto" w:fill="auto"/>
            <w:noWrap/>
            <w:vAlign w:val="center"/>
            <w:hideMark/>
          </w:tcPr>
          <w:p w:rsidR="003227B8" w:rsidRPr="006210BF" w:rsidRDefault="003227B8" w:rsidP="00461271">
            <w:pPr>
              <w:spacing w:after="0"/>
              <w:rPr>
                <w:rFonts w:cs="Arial"/>
                <w:b/>
                <w:bCs/>
                <w:color w:val="000000"/>
              </w:rPr>
            </w:pPr>
            <w:r w:rsidRPr="006210BF">
              <w:rPr>
                <w:rFonts w:cs="Arial"/>
                <w:b/>
                <w:bCs/>
                <w:color w:val="000000"/>
              </w:rPr>
              <w:t>Poskytovatel</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27B8" w:rsidRPr="006210BF" w:rsidRDefault="003227B8" w:rsidP="00461271">
            <w:pPr>
              <w:spacing w:after="0"/>
              <w:rPr>
                <w:rFonts w:cs="Arial"/>
                <w:bCs/>
                <w:i/>
                <w:iCs/>
                <w:color w:val="000000"/>
              </w:rPr>
            </w:pPr>
            <w:r w:rsidRPr="006210BF">
              <w:rPr>
                <w:rFonts w:cs="Arial"/>
                <w:bCs/>
                <w:i/>
                <w:iCs/>
                <w:color w:val="000000"/>
              </w:rPr>
              <w:t>Počet výsledků 1 na 10 mil</w:t>
            </w:r>
            <w:r w:rsidR="00461271" w:rsidRPr="006210BF">
              <w:rPr>
                <w:rFonts w:cs="Arial"/>
                <w:bCs/>
                <w:i/>
                <w:iCs/>
                <w:color w:val="000000"/>
              </w:rPr>
              <w:t xml:space="preserve">. Kč </w:t>
            </w:r>
            <w:r w:rsidRPr="006210BF">
              <w:rPr>
                <w:rFonts w:cs="Arial"/>
                <w:bCs/>
                <w:i/>
                <w:iCs/>
                <w:color w:val="000000"/>
              </w:rPr>
              <w:t>(stávající Pilíř II)</w:t>
            </w:r>
          </w:p>
        </w:tc>
        <w:tc>
          <w:tcPr>
            <w:tcW w:w="1275"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3227B8" w:rsidRPr="006210BF" w:rsidRDefault="003227B8" w:rsidP="00461271">
            <w:pPr>
              <w:spacing w:after="0"/>
              <w:rPr>
                <w:rFonts w:cs="Arial"/>
                <w:b/>
                <w:bCs/>
                <w:i/>
                <w:iCs/>
                <w:color w:val="000000"/>
              </w:rPr>
            </w:pPr>
            <w:r w:rsidRPr="006210BF">
              <w:rPr>
                <w:rFonts w:cs="Arial"/>
                <w:b/>
                <w:bCs/>
                <w:i/>
                <w:iCs/>
                <w:color w:val="000000"/>
              </w:rPr>
              <w:t>1 na 10 mil</w:t>
            </w:r>
            <w:r w:rsidR="00461271" w:rsidRPr="006210BF">
              <w:rPr>
                <w:rFonts w:cs="Arial"/>
                <w:b/>
                <w:bCs/>
                <w:i/>
                <w:iCs/>
                <w:color w:val="000000"/>
              </w:rPr>
              <w:t>. Kč</w:t>
            </w:r>
            <w:r w:rsidRPr="006210BF">
              <w:rPr>
                <w:rFonts w:cs="Arial"/>
                <w:b/>
                <w:bCs/>
                <w:i/>
                <w:iCs/>
                <w:color w:val="000000"/>
              </w:rPr>
              <w:t>, min 10 za VO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227B8" w:rsidRPr="006210BF" w:rsidRDefault="003227B8" w:rsidP="00461271">
            <w:pPr>
              <w:spacing w:after="0"/>
              <w:rPr>
                <w:rFonts w:cs="Arial"/>
                <w:b/>
                <w:bCs/>
                <w:i/>
                <w:iCs/>
                <w:color w:val="000000"/>
              </w:rPr>
            </w:pPr>
            <w:r w:rsidRPr="006210BF">
              <w:rPr>
                <w:rFonts w:cs="Arial"/>
                <w:b/>
                <w:bCs/>
                <w:i/>
                <w:iCs/>
                <w:color w:val="000000"/>
              </w:rPr>
              <w:t>1 na 5 mi</w:t>
            </w:r>
            <w:r w:rsidR="00461271" w:rsidRPr="006210BF">
              <w:rPr>
                <w:rFonts w:cs="Arial"/>
                <w:b/>
                <w:bCs/>
                <w:i/>
                <w:iCs/>
                <w:color w:val="000000"/>
              </w:rPr>
              <w:t>l. Kč,</w:t>
            </w:r>
            <w:r w:rsidRPr="006210BF">
              <w:rPr>
                <w:rFonts w:cs="Arial"/>
                <w:b/>
                <w:bCs/>
                <w:i/>
                <w:iCs/>
                <w:color w:val="000000"/>
              </w:rPr>
              <w:t xml:space="preserve"> min 10 za VO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227B8" w:rsidRPr="006210BF" w:rsidRDefault="003227B8" w:rsidP="00461271">
            <w:pPr>
              <w:spacing w:after="0"/>
              <w:rPr>
                <w:rFonts w:cs="Arial"/>
                <w:b/>
                <w:bCs/>
                <w:i/>
                <w:iCs/>
                <w:color w:val="000000"/>
              </w:rPr>
            </w:pPr>
            <w:r w:rsidRPr="006210BF">
              <w:rPr>
                <w:rFonts w:cs="Arial"/>
                <w:b/>
                <w:bCs/>
                <w:i/>
                <w:iCs/>
                <w:color w:val="000000"/>
              </w:rPr>
              <w:t>1 na 10 mil</w:t>
            </w:r>
            <w:r w:rsidR="00461271" w:rsidRPr="006210BF">
              <w:rPr>
                <w:rFonts w:cs="Arial"/>
                <w:b/>
                <w:bCs/>
                <w:i/>
                <w:iCs/>
                <w:color w:val="000000"/>
              </w:rPr>
              <w:t>. Kč</w:t>
            </w:r>
            <w:r w:rsidRPr="006210BF">
              <w:rPr>
                <w:rFonts w:cs="Arial"/>
                <w:b/>
                <w:bCs/>
                <w:i/>
                <w:iCs/>
                <w:color w:val="000000"/>
              </w:rPr>
              <w:t>, min 10 za VŠ org. jednotku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227B8" w:rsidRPr="006210BF" w:rsidRDefault="003227B8" w:rsidP="00461271">
            <w:pPr>
              <w:spacing w:after="0"/>
              <w:rPr>
                <w:rFonts w:cs="Arial"/>
                <w:b/>
                <w:bCs/>
                <w:i/>
                <w:iCs/>
                <w:color w:val="000000"/>
              </w:rPr>
            </w:pPr>
            <w:r w:rsidRPr="006210BF">
              <w:rPr>
                <w:rFonts w:cs="Arial"/>
                <w:b/>
                <w:bCs/>
                <w:i/>
                <w:iCs/>
                <w:color w:val="000000"/>
              </w:rPr>
              <w:t>1 na 10 mil</w:t>
            </w:r>
            <w:r w:rsidR="00461271" w:rsidRPr="006210BF">
              <w:rPr>
                <w:rFonts w:cs="Arial"/>
                <w:b/>
                <w:bCs/>
                <w:i/>
                <w:iCs/>
                <w:color w:val="000000"/>
              </w:rPr>
              <w:t>. Kč</w:t>
            </w:r>
            <w:r w:rsidRPr="006210BF">
              <w:rPr>
                <w:rFonts w:cs="Arial"/>
                <w:b/>
                <w:bCs/>
                <w:i/>
                <w:iCs/>
                <w:color w:val="000000"/>
              </w:rPr>
              <w:t>, min 10 za VŠ org. jed. velké VŠ</w:t>
            </w:r>
          </w:p>
        </w:tc>
      </w:tr>
      <w:tr w:rsidR="003227B8" w:rsidRPr="006210BF" w:rsidTr="00461271">
        <w:trPr>
          <w:trHeight w:val="292"/>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AV ČR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360</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592</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781</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592</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592</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MK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17</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130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130</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130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130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MO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9</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30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33</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30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30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MPO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19</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90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90</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90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90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MŠMT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531</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699</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1 168</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2 030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1 540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MV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8</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80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80</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80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80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MZ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47</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150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165</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150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150</w:t>
            </w:r>
          </w:p>
        </w:tc>
      </w:tr>
      <w:tr w:rsidR="003227B8" w:rsidRPr="006210BF" w:rsidTr="00461271">
        <w:trPr>
          <w:trHeight w:val="292"/>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 xml:space="preserve">MZE </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i/>
                <w:color w:val="000000"/>
              </w:rPr>
            </w:pPr>
            <w:r w:rsidRPr="006210BF">
              <w:rPr>
                <w:rFonts w:cs="Arial"/>
                <w:i/>
                <w:color w:val="000000"/>
              </w:rPr>
              <w:t>47</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color w:val="000000"/>
              </w:rPr>
            </w:pPr>
            <w:r w:rsidRPr="006210BF">
              <w:rPr>
                <w:rFonts w:cs="Arial"/>
                <w:b/>
                <w:color w:val="00000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217</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200</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color w:val="000000"/>
              </w:rPr>
            </w:pPr>
            <w:r w:rsidRPr="006210BF">
              <w:rPr>
                <w:rFonts w:cs="Arial"/>
                <w:color w:val="000000"/>
              </w:rPr>
              <w:t>200</w:t>
            </w:r>
          </w:p>
        </w:tc>
      </w:tr>
      <w:tr w:rsidR="003227B8" w:rsidRPr="006210BF" w:rsidTr="00461271">
        <w:trPr>
          <w:trHeight w:val="64"/>
        </w:trPr>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b/>
                <w:bCs/>
                <w:color w:val="000000"/>
              </w:rPr>
            </w:pPr>
            <w:r w:rsidRPr="006210BF">
              <w:rPr>
                <w:rFonts w:cs="Arial"/>
                <w:b/>
                <w:bCs/>
                <w:color w:val="000000"/>
              </w:rPr>
              <w:t>CELKEM</w:t>
            </w:r>
          </w:p>
        </w:tc>
        <w:tc>
          <w:tcPr>
            <w:tcW w:w="1701"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bCs/>
                <w:i/>
                <w:color w:val="000000"/>
              </w:rPr>
            </w:pPr>
            <w:r w:rsidRPr="006210BF">
              <w:rPr>
                <w:rFonts w:cs="Arial"/>
                <w:bCs/>
                <w:i/>
                <w:color w:val="000000"/>
              </w:rPr>
              <w:t>1 038</w:t>
            </w:r>
          </w:p>
        </w:tc>
        <w:tc>
          <w:tcPr>
            <w:tcW w:w="1275" w:type="dxa"/>
            <w:tcBorders>
              <w:top w:val="nil"/>
              <w:left w:val="nil"/>
              <w:bottom w:val="single" w:sz="4" w:space="0" w:color="auto"/>
              <w:right w:val="single" w:sz="4" w:space="0" w:color="auto"/>
            </w:tcBorders>
            <w:shd w:val="clear" w:color="auto" w:fill="8DB3E2" w:themeFill="text2" w:themeFillTint="66"/>
            <w:noWrap/>
            <w:vAlign w:val="bottom"/>
            <w:hideMark/>
          </w:tcPr>
          <w:p w:rsidR="003227B8" w:rsidRPr="006210BF" w:rsidRDefault="003227B8" w:rsidP="00461271">
            <w:pPr>
              <w:spacing w:after="0"/>
              <w:rPr>
                <w:rFonts w:cs="Arial"/>
                <w:b/>
                <w:bCs/>
                <w:color w:val="000000"/>
              </w:rPr>
            </w:pPr>
            <w:r w:rsidRPr="006210BF">
              <w:rPr>
                <w:rFonts w:cs="Arial"/>
                <w:b/>
                <w:bCs/>
                <w:color w:val="000000"/>
              </w:rPr>
              <w:t>1 971</w:t>
            </w:r>
          </w:p>
        </w:tc>
        <w:tc>
          <w:tcPr>
            <w:tcW w:w="1276"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b/>
                <w:bCs/>
                <w:color w:val="000000"/>
              </w:rPr>
            </w:pPr>
            <w:r w:rsidRPr="006210BF">
              <w:rPr>
                <w:rFonts w:cs="Arial"/>
                <w:b/>
                <w:bCs/>
                <w:color w:val="000000"/>
              </w:rPr>
              <w:t>2 664</w:t>
            </w:r>
          </w:p>
        </w:tc>
        <w:tc>
          <w:tcPr>
            <w:tcW w:w="1559"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b/>
                <w:bCs/>
                <w:color w:val="000000"/>
              </w:rPr>
            </w:pPr>
            <w:r w:rsidRPr="006210BF">
              <w:rPr>
                <w:rFonts w:cs="Arial"/>
                <w:b/>
                <w:bCs/>
                <w:color w:val="000000"/>
              </w:rPr>
              <w:t>3 302</w:t>
            </w:r>
          </w:p>
        </w:tc>
        <w:tc>
          <w:tcPr>
            <w:tcW w:w="1560" w:type="dxa"/>
            <w:tcBorders>
              <w:top w:val="nil"/>
              <w:left w:val="nil"/>
              <w:bottom w:val="single" w:sz="4" w:space="0" w:color="auto"/>
              <w:right w:val="single" w:sz="4" w:space="0" w:color="auto"/>
            </w:tcBorders>
            <w:shd w:val="clear" w:color="auto" w:fill="auto"/>
            <w:noWrap/>
            <w:vAlign w:val="bottom"/>
            <w:hideMark/>
          </w:tcPr>
          <w:p w:rsidR="003227B8" w:rsidRPr="006210BF" w:rsidRDefault="003227B8" w:rsidP="00461271">
            <w:pPr>
              <w:spacing w:after="0"/>
              <w:rPr>
                <w:rFonts w:cs="Arial"/>
                <w:b/>
                <w:bCs/>
                <w:color w:val="000000"/>
              </w:rPr>
            </w:pPr>
            <w:r w:rsidRPr="006210BF">
              <w:rPr>
                <w:rFonts w:cs="Arial"/>
                <w:b/>
                <w:bCs/>
                <w:color w:val="000000"/>
              </w:rPr>
              <w:t>2 812</w:t>
            </w:r>
          </w:p>
        </w:tc>
      </w:tr>
    </w:tbl>
    <w:p w:rsidR="00D843CC" w:rsidRPr="007C248F" w:rsidRDefault="00D843CC" w:rsidP="00D843CC">
      <w:pPr>
        <w:rPr>
          <w:rFonts w:cs="Arial"/>
        </w:rPr>
      </w:pPr>
      <w:r w:rsidRPr="007C248F">
        <w:rPr>
          <w:rFonts w:cs="Arial"/>
          <w:b/>
          <w:sz w:val="24"/>
          <w:szCs w:val="24"/>
        </w:rPr>
        <w:t xml:space="preserve">Hodnocené výsledky a výstupy. </w:t>
      </w:r>
      <w:r w:rsidRPr="007C248F">
        <w:rPr>
          <w:rFonts w:cs="Arial"/>
        </w:rPr>
        <w:t>Do hodnocení v daném roce budou zařazeny výsledky a výstupy podle níže uvedené tabulky, jejichž rok uplatnění je v intervalu příslušných hodnocených let.</w:t>
      </w:r>
    </w:p>
    <w:tbl>
      <w:tblPr>
        <w:tblStyle w:val="Mkatabulky"/>
        <w:tblW w:w="0" w:type="auto"/>
        <w:tblLook w:val="04A0" w:firstRow="1" w:lastRow="0" w:firstColumn="1" w:lastColumn="0" w:noHBand="0" w:noVBand="1"/>
      </w:tblPr>
      <w:tblGrid>
        <w:gridCol w:w="3070"/>
        <w:gridCol w:w="3070"/>
        <w:gridCol w:w="3070"/>
      </w:tblGrid>
      <w:tr w:rsidR="00D843CC" w:rsidRPr="007C248F" w:rsidTr="009F61BF">
        <w:tc>
          <w:tcPr>
            <w:tcW w:w="3070" w:type="dxa"/>
          </w:tcPr>
          <w:p w:rsidR="00D843CC" w:rsidRPr="007C248F" w:rsidRDefault="00D843CC" w:rsidP="009F61BF">
            <w:pPr>
              <w:jc w:val="center"/>
              <w:rPr>
                <w:rFonts w:cs="Arial"/>
              </w:rPr>
            </w:pPr>
            <w:r w:rsidRPr="007C248F">
              <w:rPr>
                <w:rFonts w:cs="Arial"/>
              </w:rPr>
              <w:t>Hodnocení v roce</w:t>
            </w:r>
          </w:p>
        </w:tc>
        <w:tc>
          <w:tcPr>
            <w:tcW w:w="6140" w:type="dxa"/>
            <w:gridSpan w:val="2"/>
          </w:tcPr>
          <w:p w:rsidR="00D843CC" w:rsidRPr="007C248F" w:rsidRDefault="00D843CC" w:rsidP="009F61BF">
            <w:pPr>
              <w:jc w:val="center"/>
              <w:rPr>
                <w:rFonts w:cs="Arial"/>
              </w:rPr>
            </w:pPr>
            <w:r w:rsidRPr="007C248F">
              <w:rPr>
                <w:rFonts w:cs="Arial"/>
              </w:rPr>
              <w:t>Rok uplatnění výsledku</w:t>
            </w:r>
          </w:p>
        </w:tc>
      </w:tr>
      <w:tr w:rsidR="00D843CC" w:rsidRPr="007C248F" w:rsidTr="009F61BF">
        <w:tc>
          <w:tcPr>
            <w:tcW w:w="3070" w:type="dxa"/>
          </w:tcPr>
          <w:p w:rsidR="00D843CC" w:rsidRPr="007C248F" w:rsidRDefault="00D843CC" w:rsidP="009F61BF">
            <w:pPr>
              <w:jc w:val="center"/>
              <w:rPr>
                <w:rFonts w:cs="Arial"/>
              </w:rPr>
            </w:pPr>
            <w:r w:rsidRPr="007C248F">
              <w:rPr>
                <w:rFonts w:cs="Arial"/>
              </w:rPr>
              <w:t>2017</w:t>
            </w:r>
          </w:p>
        </w:tc>
        <w:tc>
          <w:tcPr>
            <w:tcW w:w="3070" w:type="dxa"/>
          </w:tcPr>
          <w:p w:rsidR="00D843CC" w:rsidRPr="007C248F" w:rsidRDefault="00D843CC" w:rsidP="009F61BF">
            <w:pPr>
              <w:jc w:val="center"/>
              <w:rPr>
                <w:rFonts w:cs="Arial"/>
              </w:rPr>
            </w:pPr>
            <w:r w:rsidRPr="007C248F">
              <w:rPr>
                <w:rFonts w:cs="Arial"/>
              </w:rPr>
              <w:t>od 1.1.2012</w:t>
            </w:r>
          </w:p>
        </w:tc>
        <w:tc>
          <w:tcPr>
            <w:tcW w:w="3070" w:type="dxa"/>
          </w:tcPr>
          <w:p w:rsidR="00D843CC" w:rsidRPr="007C248F" w:rsidRDefault="00D843CC" w:rsidP="009F61BF">
            <w:pPr>
              <w:jc w:val="center"/>
              <w:rPr>
                <w:rFonts w:cs="Arial"/>
              </w:rPr>
            </w:pPr>
            <w:r w:rsidRPr="007C248F">
              <w:rPr>
                <w:rFonts w:cs="Arial"/>
              </w:rPr>
              <w:t>do 31.12.2016</w:t>
            </w:r>
          </w:p>
        </w:tc>
      </w:tr>
      <w:tr w:rsidR="00D843CC" w:rsidRPr="007C248F" w:rsidTr="009F61BF">
        <w:tc>
          <w:tcPr>
            <w:tcW w:w="3070" w:type="dxa"/>
          </w:tcPr>
          <w:p w:rsidR="00D843CC" w:rsidRPr="007C248F" w:rsidRDefault="00D843CC" w:rsidP="009F61BF">
            <w:pPr>
              <w:jc w:val="center"/>
              <w:rPr>
                <w:rFonts w:cs="Arial"/>
              </w:rPr>
            </w:pPr>
            <w:r w:rsidRPr="007C248F">
              <w:rPr>
                <w:rFonts w:cs="Arial"/>
              </w:rPr>
              <w:t>2018</w:t>
            </w:r>
          </w:p>
        </w:tc>
        <w:tc>
          <w:tcPr>
            <w:tcW w:w="3070" w:type="dxa"/>
          </w:tcPr>
          <w:p w:rsidR="00D843CC" w:rsidRPr="007C248F" w:rsidRDefault="00D843CC" w:rsidP="009F61BF">
            <w:pPr>
              <w:jc w:val="center"/>
              <w:rPr>
                <w:rFonts w:cs="Arial"/>
              </w:rPr>
            </w:pPr>
            <w:r w:rsidRPr="007C248F">
              <w:rPr>
                <w:rFonts w:cs="Arial"/>
              </w:rPr>
              <w:t>od 1.1.2013</w:t>
            </w:r>
          </w:p>
        </w:tc>
        <w:tc>
          <w:tcPr>
            <w:tcW w:w="3070" w:type="dxa"/>
          </w:tcPr>
          <w:p w:rsidR="00D843CC" w:rsidRPr="007C248F" w:rsidRDefault="00D843CC" w:rsidP="009F61BF">
            <w:pPr>
              <w:jc w:val="center"/>
              <w:rPr>
                <w:rFonts w:cs="Arial"/>
              </w:rPr>
            </w:pPr>
            <w:r w:rsidRPr="007C248F">
              <w:rPr>
                <w:rFonts w:cs="Arial"/>
              </w:rPr>
              <w:t>do 31.12.2017</w:t>
            </w:r>
          </w:p>
        </w:tc>
      </w:tr>
      <w:tr w:rsidR="00D843CC" w:rsidRPr="007C248F" w:rsidTr="009F61BF">
        <w:tc>
          <w:tcPr>
            <w:tcW w:w="3070" w:type="dxa"/>
          </w:tcPr>
          <w:p w:rsidR="00D843CC" w:rsidRPr="007C248F" w:rsidRDefault="00D843CC" w:rsidP="009F61BF">
            <w:pPr>
              <w:jc w:val="center"/>
              <w:rPr>
                <w:rFonts w:cs="Arial"/>
              </w:rPr>
            </w:pPr>
            <w:r w:rsidRPr="007C248F">
              <w:rPr>
                <w:rFonts w:cs="Arial"/>
              </w:rPr>
              <w:t>2019</w:t>
            </w:r>
          </w:p>
        </w:tc>
        <w:tc>
          <w:tcPr>
            <w:tcW w:w="3070" w:type="dxa"/>
          </w:tcPr>
          <w:p w:rsidR="00D843CC" w:rsidRPr="007C248F" w:rsidRDefault="00D843CC" w:rsidP="009F61BF">
            <w:pPr>
              <w:jc w:val="center"/>
              <w:rPr>
                <w:rFonts w:cs="Arial"/>
              </w:rPr>
            </w:pPr>
            <w:r w:rsidRPr="007C248F">
              <w:rPr>
                <w:rFonts w:cs="Arial"/>
              </w:rPr>
              <w:t>od 1.1.2014</w:t>
            </w:r>
          </w:p>
        </w:tc>
        <w:tc>
          <w:tcPr>
            <w:tcW w:w="3070" w:type="dxa"/>
          </w:tcPr>
          <w:p w:rsidR="00D843CC" w:rsidRPr="007C248F" w:rsidRDefault="00D843CC" w:rsidP="009F61BF">
            <w:pPr>
              <w:jc w:val="center"/>
              <w:rPr>
                <w:rFonts w:cs="Arial"/>
              </w:rPr>
            </w:pPr>
            <w:r w:rsidRPr="007C248F">
              <w:rPr>
                <w:rFonts w:cs="Arial"/>
              </w:rPr>
              <w:t>do 31.12.2018</w:t>
            </w:r>
          </w:p>
        </w:tc>
      </w:tr>
    </w:tbl>
    <w:p w:rsidR="00D843CC" w:rsidRDefault="00D843CC" w:rsidP="00D843CC">
      <w:pPr>
        <w:rPr>
          <w:rFonts w:cs="Arial"/>
          <w:sz w:val="24"/>
          <w:szCs w:val="24"/>
        </w:rPr>
      </w:pPr>
    </w:p>
    <w:p w:rsidR="003227B8" w:rsidRPr="009F61BF" w:rsidRDefault="003227B8" w:rsidP="009F61BF">
      <w:pPr>
        <w:pStyle w:val="Nadpis3"/>
      </w:pPr>
      <w:bookmarkStart w:id="26" w:name="_Toc462064480"/>
      <w:r w:rsidRPr="009F61BF">
        <w:t>Nástroje hodnocení</w:t>
      </w:r>
      <w:bookmarkEnd w:id="26"/>
    </w:p>
    <w:p w:rsidR="002219A1" w:rsidRDefault="003227B8" w:rsidP="00594F03">
      <w:pPr>
        <w:pStyle w:val="Odstavecseseznamem"/>
        <w:numPr>
          <w:ilvl w:val="0"/>
          <w:numId w:val="10"/>
        </w:numPr>
      </w:pPr>
      <w:r w:rsidRPr="002219A1">
        <w:rPr>
          <w:b/>
          <w:i/>
          <w:iCs/>
        </w:rPr>
        <w:t>Nástroj 1</w:t>
      </w:r>
      <w:r w:rsidRPr="003E6483">
        <w:t xml:space="preserve"> – bibliometrická analýza</w:t>
      </w:r>
      <w:r w:rsidR="002219A1">
        <w:t xml:space="preserve"> </w:t>
      </w:r>
    </w:p>
    <w:p w:rsidR="003227B8" w:rsidRDefault="003227B8" w:rsidP="00594F03">
      <w:pPr>
        <w:pStyle w:val="Odstavecseseznamem"/>
        <w:numPr>
          <w:ilvl w:val="0"/>
          <w:numId w:val="10"/>
        </w:numPr>
      </w:pPr>
      <w:r w:rsidRPr="002219A1">
        <w:rPr>
          <w:b/>
          <w:i/>
          <w:iCs/>
        </w:rPr>
        <w:t>Nástroj 2</w:t>
      </w:r>
      <w:r w:rsidRPr="003E6483">
        <w:t xml:space="preserve"> –</w:t>
      </w:r>
      <w:r w:rsidR="001A7360">
        <w:t xml:space="preserve"> </w:t>
      </w:r>
      <w:r w:rsidRPr="003E6483">
        <w:t>vzdálené recenze</w:t>
      </w:r>
    </w:p>
    <w:p w:rsidR="003227B8" w:rsidRPr="00F915CF" w:rsidRDefault="00461271" w:rsidP="000764FE">
      <w:pPr>
        <w:spacing w:after="0"/>
        <w:rPr>
          <w:b/>
        </w:rPr>
      </w:pPr>
      <w:r w:rsidRPr="00461271">
        <w:rPr>
          <w:b/>
          <w:caps/>
        </w:rPr>
        <w:t>bibliometrická analýza</w:t>
      </w:r>
      <w:r w:rsidR="003227B8" w:rsidRPr="00F915CF">
        <w:rPr>
          <w:b/>
        </w:rPr>
        <w:t xml:space="preserve"> (NÁSTROJ 1)</w:t>
      </w:r>
    </w:p>
    <w:p w:rsidR="00940911" w:rsidRDefault="003517D3" w:rsidP="00A67EF4">
      <w:r>
        <w:t xml:space="preserve">Výsledky publikované v recenzovaných časopisech budou hodnoceny podle impakt faktoru příslušného periodika. </w:t>
      </w:r>
      <w:r w:rsidR="000C533A" w:rsidRPr="003517D3">
        <w:t>B</w:t>
      </w:r>
      <w:r w:rsidR="003227B8" w:rsidRPr="00CA30DD">
        <w:t xml:space="preserve">ude </w:t>
      </w:r>
      <w:r w:rsidR="00A67EF4">
        <w:t xml:space="preserve">zhotovena </w:t>
      </w:r>
      <w:r w:rsidR="003227B8" w:rsidRPr="00CA30DD">
        <w:t>tabulka s podrobnými informacemi o každém</w:t>
      </w:r>
      <w:r w:rsidR="003227B8">
        <w:t xml:space="preserve"> hodnoceném výstupu, včetně detailních bibliometrických údajů získaných srovnáním v mezinárodním měřítku; tabulka bude připravena RVVI/Sekcí VVI</w:t>
      </w:r>
      <w:r w:rsidR="003227B8" w:rsidRPr="00940911">
        <w:t xml:space="preserve">. </w:t>
      </w:r>
    </w:p>
    <w:p w:rsidR="003227B8" w:rsidRPr="00F915CF" w:rsidRDefault="00461271" w:rsidP="00D2541C">
      <w:pPr>
        <w:keepNext/>
        <w:spacing w:after="0"/>
        <w:rPr>
          <w:b/>
        </w:rPr>
      </w:pPr>
      <w:r w:rsidRPr="00461271">
        <w:rPr>
          <w:b/>
          <w:caps/>
        </w:rPr>
        <w:t>vzdálené recenze</w:t>
      </w:r>
      <w:r w:rsidR="003227B8" w:rsidRPr="00F915CF">
        <w:rPr>
          <w:b/>
        </w:rPr>
        <w:t xml:space="preserve"> (NÁSTROJ 2)</w:t>
      </w:r>
    </w:p>
    <w:p w:rsidR="005C06B1" w:rsidRDefault="005C06B1" w:rsidP="00E76F94">
      <w:r>
        <w:t xml:space="preserve">Pro </w:t>
      </w:r>
      <w:r w:rsidR="00FA0AF0">
        <w:t xml:space="preserve">odborné posouzení, které se použije při každoročním hodnocení vybraných výsledků, se ustaví panely. </w:t>
      </w:r>
      <w:r w:rsidR="00FA0AF0" w:rsidRPr="00E72D56">
        <w:t xml:space="preserve">Pro účely hodnocení jsou obory rozděleny do </w:t>
      </w:r>
      <w:r w:rsidR="00FA0AF0" w:rsidRPr="00E72D56">
        <w:rPr>
          <w:bCs/>
        </w:rPr>
        <w:t>6 panelů</w:t>
      </w:r>
      <w:r w:rsidR="00FA0AF0" w:rsidRPr="00E72D56">
        <w:t>.</w:t>
      </w:r>
      <w:r w:rsidR="00FA0AF0">
        <w:t xml:space="preserve"> </w:t>
      </w:r>
      <w:r w:rsidR="00FA0AF0" w:rsidRPr="00E72D56">
        <w:rPr>
          <w:b/>
          <w:bCs/>
        </w:rPr>
        <w:t>6</w:t>
      </w:r>
      <w:r w:rsidR="00FA0AF0" w:rsidRPr="00E72D56">
        <w:rPr>
          <w:bCs/>
        </w:rPr>
        <w:t xml:space="preserve"> oborových skupin</w:t>
      </w:r>
      <w:r w:rsidR="00FA0AF0" w:rsidRPr="00E72D56">
        <w:rPr>
          <w:b/>
          <w:bCs/>
        </w:rPr>
        <w:t xml:space="preserve"> </w:t>
      </w:r>
      <w:r w:rsidR="00FA0AF0" w:rsidRPr="00E72D56">
        <w:t xml:space="preserve">sdružujících celkem </w:t>
      </w:r>
      <w:r w:rsidR="00FA0AF0" w:rsidRPr="00E72D56">
        <w:rPr>
          <w:b/>
          <w:bCs/>
        </w:rPr>
        <w:t xml:space="preserve">24 oborů </w:t>
      </w:r>
      <w:r w:rsidR="00FA0AF0" w:rsidRPr="00E72D56">
        <w:t>sestavených podle seznamu OECD</w:t>
      </w:r>
      <w:r w:rsidR="00A81BE6">
        <w:t xml:space="preserve"> (Frascati Manual)</w:t>
      </w:r>
      <w:r w:rsidR="00843580">
        <w:rPr>
          <w:rStyle w:val="Znakapoznpodarou"/>
        </w:rPr>
        <w:footnoteReference w:id="3"/>
      </w:r>
      <w:r w:rsidR="00FA0AF0">
        <w:t>. Jejich úkolem bude zhodnotit, zda předložené výsledky jsou v souladu se světovými či evropskými trendy v příslušném oboru a rozdělit výsledky do 4 skupin</w:t>
      </w:r>
      <w:r w:rsidR="0045341C">
        <w:t xml:space="preserve"> dle škály</w:t>
      </w:r>
      <w:r w:rsidR="00FA0AF0">
        <w:t>.</w:t>
      </w:r>
    </w:p>
    <w:p w:rsidR="00F9042C" w:rsidRPr="00F9042C" w:rsidRDefault="00F9042C" w:rsidP="00E76F94">
      <w:pPr>
        <w:keepNext/>
        <w:spacing w:after="0"/>
        <w:rPr>
          <w:b/>
        </w:rPr>
      </w:pPr>
      <w:r w:rsidRPr="00F9042C">
        <w:rPr>
          <w:b/>
        </w:rPr>
        <w:lastRenderedPageBreak/>
        <w:t>Schéma 2:</w:t>
      </w:r>
      <w:r>
        <w:rPr>
          <w:b/>
        </w:rPr>
        <w:t xml:space="preserve"> </w:t>
      </w:r>
      <w:r w:rsidRPr="00E76F94">
        <w:t>Organizační</w:t>
      </w:r>
      <w:r>
        <w:t xml:space="preserve"> schéma panelů</w:t>
      </w:r>
    </w:p>
    <w:p w:rsidR="0045341C" w:rsidRDefault="00D2541C" w:rsidP="00461271">
      <w:r>
        <w:rPr>
          <w:noProof/>
        </w:rPr>
        <w:drawing>
          <wp:inline distT="0" distB="0" distL="0" distR="0">
            <wp:extent cx="6012000" cy="4143600"/>
            <wp:effectExtent l="0" t="0" r="8255" b="0"/>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M17+ panely.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12000" cy="4143600"/>
                    </a:xfrm>
                    <a:prstGeom prst="rect">
                      <a:avLst/>
                    </a:prstGeom>
                  </pic:spPr>
                </pic:pic>
              </a:graphicData>
            </a:graphic>
          </wp:inline>
        </w:drawing>
      </w:r>
      <w:r w:rsidR="0045341C" w:rsidRPr="00855F9B">
        <w:t>Panel každé oborové skupiny má tolik členů, kolik oborů je ve skupin</w:t>
      </w:r>
      <w:r w:rsidR="00843580">
        <w:t xml:space="preserve">ě obsaženo. </w:t>
      </w:r>
      <w:r w:rsidR="0039329D">
        <w:t>K</w:t>
      </w:r>
      <w:r w:rsidR="0045341C" w:rsidRPr="00855F9B">
        <w:t xml:space="preserve">aždý panel </w:t>
      </w:r>
      <w:r w:rsidR="0039329D">
        <w:t xml:space="preserve">bude </w:t>
      </w:r>
      <w:r w:rsidR="0045341C" w:rsidRPr="00855F9B">
        <w:t xml:space="preserve">mít předsedu pro úroveň oborové skupiny, nejlépe mezinárodně uznávaného zahraničního odborníka. Členy panelu </w:t>
      </w:r>
      <w:r w:rsidR="0039329D">
        <w:t>budou</w:t>
      </w:r>
      <w:r w:rsidR="0045341C" w:rsidRPr="00855F9B">
        <w:t xml:space="preserve"> domácí renomovaní vědci, z nich bude v rámci každé</w:t>
      </w:r>
      <w:r w:rsidR="00843580">
        <w:t>ho panelu zvolen místopředseda.</w:t>
      </w:r>
      <w:r w:rsidR="0039329D">
        <w:t xml:space="preserve"> </w:t>
      </w:r>
      <w:r w:rsidR="0045341C">
        <w:t xml:space="preserve">Pro posouzení většiny výsledků předložených do hodnocení by mělo být personální zajištění panelů dostatečné. </w:t>
      </w:r>
    </w:p>
    <w:p w:rsidR="003227B8" w:rsidRPr="00461271" w:rsidRDefault="003227B8" w:rsidP="00461271">
      <w:pPr>
        <w:keepNext/>
        <w:rPr>
          <w:b/>
        </w:rPr>
      </w:pPr>
      <w:r w:rsidRPr="00461271">
        <w:rPr>
          <w:b/>
        </w:rPr>
        <w:t>Hodnotící proces a jeho náležitosti</w:t>
      </w:r>
    </w:p>
    <w:p w:rsidR="003227B8" w:rsidRPr="00E72D56" w:rsidRDefault="003227B8" w:rsidP="00461271">
      <w:r w:rsidRPr="00E72D56">
        <w:t xml:space="preserve">Panel vede </w:t>
      </w:r>
      <w:r w:rsidRPr="00461271">
        <w:t>předseda</w:t>
      </w:r>
      <w:r w:rsidRPr="00E72D56">
        <w:t xml:space="preserve">, který koordinuje a monitoruje práci členů panelu a hodnotitelů, ale </w:t>
      </w:r>
      <w:r w:rsidRPr="00461271">
        <w:t>sám výstupy nehodnotí</w:t>
      </w:r>
      <w:r w:rsidRPr="00E72D56">
        <w:t xml:space="preserve">. </w:t>
      </w:r>
    </w:p>
    <w:p w:rsidR="003227B8" w:rsidRPr="00461271" w:rsidRDefault="003227B8" w:rsidP="00461271">
      <w:r w:rsidRPr="00E72D56">
        <w:t xml:space="preserve">Každý </w:t>
      </w:r>
      <w:r w:rsidRPr="00461271">
        <w:t>výstup</w:t>
      </w:r>
      <w:r w:rsidRPr="00E72D56">
        <w:t xml:space="preserve"> předložený k</w:t>
      </w:r>
      <w:r w:rsidR="000C533A">
        <w:t xml:space="preserve"> recenznímu </w:t>
      </w:r>
      <w:r w:rsidRPr="00E72D56">
        <w:t xml:space="preserve">hodnocení bude hodnocen dvěma hodnotiteli. Hodnotitel jej spolu s vypracováním recenze zařadí do jednoho z </w:t>
      </w:r>
      <w:r w:rsidRPr="00461271">
        <w:t xml:space="preserve">pěti kvalitativních stupňů </w:t>
      </w:r>
      <w:r w:rsidRPr="00E72D56">
        <w:t xml:space="preserve">na </w:t>
      </w:r>
      <w:r w:rsidRPr="00461271">
        <w:t>kvalitativní stupnici</w:t>
      </w:r>
      <w:r w:rsidRPr="00E72D56">
        <w:t xml:space="preserve">. Analogicky je postupováno v I. fázi Hodnocení výzkumné a odborné činnosti pracovišť AV ČR za léta 2010–2014. </w:t>
      </w:r>
      <w:r w:rsidRPr="00461271">
        <w:t xml:space="preserve">Kvalitativní stupnici pro výsledky hodnocené v kategorii I </w:t>
      </w:r>
      <w:r w:rsidR="00D2541C">
        <w:t>je navržena</w:t>
      </w:r>
      <w:r w:rsidRPr="00461271">
        <w:t xml:space="preserve"> shodně s AVČR.</w:t>
      </w:r>
    </w:p>
    <w:p w:rsidR="003227B8" w:rsidRDefault="003227B8" w:rsidP="00461271">
      <w:r w:rsidRPr="00E72D56">
        <w:t>V případech, kdy se zařazení výstupu na hodnotící škále oběma hodnotiteli liší právě o jeden kvalitativní stupeň (např. 1 vs. 2 nebo 2 vs. 3), rozhodne o jeho konkrétním zařazení oborově příslušný člen panelu.</w:t>
      </w:r>
      <w:r w:rsidR="00843580">
        <w:t xml:space="preserve"> </w:t>
      </w:r>
      <w:r w:rsidRPr="00E72D56">
        <w:t>Pokud se nepodaří získat potřebné dva posudky na konkrétní výstup (tedy buď žádný posudek, nebo pouze jeden), o výsledném zařazení výstupu na hodnotící škále rozhodne oborově příslušný člen panelu.</w:t>
      </w:r>
    </w:p>
    <w:p w:rsidR="00F327D0" w:rsidRDefault="00F327D0" w:rsidP="00F327D0">
      <w:pPr>
        <w:rPr>
          <w:i/>
          <w:iCs/>
        </w:rPr>
      </w:pPr>
      <w:r w:rsidRPr="00E72D56">
        <w:t xml:space="preserve">Analogicky </w:t>
      </w:r>
      <w:r w:rsidR="00E76F94">
        <w:t>se</w:t>
      </w:r>
      <w:r w:rsidRPr="00E72D56">
        <w:t xml:space="preserve"> postup</w:t>
      </w:r>
      <w:r w:rsidR="00E76F94">
        <w:t>uje</w:t>
      </w:r>
      <w:r w:rsidRPr="00E72D56">
        <w:t xml:space="preserve"> v I. fázi Hodnocení výzkumné a odborné činnosti pracovišť AV ČR za léta 2010–2014. </w:t>
      </w:r>
      <w:r w:rsidRPr="00E72D56">
        <w:rPr>
          <w:i/>
          <w:iCs/>
        </w:rPr>
        <w:t xml:space="preserve">Kvalitativní stupnici </w:t>
      </w:r>
      <w:r w:rsidRPr="00E72D56">
        <w:rPr>
          <w:iCs/>
        </w:rPr>
        <w:t xml:space="preserve">pro výsledky hodnocené v kategorii I navrhujeme shodně s AVČR, </w:t>
      </w:r>
      <w:r w:rsidR="009B7DA4">
        <w:rPr>
          <w:i/>
          <w:iCs/>
        </w:rPr>
        <w:lastRenderedPageBreak/>
        <w:t>kvalitativní stupnic</w:t>
      </w:r>
      <w:r w:rsidR="00F90919">
        <w:rPr>
          <w:i/>
          <w:iCs/>
        </w:rPr>
        <w:t>e</w:t>
      </w:r>
      <w:r w:rsidRPr="00E72D56">
        <w:rPr>
          <w:i/>
          <w:iCs/>
        </w:rPr>
        <w:t xml:space="preserve"> </w:t>
      </w:r>
      <w:r w:rsidRPr="00E72D56">
        <w:rPr>
          <w:iCs/>
        </w:rPr>
        <w:t xml:space="preserve">pro hodnocení výsledků v kategorii II </w:t>
      </w:r>
      <w:r>
        <w:rPr>
          <w:iCs/>
        </w:rPr>
        <w:t>je její analogií pro oblast aplikovaného výzkumu</w:t>
      </w:r>
      <w:r w:rsidRPr="00E72D56">
        <w:rPr>
          <w:i/>
          <w:iCs/>
        </w:rPr>
        <w:t>.</w:t>
      </w:r>
    </w:p>
    <w:p w:rsidR="00720240" w:rsidRPr="000764FE" w:rsidRDefault="00720240" w:rsidP="00720240">
      <w:pPr>
        <w:rPr>
          <w:b/>
        </w:rPr>
      </w:pPr>
      <w:r w:rsidRPr="00461271">
        <w:rPr>
          <w:rFonts w:cs="Arial"/>
          <w:b/>
        </w:rPr>
        <w:t>Technické z</w:t>
      </w:r>
      <w:r>
        <w:rPr>
          <w:b/>
        </w:rPr>
        <w:t>abezpečení, IT podpora</w:t>
      </w:r>
    </w:p>
    <w:p w:rsidR="00720240" w:rsidRDefault="00720240" w:rsidP="00720240">
      <w:r w:rsidRPr="00CA30DD">
        <w:t>Pro shromažďování výsledků pro hodnocení v</w:t>
      </w:r>
      <w:r>
        <w:t> Modulu 1 – Kvalita vybraných výsledků</w:t>
      </w:r>
      <w:r w:rsidRPr="00CA30DD">
        <w:t xml:space="preserve"> je možno bez podstatných změn využít aplikaci pro sběr kvalitních výsledků, která vznikla v režii Sekce VVI/Úřadu vlády pro sběr údajů pro hodnocení dle Pilíře II. doposud platné Metodiky.</w:t>
      </w:r>
    </w:p>
    <w:p w:rsidR="00720240" w:rsidRDefault="00720240" w:rsidP="00720240">
      <w:r w:rsidRPr="00CA30DD">
        <w:t xml:space="preserve">Vznik databáze hodnotitelů s uvedením patřičných příznaků pro usnadnění přiřazování výsledků by neměl být z technického hlediska větší problém. Je možno vyjít ze srovnatelných databází, případně některou z nich po dohodě v případě souhlasu všech zúčastněných použít jako východisko k doplnění </w:t>
      </w:r>
      <w:r w:rsidRPr="00940911">
        <w:t xml:space="preserve">Hodnocení </w:t>
      </w:r>
      <w:r>
        <w:t>v segmentu vysokých škol.</w:t>
      </w:r>
    </w:p>
    <w:p w:rsidR="00720240" w:rsidRPr="00E72D56" w:rsidRDefault="00720240" w:rsidP="00F327D0">
      <w:pPr>
        <w:rPr>
          <w:i/>
        </w:rPr>
      </w:pPr>
    </w:p>
    <w:p w:rsidR="00461271" w:rsidRPr="00F90919" w:rsidRDefault="00F327D0" w:rsidP="00F90919">
      <w:pPr>
        <w:pStyle w:val="Nadpis3"/>
      </w:pPr>
      <w:bookmarkStart w:id="27" w:name="_Toc462064481"/>
      <w:r w:rsidRPr="00F90919">
        <w:t>Výsledná š</w:t>
      </w:r>
      <w:r w:rsidR="00461271" w:rsidRPr="00F90919">
        <w:t>kálovací stupnice</w:t>
      </w:r>
      <w:bookmarkEnd w:id="27"/>
    </w:p>
    <w:p w:rsidR="00461271" w:rsidRPr="00D843CC" w:rsidRDefault="00461271" w:rsidP="009D3502">
      <w:pPr>
        <w:contextualSpacing/>
        <w:rPr>
          <w:bCs/>
        </w:rPr>
      </w:pPr>
      <w:r w:rsidRPr="00D843CC">
        <w:rPr>
          <w:bCs/>
        </w:rPr>
        <w:t xml:space="preserve">A: Vynikající (excellent) VO, </w:t>
      </w:r>
    </w:p>
    <w:p w:rsidR="00461271" w:rsidRPr="009D3502" w:rsidRDefault="00461271" w:rsidP="00594F03">
      <w:pPr>
        <w:pStyle w:val="Odstavecseseznamem"/>
        <w:numPr>
          <w:ilvl w:val="0"/>
          <w:numId w:val="10"/>
        </w:numPr>
        <w:rPr>
          <w:iCs/>
        </w:rPr>
      </w:pPr>
      <w:r w:rsidRPr="009D3502">
        <w:rPr>
          <w:iCs/>
        </w:rPr>
        <w:t>Ve výzkumných parametrech globálních oborů mezinárodně kompetitivní instituce a/nebo instituce se silným inovačním potenciálem a vynikajícími výsledky aplikovaného výzkumu a/nebo instituce naplňující vynikajícím způsobem svěřenou misi.</w:t>
      </w:r>
    </w:p>
    <w:p w:rsidR="00461271" w:rsidRPr="009D3502" w:rsidRDefault="00461271" w:rsidP="00594F03">
      <w:pPr>
        <w:pStyle w:val="Odstavecseseznamem"/>
        <w:numPr>
          <w:ilvl w:val="0"/>
          <w:numId w:val="10"/>
        </w:numPr>
        <w:rPr>
          <w:iCs/>
        </w:rPr>
      </w:pPr>
      <w:r w:rsidRPr="009D3502">
        <w:rPr>
          <w:iCs/>
        </w:rPr>
        <w:t>Zanedbatelné slabé stránky</w:t>
      </w:r>
    </w:p>
    <w:p w:rsidR="00461271" w:rsidRPr="00D843CC" w:rsidRDefault="00461271" w:rsidP="009D3502">
      <w:pPr>
        <w:contextualSpacing/>
        <w:rPr>
          <w:bCs/>
        </w:rPr>
      </w:pPr>
      <w:r w:rsidRPr="00D843CC">
        <w:rPr>
          <w:bCs/>
        </w:rPr>
        <w:t xml:space="preserve">B: Velmi dobrá (very good) </w:t>
      </w:r>
    </w:p>
    <w:p w:rsidR="00461271" w:rsidRPr="009D3502" w:rsidRDefault="00461271" w:rsidP="00594F03">
      <w:pPr>
        <w:pStyle w:val="Odstavecseseznamem"/>
        <w:numPr>
          <w:ilvl w:val="0"/>
          <w:numId w:val="10"/>
        </w:numPr>
        <w:rPr>
          <w:iCs/>
        </w:rPr>
      </w:pPr>
      <w:r w:rsidRPr="009D3502">
        <w:rPr>
          <w:iCs/>
        </w:rPr>
        <w:t>Instituce vyrovnané kvality s výbornými výsledky výzkumu, dostatečným inovačním potenciálem a/nebo významnými výsledky aplikovaného výzkumu, výsledky VaVaI odpovídají účelu zřízení</w:t>
      </w:r>
    </w:p>
    <w:p w:rsidR="00461271" w:rsidRPr="009D3502" w:rsidRDefault="00461271" w:rsidP="00594F03">
      <w:pPr>
        <w:pStyle w:val="Odstavecseseznamem"/>
        <w:numPr>
          <w:ilvl w:val="0"/>
          <w:numId w:val="10"/>
        </w:numPr>
        <w:rPr>
          <w:iCs/>
        </w:rPr>
      </w:pPr>
      <w:r w:rsidRPr="009D3502">
        <w:rPr>
          <w:iCs/>
        </w:rPr>
        <w:t>Minimum slabých stránek</w:t>
      </w:r>
    </w:p>
    <w:p w:rsidR="00461271" w:rsidRPr="00D843CC" w:rsidRDefault="00461271" w:rsidP="009D3502">
      <w:pPr>
        <w:contextualSpacing/>
        <w:rPr>
          <w:bCs/>
        </w:rPr>
      </w:pPr>
      <w:r w:rsidRPr="00D843CC">
        <w:rPr>
          <w:bCs/>
        </w:rPr>
        <w:t>C: Dobrá (good) VO</w:t>
      </w:r>
    </w:p>
    <w:p w:rsidR="00461271" w:rsidRPr="009D3502" w:rsidRDefault="00461271" w:rsidP="00594F03">
      <w:pPr>
        <w:pStyle w:val="Odstavecseseznamem"/>
        <w:numPr>
          <w:ilvl w:val="0"/>
          <w:numId w:val="10"/>
        </w:numPr>
        <w:rPr>
          <w:iCs/>
        </w:rPr>
      </w:pPr>
      <w:r w:rsidRPr="009D3502">
        <w:rPr>
          <w:iCs/>
        </w:rPr>
        <w:t xml:space="preserve">Dobrá instituce, poněkud nevyrovnané kvality, v některých parametrech základního a/nebo aplikovaného výzkumu dosahující výborné výsledky a/nebo instituce, která průměrně naplňuje účel zřízení. </w:t>
      </w:r>
    </w:p>
    <w:p w:rsidR="00461271" w:rsidRPr="009D3502" w:rsidRDefault="00461271" w:rsidP="00594F03">
      <w:pPr>
        <w:pStyle w:val="Odstavecseseznamem"/>
        <w:numPr>
          <w:ilvl w:val="0"/>
          <w:numId w:val="10"/>
        </w:numPr>
        <w:rPr>
          <w:iCs/>
        </w:rPr>
      </w:pPr>
      <w:r w:rsidRPr="009D3502">
        <w:rPr>
          <w:iCs/>
        </w:rPr>
        <w:t>VO se strategií a snahou odstraňovat slabé stránky</w:t>
      </w:r>
    </w:p>
    <w:p w:rsidR="00461271" w:rsidRPr="00D843CC" w:rsidRDefault="00461271" w:rsidP="009D3502">
      <w:pPr>
        <w:contextualSpacing/>
        <w:rPr>
          <w:bCs/>
        </w:rPr>
      </w:pPr>
      <w:r w:rsidRPr="00D843CC">
        <w:rPr>
          <w:bCs/>
        </w:rPr>
        <w:t>D: Průměrná až podprůměrná (average to below average) VO</w:t>
      </w:r>
    </w:p>
    <w:p w:rsidR="00461271" w:rsidRPr="009D3502" w:rsidRDefault="00461271" w:rsidP="00594F03">
      <w:pPr>
        <w:pStyle w:val="Odstavecseseznamem"/>
        <w:numPr>
          <w:ilvl w:val="0"/>
          <w:numId w:val="10"/>
        </w:numPr>
        <w:rPr>
          <w:iCs/>
        </w:rPr>
      </w:pPr>
      <w:r w:rsidRPr="009D3502">
        <w:rPr>
          <w:iCs/>
        </w:rPr>
        <w:t>Instituce v převážné většině parametrů základního a/nebo aplikovaného výzkumu průměrná až podprůměrná a/nebo instituce, která nedostatečně naplňuje účel zřízení.</w:t>
      </w:r>
    </w:p>
    <w:p w:rsidR="00461271" w:rsidRPr="009D3502" w:rsidRDefault="00461271" w:rsidP="00594F03">
      <w:pPr>
        <w:pStyle w:val="Odstavecseseznamem"/>
        <w:numPr>
          <w:ilvl w:val="0"/>
          <w:numId w:val="10"/>
        </w:numPr>
        <w:rPr>
          <w:iCs/>
        </w:rPr>
      </w:pPr>
      <w:r w:rsidRPr="009D3502">
        <w:rPr>
          <w:iCs/>
        </w:rPr>
        <w:t>VO s řadou slabých stránek a omezenou snahou je odstraňovat</w:t>
      </w:r>
    </w:p>
    <w:p w:rsidR="00691415" w:rsidRDefault="00307DF9" w:rsidP="005B0DD0">
      <w:pPr>
        <w:pStyle w:val="Nadpis1"/>
      </w:pPr>
      <w:bookmarkStart w:id="28" w:name="_Toc462064482"/>
      <w:r>
        <w:lastRenderedPageBreak/>
        <w:t>Hodnocení v segmentu</w:t>
      </w:r>
      <w:r w:rsidR="00691415">
        <w:t xml:space="preserve"> vysokých škol</w:t>
      </w:r>
      <w:bookmarkEnd w:id="28"/>
    </w:p>
    <w:p w:rsidR="002714D7" w:rsidRDefault="002714D7" w:rsidP="005B0DD0">
      <w:pPr>
        <w:pStyle w:val="Nadpis2"/>
        <w:ind w:left="709" w:hanging="709"/>
      </w:pPr>
      <w:bookmarkStart w:id="29" w:name="_Toc462064483"/>
      <w:r>
        <w:t>MODUL 1 – Kvalita vybraných výsledků</w:t>
      </w:r>
      <w:bookmarkEnd w:id="29"/>
    </w:p>
    <w:p w:rsidR="002714D7" w:rsidRPr="002714D7" w:rsidRDefault="002714D7" w:rsidP="002714D7">
      <w:r>
        <w:t>Při pětiletém hodnocení se použije hodnocení popsané v modulu 1</w:t>
      </w:r>
      <w:r w:rsidR="00BB683F">
        <w:t>.</w:t>
      </w:r>
    </w:p>
    <w:p w:rsidR="00691415" w:rsidRPr="00425AE2" w:rsidRDefault="00691415" w:rsidP="005B0DD0">
      <w:pPr>
        <w:pStyle w:val="Nadpis2"/>
        <w:ind w:left="709" w:hanging="709"/>
      </w:pPr>
      <w:bookmarkStart w:id="30" w:name="_Toc462064484"/>
      <w:r w:rsidRPr="00425AE2">
        <w:t>MODUL 2 – Výkonnost výzkumu</w:t>
      </w:r>
      <w:bookmarkEnd w:id="30"/>
    </w:p>
    <w:p w:rsidR="00691415" w:rsidRDefault="00691415" w:rsidP="00691415">
      <w:r>
        <w:t>P</w:t>
      </w:r>
      <w:r w:rsidRPr="00CA30DD">
        <w:t>očty všech vědeckých výstupů podle jednotlivých druhů</w:t>
      </w:r>
      <w:r>
        <w:t xml:space="preserve">, </w:t>
      </w:r>
      <w:r w:rsidRPr="00CA30DD">
        <w:t>za hodnocené období, vazby na objemy získaných prostředků, počty a skladba pracovníků, zpracování dalších kvantitativních analýz, běžné statistické postupy</w:t>
      </w:r>
      <w:r>
        <w:t>, mezinárodně uznávané ukazatele, závěry Analýzy VaVaI v ČR atd.</w:t>
      </w:r>
    </w:p>
    <w:p w:rsidR="00691415" w:rsidRPr="009F61BF" w:rsidRDefault="00691415" w:rsidP="00691415">
      <w:pPr>
        <w:spacing w:after="0"/>
        <w:rPr>
          <w:b/>
        </w:rPr>
      </w:pPr>
      <w:r w:rsidRPr="009F61BF">
        <w:rPr>
          <w:b/>
        </w:rPr>
        <w:t>Nástroje hodnocení:</w:t>
      </w:r>
    </w:p>
    <w:p w:rsidR="00691415" w:rsidRPr="00CA30DD" w:rsidRDefault="00691415" w:rsidP="00594F03">
      <w:pPr>
        <w:pStyle w:val="Odstavecseseznamem"/>
        <w:numPr>
          <w:ilvl w:val="0"/>
          <w:numId w:val="7"/>
        </w:numPr>
      </w:pPr>
      <w:r w:rsidRPr="00CA30DD">
        <w:t>deskriptivní statistika</w:t>
      </w:r>
    </w:p>
    <w:p w:rsidR="00691415" w:rsidRPr="00D968A7" w:rsidRDefault="00691415" w:rsidP="00594F03">
      <w:pPr>
        <w:pStyle w:val="Odstavecseseznamem"/>
        <w:numPr>
          <w:ilvl w:val="0"/>
          <w:numId w:val="7"/>
        </w:numPr>
        <w:jc w:val="both"/>
        <w:rPr>
          <w:bCs/>
        </w:rPr>
      </w:pPr>
      <w:r>
        <w:t>V</w:t>
      </w:r>
      <w:r w:rsidRPr="0005757B">
        <w:t xml:space="preserve"> relevantních případech bibliometrický profil pracoviště</w:t>
      </w:r>
      <w:r>
        <w:t>.</w:t>
      </w:r>
      <w:r w:rsidRPr="0005757B">
        <w:t xml:space="preserve"> </w:t>
      </w:r>
      <w:r w:rsidRPr="0005757B">
        <w:rPr>
          <w:bCs/>
        </w:rPr>
        <w:t xml:space="preserve">Bibliometrická analýza by měla být vypracována na úrovni VO, ukazovat oborové složení VaVaI na dané VO a kvalitativní porovnání s mezinárodní úrovní. V průběhu implementačního období se může rozsah kvantitativní analýzy měnit podle přidávaných modulů. </w:t>
      </w:r>
      <w:r w:rsidRPr="00D968A7">
        <w:rPr>
          <w:bCs/>
        </w:rPr>
        <w:t>Zdrojem bude mezinárodní databáze Web of Science a využita bude nadstavba InCites a národní IS VaVaI. Analýza bude před hodnocením předána VO ke kontrole.</w:t>
      </w:r>
    </w:p>
    <w:p w:rsidR="00691415" w:rsidRPr="00CA30DD" w:rsidRDefault="00691415" w:rsidP="00594F03">
      <w:pPr>
        <w:pStyle w:val="Odstavecseseznamem"/>
        <w:numPr>
          <w:ilvl w:val="0"/>
          <w:numId w:val="7"/>
        </w:numPr>
      </w:pPr>
      <w:r>
        <w:t>ukazatele pro oblast aplikovaného výzkumu</w:t>
      </w:r>
    </w:p>
    <w:p w:rsidR="00691415" w:rsidRDefault="00691415" w:rsidP="005B0DD0">
      <w:pPr>
        <w:pStyle w:val="Nadpis2"/>
        <w:ind w:left="709" w:hanging="709"/>
      </w:pPr>
      <w:bookmarkStart w:id="31" w:name="_Toc462064485"/>
      <w:r>
        <w:t>MODUL 3 – Společenská relevance</w:t>
      </w:r>
      <w:bookmarkEnd w:id="31"/>
    </w:p>
    <w:p w:rsidR="00691415" w:rsidRDefault="00691415" w:rsidP="00691415">
      <w:r>
        <w:rPr>
          <w:bCs/>
        </w:rPr>
        <w:t>P</w:t>
      </w:r>
      <w:r w:rsidRPr="00CA30DD">
        <w:rPr>
          <w:bCs/>
        </w:rPr>
        <w:t xml:space="preserve">restižní ocenění vědeckého přínosu na mezinárodním i domácím fóru, </w:t>
      </w:r>
      <w:r w:rsidRPr="00CA30DD">
        <w:t xml:space="preserve">přenos výsledků do praxe, </w:t>
      </w:r>
      <w:r>
        <w:t xml:space="preserve">aplikovaný výzkum a spolupráce s aplikační sférou, </w:t>
      </w:r>
      <w:r w:rsidRPr="00CA30DD">
        <w:t>aktivity pro přenos znalostí a technologií na neakademické subjekty ve společnosti (kvalitativní údaje), ekonomický přínos pro společnost, zapojení studentů do výzkumné činnosti: výběrové přednášky/semináře související s výzkumem dané VO, praxe studentů</w:t>
      </w:r>
      <w:r>
        <w:t>, výchova doktorandů</w:t>
      </w:r>
      <w:r w:rsidRPr="00CA30DD">
        <w:t xml:space="preserve"> apod.</w:t>
      </w:r>
      <w:r w:rsidR="00144E08" w:rsidRPr="00144E08">
        <w:rPr>
          <w:rStyle w:val="Znakapoznpodarou"/>
          <w:i/>
        </w:rPr>
        <w:t xml:space="preserve"> </w:t>
      </w:r>
    </w:p>
    <w:p w:rsidR="006210BF" w:rsidRPr="006210BF" w:rsidRDefault="006210BF" w:rsidP="00691415">
      <w:r>
        <w:t>Tato část hodnocení bude např. u technických vysokých škol koherentní s hodnocením v institucích aplikovaného výzkumu a bude zohled</w:t>
      </w:r>
      <w:r w:rsidR="00444305">
        <w:t>ňovat i rozsah smluvního výz</w:t>
      </w:r>
      <w:r>
        <w:t>kumu.</w:t>
      </w:r>
    </w:p>
    <w:p w:rsidR="00691415" w:rsidRPr="00E2623F" w:rsidRDefault="00691415" w:rsidP="005B0DD0">
      <w:pPr>
        <w:pStyle w:val="Nadpis2"/>
        <w:ind w:left="709" w:hanging="709"/>
      </w:pPr>
      <w:bookmarkStart w:id="32" w:name="_Toc462064486"/>
      <w:r>
        <w:t>MODUL 4 – Viabilita</w:t>
      </w:r>
      <w:bookmarkEnd w:id="32"/>
    </w:p>
    <w:p w:rsidR="00691415" w:rsidRPr="00AC1C58" w:rsidRDefault="00691415" w:rsidP="00691415">
      <w:r w:rsidRPr="00AC1C58">
        <w:rPr>
          <w:u w:val="single"/>
        </w:rPr>
        <w:t>Výzkumné prostředí</w:t>
      </w:r>
      <w:r w:rsidRPr="00AC1C58">
        <w:t>: organizační schéma, kvalita vedení výzkumu, lidsk</w:t>
      </w:r>
      <w:r>
        <w:t>é zdroje</w:t>
      </w:r>
      <w:r w:rsidRPr="00AC1C58">
        <w:t>, vybavenost, infrastruktury.</w:t>
      </w:r>
    </w:p>
    <w:p w:rsidR="00691415" w:rsidRPr="00CA30DD" w:rsidRDefault="00691415" w:rsidP="00691415">
      <w:r w:rsidRPr="00AC1C58">
        <w:rPr>
          <w:u w:val="single"/>
        </w:rPr>
        <w:t>Mezinárodní a národní spolupráce</w:t>
      </w:r>
      <w:r w:rsidRPr="00AC1C58">
        <w:t>: Členství v globální a národní výzkumné komunitě, komunitní aktivity, financování z externích zdrojů: mezinárodní a národní kooperace a prezentace výzkumu a spolupráce, stáže studentů a mladých vědeckých pracovníků v zahraničí, úroveň věhlasu, účast na činnostech odborné obce (členství v radách a komisích – GAČR, apod., vědeckých radách, edičních radách, spolupráce v oblasti aplikovaného výzkumu atd.), úspěšnost v získávání projektů resp. spolufinancování (financování z třetích stran). Postavení VO podle mezinárodních ukazatelů a statistik.</w:t>
      </w:r>
    </w:p>
    <w:p w:rsidR="00691415" w:rsidRPr="00144E08" w:rsidRDefault="00691415" w:rsidP="00144E08">
      <w:pPr>
        <w:rPr>
          <w:bCs/>
        </w:rPr>
      </w:pPr>
      <w:r w:rsidRPr="00144E08">
        <w:rPr>
          <w:bCs/>
          <w:u w:val="single"/>
        </w:rPr>
        <w:t>Základní struktura nákladů a výnosů v jednotlivých letech hodnoceného období</w:t>
      </w:r>
      <w:r w:rsidRPr="00144E08">
        <w:rPr>
          <w:bCs/>
        </w:rPr>
        <w:t xml:space="preserve">: všechny grantové a programové projekty podporované z veřejných prostředků z národních zdrojů, zdrojů EU a jiných zahraničních zdrojů v hodnoceném období, jichž je pracoviště příjemcem nebo dalším příjemcem, resp. spolupříjemcem (název, poskytovatel, období řešení, celková účelová podpora na projekt pro </w:t>
      </w:r>
      <w:r w:rsidRPr="00144E08">
        <w:rPr>
          <w:bCs/>
        </w:rPr>
        <w:lastRenderedPageBreak/>
        <w:t>pracoviště v hodnoceném období</w:t>
      </w:r>
      <w:r w:rsidR="00144E08" w:rsidRPr="00144E08">
        <w:rPr>
          <w:bCs/>
        </w:rPr>
        <w:t>)</w:t>
      </w:r>
      <w:r w:rsidR="00144E08">
        <w:rPr>
          <w:bCs/>
        </w:rPr>
        <w:t>,</w:t>
      </w:r>
      <w:r w:rsidR="00144E08" w:rsidRPr="00144E08">
        <w:rPr>
          <w:bCs/>
        </w:rPr>
        <w:t xml:space="preserve"> </w:t>
      </w:r>
      <w:r w:rsidRPr="00144E08">
        <w:rPr>
          <w:bCs/>
        </w:rPr>
        <w:t>smluvní výzkum (název zakázky, objednatel, období, výnosy), kolaborativní výzkum a transfer technologií (výnosy z prodeje patentů a licenčních smluv).</w:t>
      </w:r>
    </w:p>
    <w:p w:rsidR="00691415" w:rsidRPr="000764FE" w:rsidRDefault="00691415" w:rsidP="00691415">
      <w:pPr>
        <w:spacing w:after="0"/>
        <w:rPr>
          <w:b/>
        </w:rPr>
      </w:pPr>
      <w:r w:rsidRPr="000764FE">
        <w:rPr>
          <w:b/>
        </w:rPr>
        <w:t>Nástroje hodnocení:</w:t>
      </w:r>
    </w:p>
    <w:p w:rsidR="00691415" w:rsidRPr="00F63C95" w:rsidRDefault="00691415" w:rsidP="00594F03">
      <w:pPr>
        <w:pStyle w:val="Odstavecseseznamem"/>
        <w:numPr>
          <w:ilvl w:val="0"/>
          <w:numId w:val="3"/>
        </w:numPr>
      </w:pPr>
      <w:r w:rsidRPr="00F63C95">
        <w:t>statistické údaje a ukazatele na národní a mezinárodní úrovni</w:t>
      </w:r>
    </w:p>
    <w:p w:rsidR="00691415" w:rsidRPr="00F63C95" w:rsidRDefault="00691415" w:rsidP="00594F03">
      <w:pPr>
        <w:pStyle w:val="Odstavecseseznamem"/>
        <w:numPr>
          <w:ilvl w:val="0"/>
          <w:numId w:val="3"/>
        </w:numPr>
      </w:pPr>
      <w:r w:rsidRPr="00F63C95">
        <w:t xml:space="preserve">hodnocení příslušných částí </w:t>
      </w:r>
      <w:r w:rsidRPr="00F63C95">
        <w:rPr>
          <w:i/>
        </w:rPr>
        <w:t>žádosti o poskytnutí dotace podle § 14 odst. 3 zákona č. 218/2000 Sb.</w:t>
      </w:r>
    </w:p>
    <w:p w:rsidR="00691415" w:rsidRDefault="00691415" w:rsidP="00594F03">
      <w:pPr>
        <w:pStyle w:val="Odstavecseseznamem"/>
        <w:numPr>
          <w:ilvl w:val="0"/>
          <w:numId w:val="3"/>
        </w:numPr>
      </w:pPr>
      <w:r w:rsidRPr="00F63C95">
        <w:t>sebeevaluační zprávy, výroční zprávy VŠ, další podobné dokumenty na VŠ zpracovávané,</w:t>
      </w:r>
      <w:r w:rsidRPr="00CA30DD">
        <w:t xml:space="preserve"> např. pro akreditační řízení</w:t>
      </w:r>
      <w:r>
        <w:t xml:space="preserve">, </w:t>
      </w:r>
      <w:r w:rsidRPr="00CA30DD">
        <w:t>apod.</w:t>
      </w:r>
    </w:p>
    <w:p w:rsidR="00691415" w:rsidRDefault="00691415" w:rsidP="00594F03">
      <w:pPr>
        <w:pStyle w:val="Odstavecseseznamem"/>
        <w:numPr>
          <w:ilvl w:val="0"/>
          <w:numId w:val="3"/>
        </w:numPr>
      </w:pPr>
      <w:r>
        <w:t>hodnocení infrastruktur</w:t>
      </w:r>
    </w:p>
    <w:p w:rsidR="00691415" w:rsidRDefault="00691415" w:rsidP="00594F03">
      <w:pPr>
        <w:pStyle w:val="Odstavecseseznamem"/>
        <w:numPr>
          <w:ilvl w:val="0"/>
          <w:numId w:val="3"/>
        </w:numPr>
      </w:pPr>
      <w:r>
        <w:t xml:space="preserve">návštěvy na místě </w:t>
      </w:r>
    </w:p>
    <w:p w:rsidR="00691415" w:rsidRPr="00F962DB" w:rsidRDefault="0084798D" w:rsidP="00594F03">
      <w:pPr>
        <w:pStyle w:val="Odstavecseseznamem"/>
        <w:numPr>
          <w:ilvl w:val="0"/>
          <w:numId w:val="3"/>
        </w:numPr>
      </w:pPr>
      <w:r>
        <w:t xml:space="preserve">soupis </w:t>
      </w:r>
      <w:r w:rsidR="00691415" w:rsidRPr="00F962DB">
        <w:t>všech grantov</w:t>
      </w:r>
      <w:r>
        <w:t>ých</w:t>
      </w:r>
      <w:r w:rsidR="00691415" w:rsidRPr="00F962DB">
        <w:t xml:space="preserve"> a programov</w:t>
      </w:r>
      <w:r>
        <w:t>ých</w:t>
      </w:r>
      <w:r w:rsidR="00691415" w:rsidRPr="00F962DB">
        <w:t xml:space="preserve"> projekt</w:t>
      </w:r>
      <w:r>
        <w:t>ů</w:t>
      </w:r>
      <w:r w:rsidR="00691415" w:rsidRPr="00F962DB">
        <w:t xml:space="preserve"> podporovan</w:t>
      </w:r>
      <w:r>
        <w:t>ých</w:t>
      </w:r>
      <w:r w:rsidR="00691415" w:rsidRPr="00F962DB">
        <w:t xml:space="preserve"> z veřejných prostředků z národních zdrojů, zdrojů EU a zahraničních zdrojů v hodnoceném období, jichž je pracoviště příjemcem </w:t>
      </w:r>
      <w:r>
        <w:t xml:space="preserve">nebo spolupříjemcem </w:t>
      </w:r>
    </w:p>
    <w:p w:rsidR="00691415" w:rsidRPr="00E2623F" w:rsidRDefault="00691415" w:rsidP="005B0DD0">
      <w:pPr>
        <w:pStyle w:val="Nadpis2"/>
        <w:ind w:left="709" w:hanging="709"/>
      </w:pPr>
      <w:bookmarkStart w:id="33" w:name="_Toc462064487"/>
      <w:r>
        <w:t>MODUL 5 – Strategie a koncepce</w:t>
      </w:r>
      <w:bookmarkEnd w:id="33"/>
    </w:p>
    <w:p w:rsidR="00691415" w:rsidRDefault="00691415" w:rsidP="00691415">
      <w:r>
        <w:rPr>
          <w:bCs/>
        </w:rPr>
        <w:t>Strategie a koncepce</w:t>
      </w:r>
      <w:r w:rsidRPr="00CA30DD">
        <w:rPr>
          <w:bCs/>
        </w:rPr>
        <w:t xml:space="preserve">: přiměřenost výzkumné strategie, </w:t>
      </w:r>
      <w:r w:rsidRPr="00CA30DD">
        <w:t>mise organizace (účel, strategické směřování), koncepce (kroky, jak byla mise naplňována), plnění koncepce, vize pro další období, vazba na plnění koncepce poskytovatele/zřizo</w:t>
      </w:r>
      <w:r>
        <w:t xml:space="preserve">vatele, případná vazba na plnění vyšších </w:t>
      </w:r>
      <w:r w:rsidRPr="00CA30DD">
        <w:t>strategických cílů a opatření vyplývající</w:t>
      </w:r>
      <w:r>
        <w:t>ch</w:t>
      </w:r>
      <w:r w:rsidRPr="00CA30DD">
        <w:t xml:space="preserve"> z platných dokumentů na národní a nadnárodní úrovni.</w:t>
      </w:r>
    </w:p>
    <w:p w:rsidR="00691415" w:rsidRPr="00F87057" w:rsidRDefault="00691415" w:rsidP="00691415">
      <w:pPr>
        <w:spacing w:after="0"/>
        <w:rPr>
          <w:b/>
        </w:rPr>
      </w:pPr>
      <w:r w:rsidRPr="00F87057">
        <w:rPr>
          <w:b/>
        </w:rPr>
        <w:t xml:space="preserve">Nástroje hodnocení </w:t>
      </w:r>
    </w:p>
    <w:p w:rsidR="00691415" w:rsidRPr="00F63C95" w:rsidRDefault="00691415" w:rsidP="00594F03">
      <w:pPr>
        <w:pStyle w:val="Odstavecseseznamem"/>
        <w:numPr>
          <w:ilvl w:val="0"/>
          <w:numId w:val="4"/>
        </w:numPr>
      </w:pPr>
      <w:r w:rsidRPr="00F63C95">
        <w:t xml:space="preserve">plnění koncepcí </w:t>
      </w:r>
      <w:r w:rsidR="00144E08" w:rsidRPr="00F63C95">
        <w:t>MŠMT</w:t>
      </w:r>
      <w:r w:rsidRPr="00F63C95">
        <w:t xml:space="preserve"> a hodnocení žádosti o poskytnutí dotace podle § 14 odst. 3 zákona č.</w:t>
      </w:r>
      <w:r w:rsidR="00144E08" w:rsidRPr="00F63C95">
        <w:t> </w:t>
      </w:r>
      <w:r w:rsidRPr="00F63C95">
        <w:t>218/2000 Sb.</w:t>
      </w:r>
    </w:p>
    <w:p w:rsidR="00691415" w:rsidRPr="00144E08" w:rsidRDefault="00691415" w:rsidP="00594F03">
      <w:pPr>
        <w:pStyle w:val="Odstavecseseznamem"/>
        <w:numPr>
          <w:ilvl w:val="0"/>
          <w:numId w:val="4"/>
        </w:numPr>
      </w:pPr>
      <w:r w:rsidRPr="00144E08">
        <w:t>hodnocení VŠ: sebeevaluační zpráva, rozsah a náležitosti třeba dopracovat též ve vazbě na další podobné dokumenty na VŠ zpracovávané, např. pro akreditační řízení apod.</w:t>
      </w:r>
    </w:p>
    <w:p w:rsidR="00691415" w:rsidRPr="00144E08" w:rsidRDefault="00691415" w:rsidP="00594F03">
      <w:pPr>
        <w:pStyle w:val="Odstavecseseznamem"/>
        <w:numPr>
          <w:ilvl w:val="0"/>
          <w:numId w:val="4"/>
        </w:numPr>
      </w:pPr>
      <w:r w:rsidRPr="00144E08">
        <w:t xml:space="preserve">průběžná kontrola, např. </w:t>
      </w:r>
      <w:r w:rsidR="00144E08">
        <w:t>střednědobé hodnocení</w:t>
      </w:r>
      <w:r w:rsidR="00144E08">
        <w:rPr>
          <w:rStyle w:val="Znakapoznpodarou"/>
        </w:rPr>
        <w:footnoteReference w:id="4"/>
      </w:r>
      <w:r w:rsidRPr="00144E08">
        <w:t>.</w:t>
      </w:r>
    </w:p>
    <w:p w:rsidR="00691415" w:rsidRDefault="00691415" w:rsidP="005B0DD0">
      <w:pPr>
        <w:pStyle w:val="Nadpis2"/>
        <w:ind w:left="709" w:hanging="709"/>
      </w:pPr>
      <w:bookmarkStart w:id="34" w:name="_Toc462064488"/>
      <w:r>
        <w:t>Obsah každoročního hodnocení výsledků pro segment vysokých škol</w:t>
      </w:r>
      <w:bookmarkEnd w:id="34"/>
    </w:p>
    <w:p w:rsidR="008D1B42" w:rsidRDefault="00691415" w:rsidP="00691415">
      <w:r>
        <w:t xml:space="preserve">Souběžně je diskutována problematika možného předřazení modulu M2 před M1 nebo jejich případného souběhu v prvním roce hodnocení, která se jeví pro jiné segmenty buď jako nadbytečná (AVČR výsledky nedávno ukončeného hodnocení i v tomto „modulu“ aktuálně disponuje), anebo jako neprůchodná (rezorty modul M2 jako každoroční základ pro hodnocení výsledků odmítají zejména vzhledem k jeho dominantnímu akcentu na bibliometrické ukazatele). I pro segment VŠ by ale jednoznačné předřazení modulu M2 před M1 přineslo jistá negativa, která je třeba si uvědomit, než padne konečné rozhodnutí. </w:t>
      </w:r>
      <w:r w:rsidR="008D1B42">
        <w:t>Třetí variantou je doplnění Modulu 1 pro vysoké školy o vybrané statistické ukazatele.</w:t>
      </w:r>
    </w:p>
    <w:p w:rsidR="00691415" w:rsidRDefault="00691415" w:rsidP="00691415">
      <w:r>
        <w:t xml:space="preserve">Pozitiva a negativa </w:t>
      </w:r>
      <w:r w:rsidR="008D1B42">
        <w:t xml:space="preserve"> prvních dvou </w:t>
      </w:r>
      <w:r>
        <w:t>variant shrnuje následující tabulka, která byla vypracována na vyžádání KHV na jednání ze dne 12. 9. 2016.</w:t>
      </w:r>
    </w:p>
    <w:p w:rsidR="008D1B42" w:rsidRDefault="008D1B42" w:rsidP="00691415">
      <w:pPr>
        <w:sectPr w:rsidR="008D1B42" w:rsidSect="00997F9C">
          <w:pgSz w:w="11906" w:h="16838" w:code="9"/>
          <w:pgMar w:top="1418" w:right="1418" w:bottom="1418" w:left="1418" w:header="510" w:footer="397" w:gutter="0"/>
          <w:cols w:space="708"/>
          <w:docGrid w:linePitch="299"/>
        </w:sectPr>
      </w:pPr>
    </w:p>
    <w:tbl>
      <w:tblPr>
        <w:tblStyle w:val="Mkatabulky"/>
        <w:tblW w:w="0" w:type="auto"/>
        <w:tblLook w:val="04A0" w:firstRow="1" w:lastRow="0" w:firstColumn="1" w:lastColumn="0" w:noHBand="0" w:noVBand="1"/>
      </w:tblPr>
      <w:tblGrid>
        <w:gridCol w:w="2228"/>
        <w:gridCol w:w="2978"/>
        <w:gridCol w:w="2979"/>
        <w:gridCol w:w="2978"/>
        <w:gridCol w:w="2979"/>
      </w:tblGrid>
      <w:tr w:rsidR="00691415" w:rsidTr="007F36A8">
        <w:tc>
          <w:tcPr>
            <w:tcW w:w="2228" w:type="dxa"/>
          </w:tcPr>
          <w:p w:rsidR="00691415" w:rsidRDefault="00691415" w:rsidP="007F36A8"/>
        </w:tc>
        <w:tc>
          <w:tcPr>
            <w:tcW w:w="5957" w:type="dxa"/>
            <w:gridSpan w:val="2"/>
          </w:tcPr>
          <w:p w:rsidR="00691415" w:rsidRPr="00823449" w:rsidRDefault="00691415" w:rsidP="007F36A8">
            <w:pPr>
              <w:jc w:val="center"/>
              <w:rPr>
                <w:b/>
                <w:sz w:val="28"/>
                <w:szCs w:val="28"/>
              </w:rPr>
            </w:pPr>
            <w:r w:rsidRPr="00823449">
              <w:rPr>
                <w:b/>
                <w:sz w:val="28"/>
                <w:szCs w:val="28"/>
              </w:rPr>
              <w:t>M1 Kvalita vybraných výsledků</w:t>
            </w:r>
          </w:p>
        </w:tc>
        <w:tc>
          <w:tcPr>
            <w:tcW w:w="5957" w:type="dxa"/>
            <w:gridSpan w:val="2"/>
          </w:tcPr>
          <w:p w:rsidR="00691415" w:rsidRPr="00823449" w:rsidRDefault="00691415" w:rsidP="007F36A8">
            <w:pPr>
              <w:jc w:val="center"/>
              <w:rPr>
                <w:b/>
                <w:sz w:val="28"/>
                <w:szCs w:val="28"/>
              </w:rPr>
            </w:pPr>
            <w:r w:rsidRPr="00823449">
              <w:rPr>
                <w:b/>
                <w:sz w:val="28"/>
                <w:szCs w:val="28"/>
              </w:rPr>
              <w:t>M2 Výkonnost výzkumu</w:t>
            </w:r>
          </w:p>
        </w:tc>
      </w:tr>
      <w:tr w:rsidR="00691415" w:rsidTr="007F36A8">
        <w:tc>
          <w:tcPr>
            <w:tcW w:w="2228" w:type="dxa"/>
            <w:shd w:val="clear" w:color="auto" w:fill="D9D9D9" w:themeFill="background1" w:themeFillShade="D9"/>
            <w:vAlign w:val="center"/>
          </w:tcPr>
          <w:p w:rsidR="00691415" w:rsidRDefault="00691415" w:rsidP="007F36A8">
            <w:r>
              <w:t>Obsahový rámec</w:t>
            </w:r>
          </w:p>
        </w:tc>
        <w:tc>
          <w:tcPr>
            <w:tcW w:w="5957" w:type="dxa"/>
            <w:gridSpan w:val="2"/>
            <w:shd w:val="clear" w:color="auto" w:fill="D9D9D9" w:themeFill="background1" w:themeFillShade="D9"/>
          </w:tcPr>
          <w:p w:rsidR="00691415" w:rsidRDefault="00691415" w:rsidP="007F36A8">
            <w:r>
              <w:t xml:space="preserve">Posouzení vybraného počtu výsledků pomocí kombinace nástrojů </w:t>
            </w:r>
            <w:r w:rsidRPr="00800AEC">
              <w:rPr>
                <w:i/>
              </w:rPr>
              <w:t>vzdálené recenz</w:t>
            </w:r>
            <w:r>
              <w:t xml:space="preserve">e a </w:t>
            </w:r>
            <w:r w:rsidRPr="00800AEC">
              <w:rPr>
                <w:i/>
              </w:rPr>
              <w:t>bibl</w:t>
            </w:r>
            <w:r>
              <w:rPr>
                <w:i/>
              </w:rPr>
              <w:t>i</w:t>
            </w:r>
            <w:r w:rsidRPr="00800AEC">
              <w:rPr>
                <w:i/>
              </w:rPr>
              <w:t>ometrie</w:t>
            </w:r>
            <w:r>
              <w:rPr>
                <w:i/>
              </w:rPr>
              <w:t>.</w:t>
            </w:r>
            <w:r>
              <w:t xml:space="preserve"> Výběr nástroje pro jednotlivé výstupy bude podle vlastního uvážení VO. Standardizace obou nástrojů bude zajištěna pomocí hodnotící škály s definovanými parametry. </w:t>
            </w:r>
          </w:p>
          <w:p w:rsidR="00691415" w:rsidRPr="00800AEC" w:rsidRDefault="00691415" w:rsidP="007F36A8"/>
        </w:tc>
        <w:tc>
          <w:tcPr>
            <w:tcW w:w="5957" w:type="dxa"/>
            <w:gridSpan w:val="2"/>
            <w:shd w:val="clear" w:color="auto" w:fill="D9D9D9" w:themeFill="background1" w:themeFillShade="D9"/>
          </w:tcPr>
          <w:p w:rsidR="00691415" w:rsidRDefault="00691415" w:rsidP="007F36A8">
            <w:r>
              <w:t>Kvantitativní charakteristiky výkonnosti VO zahrnují bibliometrii, množství jednotlivých druhů výsledků a jejich souvislosti s ekonomickými ukazateli (např. objem získaných prostředků, počty a skladba pracovníků apod).</w:t>
            </w:r>
          </w:p>
        </w:tc>
      </w:tr>
      <w:tr w:rsidR="00691415" w:rsidTr="007F36A8">
        <w:tc>
          <w:tcPr>
            <w:tcW w:w="2228" w:type="dxa"/>
            <w:vAlign w:val="center"/>
          </w:tcPr>
          <w:p w:rsidR="00691415" w:rsidRDefault="00691415" w:rsidP="007F36A8">
            <w:r>
              <w:t>Odhadované počty posuzovaných výsledků/způsob zpracování</w:t>
            </w:r>
          </w:p>
        </w:tc>
        <w:tc>
          <w:tcPr>
            <w:tcW w:w="5957" w:type="dxa"/>
            <w:gridSpan w:val="2"/>
          </w:tcPr>
          <w:p w:rsidR="00691415" w:rsidRDefault="00691415" w:rsidP="007F36A8">
            <w:r>
              <w:t>2 000 výstupů</w:t>
            </w:r>
          </w:p>
        </w:tc>
        <w:tc>
          <w:tcPr>
            <w:tcW w:w="5957" w:type="dxa"/>
            <w:gridSpan w:val="2"/>
          </w:tcPr>
          <w:p w:rsidR="00691415" w:rsidRDefault="00691415" w:rsidP="007F36A8">
            <w:r w:rsidRPr="0013621D">
              <w:t>Celkově 60  000 výstupů (</w:t>
            </w:r>
            <w:r>
              <w:t>cca 70% publikačních a 30% nepublikačních). V rámci publikačních výstupů cca</w:t>
            </w:r>
            <w:r w:rsidRPr="000209F0">
              <w:t xml:space="preserve"> 3</w:t>
            </w:r>
            <w:r>
              <w:t>5</w:t>
            </w:r>
            <w:r w:rsidRPr="000209F0">
              <w:t>%</w:t>
            </w:r>
            <w:r>
              <w:t xml:space="preserve"> v oborech SOCIAL a HUMANITIES.  </w:t>
            </w:r>
          </w:p>
        </w:tc>
      </w:tr>
      <w:tr w:rsidR="00691415" w:rsidTr="007F36A8">
        <w:tc>
          <w:tcPr>
            <w:tcW w:w="2228" w:type="dxa"/>
            <w:shd w:val="clear" w:color="auto" w:fill="D9D9D9" w:themeFill="background1" w:themeFillShade="D9"/>
            <w:vAlign w:val="center"/>
          </w:tcPr>
          <w:p w:rsidR="00691415" w:rsidRDefault="00691415" w:rsidP="007F36A8">
            <w:r>
              <w:t>Odhadovaná potřeba procesního zajištění</w:t>
            </w:r>
          </w:p>
        </w:tc>
        <w:tc>
          <w:tcPr>
            <w:tcW w:w="5957" w:type="dxa"/>
            <w:gridSpan w:val="2"/>
            <w:shd w:val="clear" w:color="auto" w:fill="D9D9D9" w:themeFill="background1" w:themeFillShade="D9"/>
          </w:tcPr>
          <w:p w:rsidR="00691415" w:rsidRDefault="00691415" w:rsidP="007F36A8">
            <w:r>
              <w:t>Odborná část:</w:t>
            </w:r>
          </w:p>
          <w:p w:rsidR="00691415" w:rsidRDefault="00691415" w:rsidP="007F36A8">
            <w:r>
              <w:t xml:space="preserve">30 osob (24 oborů a 6 oborových skupin OECD).  </w:t>
            </w:r>
          </w:p>
          <w:p w:rsidR="00691415" w:rsidRDefault="00691415" w:rsidP="007F36A8"/>
          <w:p w:rsidR="00691415" w:rsidRDefault="00691415" w:rsidP="007F36A8">
            <w:r>
              <w:t>Bibliometrické ukazatele – strojové zpracování, vyhodnocení ve spolupráci s panelisty zastupujícími jednotlivé obory.</w:t>
            </w:r>
          </w:p>
          <w:p w:rsidR="00691415" w:rsidRDefault="00691415" w:rsidP="007F36A8"/>
          <w:p w:rsidR="00691415" w:rsidRDefault="00691415" w:rsidP="007F36A8">
            <w:r>
              <w:t>Databáze vzdálených recenzentů – angažováni ad hoc pro vypracování posudků a škálování výsledků, pokud nebyly přihlášeny do hodnocení NÁSTROJEM bibliometrické analýzy. Pokud by se podařilo navýšit počet aplikovaných výsledků a dalších výsledků, kde bibliometrie selhává, alespoň na 50%, jednalo by se o posouzení řádově 1000 výsledků, tj. 100 ad hoc hodnotitelů (při dodržení maximálních hodnotících standardů podle AVČR, kde v průměru na 1 hodnotitele připadlo 10 výsledků).</w:t>
            </w:r>
          </w:p>
          <w:p w:rsidR="00691415" w:rsidRDefault="00691415" w:rsidP="007F36A8"/>
          <w:p w:rsidR="00691415" w:rsidRDefault="00691415" w:rsidP="007F36A8">
            <w:r>
              <w:t>Srovnání: Pilíř II 2014 70% všech posuzovaných výsledků současně ve WoS; Subpilíř I cca 200 posuzovatelů škálovalo 12 000 výsledků (60 ks na jednoho), UVL angažoval do aktivního stavu (dohody o pracovní činnosti, resp. členové poradních orgánů) cca 400 osob/ rok.</w:t>
            </w:r>
          </w:p>
        </w:tc>
        <w:tc>
          <w:tcPr>
            <w:tcW w:w="5957" w:type="dxa"/>
            <w:gridSpan w:val="2"/>
            <w:shd w:val="clear" w:color="auto" w:fill="D9D9D9" w:themeFill="background1" w:themeFillShade="D9"/>
          </w:tcPr>
          <w:p w:rsidR="00691415" w:rsidRDefault="00691415" w:rsidP="007F36A8">
            <w:r>
              <w:t>Odborná část:</w:t>
            </w:r>
          </w:p>
          <w:p w:rsidR="00691415" w:rsidRDefault="00691415" w:rsidP="007F36A8">
            <w:r>
              <w:t xml:space="preserve">Zpracovatelé (strojové zpracování) a posuzovatelé statistických podkladů. Na úrovni panelistů minimálně stejně personálně náročné jako M1. </w:t>
            </w:r>
          </w:p>
        </w:tc>
      </w:tr>
      <w:tr w:rsidR="00691415" w:rsidTr="007F36A8">
        <w:trPr>
          <w:trHeight w:val="144"/>
        </w:trPr>
        <w:tc>
          <w:tcPr>
            <w:tcW w:w="2228" w:type="dxa"/>
            <w:vMerge w:val="restart"/>
            <w:vAlign w:val="center"/>
          </w:tcPr>
          <w:p w:rsidR="00691415" w:rsidRDefault="00691415" w:rsidP="007F36A8">
            <w:r>
              <w:lastRenderedPageBreak/>
              <w:t>Organizační náročnost</w:t>
            </w:r>
          </w:p>
        </w:tc>
        <w:tc>
          <w:tcPr>
            <w:tcW w:w="2978" w:type="dxa"/>
          </w:tcPr>
          <w:p w:rsidR="00691415" w:rsidRPr="00823449" w:rsidRDefault="00691415" w:rsidP="007F36A8">
            <w:pPr>
              <w:jc w:val="center"/>
              <w:rPr>
                <w:b/>
              </w:rPr>
            </w:pPr>
            <w:r w:rsidRPr="00823449">
              <w:rPr>
                <w:b/>
              </w:rPr>
              <w:t>Pro</w:t>
            </w:r>
          </w:p>
        </w:tc>
        <w:tc>
          <w:tcPr>
            <w:tcW w:w="2979" w:type="dxa"/>
          </w:tcPr>
          <w:p w:rsidR="00691415" w:rsidRPr="00823449" w:rsidRDefault="00691415" w:rsidP="007F36A8">
            <w:pPr>
              <w:jc w:val="center"/>
              <w:rPr>
                <w:b/>
              </w:rPr>
            </w:pPr>
            <w:r w:rsidRPr="00823449">
              <w:rPr>
                <w:b/>
              </w:rPr>
              <w:t>Proti</w:t>
            </w:r>
          </w:p>
        </w:tc>
        <w:tc>
          <w:tcPr>
            <w:tcW w:w="2978" w:type="dxa"/>
          </w:tcPr>
          <w:p w:rsidR="00691415" w:rsidRPr="00823449" w:rsidRDefault="00691415" w:rsidP="007F36A8">
            <w:pPr>
              <w:jc w:val="center"/>
              <w:rPr>
                <w:b/>
              </w:rPr>
            </w:pPr>
            <w:r w:rsidRPr="00823449">
              <w:rPr>
                <w:b/>
              </w:rPr>
              <w:t>Pro</w:t>
            </w:r>
          </w:p>
        </w:tc>
        <w:tc>
          <w:tcPr>
            <w:tcW w:w="2979" w:type="dxa"/>
          </w:tcPr>
          <w:p w:rsidR="00691415" w:rsidRPr="00823449" w:rsidRDefault="00691415" w:rsidP="007F36A8">
            <w:pPr>
              <w:jc w:val="center"/>
              <w:rPr>
                <w:b/>
              </w:rPr>
            </w:pPr>
            <w:r w:rsidRPr="00823449">
              <w:rPr>
                <w:b/>
              </w:rPr>
              <w:t>Proti</w:t>
            </w:r>
          </w:p>
        </w:tc>
      </w:tr>
      <w:tr w:rsidR="00691415" w:rsidTr="007F36A8">
        <w:trPr>
          <w:trHeight w:val="144"/>
        </w:trPr>
        <w:tc>
          <w:tcPr>
            <w:tcW w:w="2228" w:type="dxa"/>
            <w:vMerge/>
            <w:vAlign w:val="center"/>
          </w:tcPr>
          <w:p w:rsidR="00691415" w:rsidRDefault="00691415" w:rsidP="007F36A8"/>
        </w:tc>
        <w:tc>
          <w:tcPr>
            <w:tcW w:w="2978" w:type="dxa"/>
          </w:tcPr>
          <w:p w:rsidR="00691415" w:rsidRDefault="00691415" w:rsidP="007F36A8">
            <w:r>
              <w:t xml:space="preserve">V současnosti je organizován systém hodnocení pomocí posuzovatelů OVHP, resp. EP, který je mnohem náročnější: </w:t>
            </w:r>
          </w:p>
          <w:p w:rsidR="00691415" w:rsidRDefault="00691415" w:rsidP="007F36A8">
            <w:r w:rsidRPr="009C4BD9">
              <w:t>Cca 200 expertů</w:t>
            </w:r>
            <w:r>
              <w:t xml:space="preserve"> zajišťující posouzení cca 12 000 výsledků v subpilíři I. Cca 200 expertů zajišťujících posouzení cca 1500 výsledků v pilíři II.  </w:t>
            </w:r>
          </w:p>
        </w:tc>
        <w:tc>
          <w:tcPr>
            <w:tcW w:w="2979" w:type="dxa"/>
          </w:tcPr>
          <w:p w:rsidR="00691415" w:rsidRDefault="00691415" w:rsidP="007F36A8">
            <w:r>
              <w:t>Větší organizační náročnost než u M2.</w:t>
            </w:r>
          </w:p>
          <w:p w:rsidR="00691415" w:rsidRDefault="00691415" w:rsidP="007F36A8"/>
          <w:p w:rsidR="00691415" w:rsidRDefault="00691415" w:rsidP="007F36A8">
            <w:r>
              <w:t xml:space="preserve">Větší organizační náročnost oproti M2 spočívá pouze v zajištění recenzentů a v organizování distribuce výstupů a sběru posudků. </w:t>
            </w:r>
          </w:p>
        </w:tc>
        <w:tc>
          <w:tcPr>
            <w:tcW w:w="2978" w:type="dxa"/>
          </w:tcPr>
          <w:p w:rsidR="00691415" w:rsidRDefault="00691415" w:rsidP="007F36A8">
            <w:r>
              <w:t>Menší než u M1, kde navíc databáze potenciálních vzdálených recenzentů/hodnotitelů</w:t>
            </w:r>
          </w:p>
        </w:tc>
        <w:tc>
          <w:tcPr>
            <w:tcW w:w="2979" w:type="dxa"/>
          </w:tcPr>
          <w:p w:rsidR="00691415" w:rsidRDefault="00691415" w:rsidP="007F36A8">
            <w:r>
              <w:t>Stejně jako u M1 musí dojít k vybudování oborových panelů pro expertní komentování statistik.</w:t>
            </w:r>
          </w:p>
          <w:p w:rsidR="00691415" w:rsidRDefault="00691415" w:rsidP="007F36A8"/>
          <w:p w:rsidR="00691415" w:rsidRDefault="00691415" w:rsidP="007F36A8"/>
        </w:tc>
      </w:tr>
      <w:tr w:rsidR="00691415" w:rsidTr="007F36A8">
        <w:trPr>
          <w:trHeight w:val="144"/>
        </w:trPr>
        <w:tc>
          <w:tcPr>
            <w:tcW w:w="2228" w:type="dxa"/>
            <w:vMerge w:val="restart"/>
            <w:shd w:val="clear" w:color="auto" w:fill="D9D9D9" w:themeFill="background1" w:themeFillShade="D9"/>
            <w:vAlign w:val="center"/>
          </w:tcPr>
          <w:p w:rsidR="00691415" w:rsidRDefault="00691415" w:rsidP="007F36A8">
            <w:r>
              <w:t>Legitimita</w:t>
            </w:r>
          </w:p>
        </w:tc>
        <w:tc>
          <w:tcPr>
            <w:tcW w:w="2978" w:type="dxa"/>
            <w:shd w:val="clear" w:color="auto" w:fill="D9D9D9" w:themeFill="background1" w:themeFillShade="D9"/>
          </w:tcPr>
          <w:p w:rsidR="00691415" w:rsidRPr="00823449" w:rsidRDefault="00691415" w:rsidP="007F36A8">
            <w:pPr>
              <w:jc w:val="center"/>
              <w:rPr>
                <w:b/>
              </w:rPr>
            </w:pPr>
            <w:r w:rsidRPr="00823449">
              <w:rPr>
                <w:b/>
              </w:rPr>
              <w:t>Pro</w:t>
            </w:r>
          </w:p>
        </w:tc>
        <w:tc>
          <w:tcPr>
            <w:tcW w:w="2979" w:type="dxa"/>
            <w:shd w:val="clear" w:color="auto" w:fill="D9D9D9" w:themeFill="background1" w:themeFillShade="D9"/>
          </w:tcPr>
          <w:p w:rsidR="00691415" w:rsidRPr="00823449" w:rsidRDefault="00691415" w:rsidP="007F36A8">
            <w:pPr>
              <w:jc w:val="center"/>
              <w:rPr>
                <w:b/>
              </w:rPr>
            </w:pPr>
            <w:r w:rsidRPr="00823449">
              <w:rPr>
                <w:b/>
              </w:rPr>
              <w:t>Proti</w:t>
            </w:r>
          </w:p>
        </w:tc>
        <w:tc>
          <w:tcPr>
            <w:tcW w:w="2978" w:type="dxa"/>
            <w:shd w:val="clear" w:color="auto" w:fill="D9D9D9" w:themeFill="background1" w:themeFillShade="D9"/>
          </w:tcPr>
          <w:p w:rsidR="00691415" w:rsidRPr="00823449" w:rsidRDefault="00691415" w:rsidP="007F36A8">
            <w:pPr>
              <w:jc w:val="center"/>
              <w:rPr>
                <w:b/>
              </w:rPr>
            </w:pPr>
            <w:r w:rsidRPr="00823449">
              <w:rPr>
                <w:b/>
              </w:rPr>
              <w:t>Pro</w:t>
            </w:r>
          </w:p>
        </w:tc>
        <w:tc>
          <w:tcPr>
            <w:tcW w:w="2979" w:type="dxa"/>
            <w:shd w:val="clear" w:color="auto" w:fill="D9D9D9" w:themeFill="background1" w:themeFillShade="D9"/>
          </w:tcPr>
          <w:p w:rsidR="00691415" w:rsidRPr="00823449" w:rsidRDefault="00691415" w:rsidP="007F36A8">
            <w:pPr>
              <w:jc w:val="center"/>
              <w:rPr>
                <w:b/>
              </w:rPr>
            </w:pPr>
            <w:r w:rsidRPr="00823449">
              <w:rPr>
                <w:b/>
              </w:rPr>
              <w:t>Proti</w:t>
            </w:r>
          </w:p>
        </w:tc>
      </w:tr>
      <w:tr w:rsidR="00691415" w:rsidTr="007F36A8">
        <w:trPr>
          <w:trHeight w:val="144"/>
        </w:trPr>
        <w:tc>
          <w:tcPr>
            <w:tcW w:w="2228" w:type="dxa"/>
            <w:vMerge/>
            <w:shd w:val="clear" w:color="auto" w:fill="D9D9D9" w:themeFill="background1" w:themeFillShade="D9"/>
          </w:tcPr>
          <w:p w:rsidR="00691415" w:rsidRDefault="00691415" w:rsidP="007F36A8"/>
        </w:tc>
        <w:tc>
          <w:tcPr>
            <w:tcW w:w="2978" w:type="dxa"/>
            <w:shd w:val="clear" w:color="auto" w:fill="D9D9D9" w:themeFill="background1" w:themeFillShade="D9"/>
          </w:tcPr>
          <w:p w:rsidR="00691415" w:rsidRDefault="00691415" w:rsidP="007F36A8">
            <w:r w:rsidRPr="00A40778">
              <w:t>Posouzení nástroji, které jsou vhodné pro výsledky všech typů VO.</w:t>
            </w:r>
          </w:p>
          <w:p w:rsidR="00691415" w:rsidRDefault="00691415" w:rsidP="007F36A8"/>
          <w:p w:rsidR="00691415" w:rsidRDefault="00691415" w:rsidP="007F36A8"/>
        </w:tc>
        <w:tc>
          <w:tcPr>
            <w:tcW w:w="2979" w:type="dxa"/>
            <w:shd w:val="clear" w:color="auto" w:fill="D9D9D9" w:themeFill="background1" w:themeFillShade="D9"/>
          </w:tcPr>
          <w:p w:rsidR="00691415" w:rsidRDefault="00691415" w:rsidP="007F36A8">
            <w:r w:rsidRPr="002304FA">
              <w:t>Riziko správného provedení</w:t>
            </w:r>
            <w:r>
              <w:t>, které by bylo nenapadnutelné, zejména z hlediska kvality recenzentů.</w:t>
            </w:r>
          </w:p>
          <w:p w:rsidR="00691415" w:rsidRDefault="00691415" w:rsidP="007F36A8">
            <w:r>
              <w:t>ALE: riziko existuje i v současné době a nikdo jej vážně neřeší.</w:t>
            </w:r>
          </w:p>
          <w:p w:rsidR="00691415" w:rsidRDefault="00691415" w:rsidP="007F36A8"/>
          <w:p w:rsidR="00691415" w:rsidRDefault="00691415" w:rsidP="007F36A8">
            <w:r>
              <w:t xml:space="preserve">Menší robustnost – rozřazení organizací do klastrů v období před náběhem všech modulů (cca v letech 2017-2019), bude založeno na posouzení pouze </w:t>
            </w:r>
          </w:p>
          <w:p w:rsidR="00691415" w:rsidRDefault="00691415" w:rsidP="007F36A8">
            <w:r>
              <w:t>části výsledků nepředvídatelným způsobem (lidský faktor). U bibliometrie lze předpokládat, že instituce tuší, jak dopadnou.</w:t>
            </w:r>
          </w:p>
          <w:p w:rsidR="00691415" w:rsidRDefault="00691415" w:rsidP="007F36A8">
            <w:r>
              <w:t xml:space="preserve">ALE: V předloženém návrhu nic nebrání dané VO, aby své výsledky přihlásila do </w:t>
            </w:r>
            <w:r>
              <w:lastRenderedPageBreak/>
              <w:t xml:space="preserve">hodnocení pomocí nástroje </w:t>
            </w:r>
            <w:r w:rsidRPr="00D81C99">
              <w:rPr>
                <w:i/>
              </w:rPr>
              <w:t>bibliometrie</w:t>
            </w:r>
            <w:r>
              <w:t>.</w:t>
            </w:r>
          </w:p>
        </w:tc>
        <w:tc>
          <w:tcPr>
            <w:tcW w:w="2978" w:type="dxa"/>
            <w:shd w:val="clear" w:color="auto" w:fill="D9D9D9" w:themeFill="background1" w:themeFillShade="D9"/>
          </w:tcPr>
          <w:p w:rsidR="00691415" w:rsidRDefault="00691415" w:rsidP="007F36A8">
            <w:r>
              <w:lastRenderedPageBreak/>
              <w:t>Větší robustnost z hlediska zahrnutí většího objemu výsledků.</w:t>
            </w:r>
          </w:p>
          <w:p w:rsidR="00691415" w:rsidRDefault="00691415" w:rsidP="007F36A8"/>
          <w:p w:rsidR="00691415" w:rsidRDefault="00691415" w:rsidP="007F36A8">
            <w:r>
              <w:t>Větší předvídatelnost pro VO ve smyslu využití standardních nástrojů a omezení lidského faktoru.</w:t>
            </w:r>
          </w:p>
        </w:tc>
        <w:tc>
          <w:tcPr>
            <w:tcW w:w="2979" w:type="dxa"/>
            <w:shd w:val="clear" w:color="auto" w:fill="D9D9D9" w:themeFill="background1" w:themeFillShade="D9"/>
          </w:tcPr>
          <w:p w:rsidR="00691415" w:rsidRPr="007E1B90" w:rsidRDefault="00691415" w:rsidP="007F36A8">
            <w:pPr>
              <w:rPr>
                <w:b/>
              </w:rPr>
            </w:pPr>
            <w:r w:rsidRPr="007E1B90">
              <w:rPr>
                <w:b/>
              </w:rPr>
              <w:t>Nereflektuje nepoužitelnost bibliometrie pro:</w:t>
            </w:r>
          </w:p>
          <w:p w:rsidR="00691415" w:rsidRPr="007E1B90" w:rsidRDefault="00691415" w:rsidP="007F36A8">
            <w:pPr>
              <w:rPr>
                <w:b/>
              </w:rPr>
            </w:pPr>
          </w:p>
          <w:p w:rsidR="00691415" w:rsidRPr="007E1B90" w:rsidRDefault="00691415" w:rsidP="00594F03">
            <w:pPr>
              <w:pStyle w:val="Odstavecseseznamem"/>
              <w:numPr>
                <w:ilvl w:val="0"/>
                <w:numId w:val="11"/>
              </w:numPr>
              <w:rPr>
                <w:b/>
              </w:rPr>
            </w:pPr>
            <w:r w:rsidRPr="007E1B90">
              <w:rPr>
                <w:b/>
              </w:rPr>
              <w:t>výsledky aplikovaného VaVaI;</w:t>
            </w:r>
          </w:p>
          <w:p w:rsidR="00691415" w:rsidRPr="007E1B90" w:rsidRDefault="00691415" w:rsidP="00594F03">
            <w:pPr>
              <w:pStyle w:val="Odstavecseseznamem"/>
              <w:numPr>
                <w:ilvl w:val="0"/>
                <w:numId w:val="11"/>
              </w:numPr>
              <w:rPr>
                <w:b/>
              </w:rPr>
            </w:pPr>
            <w:r w:rsidRPr="007E1B90">
              <w:rPr>
                <w:b/>
              </w:rPr>
              <w:t>výsledky naplňující společenské potřeby a vznikající na společenskou objednávku</w:t>
            </w:r>
          </w:p>
          <w:p w:rsidR="00691415" w:rsidRPr="007E1B90" w:rsidRDefault="00691415" w:rsidP="00594F03">
            <w:pPr>
              <w:pStyle w:val="Odstavecseseznamem"/>
              <w:numPr>
                <w:ilvl w:val="0"/>
                <w:numId w:val="11"/>
              </w:numPr>
              <w:rPr>
                <w:b/>
              </w:rPr>
            </w:pPr>
            <w:r w:rsidRPr="007E1B90">
              <w:rPr>
                <w:b/>
              </w:rPr>
              <w:t xml:space="preserve">pro významnou část oborových skupin SOCIAL a HUMANITIES. </w:t>
            </w:r>
          </w:p>
          <w:p w:rsidR="00691415" w:rsidRPr="007E1B90" w:rsidRDefault="00691415" w:rsidP="007F36A8">
            <w:pPr>
              <w:ind w:left="36"/>
              <w:rPr>
                <w:b/>
              </w:rPr>
            </w:pPr>
          </w:p>
          <w:p w:rsidR="00691415" w:rsidRDefault="00691415" w:rsidP="007F36A8">
            <w:pPr>
              <w:ind w:left="36"/>
            </w:pPr>
            <w:r>
              <w:t>Z toho plyne delegitimizace hodnocení pro segment rezortů ale i pro část vysokých škol, neboť zastoupení „bibliometrických oborů“ není na všech VŠ proporčně stejné.</w:t>
            </w:r>
          </w:p>
          <w:p w:rsidR="00691415" w:rsidRDefault="00691415" w:rsidP="007F36A8">
            <w:pPr>
              <w:ind w:left="36"/>
            </w:pPr>
          </w:p>
          <w:p w:rsidR="00691415" w:rsidRDefault="00691415" w:rsidP="007F36A8">
            <w:pPr>
              <w:ind w:left="36"/>
            </w:pPr>
            <w:r>
              <w:t xml:space="preserve">Pokud se tento problém bude </w:t>
            </w:r>
            <w:r>
              <w:lastRenderedPageBreak/>
              <w:t>řešit vytvořením specifické metodiky pro resorty, není vyřešena zejména námitka c. Dále dojde k fragmentaci systému hodnocení, což v důsledku znamená:</w:t>
            </w:r>
          </w:p>
          <w:p w:rsidR="00691415" w:rsidRDefault="00691415" w:rsidP="00594F03">
            <w:pPr>
              <w:pStyle w:val="Odstavecseseznamem"/>
              <w:numPr>
                <w:ilvl w:val="0"/>
                <w:numId w:val="12"/>
              </w:numPr>
            </w:pPr>
            <w:r>
              <w:t>nárůst komplexity, tj. nabobtnání organizačních struktur, v důsledku dojde k popření výhod menší organizační náročnosti;</w:t>
            </w:r>
          </w:p>
          <w:p w:rsidR="00691415" w:rsidRDefault="00691415" w:rsidP="00594F03">
            <w:pPr>
              <w:pStyle w:val="Odstavecseseznamem"/>
              <w:numPr>
                <w:ilvl w:val="0"/>
                <w:numId w:val="12"/>
              </w:numPr>
            </w:pPr>
            <w:r>
              <w:t>obtížná porovnatelnost mezi jednotlivými segmenty plynoucí z rozdílných metodik;</w:t>
            </w:r>
          </w:p>
          <w:p w:rsidR="00691415" w:rsidRDefault="00691415" w:rsidP="00594F03">
            <w:pPr>
              <w:pStyle w:val="Odstavecseseznamem"/>
              <w:numPr>
                <w:ilvl w:val="0"/>
                <w:numId w:val="12"/>
              </w:numPr>
            </w:pPr>
            <w:r>
              <w:t xml:space="preserve">snížení tlaku na posouzení výsledků v segmentu rezortů i z hlediska odbornosti a excelence. </w:t>
            </w:r>
          </w:p>
        </w:tc>
      </w:tr>
    </w:tbl>
    <w:p w:rsidR="00691415" w:rsidRDefault="00691415" w:rsidP="00691415"/>
    <w:p w:rsidR="007F36A8" w:rsidRDefault="007F36A8">
      <w:r>
        <w:br w:type="page"/>
      </w:r>
    </w:p>
    <w:p w:rsidR="00691415" w:rsidRDefault="00CC39F2" w:rsidP="00F90919">
      <w:r>
        <w:rPr>
          <w:b/>
          <w:noProof/>
        </w:rPr>
        <w:lastRenderedPageBreak/>
        <mc:AlternateContent>
          <mc:Choice Requires="wps">
            <w:drawing>
              <wp:anchor distT="0" distB="0" distL="114300" distR="114300" simplePos="0" relativeHeight="251683840" behindDoc="0" locked="0" layoutInCell="1" allowOverlap="1" wp14:anchorId="476D9B49" wp14:editId="52EB2C9D">
                <wp:simplePos x="0" y="0"/>
                <wp:positionH relativeFrom="column">
                  <wp:posOffset>2723515</wp:posOffset>
                </wp:positionH>
                <wp:positionV relativeFrom="paragraph">
                  <wp:posOffset>212725</wp:posOffset>
                </wp:positionV>
                <wp:extent cx="1035050" cy="3743960"/>
                <wp:effectExtent l="0" t="0" r="12700" b="27940"/>
                <wp:wrapNone/>
                <wp:docPr id="4" name="Zaoblený 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5050" cy="3743960"/>
                        </a:xfrm>
                        <a:prstGeom prst="round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Zaoblený obdélník 4" o:spid="_x0000_s1026" style="position:absolute;margin-left:214.45pt;margin-top:16.75pt;width:81.5pt;height:294.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yS6uwIAALgFAAAOAAAAZHJzL2Uyb0RvYy54bWysVEtP3DAQvlfqf7B8L0mWXR4RWbQCUVVa&#10;AQIqpN68jk0iHI9re1/9Rxz6E3rij3XsPFgo6qFqDpYnM/ONv3mdnG4aRVbCuhp0QbO9lBKhOZS1&#10;fijo17uLT0eUOM90yRRoUdCtcPR0+vHDydrkYgQVqFJYgiDa5WtT0Mp7kyeJ45VomNsDIzQqJdiG&#10;eRTtQ1Jatkb0RiWjND1I1mBLY4EL5/Dveauk04gvpeD+SkonPFEFxbf5eNp4LsKZTE9Y/mCZqWre&#10;PYP9wysaVmsMOkCdM8/I0tZ/QDU1t+BA+j0OTQJS1lxEDsgmS9+wua2YEZELJseZIU3u/8Hyy9W1&#10;JXVZ0DElmjVYom8MFkro518EFuXzk9LPPx/JOGRqbVyODrfm2gauzsyBPzpUJK80QXCdzUbaJtgi&#10;U7KJad8OaRcbTzj+zNL9STrB6nDU7R+O948PYmESlvfuxjr/WUBDwqWgFpa6vMHixpyz1dz58AqW&#10;93YhpIaLWqlYYKXJGuNMjg4n0cOBqsugjTRCr4kzZcmKYZf4TRa4ItiOFUpKdzxbapGk3yoRIJS+&#10;ERKziGRGbYDXmIxzoX3WqipWijbUJMWvD9Z7xNARMCBLfOSA3QH0li1Ij92+ubMPriK2/+Cc/u1h&#10;rfPgESOD9oNzU2uw7wEoZNVFbu37JLWpCVlaQLnFHrPQDp8z/KLGKs6Z89fM4rRh5XGD+Cs8pAIs&#10;FHQ3SiqwP977H+xxCFBLyRqnt6Du+5JZQYn6onE8jrPxOIx7FMaTwxEKdlez2NXoZXMGWPoMd5Xh&#10;8Rrsveqv0kJzj4tmFqKiimmOsQvKve2FM99uFVxVXMxm0QxH3DA/17eGB/CQ1dCgd5t7Zk3Xyh6n&#10;4BL6SWf5m2ZubYOnhtnSg6xjp7/ktcs3rofYON0qC/tnV45WLwt3+hsAAP//AwBQSwMEFAAGAAgA&#10;AAAhANYjwIzfAAAACgEAAA8AAABkcnMvZG93bnJldi54bWxMj8tOwzAQRfdI/IM1SOyok5hWaYhT&#10;FQQbdhQksnTiaRzVj8h20/D3mBVdzszRnXPr3WI0mdGH0VkO+SoDgrZ3crQDh6/Pt4cSSIjCSqGd&#10;RQ4/GGDX3N7UopLuYj9wPsSBpBAbKsFBxThVlIZeoRFh5Sa06XZ03oiYRj9Q6cUlhRtNiyzbUCNG&#10;mz4oMeGLwv50OBsOezQLndu29cO70vNrx55L9s35/d2yfwIScYn/MPzpJ3VoklPnzlYGojk8FuU2&#10;oRwYWwNJwHqbp0XHYVOwHGhT0+sKzS8AAAD//wMAUEsBAi0AFAAGAAgAAAAhALaDOJL+AAAA4QEA&#10;ABMAAAAAAAAAAAAAAAAAAAAAAFtDb250ZW50X1R5cGVzXS54bWxQSwECLQAUAAYACAAAACEAOP0h&#10;/9YAAACUAQAACwAAAAAAAAAAAAAAAAAvAQAAX3JlbHMvLnJlbHNQSwECLQAUAAYACAAAACEAzSMk&#10;ursCAAC4BQAADgAAAAAAAAAAAAAAAAAuAgAAZHJzL2Uyb0RvYy54bWxQSwECLQAUAAYACAAAACEA&#10;1iPAjN8AAAAKAQAADwAAAAAAAAAAAAAAAAAVBQAAZHJzL2Rvd25yZXYueG1sUEsFBgAAAAAEAAQA&#10;8wAAACEGAAAAAA==&#10;" filled="f" strokecolor="black [3213]" strokeweight="1.25pt">
                <v:path arrowok="t"/>
              </v:roundrect>
            </w:pict>
          </mc:Fallback>
        </mc:AlternateContent>
      </w:r>
      <w:r w:rsidR="00570864">
        <w:rPr>
          <w:b/>
        </w:rPr>
        <w:t xml:space="preserve">Schéma 3: </w:t>
      </w:r>
      <w:r w:rsidR="00691415" w:rsidRPr="00F90919">
        <w:t>Harmonogram – VŠ</w:t>
      </w:r>
    </w:p>
    <w:tbl>
      <w:tblPr>
        <w:tblStyle w:val="Mkatabulky"/>
        <w:tblW w:w="14639" w:type="dxa"/>
        <w:jc w:val="center"/>
        <w:tblCellMar>
          <w:left w:w="57" w:type="dxa"/>
          <w:right w:w="57" w:type="dxa"/>
        </w:tblCellMar>
        <w:tblLook w:val="04A0" w:firstRow="1" w:lastRow="0" w:firstColumn="1" w:lastColumn="0" w:noHBand="0" w:noVBand="1"/>
      </w:tblPr>
      <w:tblGrid>
        <w:gridCol w:w="464"/>
        <w:gridCol w:w="1415"/>
        <w:gridCol w:w="1416"/>
        <w:gridCol w:w="1418"/>
        <w:gridCol w:w="1418"/>
        <w:gridCol w:w="1418"/>
        <w:gridCol w:w="1417"/>
        <w:gridCol w:w="1418"/>
        <w:gridCol w:w="1418"/>
        <w:gridCol w:w="1417"/>
        <w:gridCol w:w="1420"/>
      </w:tblGrid>
      <w:tr w:rsidR="00691415" w:rsidTr="007F36A8">
        <w:trPr>
          <w:trHeight w:val="347"/>
          <w:jc w:val="center"/>
        </w:trPr>
        <w:tc>
          <w:tcPr>
            <w:tcW w:w="464" w:type="dxa"/>
            <w:tcBorders>
              <w:top w:val="nil"/>
              <w:left w:val="nil"/>
              <w:bottom w:val="nil"/>
              <w:right w:val="single" w:sz="18" w:space="0" w:color="8DB3E2" w:themeColor="text2" w:themeTint="66"/>
            </w:tcBorders>
            <w:shd w:val="clear" w:color="auto" w:fill="FFFFFF" w:themeFill="background1"/>
          </w:tcPr>
          <w:p w:rsidR="00691415" w:rsidRPr="005F24D6" w:rsidRDefault="00691415" w:rsidP="007F36A8">
            <w:pPr>
              <w:jc w:val="center"/>
              <w:rPr>
                <w:b/>
                <w:color w:val="FFFFFF" w:themeColor="background1"/>
              </w:rPr>
            </w:pPr>
          </w:p>
        </w:tc>
        <w:tc>
          <w:tcPr>
            <w:tcW w:w="1415"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2017</w:t>
            </w:r>
          </w:p>
        </w:tc>
        <w:tc>
          <w:tcPr>
            <w:tcW w:w="1416"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2018</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2019</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2020</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2021</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2022</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2023</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2024</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sidRPr="005F24D6">
              <w:rPr>
                <w:b/>
                <w:color w:val="FFFFFF" w:themeColor="background1"/>
              </w:rPr>
              <w:t>2025</w:t>
            </w: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691415" w:rsidRPr="005F24D6" w:rsidRDefault="00691415" w:rsidP="007F36A8">
            <w:pPr>
              <w:jc w:val="center"/>
              <w:rPr>
                <w:b/>
                <w:color w:val="FFFFFF" w:themeColor="background1"/>
              </w:rPr>
            </w:pPr>
            <w:r>
              <w:rPr>
                <w:b/>
                <w:color w:val="FFFFFF" w:themeColor="background1"/>
              </w:rPr>
              <w:t>2026</w:t>
            </w:r>
          </w:p>
        </w:tc>
      </w:tr>
      <w:tr w:rsidR="00691415" w:rsidTr="007F36A8">
        <w:trPr>
          <w:trHeight w:val="126"/>
          <w:jc w:val="center"/>
        </w:trPr>
        <w:tc>
          <w:tcPr>
            <w:tcW w:w="464" w:type="dxa"/>
            <w:vMerge w:val="restart"/>
            <w:tcBorders>
              <w:top w:val="nil"/>
              <w:left w:val="nil"/>
              <w:bottom w:val="single" w:sz="18" w:space="0" w:color="8DB3E2" w:themeColor="text2" w:themeTint="66"/>
              <w:right w:val="nil"/>
            </w:tcBorders>
            <w:textDirection w:val="btLr"/>
          </w:tcPr>
          <w:p w:rsidR="00691415" w:rsidRPr="001D538F" w:rsidRDefault="00691415" w:rsidP="007F36A8">
            <w:pPr>
              <w:ind w:left="113" w:right="113"/>
              <w:jc w:val="center"/>
              <w:rPr>
                <w:sz w:val="18"/>
                <w:szCs w:val="18"/>
              </w:rPr>
            </w:pPr>
          </w:p>
        </w:tc>
        <w:tc>
          <w:tcPr>
            <w:tcW w:w="14175" w:type="dxa"/>
            <w:gridSpan w:val="10"/>
            <w:tcBorders>
              <w:top w:val="single" w:sz="18" w:space="0" w:color="8DB3E2" w:themeColor="text2" w:themeTint="66"/>
              <w:left w:val="nil"/>
              <w:bottom w:val="nil"/>
              <w:right w:val="nil"/>
            </w:tcBorders>
            <w:vAlign w:val="center"/>
          </w:tcPr>
          <w:p w:rsidR="00691415" w:rsidRPr="001D538F" w:rsidRDefault="00691415" w:rsidP="007F36A8">
            <w:pPr>
              <w:jc w:val="center"/>
              <w:rPr>
                <w:sz w:val="18"/>
                <w:szCs w:val="18"/>
              </w:rPr>
            </w:pPr>
          </w:p>
        </w:tc>
      </w:tr>
      <w:tr w:rsidR="00691415" w:rsidTr="007F36A8">
        <w:trPr>
          <w:cantSplit/>
          <w:trHeight w:val="731"/>
          <w:jc w:val="center"/>
        </w:trPr>
        <w:tc>
          <w:tcPr>
            <w:tcW w:w="464" w:type="dxa"/>
            <w:vMerge/>
            <w:tcBorders>
              <w:left w:val="nil"/>
              <w:bottom w:val="single" w:sz="18" w:space="0" w:color="8DB3E2" w:themeColor="text2" w:themeTint="66"/>
              <w:right w:val="single" w:sz="18" w:space="0" w:color="8DB3E2" w:themeColor="text2" w:themeTint="66"/>
            </w:tcBorders>
            <w:shd w:val="clear" w:color="auto" w:fill="DAEEF3" w:themeFill="accent5" w:themeFillTint="33"/>
            <w:textDirection w:val="btLr"/>
          </w:tcPr>
          <w:p w:rsidR="00691415" w:rsidRPr="006F26B8" w:rsidRDefault="00691415" w:rsidP="007F36A8">
            <w:pPr>
              <w:ind w:left="113" w:right="113"/>
              <w:jc w:val="center"/>
              <w:rPr>
                <w:sz w:val="18"/>
                <w:szCs w:val="18"/>
              </w:rPr>
            </w:pPr>
          </w:p>
        </w:tc>
        <w:tc>
          <w:tcPr>
            <w:tcW w:w="1415"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6"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691415" w:rsidRPr="006F26B8" w:rsidRDefault="00691415" w:rsidP="007F36A8">
            <w:pPr>
              <w:jc w:val="center"/>
              <w:rPr>
                <w:sz w:val="18"/>
                <w:szCs w:val="18"/>
              </w:rPr>
            </w:pPr>
            <w:r w:rsidRPr="006F26B8">
              <w:rPr>
                <w:sz w:val="18"/>
                <w:szCs w:val="18"/>
              </w:rPr>
              <w:t>M1</w:t>
            </w:r>
          </w:p>
          <w:p w:rsidR="00691415" w:rsidRDefault="00691415" w:rsidP="007F36A8">
            <w:pPr>
              <w:jc w:val="center"/>
            </w:pPr>
            <w:r w:rsidRPr="006F26B8">
              <w:rPr>
                <w:sz w:val="18"/>
                <w:szCs w:val="18"/>
              </w:rPr>
              <w:t>Kvalita vybraných výsledků</w:t>
            </w: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tcPr>
          <w:p w:rsidR="00691415" w:rsidRPr="006F26B8" w:rsidRDefault="00691415" w:rsidP="007F36A8">
            <w:pPr>
              <w:jc w:val="center"/>
              <w:rPr>
                <w:sz w:val="18"/>
                <w:szCs w:val="18"/>
              </w:rPr>
            </w:pPr>
            <w:r w:rsidRPr="006F26B8">
              <w:rPr>
                <w:sz w:val="18"/>
                <w:szCs w:val="18"/>
              </w:rPr>
              <w:t>M1</w:t>
            </w:r>
          </w:p>
          <w:p w:rsidR="00691415" w:rsidRPr="006F26B8" w:rsidRDefault="00691415" w:rsidP="007F36A8">
            <w:pPr>
              <w:jc w:val="center"/>
              <w:rPr>
                <w:sz w:val="18"/>
                <w:szCs w:val="18"/>
              </w:rPr>
            </w:pPr>
            <w:r w:rsidRPr="006F26B8">
              <w:rPr>
                <w:sz w:val="18"/>
                <w:szCs w:val="18"/>
              </w:rPr>
              <w:t>Kvalita vybraných výsledků</w:t>
            </w:r>
          </w:p>
        </w:tc>
      </w:tr>
      <w:tr w:rsidR="00691415" w:rsidTr="007F36A8">
        <w:trPr>
          <w:cantSplit/>
          <w:trHeight w:val="245"/>
          <w:jc w:val="center"/>
        </w:trPr>
        <w:tc>
          <w:tcPr>
            <w:tcW w:w="464" w:type="dxa"/>
            <w:vMerge/>
            <w:tcBorders>
              <w:left w:val="nil"/>
              <w:bottom w:val="nil"/>
              <w:right w:val="nil"/>
            </w:tcBorders>
            <w:shd w:val="clear" w:color="auto" w:fill="DAEEF3" w:themeFill="accent5" w:themeFillTint="33"/>
            <w:textDirection w:val="btLr"/>
          </w:tcPr>
          <w:p w:rsidR="00691415" w:rsidRPr="006F26B8" w:rsidRDefault="00691415" w:rsidP="007F36A8">
            <w:pPr>
              <w:ind w:left="113" w:right="113"/>
              <w:jc w:val="center"/>
              <w:rPr>
                <w:sz w:val="18"/>
                <w:szCs w:val="18"/>
              </w:rPr>
            </w:pPr>
          </w:p>
        </w:tc>
        <w:tc>
          <w:tcPr>
            <w:tcW w:w="14175" w:type="dxa"/>
            <w:gridSpan w:val="10"/>
            <w:vMerge w:val="restart"/>
            <w:tcBorders>
              <w:top w:val="single" w:sz="18" w:space="0" w:color="8DB3E2" w:themeColor="text2" w:themeTint="66"/>
              <w:left w:val="nil"/>
              <w:right w:val="nil"/>
            </w:tcBorders>
            <w:shd w:val="clear" w:color="auto" w:fill="auto"/>
            <w:vAlign w:val="center"/>
          </w:tcPr>
          <w:p w:rsidR="00691415" w:rsidRPr="00343B88" w:rsidRDefault="00691415" w:rsidP="007F36A8">
            <w:pPr>
              <w:jc w:val="center"/>
              <w:rPr>
                <w:sz w:val="10"/>
                <w:szCs w:val="10"/>
              </w:rPr>
            </w:pPr>
          </w:p>
        </w:tc>
      </w:tr>
      <w:tr w:rsidR="00691415" w:rsidTr="007F36A8">
        <w:trPr>
          <w:trHeight w:val="64"/>
          <w:jc w:val="center"/>
        </w:trPr>
        <w:tc>
          <w:tcPr>
            <w:tcW w:w="464" w:type="dxa"/>
            <w:tcBorders>
              <w:top w:val="nil"/>
              <w:left w:val="nil"/>
              <w:bottom w:val="nil"/>
              <w:right w:val="nil"/>
            </w:tcBorders>
          </w:tcPr>
          <w:p w:rsidR="00691415" w:rsidRPr="001D538F" w:rsidRDefault="00691415" w:rsidP="007F36A8">
            <w:pPr>
              <w:jc w:val="center"/>
              <w:rPr>
                <w:noProof/>
                <w:sz w:val="18"/>
                <w:szCs w:val="18"/>
              </w:rPr>
            </w:pPr>
          </w:p>
        </w:tc>
        <w:tc>
          <w:tcPr>
            <w:tcW w:w="14175" w:type="dxa"/>
            <w:gridSpan w:val="10"/>
            <w:vMerge/>
            <w:tcBorders>
              <w:left w:val="nil"/>
              <w:bottom w:val="nil"/>
              <w:right w:val="nil"/>
            </w:tcBorders>
            <w:vAlign w:val="center"/>
          </w:tcPr>
          <w:p w:rsidR="00691415" w:rsidRPr="001D538F" w:rsidRDefault="00691415" w:rsidP="007F36A8">
            <w:pPr>
              <w:jc w:val="center"/>
              <w:rPr>
                <w:b/>
                <w:sz w:val="18"/>
                <w:szCs w:val="18"/>
              </w:rPr>
            </w:pPr>
          </w:p>
        </w:tc>
      </w:tr>
      <w:tr w:rsidR="00691415" w:rsidTr="007F36A8">
        <w:trPr>
          <w:trHeight w:val="833"/>
          <w:jc w:val="center"/>
        </w:trPr>
        <w:tc>
          <w:tcPr>
            <w:tcW w:w="464" w:type="dxa"/>
            <w:vMerge w:val="restart"/>
            <w:tcBorders>
              <w:top w:val="nil"/>
              <w:left w:val="nil"/>
              <w:right w:val="nil"/>
            </w:tcBorders>
            <w:textDirection w:val="btLr"/>
          </w:tcPr>
          <w:p w:rsidR="00691415" w:rsidRPr="001D538F" w:rsidRDefault="00691415" w:rsidP="007F36A8">
            <w:pPr>
              <w:ind w:left="113" w:right="113"/>
              <w:jc w:val="center"/>
              <w:rPr>
                <w:noProof/>
                <w:sz w:val="18"/>
                <w:szCs w:val="18"/>
              </w:rPr>
            </w:pPr>
          </w:p>
        </w:tc>
        <w:tc>
          <w:tcPr>
            <w:tcW w:w="1415" w:type="dxa"/>
            <w:tcBorders>
              <w:top w:val="nil"/>
              <w:left w:val="nil"/>
              <w:bottom w:val="nil"/>
              <w:right w:val="single" w:sz="18" w:space="0" w:color="8DB3E2" w:themeColor="text2" w:themeTint="66"/>
            </w:tcBorders>
            <w:vAlign w:val="center"/>
          </w:tcPr>
          <w:p w:rsidR="00691415" w:rsidRPr="001D538F" w:rsidRDefault="00691415" w:rsidP="007F36A8">
            <w:pPr>
              <w:jc w:val="center"/>
              <w:rPr>
                <w:b/>
                <w:sz w:val="18"/>
                <w:szCs w:val="18"/>
              </w:rPr>
            </w:pPr>
          </w:p>
        </w:tc>
        <w:tc>
          <w:tcPr>
            <w:tcW w:w="1416"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vAlign w:val="center"/>
          </w:tcPr>
          <w:p w:rsidR="00691415" w:rsidRDefault="00691415" w:rsidP="007F36A8">
            <w:pPr>
              <w:jc w:val="center"/>
              <w:rPr>
                <w:sz w:val="18"/>
                <w:szCs w:val="18"/>
              </w:rPr>
            </w:pPr>
            <w:r>
              <w:rPr>
                <w:sz w:val="18"/>
                <w:szCs w:val="18"/>
              </w:rPr>
              <w:t>M2</w:t>
            </w:r>
          </w:p>
          <w:p w:rsidR="00691415" w:rsidRPr="001D538F" w:rsidRDefault="00CC39F2" w:rsidP="007F36A8">
            <w:pPr>
              <w:jc w:val="center"/>
              <w:rPr>
                <w:b/>
                <w:sz w:val="18"/>
                <w:szCs w:val="18"/>
              </w:rPr>
            </w:pPr>
            <w:r>
              <w:rPr>
                <w:noProof/>
                <w:sz w:val="18"/>
                <w:szCs w:val="18"/>
              </w:rPr>
              <mc:AlternateContent>
                <mc:Choice Requires="wps">
                  <w:drawing>
                    <wp:anchor distT="4294967295" distB="4294967295" distL="114300" distR="114300" simplePos="0" relativeHeight="251684864" behindDoc="0" locked="0" layoutInCell="1" allowOverlap="1" wp14:anchorId="5FBBF01B" wp14:editId="47F72E13">
                      <wp:simplePos x="0" y="0"/>
                      <wp:positionH relativeFrom="column">
                        <wp:posOffset>845820</wp:posOffset>
                      </wp:positionH>
                      <wp:positionV relativeFrom="paragraph">
                        <wp:posOffset>65404</wp:posOffset>
                      </wp:positionV>
                      <wp:extent cx="1052195" cy="0"/>
                      <wp:effectExtent l="0" t="76200" r="14605" b="114300"/>
                      <wp:wrapNone/>
                      <wp:docPr id="5" name="Přímá spojnice se šipkou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52195"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5" o:spid="_x0000_s1026" type="#_x0000_t32" style="position:absolute;margin-left:66.6pt;margin-top:5.15pt;width:82.85pt;height:0;z-index:251684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Ze3+QEAACcEAAAOAAAAZHJzL2Uyb0RvYy54bWysU8Fu1DAQvSPxD5bvbJKVFkq02R62wKWC&#10;FYUPcB17Y2p7LNvdZD+FYz+Ar6j6X4ydTYAWCYG4WLFn3pv3Zibr88FochA+KLANrRYlJcJyaJXd&#10;N/Tzp7cvzigJkdmWabCioUcR6Pnm+bN172qxhA50KzxBEhvq3jW0i9HVRRF4JwwLC3DCYlCCNyzi&#10;1e+L1rMe2Y0ulmX5sujBt84DFyHg68UYpJvML6Xg8YOUQUSiG4raYj59Pq/TWWzWrN575jrFTzLY&#10;P6gwTFksOlNdsMjIrVdPqIziHgLIuOBgCpBScZE9oJuqfOTmqmNOZC/YnODmNoX/R8vfH3aeqLah&#10;K0osMzii3cPX+2/m/o4EB18s6iNBkIc75W7glqxSx3oXagRu7c4nz3ywV+4S+E3AWPFLMF2CG9MG&#10;6U1KR9NkyBM4zhMQQyQcH6tytaxeoxQ+xQpWT0DnQ3wnwJD00dAQPVP7Lm7BWpwz+CpPgB0uQ0xC&#10;WD0BUlVtSY/8q7NXq5wWmdJvbEvi0aFn5j30yRqitD25GIVnC/GoxcjyUUhsV5KaafKiiq325MBw&#10;xRjnwsZqZsLsBJNK6xlY/hl4yk9QkZf4b8AzIlcGG2ewURb876rHYZIsx/ypA6Pv1IJraI87Pw0Y&#10;tzH36vTnpHX/+Z7hP/7vzXcAAAD//wMAUEsDBBQABgAIAAAAIQB/mDBJ3AAAAAkBAAAPAAAAZHJz&#10;L2Rvd25yZXYueG1sTI/BTsMwEETvSPyDtUjcqN0E0TbEqSqkfgClEuLmxEuSNl5HtpuGv2cRB7jt&#10;7I5m35Tb2Q1iwhB7TxqWCwUCqfG2p1bD8W3/sAYRkyFrBk+o4QsjbKvbm9IU1l/pFadDagWHUCyM&#10;hi6lsZAyNh06Exd+ROLbpw/OJJahlTaYK4e7QWZKPUlneuIPnRnxpcPmfLg4DU2d9adV93ikdq92&#10;p3cT8o9ppfX93bx7BpFwTn9m+MFndKiYqfYXslEMrPM8YysPKgfBhmyz3oCofxeyKuX/BtU3AAAA&#10;//8DAFBLAQItABQABgAIAAAAIQC2gziS/gAAAOEBAAATAAAAAAAAAAAAAAAAAAAAAABbQ29udGVu&#10;dF9UeXBlc10ueG1sUEsBAi0AFAAGAAgAAAAhADj9If/WAAAAlAEAAAsAAAAAAAAAAAAAAAAALwEA&#10;AF9yZWxzLy5yZWxzUEsBAi0AFAAGAAgAAAAhAElNl7f5AQAAJwQAAA4AAAAAAAAAAAAAAAAALgIA&#10;AGRycy9lMm9Eb2MueG1sUEsBAi0AFAAGAAgAAAAhAH+YMEncAAAACQEAAA8AAAAAAAAAAAAAAAAA&#10;UwQAAGRycy9kb3ducmV2LnhtbFBLBQYAAAAABAAEAPMAAABcBQAAAAA=&#10;" strokecolor="#4579b8 [3044]" strokeweight="1.25pt">
                      <v:stroke endarrow="open"/>
                      <o:lock v:ext="edit" shapetype="f"/>
                    </v:shape>
                  </w:pict>
                </mc:Fallback>
              </mc:AlternateContent>
            </w:r>
            <w:r w:rsidR="00691415">
              <w:rPr>
                <w:sz w:val="18"/>
                <w:szCs w:val="18"/>
              </w:rPr>
              <w:t>Výkonnost výzkumu</w:t>
            </w:r>
          </w:p>
        </w:tc>
        <w:tc>
          <w:tcPr>
            <w:tcW w:w="1418" w:type="dxa"/>
            <w:tcBorders>
              <w:top w:val="nil"/>
              <w:left w:val="single" w:sz="18" w:space="0" w:color="8DB3E2" w:themeColor="text2" w:themeTint="66"/>
              <w:bottom w:val="nil"/>
              <w:right w:val="nil"/>
            </w:tcBorders>
            <w:vAlign w:val="center"/>
          </w:tcPr>
          <w:p w:rsidR="00691415" w:rsidRPr="001D538F" w:rsidRDefault="00691415" w:rsidP="007F36A8">
            <w:pPr>
              <w:jc w:val="center"/>
              <w:rPr>
                <w:b/>
                <w:sz w:val="18"/>
                <w:szCs w:val="18"/>
              </w:rPr>
            </w:pPr>
          </w:p>
        </w:tc>
        <w:tc>
          <w:tcPr>
            <w:tcW w:w="1418" w:type="dxa"/>
            <w:tcBorders>
              <w:top w:val="nil"/>
              <w:left w:val="nil"/>
              <w:bottom w:val="nil"/>
              <w:right w:val="nil"/>
            </w:tcBorders>
            <w:vAlign w:val="center"/>
          </w:tcPr>
          <w:p w:rsidR="00691415" w:rsidRPr="00887A57" w:rsidRDefault="00691415" w:rsidP="007F36A8">
            <w:pPr>
              <w:jc w:val="center"/>
              <w:rPr>
                <w:sz w:val="18"/>
                <w:szCs w:val="18"/>
              </w:rPr>
            </w:pPr>
            <w:r w:rsidRPr="00887A57">
              <w:rPr>
                <w:sz w:val="18"/>
                <w:szCs w:val="18"/>
              </w:rPr>
              <w:t>Přebírá se</w:t>
            </w:r>
          </w:p>
        </w:tc>
        <w:tc>
          <w:tcPr>
            <w:tcW w:w="1418" w:type="dxa"/>
            <w:tcBorders>
              <w:top w:val="nil"/>
              <w:left w:val="nil"/>
              <w:bottom w:val="nil"/>
              <w:right w:val="nil"/>
            </w:tcBorders>
            <w:shd w:val="clear" w:color="auto" w:fill="FFFFFF" w:themeFill="background1"/>
            <w:vAlign w:val="center"/>
          </w:tcPr>
          <w:p w:rsidR="00691415" w:rsidRPr="001D538F" w:rsidRDefault="00691415" w:rsidP="007F36A8">
            <w:pPr>
              <w:jc w:val="center"/>
              <w:rPr>
                <w:b/>
                <w:sz w:val="18"/>
                <w:szCs w:val="18"/>
              </w:rPr>
            </w:pPr>
          </w:p>
        </w:tc>
        <w:tc>
          <w:tcPr>
            <w:tcW w:w="1417" w:type="dxa"/>
            <w:tcBorders>
              <w:top w:val="nil"/>
              <w:left w:val="nil"/>
              <w:bottom w:val="nil"/>
              <w:right w:val="nil"/>
            </w:tcBorders>
            <w:vAlign w:val="center"/>
          </w:tcPr>
          <w:p w:rsidR="00691415" w:rsidRPr="001D538F" w:rsidRDefault="00691415" w:rsidP="007F36A8">
            <w:pPr>
              <w:jc w:val="center"/>
              <w:rPr>
                <w:b/>
                <w:sz w:val="18"/>
                <w:szCs w:val="18"/>
              </w:rPr>
            </w:pPr>
          </w:p>
        </w:tc>
        <w:tc>
          <w:tcPr>
            <w:tcW w:w="1418" w:type="dxa"/>
            <w:tcBorders>
              <w:top w:val="nil"/>
              <w:left w:val="nil"/>
              <w:bottom w:val="nil"/>
              <w:right w:val="nil"/>
            </w:tcBorders>
            <w:shd w:val="clear" w:color="auto" w:fill="FFFFFF" w:themeFill="background1"/>
            <w:vAlign w:val="center"/>
          </w:tcPr>
          <w:p w:rsidR="00691415" w:rsidRPr="001D538F" w:rsidRDefault="00691415" w:rsidP="007F36A8">
            <w:pPr>
              <w:jc w:val="center"/>
              <w:rPr>
                <w:b/>
                <w:sz w:val="18"/>
                <w:szCs w:val="18"/>
              </w:rPr>
            </w:pPr>
          </w:p>
        </w:tc>
        <w:tc>
          <w:tcPr>
            <w:tcW w:w="1418" w:type="dxa"/>
            <w:tcBorders>
              <w:top w:val="nil"/>
              <w:left w:val="nil"/>
              <w:bottom w:val="nil"/>
              <w:right w:val="single" w:sz="18" w:space="0" w:color="8DB3E2" w:themeColor="text2" w:themeTint="66"/>
            </w:tcBorders>
            <w:vAlign w:val="center"/>
          </w:tcPr>
          <w:p w:rsidR="00691415" w:rsidRPr="001D538F" w:rsidRDefault="00691415" w:rsidP="007F36A8">
            <w:pPr>
              <w:jc w:val="center"/>
              <w:rPr>
                <w:b/>
                <w:sz w:val="18"/>
                <w:szCs w:val="18"/>
              </w:rPr>
            </w:pP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vAlign w:val="center"/>
          </w:tcPr>
          <w:p w:rsidR="00691415" w:rsidRDefault="00691415" w:rsidP="007F36A8">
            <w:pPr>
              <w:jc w:val="center"/>
              <w:rPr>
                <w:sz w:val="18"/>
                <w:szCs w:val="18"/>
              </w:rPr>
            </w:pPr>
            <w:r>
              <w:rPr>
                <w:sz w:val="18"/>
                <w:szCs w:val="18"/>
              </w:rPr>
              <w:t>M2</w:t>
            </w:r>
          </w:p>
          <w:p w:rsidR="00691415" w:rsidRPr="001D538F" w:rsidRDefault="00691415" w:rsidP="007F36A8">
            <w:pPr>
              <w:jc w:val="center"/>
              <w:rPr>
                <w:b/>
                <w:sz w:val="18"/>
                <w:szCs w:val="18"/>
              </w:rPr>
            </w:pPr>
            <w:r>
              <w:rPr>
                <w:sz w:val="18"/>
                <w:szCs w:val="18"/>
              </w:rPr>
              <w:t>Výkonnost výzkumu</w:t>
            </w:r>
          </w:p>
        </w:tc>
        <w:tc>
          <w:tcPr>
            <w:tcW w:w="1420" w:type="dxa"/>
            <w:tcBorders>
              <w:top w:val="nil"/>
              <w:left w:val="single" w:sz="18" w:space="0" w:color="8DB3E2" w:themeColor="text2" w:themeTint="66"/>
              <w:bottom w:val="nil"/>
              <w:right w:val="nil"/>
            </w:tcBorders>
            <w:shd w:val="clear" w:color="auto" w:fill="FFFFFF" w:themeFill="background1"/>
          </w:tcPr>
          <w:p w:rsidR="00691415" w:rsidRPr="001D538F" w:rsidRDefault="00691415" w:rsidP="007F36A8">
            <w:pPr>
              <w:jc w:val="center"/>
              <w:rPr>
                <w:b/>
                <w:sz w:val="18"/>
                <w:szCs w:val="18"/>
              </w:rPr>
            </w:pPr>
          </w:p>
        </w:tc>
      </w:tr>
      <w:tr w:rsidR="00691415" w:rsidTr="007F36A8">
        <w:trPr>
          <w:trHeight w:val="136"/>
          <w:jc w:val="center"/>
        </w:trPr>
        <w:tc>
          <w:tcPr>
            <w:tcW w:w="464" w:type="dxa"/>
            <w:vMerge/>
            <w:tcBorders>
              <w:left w:val="nil"/>
              <w:right w:val="nil"/>
            </w:tcBorders>
          </w:tcPr>
          <w:p w:rsidR="00691415" w:rsidRPr="00185167" w:rsidRDefault="00691415" w:rsidP="007F36A8">
            <w:pPr>
              <w:ind w:left="113" w:right="113"/>
              <w:jc w:val="center"/>
              <w:rPr>
                <w:noProof/>
                <w:sz w:val="16"/>
                <w:szCs w:val="16"/>
              </w:rPr>
            </w:pPr>
          </w:p>
        </w:tc>
        <w:tc>
          <w:tcPr>
            <w:tcW w:w="14175" w:type="dxa"/>
            <w:gridSpan w:val="10"/>
            <w:tcBorders>
              <w:top w:val="nil"/>
              <w:left w:val="nil"/>
              <w:bottom w:val="nil"/>
              <w:right w:val="nil"/>
            </w:tcBorders>
            <w:vAlign w:val="center"/>
          </w:tcPr>
          <w:p w:rsidR="00691415" w:rsidRPr="00185167" w:rsidRDefault="00691415" w:rsidP="007F36A8">
            <w:pPr>
              <w:jc w:val="center"/>
              <w:rPr>
                <w:b/>
                <w:sz w:val="16"/>
                <w:szCs w:val="16"/>
              </w:rPr>
            </w:pPr>
          </w:p>
        </w:tc>
      </w:tr>
      <w:tr w:rsidR="00691415" w:rsidTr="007F36A8">
        <w:trPr>
          <w:trHeight w:val="238"/>
          <w:jc w:val="center"/>
        </w:trPr>
        <w:tc>
          <w:tcPr>
            <w:tcW w:w="464" w:type="dxa"/>
            <w:vMerge/>
            <w:tcBorders>
              <w:left w:val="nil"/>
              <w:right w:val="nil"/>
            </w:tcBorders>
            <w:textDirection w:val="btLr"/>
          </w:tcPr>
          <w:p w:rsidR="00691415" w:rsidRDefault="00691415" w:rsidP="007F36A8">
            <w:pPr>
              <w:ind w:left="113" w:right="113"/>
              <w:jc w:val="center"/>
            </w:pPr>
          </w:p>
        </w:tc>
        <w:tc>
          <w:tcPr>
            <w:tcW w:w="1415" w:type="dxa"/>
            <w:tcBorders>
              <w:top w:val="nil"/>
              <w:left w:val="nil"/>
              <w:bottom w:val="nil"/>
              <w:right w:val="nil"/>
            </w:tcBorders>
            <w:vAlign w:val="center"/>
          </w:tcPr>
          <w:p w:rsidR="00691415" w:rsidRDefault="00691415" w:rsidP="007F36A8">
            <w:pPr>
              <w:jc w:val="center"/>
            </w:pPr>
          </w:p>
        </w:tc>
        <w:tc>
          <w:tcPr>
            <w:tcW w:w="1416" w:type="dxa"/>
            <w:tcBorders>
              <w:top w:val="nil"/>
              <w:left w:val="nil"/>
              <w:bottom w:val="nil"/>
              <w:right w:val="single" w:sz="18" w:space="0" w:color="8DB3E2" w:themeColor="text2" w:themeTint="66"/>
            </w:tcBorders>
            <w:shd w:val="clear" w:color="auto" w:fill="FFFFFF" w:themeFill="background1"/>
            <w:vAlign w:val="center"/>
          </w:tcPr>
          <w:p w:rsidR="00691415" w:rsidRDefault="00691415" w:rsidP="007F36A8">
            <w:pPr>
              <w:jc w:val="center"/>
            </w:pPr>
            <w:r w:rsidRPr="006F26B8">
              <w:rPr>
                <w:sz w:val="18"/>
                <w:szCs w:val="18"/>
              </w:rPr>
              <w:t xml:space="preserve"> </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vAlign w:val="center"/>
          </w:tcPr>
          <w:p w:rsidR="00691415" w:rsidRPr="006F26B8" w:rsidRDefault="00691415" w:rsidP="007F36A8">
            <w:pPr>
              <w:jc w:val="center"/>
              <w:rPr>
                <w:sz w:val="18"/>
                <w:szCs w:val="18"/>
              </w:rPr>
            </w:pPr>
            <w:r w:rsidRPr="006F26B8">
              <w:rPr>
                <w:sz w:val="18"/>
                <w:szCs w:val="18"/>
              </w:rPr>
              <w:t>M3</w:t>
            </w:r>
          </w:p>
          <w:p w:rsidR="00691415" w:rsidRDefault="00CC39F2" w:rsidP="007F36A8">
            <w:pPr>
              <w:jc w:val="center"/>
            </w:pPr>
            <w:r>
              <w:rPr>
                <w:noProof/>
                <w:sz w:val="18"/>
                <w:szCs w:val="18"/>
              </w:rPr>
              <mc:AlternateContent>
                <mc:Choice Requires="wps">
                  <w:drawing>
                    <wp:anchor distT="4294967295" distB="4294967295" distL="114300" distR="114300" simplePos="0" relativeHeight="251685888" behindDoc="0" locked="0" layoutInCell="1" allowOverlap="1" wp14:anchorId="70AF68D0" wp14:editId="1454F292">
                      <wp:simplePos x="0" y="0"/>
                      <wp:positionH relativeFrom="column">
                        <wp:posOffset>860425</wp:posOffset>
                      </wp:positionH>
                      <wp:positionV relativeFrom="paragraph">
                        <wp:posOffset>50164</wp:posOffset>
                      </wp:positionV>
                      <wp:extent cx="189230" cy="0"/>
                      <wp:effectExtent l="0" t="76200" r="20320" b="114300"/>
                      <wp:wrapNone/>
                      <wp:docPr id="12" name="Přímá spojnice se šipkou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9230" cy="0"/>
                              </a:xfrm>
                              <a:prstGeom prst="straightConnector1">
                                <a:avLst/>
                              </a:prstGeom>
                              <a:ln w="1587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Přímá spojnice se šipkou 12" o:spid="_x0000_s1026" type="#_x0000_t32" style="position:absolute;margin-left:67.75pt;margin-top:3.95pt;width:14.9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VWG+gEAACgEAAAOAAAAZHJzL2Uyb0RvYy54bWysU0tu2zAQ3RfoHQjta9ku0rqC5Syctpug&#10;NZr2AAxFWmxIDjFkLPkoXeYAPUWQe2VIWeoXKFp0Q4iceW/mzRutz3tr2EFi0ODqYjGbF0w6AY12&#10;+7r49PHNs1XBQuSu4QacrIujDMX55umTdecruYQWTCOREYkLVefroo3RV2UZRCstDzPw0lFQAVoe&#10;6Yr7skHeEbs15XI+f1F2gI1HEDIEer0YgsUm8yslRXyvVJCRmbqg3mI+MZ/X6Sw3a17tkftWi1Mb&#10;/B+6sFw7KjpRXfDI2S3qX6isFggBVJwJsCUopYXMGkjNYv6TmquWe5m10HCCn8YU/h+teHfYIdMN&#10;ebcsmOOWPNo9fLn/au/vWPDw2VGDLEj2cKf9DdwySqOZdT5UBN26HSbVondX/hLETaBY+UMwXYIf&#10;0nqFNqWTbNZnD46TB7KPTNDjYvVq+ZycEmOo5NWI8xjiWwmWpY+6CBG53rdxC86R0YCLbAE/XIaY&#10;+uDVCEhFjWMd0Z+tXp7ltMi1ee0aFo+eNHNE6JIyQhl3EjH0nRXEo5EDywepaF6p00yTN1VuDbID&#10;px3jQkgXFxMTZSeY0sZMwPmfgaf8BJV5i/8GPCFyZXBxAlvtAH9XPfZjy2rIHycw6E4juIbmuMPR&#10;X1rHPKvTr5P2/ft7hn/7wTePAAAA//8DAFBLAwQUAAYACAAAACEAFmdONNkAAAAHAQAADwAAAGRy&#10;cy9kb3ducmV2LnhtbEyOwU7DMBBE70j8g7VI3KhD0zQQ4lQVUj+AUglx28RLkhKvI9tNw9/j9gLH&#10;pxnNvHIzm0FM5HxvWcHjIgFB3Fjdc6vg8L57eALhA7LGwTIp+CEPm+r2psRC2zO/0bQPrYgj7AtU&#10;0IUwFlL6piODfmFH4ph9WWcwRHSt1A7PcdwMcpkka2mw5/jQ4UivHTXf+5NR0NTL/ph3qwO3u2R7&#10;/ECXfk65Uvd38/YFRKA5/JXhoh/VoYpOtT2x9mKInGZZrCrIn0Fc8nWWgqivLKtS/vevfgEAAP//&#10;AwBQSwECLQAUAAYACAAAACEAtoM4kv4AAADhAQAAEwAAAAAAAAAAAAAAAAAAAAAAW0NvbnRlbnRf&#10;VHlwZXNdLnhtbFBLAQItABQABgAIAAAAIQA4/SH/1gAAAJQBAAALAAAAAAAAAAAAAAAAAC8BAABf&#10;cmVscy8ucmVsc1BLAQItABQABgAIAAAAIQAh4VWG+gEAACgEAAAOAAAAAAAAAAAAAAAAAC4CAABk&#10;cnMvZTJvRG9jLnhtbFBLAQItABQABgAIAAAAIQAWZ0402QAAAAcBAAAPAAAAAAAAAAAAAAAAAFQE&#10;AABkcnMvZG93bnJldi54bWxQSwUGAAAAAAQABADzAAAAWgUAAAAA&#10;" strokecolor="#4579b8 [3044]" strokeweight="1.25pt">
                      <v:stroke endarrow="open"/>
                      <o:lock v:ext="edit" shapetype="f"/>
                    </v:shape>
                  </w:pict>
                </mc:Fallback>
              </mc:AlternateContent>
            </w:r>
            <w:r w:rsidR="00691415" w:rsidRPr="006F26B8">
              <w:rPr>
                <w:sz w:val="18"/>
                <w:szCs w:val="18"/>
              </w:rPr>
              <w:t>Společenská relevance</w:t>
            </w:r>
          </w:p>
        </w:tc>
        <w:tc>
          <w:tcPr>
            <w:tcW w:w="1418" w:type="dxa"/>
            <w:tcBorders>
              <w:top w:val="nil"/>
              <w:left w:val="single" w:sz="18" w:space="0" w:color="8DB3E2" w:themeColor="text2" w:themeTint="66"/>
              <w:bottom w:val="nil"/>
              <w:right w:val="nil"/>
            </w:tcBorders>
            <w:shd w:val="clear" w:color="auto" w:fill="auto"/>
            <w:vAlign w:val="center"/>
          </w:tcPr>
          <w:p w:rsidR="00691415" w:rsidRDefault="00691415" w:rsidP="007F36A8">
            <w:pPr>
              <w:jc w:val="center"/>
            </w:pPr>
            <w:r w:rsidRPr="00887A57">
              <w:rPr>
                <w:sz w:val="18"/>
                <w:szCs w:val="18"/>
              </w:rPr>
              <w:t>Přebírá se</w:t>
            </w:r>
          </w:p>
        </w:tc>
        <w:tc>
          <w:tcPr>
            <w:tcW w:w="1418" w:type="dxa"/>
            <w:tcBorders>
              <w:top w:val="nil"/>
              <w:left w:val="nil"/>
              <w:bottom w:val="nil"/>
              <w:right w:val="nil"/>
            </w:tcBorders>
            <w:shd w:val="clear" w:color="auto" w:fill="FFFFFF" w:themeFill="background1"/>
            <w:vAlign w:val="center"/>
          </w:tcPr>
          <w:p w:rsidR="00691415" w:rsidRDefault="00691415" w:rsidP="007F36A8">
            <w:pPr>
              <w:jc w:val="center"/>
            </w:pPr>
          </w:p>
        </w:tc>
        <w:tc>
          <w:tcPr>
            <w:tcW w:w="1417" w:type="dxa"/>
            <w:tcBorders>
              <w:top w:val="nil"/>
              <w:left w:val="nil"/>
              <w:bottom w:val="nil"/>
              <w:right w:val="nil"/>
            </w:tcBorders>
            <w:vAlign w:val="center"/>
          </w:tcPr>
          <w:p w:rsidR="00691415" w:rsidRDefault="00691415" w:rsidP="007F36A8">
            <w:pPr>
              <w:jc w:val="center"/>
            </w:pPr>
          </w:p>
        </w:tc>
        <w:tc>
          <w:tcPr>
            <w:tcW w:w="1418" w:type="dxa"/>
            <w:tcBorders>
              <w:top w:val="nil"/>
              <w:left w:val="nil"/>
              <w:bottom w:val="nil"/>
              <w:right w:val="nil"/>
            </w:tcBorders>
            <w:shd w:val="clear" w:color="auto" w:fill="FFFFFF" w:themeFill="background1"/>
            <w:vAlign w:val="center"/>
          </w:tcPr>
          <w:p w:rsidR="00691415" w:rsidRDefault="00691415" w:rsidP="007F36A8">
            <w:pPr>
              <w:jc w:val="center"/>
            </w:pPr>
          </w:p>
        </w:tc>
        <w:tc>
          <w:tcPr>
            <w:tcW w:w="1418" w:type="dxa"/>
            <w:tcBorders>
              <w:top w:val="nil"/>
              <w:left w:val="nil"/>
              <w:bottom w:val="nil"/>
              <w:right w:val="single" w:sz="18" w:space="0" w:color="8DB3E2" w:themeColor="text2" w:themeTint="66"/>
            </w:tcBorders>
            <w:vAlign w:val="center"/>
          </w:tcPr>
          <w:p w:rsidR="00691415" w:rsidRDefault="00691415" w:rsidP="007F36A8">
            <w:pPr>
              <w:jc w:val="center"/>
            </w:pP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vAlign w:val="center"/>
          </w:tcPr>
          <w:p w:rsidR="00691415" w:rsidRPr="006F26B8" w:rsidRDefault="00691415" w:rsidP="007F36A8">
            <w:pPr>
              <w:jc w:val="center"/>
              <w:rPr>
                <w:sz w:val="18"/>
                <w:szCs w:val="18"/>
              </w:rPr>
            </w:pPr>
            <w:r w:rsidRPr="006F26B8">
              <w:rPr>
                <w:sz w:val="18"/>
                <w:szCs w:val="18"/>
              </w:rPr>
              <w:t>M3</w:t>
            </w:r>
          </w:p>
          <w:p w:rsidR="00691415" w:rsidRDefault="00691415" w:rsidP="007F36A8">
            <w:pPr>
              <w:jc w:val="center"/>
            </w:pPr>
            <w:r w:rsidRPr="006F26B8">
              <w:rPr>
                <w:sz w:val="18"/>
                <w:szCs w:val="18"/>
              </w:rPr>
              <w:t>Společenská relevance</w:t>
            </w:r>
          </w:p>
        </w:tc>
        <w:tc>
          <w:tcPr>
            <w:tcW w:w="1420" w:type="dxa"/>
            <w:tcBorders>
              <w:top w:val="nil"/>
              <w:left w:val="single" w:sz="18" w:space="0" w:color="8DB3E2" w:themeColor="text2" w:themeTint="66"/>
              <w:bottom w:val="nil"/>
              <w:right w:val="nil"/>
            </w:tcBorders>
            <w:shd w:val="clear" w:color="auto" w:fill="FFFFFF" w:themeFill="background1"/>
          </w:tcPr>
          <w:p w:rsidR="00691415" w:rsidRDefault="00691415" w:rsidP="007F36A8">
            <w:pPr>
              <w:jc w:val="center"/>
            </w:pPr>
          </w:p>
        </w:tc>
      </w:tr>
      <w:tr w:rsidR="00691415" w:rsidTr="007F36A8">
        <w:trPr>
          <w:trHeight w:val="136"/>
          <w:jc w:val="center"/>
        </w:trPr>
        <w:tc>
          <w:tcPr>
            <w:tcW w:w="464" w:type="dxa"/>
            <w:vMerge/>
            <w:tcBorders>
              <w:left w:val="nil"/>
              <w:right w:val="nil"/>
            </w:tcBorders>
          </w:tcPr>
          <w:p w:rsidR="00691415" w:rsidRDefault="00691415" w:rsidP="007F36A8">
            <w:pPr>
              <w:jc w:val="center"/>
            </w:pPr>
          </w:p>
        </w:tc>
        <w:tc>
          <w:tcPr>
            <w:tcW w:w="14175" w:type="dxa"/>
            <w:gridSpan w:val="10"/>
            <w:tcBorders>
              <w:top w:val="nil"/>
              <w:left w:val="nil"/>
              <w:bottom w:val="nil"/>
              <w:right w:val="nil"/>
            </w:tcBorders>
            <w:vAlign w:val="center"/>
          </w:tcPr>
          <w:p w:rsidR="00691415" w:rsidRPr="00525B72" w:rsidRDefault="00691415" w:rsidP="007F36A8">
            <w:pPr>
              <w:jc w:val="center"/>
              <w:rPr>
                <w:sz w:val="16"/>
                <w:szCs w:val="16"/>
              </w:rPr>
            </w:pPr>
          </w:p>
        </w:tc>
      </w:tr>
      <w:tr w:rsidR="00691415" w:rsidTr="007F36A8">
        <w:trPr>
          <w:trHeight w:val="579"/>
          <w:jc w:val="center"/>
        </w:trPr>
        <w:tc>
          <w:tcPr>
            <w:tcW w:w="464" w:type="dxa"/>
            <w:vMerge/>
            <w:tcBorders>
              <w:left w:val="nil"/>
              <w:right w:val="nil"/>
            </w:tcBorders>
          </w:tcPr>
          <w:p w:rsidR="00691415" w:rsidRDefault="00691415" w:rsidP="007F36A8">
            <w:pPr>
              <w:jc w:val="center"/>
            </w:pPr>
          </w:p>
        </w:tc>
        <w:tc>
          <w:tcPr>
            <w:tcW w:w="1415" w:type="dxa"/>
            <w:tcBorders>
              <w:top w:val="nil"/>
              <w:left w:val="nil"/>
              <w:bottom w:val="nil"/>
              <w:right w:val="nil"/>
            </w:tcBorders>
            <w:vAlign w:val="center"/>
          </w:tcPr>
          <w:p w:rsidR="00691415" w:rsidRDefault="00691415" w:rsidP="007F36A8">
            <w:pPr>
              <w:jc w:val="center"/>
            </w:pPr>
          </w:p>
        </w:tc>
        <w:tc>
          <w:tcPr>
            <w:tcW w:w="1416" w:type="dxa"/>
            <w:tcBorders>
              <w:top w:val="nil"/>
              <w:left w:val="nil"/>
              <w:bottom w:val="nil"/>
              <w:right w:val="nil"/>
            </w:tcBorders>
            <w:shd w:val="clear" w:color="auto" w:fill="FFFFFF" w:themeFill="background1"/>
            <w:vAlign w:val="center"/>
          </w:tcPr>
          <w:p w:rsidR="00691415" w:rsidRDefault="00691415" w:rsidP="007F36A8">
            <w:pPr>
              <w:jc w:val="center"/>
            </w:pPr>
            <w:r w:rsidRPr="006F26B8">
              <w:rPr>
                <w:sz w:val="18"/>
                <w:szCs w:val="18"/>
              </w:rPr>
              <w:t xml:space="preserve"> </w:t>
            </w:r>
          </w:p>
        </w:tc>
        <w:tc>
          <w:tcPr>
            <w:tcW w:w="1418" w:type="dxa"/>
            <w:tcBorders>
              <w:top w:val="nil"/>
              <w:left w:val="nil"/>
              <w:bottom w:val="nil"/>
              <w:right w:val="single" w:sz="18" w:space="0" w:color="8DB3E2" w:themeColor="text2" w:themeTint="66"/>
            </w:tcBorders>
            <w:vAlign w:val="center"/>
          </w:tcPr>
          <w:p w:rsidR="00691415" w:rsidRDefault="00691415" w:rsidP="007F36A8">
            <w:pPr>
              <w:jc w:val="cente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2D69B" w:themeFill="accent3" w:themeFillTint="99"/>
            <w:vAlign w:val="center"/>
          </w:tcPr>
          <w:p w:rsidR="00691415" w:rsidRPr="006F26B8" w:rsidRDefault="00691415" w:rsidP="007F36A8">
            <w:pPr>
              <w:jc w:val="center"/>
              <w:rPr>
                <w:sz w:val="18"/>
                <w:szCs w:val="18"/>
              </w:rPr>
            </w:pPr>
            <w:r>
              <w:rPr>
                <w:sz w:val="18"/>
                <w:szCs w:val="18"/>
              </w:rPr>
              <w:t>M4</w:t>
            </w:r>
          </w:p>
          <w:p w:rsidR="00691415" w:rsidRDefault="00691415" w:rsidP="007F36A8">
            <w:pPr>
              <w:jc w:val="center"/>
            </w:pPr>
            <w:r w:rsidRPr="006F26B8">
              <w:rPr>
                <w:sz w:val="18"/>
                <w:szCs w:val="18"/>
              </w:rPr>
              <w:t>Viabilita</w:t>
            </w:r>
          </w:p>
        </w:tc>
        <w:tc>
          <w:tcPr>
            <w:tcW w:w="1418" w:type="dxa"/>
            <w:tcBorders>
              <w:top w:val="nil"/>
              <w:left w:val="single" w:sz="18" w:space="0" w:color="8DB3E2" w:themeColor="text2" w:themeTint="66"/>
              <w:bottom w:val="nil"/>
              <w:right w:val="nil"/>
            </w:tcBorders>
            <w:shd w:val="clear" w:color="auto" w:fill="FFFFFF" w:themeFill="background1"/>
            <w:vAlign w:val="center"/>
          </w:tcPr>
          <w:p w:rsidR="00691415" w:rsidRDefault="00691415" w:rsidP="007F36A8">
            <w:pPr>
              <w:jc w:val="center"/>
            </w:pPr>
          </w:p>
        </w:tc>
        <w:tc>
          <w:tcPr>
            <w:tcW w:w="1417" w:type="dxa"/>
            <w:tcBorders>
              <w:top w:val="nil"/>
              <w:left w:val="nil"/>
              <w:bottom w:val="nil"/>
              <w:right w:val="nil"/>
            </w:tcBorders>
            <w:vAlign w:val="center"/>
          </w:tcPr>
          <w:p w:rsidR="00691415" w:rsidRDefault="00691415" w:rsidP="007F36A8">
            <w:pPr>
              <w:jc w:val="center"/>
            </w:pPr>
          </w:p>
        </w:tc>
        <w:tc>
          <w:tcPr>
            <w:tcW w:w="1418" w:type="dxa"/>
            <w:tcBorders>
              <w:top w:val="nil"/>
              <w:left w:val="nil"/>
              <w:bottom w:val="nil"/>
              <w:right w:val="nil"/>
            </w:tcBorders>
            <w:shd w:val="clear" w:color="auto" w:fill="FFFFFF" w:themeFill="background1"/>
            <w:vAlign w:val="center"/>
          </w:tcPr>
          <w:p w:rsidR="00691415" w:rsidRDefault="00691415" w:rsidP="007F36A8">
            <w:pPr>
              <w:jc w:val="center"/>
            </w:pPr>
          </w:p>
        </w:tc>
        <w:tc>
          <w:tcPr>
            <w:tcW w:w="1418" w:type="dxa"/>
            <w:tcBorders>
              <w:top w:val="nil"/>
              <w:left w:val="nil"/>
              <w:bottom w:val="nil"/>
              <w:right w:val="single" w:sz="18" w:space="0" w:color="8DB3E2" w:themeColor="text2" w:themeTint="66"/>
            </w:tcBorders>
            <w:vAlign w:val="center"/>
          </w:tcPr>
          <w:p w:rsidR="00691415" w:rsidRDefault="00691415" w:rsidP="007F36A8">
            <w:pPr>
              <w:jc w:val="center"/>
            </w:pP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2D69B" w:themeFill="accent3" w:themeFillTint="99"/>
            <w:vAlign w:val="center"/>
          </w:tcPr>
          <w:p w:rsidR="00691415" w:rsidRPr="006F26B8" w:rsidRDefault="00691415" w:rsidP="007F36A8">
            <w:pPr>
              <w:jc w:val="center"/>
              <w:rPr>
                <w:sz w:val="18"/>
                <w:szCs w:val="18"/>
              </w:rPr>
            </w:pPr>
            <w:r w:rsidRPr="006F26B8">
              <w:rPr>
                <w:sz w:val="18"/>
                <w:szCs w:val="18"/>
              </w:rPr>
              <w:t>M4</w:t>
            </w:r>
          </w:p>
          <w:p w:rsidR="00691415" w:rsidRDefault="00691415" w:rsidP="007F36A8">
            <w:pPr>
              <w:jc w:val="center"/>
            </w:pPr>
            <w:r w:rsidRPr="006F26B8">
              <w:rPr>
                <w:sz w:val="18"/>
                <w:szCs w:val="18"/>
              </w:rPr>
              <w:t>Viabilita</w:t>
            </w:r>
          </w:p>
        </w:tc>
        <w:tc>
          <w:tcPr>
            <w:tcW w:w="1420" w:type="dxa"/>
            <w:tcBorders>
              <w:top w:val="nil"/>
              <w:left w:val="single" w:sz="18" w:space="0" w:color="8DB3E2" w:themeColor="text2" w:themeTint="66"/>
              <w:bottom w:val="nil"/>
              <w:right w:val="nil"/>
            </w:tcBorders>
            <w:shd w:val="clear" w:color="auto" w:fill="FFFFFF" w:themeFill="background1"/>
          </w:tcPr>
          <w:p w:rsidR="00691415" w:rsidRDefault="00691415" w:rsidP="007F36A8">
            <w:pPr>
              <w:jc w:val="center"/>
            </w:pPr>
          </w:p>
        </w:tc>
      </w:tr>
      <w:tr w:rsidR="00691415" w:rsidTr="007F36A8">
        <w:trPr>
          <w:trHeight w:val="136"/>
          <w:jc w:val="center"/>
        </w:trPr>
        <w:tc>
          <w:tcPr>
            <w:tcW w:w="464" w:type="dxa"/>
            <w:vMerge/>
            <w:tcBorders>
              <w:left w:val="nil"/>
              <w:right w:val="nil"/>
            </w:tcBorders>
          </w:tcPr>
          <w:p w:rsidR="00691415" w:rsidRDefault="00691415" w:rsidP="007F36A8">
            <w:pPr>
              <w:jc w:val="center"/>
            </w:pPr>
          </w:p>
        </w:tc>
        <w:tc>
          <w:tcPr>
            <w:tcW w:w="14175" w:type="dxa"/>
            <w:gridSpan w:val="10"/>
            <w:tcBorders>
              <w:top w:val="nil"/>
              <w:left w:val="nil"/>
              <w:bottom w:val="nil"/>
              <w:right w:val="nil"/>
            </w:tcBorders>
            <w:vAlign w:val="center"/>
          </w:tcPr>
          <w:p w:rsidR="00691415" w:rsidRPr="00525B72" w:rsidRDefault="00691415" w:rsidP="007F36A8">
            <w:pPr>
              <w:jc w:val="center"/>
              <w:rPr>
                <w:sz w:val="16"/>
                <w:szCs w:val="16"/>
              </w:rPr>
            </w:pPr>
          </w:p>
        </w:tc>
      </w:tr>
      <w:tr w:rsidR="00691415" w:rsidTr="007F36A8">
        <w:trPr>
          <w:trHeight w:val="556"/>
          <w:jc w:val="center"/>
        </w:trPr>
        <w:tc>
          <w:tcPr>
            <w:tcW w:w="464" w:type="dxa"/>
            <w:vMerge/>
            <w:tcBorders>
              <w:left w:val="nil"/>
              <w:bottom w:val="nil"/>
              <w:right w:val="nil"/>
            </w:tcBorders>
          </w:tcPr>
          <w:p w:rsidR="00691415" w:rsidRDefault="00691415" w:rsidP="007F36A8">
            <w:pPr>
              <w:jc w:val="center"/>
            </w:pPr>
          </w:p>
        </w:tc>
        <w:tc>
          <w:tcPr>
            <w:tcW w:w="1415" w:type="dxa"/>
            <w:tcBorders>
              <w:top w:val="nil"/>
              <w:left w:val="nil"/>
              <w:bottom w:val="nil"/>
              <w:right w:val="nil"/>
            </w:tcBorders>
            <w:vAlign w:val="center"/>
          </w:tcPr>
          <w:p w:rsidR="00691415" w:rsidRDefault="00691415" w:rsidP="007F36A8">
            <w:pPr>
              <w:jc w:val="center"/>
            </w:pPr>
          </w:p>
        </w:tc>
        <w:tc>
          <w:tcPr>
            <w:tcW w:w="1416" w:type="dxa"/>
            <w:tcBorders>
              <w:top w:val="nil"/>
              <w:left w:val="nil"/>
              <w:bottom w:val="nil"/>
              <w:right w:val="nil"/>
            </w:tcBorders>
            <w:shd w:val="clear" w:color="auto" w:fill="FFFFFF" w:themeFill="background1"/>
            <w:vAlign w:val="center"/>
          </w:tcPr>
          <w:p w:rsidR="00691415" w:rsidRDefault="00691415" w:rsidP="007F36A8">
            <w:pPr>
              <w:jc w:val="center"/>
            </w:pPr>
          </w:p>
        </w:tc>
        <w:tc>
          <w:tcPr>
            <w:tcW w:w="1418" w:type="dxa"/>
            <w:tcBorders>
              <w:top w:val="nil"/>
              <w:left w:val="nil"/>
              <w:bottom w:val="nil"/>
              <w:right w:val="single" w:sz="18" w:space="0" w:color="8DB3E2" w:themeColor="text2" w:themeTint="66"/>
            </w:tcBorders>
            <w:vAlign w:val="center"/>
          </w:tcPr>
          <w:p w:rsidR="00691415" w:rsidRDefault="00691415" w:rsidP="007F36A8">
            <w:pPr>
              <w:jc w:val="cente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vAlign w:val="center"/>
          </w:tcPr>
          <w:p w:rsidR="00691415" w:rsidRDefault="00691415" w:rsidP="007F36A8">
            <w:pPr>
              <w:jc w:val="center"/>
              <w:rPr>
                <w:sz w:val="18"/>
                <w:szCs w:val="18"/>
              </w:rPr>
            </w:pPr>
            <w:r w:rsidRPr="006F26B8">
              <w:rPr>
                <w:sz w:val="18"/>
                <w:szCs w:val="18"/>
              </w:rPr>
              <w:t>M</w:t>
            </w:r>
            <w:r>
              <w:rPr>
                <w:sz w:val="18"/>
                <w:szCs w:val="18"/>
              </w:rPr>
              <w:t>5</w:t>
            </w:r>
          </w:p>
          <w:p w:rsidR="00691415" w:rsidRDefault="00691415" w:rsidP="007F36A8">
            <w:pPr>
              <w:jc w:val="center"/>
            </w:pPr>
            <w:r>
              <w:rPr>
                <w:sz w:val="18"/>
                <w:szCs w:val="18"/>
              </w:rPr>
              <w:t>Koncepce a strategie</w:t>
            </w:r>
          </w:p>
        </w:tc>
        <w:tc>
          <w:tcPr>
            <w:tcW w:w="1418" w:type="dxa"/>
            <w:tcBorders>
              <w:top w:val="nil"/>
              <w:left w:val="single" w:sz="18" w:space="0" w:color="8DB3E2" w:themeColor="text2" w:themeTint="66"/>
              <w:bottom w:val="nil"/>
              <w:right w:val="nil"/>
            </w:tcBorders>
            <w:shd w:val="clear" w:color="auto" w:fill="FFFFFF" w:themeFill="background1"/>
            <w:vAlign w:val="center"/>
          </w:tcPr>
          <w:p w:rsidR="00691415" w:rsidRDefault="00691415" w:rsidP="007F36A8">
            <w:pPr>
              <w:jc w:val="center"/>
            </w:pPr>
          </w:p>
        </w:tc>
        <w:tc>
          <w:tcPr>
            <w:tcW w:w="1417" w:type="dxa"/>
            <w:tcBorders>
              <w:top w:val="nil"/>
              <w:left w:val="nil"/>
              <w:bottom w:val="nil"/>
              <w:right w:val="nil"/>
            </w:tcBorders>
            <w:vAlign w:val="center"/>
          </w:tcPr>
          <w:p w:rsidR="00691415" w:rsidRDefault="00691415" w:rsidP="007F36A8">
            <w:pPr>
              <w:jc w:val="center"/>
            </w:pPr>
          </w:p>
        </w:tc>
        <w:tc>
          <w:tcPr>
            <w:tcW w:w="1418" w:type="dxa"/>
            <w:tcBorders>
              <w:top w:val="nil"/>
              <w:left w:val="nil"/>
              <w:bottom w:val="nil"/>
              <w:right w:val="nil"/>
            </w:tcBorders>
            <w:shd w:val="clear" w:color="auto" w:fill="FFFFFF" w:themeFill="background1"/>
            <w:vAlign w:val="center"/>
          </w:tcPr>
          <w:p w:rsidR="00691415" w:rsidRDefault="00691415" w:rsidP="007F36A8">
            <w:pPr>
              <w:jc w:val="center"/>
            </w:pPr>
          </w:p>
        </w:tc>
        <w:tc>
          <w:tcPr>
            <w:tcW w:w="1418" w:type="dxa"/>
            <w:tcBorders>
              <w:top w:val="nil"/>
              <w:left w:val="nil"/>
              <w:bottom w:val="nil"/>
              <w:right w:val="single" w:sz="18" w:space="0" w:color="8DB3E2" w:themeColor="text2" w:themeTint="66"/>
            </w:tcBorders>
            <w:vAlign w:val="center"/>
          </w:tcPr>
          <w:p w:rsidR="00691415" w:rsidRDefault="00691415" w:rsidP="007F36A8">
            <w:pPr>
              <w:jc w:val="center"/>
            </w:pP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vAlign w:val="center"/>
          </w:tcPr>
          <w:p w:rsidR="00691415" w:rsidRPr="006F26B8" w:rsidRDefault="00691415" w:rsidP="007F36A8">
            <w:pPr>
              <w:jc w:val="center"/>
              <w:rPr>
                <w:sz w:val="18"/>
                <w:szCs w:val="18"/>
              </w:rPr>
            </w:pPr>
            <w:r>
              <w:rPr>
                <w:sz w:val="18"/>
                <w:szCs w:val="18"/>
              </w:rPr>
              <w:t>M5</w:t>
            </w:r>
          </w:p>
          <w:p w:rsidR="00691415" w:rsidRDefault="00691415" w:rsidP="007F36A8">
            <w:pPr>
              <w:jc w:val="center"/>
            </w:pPr>
            <w:r>
              <w:rPr>
                <w:sz w:val="18"/>
                <w:szCs w:val="18"/>
              </w:rPr>
              <w:t>Koncepce a strategie</w:t>
            </w:r>
          </w:p>
        </w:tc>
        <w:tc>
          <w:tcPr>
            <w:tcW w:w="1420" w:type="dxa"/>
            <w:tcBorders>
              <w:top w:val="nil"/>
              <w:left w:val="single" w:sz="18" w:space="0" w:color="8DB3E2" w:themeColor="text2" w:themeTint="66"/>
              <w:bottom w:val="nil"/>
              <w:right w:val="nil"/>
            </w:tcBorders>
            <w:shd w:val="clear" w:color="auto" w:fill="FFFFFF" w:themeFill="background1"/>
          </w:tcPr>
          <w:p w:rsidR="00691415" w:rsidRDefault="00691415" w:rsidP="007F36A8">
            <w:pPr>
              <w:jc w:val="center"/>
            </w:pPr>
          </w:p>
        </w:tc>
      </w:tr>
    </w:tbl>
    <w:p w:rsidR="00691415" w:rsidRDefault="00691415" w:rsidP="00691415">
      <w:pPr>
        <w:jc w:val="center"/>
      </w:pPr>
    </w:p>
    <w:p w:rsidR="00691415" w:rsidRDefault="00691415" w:rsidP="00691415">
      <w:pPr>
        <w:jc w:val="center"/>
        <w:sectPr w:rsidR="00691415" w:rsidSect="00997F9C">
          <w:pgSz w:w="16838" w:h="11906" w:orient="landscape" w:code="9"/>
          <w:pgMar w:top="1418" w:right="1418" w:bottom="1418" w:left="1418" w:header="510" w:footer="397" w:gutter="0"/>
          <w:cols w:space="708"/>
          <w:docGrid w:linePitch="299"/>
        </w:sectPr>
      </w:pPr>
    </w:p>
    <w:p w:rsidR="00FA2142" w:rsidRPr="00FA2142" w:rsidRDefault="007777EA" w:rsidP="00EE0F1A">
      <w:pPr>
        <w:pStyle w:val="Nadpis1"/>
        <w:rPr>
          <w:rFonts w:eastAsia="Times New Roman"/>
        </w:rPr>
      </w:pPr>
      <w:bookmarkStart w:id="35" w:name="_Toc461901052"/>
      <w:bookmarkStart w:id="36" w:name="_Toc461902434"/>
      <w:bookmarkStart w:id="37" w:name="_Toc461902558"/>
      <w:bookmarkStart w:id="38" w:name="_Toc461901053"/>
      <w:bookmarkStart w:id="39" w:name="_Toc461902435"/>
      <w:bookmarkStart w:id="40" w:name="_Toc461902559"/>
      <w:bookmarkStart w:id="41" w:name="_Toc461901060"/>
      <w:bookmarkStart w:id="42" w:name="_Toc461902442"/>
      <w:bookmarkStart w:id="43" w:name="_Toc461902566"/>
      <w:bookmarkStart w:id="44" w:name="_Toc461901061"/>
      <w:bookmarkStart w:id="45" w:name="_Toc461902443"/>
      <w:bookmarkStart w:id="46" w:name="_Toc461902567"/>
      <w:bookmarkStart w:id="47" w:name="_Toc461901062"/>
      <w:bookmarkStart w:id="48" w:name="_Toc461902444"/>
      <w:bookmarkStart w:id="49" w:name="_Toc461902568"/>
      <w:bookmarkStart w:id="50" w:name="_Toc461901063"/>
      <w:bookmarkStart w:id="51" w:name="_Toc461902445"/>
      <w:bookmarkStart w:id="52" w:name="_Toc461902569"/>
      <w:bookmarkStart w:id="53" w:name="_Toc461901064"/>
      <w:bookmarkStart w:id="54" w:name="_Toc461902446"/>
      <w:bookmarkStart w:id="55" w:name="_Toc461902570"/>
      <w:bookmarkStart w:id="56" w:name="_Toc461901065"/>
      <w:bookmarkStart w:id="57" w:name="_Toc461902447"/>
      <w:bookmarkStart w:id="58" w:name="_Toc461902571"/>
      <w:bookmarkStart w:id="59" w:name="_Toc461901066"/>
      <w:bookmarkStart w:id="60" w:name="_Toc461902448"/>
      <w:bookmarkStart w:id="61" w:name="_Toc461902572"/>
      <w:bookmarkStart w:id="62" w:name="_Toc461901067"/>
      <w:bookmarkStart w:id="63" w:name="_Toc461902449"/>
      <w:bookmarkStart w:id="64" w:name="_Toc461902573"/>
      <w:bookmarkStart w:id="65" w:name="_Toc461901068"/>
      <w:bookmarkStart w:id="66" w:name="_Toc461902450"/>
      <w:bookmarkStart w:id="67" w:name="_Toc461902574"/>
      <w:bookmarkStart w:id="68" w:name="_Toc461901069"/>
      <w:bookmarkStart w:id="69" w:name="_Toc461902451"/>
      <w:bookmarkStart w:id="70" w:name="_Toc461902575"/>
      <w:bookmarkStart w:id="71" w:name="_Toc461901070"/>
      <w:bookmarkStart w:id="72" w:name="_Toc461902452"/>
      <w:bookmarkStart w:id="73" w:name="_Toc461902576"/>
      <w:bookmarkStart w:id="74" w:name="_Toc461901071"/>
      <w:bookmarkStart w:id="75" w:name="_Toc461902453"/>
      <w:bookmarkStart w:id="76" w:name="_Toc461902577"/>
      <w:bookmarkStart w:id="77" w:name="_Toc461901072"/>
      <w:bookmarkStart w:id="78" w:name="_Toc461902454"/>
      <w:bookmarkStart w:id="79" w:name="_Toc461902578"/>
      <w:bookmarkStart w:id="80" w:name="_Toc461901073"/>
      <w:bookmarkStart w:id="81" w:name="_Toc461902455"/>
      <w:bookmarkStart w:id="82" w:name="_Toc461902579"/>
      <w:bookmarkStart w:id="83" w:name="_Toc461901074"/>
      <w:bookmarkStart w:id="84" w:name="_Toc461902456"/>
      <w:bookmarkStart w:id="85" w:name="_Toc461902580"/>
      <w:bookmarkStart w:id="86" w:name="_Toc461901075"/>
      <w:bookmarkStart w:id="87" w:name="_Toc461902457"/>
      <w:bookmarkStart w:id="88" w:name="_Toc461902581"/>
      <w:bookmarkStart w:id="89" w:name="_Toc461901076"/>
      <w:bookmarkStart w:id="90" w:name="_Toc461902458"/>
      <w:bookmarkStart w:id="91" w:name="_Toc461902582"/>
      <w:bookmarkStart w:id="92" w:name="_Toc461901077"/>
      <w:bookmarkStart w:id="93" w:name="_Toc461902459"/>
      <w:bookmarkStart w:id="94" w:name="_Toc461902583"/>
      <w:bookmarkStart w:id="95" w:name="_Toc461901078"/>
      <w:bookmarkStart w:id="96" w:name="_Toc461902460"/>
      <w:bookmarkStart w:id="97" w:name="_Toc461902584"/>
      <w:bookmarkStart w:id="98" w:name="_Toc461901079"/>
      <w:bookmarkStart w:id="99" w:name="_Toc461902461"/>
      <w:bookmarkStart w:id="100" w:name="_Toc461902585"/>
      <w:bookmarkStart w:id="101" w:name="_Toc461901080"/>
      <w:bookmarkStart w:id="102" w:name="_Toc461902462"/>
      <w:bookmarkStart w:id="103" w:name="_Toc461902586"/>
      <w:bookmarkStart w:id="104" w:name="_Toc461901081"/>
      <w:bookmarkStart w:id="105" w:name="_Toc461902463"/>
      <w:bookmarkStart w:id="106" w:name="_Toc461902587"/>
      <w:bookmarkStart w:id="107" w:name="_Toc461901082"/>
      <w:bookmarkStart w:id="108" w:name="_Toc461902464"/>
      <w:bookmarkStart w:id="109" w:name="_Toc461902588"/>
      <w:bookmarkStart w:id="110" w:name="_Toc461901083"/>
      <w:bookmarkStart w:id="111" w:name="_Toc461902465"/>
      <w:bookmarkStart w:id="112" w:name="_Toc461902589"/>
      <w:bookmarkStart w:id="113" w:name="_Toc461901084"/>
      <w:bookmarkStart w:id="114" w:name="_Toc461902466"/>
      <w:bookmarkStart w:id="115" w:name="_Toc461902590"/>
      <w:bookmarkStart w:id="116" w:name="_Toc461901085"/>
      <w:bookmarkStart w:id="117" w:name="_Toc461902467"/>
      <w:bookmarkStart w:id="118" w:name="_Toc461902591"/>
      <w:bookmarkStart w:id="119" w:name="_Toc461901086"/>
      <w:bookmarkStart w:id="120" w:name="_Toc461902468"/>
      <w:bookmarkStart w:id="121" w:name="_Toc461902592"/>
      <w:bookmarkStart w:id="122" w:name="_Toc461901087"/>
      <w:bookmarkStart w:id="123" w:name="_Toc461902469"/>
      <w:bookmarkStart w:id="124" w:name="_Toc461902593"/>
      <w:bookmarkStart w:id="125" w:name="_Toc461901088"/>
      <w:bookmarkStart w:id="126" w:name="_Toc461902470"/>
      <w:bookmarkStart w:id="127" w:name="_Toc461902594"/>
      <w:bookmarkStart w:id="128" w:name="_Toc461901089"/>
      <w:bookmarkStart w:id="129" w:name="_Toc461902471"/>
      <w:bookmarkStart w:id="130" w:name="_Toc461902595"/>
      <w:bookmarkStart w:id="131" w:name="_Toc461901090"/>
      <w:bookmarkStart w:id="132" w:name="_Toc461902472"/>
      <w:bookmarkStart w:id="133" w:name="_Toc461902596"/>
      <w:bookmarkStart w:id="134" w:name="_Toc461901091"/>
      <w:bookmarkStart w:id="135" w:name="_Toc461902473"/>
      <w:bookmarkStart w:id="136" w:name="_Toc461902597"/>
      <w:bookmarkStart w:id="137" w:name="_Toc461901092"/>
      <w:bookmarkStart w:id="138" w:name="_Toc461902474"/>
      <w:bookmarkStart w:id="139" w:name="_Toc461902598"/>
      <w:bookmarkStart w:id="140" w:name="_Toc461901093"/>
      <w:bookmarkStart w:id="141" w:name="_Toc461902475"/>
      <w:bookmarkStart w:id="142" w:name="_Toc461902599"/>
      <w:bookmarkStart w:id="143" w:name="_Toc461901094"/>
      <w:bookmarkStart w:id="144" w:name="_Toc461902476"/>
      <w:bookmarkStart w:id="145" w:name="_Toc461902600"/>
      <w:bookmarkStart w:id="146" w:name="_Toc461901095"/>
      <w:bookmarkStart w:id="147" w:name="_Toc461902477"/>
      <w:bookmarkStart w:id="148" w:name="_Toc461902601"/>
      <w:bookmarkStart w:id="149" w:name="_Toc461901096"/>
      <w:bookmarkStart w:id="150" w:name="_Toc461902478"/>
      <w:bookmarkStart w:id="151" w:name="_Toc461902602"/>
      <w:bookmarkStart w:id="152" w:name="_Toc461901097"/>
      <w:bookmarkStart w:id="153" w:name="_Toc461902479"/>
      <w:bookmarkStart w:id="154" w:name="_Toc461902603"/>
      <w:bookmarkStart w:id="155" w:name="_Toc461901098"/>
      <w:bookmarkStart w:id="156" w:name="_Toc461902480"/>
      <w:bookmarkStart w:id="157" w:name="_Toc461902604"/>
      <w:bookmarkStart w:id="158" w:name="_Toc461901099"/>
      <w:bookmarkStart w:id="159" w:name="_Toc461902481"/>
      <w:bookmarkStart w:id="160" w:name="_Toc461902605"/>
      <w:bookmarkStart w:id="161" w:name="_Toc461901100"/>
      <w:bookmarkStart w:id="162" w:name="_Toc461902482"/>
      <w:bookmarkStart w:id="163" w:name="_Toc461902606"/>
      <w:bookmarkStart w:id="164" w:name="_Toc461901101"/>
      <w:bookmarkStart w:id="165" w:name="_Toc461902483"/>
      <w:bookmarkStart w:id="166" w:name="_Toc461902607"/>
      <w:bookmarkStart w:id="167" w:name="_Toc461901102"/>
      <w:bookmarkStart w:id="168" w:name="_Toc461902484"/>
      <w:bookmarkStart w:id="169" w:name="_Toc461902608"/>
      <w:bookmarkStart w:id="170" w:name="_Toc461901103"/>
      <w:bookmarkStart w:id="171" w:name="_Toc461902485"/>
      <w:bookmarkStart w:id="172" w:name="_Toc461902609"/>
      <w:bookmarkStart w:id="173" w:name="_Toc461901104"/>
      <w:bookmarkStart w:id="174" w:name="_Toc461902486"/>
      <w:bookmarkStart w:id="175" w:name="_Toc461902610"/>
      <w:bookmarkStart w:id="176" w:name="_Toc461901105"/>
      <w:bookmarkStart w:id="177" w:name="_Toc461902487"/>
      <w:bookmarkStart w:id="178" w:name="_Toc461902611"/>
      <w:bookmarkStart w:id="179" w:name="_Toc461901106"/>
      <w:bookmarkStart w:id="180" w:name="_Toc461902488"/>
      <w:bookmarkStart w:id="181" w:name="_Toc461902612"/>
      <w:bookmarkStart w:id="182" w:name="_Toc461901107"/>
      <w:bookmarkStart w:id="183" w:name="_Toc461902489"/>
      <w:bookmarkStart w:id="184" w:name="_Toc461902613"/>
      <w:bookmarkStart w:id="185" w:name="_Toc461901108"/>
      <w:bookmarkStart w:id="186" w:name="_Toc461902490"/>
      <w:bookmarkStart w:id="187" w:name="_Toc461902614"/>
      <w:bookmarkStart w:id="188" w:name="_Toc461901109"/>
      <w:bookmarkStart w:id="189" w:name="_Toc461902491"/>
      <w:bookmarkStart w:id="190" w:name="_Toc461902615"/>
      <w:bookmarkStart w:id="191" w:name="_Toc461901110"/>
      <w:bookmarkStart w:id="192" w:name="_Toc461902492"/>
      <w:bookmarkStart w:id="193" w:name="_Toc461902616"/>
      <w:bookmarkStart w:id="194" w:name="_Toc461901111"/>
      <w:bookmarkStart w:id="195" w:name="_Toc461902493"/>
      <w:bookmarkStart w:id="196" w:name="_Toc461902617"/>
      <w:bookmarkStart w:id="197" w:name="_Toc461901112"/>
      <w:bookmarkStart w:id="198" w:name="_Toc461902494"/>
      <w:bookmarkStart w:id="199" w:name="_Toc461902618"/>
      <w:bookmarkStart w:id="200" w:name="_Toc461901113"/>
      <w:bookmarkStart w:id="201" w:name="_Toc461902495"/>
      <w:bookmarkStart w:id="202" w:name="_Toc461902619"/>
      <w:bookmarkStart w:id="203" w:name="_Toc461901114"/>
      <w:bookmarkStart w:id="204" w:name="_Toc461902496"/>
      <w:bookmarkStart w:id="205" w:name="_Toc461902620"/>
      <w:bookmarkStart w:id="206" w:name="_Toc461901115"/>
      <w:bookmarkStart w:id="207" w:name="_Toc461902497"/>
      <w:bookmarkStart w:id="208" w:name="_Toc461902621"/>
      <w:bookmarkStart w:id="209" w:name="_Toc461901116"/>
      <w:bookmarkStart w:id="210" w:name="_Toc461902498"/>
      <w:bookmarkStart w:id="211" w:name="_Toc461902622"/>
      <w:bookmarkStart w:id="212" w:name="_Toc461901117"/>
      <w:bookmarkStart w:id="213" w:name="_Toc461902499"/>
      <w:bookmarkStart w:id="214" w:name="_Toc461902623"/>
      <w:bookmarkStart w:id="215" w:name="_Toc461901118"/>
      <w:bookmarkStart w:id="216" w:name="_Toc461902500"/>
      <w:bookmarkStart w:id="217" w:name="_Toc461902624"/>
      <w:bookmarkStart w:id="218" w:name="_Toc461901119"/>
      <w:bookmarkStart w:id="219" w:name="_Toc461902501"/>
      <w:bookmarkStart w:id="220" w:name="_Toc461902625"/>
      <w:bookmarkStart w:id="221" w:name="_Toc461901120"/>
      <w:bookmarkStart w:id="222" w:name="_Toc461902502"/>
      <w:bookmarkStart w:id="223" w:name="_Toc461902626"/>
      <w:bookmarkStart w:id="224" w:name="_Toc461901121"/>
      <w:bookmarkStart w:id="225" w:name="_Toc461902503"/>
      <w:bookmarkStart w:id="226" w:name="_Toc461902627"/>
      <w:bookmarkStart w:id="227" w:name="_Toc461901122"/>
      <w:bookmarkStart w:id="228" w:name="_Toc461902504"/>
      <w:bookmarkStart w:id="229" w:name="_Toc461902628"/>
      <w:bookmarkStart w:id="230" w:name="_Toc461901123"/>
      <w:bookmarkStart w:id="231" w:name="_Toc461902505"/>
      <w:bookmarkStart w:id="232" w:name="_Toc461902629"/>
      <w:bookmarkStart w:id="233" w:name="_Toc461901124"/>
      <w:bookmarkStart w:id="234" w:name="_Toc461902506"/>
      <w:bookmarkStart w:id="235" w:name="_Toc461902630"/>
      <w:bookmarkStart w:id="236" w:name="_Toc461901125"/>
      <w:bookmarkStart w:id="237" w:name="_Toc461902507"/>
      <w:bookmarkStart w:id="238" w:name="_Toc461902631"/>
      <w:bookmarkStart w:id="239" w:name="_Toc461901126"/>
      <w:bookmarkStart w:id="240" w:name="_Toc461902508"/>
      <w:bookmarkStart w:id="241" w:name="_Toc461902632"/>
      <w:bookmarkStart w:id="242" w:name="_Toc461901127"/>
      <w:bookmarkStart w:id="243" w:name="_Toc461902509"/>
      <w:bookmarkStart w:id="244" w:name="_Toc461902633"/>
      <w:bookmarkStart w:id="245" w:name="_Toc461901128"/>
      <w:bookmarkStart w:id="246" w:name="_Toc461902510"/>
      <w:bookmarkStart w:id="247" w:name="_Toc461902634"/>
      <w:bookmarkStart w:id="248" w:name="_Toc461901129"/>
      <w:bookmarkStart w:id="249" w:name="_Toc461902511"/>
      <w:bookmarkStart w:id="250" w:name="_Toc461902635"/>
      <w:bookmarkStart w:id="251" w:name="_Toc461901130"/>
      <w:bookmarkStart w:id="252" w:name="_Toc461902512"/>
      <w:bookmarkStart w:id="253" w:name="_Toc461902636"/>
      <w:bookmarkStart w:id="254" w:name="_Toc461901131"/>
      <w:bookmarkStart w:id="255" w:name="_Toc461902513"/>
      <w:bookmarkStart w:id="256" w:name="_Toc461902637"/>
      <w:bookmarkStart w:id="257" w:name="_Toc461901132"/>
      <w:bookmarkStart w:id="258" w:name="_Toc461902514"/>
      <w:bookmarkStart w:id="259" w:name="_Toc461902638"/>
      <w:bookmarkStart w:id="260" w:name="_Toc461901133"/>
      <w:bookmarkStart w:id="261" w:name="_Toc461902515"/>
      <w:bookmarkStart w:id="262" w:name="_Toc461902639"/>
      <w:bookmarkStart w:id="263" w:name="_Toc461901134"/>
      <w:bookmarkStart w:id="264" w:name="_Toc461902516"/>
      <w:bookmarkStart w:id="265" w:name="_Toc461902640"/>
      <w:bookmarkStart w:id="266" w:name="_Toc461901135"/>
      <w:bookmarkStart w:id="267" w:name="_Toc461902517"/>
      <w:bookmarkStart w:id="268" w:name="_Toc461902641"/>
      <w:bookmarkStart w:id="269" w:name="_Toc461901136"/>
      <w:bookmarkStart w:id="270" w:name="_Toc461902518"/>
      <w:bookmarkStart w:id="271" w:name="_Toc461902642"/>
      <w:bookmarkStart w:id="272" w:name="_Toc461901137"/>
      <w:bookmarkStart w:id="273" w:name="_Toc461902519"/>
      <w:bookmarkStart w:id="274" w:name="_Toc461902643"/>
      <w:bookmarkStart w:id="275" w:name="_Toc461901138"/>
      <w:bookmarkStart w:id="276" w:name="_Toc461902520"/>
      <w:bookmarkStart w:id="277" w:name="_Toc461902644"/>
      <w:bookmarkStart w:id="278" w:name="_Toc461901139"/>
      <w:bookmarkStart w:id="279" w:name="_Toc461902521"/>
      <w:bookmarkStart w:id="280" w:name="_Toc461902645"/>
      <w:bookmarkStart w:id="281" w:name="_Toc462064489"/>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Pr>
          <w:rFonts w:eastAsia="Times New Roman"/>
        </w:rPr>
        <w:lastRenderedPageBreak/>
        <w:t>M</w:t>
      </w:r>
      <w:r w:rsidR="00FA2142" w:rsidRPr="00FA2142">
        <w:rPr>
          <w:rFonts w:eastAsia="Times New Roman"/>
        </w:rPr>
        <w:t>etodika hodnocení výzkumných organizací v segmentu re</w:t>
      </w:r>
      <w:r w:rsidR="00345DE0">
        <w:rPr>
          <w:rFonts w:eastAsia="Times New Roman"/>
        </w:rPr>
        <w:t>z</w:t>
      </w:r>
      <w:r w:rsidR="00FA2142" w:rsidRPr="00FA2142">
        <w:rPr>
          <w:rFonts w:eastAsia="Times New Roman"/>
        </w:rPr>
        <w:t>ortů</w:t>
      </w:r>
      <w:bookmarkEnd w:id="281"/>
      <w:r w:rsidR="00FA2142" w:rsidRPr="00FA2142">
        <w:rPr>
          <w:rFonts w:eastAsia="Times New Roman"/>
        </w:rPr>
        <w:t xml:space="preserve"> </w:t>
      </w:r>
    </w:p>
    <w:p w:rsidR="005B0DD0" w:rsidRPr="00A165F6" w:rsidRDefault="005B0DD0" w:rsidP="005B0DD0">
      <w:pPr>
        <w:pStyle w:val="Nadpis2"/>
        <w:ind w:left="709" w:hanging="709"/>
      </w:pPr>
      <w:bookmarkStart w:id="282" w:name="_Toc462064490"/>
      <w:bookmarkStart w:id="283" w:name="_Toc458683667"/>
      <w:r w:rsidRPr="00A165F6">
        <w:t>Úvod</w:t>
      </w:r>
      <w:bookmarkEnd w:id="282"/>
    </w:p>
    <w:p w:rsidR="005B0DD0" w:rsidRPr="005F0003" w:rsidRDefault="005B0DD0" w:rsidP="005B0DD0">
      <w:r w:rsidRPr="005F0003">
        <w:t>Metodika hodnocení výzkumných organizací a jejich výsledků 2017+ (dále jen „M2017+“) je předpisem, který naplňuje platné znění příslušných zákonů, týkajících se hodnocení a poskytování institucionální podpory na dlouhodobý koncepční rozvoj výzkumných organizací (dále jen „</w:t>
      </w:r>
      <w:r>
        <w:t>DKRVO</w:t>
      </w:r>
      <w:r w:rsidRPr="005F0003">
        <w:t>“). Jedná se zejména o zákon č. 130/200</w:t>
      </w:r>
      <w:r>
        <w:t>2</w:t>
      </w:r>
      <w:r w:rsidRPr="005F0003">
        <w:t xml:space="preserve"> Sb., o podpoře výzkumu, experimentálního vývoje a inovací z veřejných prostředků a o změně souvisejících zákonů (zákon o podpoře výzkumu, experimentálního vývoje a inovací), ve znění pozdějších předpisů (dále jen „zákon č. 130/2002 Sb.“)</w:t>
      </w:r>
      <w:r w:rsidRPr="005F0003">
        <w:rPr>
          <w:rStyle w:val="Znakapoznpodarou"/>
        </w:rPr>
        <w:footnoteReference w:id="5"/>
      </w:r>
      <w:r w:rsidRPr="005F0003">
        <w:t xml:space="preserve"> a o zákon č. 218/2000 Sb., o rozpočtových pravidlech a o změně některých souvisejících zákonů (rozpočtová pravidla), ve znění pozdějších předpisů (dále jen „zákon č. 218/2000 Sb.“), podle kterých hodnotí výzkumné organizace (konkrétně hodnotí účelnost dotace na dlouhodobý koncepční rozvoj výzkumné organizace)</w:t>
      </w:r>
      <w:r w:rsidRPr="005F0003">
        <w:rPr>
          <w:b/>
        </w:rPr>
        <w:t xml:space="preserve"> </w:t>
      </w:r>
      <w:r w:rsidRPr="005F0003">
        <w:t>poskytovatel a výsledky výzkumné organizace hodnotí Rada pro výzkum, vývoj a inovace (dále jen „RVVI“) s Úřadem vlády České republiky, sekcí pro vědu, výzkum a inovace (dále jen „ÚV ČR“).</w:t>
      </w:r>
    </w:p>
    <w:p w:rsidR="005B0DD0" w:rsidRPr="005F0003" w:rsidRDefault="005B0DD0" w:rsidP="005B0DD0">
      <w:r w:rsidRPr="005F0003">
        <w:t xml:space="preserve">M2017+ </w:t>
      </w:r>
      <w:r>
        <w:t xml:space="preserve">(resorty) </w:t>
      </w:r>
      <w:r w:rsidRPr="005F0003">
        <w:t>je předpisem, který stanovuje minimální rozsah, podmínky a krit</w:t>
      </w:r>
      <w:r>
        <w:t>é</w:t>
      </w:r>
      <w:r w:rsidRPr="005F0003">
        <w:t xml:space="preserve">ria hodnocení, která si příslušný poskytovatel specifikuje, popř. rozšíří, podle zaměření výzkumných organizací (dále jen „VO“), které institucionálně podporuje. M2017+ je tedy společná metodika poskytovatelů podpory na </w:t>
      </w:r>
      <w:r>
        <w:t>DKRVO</w:t>
      </w:r>
      <w:r w:rsidRPr="005F0003">
        <w:t xml:space="preserve">, kterou ve vybraných a označených částech poskytovatelé dopracují a specifikují dle svého zaměření a potřeb s tím, že principy hodnocení nesmí měnit. M2017+ využívá všech zkušeností z dosavadních hodnocení institucionální podpory od r. 1999 (od hodnocení výzkumných záměrů až po Metodiku 2013-16), podnětů IPn Metodiky, výsledků hodnocení pracovišť AV ČR 2015, mezinárodních zkušeností a dalších zdrojů. M2017+ současně poprvé propojuje dvě dosud nezávisle probíhající hodnocení – hodnocení výsledků VO prováděné RVVI/ÚV ČR a hodnocení dlouhodobé koncepce rozvoje VO, které v rámci posuzování </w:t>
      </w:r>
      <w:r>
        <w:t>podkladů pro poskytnutí podpory</w:t>
      </w:r>
      <w:r w:rsidRPr="005F0003">
        <w:t xml:space="preserve"> provádí poskytovatel.</w:t>
      </w:r>
    </w:p>
    <w:p w:rsidR="005B0DD0" w:rsidRPr="005F0003" w:rsidRDefault="005B0DD0" w:rsidP="006B7162">
      <w:pPr>
        <w:pStyle w:val="Nadpis2"/>
        <w:ind w:left="567"/>
      </w:pPr>
      <w:bookmarkStart w:id="284" w:name="_Toc458683668"/>
      <w:bookmarkStart w:id="285" w:name="_Toc462064491"/>
      <w:r w:rsidRPr="005F0003">
        <w:t>Obecné zásady hodnocení</w:t>
      </w:r>
      <w:bookmarkEnd w:id="284"/>
      <w:r>
        <w:t xml:space="preserve"> </w:t>
      </w:r>
      <w:r w:rsidRPr="00FA2142">
        <w:rPr>
          <w:rFonts w:eastAsia="Times New Roman"/>
        </w:rPr>
        <w:t>v segmentu re</w:t>
      </w:r>
      <w:r>
        <w:rPr>
          <w:rFonts w:eastAsia="Times New Roman"/>
        </w:rPr>
        <w:t>z</w:t>
      </w:r>
      <w:r w:rsidRPr="00FA2142">
        <w:rPr>
          <w:rFonts w:eastAsia="Times New Roman"/>
        </w:rPr>
        <w:t>ortů</w:t>
      </w:r>
      <w:bookmarkEnd w:id="285"/>
    </w:p>
    <w:p w:rsidR="005B0DD0" w:rsidRPr="00A165F6" w:rsidRDefault="005B0DD0" w:rsidP="006B7162">
      <w:pPr>
        <w:pStyle w:val="Nadpis3"/>
      </w:pPr>
      <w:bookmarkStart w:id="286" w:name="_Toc462064492"/>
      <w:r w:rsidRPr="00A165F6">
        <w:t>Cíle hodnocení</w:t>
      </w:r>
      <w:bookmarkEnd w:id="286"/>
    </w:p>
    <w:p w:rsidR="005B0DD0" w:rsidRPr="005F0003" w:rsidRDefault="005B0DD0" w:rsidP="005B0DD0">
      <w:r>
        <w:t>C</w:t>
      </w:r>
      <w:r w:rsidRPr="005F0003">
        <w:t>íl hodnocení</w:t>
      </w:r>
      <w:r w:rsidRPr="005F0003">
        <w:rPr>
          <w:sz w:val="24"/>
        </w:rPr>
        <w:t xml:space="preserve"> </w:t>
      </w:r>
      <w:r w:rsidRPr="005F0003">
        <w:t>výzkumných organizací a jejich výsledků</w:t>
      </w:r>
      <w:r w:rsidRPr="005F0003">
        <w:rPr>
          <w:sz w:val="24"/>
        </w:rPr>
        <w:t xml:space="preserve"> </w:t>
      </w:r>
      <w:r w:rsidRPr="005F0003">
        <w:t xml:space="preserve">je stanoven zákony č. 130/2002 Sb. a 218/2000 Sb. </w:t>
      </w:r>
      <w:r>
        <w:t>J</w:t>
      </w:r>
      <w:r w:rsidRPr="005F0003">
        <w:t xml:space="preserve">e jím </w:t>
      </w:r>
      <w:r>
        <w:t xml:space="preserve">zejména </w:t>
      </w:r>
      <w:r w:rsidRPr="005F0003">
        <w:t xml:space="preserve">poskytování institucionální podpory na </w:t>
      </w:r>
      <w:r>
        <w:t>DKRVO</w:t>
      </w:r>
      <w:r w:rsidRPr="005F0003">
        <w:t xml:space="preserve"> v souladu s platnými předpisy</w:t>
      </w:r>
      <w:r>
        <w:t>,</w:t>
      </w:r>
      <w:r w:rsidRPr="005F0003">
        <w:t xml:space="preserve"> získávání informací pro řízení systému výzkumu, vývoj</w:t>
      </w:r>
      <w:r>
        <w:t>e</w:t>
      </w:r>
      <w:r w:rsidRPr="005F0003">
        <w:t xml:space="preserve"> a inovací (dále jen „VaVaI“) v ČR jako celku, informací pro plnění úloh poskytovatelů a pro dlouhodobé řízení VO jejich managementem.</w:t>
      </w:r>
    </w:p>
    <w:p w:rsidR="005B0DD0" w:rsidRPr="00A165F6" w:rsidRDefault="005B0DD0" w:rsidP="006B7162">
      <w:pPr>
        <w:pStyle w:val="Nadpis3"/>
      </w:pPr>
      <w:bookmarkStart w:id="287" w:name="_Toc462064493"/>
      <w:r w:rsidRPr="00A165F6">
        <w:t>Principy a zásady hodnocení</w:t>
      </w:r>
      <w:bookmarkEnd w:id="287"/>
    </w:p>
    <w:p w:rsidR="005B0DD0" w:rsidRPr="005F0003" w:rsidRDefault="005B0DD0" w:rsidP="005B0DD0">
      <w:r w:rsidRPr="005F0003">
        <w:t>Tato část shrnuje základní principy hodnocení, které při specifikaci M2017+ příslušnými poskytovateli musí být dodrženy.</w:t>
      </w:r>
    </w:p>
    <w:p w:rsidR="005B0DD0" w:rsidRPr="008B1B87" w:rsidRDefault="005B0DD0" w:rsidP="005B0DD0">
      <w:pPr>
        <w:keepNext/>
        <w:rPr>
          <w:u w:val="single"/>
        </w:rPr>
      </w:pPr>
      <w:r w:rsidRPr="008B1B87">
        <w:rPr>
          <w:u w:val="single"/>
        </w:rPr>
        <w:lastRenderedPageBreak/>
        <w:t>1.</w:t>
      </w:r>
      <w:r w:rsidRPr="008B1B87">
        <w:rPr>
          <w:u w:val="single"/>
        </w:rPr>
        <w:tab/>
        <w:t>VO hodnotí poskytovatel a výsledky VO hodnotí RVVI/ÚV ČR</w:t>
      </w:r>
    </w:p>
    <w:p w:rsidR="005B0DD0" w:rsidRPr="005F0003" w:rsidRDefault="005B0DD0" w:rsidP="005B0DD0">
      <w:r w:rsidRPr="005F0003">
        <w:t xml:space="preserve">Poskytovatel institucionální podpory na </w:t>
      </w:r>
      <w:r>
        <w:t>DKRVO</w:t>
      </w:r>
      <w:r w:rsidRPr="005F0003">
        <w:t xml:space="preserve"> hodnotí žádost VO o dotaci </w:t>
      </w:r>
      <w:r>
        <w:t xml:space="preserve">a podklady pro poskytnutí podpory </w:t>
      </w:r>
      <w:r w:rsidRPr="005F0003">
        <w:t>podle § 14 odst. 3 zákona č. 218/2000 Sb., kde hodnotí zejm. účel dotace popsaný</w:t>
      </w:r>
      <w:r>
        <w:t xml:space="preserve"> v</w:t>
      </w:r>
      <w:r w:rsidRPr="005F0003">
        <w:t xml:space="preserve"> dlouhodobé koncepci rozvoje VO hodnocením „peer review“ pomocí odborného poradního orgánu nebo orgánů. RVVI/ÚV ČR zajišťuje zejm. každoroční hodnocení výsledků VO s využitím informačního systému výzkumu, vývoje a inovací (dále jen „IS VaVaI“) podle § 35 odst. 2 písm. d)</w:t>
      </w:r>
      <w:r>
        <w:t xml:space="preserve"> a h) </w:t>
      </w:r>
      <w:r w:rsidRPr="005F0003">
        <w:t>zákona č. 130/2002 Sb.</w:t>
      </w:r>
    </w:p>
    <w:p w:rsidR="005B0DD0" w:rsidRPr="008B1B87" w:rsidRDefault="005B0DD0" w:rsidP="005B0DD0">
      <w:pPr>
        <w:rPr>
          <w:u w:val="single"/>
        </w:rPr>
      </w:pPr>
      <w:r w:rsidRPr="008B1B87">
        <w:rPr>
          <w:u w:val="single"/>
        </w:rPr>
        <w:t>2.</w:t>
      </w:r>
      <w:r w:rsidRPr="008B1B87">
        <w:rPr>
          <w:u w:val="single"/>
        </w:rPr>
        <w:tab/>
        <w:t xml:space="preserve">Výše podpory na </w:t>
      </w:r>
      <w:r>
        <w:rPr>
          <w:u w:val="single"/>
        </w:rPr>
        <w:t>DKRVO</w:t>
      </w:r>
      <w:r w:rsidRPr="008B1B87">
        <w:rPr>
          <w:u w:val="single"/>
        </w:rPr>
        <w:t xml:space="preserve"> pro poskytovatele je dána SR VaVaI na daný rok</w:t>
      </w:r>
    </w:p>
    <w:p w:rsidR="005B0DD0" w:rsidRDefault="005B0DD0" w:rsidP="005B0DD0">
      <w:r w:rsidRPr="005F0003">
        <w:t xml:space="preserve">Výše podpory na </w:t>
      </w:r>
      <w:r>
        <w:t>DKRVO</w:t>
      </w:r>
      <w:r w:rsidRPr="005F0003">
        <w:t xml:space="preserve"> pro jednotlivé rozpočtové kapitoly je primárně dána výsledky jednání o návrhu státního rozpočtu na výzkum, vývoje a inovace (dále jen „SR VaVaI“), vycházející z platné Národní politiky výzkumu, vývoje a inovací České republiky na léta 2016 – 2020 (dále jen „NP VaVaI“)</w:t>
      </w:r>
      <w:r w:rsidRPr="008D1997">
        <w:rPr>
          <w:vertAlign w:val="superscript"/>
        </w:rPr>
        <w:footnoteReference w:id="6"/>
      </w:r>
      <w:r w:rsidRPr="005F0003">
        <w:t xml:space="preserve">, střednědobého rozpočtového výhledu atd., nikoliv pouze hodnocením výsledků VO prováděného RVVI/ÚV ČR. Hodnocení výsledků VO RVVI/ÚV ČR je podle § 5a odst. 2 písm. b) zákona č. 130/2002 Sb. jedním z podkladů pro přípravu prvního návrhu SR VaVaI RVVI/ÚV ČR. Vzhledem k odlišnému zaměření a účelu, ke kterému byly zřízeny VO v kompetenci jednotlivých poskytovatelů, nelze hodnocení přímo promítat do návrhu SR VaVaI. </w:t>
      </w:r>
    </w:p>
    <w:p w:rsidR="00001D22" w:rsidRPr="005F0003" w:rsidRDefault="00001D22" w:rsidP="005B0DD0">
      <w:r>
        <w:t>Pro jednání s poskytovateli o dané věci bude RVVI/Sekcí VVI připraveno roční hodnocení a přehledný analytický podklad pro danou oblast výzkumu vypracovaný pro potřeby sledování dlouhodobého vývoje VVI v dané oblasti především aplikovaného výzkumu.</w:t>
      </w:r>
    </w:p>
    <w:p w:rsidR="005B0DD0" w:rsidRPr="008B1B87" w:rsidRDefault="005B0DD0" w:rsidP="005B0DD0">
      <w:pPr>
        <w:rPr>
          <w:u w:val="single"/>
        </w:rPr>
      </w:pPr>
      <w:r w:rsidRPr="008B1B87">
        <w:rPr>
          <w:u w:val="single"/>
        </w:rPr>
        <w:t>3</w:t>
      </w:r>
      <w:r>
        <w:rPr>
          <w:u w:val="single"/>
        </w:rPr>
        <w:t>.</w:t>
      </w:r>
      <w:r>
        <w:rPr>
          <w:u w:val="single"/>
        </w:rPr>
        <w:tab/>
      </w:r>
      <w:r w:rsidRPr="008B1B87">
        <w:rPr>
          <w:u w:val="single"/>
        </w:rPr>
        <w:t>Pětiletý hodnotící cyklus poskytovatelů</w:t>
      </w:r>
    </w:p>
    <w:p w:rsidR="005B0DD0" w:rsidRDefault="005B0DD0" w:rsidP="005B0DD0">
      <w:r w:rsidRPr="005F0003">
        <w:t>Poskytovatel po zhodnocení dlouhodobé koncepc</w:t>
      </w:r>
      <w:r>
        <w:t>e</w:t>
      </w:r>
      <w:r w:rsidRPr="005F0003">
        <w:t xml:space="preserve"> rozvoje VO v r. 2017 specifikující účel dotace, v dalších pěti letech sleduje její plnění s využitím každoročně RVVI/ÚV ČR prováděného hodnocení výsledků VO. V r. 2022 nejprve vyhodnotí splnění předchozí dlouhodobé koncepc</w:t>
      </w:r>
      <w:r>
        <w:t>e</w:t>
      </w:r>
      <w:r w:rsidRPr="005F0003">
        <w:t xml:space="preserve"> rozvoje VO v letech 2018 - 2022 a s využitím výsledků tohoto hodnocení návazně hodnotí dlouhodobou koncepci rozvoje VO na dalších pět let. Výsledky vstupního a závěrečného hodnocení poskytovatel zveřejní.</w:t>
      </w:r>
    </w:p>
    <w:p w:rsidR="005B0DD0" w:rsidRPr="00DC3EC4" w:rsidRDefault="005B0DD0" w:rsidP="005B0DD0">
      <w:r w:rsidRPr="00DC3EC4">
        <w:rPr>
          <w:u w:val="single"/>
        </w:rPr>
        <w:t xml:space="preserve">4. </w:t>
      </w:r>
      <w:r>
        <w:rPr>
          <w:u w:val="single"/>
        </w:rPr>
        <w:tab/>
      </w:r>
      <w:r w:rsidRPr="00DC3EC4">
        <w:rPr>
          <w:u w:val="single"/>
        </w:rPr>
        <w:t>Výchozí</w:t>
      </w:r>
      <w:r w:rsidRPr="008B1B87">
        <w:rPr>
          <w:u w:val="single"/>
        </w:rPr>
        <w:t xml:space="preserve"> stav podpory a jeho změny</w:t>
      </w:r>
    </w:p>
    <w:p w:rsidR="005B0DD0" w:rsidRPr="00A165F6" w:rsidRDefault="005B0DD0" w:rsidP="005B0DD0">
      <w:r w:rsidRPr="00A165F6">
        <w:t xml:space="preserve">Za předpokladu, že daná VO bude uvedena v Seznamu VO podle § 33a zákona č. 130/2002 Sb. a bude zhodnocena podle této Metodiky 2017+ specifikované poskytovatelem, poskytovatel ji může </w:t>
      </w:r>
      <w:r>
        <w:t xml:space="preserve">výchozí </w:t>
      </w:r>
      <w:r w:rsidRPr="00A165F6">
        <w:t xml:space="preserve">podporu upravit maximálně o +/- 5 % ročně. Rozšíření počtu podporovaných VO nezakládá nárok na zvýšení podpory na </w:t>
      </w:r>
      <w:r>
        <w:t>DKRVO</w:t>
      </w:r>
      <w:r w:rsidRPr="00A165F6">
        <w:t xml:space="preserve"> jeho rozpočtové kapitoly. </w:t>
      </w:r>
    </w:p>
    <w:p w:rsidR="005B0DD0" w:rsidRPr="008B1B87" w:rsidRDefault="005B0DD0" w:rsidP="005B0DD0">
      <w:pPr>
        <w:rPr>
          <w:u w:val="single"/>
        </w:rPr>
      </w:pPr>
      <w:r>
        <w:rPr>
          <w:u w:val="single"/>
        </w:rPr>
        <w:t>5</w:t>
      </w:r>
      <w:r w:rsidRPr="008B1B87">
        <w:rPr>
          <w:u w:val="single"/>
        </w:rPr>
        <w:t>.</w:t>
      </w:r>
      <w:r w:rsidRPr="008B1B87">
        <w:rPr>
          <w:u w:val="single"/>
        </w:rPr>
        <w:tab/>
        <w:t>Postup při ukončení účelové podpory na činnosti zajišťované některými VO</w:t>
      </w:r>
    </w:p>
    <w:p w:rsidR="005B0DD0" w:rsidRPr="00A165F6" w:rsidRDefault="005B0DD0" w:rsidP="005B0DD0">
      <w:r w:rsidRPr="00A165F6">
        <w:t xml:space="preserve">Pokud dojde na základě usnesení vlády k </w:t>
      </w:r>
      <w:r w:rsidRPr="005F0003">
        <w:t xml:space="preserve">ukončení účelové podpory na činnosti zajišťované některými VO, </w:t>
      </w:r>
      <w:r w:rsidRPr="00A165F6">
        <w:t>tj. dojde k převedení účelových do institucionálních prostředků (např. podpory na Národní program udržitelnosti I. a II. podle usn</w:t>
      </w:r>
      <w:r w:rsidR="00001D22">
        <w:t>esení</w:t>
      </w:r>
      <w:r w:rsidRPr="00A165F6">
        <w:t xml:space="preserve"> vlády č. 1067/2015), budou prostředky převedeny konkrétním VO navýšením jejich výdajů.</w:t>
      </w:r>
    </w:p>
    <w:p w:rsidR="005B0DD0" w:rsidRPr="008B1B87" w:rsidRDefault="005B0DD0" w:rsidP="005B0DD0">
      <w:pPr>
        <w:rPr>
          <w:u w:val="single"/>
        </w:rPr>
      </w:pPr>
      <w:r>
        <w:rPr>
          <w:u w:val="single"/>
        </w:rPr>
        <w:lastRenderedPageBreak/>
        <w:t>6</w:t>
      </w:r>
      <w:r w:rsidRPr="008B1B87">
        <w:rPr>
          <w:u w:val="single"/>
        </w:rPr>
        <w:t>.</w:t>
      </w:r>
      <w:r w:rsidRPr="008B1B87">
        <w:rPr>
          <w:u w:val="single"/>
        </w:rPr>
        <w:tab/>
        <w:t>Výsledky hodnocení poskytovatelů slouží primárně k zaměření rozvoje dané VO</w:t>
      </w:r>
    </w:p>
    <w:p w:rsidR="005B0DD0" w:rsidRPr="00A165F6" w:rsidRDefault="005B0DD0" w:rsidP="005B0DD0">
      <w:r w:rsidRPr="00A165F6">
        <w:t>V případě, že dlouhodobá koncepc</w:t>
      </w:r>
      <w:r>
        <w:t>e</w:t>
      </w:r>
      <w:r w:rsidRPr="00A165F6">
        <w:t xml:space="preserve"> rozvoje VO není v některé části při hodnocení poskytovatelem schválena, musí ji příslušná VO přepracovat </w:t>
      </w:r>
      <w:r>
        <w:t xml:space="preserve">podle připomínek z hodnocení </w:t>
      </w:r>
      <w:r w:rsidRPr="00A165F6">
        <w:t>a musí být poskytovatelem znovu zhodnocena. Teprve v případě opakovaného neschválení této koncepce poskytovatel přikročí ke krácení výše podpory odpovídajícím způsobem a prostředky rozdělí mezi ostatní VO ve své kompetenci.</w:t>
      </w:r>
    </w:p>
    <w:p w:rsidR="005B0DD0" w:rsidRPr="008B1B87" w:rsidRDefault="005B0DD0" w:rsidP="005B0DD0">
      <w:pPr>
        <w:rPr>
          <w:u w:val="single"/>
        </w:rPr>
      </w:pPr>
      <w:r>
        <w:rPr>
          <w:u w:val="single"/>
        </w:rPr>
        <w:t>7</w:t>
      </w:r>
      <w:r w:rsidRPr="008B1B87">
        <w:rPr>
          <w:u w:val="single"/>
        </w:rPr>
        <w:t>.</w:t>
      </w:r>
      <w:r w:rsidRPr="008B1B87">
        <w:rPr>
          <w:u w:val="single"/>
        </w:rPr>
        <w:tab/>
        <w:t>Upřesněné definice výsledků a kritérií jejich ověřitelnosti</w:t>
      </w:r>
    </w:p>
    <w:p w:rsidR="005B0DD0" w:rsidRPr="005F0003" w:rsidRDefault="005B0DD0" w:rsidP="005B0DD0">
      <w:pPr>
        <w:rPr>
          <w:u w:val="single"/>
        </w:rPr>
      </w:pPr>
      <w:r w:rsidRPr="00A165F6">
        <w:t xml:space="preserve">M2017+ upřesňuje </w:t>
      </w:r>
      <w:r w:rsidRPr="005F0003">
        <w:t xml:space="preserve">definice </w:t>
      </w:r>
      <w:r w:rsidR="00A13D89">
        <w:t xml:space="preserve">druhů </w:t>
      </w:r>
      <w:r w:rsidRPr="005F0003">
        <w:t>výsledků</w:t>
      </w:r>
      <w:r w:rsidR="00A13D89">
        <w:t xml:space="preserve"> a další náležitosti  v souladu s částí 1.3. tohoto materiálu. </w:t>
      </w:r>
      <w:r w:rsidR="00C67FBC">
        <w:rPr>
          <w:u w:val="single"/>
        </w:rPr>
        <w:t>8.</w:t>
      </w:r>
      <w:r w:rsidR="00C67FBC">
        <w:rPr>
          <w:u w:val="single"/>
        </w:rPr>
        <w:tab/>
      </w:r>
      <w:r w:rsidRPr="00DC3EC4">
        <w:rPr>
          <w:u w:val="single"/>
        </w:rPr>
        <w:t>Postup</w:t>
      </w:r>
      <w:r w:rsidRPr="005F0003">
        <w:rPr>
          <w:u w:val="single"/>
        </w:rPr>
        <w:t xml:space="preserve"> při neprovedení hodnocení</w:t>
      </w:r>
    </w:p>
    <w:p w:rsidR="005B0DD0" w:rsidRPr="00A165F6" w:rsidRDefault="005B0DD0" w:rsidP="005B0DD0">
      <w:r w:rsidRPr="00A165F6">
        <w:t>Pokud nebude z jakéhokoliv důvodu hodnocení RVVI/ÚV ČR nebo poskytovatele provedeno, platí výsledky posledního provedeného hodnocení.</w:t>
      </w:r>
    </w:p>
    <w:p w:rsidR="005B0DD0" w:rsidRPr="005F0003" w:rsidRDefault="005B0DD0" w:rsidP="005B0DD0">
      <w:pPr>
        <w:rPr>
          <w:u w:val="single"/>
        </w:rPr>
      </w:pPr>
      <w:r>
        <w:rPr>
          <w:u w:val="single"/>
        </w:rPr>
        <w:t>9</w:t>
      </w:r>
      <w:r w:rsidRPr="005F0003">
        <w:rPr>
          <w:u w:val="single"/>
        </w:rPr>
        <w:t>.</w:t>
      </w:r>
      <w:r w:rsidRPr="005F0003">
        <w:rPr>
          <w:u w:val="single"/>
        </w:rPr>
        <w:tab/>
        <w:t>Vazba hodnocení poskytovatele na přípravu návrhu SR VaVaI</w:t>
      </w:r>
    </w:p>
    <w:p w:rsidR="005B0DD0" w:rsidRPr="00A165F6" w:rsidRDefault="005B0DD0" w:rsidP="005B0DD0">
      <w:r w:rsidRPr="00A165F6">
        <w:t xml:space="preserve">Pro účely přípravy návrhu SR VaVaI má RVVI/ÚV ČR právo si od poskytovatele vyžádat úplné podklady k hodnocení na úrovni poskytovatele. </w:t>
      </w:r>
    </w:p>
    <w:p w:rsidR="005B0DD0" w:rsidRPr="005F0003" w:rsidRDefault="005B0DD0" w:rsidP="006B7162">
      <w:pPr>
        <w:pStyle w:val="Nadpis3"/>
      </w:pPr>
      <w:bookmarkStart w:id="288" w:name="_Toc462064494"/>
      <w:r w:rsidRPr="005F0003">
        <w:t>Termíny hodnocení</w:t>
      </w:r>
      <w:bookmarkEnd w:id="288"/>
    </w:p>
    <w:p w:rsidR="005B0DD0" w:rsidRDefault="005B0DD0" w:rsidP="005B0DD0">
      <w:r w:rsidRPr="005F0003">
        <w:t xml:space="preserve">V této kapitole jsou chronologicky popsány termíny jednotlivých etap hodnocení a financování </w:t>
      </w:r>
      <w:r>
        <w:t>DKRVO</w:t>
      </w:r>
      <w:r w:rsidRPr="005F0003">
        <w:t xml:space="preserve"> tak, jak na sebe časově navazují (po schválení M2017+ a metodik jednotlivých poskytovatelů).</w:t>
      </w:r>
    </w:p>
    <w:p w:rsidR="005B0DD0" w:rsidRPr="005B0DD0" w:rsidRDefault="005B0DD0" w:rsidP="005B0DD0">
      <w:pPr>
        <w:pStyle w:val="Nadpis2"/>
        <w:ind w:left="709" w:hanging="709"/>
      </w:pPr>
      <w:bookmarkStart w:id="289" w:name="_Toc462064495"/>
      <w:r w:rsidRPr="005B0DD0">
        <w:t>Hodnocení VO podle dlouhodobé koncepce rozvoje VO prováděné poskytovatelem</w:t>
      </w:r>
      <w:bookmarkEnd w:id="289"/>
    </w:p>
    <w:tbl>
      <w:tblPr>
        <w:tblW w:w="9180" w:type="dxa"/>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60"/>
        <w:gridCol w:w="6401"/>
        <w:gridCol w:w="1098"/>
        <w:gridCol w:w="1321"/>
      </w:tblGrid>
      <w:tr w:rsidR="005B0DD0" w:rsidRPr="00FA6092" w:rsidTr="005B0DD0">
        <w:trPr>
          <w:tblHeader/>
        </w:trPr>
        <w:tc>
          <w:tcPr>
            <w:tcW w:w="360" w:type="dxa"/>
            <w:tcBorders>
              <w:top w:val="single" w:sz="12" w:space="0" w:color="auto"/>
              <w:left w:val="single" w:sz="12" w:space="0" w:color="auto"/>
              <w:bottom w:val="single" w:sz="12" w:space="0" w:color="auto"/>
            </w:tcBorders>
            <w:shd w:val="clear" w:color="auto" w:fill="B3B3B3"/>
          </w:tcPr>
          <w:p w:rsidR="005B0DD0" w:rsidRPr="00FA6092" w:rsidRDefault="005B0DD0" w:rsidP="005B0DD0">
            <w:pPr>
              <w:spacing w:before="60" w:after="0"/>
              <w:jc w:val="center"/>
              <w:rPr>
                <w:sz w:val="20"/>
                <w:szCs w:val="20"/>
              </w:rPr>
            </w:pPr>
            <w:r w:rsidRPr="00FA6092">
              <w:rPr>
                <w:sz w:val="20"/>
                <w:szCs w:val="20"/>
              </w:rPr>
              <w:t>č.</w:t>
            </w:r>
          </w:p>
        </w:tc>
        <w:tc>
          <w:tcPr>
            <w:tcW w:w="6417" w:type="dxa"/>
            <w:tcBorders>
              <w:top w:val="single" w:sz="12" w:space="0" w:color="auto"/>
              <w:bottom w:val="single" w:sz="12" w:space="0" w:color="auto"/>
            </w:tcBorders>
            <w:shd w:val="clear" w:color="auto" w:fill="B3B3B3"/>
          </w:tcPr>
          <w:p w:rsidR="005B0DD0" w:rsidRPr="00FA6092" w:rsidRDefault="005B0DD0" w:rsidP="005B0DD0">
            <w:pPr>
              <w:spacing w:before="60" w:after="0"/>
              <w:jc w:val="center"/>
              <w:rPr>
                <w:sz w:val="20"/>
                <w:szCs w:val="20"/>
              </w:rPr>
            </w:pPr>
            <w:r w:rsidRPr="00FA6092">
              <w:rPr>
                <w:sz w:val="20"/>
                <w:szCs w:val="20"/>
              </w:rPr>
              <w:t>Etapa/aktivita</w:t>
            </w:r>
          </w:p>
        </w:tc>
        <w:tc>
          <w:tcPr>
            <w:tcW w:w="1080" w:type="dxa"/>
            <w:tcBorders>
              <w:top w:val="single" w:sz="12" w:space="0" w:color="auto"/>
              <w:bottom w:val="single" w:sz="12" w:space="0" w:color="auto"/>
            </w:tcBorders>
            <w:shd w:val="clear" w:color="auto" w:fill="B3B3B3"/>
          </w:tcPr>
          <w:p w:rsidR="005B0DD0" w:rsidRPr="00FA6092" w:rsidRDefault="005B0DD0" w:rsidP="005B0DD0">
            <w:pPr>
              <w:spacing w:before="60" w:after="0"/>
              <w:jc w:val="center"/>
              <w:rPr>
                <w:sz w:val="20"/>
                <w:szCs w:val="20"/>
              </w:rPr>
            </w:pPr>
            <w:r w:rsidRPr="00FA6092">
              <w:rPr>
                <w:sz w:val="20"/>
                <w:szCs w:val="20"/>
              </w:rPr>
              <w:t>Odpovídá</w:t>
            </w:r>
          </w:p>
        </w:tc>
        <w:tc>
          <w:tcPr>
            <w:tcW w:w="1323" w:type="dxa"/>
            <w:tcBorders>
              <w:top w:val="single" w:sz="12" w:space="0" w:color="auto"/>
              <w:bottom w:val="single" w:sz="12" w:space="0" w:color="auto"/>
              <w:right w:val="single" w:sz="12" w:space="0" w:color="auto"/>
            </w:tcBorders>
            <w:shd w:val="clear" w:color="auto" w:fill="B3B3B3"/>
          </w:tcPr>
          <w:p w:rsidR="005B0DD0" w:rsidRPr="00FA6092" w:rsidRDefault="005B0DD0" w:rsidP="005B0DD0">
            <w:pPr>
              <w:spacing w:before="60" w:after="0"/>
              <w:jc w:val="center"/>
              <w:rPr>
                <w:sz w:val="20"/>
                <w:szCs w:val="20"/>
              </w:rPr>
            </w:pPr>
            <w:r w:rsidRPr="00FA6092">
              <w:rPr>
                <w:sz w:val="20"/>
                <w:szCs w:val="20"/>
              </w:rPr>
              <w:t>Termín</w:t>
            </w:r>
            <w:r w:rsidRPr="00FA6092">
              <w:rPr>
                <w:rStyle w:val="Znakapoznpodarou"/>
                <w:sz w:val="20"/>
                <w:szCs w:val="20"/>
              </w:rPr>
              <w:footnoteReference w:id="7"/>
            </w:r>
          </w:p>
        </w:tc>
      </w:tr>
      <w:tr w:rsidR="005B0DD0" w:rsidRPr="00FA6092" w:rsidTr="005B0DD0">
        <w:tc>
          <w:tcPr>
            <w:tcW w:w="9180" w:type="dxa"/>
            <w:gridSpan w:val="4"/>
            <w:tcBorders>
              <w:top w:val="single" w:sz="12" w:space="0" w:color="auto"/>
              <w:left w:val="single" w:sz="12" w:space="0" w:color="auto"/>
              <w:right w:val="single" w:sz="12" w:space="0" w:color="auto"/>
            </w:tcBorders>
            <w:shd w:val="clear" w:color="auto" w:fill="F3F3F3"/>
          </w:tcPr>
          <w:p w:rsidR="005B0DD0" w:rsidRPr="00FA6092" w:rsidRDefault="005B0DD0" w:rsidP="005B0DD0">
            <w:pPr>
              <w:spacing w:before="60" w:after="0"/>
              <w:rPr>
                <w:sz w:val="20"/>
                <w:szCs w:val="20"/>
              </w:rPr>
            </w:pPr>
            <w:r>
              <w:rPr>
                <w:sz w:val="20"/>
                <w:szCs w:val="20"/>
              </w:rPr>
              <w:t>Vstupní hodnocení koncepce na léta 2018 – 2022 prováděné v</w:t>
            </w:r>
            <w:r w:rsidRPr="00FA6092">
              <w:rPr>
                <w:sz w:val="20"/>
                <w:szCs w:val="20"/>
              </w:rPr>
              <w:t xml:space="preserve"> r. 2017</w:t>
            </w:r>
          </w:p>
        </w:tc>
      </w:tr>
      <w:tr w:rsidR="005B0DD0" w:rsidRPr="00FA6092" w:rsidTr="005B0DD0">
        <w:tc>
          <w:tcPr>
            <w:tcW w:w="360" w:type="dxa"/>
            <w:tcBorders>
              <w:top w:val="single" w:sz="12" w:space="0" w:color="auto"/>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1.</w:t>
            </w:r>
          </w:p>
        </w:tc>
        <w:tc>
          <w:tcPr>
            <w:tcW w:w="6417"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 xml:space="preserve">Výzva VO k předložení </w:t>
            </w:r>
            <w:r>
              <w:rPr>
                <w:sz w:val="20"/>
                <w:szCs w:val="20"/>
              </w:rPr>
              <w:t>podkladů pro poskytnutí podpory</w:t>
            </w:r>
            <w:r w:rsidRPr="00FA6092">
              <w:rPr>
                <w:sz w:val="20"/>
                <w:szCs w:val="20"/>
              </w:rPr>
              <w:t xml:space="preserve"> se stanovenými náležitostmi a se stanovením maximální výše podpory</w:t>
            </w:r>
          </w:p>
        </w:tc>
        <w:tc>
          <w:tcPr>
            <w:tcW w:w="1080"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top w:val="single" w:sz="12" w:space="0" w:color="auto"/>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do 31. 5.</w:t>
            </w:r>
            <w:r>
              <w:rPr>
                <w:sz w:val="20"/>
                <w:szCs w:val="20"/>
              </w:rPr>
              <w:t xml:space="preserve"> 2017</w:t>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2.</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 xml:space="preserve">Předložení </w:t>
            </w:r>
            <w:r w:rsidRPr="003F5147">
              <w:rPr>
                <w:sz w:val="20"/>
                <w:szCs w:val="20"/>
              </w:rPr>
              <w:t>podkladů pro poskytnutí podpory</w:t>
            </w:r>
            <w:r w:rsidRPr="00FA6092">
              <w:rPr>
                <w:sz w:val="20"/>
                <w:szCs w:val="20"/>
              </w:rPr>
              <w:t xml:space="preserve"> se stanovenými náležitostmi</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t>VO</w:t>
            </w:r>
          </w:p>
        </w:tc>
        <w:tc>
          <w:tcPr>
            <w:tcW w:w="1323" w:type="dxa"/>
            <w:tcBorders>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do 31. 8.</w:t>
            </w:r>
            <w:r>
              <w:rPr>
                <w:sz w:val="20"/>
                <w:szCs w:val="20"/>
              </w:rPr>
              <w:t xml:space="preserve"> 2017</w:t>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3.</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 xml:space="preserve">Zhodnocení úplnosti </w:t>
            </w:r>
            <w:r w:rsidRPr="003F5147">
              <w:rPr>
                <w:sz w:val="20"/>
                <w:szCs w:val="20"/>
              </w:rPr>
              <w:t>podkladů pro poskytnutí podpory</w:t>
            </w:r>
            <w:r>
              <w:rPr>
                <w:sz w:val="20"/>
                <w:szCs w:val="20"/>
              </w:rPr>
              <w:t xml:space="preserve"> </w:t>
            </w:r>
            <w:r w:rsidRPr="00FA6092">
              <w:rPr>
                <w:sz w:val="20"/>
                <w:szCs w:val="20"/>
              </w:rPr>
              <w:t>a údajů a splnění kritérií pro poskytnut</w:t>
            </w:r>
            <w:r>
              <w:rPr>
                <w:sz w:val="20"/>
                <w:szCs w:val="20"/>
              </w:rPr>
              <w:t>í</w:t>
            </w:r>
            <w:r w:rsidRPr="00FA6092">
              <w:rPr>
                <w:sz w:val="20"/>
                <w:szCs w:val="20"/>
              </w:rPr>
              <w:t xml:space="preserve"> podpory (1. a 2. fáze hodnocení)</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do 30. 9.</w:t>
            </w:r>
            <w:r>
              <w:rPr>
                <w:sz w:val="20"/>
                <w:szCs w:val="20"/>
              </w:rPr>
              <w:t xml:space="preserve"> 2017</w:t>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4.</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Zhodnocení dlouhodobé koncepc</w:t>
            </w:r>
            <w:r>
              <w:rPr>
                <w:sz w:val="20"/>
                <w:szCs w:val="20"/>
              </w:rPr>
              <w:t>e</w:t>
            </w:r>
            <w:r w:rsidRPr="00FA6092">
              <w:rPr>
                <w:sz w:val="20"/>
                <w:szCs w:val="20"/>
              </w:rPr>
              <w:t xml:space="preserve"> rozvoje VO hodnocením „peer review“ pomocí odborného poradního orgánu (3. fáze hodnocení)</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 xml:space="preserve">do </w:t>
            </w:r>
            <w:r>
              <w:rPr>
                <w:sz w:val="20"/>
                <w:szCs w:val="20"/>
              </w:rPr>
              <w:t>15</w:t>
            </w:r>
            <w:r w:rsidRPr="00FA6092">
              <w:rPr>
                <w:sz w:val="20"/>
                <w:szCs w:val="20"/>
              </w:rPr>
              <w:t>. 1</w:t>
            </w:r>
            <w:r>
              <w:rPr>
                <w:sz w:val="20"/>
                <w:szCs w:val="20"/>
              </w:rPr>
              <w:t>2</w:t>
            </w:r>
            <w:r w:rsidRPr="00FA6092">
              <w:rPr>
                <w:sz w:val="20"/>
                <w:szCs w:val="20"/>
              </w:rPr>
              <w:t>.</w:t>
            </w:r>
            <w:r>
              <w:rPr>
                <w:sz w:val="20"/>
                <w:szCs w:val="20"/>
              </w:rPr>
              <w:t xml:space="preserve"> 2017</w:t>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5.</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 xml:space="preserve">Schválení zákona o státním rozpočtu ČR a výdajů na </w:t>
            </w:r>
            <w:r>
              <w:rPr>
                <w:sz w:val="20"/>
                <w:szCs w:val="20"/>
              </w:rPr>
              <w:t>DKRVO</w:t>
            </w:r>
            <w:r w:rsidRPr="00FA6092">
              <w:rPr>
                <w:sz w:val="20"/>
                <w:szCs w:val="20"/>
              </w:rPr>
              <w:t xml:space="preserve"> na násl. rok</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t>(PSP)</w:t>
            </w:r>
          </w:p>
        </w:tc>
        <w:tc>
          <w:tcPr>
            <w:tcW w:w="1323" w:type="dxa"/>
            <w:tcBorders>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prosinec</w:t>
            </w:r>
          </w:p>
        </w:tc>
      </w:tr>
      <w:tr w:rsidR="005B0DD0" w:rsidRPr="00FA6092" w:rsidTr="005B0DD0">
        <w:tc>
          <w:tcPr>
            <w:tcW w:w="360" w:type="dxa"/>
            <w:tcBorders>
              <w:left w:val="single" w:sz="12" w:space="0" w:color="auto"/>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6.</w:t>
            </w:r>
          </w:p>
        </w:tc>
        <w:tc>
          <w:tcPr>
            <w:tcW w:w="6417"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Vydání rozhodnutí o poskytnutí institucionální podpory na léta 2018 – 2022 a jeho zveřejnění</w:t>
            </w:r>
          </w:p>
        </w:tc>
        <w:tc>
          <w:tcPr>
            <w:tcW w:w="1080"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bottom w:val="single" w:sz="12" w:space="0" w:color="auto"/>
              <w:right w:val="single" w:sz="12" w:space="0" w:color="auto"/>
            </w:tcBorders>
            <w:shd w:val="clear" w:color="auto" w:fill="auto"/>
          </w:tcPr>
          <w:p w:rsidR="005B0DD0" w:rsidRPr="00FA6092" w:rsidRDefault="005B0DD0" w:rsidP="005B0DD0">
            <w:pPr>
              <w:spacing w:before="60" w:after="0"/>
              <w:rPr>
                <w:sz w:val="20"/>
                <w:szCs w:val="20"/>
              </w:rPr>
            </w:pPr>
            <w:r>
              <w:rPr>
                <w:sz w:val="20"/>
                <w:szCs w:val="20"/>
              </w:rPr>
              <w:t>do 31. 1. 2017</w:t>
            </w:r>
          </w:p>
        </w:tc>
      </w:tr>
      <w:tr w:rsidR="005B0DD0" w:rsidRPr="00FA6092" w:rsidTr="005B0DD0">
        <w:tc>
          <w:tcPr>
            <w:tcW w:w="9180" w:type="dxa"/>
            <w:gridSpan w:val="4"/>
            <w:tcBorders>
              <w:top w:val="single" w:sz="12" w:space="0" w:color="auto"/>
              <w:left w:val="single" w:sz="12" w:space="0" w:color="auto"/>
              <w:bottom w:val="single" w:sz="12" w:space="0" w:color="auto"/>
              <w:right w:val="single" w:sz="12" w:space="0" w:color="auto"/>
            </w:tcBorders>
            <w:shd w:val="clear" w:color="auto" w:fill="F3F3F3"/>
          </w:tcPr>
          <w:p w:rsidR="005B0DD0" w:rsidRPr="00FA6092" w:rsidRDefault="005B0DD0" w:rsidP="005B0DD0">
            <w:pPr>
              <w:spacing w:before="60" w:after="0"/>
              <w:rPr>
                <w:sz w:val="20"/>
                <w:szCs w:val="20"/>
              </w:rPr>
            </w:pPr>
            <w:r w:rsidRPr="00FA6092">
              <w:rPr>
                <w:sz w:val="20"/>
                <w:szCs w:val="20"/>
              </w:rPr>
              <w:t xml:space="preserve">Průběžné hodnocení </w:t>
            </w:r>
            <w:r>
              <w:rPr>
                <w:sz w:val="20"/>
                <w:szCs w:val="20"/>
              </w:rPr>
              <w:t>za r.</w:t>
            </w:r>
            <w:r w:rsidRPr="00FA6092">
              <w:rPr>
                <w:sz w:val="20"/>
                <w:szCs w:val="20"/>
              </w:rPr>
              <w:t xml:space="preserve"> 2018 až 2021</w:t>
            </w:r>
            <w:r>
              <w:rPr>
                <w:sz w:val="20"/>
                <w:szCs w:val="20"/>
              </w:rPr>
              <w:t xml:space="preserve"> prováděné v letech 2019 - 2022</w:t>
            </w:r>
          </w:p>
        </w:tc>
      </w:tr>
      <w:tr w:rsidR="005B0DD0" w:rsidRPr="00FA6092" w:rsidTr="005B0DD0">
        <w:tc>
          <w:tcPr>
            <w:tcW w:w="360" w:type="dxa"/>
            <w:tcBorders>
              <w:top w:val="single" w:sz="12" w:space="0" w:color="auto"/>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7.</w:t>
            </w:r>
          </w:p>
        </w:tc>
        <w:tc>
          <w:tcPr>
            <w:tcW w:w="6417"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Průběžná zpráva o plnění dlouhodob</w:t>
            </w:r>
            <w:r>
              <w:rPr>
                <w:sz w:val="20"/>
                <w:szCs w:val="20"/>
              </w:rPr>
              <w:t>é</w:t>
            </w:r>
            <w:r w:rsidRPr="00FA6092">
              <w:rPr>
                <w:sz w:val="20"/>
                <w:szCs w:val="20"/>
              </w:rPr>
              <w:t xml:space="preserve"> koncepc</w:t>
            </w:r>
            <w:r>
              <w:rPr>
                <w:sz w:val="20"/>
                <w:szCs w:val="20"/>
              </w:rPr>
              <w:t>e</w:t>
            </w:r>
            <w:r w:rsidRPr="00FA6092">
              <w:rPr>
                <w:sz w:val="20"/>
                <w:szCs w:val="20"/>
              </w:rPr>
              <w:t xml:space="preserve"> rozvoje VO a čerpání podpory</w:t>
            </w:r>
          </w:p>
        </w:tc>
        <w:tc>
          <w:tcPr>
            <w:tcW w:w="1080"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VO</w:t>
            </w:r>
          </w:p>
        </w:tc>
        <w:tc>
          <w:tcPr>
            <w:tcW w:w="1323" w:type="dxa"/>
            <w:tcBorders>
              <w:top w:val="single" w:sz="12" w:space="0" w:color="auto"/>
              <w:right w:val="single" w:sz="12" w:space="0" w:color="auto"/>
            </w:tcBorders>
            <w:shd w:val="clear" w:color="auto" w:fill="auto"/>
          </w:tcPr>
          <w:p w:rsidR="005B0DD0" w:rsidRPr="005B23BA" w:rsidRDefault="005B0DD0" w:rsidP="005B0DD0">
            <w:pPr>
              <w:spacing w:before="60" w:after="0"/>
              <w:rPr>
                <w:sz w:val="20"/>
                <w:szCs w:val="20"/>
                <w:highlight w:val="yellow"/>
              </w:rPr>
            </w:pPr>
            <w:r w:rsidRPr="00C65807">
              <w:rPr>
                <w:sz w:val="20"/>
                <w:szCs w:val="20"/>
              </w:rPr>
              <w:t>do 5. 1.</w:t>
            </w:r>
            <w:r>
              <w:rPr>
                <w:rStyle w:val="Znakapoznpodarou"/>
                <w:sz w:val="20"/>
                <w:szCs w:val="20"/>
              </w:rPr>
              <w:footnoteReference w:id="8"/>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8.</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 xml:space="preserve">Zhodnocení průběžné zprávy o plnění dlouhodobé koncepce rozvoje VO </w:t>
            </w:r>
            <w:r w:rsidRPr="00FA6092">
              <w:rPr>
                <w:sz w:val="20"/>
                <w:szCs w:val="20"/>
              </w:rPr>
              <w:lastRenderedPageBreak/>
              <w:t>pomocí odborného poradního orgánu a čerpání podpory v uplynulém roce</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lastRenderedPageBreak/>
              <w:t>poskytovatel</w:t>
            </w:r>
          </w:p>
        </w:tc>
        <w:tc>
          <w:tcPr>
            <w:tcW w:w="1323" w:type="dxa"/>
            <w:tcBorders>
              <w:right w:val="single" w:sz="12" w:space="0" w:color="auto"/>
            </w:tcBorders>
            <w:shd w:val="clear" w:color="auto" w:fill="auto"/>
          </w:tcPr>
          <w:p w:rsidR="005B0DD0" w:rsidRPr="005B23BA" w:rsidRDefault="005B0DD0" w:rsidP="005B0DD0">
            <w:pPr>
              <w:spacing w:before="60" w:after="0"/>
              <w:rPr>
                <w:sz w:val="20"/>
                <w:szCs w:val="20"/>
                <w:highlight w:val="yellow"/>
              </w:rPr>
            </w:pPr>
            <w:r w:rsidRPr="00C65807">
              <w:rPr>
                <w:sz w:val="20"/>
                <w:szCs w:val="20"/>
              </w:rPr>
              <w:t>do 28. 2.</w:t>
            </w:r>
          </w:p>
        </w:tc>
      </w:tr>
      <w:tr w:rsidR="005B0DD0" w:rsidRPr="00FA6092" w:rsidTr="005B0DD0">
        <w:tc>
          <w:tcPr>
            <w:tcW w:w="360" w:type="dxa"/>
            <w:tcBorders>
              <w:left w:val="single" w:sz="12" w:space="0" w:color="auto"/>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lastRenderedPageBreak/>
              <w:t>9.</w:t>
            </w:r>
          </w:p>
        </w:tc>
        <w:tc>
          <w:tcPr>
            <w:tcW w:w="6417"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Vydání změny rozhodnutí o poskytnutí institucionální podpory na daný rok a jeho zveřejnění</w:t>
            </w:r>
          </w:p>
        </w:tc>
        <w:tc>
          <w:tcPr>
            <w:tcW w:w="1080"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bottom w:val="single" w:sz="12" w:space="0" w:color="auto"/>
              <w:right w:val="single" w:sz="12" w:space="0" w:color="auto"/>
            </w:tcBorders>
            <w:shd w:val="clear" w:color="auto" w:fill="auto"/>
          </w:tcPr>
          <w:p w:rsidR="005B0DD0" w:rsidRPr="00FA6092" w:rsidRDefault="005B0DD0" w:rsidP="005B0DD0">
            <w:pPr>
              <w:spacing w:before="60" w:after="0"/>
              <w:rPr>
                <w:sz w:val="20"/>
                <w:szCs w:val="20"/>
              </w:rPr>
            </w:pPr>
            <w:r>
              <w:rPr>
                <w:sz w:val="20"/>
                <w:szCs w:val="20"/>
              </w:rPr>
              <w:t>do 31. 1.</w:t>
            </w:r>
          </w:p>
        </w:tc>
      </w:tr>
      <w:tr w:rsidR="005B0DD0" w:rsidRPr="00FA6092" w:rsidTr="005B0DD0">
        <w:tc>
          <w:tcPr>
            <w:tcW w:w="9180" w:type="dxa"/>
            <w:gridSpan w:val="4"/>
            <w:tcBorders>
              <w:top w:val="single" w:sz="12" w:space="0" w:color="auto"/>
              <w:left w:val="single" w:sz="12" w:space="0" w:color="auto"/>
              <w:bottom w:val="single" w:sz="12" w:space="0" w:color="auto"/>
              <w:right w:val="single" w:sz="12" w:space="0" w:color="auto"/>
            </w:tcBorders>
            <w:shd w:val="clear" w:color="auto" w:fill="F3F3F3"/>
          </w:tcPr>
          <w:p w:rsidR="005B0DD0" w:rsidRPr="00FA6092" w:rsidRDefault="005B0DD0" w:rsidP="005B0DD0">
            <w:pPr>
              <w:spacing w:before="60" w:after="0"/>
              <w:rPr>
                <w:sz w:val="20"/>
                <w:szCs w:val="20"/>
              </w:rPr>
            </w:pPr>
            <w:r w:rsidRPr="00FA6092">
              <w:rPr>
                <w:sz w:val="20"/>
                <w:szCs w:val="20"/>
              </w:rPr>
              <w:t xml:space="preserve">Závěrečné hodnocení </w:t>
            </w:r>
            <w:r>
              <w:rPr>
                <w:sz w:val="20"/>
                <w:szCs w:val="20"/>
              </w:rPr>
              <w:t>za období 2018 – 2022 prováděné v r 2023</w:t>
            </w:r>
          </w:p>
        </w:tc>
      </w:tr>
      <w:tr w:rsidR="005B0DD0" w:rsidRPr="00FA6092" w:rsidTr="005B0DD0">
        <w:tc>
          <w:tcPr>
            <w:tcW w:w="360" w:type="dxa"/>
            <w:tcBorders>
              <w:top w:val="single" w:sz="12" w:space="0" w:color="auto"/>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7.</w:t>
            </w:r>
          </w:p>
        </w:tc>
        <w:tc>
          <w:tcPr>
            <w:tcW w:w="6417"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Závěrečná zpráva o plnění dlouhodobé koncepce rozvoje VO vč. plnění stanovených cílů a uplatněných výsledků a čerpání podpory za celou dobu řešení</w:t>
            </w:r>
          </w:p>
        </w:tc>
        <w:tc>
          <w:tcPr>
            <w:tcW w:w="1080" w:type="dxa"/>
            <w:tcBorders>
              <w:top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VO</w:t>
            </w:r>
          </w:p>
        </w:tc>
        <w:tc>
          <w:tcPr>
            <w:tcW w:w="1323" w:type="dxa"/>
            <w:tcBorders>
              <w:top w:val="single" w:sz="12" w:space="0" w:color="auto"/>
              <w:right w:val="single" w:sz="12" w:space="0" w:color="auto"/>
            </w:tcBorders>
            <w:shd w:val="clear" w:color="auto" w:fill="auto"/>
          </w:tcPr>
          <w:p w:rsidR="005B0DD0" w:rsidRPr="00FA6092" w:rsidRDefault="005B0DD0" w:rsidP="005B0DD0">
            <w:pPr>
              <w:spacing w:before="60" w:after="0"/>
              <w:rPr>
                <w:sz w:val="20"/>
                <w:szCs w:val="20"/>
              </w:rPr>
            </w:pPr>
            <w:r w:rsidRPr="00C65807">
              <w:rPr>
                <w:sz w:val="20"/>
                <w:szCs w:val="20"/>
              </w:rPr>
              <w:t>do 5. 1.</w:t>
            </w:r>
            <w:r>
              <w:rPr>
                <w:sz w:val="20"/>
                <w:szCs w:val="20"/>
              </w:rPr>
              <w:t xml:space="preserve"> 2023</w:t>
            </w:r>
          </w:p>
        </w:tc>
      </w:tr>
      <w:tr w:rsidR="005B0DD0" w:rsidRPr="00FA6092" w:rsidTr="005B0DD0">
        <w:tc>
          <w:tcPr>
            <w:tcW w:w="360" w:type="dxa"/>
            <w:tcBorders>
              <w:lef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8.</w:t>
            </w:r>
          </w:p>
        </w:tc>
        <w:tc>
          <w:tcPr>
            <w:tcW w:w="6417" w:type="dxa"/>
            <w:shd w:val="clear" w:color="auto" w:fill="auto"/>
          </w:tcPr>
          <w:p w:rsidR="005B0DD0" w:rsidRPr="00FA6092" w:rsidRDefault="005B0DD0" w:rsidP="005B0DD0">
            <w:pPr>
              <w:spacing w:before="60" w:after="0"/>
              <w:rPr>
                <w:sz w:val="20"/>
                <w:szCs w:val="20"/>
              </w:rPr>
            </w:pPr>
            <w:r w:rsidRPr="00FA6092">
              <w:rPr>
                <w:sz w:val="20"/>
                <w:szCs w:val="20"/>
              </w:rPr>
              <w:t>Zhodnocení závěrečné zprávy o plnění dlouhodobé koncepce rozvoje VO pomocí odborného poradního orgánu a čerpání podpory v letech 2018-2022 (je hodnocena současně s návrhem na období 2023 – 2027).</w:t>
            </w:r>
          </w:p>
        </w:tc>
        <w:tc>
          <w:tcPr>
            <w:tcW w:w="1080" w:type="dxa"/>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right w:val="single" w:sz="12" w:space="0" w:color="auto"/>
            </w:tcBorders>
            <w:shd w:val="clear" w:color="auto" w:fill="auto"/>
          </w:tcPr>
          <w:p w:rsidR="005B0DD0" w:rsidRPr="00FA6092" w:rsidRDefault="005B0DD0" w:rsidP="005B0DD0">
            <w:pPr>
              <w:spacing w:before="60" w:after="0"/>
              <w:rPr>
                <w:sz w:val="20"/>
                <w:szCs w:val="20"/>
              </w:rPr>
            </w:pPr>
            <w:r w:rsidRPr="00C65807">
              <w:rPr>
                <w:sz w:val="20"/>
                <w:szCs w:val="20"/>
              </w:rPr>
              <w:t xml:space="preserve">do </w:t>
            </w:r>
            <w:r>
              <w:rPr>
                <w:sz w:val="20"/>
                <w:szCs w:val="20"/>
              </w:rPr>
              <w:t>30</w:t>
            </w:r>
            <w:r w:rsidRPr="00C65807">
              <w:rPr>
                <w:sz w:val="20"/>
                <w:szCs w:val="20"/>
              </w:rPr>
              <w:t xml:space="preserve">. </w:t>
            </w:r>
            <w:r>
              <w:rPr>
                <w:sz w:val="20"/>
                <w:szCs w:val="20"/>
              </w:rPr>
              <w:t>4</w:t>
            </w:r>
            <w:r w:rsidRPr="00C65807">
              <w:rPr>
                <w:sz w:val="20"/>
                <w:szCs w:val="20"/>
              </w:rPr>
              <w:t>.</w:t>
            </w:r>
            <w:r>
              <w:rPr>
                <w:sz w:val="20"/>
                <w:szCs w:val="20"/>
              </w:rPr>
              <w:t xml:space="preserve"> 2023</w:t>
            </w:r>
          </w:p>
        </w:tc>
      </w:tr>
      <w:tr w:rsidR="005B0DD0" w:rsidRPr="00FA6092" w:rsidTr="005B0DD0">
        <w:tc>
          <w:tcPr>
            <w:tcW w:w="360" w:type="dxa"/>
            <w:tcBorders>
              <w:left w:val="single" w:sz="12" w:space="0" w:color="auto"/>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9.</w:t>
            </w:r>
          </w:p>
        </w:tc>
        <w:tc>
          <w:tcPr>
            <w:tcW w:w="6417"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Zveřejnění závěrečného hodnocení</w:t>
            </w:r>
          </w:p>
        </w:tc>
        <w:tc>
          <w:tcPr>
            <w:tcW w:w="1080" w:type="dxa"/>
            <w:tcBorders>
              <w:bottom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poskytovatel</w:t>
            </w:r>
          </w:p>
        </w:tc>
        <w:tc>
          <w:tcPr>
            <w:tcW w:w="1323" w:type="dxa"/>
            <w:tcBorders>
              <w:bottom w:val="single" w:sz="12" w:space="0" w:color="auto"/>
              <w:right w:val="single" w:sz="12" w:space="0" w:color="auto"/>
            </w:tcBorders>
            <w:shd w:val="clear" w:color="auto" w:fill="auto"/>
          </w:tcPr>
          <w:p w:rsidR="005B0DD0" w:rsidRPr="00FA6092" w:rsidRDefault="005B0DD0" w:rsidP="005B0DD0">
            <w:pPr>
              <w:spacing w:before="60" w:after="0"/>
              <w:rPr>
                <w:sz w:val="20"/>
                <w:szCs w:val="20"/>
              </w:rPr>
            </w:pPr>
            <w:r w:rsidRPr="00FA6092">
              <w:rPr>
                <w:sz w:val="20"/>
                <w:szCs w:val="20"/>
              </w:rPr>
              <w:t>do 30. 6.</w:t>
            </w:r>
            <w:r>
              <w:rPr>
                <w:sz w:val="20"/>
                <w:szCs w:val="20"/>
              </w:rPr>
              <w:t xml:space="preserve"> 2023</w:t>
            </w:r>
          </w:p>
        </w:tc>
      </w:tr>
    </w:tbl>
    <w:p w:rsidR="005B0DD0" w:rsidRPr="005F0003" w:rsidRDefault="005B0DD0" w:rsidP="005F5E18">
      <w:pPr>
        <w:pStyle w:val="Nadpis2"/>
        <w:ind w:left="709" w:hanging="709"/>
      </w:pPr>
      <w:bookmarkStart w:id="290" w:name="_Toc462064496"/>
      <w:r w:rsidRPr="005F0003">
        <w:t>Postup při hodnocení VO podle dlouhodobé koncepce rozvoje VO prováděném poskytovatelem</w:t>
      </w:r>
      <w:bookmarkEnd w:id="290"/>
    </w:p>
    <w:p w:rsidR="005B0DD0" w:rsidRPr="005F0003" w:rsidRDefault="005B0DD0" w:rsidP="005F5E18">
      <w:pPr>
        <w:pStyle w:val="Nadpis3"/>
      </w:pPr>
      <w:bookmarkStart w:id="291" w:name="_Toc462064497"/>
      <w:r w:rsidRPr="005F0003">
        <w:t>Základní principy hodnocení VO</w:t>
      </w:r>
      <w:bookmarkEnd w:id="291"/>
    </w:p>
    <w:p w:rsidR="005B0DD0" w:rsidRPr="005F0003" w:rsidRDefault="005F5E18" w:rsidP="005F5E18">
      <w:pPr>
        <w:spacing w:before="180"/>
        <w:rPr>
          <w:b/>
          <w:u w:val="single"/>
        </w:rPr>
      </w:pPr>
      <w:r>
        <w:t xml:space="preserve">Tato </w:t>
      </w:r>
      <w:r w:rsidR="005B0DD0" w:rsidRPr="005F0003">
        <w:t xml:space="preserve">část shrnuje základní principy hodnocení VO, které při specifikaci M2017+ příslušnými </w:t>
      </w:r>
      <w:r w:rsidR="005B0DD0">
        <w:t>poskytovateli musí být dodrženy:</w:t>
      </w:r>
    </w:p>
    <w:p w:rsidR="005B0DD0" w:rsidRPr="005F0003" w:rsidRDefault="005B0DD0" w:rsidP="005B0DD0">
      <w:pPr>
        <w:ind w:left="720" w:hanging="360"/>
      </w:pPr>
      <w:r w:rsidRPr="005F0003">
        <w:t>1.</w:t>
      </w:r>
      <w:r w:rsidRPr="005F0003">
        <w:tab/>
        <w:t>Poskytovatel hodnotí všechny výzkumné organizace, které:</w:t>
      </w:r>
    </w:p>
    <w:p w:rsidR="005B0DD0" w:rsidRPr="005F0003" w:rsidRDefault="005B0DD0" w:rsidP="005B0DD0">
      <w:pPr>
        <w:ind w:left="1080" w:hanging="360"/>
      </w:pPr>
      <w:r w:rsidRPr="005F0003">
        <w:t>a)</w:t>
      </w:r>
      <w:r w:rsidRPr="005F0003">
        <w:tab/>
        <w:t xml:space="preserve">jsou uvedeny v informačním systému veřejné správy „Seznam výzkumných organizací“, jehož správcem je MŠMT podle § 33a zákona č. 130/2002 Sb., ke dni vydání výzvy VO k předložení </w:t>
      </w:r>
      <w:r w:rsidRPr="003F5147">
        <w:t>podkladů pro poskytnutí podpory</w:t>
      </w:r>
      <w:r>
        <w:t xml:space="preserve"> (dále jen „podklady“)</w:t>
      </w:r>
      <w:r w:rsidRPr="005F0003">
        <w:t xml:space="preserve"> se stanovenými náležitostmi</w:t>
      </w:r>
      <w:r>
        <w:rPr>
          <w:rStyle w:val="Znakapoznpodarou"/>
        </w:rPr>
        <w:footnoteReference w:id="9"/>
      </w:r>
      <w:r w:rsidRPr="005F0003">
        <w:t>,</w:t>
      </w:r>
    </w:p>
    <w:p w:rsidR="005B0DD0" w:rsidRPr="005F0003" w:rsidRDefault="005B0DD0" w:rsidP="005B0DD0">
      <w:pPr>
        <w:ind w:left="1080" w:hanging="360"/>
      </w:pPr>
      <w:r w:rsidRPr="005F0003">
        <w:t>b)</w:t>
      </w:r>
      <w:r w:rsidRPr="005F0003">
        <w:tab/>
        <w:t>spadají do jeho působnosti v souladu</w:t>
      </w:r>
      <w:r>
        <w:t xml:space="preserve"> s § 4 odst. 2 písm. a)</w:t>
      </w:r>
      <w:r w:rsidRPr="005F0003">
        <w:t xml:space="preserve"> zákona č. 130/2002 Sb.,</w:t>
      </w:r>
    </w:p>
    <w:p w:rsidR="005B0DD0" w:rsidRPr="005F0003" w:rsidRDefault="005B0DD0" w:rsidP="005B0DD0">
      <w:pPr>
        <w:ind w:left="1080" w:hanging="360"/>
      </w:pPr>
      <w:r w:rsidRPr="005F0003">
        <w:t>c)</w:t>
      </w:r>
      <w:r w:rsidRPr="005F0003">
        <w:tab/>
        <w:t xml:space="preserve">předloží všechny </w:t>
      </w:r>
      <w:r w:rsidRPr="003F5147">
        <w:t xml:space="preserve">podklady </w:t>
      </w:r>
      <w:r w:rsidRPr="005F0003">
        <w:t>úplné a v</w:t>
      </w:r>
      <w:r>
        <w:t>e</w:t>
      </w:r>
      <w:r w:rsidRPr="005F0003">
        <w:t xml:space="preserve"> stanoveném termínu; v případě zjištěných nedostatků </w:t>
      </w:r>
      <w:r>
        <w:t>podkladů</w:t>
      </w:r>
      <w:r w:rsidRPr="005F0003">
        <w:t xml:space="preserve"> hodnotí ty VO, které je na výzvu poskytovatele odstraní ve lhůtě </w:t>
      </w:r>
      <w:r>
        <w:t>14</w:t>
      </w:r>
      <w:r w:rsidRPr="005F0003">
        <w:t xml:space="preserve"> kalendářních dnů.</w:t>
      </w:r>
    </w:p>
    <w:p w:rsidR="005B0DD0" w:rsidRPr="005F0003" w:rsidRDefault="005B0DD0" w:rsidP="005B0DD0">
      <w:pPr>
        <w:ind w:left="720" w:hanging="360"/>
      </w:pPr>
      <w:r w:rsidRPr="005F0003">
        <w:t>2.</w:t>
      </w:r>
      <w:r w:rsidRPr="005F0003">
        <w:tab/>
        <w:t xml:space="preserve">Poskytovatel vyzve VO ve své působnosti do 31. května 2017 k předložení </w:t>
      </w:r>
      <w:r w:rsidRPr="003F5147">
        <w:t>podkladů pro poskytnutí podpory</w:t>
      </w:r>
      <w:r w:rsidRPr="005F0003">
        <w:t xml:space="preserve"> v letech 2018 – 2022 se stanovenými náležitostmi, včetně určení maximální výše dotace v jednotlivých letech pro jednotlivé VO; vychází přitom z výše dotace poskytnuté v r. 2016, kterou může podle svého hodnocení změnit každoročně o +/- 5 % (tento limit nezahrnuje případné zvýšení nebo snížení výdajů na </w:t>
      </w:r>
      <w:r>
        <w:t>DKRVO</w:t>
      </w:r>
      <w:r w:rsidRPr="005F0003">
        <w:t xml:space="preserve"> poskytovatele v SR VaVaI).</w:t>
      </w:r>
    </w:p>
    <w:p w:rsidR="005B0DD0" w:rsidRPr="005F0003" w:rsidRDefault="005B0DD0" w:rsidP="005B0DD0">
      <w:pPr>
        <w:ind w:left="720" w:hanging="360"/>
      </w:pPr>
      <w:r w:rsidRPr="005F0003">
        <w:t>3.</w:t>
      </w:r>
      <w:r w:rsidRPr="005F0003">
        <w:tab/>
        <w:t xml:space="preserve">VO, které nebyly v r. 2016 podporovány, mohou získat podporu pouze v případě, že splňují všechny náležitosti </w:t>
      </w:r>
      <w:r w:rsidR="00C67FBC">
        <w:t>podkladů</w:t>
      </w:r>
      <w:r w:rsidRPr="005F0003">
        <w:t xml:space="preserve">, jsou poskytovatelem kladně zhodnoceny a současně má poskytovatel pro jejich podporu ve své kapitole na příslušné období finanční zdroje (rozšíření počtu podporovaných VO nezakládá nárok na zvýšení podpory na </w:t>
      </w:r>
      <w:r>
        <w:t>DKRVO</w:t>
      </w:r>
      <w:r w:rsidRPr="005F0003">
        <w:t xml:space="preserve"> jeho rozpočtové </w:t>
      </w:r>
      <w:r w:rsidRPr="005F0003">
        <w:lastRenderedPageBreak/>
        <w:t xml:space="preserve">kapitoly). V r. 2017 jsou tyto VO hodnoceny poskytovatelem společně s ostatními, při předložení </w:t>
      </w:r>
      <w:r>
        <w:t>podkladů</w:t>
      </w:r>
      <w:r w:rsidRPr="005F0003">
        <w:t xml:space="preserve"> v dalších letech 2018 – 2022 provede poskytovatel samostatné hodnocení, obdobné hodnocení v r. 2017.</w:t>
      </w:r>
    </w:p>
    <w:p w:rsidR="005B0DD0" w:rsidRPr="005F0003" w:rsidRDefault="005B0DD0" w:rsidP="005B0DD0">
      <w:pPr>
        <w:ind w:left="720" w:hanging="360"/>
      </w:pPr>
      <w:r w:rsidRPr="005F0003">
        <w:t>4.</w:t>
      </w:r>
      <w:r w:rsidRPr="005F0003">
        <w:tab/>
        <w:t xml:space="preserve">Poskytovatel v r. 2017 hodnotí </w:t>
      </w:r>
      <w:r>
        <w:t>podklady</w:t>
      </w:r>
      <w:r w:rsidRPr="005F0003">
        <w:t xml:space="preserve"> postupně s tím, že </w:t>
      </w:r>
      <w:r>
        <w:t>podklady</w:t>
      </w:r>
      <w:r w:rsidRPr="005F0003">
        <w:t>, které neprojdou předcházející fází hodnocení, nejsou dále hodnoceny a to v následujících fázích:</w:t>
      </w:r>
    </w:p>
    <w:p w:rsidR="005B0DD0" w:rsidRPr="005F0003" w:rsidRDefault="005B0DD0" w:rsidP="005B0DD0">
      <w:pPr>
        <w:ind w:left="1080"/>
      </w:pPr>
      <w:r w:rsidRPr="005F0003">
        <w:t>a)</w:t>
      </w:r>
      <w:r w:rsidRPr="005F0003">
        <w:tab/>
        <w:t>úplnost žádosti a údajů podle § 14 odst. 3 zákona č. 218/2000 Sb.,</w:t>
      </w:r>
    </w:p>
    <w:p w:rsidR="005B0DD0" w:rsidRPr="005F0003" w:rsidRDefault="005B0DD0" w:rsidP="005B0DD0">
      <w:pPr>
        <w:ind w:left="1080"/>
      </w:pPr>
      <w:r w:rsidRPr="005F0003">
        <w:t>b)</w:t>
      </w:r>
      <w:r w:rsidRPr="005F0003">
        <w:tab/>
        <w:t>splnění kritérií pro poskytnutí institucionální podpory na rozvoj výzkumné organizace, kterými jsou:</w:t>
      </w:r>
    </w:p>
    <w:p w:rsidR="005B0DD0" w:rsidRPr="005F0003" w:rsidRDefault="005B0DD0" w:rsidP="005B0DD0">
      <w:pPr>
        <w:ind w:left="1440" w:hanging="360"/>
      </w:pPr>
      <w:r w:rsidRPr="005F0003">
        <w:t>1.</w:t>
      </w:r>
      <w:r w:rsidRPr="005F0003">
        <w:tab/>
        <w:t>minimální doba existenc</w:t>
      </w:r>
      <w:r>
        <w:t>e VO jako právnické osoby 5 let</w:t>
      </w:r>
      <w:r>
        <w:rPr>
          <w:rStyle w:val="Znakapoznpodarou"/>
        </w:rPr>
        <w:footnoteReference w:id="10"/>
      </w:r>
    </w:p>
    <w:p w:rsidR="005B0DD0" w:rsidRDefault="005B0DD0" w:rsidP="005B0DD0">
      <w:pPr>
        <w:ind w:left="1440" w:hanging="360"/>
      </w:pPr>
      <w:r w:rsidRPr="005F0003">
        <w:t>2.</w:t>
      </w:r>
      <w:r w:rsidRPr="005F0003">
        <w:tab/>
        <w:t xml:space="preserve">soulad požadované institucionální podpory na </w:t>
      </w:r>
      <w:r>
        <w:t>DKRVO</w:t>
      </w:r>
      <w:r w:rsidRPr="005F0003">
        <w:t xml:space="preserve"> s evropskými předpisy</w:t>
      </w:r>
      <w:r>
        <w:t>.</w:t>
      </w:r>
    </w:p>
    <w:p w:rsidR="005B0DD0" w:rsidRDefault="005F5E18" w:rsidP="005B0DD0">
      <w:pPr>
        <w:ind w:left="1080"/>
      </w:pPr>
      <w:r>
        <w:t xml:space="preserve">c) </w:t>
      </w:r>
      <w:r w:rsidR="005B0DD0">
        <w:t xml:space="preserve">hodnocení </w:t>
      </w:r>
      <w:r w:rsidR="005B0DD0" w:rsidRPr="005F0003">
        <w:t>dlouhodob</w:t>
      </w:r>
      <w:r w:rsidR="005B0DD0">
        <w:t>é</w:t>
      </w:r>
      <w:r w:rsidR="005B0DD0" w:rsidRPr="005F0003">
        <w:t xml:space="preserve"> koncepc</w:t>
      </w:r>
      <w:r w:rsidR="005B0DD0">
        <w:t>e</w:t>
      </w:r>
      <w:r w:rsidR="005B0DD0" w:rsidRPr="005F0003">
        <w:t xml:space="preserve"> rozvoje VO „peer review“ pomocí odborného poradního orgánu nebo orgánů</w:t>
      </w:r>
      <w:r w:rsidR="005B0DD0">
        <w:t>,</w:t>
      </w:r>
      <w:r w:rsidR="005B0DD0" w:rsidRPr="005F0003">
        <w:t xml:space="preserve"> jejichž počet, strukturu a </w:t>
      </w:r>
      <w:r w:rsidR="005B0DD0">
        <w:t xml:space="preserve">proces rozhodování </w:t>
      </w:r>
      <w:r w:rsidR="005B0DD0" w:rsidRPr="005F0003">
        <w:t xml:space="preserve"> </w:t>
      </w:r>
      <w:r w:rsidR="005B0DD0">
        <w:t>je dále rozpracován. Složení odborného poradního orgánu bude zveřejněno před zahájením hodnocení.</w:t>
      </w:r>
    </w:p>
    <w:p w:rsidR="005B0DD0" w:rsidRPr="005F0003" w:rsidRDefault="005F5E18" w:rsidP="005B0DD0">
      <w:pPr>
        <w:ind w:left="1080"/>
      </w:pPr>
      <w:r>
        <w:t xml:space="preserve">d) </w:t>
      </w:r>
      <w:r w:rsidR="005B0DD0">
        <w:t>v</w:t>
      </w:r>
      <w:r w:rsidR="005B0DD0" w:rsidRPr="005F0003">
        <w:t> případě, že dlouhodobá koncepc</w:t>
      </w:r>
      <w:r w:rsidR="005B0DD0">
        <w:t>e</w:t>
      </w:r>
      <w:r w:rsidR="005B0DD0" w:rsidRPr="005F0003">
        <w:t xml:space="preserve"> rozvoje VO není </w:t>
      </w:r>
      <w:r w:rsidR="005B0DD0">
        <w:t xml:space="preserve">zcela nebo </w:t>
      </w:r>
      <w:r w:rsidR="005B0DD0" w:rsidRPr="005F0003">
        <w:t>v některé části</w:t>
      </w:r>
      <w:r w:rsidR="005B0DD0">
        <w:t xml:space="preserve"> či oblasti</w:t>
      </w:r>
      <w:r w:rsidR="005B0DD0" w:rsidRPr="005F0003">
        <w:t xml:space="preserve"> při hodnocení schválena, musí ji příslušná VO přepracovat a musí být poskytovatelem znovu zhodnocena. Termíny pro předložení dopracované koncepce a opakované hodnocení stanoví poskytovatel přiměřeně rozsahu dopracování koncepce. Teprve v případě opakovaného neschválení této koncepce poskytovatel přikročí ke krácení výše podpory způsobem odpovídajícím neschváleným výdajům a prostředky rozdělí mezi ostatní VO ve své kompetenci.</w:t>
      </w:r>
    </w:p>
    <w:p w:rsidR="005B0DD0" w:rsidRPr="005F0003" w:rsidRDefault="005B0DD0" w:rsidP="005B0DD0">
      <w:pPr>
        <w:ind w:left="720" w:hanging="360"/>
      </w:pPr>
      <w:r w:rsidRPr="005F0003">
        <w:t>5.</w:t>
      </w:r>
      <w:r w:rsidRPr="005F0003">
        <w:tab/>
        <w:t>O výsledku každé fáze hodnocení v r. 2017 poskytovatel zpracuje protokol, ve které</w:t>
      </w:r>
      <w:r>
        <w:t>m</w:t>
      </w:r>
      <w:r w:rsidRPr="005F0003">
        <w:t xml:space="preserve"> uvede základní identifikační údaje </w:t>
      </w:r>
      <w:r>
        <w:t>podkladů</w:t>
      </w:r>
      <w:r w:rsidRPr="005F0003">
        <w:t xml:space="preserve">, </w:t>
      </w:r>
      <w:r>
        <w:t>jak</w:t>
      </w:r>
      <w:r w:rsidRPr="005F0003">
        <w:t xml:space="preserve"> byla hodnocena a s jakým výsledkem včetně </w:t>
      </w:r>
      <w:r>
        <w:t xml:space="preserve">odůvodnění </w:t>
      </w:r>
      <w:r w:rsidRPr="005F0003">
        <w:t>Protokol poskytne dané VO bez uvedení osobních údajů hodnotitelů.</w:t>
      </w:r>
      <w:r>
        <w:t xml:space="preserve"> </w:t>
      </w:r>
      <w:r w:rsidRPr="005F0003">
        <w:t>6.</w:t>
      </w:r>
      <w:r w:rsidRPr="005F0003">
        <w:tab/>
        <w:t>Na základě hodnocení provedeného v r. 2017 vydá poskytovatel rozhodnutí o poskytnutí institucionální podpory na dlouhodobý koncepční rozvoj VO na léta 2018 - 2022, které na svých webových stránkách zveřejní.</w:t>
      </w:r>
    </w:p>
    <w:p w:rsidR="005B0DD0" w:rsidRPr="005F0003" w:rsidRDefault="005B0DD0" w:rsidP="005B0DD0">
      <w:pPr>
        <w:ind w:left="720" w:hanging="360"/>
      </w:pPr>
      <w:r w:rsidRPr="005F0003">
        <w:t>7.</w:t>
      </w:r>
      <w:r w:rsidRPr="005F0003">
        <w:tab/>
        <w:t xml:space="preserve">V poskytovatelem stanoveném termínu, nejpozději však do </w:t>
      </w:r>
      <w:r w:rsidRPr="00345960">
        <w:t xml:space="preserve">5. ledna </w:t>
      </w:r>
      <w:r>
        <w:t xml:space="preserve">let </w:t>
      </w:r>
      <w:r w:rsidRPr="00345960">
        <w:t>2019 - 2022</w:t>
      </w:r>
      <w:r w:rsidRPr="005F0003">
        <w:t>, pře</w:t>
      </w:r>
      <w:r>
        <w:t>d</w:t>
      </w:r>
      <w:r w:rsidRPr="005F0003">
        <w:t>loží VO v každém roce průběžnou zprávu o plnění dlouhodob</w:t>
      </w:r>
      <w:r>
        <w:t>é</w:t>
      </w:r>
      <w:r w:rsidRPr="005F0003">
        <w:t xml:space="preserve"> koncepc</w:t>
      </w:r>
      <w:r>
        <w:t>e</w:t>
      </w:r>
      <w:r w:rsidRPr="005F0003">
        <w:t xml:space="preserve"> rozvoje VO a čerpání podpory</w:t>
      </w:r>
      <w:r w:rsidRPr="005F0003">
        <w:rPr>
          <w:sz w:val="20"/>
          <w:szCs w:val="20"/>
        </w:rPr>
        <w:t xml:space="preserve"> </w:t>
      </w:r>
      <w:r w:rsidRPr="005F0003">
        <w:t xml:space="preserve">v uplynulém roce, kterou poskytovatel zhodnotí pomocí odborného poradního orgánu. Na základě tohoto průběžného hodnocení vydá poskytovatel změnu rozhodnutí pro daný rok, ve kterém může změnit výši podpory pro jednotlivé VO o +/- 5 % výdajů (tento limit nezahrnuje případné zvýšení výdajů na </w:t>
      </w:r>
      <w:r>
        <w:t>DKRVO</w:t>
      </w:r>
      <w:r w:rsidRPr="005F0003">
        <w:t xml:space="preserve"> poskytovatele).</w:t>
      </w:r>
    </w:p>
    <w:p w:rsidR="005B0DD0" w:rsidRPr="005F0003" w:rsidRDefault="005B0DD0" w:rsidP="005B0DD0">
      <w:pPr>
        <w:ind w:left="720" w:hanging="360"/>
      </w:pPr>
      <w:r w:rsidRPr="005F0003">
        <w:t>8.</w:t>
      </w:r>
      <w:r w:rsidRPr="005F0003">
        <w:tab/>
        <w:t xml:space="preserve">V poskytovatelem stanoveném termínu, nejpozději však do </w:t>
      </w:r>
      <w:r w:rsidRPr="00345960">
        <w:t>5. ledna 202</w:t>
      </w:r>
      <w:r>
        <w:t>3</w:t>
      </w:r>
      <w:r w:rsidRPr="005F0003">
        <w:t>, pře</w:t>
      </w:r>
      <w:r>
        <w:t>d</w:t>
      </w:r>
      <w:r w:rsidRPr="005F0003">
        <w:t>loží VO závěrečnou zprávu o plnění dlouhodobé koncepce rozvoje VO vč. plnění stanovených cílů a uplatněných výsledků a čerpání podpory za celou dobu řešení.</w:t>
      </w:r>
    </w:p>
    <w:p w:rsidR="005B0DD0" w:rsidRPr="005F0003" w:rsidRDefault="005B0DD0" w:rsidP="005B0DD0">
      <w:pPr>
        <w:ind w:left="720" w:hanging="360"/>
      </w:pPr>
      <w:r w:rsidRPr="005F0003">
        <w:lastRenderedPageBreak/>
        <w:t>9.</w:t>
      </w:r>
      <w:r w:rsidRPr="005F0003">
        <w:tab/>
        <w:t>Poskytovatel zajistí závěrečné hodnocení plnění dlouhodob</w:t>
      </w:r>
      <w:r>
        <w:t>é</w:t>
      </w:r>
      <w:r w:rsidRPr="005F0003">
        <w:t xml:space="preserve"> koncepc</w:t>
      </w:r>
      <w:r>
        <w:t>e</w:t>
      </w:r>
      <w:r w:rsidRPr="005F0003">
        <w:t xml:space="preserve"> rozvoje VO </w:t>
      </w:r>
      <w:r>
        <w:t>za roky</w:t>
      </w:r>
      <w:r w:rsidRPr="005F0003">
        <w:t xml:space="preserve"> 2018 – 2022 hodnocením „peer review“ pomocí odbornéh</w:t>
      </w:r>
      <w:r>
        <w:t>o poradního orgánu nebo orgánů.</w:t>
      </w:r>
    </w:p>
    <w:p w:rsidR="005B0DD0" w:rsidRPr="005F0003" w:rsidRDefault="005B0DD0" w:rsidP="005B0DD0">
      <w:pPr>
        <w:ind w:left="720" w:hanging="360"/>
      </w:pPr>
      <w:r w:rsidRPr="005F0003">
        <w:t>10.</w:t>
      </w:r>
      <w:r w:rsidRPr="005F0003">
        <w:tab/>
        <w:t xml:space="preserve">Zveřejnění závěrečného hodnocení plnění dlouhodobé koncepce rozvoje VO v r. 2022 zajistí poskytovatel nejpozději do 30. </w:t>
      </w:r>
      <w:r>
        <w:t>června</w:t>
      </w:r>
      <w:r w:rsidRPr="005F0003">
        <w:t xml:space="preserve"> 2023.</w:t>
      </w:r>
    </w:p>
    <w:p w:rsidR="005B0DD0" w:rsidRPr="005F0003" w:rsidRDefault="005B0DD0" w:rsidP="005F5E18">
      <w:pPr>
        <w:pStyle w:val="Nadpis3"/>
      </w:pPr>
      <w:bookmarkStart w:id="292" w:name="_Toc462064498"/>
      <w:r w:rsidRPr="00040B01">
        <w:t>Vstupní hodnocení na léta 2018 – 2022 prováděné v r. 2017</w:t>
      </w:r>
      <w:bookmarkEnd w:id="292"/>
    </w:p>
    <w:p w:rsidR="005B0DD0" w:rsidRPr="00B5516C" w:rsidRDefault="005B0DD0" w:rsidP="00594F03">
      <w:pPr>
        <w:pStyle w:val="Nadpis3"/>
        <w:numPr>
          <w:ilvl w:val="2"/>
          <w:numId w:val="17"/>
        </w:numPr>
      </w:pPr>
      <w:bookmarkStart w:id="293" w:name="_Toc462064499"/>
      <w:r w:rsidRPr="00B5516C">
        <w:t xml:space="preserve">Výzva VO k předložení </w:t>
      </w:r>
      <w:r>
        <w:t>podkladů</w:t>
      </w:r>
      <w:r w:rsidRPr="00B5516C">
        <w:t xml:space="preserve"> se stanovenými náležitostmi a se stanovením maximální výše podpory</w:t>
      </w:r>
      <w:bookmarkEnd w:id="293"/>
    </w:p>
    <w:p w:rsidR="005B0DD0" w:rsidRPr="005F0003" w:rsidRDefault="005B0DD0" w:rsidP="005F5E18">
      <w:r w:rsidRPr="005F0003">
        <w:t xml:space="preserve">Poskytovatel vyzve VO ve své působnosti do 31. května 2017 k předložení </w:t>
      </w:r>
      <w:r>
        <w:t>podkladů</w:t>
      </w:r>
      <w:r w:rsidRPr="005F0003">
        <w:t xml:space="preserve"> v letech 2018 – 2022 obsahující:</w:t>
      </w:r>
    </w:p>
    <w:p w:rsidR="005B0DD0" w:rsidRPr="005F0003" w:rsidRDefault="005B0DD0" w:rsidP="005B0DD0">
      <w:pPr>
        <w:ind w:left="1080" w:hanging="360"/>
      </w:pPr>
      <w:r w:rsidRPr="005F0003">
        <w:t>a)</w:t>
      </w:r>
      <w:r w:rsidRPr="005F0003">
        <w:tab/>
        <w:t>Žádost o poskytnutí dotace podle § 14 odst. 3 zákona č. 218/2000 Sb., s následujícími náležitostmi:</w:t>
      </w:r>
    </w:p>
    <w:p w:rsidR="005B0DD0" w:rsidRPr="005F0003" w:rsidRDefault="005B0DD0" w:rsidP="005B0DD0">
      <w:pPr>
        <w:ind w:left="1440" w:hanging="360"/>
      </w:pPr>
      <w:r w:rsidRPr="005F0003">
        <w:t>1.</w:t>
      </w:r>
      <w:r w:rsidRPr="005F0003">
        <w:tab/>
        <w:t>název, adresu sídla a identifikační číslo VO jako právnické osoby,</w:t>
      </w:r>
    </w:p>
    <w:p w:rsidR="005B0DD0" w:rsidRPr="005F0003" w:rsidRDefault="005B0DD0" w:rsidP="005B0DD0">
      <w:pPr>
        <w:ind w:left="1440" w:hanging="360"/>
      </w:pPr>
      <w:r w:rsidRPr="005F0003">
        <w:t>2.</w:t>
      </w:r>
      <w:r w:rsidRPr="005F0003">
        <w:tab/>
        <w:t>název a adresu poskytovatele,</w:t>
      </w:r>
    </w:p>
    <w:p w:rsidR="005B0DD0" w:rsidRPr="005F0003" w:rsidRDefault="005B0DD0" w:rsidP="005B0DD0">
      <w:pPr>
        <w:ind w:left="1440" w:hanging="360"/>
      </w:pPr>
      <w:r w:rsidRPr="005F0003">
        <w:t>3.</w:t>
      </w:r>
      <w:r w:rsidRPr="005F0003">
        <w:tab/>
        <w:t xml:space="preserve">požadovanou výši podpory v jednotlivých letech, která nepřekročí maximální výši podpory stanovenou poskytovatelem, kterou stanoví poskytovatel podle výše dotace poskytnuté </w:t>
      </w:r>
      <w:r>
        <w:t>VO</w:t>
      </w:r>
      <w:r w:rsidRPr="005F0003">
        <w:t xml:space="preserve"> v r. 2016; tuto výši může poskytovatel podle svého hodnocení změnit každoročně o +/- 5 % (tento limit nezahrnuje případné zvýšení nebo snížení výdajů na </w:t>
      </w:r>
      <w:r>
        <w:t>DKRVO</w:t>
      </w:r>
      <w:r w:rsidRPr="005F0003">
        <w:t xml:space="preserve"> poskytovatele v SR VaVaI),</w:t>
      </w:r>
    </w:p>
    <w:p w:rsidR="005B0DD0" w:rsidRPr="005F0003" w:rsidRDefault="005B0DD0" w:rsidP="005B0DD0">
      <w:pPr>
        <w:ind w:left="1440" w:hanging="360"/>
      </w:pPr>
      <w:r w:rsidRPr="005F0003">
        <w:t>4.</w:t>
      </w:r>
      <w:r w:rsidRPr="005F0003">
        <w:tab/>
        <w:t>účel dotace – odkazem na její dlouhodob</w:t>
      </w:r>
      <w:r>
        <w:t>ou</w:t>
      </w:r>
      <w:r w:rsidRPr="005F0003">
        <w:t xml:space="preserve"> koncepci rozvoje VO, </w:t>
      </w:r>
    </w:p>
    <w:p w:rsidR="005B0DD0" w:rsidRPr="005F0003" w:rsidRDefault="005B0DD0" w:rsidP="005B0DD0">
      <w:pPr>
        <w:ind w:left="1440" w:hanging="360"/>
      </w:pPr>
      <w:r w:rsidRPr="005F0003">
        <w:t>5.</w:t>
      </w:r>
      <w:r w:rsidRPr="005F0003">
        <w:tab/>
        <w:t>lhůtu, v níž má být dosaženo účelu dotace, tj. v letech 2018 - 2022,</w:t>
      </w:r>
    </w:p>
    <w:p w:rsidR="005B0DD0" w:rsidRPr="005F0003" w:rsidRDefault="005B0DD0" w:rsidP="005B0DD0">
      <w:pPr>
        <w:ind w:left="1440" w:hanging="360"/>
      </w:pPr>
      <w:r w:rsidRPr="005F0003">
        <w:t>6.</w:t>
      </w:r>
      <w:r w:rsidRPr="005F0003">
        <w:tab/>
        <w:t>u VO jako právnické osoby informaci o identifikaci:</w:t>
      </w:r>
    </w:p>
    <w:p w:rsidR="005B0DD0" w:rsidRPr="005F0003" w:rsidRDefault="005B0DD0" w:rsidP="005B0DD0">
      <w:pPr>
        <w:ind w:left="1800" w:hanging="360"/>
      </w:pPr>
      <w:r w:rsidRPr="005F0003">
        <w:t>i)</w:t>
      </w:r>
      <w:r w:rsidRPr="005F0003">
        <w:tab/>
        <w:t>osob jednajících jeho jménem s uvedením, zda jednají jako jeho statutární orgán nebo jednají na základě udělené plné moci,</w:t>
      </w:r>
    </w:p>
    <w:p w:rsidR="005B0DD0" w:rsidRPr="005F0003" w:rsidRDefault="005B0DD0" w:rsidP="005B0DD0">
      <w:pPr>
        <w:ind w:left="1800" w:hanging="360"/>
      </w:pPr>
      <w:r w:rsidRPr="005F0003">
        <w:t>ii)</w:t>
      </w:r>
      <w:r w:rsidRPr="005F0003">
        <w:tab/>
        <w:t>osob s podílem v této právnické osobě,</w:t>
      </w:r>
    </w:p>
    <w:p w:rsidR="005B0DD0" w:rsidRPr="005F0003" w:rsidRDefault="005B0DD0" w:rsidP="005B0DD0">
      <w:pPr>
        <w:ind w:left="1800" w:hanging="360"/>
      </w:pPr>
      <w:r w:rsidRPr="005F0003">
        <w:t>iii)</w:t>
      </w:r>
      <w:r w:rsidRPr="005F0003">
        <w:tab/>
        <w:t>osob, v nichž má podíl, a o výši tohoto podílu.</w:t>
      </w:r>
    </w:p>
    <w:p w:rsidR="005B0DD0" w:rsidRPr="005F0003" w:rsidRDefault="005B0DD0" w:rsidP="005B0DD0">
      <w:pPr>
        <w:ind w:left="1080" w:hanging="360"/>
      </w:pPr>
      <w:r w:rsidRPr="005F0003">
        <w:t>b)</w:t>
      </w:r>
      <w:r w:rsidRPr="005F0003">
        <w:tab/>
        <w:t>Podklady pro hodnocení podle kritérií pro poskytnutí institucionální podpory na rozvoj výzkumné organizace, kterými jsou:</w:t>
      </w:r>
    </w:p>
    <w:p w:rsidR="005B0DD0" w:rsidRPr="005F0003" w:rsidRDefault="005B0DD0" w:rsidP="005B0DD0">
      <w:pPr>
        <w:ind w:left="1440" w:hanging="360"/>
      </w:pPr>
      <w:r w:rsidRPr="005F0003">
        <w:t>1.</w:t>
      </w:r>
      <w:r w:rsidRPr="005F0003">
        <w:tab/>
        <w:t>minimální doba existence VO jako právnické osoby 5 let</w:t>
      </w:r>
      <w:r w:rsidRPr="00C24806">
        <w:rPr>
          <w:rStyle w:val="Znakapoznpodarou"/>
        </w:rPr>
        <w:t xml:space="preserve"> </w:t>
      </w:r>
      <w:r>
        <w:rPr>
          <w:rStyle w:val="Znakapoznpodarou"/>
        </w:rPr>
        <w:footnoteReference w:id="11"/>
      </w:r>
      <w:r w:rsidRPr="005F0003">
        <w:t>; v případě sloučení, splynutí nebo rozdělení VO se do lhůty 5 let započítává pro její právní nástupce,</w:t>
      </w:r>
      <w:r>
        <w:t xml:space="preserve"> </w:t>
      </w:r>
      <w:r w:rsidRPr="005F0003">
        <w:t xml:space="preserve">příslušná doba existence původní VO </w:t>
      </w:r>
    </w:p>
    <w:p w:rsidR="005B0DD0" w:rsidRPr="005F0003" w:rsidRDefault="005B0DD0" w:rsidP="005B0DD0">
      <w:pPr>
        <w:ind w:left="1440" w:hanging="360"/>
      </w:pPr>
      <w:r w:rsidRPr="005F0003">
        <w:lastRenderedPageBreak/>
        <w:t>2.</w:t>
      </w:r>
      <w:r w:rsidRPr="005F0003">
        <w:tab/>
        <w:t xml:space="preserve">soulad požadované institucionální podpory na </w:t>
      </w:r>
      <w:r>
        <w:t>DKRVO</w:t>
      </w:r>
      <w:r w:rsidRPr="005F0003">
        <w:t xml:space="preserve"> s evropskými předpisy o výzkumných organizacích jako příjemcích státní podpory, zejm. s body 17 až 23 čl. 2.1 Rámce pro státní podporu výzkumu, vývoje a inovací (2014/C 198/01),</w:t>
      </w:r>
    </w:p>
    <w:p w:rsidR="005B0DD0" w:rsidRPr="005F0003" w:rsidRDefault="005B0DD0" w:rsidP="005B0DD0">
      <w:pPr>
        <w:ind w:left="1080" w:hanging="360"/>
      </w:pPr>
      <w:r w:rsidRPr="005F0003">
        <w:t>c)</w:t>
      </w:r>
      <w:r w:rsidRPr="005F0003">
        <w:tab/>
      </w:r>
      <w:r>
        <w:t>D</w:t>
      </w:r>
      <w:r w:rsidRPr="005F0003">
        <w:t>louhodob</w:t>
      </w:r>
      <w:r>
        <w:t>ou</w:t>
      </w:r>
      <w:r w:rsidRPr="005F0003">
        <w:t xml:space="preserve"> koncepc</w:t>
      </w:r>
      <w:r>
        <w:t>i</w:t>
      </w:r>
      <w:r w:rsidRPr="005F0003">
        <w:t xml:space="preserve"> rozvoje VO na léta 2018 – 2022.</w:t>
      </w:r>
    </w:p>
    <w:p w:rsidR="005B0DD0" w:rsidRPr="005F0003" w:rsidRDefault="005B0DD0" w:rsidP="005B0DD0">
      <w:pPr>
        <w:ind w:left="1080"/>
      </w:pPr>
      <w:r w:rsidRPr="005F0003">
        <w:t>Dlouhodobou koncepcí rozvoje VO dokládá daná VO účel dotace – obsahuje tedy především údaje nezbytné pro její posouzení (na rozdíl od hodnocení výsledků VO v uplynulých pěti letech prováděného RVVI/ÚV ČR je tedy primárně zaměřena na budoucí období). Následující údaje jsou společným minimem pro dlouhodobou koncepc</w:t>
      </w:r>
      <w:r>
        <w:t>i</w:t>
      </w:r>
      <w:r w:rsidRPr="005F0003">
        <w:t xml:space="preserve"> rozvoje VO všech poskytovatelů, kterou příslušn</w:t>
      </w:r>
      <w:r>
        <w:t>ý</w:t>
      </w:r>
      <w:r w:rsidRPr="005F0003">
        <w:t xml:space="preserve"> poskytovatel specifikuje pro VO v jeho působnosti.</w:t>
      </w:r>
    </w:p>
    <w:p w:rsidR="005B0DD0" w:rsidRPr="005F0003" w:rsidRDefault="005B0DD0" w:rsidP="005B0DD0">
      <w:pPr>
        <w:ind w:left="1440" w:hanging="360"/>
      </w:pPr>
      <w:r w:rsidRPr="005F0003">
        <w:t>1.</w:t>
      </w:r>
      <w:r w:rsidRPr="005F0003">
        <w:tab/>
        <w:t>Základní identifikační údaje (název dokumentu, název VO, období</w:t>
      </w:r>
      <w:r w:rsidRPr="005F0003">
        <w:rPr>
          <w:rStyle w:val="Znakapoznpodarou"/>
        </w:rPr>
        <w:footnoteReference w:id="12"/>
      </w:r>
      <w:r w:rsidRPr="005F0003">
        <w:t>).</w:t>
      </w:r>
    </w:p>
    <w:p w:rsidR="005B0DD0" w:rsidRPr="005F0003" w:rsidRDefault="005B0DD0" w:rsidP="005B0DD0">
      <w:pPr>
        <w:ind w:left="1440" w:hanging="360"/>
      </w:pPr>
      <w:r w:rsidRPr="005F0003">
        <w:t>2.</w:t>
      </w:r>
      <w:r w:rsidRPr="005F0003">
        <w:tab/>
        <w:t>Souhrnná část:</w:t>
      </w:r>
    </w:p>
    <w:p w:rsidR="005B0DD0" w:rsidRPr="005F0003" w:rsidRDefault="005B0DD0" w:rsidP="005B0DD0">
      <w:pPr>
        <w:ind w:left="1800" w:hanging="360"/>
      </w:pPr>
      <w:r w:rsidRPr="005F0003">
        <w:t>i)</w:t>
      </w:r>
      <w:r w:rsidRPr="005F0003">
        <w:tab/>
        <w:t>historie a současnost VO – základní informace,</w:t>
      </w:r>
    </w:p>
    <w:p w:rsidR="005B0DD0" w:rsidRPr="005F0003" w:rsidRDefault="005B0DD0" w:rsidP="005B0DD0">
      <w:pPr>
        <w:ind w:left="1800" w:hanging="360"/>
      </w:pPr>
      <w:r w:rsidRPr="005F0003">
        <w:t>ii)</w:t>
      </w:r>
      <w:r w:rsidRPr="005F0003">
        <w:tab/>
        <w:t>celkový cíl koncepce za celou VO a jeho vazby na koncepci poskytovatele</w:t>
      </w:r>
      <w:r w:rsidRPr="005F0003">
        <w:rPr>
          <w:rStyle w:val="Znakapoznpodarou"/>
        </w:rPr>
        <w:footnoteReference w:id="13"/>
      </w:r>
      <w:r w:rsidRPr="005F0003">
        <w:t>,</w:t>
      </w:r>
    </w:p>
    <w:p w:rsidR="005B0DD0" w:rsidRPr="005F0003" w:rsidRDefault="005B0DD0" w:rsidP="005B0DD0">
      <w:pPr>
        <w:ind w:left="1800" w:hanging="360"/>
      </w:pPr>
      <w:r w:rsidRPr="005F0003">
        <w:t>iii)</w:t>
      </w:r>
      <w:r w:rsidRPr="005F0003">
        <w:tab/>
        <w:t xml:space="preserve">institucionální prostředky na </w:t>
      </w:r>
      <w:r>
        <w:t>DKRVO</w:t>
      </w:r>
      <w:r w:rsidRPr="005F0003">
        <w:t xml:space="preserve"> požadované VO celkem a v členění po jednotlivých letech a podle způsobilých nákladů (podle § 2 odst. 2 písm. k) zákona č. 130/2002 Sb.),</w:t>
      </w:r>
    </w:p>
    <w:p w:rsidR="005B0DD0" w:rsidRPr="005F0003" w:rsidRDefault="005B0DD0" w:rsidP="005B0DD0">
      <w:pPr>
        <w:ind w:left="1800" w:hanging="360"/>
      </w:pPr>
      <w:r w:rsidRPr="005F0003">
        <w:t>iv)</w:t>
      </w:r>
      <w:r w:rsidRPr="005F0003">
        <w:tab/>
        <w:t xml:space="preserve">další zdroje pro rozvoj výzkumu VO (účelová podpora, prostředky </w:t>
      </w:r>
      <w:r>
        <w:t>z fondů ESIF a jiných strukturálních fondů</w:t>
      </w:r>
      <w:r w:rsidRPr="005F0003">
        <w:t>, zahraniční zdroje, prostředky ze smluvního výzkumu apod.).</w:t>
      </w:r>
    </w:p>
    <w:p w:rsidR="005B0DD0" w:rsidRPr="005F0003" w:rsidRDefault="005B0DD0" w:rsidP="005B0DD0">
      <w:pPr>
        <w:ind w:left="1800" w:hanging="360"/>
      </w:pPr>
      <w:r w:rsidRPr="005F0003">
        <w:t>v)</w:t>
      </w:r>
      <w:r w:rsidRPr="005F0003">
        <w:tab/>
        <w:t>mezinárodní a národní spolupráce VO, spolupráce s uživateli výsledků výzkumu,</w:t>
      </w:r>
    </w:p>
    <w:p w:rsidR="005B0DD0" w:rsidRPr="005F0003" w:rsidRDefault="005B0DD0" w:rsidP="005B0DD0">
      <w:pPr>
        <w:ind w:left="1800" w:hanging="360"/>
      </w:pPr>
      <w:r w:rsidRPr="005F0003">
        <w:lastRenderedPageBreak/>
        <w:t>vi)</w:t>
      </w:r>
      <w:r w:rsidRPr="005F0003">
        <w:tab/>
        <w:t>další specifické výzkumné aktivity VO a aktivity s nimi související (vzdělávání, odborné činnosti apod.).</w:t>
      </w:r>
    </w:p>
    <w:p w:rsidR="005B0DD0" w:rsidRPr="005F0003" w:rsidRDefault="005B0DD0" w:rsidP="005B0DD0">
      <w:pPr>
        <w:ind w:left="1440" w:hanging="360"/>
      </w:pPr>
      <w:r w:rsidRPr="005F0003">
        <w:t>3.</w:t>
      </w:r>
      <w:r w:rsidRPr="005F0003">
        <w:tab/>
        <w:t>Oblasti výzkumu zajišťované jednotlivými výzkumnými týmy VO v členění:</w:t>
      </w:r>
    </w:p>
    <w:p w:rsidR="005B0DD0" w:rsidRPr="005F0003" w:rsidRDefault="005B0DD0" w:rsidP="005B0DD0">
      <w:pPr>
        <w:ind w:left="1800" w:hanging="360"/>
      </w:pPr>
      <w:r w:rsidRPr="005F0003">
        <w:t>i)</w:t>
      </w:r>
      <w:r w:rsidRPr="005F0003">
        <w:tab/>
        <w:t>název oblasti,</w:t>
      </w:r>
    </w:p>
    <w:p w:rsidR="005B0DD0" w:rsidRPr="005F0003" w:rsidRDefault="005B0DD0" w:rsidP="005B0DD0">
      <w:pPr>
        <w:ind w:left="1800" w:hanging="360"/>
      </w:pPr>
      <w:r w:rsidRPr="005F0003">
        <w:t>ii)</w:t>
      </w:r>
      <w:r w:rsidRPr="005F0003">
        <w:tab/>
        <w:t>dílčí cíl koncepce na léta 2018 – 2022 pro danou oblast a kontrolovatelné cíle pro jednotlivé roky,</w:t>
      </w:r>
    </w:p>
    <w:p w:rsidR="005B0DD0" w:rsidRPr="005F0003" w:rsidRDefault="005B0DD0" w:rsidP="005B0DD0">
      <w:pPr>
        <w:ind w:left="1800" w:hanging="360"/>
      </w:pPr>
      <w:r w:rsidRPr="005F0003">
        <w:t>iii)</w:t>
      </w:r>
      <w:r w:rsidRPr="005F0003">
        <w:tab/>
        <w:t xml:space="preserve">složení týmu zajišťujícího </w:t>
      </w:r>
      <w:r>
        <w:t>oblast</w:t>
      </w:r>
      <w:r w:rsidRPr="005F0003">
        <w:t xml:space="preserve"> (jméno pracovníka VO popř. studenta a jeho úvazek),</w:t>
      </w:r>
    </w:p>
    <w:p w:rsidR="005B0DD0" w:rsidRPr="005F0003" w:rsidRDefault="005B0DD0" w:rsidP="005B0DD0">
      <w:pPr>
        <w:ind w:left="1800" w:hanging="360"/>
      </w:pPr>
      <w:r w:rsidRPr="005F0003">
        <w:t>iv)</w:t>
      </w:r>
      <w:r w:rsidRPr="005F0003">
        <w:tab/>
        <w:t xml:space="preserve">nejvýznamnější výsledky </w:t>
      </w:r>
      <w:r>
        <w:t>v oblasti</w:t>
      </w:r>
      <w:r w:rsidRPr="005F0003">
        <w:t xml:space="preserve"> uplatněné v předchozích pěti letech</w:t>
      </w:r>
    </w:p>
    <w:p w:rsidR="005B0DD0" w:rsidRPr="005F0003" w:rsidRDefault="005B0DD0" w:rsidP="005B0DD0">
      <w:pPr>
        <w:ind w:left="1800" w:hanging="360"/>
      </w:pPr>
      <w:r w:rsidRPr="005F0003">
        <w:t>v)</w:t>
      </w:r>
      <w:r w:rsidRPr="005F0003">
        <w:tab/>
        <w:t xml:space="preserve">předpokládané výsledky </w:t>
      </w:r>
      <w:r>
        <w:t xml:space="preserve">oblasti </w:t>
      </w:r>
      <w:r w:rsidRPr="005F0003">
        <w:t>a doba jejich uplatnění v období 2018 – 2022.</w:t>
      </w:r>
    </w:p>
    <w:p w:rsidR="005B0DD0" w:rsidRPr="005F0003" w:rsidRDefault="005B0DD0" w:rsidP="005B0DD0">
      <w:pPr>
        <w:pStyle w:val="Nadpis3"/>
      </w:pPr>
      <w:bookmarkStart w:id="294" w:name="_Toc462064500"/>
      <w:r w:rsidRPr="005F0003">
        <w:t xml:space="preserve">Předložení </w:t>
      </w:r>
      <w:r>
        <w:t>podkladů</w:t>
      </w:r>
      <w:r w:rsidRPr="005F0003">
        <w:t xml:space="preserve"> se stanovenými náležitostmi</w:t>
      </w:r>
      <w:bookmarkEnd w:id="294"/>
    </w:p>
    <w:p w:rsidR="005B0DD0" w:rsidRPr="005F0003" w:rsidRDefault="005B0DD0" w:rsidP="005F5E18">
      <w:r w:rsidRPr="005F0003">
        <w:t xml:space="preserve">VO předá poskytovateli </w:t>
      </w:r>
      <w:r>
        <w:t>podklady</w:t>
      </w:r>
      <w:r w:rsidRPr="005F0003">
        <w:t xml:space="preserve"> s náležitostmi stanoveným</w:t>
      </w:r>
      <w:r w:rsidRPr="006073A5">
        <w:t>i v části V.B.1. této metodiky, nejpozději do 31. srpna 2017 způsobem, který ve výzvě stanovil poskytovatel.</w:t>
      </w:r>
    </w:p>
    <w:p w:rsidR="005B0DD0" w:rsidRPr="005F0003" w:rsidRDefault="005B0DD0" w:rsidP="005B0DD0">
      <w:pPr>
        <w:pStyle w:val="Nadpis3"/>
      </w:pPr>
      <w:bookmarkStart w:id="295" w:name="_Toc462064501"/>
      <w:r w:rsidRPr="005F0003">
        <w:t xml:space="preserve">Zhodnocení úplnosti </w:t>
      </w:r>
      <w:r>
        <w:t>podkladů</w:t>
      </w:r>
      <w:r w:rsidRPr="005F0003">
        <w:t xml:space="preserve"> a údajů poskytovatelem (1. fáze hodnocení)</w:t>
      </w:r>
      <w:bookmarkEnd w:id="295"/>
    </w:p>
    <w:p w:rsidR="005B0DD0" w:rsidRPr="005F0003" w:rsidRDefault="005B0DD0" w:rsidP="005B0DD0">
      <w:pPr>
        <w:ind w:left="1080" w:hanging="360"/>
      </w:pPr>
      <w:r w:rsidRPr="005F0003">
        <w:t>a)</w:t>
      </w:r>
      <w:r w:rsidRPr="005F0003">
        <w:tab/>
        <w:t xml:space="preserve">Poskytovatel zhodnotí úplnosti </w:t>
      </w:r>
      <w:r>
        <w:t>podkladů</w:t>
      </w:r>
      <w:r w:rsidRPr="005F0003">
        <w:t xml:space="preserve"> uved</w:t>
      </w:r>
      <w:r w:rsidRPr="006073A5">
        <w:t>ených části V.B.1.a) této metodiky ve lhůt</w:t>
      </w:r>
      <w:r w:rsidRPr="005F0003">
        <w:t>ě do 30. září 2017.</w:t>
      </w:r>
    </w:p>
    <w:p w:rsidR="005B0DD0" w:rsidRPr="005F0003" w:rsidRDefault="005B0DD0" w:rsidP="005B0DD0">
      <w:pPr>
        <w:ind w:left="1080" w:hanging="360"/>
      </w:pPr>
      <w:r w:rsidRPr="005F0003">
        <w:t>b)</w:t>
      </w:r>
      <w:r w:rsidRPr="005F0003">
        <w:tab/>
        <w:t xml:space="preserve">V případě zjištěných nedostatků žádosti hodnotí ty VO, které je na výzvu poskytovatele odstraní ve lhůtě </w:t>
      </w:r>
      <w:r>
        <w:t>14</w:t>
      </w:r>
      <w:r w:rsidRPr="005F0003">
        <w:t xml:space="preserve"> kalendářních dnů.</w:t>
      </w:r>
    </w:p>
    <w:p w:rsidR="005B0DD0" w:rsidRPr="005F0003" w:rsidRDefault="005B0DD0" w:rsidP="005B0DD0">
      <w:pPr>
        <w:pStyle w:val="Nadpis3"/>
      </w:pPr>
      <w:bookmarkStart w:id="296" w:name="_Toc462064502"/>
      <w:r w:rsidRPr="005F0003">
        <w:t>Zhodnocení plnění kritérií pro poskytnutí podpory poskytovatelem (2. fáze hodnocení)</w:t>
      </w:r>
      <w:bookmarkEnd w:id="296"/>
    </w:p>
    <w:p w:rsidR="005B0DD0" w:rsidRPr="005F0003" w:rsidRDefault="005B0DD0" w:rsidP="005B0DD0">
      <w:pPr>
        <w:ind w:left="900" w:firstLine="360"/>
      </w:pPr>
      <w:r w:rsidRPr="005F0003">
        <w:t>Poskytovatel zhodnotí splnění následujících kritérií pro poskytnutí podpory ve lhůtě do 30. září 2017:</w:t>
      </w:r>
    </w:p>
    <w:p w:rsidR="005B0DD0" w:rsidRPr="005F0003" w:rsidRDefault="005B0DD0" w:rsidP="005B0DD0">
      <w:pPr>
        <w:ind w:left="1080" w:hanging="360"/>
      </w:pPr>
      <w:r w:rsidRPr="005F0003">
        <w:t>a)</w:t>
      </w:r>
      <w:r w:rsidRPr="005F0003">
        <w:tab/>
        <w:t>minimální doba existence VO jako právnické osoby 5 let</w:t>
      </w:r>
      <w:r>
        <w:t xml:space="preserve"> </w:t>
      </w:r>
      <w:r>
        <w:rPr>
          <w:rStyle w:val="Znakapoznpodarou"/>
        </w:rPr>
        <w:footnoteReference w:id="14"/>
      </w:r>
      <w:r w:rsidRPr="005F0003">
        <w:t>; v případě sloučení, splynutí nebo rozdělení VO se do lhůty 5 let započítává pro její právní nástupce příslušná doba existence původní VO,</w:t>
      </w:r>
    </w:p>
    <w:p w:rsidR="005B0DD0" w:rsidRPr="005F0003" w:rsidRDefault="005B0DD0" w:rsidP="005B0DD0">
      <w:pPr>
        <w:ind w:left="1080" w:hanging="360"/>
      </w:pPr>
      <w:r w:rsidRPr="005F0003">
        <w:t>b)</w:t>
      </w:r>
      <w:r w:rsidRPr="005F0003">
        <w:tab/>
        <w:t xml:space="preserve">soulad požadované institucionální podpory na </w:t>
      </w:r>
      <w:r>
        <w:t>DKRVO</w:t>
      </w:r>
      <w:r w:rsidRPr="005F0003">
        <w:t xml:space="preserve"> s evropskými předpisy o výzkumných organizacích jako příjemcích státní podpory, zejm. s body 17 až 23 čl. 2.1 Rámce pro státní podporu výzkumu, vývoje a inovací (2014/C 198/01),</w:t>
      </w:r>
    </w:p>
    <w:p w:rsidR="005B0DD0" w:rsidRPr="005F0003" w:rsidRDefault="005B0DD0" w:rsidP="005B0DD0">
      <w:pPr>
        <w:ind w:left="1080" w:hanging="360"/>
      </w:pPr>
    </w:p>
    <w:p w:rsidR="005B0DD0" w:rsidRPr="005F0003" w:rsidRDefault="005B0DD0" w:rsidP="005B0DD0">
      <w:pPr>
        <w:pStyle w:val="Nadpis3"/>
      </w:pPr>
      <w:bookmarkStart w:id="297" w:name="_Toc462064503"/>
      <w:r w:rsidRPr="005F0003">
        <w:t>Zhodnocení dlouhodobé koncepc</w:t>
      </w:r>
      <w:r>
        <w:t>e</w:t>
      </w:r>
      <w:r w:rsidRPr="005F0003">
        <w:t xml:space="preserve"> rozvoje VO poskytovatelem hodnocením „peer review“ pomocí odborného poradního orgánu (3. fáze hodnocení)</w:t>
      </w:r>
      <w:bookmarkEnd w:id="297"/>
    </w:p>
    <w:p w:rsidR="005B0DD0" w:rsidRPr="005F0003" w:rsidRDefault="005B0DD0" w:rsidP="005B0DD0">
      <w:pPr>
        <w:ind w:left="720" w:hanging="360"/>
      </w:pPr>
      <w:r w:rsidRPr="005F0003">
        <w:t>a)</w:t>
      </w:r>
      <w:r w:rsidRPr="005F0003">
        <w:tab/>
        <w:t xml:space="preserve">Dlouhodobou koncepci rozvoje VO hodnotí </w:t>
      </w:r>
      <w:r>
        <w:t xml:space="preserve">nejpozději do 15. listopadu 2017 </w:t>
      </w:r>
      <w:r w:rsidRPr="005F0003">
        <w:t>poskytovatel hodnocením „peer review“ pomocí odborného poradního orgánu nebo orgánů</w:t>
      </w:r>
      <w:r>
        <w:t>,</w:t>
      </w:r>
      <w:r w:rsidRPr="005F0003">
        <w:t xml:space="preserve"> jejichž počet, </w:t>
      </w:r>
      <w:r w:rsidRPr="005F0003">
        <w:lastRenderedPageBreak/>
        <w:t>struktur</w:t>
      </w:r>
      <w:r>
        <w:t>a</w:t>
      </w:r>
      <w:r w:rsidRPr="005F0003">
        <w:t xml:space="preserve"> a </w:t>
      </w:r>
      <w:r>
        <w:t>hodnotící proces je dále specifikován.</w:t>
      </w:r>
      <w:r w:rsidRPr="005F0003">
        <w:t xml:space="preserve"> </w:t>
      </w:r>
      <w:r>
        <w:t>Složení odborného poradního orgánu bude zveřejněno nejpozději po ukončení</w:t>
      </w:r>
      <w:r w:rsidRPr="005F0003">
        <w:t>hodnocení.</w:t>
      </w:r>
    </w:p>
    <w:p w:rsidR="005B0DD0" w:rsidRPr="002E3821" w:rsidRDefault="005B0DD0" w:rsidP="005B0DD0">
      <w:pPr>
        <w:ind w:left="1080" w:hanging="360"/>
        <w:rPr>
          <w:b/>
        </w:rPr>
      </w:pPr>
      <w:r w:rsidRPr="005F0003">
        <w:t>b)</w:t>
      </w:r>
      <w:r w:rsidRPr="005F0003">
        <w:tab/>
        <w:t xml:space="preserve">Hlavními kritérii hodnocení </w:t>
      </w:r>
      <w:r w:rsidRPr="002E3821">
        <w:rPr>
          <w:b/>
        </w:rPr>
        <w:t>VO jsou</w:t>
      </w:r>
      <w:r w:rsidRPr="002E3821">
        <w:rPr>
          <w:b/>
          <w:vertAlign w:val="superscript"/>
        </w:rPr>
        <w:footnoteReference w:id="15"/>
      </w:r>
      <w:r w:rsidRPr="002E3821">
        <w:rPr>
          <w:b/>
        </w:rPr>
        <w:t>:</w:t>
      </w:r>
    </w:p>
    <w:p w:rsidR="005B0DD0" w:rsidRPr="005F0003" w:rsidRDefault="005B0DD0" w:rsidP="005B0DD0">
      <w:pPr>
        <w:ind w:left="1440" w:hanging="360"/>
      </w:pPr>
      <w:r w:rsidRPr="005F0003">
        <w:t>1.</w:t>
      </w:r>
      <w:r w:rsidRPr="005F0003">
        <w:tab/>
        <w:t>výzkumné prostředí (úroveň koncepce VO a naplňování koncepce poskytovatele, podmínky a předpoklady pro výzkum atd.)</w:t>
      </w:r>
    </w:p>
    <w:p w:rsidR="005B0DD0" w:rsidRPr="005F0003" w:rsidRDefault="005B0DD0" w:rsidP="005B0DD0">
      <w:pPr>
        <w:ind w:left="1440" w:hanging="360"/>
      </w:pPr>
      <w:r w:rsidRPr="005F0003">
        <w:t>2.</w:t>
      </w:r>
      <w:r w:rsidRPr="005F0003">
        <w:tab/>
        <w:t>mezinárodní a národní spolupráce (spolupráce VO s dalšími výzkumnými organizacemi)</w:t>
      </w:r>
    </w:p>
    <w:p w:rsidR="005B0DD0" w:rsidRPr="005F0003" w:rsidRDefault="005B0DD0" w:rsidP="005B0DD0">
      <w:pPr>
        <w:ind w:left="1440" w:hanging="360"/>
      </w:pPr>
      <w:r w:rsidRPr="005F0003">
        <w:t>3.</w:t>
      </w:r>
      <w:r w:rsidRPr="005F0003">
        <w:tab/>
        <w:t>excelence ve výzkumu (hodnocení vybraných výsledků VO</w:t>
      </w:r>
      <w:r>
        <w:t>, další specifické výzkumné aktivity VO</w:t>
      </w:r>
      <w:r w:rsidRPr="005F0003">
        <w:t>),</w:t>
      </w:r>
    </w:p>
    <w:p w:rsidR="005B0DD0" w:rsidRPr="005F0003" w:rsidRDefault="005B0DD0" w:rsidP="005B0DD0">
      <w:pPr>
        <w:ind w:left="1440" w:hanging="360"/>
      </w:pPr>
      <w:r w:rsidRPr="005F0003">
        <w:t>4.</w:t>
      </w:r>
      <w:r w:rsidRPr="005F0003">
        <w:tab/>
        <w:t xml:space="preserve">výkonnost výzkumu (spolupráce s uživateli výsledků VaV, zdroje získané mimo </w:t>
      </w:r>
      <w:r>
        <w:t>DKRVO, účelnost využití požadovaných prostředků</w:t>
      </w:r>
      <w:r w:rsidRPr="005F0003">
        <w:t xml:space="preserve"> atd.)</w:t>
      </w:r>
    </w:p>
    <w:p w:rsidR="005B0DD0" w:rsidRPr="005F0003" w:rsidRDefault="005B0DD0" w:rsidP="005B0DD0">
      <w:pPr>
        <w:ind w:left="1440" w:hanging="360"/>
      </w:pPr>
      <w:r w:rsidRPr="005F0003">
        <w:t>5.</w:t>
      </w:r>
      <w:r w:rsidRPr="005F0003">
        <w:tab/>
        <w:t>relevance výzkumu pro společnost a jeho dopady.</w:t>
      </w:r>
    </w:p>
    <w:p w:rsidR="005B0DD0" w:rsidRPr="005F0003" w:rsidRDefault="005B0DD0" w:rsidP="005B0DD0">
      <w:pPr>
        <w:ind w:left="1080"/>
      </w:pPr>
      <w:r w:rsidRPr="005F0003">
        <w:t>Další kritéria může poskytovatel podle svých specifik doplnit s využitím výstupů IPn Metodiky</w:t>
      </w:r>
      <w:r w:rsidRPr="005F0003">
        <w:rPr>
          <w:rStyle w:val="Znakapoznpodarou"/>
        </w:rPr>
        <w:footnoteReference w:id="16"/>
      </w:r>
      <w:r w:rsidRPr="005F0003">
        <w:t xml:space="preserve"> popř. další</w:t>
      </w:r>
      <w:r>
        <w:t>ch</w:t>
      </w:r>
      <w:r w:rsidRPr="005F0003">
        <w:t xml:space="preserve"> zdrojů.</w:t>
      </w:r>
    </w:p>
    <w:p w:rsidR="005B0DD0" w:rsidRPr="005F0003" w:rsidRDefault="005B0DD0" w:rsidP="005B0DD0">
      <w:pPr>
        <w:ind w:left="1080" w:hanging="360"/>
      </w:pPr>
      <w:r w:rsidRPr="005F0003">
        <w:t>c)</w:t>
      </w:r>
      <w:r w:rsidRPr="005F0003">
        <w:tab/>
        <w:t>V případě, že dlouhodobá koncepc</w:t>
      </w:r>
      <w:r>
        <w:t>e</w:t>
      </w:r>
      <w:r w:rsidRPr="005F0003">
        <w:t xml:space="preserve"> rozvoje VO není </w:t>
      </w:r>
      <w:r>
        <w:t xml:space="preserve">zcela nebo </w:t>
      </w:r>
      <w:r w:rsidRPr="005F0003">
        <w:t>v některé části při hodnocení schválena, musí ji příslušná VO přepracovat a musí být poskytovatelem znovu zhodnocena. Termíny pro předložení dopracované koncepce a opakované hodnocení stanoví poskytovatel přiměřeně rozsahu požadovaného dopracování koncepce. Teprve v případě opakovaného neschválení této koncepce poskytovatel přikročí ke krácení výše podpory způsobem odpovídajícím neschváleným výdajům a prostředky rozdělí mezi ostatní VO ve své kompetenci.</w:t>
      </w:r>
    </w:p>
    <w:p w:rsidR="005B0DD0" w:rsidRPr="005F0003" w:rsidRDefault="005B0DD0" w:rsidP="005B0DD0">
      <w:pPr>
        <w:ind w:left="1080" w:hanging="360"/>
      </w:pPr>
      <w:r w:rsidRPr="005F0003">
        <w:t>d)</w:t>
      </w:r>
      <w:r w:rsidRPr="005F0003">
        <w:tab/>
        <w:t>O výsledku každé fáze hodnocení v r. 2017 poskytovatel zpracuje protokol, ve které</w:t>
      </w:r>
      <w:r>
        <w:t>m</w:t>
      </w:r>
      <w:r w:rsidRPr="005F0003">
        <w:t xml:space="preserve"> uvede základní identifikační údaje </w:t>
      </w:r>
      <w:r>
        <w:t>podkladů</w:t>
      </w:r>
      <w:r w:rsidRPr="005F0003">
        <w:t xml:space="preserve">, </w:t>
      </w:r>
      <w:r>
        <w:t xml:space="preserve">jak </w:t>
      </w:r>
      <w:r w:rsidRPr="005F0003">
        <w:t>byla hodnocena a s jakým výsledkem včetně konkrétních důvodů. Protokol poskytne dané VO bez uvedení osobních údajů hodnotitelů.</w:t>
      </w:r>
    </w:p>
    <w:p w:rsidR="005B0DD0" w:rsidRPr="005F0003" w:rsidRDefault="005B0DD0" w:rsidP="005B0DD0">
      <w:pPr>
        <w:pStyle w:val="Nadpis3"/>
      </w:pPr>
      <w:bookmarkStart w:id="298" w:name="_Toc462064504"/>
      <w:r w:rsidRPr="005F0003">
        <w:t>Vydání rozhodnutí o poskytnutí institucionální podpory a jeho zveřejnění</w:t>
      </w:r>
      <w:bookmarkEnd w:id="298"/>
    </w:p>
    <w:p w:rsidR="005B0DD0" w:rsidRPr="005F0003" w:rsidRDefault="005B0DD0" w:rsidP="005F5E18">
      <w:r w:rsidRPr="005F0003">
        <w:t>Na základě hodnocení provedeného v r. 2017 vydá poskytovatel rozhodnutí o poskytnutí institucionální podpory na dlouhodobý koncepční rozvoj VO na léta 2018 - 2022</w:t>
      </w:r>
      <w:r w:rsidRPr="002B7555">
        <w:t xml:space="preserve"> </w:t>
      </w:r>
      <w:r>
        <w:t>do 31. ledna 2018</w:t>
      </w:r>
      <w:r w:rsidRPr="005F0003">
        <w:t>, které na svých webových stránkách zveřejní.</w:t>
      </w:r>
    </w:p>
    <w:p w:rsidR="005B0DD0" w:rsidRPr="005F0003" w:rsidRDefault="005B0DD0" w:rsidP="005F5E18">
      <w:pPr>
        <w:pStyle w:val="Nadpis3"/>
      </w:pPr>
      <w:bookmarkStart w:id="299" w:name="_Toc462064505"/>
      <w:r w:rsidRPr="005F0003">
        <w:lastRenderedPageBreak/>
        <w:t xml:space="preserve">Průběžné hodnocení </w:t>
      </w:r>
      <w:r>
        <w:t xml:space="preserve">za roky </w:t>
      </w:r>
      <w:r w:rsidRPr="005F0003">
        <w:t xml:space="preserve">2018 </w:t>
      </w:r>
      <w:r>
        <w:t>–</w:t>
      </w:r>
      <w:r w:rsidRPr="005F0003">
        <w:t xml:space="preserve"> 2021</w:t>
      </w:r>
      <w:r>
        <w:t xml:space="preserve"> prováděné v </w:t>
      </w:r>
      <w:r w:rsidRPr="00040B01">
        <w:t>letech 2019 - 2022</w:t>
      </w:r>
      <w:bookmarkEnd w:id="299"/>
    </w:p>
    <w:p w:rsidR="005B0DD0" w:rsidRPr="005F0003" w:rsidRDefault="005B0DD0" w:rsidP="005B0DD0">
      <w:pPr>
        <w:pStyle w:val="Nadpis3"/>
      </w:pPr>
      <w:bookmarkStart w:id="300" w:name="_Toc462064506"/>
      <w:r w:rsidRPr="005F0003">
        <w:t>Průběžná zpráva</w:t>
      </w:r>
      <w:bookmarkEnd w:id="300"/>
    </w:p>
    <w:p w:rsidR="005B0DD0" w:rsidRPr="005F0003" w:rsidRDefault="005B0DD0" w:rsidP="005F5E18">
      <w:pPr>
        <w:ind w:left="426" w:hanging="360"/>
      </w:pPr>
      <w:r w:rsidRPr="005F0003">
        <w:t>a)</w:t>
      </w:r>
      <w:r w:rsidRPr="005F0003">
        <w:tab/>
        <w:t xml:space="preserve">V poskytovatelem stanoveném termínu, nejpozději však do 5. </w:t>
      </w:r>
      <w:r>
        <w:t xml:space="preserve">ledna </w:t>
      </w:r>
      <w:r w:rsidRPr="005F0003">
        <w:t>let 201</w:t>
      </w:r>
      <w:r>
        <w:t>9</w:t>
      </w:r>
      <w:r w:rsidRPr="005F0003">
        <w:t xml:space="preserve"> - 202</w:t>
      </w:r>
      <w:r>
        <w:t>2</w:t>
      </w:r>
      <w:r w:rsidRPr="005F0003">
        <w:t>, pře</w:t>
      </w:r>
      <w:r>
        <w:t>d</w:t>
      </w:r>
      <w:r w:rsidRPr="005F0003">
        <w:t>loží VO v každém roce průběžnou zprávu o plnění dlouhodob</w:t>
      </w:r>
      <w:r>
        <w:t>é</w:t>
      </w:r>
      <w:r w:rsidRPr="005F0003">
        <w:t xml:space="preserve"> koncepc</w:t>
      </w:r>
      <w:r>
        <w:t>e</w:t>
      </w:r>
      <w:r w:rsidRPr="005F0003">
        <w:t xml:space="preserve"> rozvoje VO a čerpání podpory</w:t>
      </w:r>
      <w:r w:rsidRPr="005F0003">
        <w:rPr>
          <w:sz w:val="20"/>
          <w:szCs w:val="20"/>
        </w:rPr>
        <w:t xml:space="preserve"> </w:t>
      </w:r>
      <w:r w:rsidRPr="005F0003">
        <w:t>v uplynulém roce.</w:t>
      </w:r>
    </w:p>
    <w:p w:rsidR="005B0DD0" w:rsidRPr="005F0003" w:rsidRDefault="005B0DD0" w:rsidP="005F5E18">
      <w:pPr>
        <w:ind w:left="426" w:hanging="360"/>
      </w:pPr>
      <w:r w:rsidRPr="005F0003">
        <w:t>b)</w:t>
      </w:r>
      <w:r w:rsidRPr="005F0003">
        <w:tab/>
        <w:t>Průběžná zpráva zahrnuje zejména:</w:t>
      </w:r>
    </w:p>
    <w:p w:rsidR="005B0DD0" w:rsidRPr="001212DD" w:rsidRDefault="005B0DD0" w:rsidP="005F5E18">
      <w:pPr>
        <w:ind w:left="426" w:hanging="360"/>
      </w:pPr>
      <w:r w:rsidRPr="005F0003">
        <w:t>1.</w:t>
      </w:r>
      <w:r w:rsidRPr="005F0003">
        <w:tab/>
        <w:t xml:space="preserve">navrhované změny dlouhodobé koncepce rozvoje VO ve struktuře </w:t>
      </w:r>
      <w:r w:rsidRPr="001212DD">
        <w:t>uvedené v části V.B.1.c) této metodiky, pokud existují, a jejich odůvodnění,</w:t>
      </w:r>
    </w:p>
    <w:p w:rsidR="005B0DD0" w:rsidRPr="001212DD" w:rsidRDefault="005B0DD0" w:rsidP="005F5E18">
      <w:pPr>
        <w:ind w:left="426" w:hanging="360"/>
      </w:pPr>
      <w:r w:rsidRPr="001212DD">
        <w:t>2.</w:t>
      </w:r>
      <w:r w:rsidRPr="001212DD">
        <w:tab/>
        <w:t>způsob plnění kontrolovatelných cílů pro daný rok uvedené v části V.B.1.c)3.ii) této metodiky,</w:t>
      </w:r>
    </w:p>
    <w:p w:rsidR="005B0DD0" w:rsidRPr="005F0003" w:rsidRDefault="005B0DD0" w:rsidP="005F5E18">
      <w:pPr>
        <w:ind w:left="426" w:hanging="360"/>
      </w:pPr>
      <w:r w:rsidRPr="001212DD">
        <w:t>3.</w:t>
      </w:r>
      <w:r w:rsidRPr="001212DD">
        <w:tab/>
        <w:t>dosažené předpokládané výsledky, pokud byly na daný rok podle části V.B.1.c)3.v) této metodiky plánovány.</w:t>
      </w:r>
    </w:p>
    <w:p w:rsidR="005B0DD0" w:rsidRPr="005F0003" w:rsidRDefault="005B0DD0" w:rsidP="005F5E18">
      <w:pPr>
        <w:ind w:left="426" w:hanging="360"/>
      </w:pPr>
      <w:r w:rsidRPr="005F0003">
        <w:t>c)</w:t>
      </w:r>
      <w:r w:rsidRPr="005F0003">
        <w:tab/>
        <w:t>Poskytovatel průběžnou zprávu zhodnotí pomocí odborného poradního orgánu.</w:t>
      </w:r>
    </w:p>
    <w:p w:rsidR="005B0DD0" w:rsidRPr="005F0003" w:rsidRDefault="005B0DD0" w:rsidP="005F5E18">
      <w:pPr>
        <w:ind w:left="426" w:hanging="360"/>
      </w:pPr>
      <w:r w:rsidRPr="005F0003">
        <w:t>d)</w:t>
      </w:r>
      <w:r w:rsidRPr="005F0003">
        <w:tab/>
        <w:t xml:space="preserve">Na základě tohoto průběžného hodnocení vydá poskytovatel změnu rozhodnutí pro daný rok, ve kterém může změnit výši podpory pro jednotlivé VO o +/- 5 % výdajů (tento limit nezahrnuje případné zvýšení výdajů na </w:t>
      </w:r>
      <w:r>
        <w:t>DKRVO</w:t>
      </w:r>
      <w:r w:rsidRPr="005F0003">
        <w:t xml:space="preserve"> poskytovatele).</w:t>
      </w:r>
    </w:p>
    <w:p w:rsidR="005B0DD0" w:rsidRPr="005F0003" w:rsidRDefault="005B0DD0" w:rsidP="005B0DD0">
      <w:pPr>
        <w:pStyle w:val="Nadpis3"/>
      </w:pPr>
      <w:bookmarkStart w:id="301" w:name="_Toc462064507"/>
      <w:r w:rsidRPr="005F0003">
        <w:t>Změny v průběhu roku</w:t>
      </w:r>
      <w:bookmarkEnd w:id="301"/>
    </w:p>
    <w:p w:rsidR="005B0DD0" w:rsidRPr="005F0003" w:rsidRDefault="005B0DD0" w:rsidP="005F5E18">
      <w:pPr>
        <w:ind w:left="426" w:hanging="360"/>
      </w:pPr>
      <w:r w:rsidRPr="005F0003">
        <w:t>a)</w:t>
      </w:r>
      <w:r w:rsidRPr="005F0003">
        <w:tab/>
        <w:t xml:space="preserve">Pokud v průběhu roku nastanou změny, které VO nemohla předvídat a které ovlivní účel nebo výši dotace, požádá VO o změnu resp. vydání </w:t>
      </w:r>
      <w:r w:rsidRPr="001212DD">
        <w:t>nového rozhodnutí včetně odůvodnění změny a doložení všech podkladů podle části V.B.1.c), které jsou navrhovanou změnou ovlivněny.</w:t>
      </w:r>
    </w:p>
    <w:p w:rsidR="005B0DD0" w:rsidRPr="005F0003" w:rsidRDefault="005B0DD0" w:rsidP="005F5E18">
      <w:pPr>
        <w:ind w:left="426" w:hanging="360"/>
      </w:pPr>
      <w:r w:rsidRPr="005F0003">
        <w:t>b)</w:t>
      </w:r>
      <w:r w:rsidRPr="005F0003">
        <w:tab/>
        <w:t>Při hodnocení návrhu změny postupuje poskytovatel obdobně, jako u hodnocení průběžné zprávy.</w:t>
      </w:r>
    </w:p>
    <w:p w:rsidR="005B0DD0" w:rsidRPr="005F0003" w:rsidRDefault="005B0DD0" w:rsidP="005F5E18">
      <w:pPr>
        <w:pStyle w:val="Nadpis2"/>
        <w:ind w:left="709" w:hanging="709"/>
      </w:pPr>
      <w:bookmarkStart w:id="302" w:name="_Toc462064508"/>
      <w:r w:rsidRPr="00040B01">
        <w:t>Závěrečné hodnocení za období 2018 – 2022 prováděné v</w:t>
      </w:r>
      <w:r>
        <w:t> </w:t>
      </w:r>
      <w:r w:rsidRPr="00040B01">
        <w:t>r</w:t>
      </w:r>
      <w:r>
        <w:t>.</w:t>
      </w:r>
      <w:r w:rsidRPr="00040B01">
        <w:t xml:space="preserve"> 2023</w:t>
      </w:r>
      <w:bookmarkEnd w:id="302"/>
    </w:p>
    <w:p w:rsidR="005B0DD0" w:rsidRPr="005F0003" w:rsidRDefault="005B0DD0" w:rsidP="005B0DD0">
      <w:pPr>
        <w:pStyle w:val="Nadpis3"/>
      </w:pPr>
      <w:bookmarkStart w:id="303" w:name="_Toc462064509"/>
      <w:r w:rsidRPr="005F0003">
        <w:t>Závěrečná zpráva</w:t>
      </w:r>
      <w:bookmarkEnd w:id="303"/>
    </w:p>
    <w:p w:rsidR="005B0DD0" w:rsidRPr="005F0003" w:rsidRDefault="005B0DD0" w:rsidP="005F5E18">
      <w:pPr>
        <w:ind w:left="426" w:hanging="360"/>
      </w:pPr>
      <w:r w:rsidRPr="005F0003">
        <w:t>a)</w:t>
      </w:r>
      <w:r w:rsidRPr="005F0003">
        <w:tab/>
        <w:t xml:space="preserve">V poskytovatelem stanoveném termínu, nejpozději však do 5. </w:t>
      </w:r>
      <w:r>
        <w:t>ledna r. 2023</w:t>
      </w:r>
      <w:r w:rsidRPr="005F0003">
        <w:t>, pře</w:t>
      </w:r>
      <w:r>
        <w:t>d</w:t>
      </w:r>
      <w:r w:rsidRPr="005F0003">
        <w:t>loží VO závěrečnou zprávu o plnění dlouhodobé koncepce rozvoje VO</w:t>
      </w:r>
      <w:r>
        <w:t xml:space="preserve"> za léta 2018 – 2022 včetně </w:t>
      </w:r>
      <w:r w:rsidRPr="005F0003">
        <w:t>čerpání podpory</w:t>
      </w:r>
      <w:r w:rsidRPr="005F0003">
        <w:rPr>
          <w:sz w:val="20"/>
          <w:szCs w:val="20"/>
        </w:rPr>
        <w:t xml:space="preserve"> </w:t>
      </w:r>
      <w:r w:rsidRPr="005F0003">
        <w:t>v uplynulém roce</w:t>
      </w:r>
      <w:r>
        <w:t xml:space="preserve"> 2022</w:t>
      </w:r>
      <w:r w:rsidRPr="005F0003">
        <w:t>.</w:t>
      </w:r>
    </w:p>
    <w:p w:rsidR="005B0DD0" w:rsidRPr="005F0003" w:rsidRDefault="005B0DD0" w:rsidP="005F5E18">
      <w:pPr>
        <w:ind w:left="426" w:hanging="360"/>
      </w:pPr>
      <w:r w:rsidRPr="005F0003">
        <w:t>b)</w:t>
      </w:r>
      <w:r w:rsidRPr="005F0003">
        <w:tab/>
        <w:t xml:space="preserve">Závěrečná zpráva obsahuje </w:t>
      </w:r>
    </w:p>
    <w:p w:rsidR="005B0DD0" w:rsidRPr="005F0003" w:rsidRDefault="005B0DD0" w:rsidP="005F5E18">
      <w:pPr>
        <w:ind w:left="426" w:hanging="360"/>
      </w:pPr>
      <w:r w:rsidRPr="005F0003">
        <w:t>1.</w:t>
      </w:r>
      <w:r w:rsidRPr="005F0003">
        <w:tab/>
        <w:t>Základní identifikační údaje (název dokumentu, název VO, období</w:t>
      </w:r>
      <w:r w:rsidRPr="005F0003">
        <w:rPr>
          <w:rStyle w:val="Znakapoznpodarou"/>
        </w:rPr>
        <w:footnoteReference w:id="17"/>
      </w:r>
      <w:r w:rsidRPr="005F0003">
        <w:t>).</w:t>
      </w:r>
    </w:p>
    <w:p w:rsidR="005B0DD0" w:rsidRPr="005F0003" w:rsidRDefault="005B0DD0" w:rsidP="005F5E18">
      <w:pPr>
        <w:ind w:left="426" w:hanging="360"/>
      </w:pPr>
      <w:r w:rsidRPr="005F0003">
        <w:t>2.</w:t>
      </w:r>
      <w:r w:rsidRPr="005F0003">
        <w:tab/>
        <w:t>Souhrnná část:</w:t>
      </w:r>
    </w:p>
    <w:p w:rsidR="005B0DD0" w:rsidRPr="005F0003" w:rsidRDefault="005B0DD0" w:rsidP="005F5E18">
      <w:pPr>
        <w:ind w:left="426" w:hanging="360"/>
      </w:pPr>
      <w:r w:rsidRPr="005F0003">
        <w:t>i)</w:t>
      </w:r>
      <w:r w:rsidRPr="005F0003">
        <w:tab/>
        <w:t>zhodnocení plnění celkového cíle koncepce za celou VO a jeho vazby na koncepci poskytovatele</w:t>
      </w:r>
      <w:r w:rsidRPr="005F0003">
        <w:rPr>
          <w:rStyle w:val="Znakapoznpodarou"/>
        </w:rPr>
        <w:footnoteReference w:id="18"/>
      </w:r>
      <w:r w:rsidRPr="005F0003">
        <w:t>,</w:t>
      </w:r>
    </w:p>
    <w:p w:rsidR="005B0DD0" w:rsidRPr="005F0003" w:rsidRDefault="005B0DD0" w:rsidP="005F5E18">
      <w:pPr>
        <w:ind w:left="426" w:hanging="360"/>
      </w:pPr>
      <w:r w:rsidRPr="005F0003">
        <w:lastRenderedPageBreak/>
        <w:t>ii)</w:t>
      </w:r>
      <w:r w:rsidRPr="005F0003">
        <w:tab/>
        <w:t xml:space="preserve">institucionální prostředky na </w:t>
      </w:r>
      <w:r>
        <w:t>DKRVO</w:t>
      </w:r>
      <w:r w:rsidRPr="005F0003">
        <w:t xml:space="preserve"> vynaložené VO celkem a v členění po jednotlivých letech a podle způsobilých nákladů (podle § 2 odst. 2 písm. k) zákona č. 130/2002 Sb.),</w:t>
      </w:r>
    </w:p>
    <w:p w:rsidR="005B0DD0" w:rsidRPr="005F0003" w:rsidRDefault="005B0DD0" w:rsidP="005F5E18">
      <w:pPr>
        <w:ind w:left="426" w:hanging="360"/>
      </w:pPr>
      <w:r w:rsidRPr="005F0003">
        <w:t>iii)</w:t>
      </w:r>
      <w:r w:rsidRPr="005F0003">
        <w:tab/>
        <w:t>další zdroje pro rozvoj výzkumu VO v uplynulých pěti letech (účelová podpora, prostředky OP, zahraniční zdroje, prostředky ze smluvního výzkumu apod.) a jejich srovnání s předpoklady vč. důvodů změn.</w:t>
      </w:r>
    </w:p>
    <w:p w:rsidR="005B0DD0" w:rsidRPr="005F0003" w:rsidRDefault="005B0DD0" w:rsidP="005F5E18">
      <w:pPr>
        <w:ind w:left="426" w:hanging="360"/>
      </w:pPr>
      <w:r w:rsidRPr="005F0003">
        <w:t>iv)</w:t>
      </w:r>
      <w:r w:rsidRPr="005F0003">
        <w:tab/>
        <w:t>realizovaná mezinárodní a národní spolupráce VO, spolupráce s uživateli výsledků výzkumu,</w:t>
      </w:r>
    </w:p>
    <w:p w:rsidR="005B0DD0" w:rsidRPr="005F0003" w:rsidRDefault="005B0DD0" w:rsidP="005F5E18">
      <w:pPr>
        <w:ind w:left="426" w:hanging="360"/>
      </w:pPr>
      <w:r w:rsidRPr="005F0003">
        <w:t>v)</w:t>
      </w:r>
      <w:r w:rsidRPr="005F0003">
        <w:tab/>
        <w:t>další specifické výzkumné aktivity VO a aktivity s nimi související (vzdělávání, odborné činnosti apod.).</w:t>
      </w:r>
    </w:p>
    <w:p w:rsidR="005B0DD0" w:rsidRPr="005F0003" w:rsidRDefault="005B0DD0" w:rsidP="005F5E18">
      <w:pPr>
        <w:ind w:left="426" w:hanging="360"/>
      </w:pPr>
      <w:r w:rsidRPr="005F0003">
        <w:t>3.</w:t>
      </w:r>
      <w:r w:rsidRPr="005F0003">
        <w:tab/>
        <w:t>Oblasti výzkumu zajišťované jednotlivými výzkumnými týmy VO v členění:</w:t>
      </w:r>
    </w:p>
    <w:p w:rsidR="005B0DD0" w:rsidRPr="005F0003" w:rsidRDefault="005B0DD0" w:rsidP="005F5E18">
      <w:pPr>
        <w:ind w:left="426" w:hanging="360"/>
      </w:pPr>
      <w:r w:rsidRPr="005F0003">
        <w:t>i)</w:t>
      </w:r>
      <w:r w:rsidRPr="005F0003">
        <w:tab/>
        <w:t>název oblasti,</w:t>
      </w:r>
    </w:p>
    <w:p w:rsidR="005B0DD0" w:rsidRPr="005F0003" w:rsidRDefault="005B0DD0" w:rsidP="005F5E18">
      <w:pPr>
        <w:ind w:left="426" w:hanging="360"/>
      </w:pPr>
      <w:r w:rsidRPr="005F0003">
        <w:t>ii)</w:t>
      </w:r>
      <w:r w:rsidRPr="005F0003">
        <w:tab/>
        <w:t>plnění dílčích cílů koncepce na léta 2018 – 2022 pro danou oblast a kontrolovatelné cíle pro jednotlivé roky,</w:t>
      </w:r>
    </w:p>
    <w:p w:rsidR="005B0DD0" w:rsidRPr="005F0003" w:rsidRDefault="005B0DD0" w:rsidP="005F5E18">
      <w:pPr>
        <w:ind w:left="426" w:hanging="360"/>
      </w:pPr>
      <w:r w:rsidRPr="005F0003">
        <w:t>iii)</w:t>
      </w:r>
      <w:r w:rsidRPr="005F0003">
        <w:tab/>
        <w:t>složení týmu zajišťujícího dílčí cíl (jméno pracovníka VO popř. studenta a jeho úvazek) a jeho změny v uplynulých pěti letech,</w:t>
      </w:r>
    </w:p>
    <w:p w:rsidR="005B0DD0" w:rsidRPr="005F0003" w:rsidRDefault="005B0DD0" w:rsidP="005F5E18">
      <w:pPr>
        <w:ind w:left="426" w:hanging="360"/>
      </w:pPr>
      <w:r w:rsidRPr="005F0003">
        <w:t>iv)</w:t>
      </w:r>
      <w:r w:rsidRPr="005F0003">
        <w:tab/>
        <w:t>uplatněné výsledky v období 2018 – 2022 a jejich srovnání s předpokládanými,</w:t>
      </w:r>
    </w:p>
    <w:p w:rsidR="005B0DD0" w:rsidRDefault="005B0DD0" w:rsidP="005B0DD0">
      <w:pPr>
        <w:pStyle w:val="Nadpis3"/>
      </w:pPr>
      <w:bookmarkStart w:id="304" w:name="_Toc462064510"/>
      <w:r>
        <w:t>Závěrečné hodnocení</w:t>
      </w:r>
      <w:bookmarkEnd w:id="304"/>
    </w:p>
    <w:p w:rsidR="005B0DD0" w:rsidRPr="005F0003" w:rsidRDefault="005B0DD0" w:rsidP="005F5E18">
      <w:pPr>
        <w:ind w:left="426" w:hanging="360"/>
      </w:pPr>
      <w:r>
        <w:t>a)</w:t>
      </w:r>
      <w:r>
        <w:tab/>
      </w:r>
      <w:r w:rsidRPr="005F0003">
        <w:t>Poskytovatel zajistí závěrečné hodnocení plnění dlouhodobé koncepci rozvoje VO v letech 2018 – 2022 hodnocením „peer review“ pomocí odborného poradního orgánu n</w:t>
      </w:r>
      <w:r>
        <w:t>ebo orgánů do 30. dubna 2023.</w:t>
      </w:r>
    </w:p>
    <w:p w:rsidR="005B0DD0" w:rsidRDefault="005B0DD0" w:rsidP="005F5E18">
      <w:pPr>
        <w:ind w:left="426" w:hanging="360"/>
      </w:pPr>
      <w:r>
        <w:t>b</w:t>
      </w:r>
      <w:r w:rsidRPr="005F0003">
        <w:t>)</w:t>
      </w:r>
      <w:r w:rsidRPr="005F0003">
        <w:tab/>
        <w:t xml:space="preserve">Zveřejnění závěrečného hodnocení plnění dlouhodobé koncepce rozvoje VO v r. 2022 zajistí poskytovatel nejpozději do 30. </w:t>
      </w:r>
      <w:r>
        <w:t>června</w:t>
      </w:r>
      <w:r w:rsidRPr="005F0003">
        <w:t xml:space="preserve"> 2023.</w:t>
      </w:r>
    </w:p>
    <w:bookmarkEnd w:id="283"/>
    <w:p w:rsidR="007D4165" w:rsidRDefault="007D4165" w:rsidP="00FA2142">
      <w:pPr>
        <w:spacing w:after="60" w:line="288" w:lineRule="auto"/>
        <w:ind w:left="1080" w:hanging="360"/>
        <w:jc w:val="both"/>
        <w:rPr>
          <w:rFonts w:ascii="Times New Roman" w:eastAsia="Times New Roman" w:hAnsi="Times New Roman" w:cs="Times New Roman"/>
        </w:rPr>
      </w:pPr>
    </w:p>
    <w:p w:rsidR="007D4165" w:rsidRDefault="007D4165" w:rsidP="007D4165">
      <w:pPr>
        <w:sectPr w:rsidR="007D4165" w:rsidSect="00997F9C">
          <w:pgSz w:w="11906" w:h="16838" w:code="9"/>
          <w:pgMar w:top="1418" w:right="1418" w:bottom="1418" w:left="1418" w:header="510" w:footer="397" w:gutter="0"/>
          <w:cols w:space="708"/>
          <w:docGrid w:linePitch="299"/>
        </w:sectPr>
      </w:pPr>
    </w:p>
    <w:p w:rsidR="007D4165" w:rsidRDefault="00570864" w:rsidP="00F90919">
      <w:r>
        <w:rPr>
          <w:b/>
        </w:rPr>
        <w:lastRenderedPageBreak/>
        <w:t xml:space="preserve">Schéma 4: </w:t>
      </w:r>
      <w:r w:rsidR="007D4165" w:rsidRPr="00F90919">
        <w:t xml:space="preserve">Harmonogram – </w:t>
      </w:r>
      <w:r>
        <w:t>rezorty</w:t>
      </w:r>
    </w:p>
    <w:tbl>
      <w:tblPr>
        <w:tblStyle w:val="Mkatabulky"/>
        <w:tblW w:w="14690" w:type="dxa"/>
        <w:jc w:val="center"/>
        <w:tblCellMar>
          <w:left w:w="57" w:type="dxa"/>
          <w:right w:w="57" w:type="dxa"/>
        </w:tblCellMar>
        <w:tblLook w:val="04A0" w:firstRow="1" w:lastRow="0" w:firstColumn="1" w:lastColumn="0" w:noHBand="0" w:noVBand="1"/>
      </w:tblPr>
      <w:tblGrid>
        <w:gridCol w:w="346"/>
        <w:gridCol w:w="1607"/>
        <w:gridCol w:w="34"/>
        <w:gridCol w:w="1379"/>
        <w:gridCol w:w="34"/>
        <w:gridCol w:w="1378"/>
        <w:gridCol w:w="33"/>
        <w:gridCol w:w="1378"/>
        <w:gridCol w:w="33"/>
        <w:gridCol w:w="1411"/>
        <w:gridCol w:w="1379"/>
        <w:gridCol w:w="32"/>
        <w:gridCol w:w="1382"/>
        <w:gridCol w:w="31"/>
        <w:gridCol w:w="1411"/>
        <w:gridCol w:w="1411"/>
        <w:gridCol w:w="26"/>
        <w:gridCol w:w="42"/>
        <w:gridCol w:w="1343"/>
      </w:tblGrid>
      <w:tr w:rsidR="007D4165" w:rsidTr="00C17FBB">
        <w:trPr>
          <w:trHeight w:val="347"/>
          <w:jc w:val="center"/>
        </w:trPr>
        <w:tc>
          <w:tcPr>
            <w:tcW w:w="346" w:type="dxa"/>
            <w:tcBorders>
              <w:top w:val="nil"/>
              <w:left w:val="nil"/>
              <w:bottom w:val="nil"/>
            </w:tcBorders>
            <w:shd w:val="clear" w:color="auto" w:fill="FFFFFF" w:themeFill="background1"/>
          </w:tcPr>
          <w:p w:rsidR="007D4165" w:rsidRPr="005F24D6" w:rsidRDefault="007D4165" w:rsidP="009C6C43">
            <w:pPr>
              <w:jc w:val="center"/>
              <w:rPr>
                <w:b/>
                <w:color w:val="FFFFFF" w:themeColor="background1"/>
              </w:rPr>
            </w:pPr>
          </w:p>
        </w:tc>
        <w:tc>
          <w:tcPr>
            <w:tcW w:w="1641"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2017</w:t>
            </w:r>
          </w:p>
        </w:tc>
        <w:tc>
          <w:tcPr>
            <w:tcW w:w="1413"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2018</w:t>
            </w:r>
          </w:p>
        </w:tc>
        <w:tc>
          <w:tcPr>
            <w:tcW w:w="1411"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2019</w:t>
            </w:r>
          </w:p>
        </w:tc>
        <w:tc>
          <w:tcPr>
            <w:tcW w:w="1411"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2020</w:t>
            </w:r>
          </w:p>
        </w:tc>
        <w:tc>
          <w:tcPr>
            <w:tcW w:w="1411" w:type="dxa"/>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2021</w:t>
            </w:r>
          </w:p>
        </w:tc>
        <w:tc>
          <w:tcPr>
            <w:tcW w:w="1411"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2022</w:t>
            </w:r>
          </w:p>
        </w:tc>
        <w:tc>
          <w:tcPr>
            <w:tcW w:w="1413" w:type="dxa"/>
            <w:gridSpan w:val="2"/>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2023</w:t>
            </w:r>
          </w:p>
        </w:tc>
        <w:tc>
          <w:tcPr>
            <w:tcW w:w="1411" w:type="dxa"/>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2024</w:t>
            </w:r>
          </w:p>
        </w:tc>
        <w:tc>
          <w:tcPr>
            <w:tcW w:w="1411" w:type="dxa"/>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2025</w:t>
            </w:r>
          </w:p>
        </w:tc>
        <w:tc>
          <w:tcPr>
            <w:tcW w:w="1411" w:type="dxa"/>
            <w:gridSpan w:val="3"/>
            <w:tcBorders>
              <w:bottom w:val="single" w:sz="4" w:space="0" w:color="auto"/>
            </w:tcBorders>
            <w:shd w:val="clear" w:color="auto" w:fill="548DD4" w:themeFill="text2" w:themeFillTint="99"/>
            <w:vAlign w:val="center"/>
          </w:tcPr>
          <w:p w:rsidR="007D4165" w:rsidRPr="005F24D6" w:rsidRDefault="007D4165" w:rsidP="009C6C43">
            <w:pPr>
              <w:jc w:val="center"/>
              <w:rPr>
                <w:b/>
                <w:color w:val="FFFFFF" w:themeColor="background1"/>
              </w:rPr>
            </w:pPr>
            <w:r w:rsidRPr="005F24D6">
              <w:rPr>
                <w:b/>
                <w:color w:val="FFFFFF" w:themeColor="background1"/>
              </w:rPr>
              <w:t>2026</w:t>
            </w:r>
          </w:p>
        </w:tc>
      </w:tr>
      <w:tr w:rsidR="007D4165" w:rsidTr="00C17FBB">
        <w:trPr>
          <w:gridAfter w:val="1"/>
          <w:wAfter w:w="1343" w:type="dxa"/>
          <w:trHeight w:val="126"/>
          <w:jc w:val="center"/>
        </w:trPr>
        <w:tc>
          <w:tcPr>
            <w:tcW w:w="346" w:type="dxa"/>
            <w:vMerge w:val="restart"/>
            <w:tcBorders>
              <w:top w:val="nil"/>
              <w:left w:val="nil"/>
              <w:bottom w:val="nil"/>
              <w:right w:val="nil"/>
            </w:tcBorders>
            <w:textDirection w:val="btLr"/>
          </w:tcPr>
          <w:p w:rsidR="007D4165" w:rsidRPr="001D538F" w:rsidRDefault="007D4165" w:rsidP="009C6C43">
            <w:pPr>
              <w:ind w:left="113" w:right="113"/>
              <w:jc w:val="center"/>
              <w:rPr>
                <w:sz w:val="18"/>
                <w:szCs w:val="18"/>
              </w:rPr>
            </w:pPr>
            <w:r w:rsidRPr="001D538F">
              <w:rPr>
                <w:sz w:val="18"/>
                <w:szCs w:val="18"/>
              </w:rPr>
              <w:t xml:space="preserve">RVVI/Sekce </w:t>
            </w:r>
          </w:p>
        </w:tc>
        <w:tc>
          <w:tcPr>
            <w:tcW w:w="13001" w:type="dxa"/>
            <w:gridSpan w:val="17"/>
            <w:tcBorders>
              <w:left w:val="nil"/>
              <w:bottom w:val="nil"/>
              <w:right w:val="nil"/>
            </w:tcBorders>
            <w:vAlign w:val="center"/>
          </w:tcPr>
          <w:p w:rsidR="007D4165" w:rsidRPr="001D538F" w:rsidRDefault="007D4165" w:rsidP="009C6C43">
            <w:pPr>
              <w:jc w:val="center"/>
              <w:rPr>
                <w:sz w:val="18"/>
                <w:szCs w:val="18"/>
              </w:rPr>
            </w:pPr>
          </w:p>
        </w:tc>
      </w:tr>
      <w:tr w:rsidR="007D4165" w:rsidTr="00C17FBB">
        <w:trPr>
          <w:cantSplit/>
          <w:trHeight w:val="731"/>
          <w:jc w:val="center"/>
        </w:trPr>
        <w:tc>
          <w:tcPr>
            <w:tcW w:w="346" w:type="dxa"/>
            <w:vMerge/>
            <w:tcBorders>
              <w:left w:val="nil"/>
              <w:bottom w:val="nil"/>
              <w:right w:val="single" w:sz="18" w:space="0" w:color="8DB3E2" w:themeColor="text2" w:themeTint="66"/>
            </w:tcBorders>
            <w:shd w:val="clear" w:color="auto" w:fill="DAEEF3" w:themeFill="accent5" w:themeFillTint="33"/>
            <w:textDirection w:val="btLr"/>
          </w:tcPr>
          <w:p w:rsidR="007D4165" w:rsidRPr="006F26B8" w:rsidRDefault="007D4165" w:rsidP="009C6C43">
            <w:pPr>
              <w:ind w:left="113" w:right="113"/>
              <w:jc w:val="center"/>
              <w:rPr>
                <w:sz w:val="18"/>
                <w:szCs w:val="18"/>
              </w:rPr>
            </w:pPr>
          </w:p>
        </w:tc>
        <w:tc>
          <w:tcPr>
            <w:tcW w:w="1641"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c>
          <w:tcPr>
            <w:tcW w:w="1411" w:type="dxa"/>
            <w:gridSpan w:val="3"/>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7D4165" w:rsidRPr="006F26B8" w:rsidRDefault="007D4165" w:rsidP="009C6C43">
            <w:pPr>
              <w:jc w:val="center"/>
              <w:rPr>
                <w:sz w:val="18"/>
                <w:szCs w:val="18"/>
              </w:rPr>
            </w:pPr>
            <w:r w:rsidRPr="006F26B8">
              <w:rPr>
                <w:sz w:val="18"/>
                <w:szCs w:val="18"/>
              </w:rPr>
              <w:t>M1</w:t>
            </w:r>
          </w:p>
          <w:p w:rsidR="007D4165" w:rsidRDefault="007D4165" w:rsidP="009C6C43">
            <w:pPr>
              <w:jc w:val="center"/>
            </w:pPr>
            <w:r w:rsidRPr="006F26B8">
              <w:rPr>
                <w:sz w:val="18"/>
                <w:szCs w:val="18"/>
              </w:rPr>
              <w:t>Kvalita vybraných výsledků</w:t>
            </w:r>
          </w:p>
        </w:tc>
      </w:tr>
      <w:tr w:rsidR="007D4165" w:rsidTr="00C17FBB">
        <w:trPr>
          <w:cantSplit/>
          <w:trHeight w:val="245"/>
          <w:jc w:val="center"/>
        </w:trPr>
        <w:tc>
          <w:tcPr>
            <w:tcW w:w="346" w:type="dxa"/>
            <w:vMerge/>
            <w:tcBorders>
              <w:left w:val="nil"/>
              <w:bottom w:val="nil"/>
              <w:right w:val="nil"/>
            </w:tcBorders>
            <w:shd w:val="clear" w:color="auto" w:fill="DAEEF3" w:themeFill="accent5" w:themeFillTint="33"/>
            <w:textDirection w:val="btLr"/>
          </w:tcPr>
          <w:p w:rsidR="007D4165" w:rsidRPr="006F26B8" w:rsidRDefault="007D4165" w:rsidP="009C6C43">
            <w:pPr>
              <w:ind w:left="113" w:right="113"/>
              <w:jc w:val="center"/>
              <w:rPr>
                <w:sz w:val="18"/>
                <w:szCs w:val="18"/>
              </w:rPr>
            </w:pPr>
          </w:p>
        </w:tc>
        <w:tc>
          <w:tcPr>
            <w:tcW w:w="1641"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3"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3" w:type="dxa"/>
            <w:gridSpan w:val="2"/>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c>
          <w:tcPr>
            <w:tcW w:w="1411" w:type="dxa"/>
            <w:gridSpan w:val="3"/>
            <w:tcBorders>
              <w:top w:val="single" w:sz="18" w:space="0" w:color="8DB3E2" w:themeColor="text2" w:themeTint="66"/>
              <w:left w:val="nil"/>
              <w:bottom w:val="nil"/>
              <w:right w:val="nil"/>
            </w:tcBorders>
            <w:shd w:val="clear" w:color="auto" w:fill="auto"/>
            <w:vAlign w:val="center"/>
          </w:tcPr>
          <w:p w:rsidR="007D4165" w:rsidRPr="00343B88" w:rsidRDefault="007D4165" w:rsidP="009C6C43">
            <w:pPr>
              <w:jc w:val="center"/>
              <w:rPr>
                <w:sz w:val="10"/>
                <w:szCs w:val="10"/>
              </w:rPr>
            </w:pPr>
          </w:p>
        </w:tc>
      </w:tr>
      <w:tr w:rsidR="007D4165" w:rsidTr="00C17FBB">
        <w:trPr>
          <w:gridAfter w:val="1"/>
          <w:wAfter w:w="1343" w:type="dxa"/>
          <w:trHeight w:val="113"/>
          <w:jc w:val="center"/>
        </w:trPr>
        <w:tc>
          <w:tcPr>
            <w:tcW w:w="346" w:type="dxa"/>
            <w:tcBorders>
              <w:top w:val="nil"/>
              <w:left w:val="nil"/>
              <w:bottom w:val="nil"/>
              <w:right w:val="nil"/>
            </w:tcBorders>
          </w:tcPr>
          <w:p w:rsidR="007D4165" w:rsidRPr="001D538F" w:rsidRDefault="00CC39F2" w:rsidP="009C6C43">
            <w:pPr>
              <w:jc w:val="center"/>
              <w:rPr>
                <w:noProof/>
                <w:sz w:val="18"/>
                <w:szCs w:val="18"/>
              </w:rPr>
            </w:pPr>
            <w:r>
              <w:rPr>
                <w:noProof/>
                <w:sz w:val="18"/>
                <w:szCs w:val="18"/>
              </w:rPr>
              <mc:AlternateContent>
                <mc:Choice Requires="wps">
                  <w:drawing>
                    <wp:anchor distT="4294967295" distB="4294967295" distL="114300" distR="114300" simplePos="0" relativeHeight="251661312" behindDoc="0" locked="0" layoutInCell="1" allowOverlap="1" wp14:anchorId="4A7AEA35" wp14:editId="6877DED9">
                      <wp:simplePos x="0" y="0"/>
                      <wp:positionH relativeFrom="column">
                        <wp:posOffset>14605</wp:posOffset>
                      </wp:positionH>
                      <wp:positionV relativeFrom="paragraph">
                        <wp:posOffset>10794</wp:posOffset>
                      </wp:positionV>
                      <wp:extent cx="9264650" cy="0"/>
                      <wp:effectExtent l="0" t="0" r="12700"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64650" cy="0"/>
                              </a:xfrm>
                              <a:prstGeom prst="line">
                                <a:avLst/>
                              </a:prstGeom>
                              <a:ln w="15875" cmpd="sng">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2"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5pt,.85pt" to="730.6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m/x7QEAABsEAAAOAAAAZHJzL2Uyb0RvYy54bWysU82O0zAQviPxDpbvNGlEyxI13cNWcFlB&#10;xS4P4HXsxuA/eUyTPgpHHoCnWPFejJ0mwC4SAnGxMp75vpnv82RzORhNjiKAcrahy0VJibDctcoe&#10;Gvr+9tWzC0ogMtsy7axo6EkAvdw+fbLpfS0q1zndikCQxELd+4Z2Mfq6KIB3wjBYOC8sJqULhkUM&#10;w6FoA+uR3eiiKst10bvQ+uC4AMDb3Zik28wvpeDxrZQgItENxdliPkM+79JZbDesPgTmO8XPY7B/&#10;mMIwZbHpTLVjkZFPQT2iMooHB07GBXemcFIqLrIGVLMsH6i56ZgXWQuaA362Cf4fLX9z3Aei2oZW&#10;lFhm8In23z7ffzX3Xwh498HifKRKNvUeaqy+svuQhPLB3vhrxz8C5opfkikAP5YNMphUjkrJkG0/&#10;zbaLIRKOly+r9fP1Cl+HT7mC1RPQB4ivhTMkfTRUK5scYTU7XkNMrVk9laRrbUmPe7i6eLFCPuNR&#10;GNhDRqSyHYOOHBkuA5wgBUkZUmh7FjHOnRXEkxYj5Tsh0SKcdJmJ8nKKKx1GJsa5sHE5M2F1gkml&#10;9Qws/ww81yeoyIv7N+AZkTs7G2ewUdaF33WPwzSyHOsnB0bdyYI71572YXpf3MDs1flvSSv+c5zh&#10;P/7p7XcAAAD//wMAUEsDBBQABgAIAAAAIQD3auzj2AAAAAYBAAAPAAAAZHJzL2Rvd25yZXYueG1s&#10;TI7BTsMwEETvSPyDtUhcEHVaUEEhTlUVcUYtFeLoxhs7aryOYqdN/p5tL3DcN6PZV6xG34oT9rEJ&#10;pGA+y0AgVcE0ZBXsvz4eX0HEpMnoNhAqmDDCqry9KXRuwpm2eNolK3iEYq4VuJS6XMpYOfQ6zkKH&#10;xFkdeq8Tn72VptdnHvetXGTZUnrdEH9wusONw+q4Gzyv7IfaPaynz9Q23z+1xc27PU5K3d+N6zcQ&#10;Ccf0V4aLPqtDyU6HMJCJolWweOIi4xcQl/R5OWdwuAJZFvK/fvkLAAD//wMAUEsBAi0AFAAGAAgA&#10;AAAhALaDOJL+AAAA4QEAABMAAAAAAAAAAAAAAAAAAAAAAFtDb250ZW50X1R5cGVzXS54bWxQSwEC&#10;LQAUAAYACAAAACEAOP0h/9YAAACUAQAACwAAAAAAAAAAAAAAAAAvAQAAX3JlbHMvLnJlbHNQSwEC&#10;LQAUAAYACAAAACEA1uJv8e0BAAAbBAAADgAAAAAAAAAAAAAAAAAuAgAAZHJzL2Uyb0RvYy54bWxQ&#10;SwECLQAUAAYACAAAACEA92rs49gAAAAGAQAADwAAAAAAAAAAAAAAAABHBAAAZHJzL2Rvd25yZXYu&#10;eG1sUEsFBgAAAAAEAAQA8wAAAEwFAAAAAA==&#10;" strokecolor="#4579b8 [3044]" strokeweight="1.25pt">
                      <v:stroke dashstyle="3 1"/>
                      <o:lock v:ext="edit" shapetype="f"/>
                    </v:line>
                  </w:pict>
                </mc:Fallback>
              </mc:AlternateContent>
            </w:r>
          </w:p>
        </w:tc>
        <w:tc>
          <w:tcPr>
            <w:tcW w:w="13001" w:type="dxa"/>
            <w:gridSpan w:val="17"/>
            <w:tcBorders>
              <w:top w:val="nil"/>
              <w:left w:val="nil"/>
              <w:bottom w:val="nil"/>
              <w:right w:val="nil"/>
            </w:tcBorders>
            <w:vAlign w:val="center"/>
          </w:tcPr>
          <w:p w:rsidR="007D4165" w:rsidRPr="001D538F" w:rsidRDefault="007D4165" w:rsidP="009C6C43">
            <w:pPr>
              <w:jc w:val="center"/>
              <w:rPr>
                <w:b/>
                <w:sz w:val="18"/>
                <w:szCs w:val="18"/>
              </w:rPr>
            </w:pPr>
          </w:p>
        </w:tc>
      </w:tr>
      <w:tr w:rsidR="007D4165" w:rsidTr="00C17FBB">
        <w:trPr>
          <w:gridAfter w:val="1"/>
          <w:wAfter w:w="1343" w:type="dxa"/>
          <w:trHeight w:val="833"/>
          <w:jc w:val="center"/>
        </w:trPr>
        <w:tc>
          <w:tcPr>
            <w:tcW w:w="346" w:type="dxa"/>
            <w:vMerge w:val="restart"/>
            <w:tcBorders>
              <w:top w:val="nil"/>
              <w:left w:val="nil"/>
              <w:right w:val="nil"/>
            </w:tcBorders>
            <w:textDirection w:val="btLr"/>
          </w:tcPr>
          <w:p w:rsidR="007D4165" w:rsidRPr="001D538F" w:rsidRDefault="007D4165" w:rsidP="009C6C43">
            <w:pPr>
              <w:ind w:left="113" w:right="113"/>
              <w:jc w:val="center"/>
              <w:rPr>
                <w:noProof/>
                <w:sz w:val="18"/>
                <w:szCs w:val="18"/>
              </w:rPr>
            </w:pPr>
            <w:r w:rsidRPr="001D538F">
              <w:rPr>
                <w:sz w:val="18"/>
                <w:szCs w:val="18"/>
              </w:rPr>
              <w:t>Hodnocení na úrovni rezortů</w:t>
            </w:r>
          </w:p>
        </w:tc>
        <w:tc>
          <w:tcPr>
            <w:tcW w:w="1607" w:type="dxa"/>
            <w:tcBorders>
              <w:top w:val="nil"/>
              <w:left w:val="nil"/>
              <w:bottom w:val="nil"/>
              <w:right w:val="single" w:sz="18" w:space="0" w:color="8DB3E2" w:themeColor="text2" w:themeTint="66"/>
            </w:tcBorders>
            <w:vAlign w:val="center"/>
          </w:tcPr>
          <w:p w:rsidR="007D4165" w:rsidRPr="001D538F" w:rsidRDefault="007D4165" w:rsidP="009C6C43">
            <w:pPr>
              <w:jc w:val="center"/>
              <w:rPr>
                <w:b/>
                <w:sz w:val="18"/>
                <w:szCs w:val="18"/>
              </w:rPr>
            </w:pP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vAlign w:val="center"/>
          </w:tcPr>
          <w:p w:rsidR="007D4165" w:rsidRPr="001D538F" w:rsidRDefault="007D4165" w:rsidP="009C6C43">
            <w:pPr>
              <w:jc w:val="center"/>
              <w:rPr>
                <w:b/>
                <w:sz w:val="18"/>
                <w:szCs w:val="18"/>
              </w:rPr>
            </w:pPr>
            <w:r>
              <w:rPr>
                <w:sz w:val="18"/>
                <w:szCs w:val="18"/>
              </w:rPr>
              <w:t>Výkonnost výzkumu</w:t>
            </w:r>
          </w:p>
        </w:tc>
        <w:tc>
          <w:tcPr>
            <w:tcW w:w="1412" w:type="dxa"/>
            <w:gridSpan w:val="2"/>
            <w:tcBorders>
              <w:top w:val="nil"/>
              <w:left w:val="single" w:sz="18" w:space="0" w:color="8DB3E2" w:themeColor="text2" w:themeTint="66"/>
              <w:bottom w:val="nil"/>
              <w:right w:val="nil"/>
            </w:tcBorders>
            <w:vAlign w:val="center"/>
          </w:tcPr>
          <w:p w:rsidR="007D4165" w:rsidRPr="001D538F" w:rsidRDefault="007D4165" w:rsidP="009C6C43">
            <w:pPr>
              <w:jc w:val="center"/>
              <w:rPr>
                <w:b/>
                <w:sz w:val="18"/>
                <w:szCs w:val="18"/>
              </w:rPr>
            </w:pPr>
          </w:p>
        </w:tc>
        <w:tc>
          <w:tcPr>
            <w:tcW w:w="1411" w:type="dxa"/>
            <w:gridSpan w:val="2"/>
            <w:tcBorders>
              <w:top w:val="nil"/>
              <w:left w:val="nil"/>
              <w:bottom w:val="nil"/>
              <w:right w:val="nil"/>
            </w:tcBorders>
            <w:vAlign w:val="center"/>
          </w:tcPr>
          <w:p w:rsidR="007D4165" w:rsidRPr="001D538F" w:rsidRDefault="007D4165" w:rsidP="009C6C43">
            <w:pPr>
              <w:jc w:val="center"/>
              <w:rPr>
                <w:b/>
                <w:sz w:val="18"/>
                <w:szCs w:val="18"/>
              </w:rPr>
            </w:pPr>
          </w:p>
        </w:tc>
        <w:tc>
          <w:tcPr>
            <w:tcW w:w="2823" w:type="dxa"/>
            <w:gridSpan w:val="3"/>
            <w:tcBorders>
              <w:top w:val="nil"/>
              <w:left w:val="nil"/>
              <w:bottom w:val="nil"/>
              <w:right w:val="single" w:sz="18" w:space="0" w:color="8DB3E2" w:themeColor="text2" w:themeTint="66"/>
            </w:tcBorders>
            <w:vAlign w:val="center"/>
          </w:tcPr>
          <w:p w:rsidR="007D4165" w:rsidRPr="001D538F" w:rsidRDefault="007D4165" w:rsidP="009C6C43">
            <w:pPr>
              <w:jc w:val="center"/>
              <w:rPr>
                <w:b/>
                <w:sz w:val="18"/>
                <w:szCs w:val="18"/>
              </w:rPr>
            </w:pPr>
          </w:p>
        </w:tc>
        <w:tc>
          <w:tcPr>
            <w:tcW w:w="1414"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vAlign w:val="center"/>
          </w:tcPr>
          <w:p w:rsidR="007D4165" w:rsidRPr="001D538F" w:rsidRDefault="007D4165" w:rsidP="009C6C43">
            <w:pPr>
              <w:jc w:val="center"/>
              <w:rPr>
                <w:b/>
                <w:sz w:val="18"/>
                <w:szCs w:val="18"/>
              </w:rPr>
            </w:pPr>
            <w:r>
              <w:rPr>
                <w:sz w:val="18"/>
                <w:szCs w:val="18"/>
              </w:rPr>
              <w:t>Výkonnost výzkumu</w:t>
            </w:r>
          </w:p>
        </w:tc>
        <w:tc>
          <w:tcPr>
            <w:tcW w:w="2921" w:type="dxa"/>
            <w:gridSpan w:val="5"/>
            <w:tcBorders>
              <w:top w:val="nil"/>
              <w:left w:val="single" w:sz="18" w:space="0" w:color="8DB3E2" w:themeColor="text2" w:themeTint="66"/>
              <w:bottom w:val="nil"/>
              <w:right w:val="nil"/>
            </w:tcBorders>
            <w:vAlign w:val="center"/>
          </w:tcPr>
          <w:p w:rsidR="007D4165" w:rsidRPr="001D538F" w:rsidRDefault="007D4165" w:rsidP="009C6C43">
            <w:pPr>
              <w:jc w:val="center"/>
              <w:rPr>
                <w:b/>
                <w:sz w:val="18"/>
                <w:szCs w:val="18"/>
              </w:rPr>
            </w:pPr>
          </w:p>
        </w:tc>
      </w:tr>
      <w:tr w:rsidR="007D4165" w:rsidTr="00C17FBB">
        <w:trPr>
          <w:gridAfter w:val="1"/>
          <w:wAfter w:w="1343" w:type="dxa"/>
          <w:trHeight w:val="136"/>
          <w:jc w:val="center"/>
        </w:trPr>
        <w:tc>
          <w:tcPr>
            <w:tcW w:w="346" w:type="dxa"/>
            <w:vMerge/>
            <w:tcBorders>
              <w:left w:val="nil"/>
              <w:right w:val="nil"/>
            </w:tcBorders>
          </w:tcPr>
          <w:p w:rsidR="007D4165" w:rsidRPr="00185167" w:rsidRDefault="007D4165" w:rsidP="009C6C43">
            <w:pPr>
              <w:ind w:left="113" w:right="113"/>
              <w:jc w:val="center"/>
              <w:rPr>
                <w:noProof/>
                <w:sz w:val="16"/>
                <w:szCs w:val="16"/>
              </w:rPr>
            </w:pPr>
          </w:p>
        </w:tc>
        <w:tc>
          <w:tcPr>
            <w:tcW w:w="1607" w:type="dxa"/>
            <w:tcBorders>
              <w:top w:val="nil"/>
              <w:left w:val="nil"/>
              <w:bottom w:val="nil"/>
              <w:right w:val="nil"/>
            </w:tcBorders>
            <w:vAlign w:val="center"/>
          </w:tcPr>
          <w:p w:rsidR="007D4165" w:rsidRPr="00185167" w:rsidRDefault="007D4165" w:rsidP="009C6C43">
            <w:pPr>
              <w:jc w:val="center"/>
              <w:rPr>
                <w:b/>
                <w:sz w:val="16"/>
                <w:szCs w:val="16"/>
              </w:rPr>
            </w:pPr>
          </w:p>
        </w:tc>
        <w:tc>
          <w:tcPr>
            <w:tcW w:w="1413" w:type="dxa"/>
            <w:gridSpan w:val="2"/>
            <w:tcBorders>
              <w:top w:val="nil"/>
              <w:left w:val="nil"/>
              <w:bottom w:val="single" w:sz="18" w:space="0" w:color="8DB3E2" w:themeColor="text2" w:themeTint="66"/>
              <w:right w:val="nil"/>
            </w:tcBorders>
            <w:vAlign w:val="center"/>
          </w:tcPr>
          <w:p w:rsidR="007D4165" w:rsidRPr="00185167" w:rsidRDefault="007D4165" w:rsidP="009C6C43">
            <w:pPr>
              <w:jc w:val="center"/>
              <w:rPr>
                <w:b/>
                <w:sz w:val="16"/>
                <w:szCs w:val="16"/>
              </w:rPr>
            </w:pPr>
          </w:p>
        </w:tc>
        <w:tc>
          <w:tcPr>
            <w:tcW w:w="1412" w:type="dxa"/>
            <w:gridSpan w:val="2"/>
            <w:tcBorders>
              <w:top w:val="nil"/>
              <w:left w:val="nil"/>
              <w:bottom w:val="nil"/>
              <w:right w:val="nil"/>
            </w:tcBorders>
            <w:vAlign w:val="center"/>
          </w:tcPr>
          <w:p w:rsidR="007D4165" w:rsidRPr="00185167" w:rsidRDefault="007D4165" w:rsidP="009C6C43">
            <w:pPr>
              <w:jc w:val="center"/>
              <w:rPr>
                <w:b/>
                <w:sz w:val="16"/>
                <w:szCs w:val="16"/>
              </w:rPr>
            </w:pPr>
          </w:p>
        </w:tc>
        <w:tc>
          <w:tcPr>
            <w:tcW w:w="1411" w:type="dxa"/>
            <w:gridSpan w:val="2"/>
            <w:tcBorders>
              <w:top w:val="nil"/>
              <w:left w:val="nil"/>
              <w:bottom w:val="nil"/>
              <w:right w:val="nil"/>
            </w:tcBorders>
            <w:vAlign w:val="center"/>
          </w:tcPr>
          <w:p w:rsidR="007D4165" w:rsidRPr="00185167" w:rsidRDefault="007D4165" w:rsidP="009C6C43">
            <w:pPr>
              <w:jc w:val="center"/>
              <w:rPr>
                <w:b/>
                <w:sz w:val="16"/>
                <w:szCs w:val="16"/>
              </w:rPr>
            </w:pPr>
          </w:p>
        </w:tc>
        <w:tc>
          <w:tcPr>
            <w:tcW w:w="2823" w:type="dxa"/>
            <w:gridSpan w:val="3"/>
            <w:tcBorders>
              <w:top w:val="nil"/>
              <w:left w:val="nil"/>
              <w:bottom w:val="nil"/>
              <w:right w:val="nil"/>
            </w:tcBorders>
            <w:vAlign w:val="center"/>
          </w:tcPr>
          <w:p w:rsidR="007D4165" w:rsidRPr="00185167" w:rsidRDefault="007D4165" w:rsidP="009C6C43">
            <w:pPr>
              <w:jc w:val="center"/>
              <w:rPr>
                <w:b/>
                <w:sz w:val="16"/>
                <w:szCs w:val="16"/>
              </w:rPr>
            </w:pPr>
          </w:p>
        </w:tc>
        <w:tc>
          <w:tcPr>
            <w:tcW w:w="1414" w:type="dxa"/>
            <w:gridSpan w:val="2"/>
            <w:tcBorders>
              <w:top w:val="nil"/>
              <w:left w:val="nil"/>
              <w:bottom w:val="single" w:sz="18" w:space="0" w:color="8DB3E2" w:themeColor="text2" w:themeTint="66"/>
              <w:right w:val="nil"/>
            </w:tcBorders>
            <w:vAlign w:val="center"/>
          </w:tcPr>
          <w:p w:rsidR="007D4165" w:rsidRPr="00185167" w:rsidRDefault="007D4165" w:rsidP="009C6C43">
            <w:pPr>
              <w:jc w:val="center"/>
              <w:rPr>
                <w:b/>
                <w:sz w:val="16"/>
                <w:szCs w:val="16"/>
              </w:rPr>
            </w:pPr>
          </w:p>
        </w:tc>
        <w:tc>
          <w:tcPr>
            <w:tcW w:w="2921" w:type="dxa"/>
            <w:gridSpan w:val="5"/>
            <w:tcBorders>
              <w:top w:val="nil"/>
              <w:left w:val="nil"/>
              <w:bottom w:val="nil"/>
              <w:right w:val="nil"/>
            </w:tcBorders>
            <w:vAlign w:val="center"/>
          </w:tcPr>
          <w:p w:rsidR="007D4165" w:rsidRPr="00185167" w:rsidRDefault="007D4165" w:rsidP="009C6C43">
            <w:pPr>
              <w:jc w:val="center"/>
              <w:rPr>
                <w:b/>
                <w:sz w:val="16"/>
                <w:szCs w:val="16"/>
              </w:rPr>
            </w:pPr>
          </w:p>
        </w:tc>
      </w:tr>
      <w:tr w:rsidR="007D4165" w:rsidTr="00C17FBB">
        <w:trPr>
          <w:gridAfter w:val="2"/>
          <w:wAfter w:w="1385" w:type="dxa"/>
          <w:trHeight w:val="238"/>
          <w:jc w:val="center"/>
        </w:trPr>
        <w:tc>
          <w:tcPr>
            <w:tcW w:w="346" w:type="dxa"/>
            <w:vMerge/>
            <w:tcBorders>
              <w:left w:val="nil"/>
              <w:right w:val="nil"/>
            </w:tcBorders>
            <w:textDirection w:val="btLr"/>
          </w:tcPr>
          <w:p w:rsidR="007D4165" w:rsidRDefault="007D4165" w:rsidP="009C6C43">
            <w:pPr>
              <w:ind w:left="113" w:right="113"/>
              <w:jc w:val="center"/>
            </w:pPr>
          </w:p>
        </w:tc>
        <w:tc>
          <w:tcPr>
            <w:tcW w:w="1607" w:type="dxa"/>
            <w:vMerge w:val="restart"/>
            <w:tcBorders>
              <w:top w:val="nil"/>
              <w:left w:val="nil"/>
              <w:bottom w:val="nil"/>
              <w:right w:val="single" w:sz="18" w:space="0" w:color="8DB3E2" w:themeColor="text2" w:themeTint="66"/>
            </w:tcBorders>
            <w:vAlign w:val="center"/>
          </w:tcPr>
          <w:p w:rsidR="007D4165" w:rsidRDefault="007D4165" w:rsidP="009C6C43">
            <w:pPr>
              <w:jc w:val="center"/>
            </w:pP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vAlign w:val="center"/>
          </w:tcPr>
          <w:p w:rsidR="007D4165" w:rsidRDefault="00153C20" w:rsidP="009C6C43">
            <w:pPr>
              <w:jc w:val="center"/>
            </w:pPr>
            <w:r>
              <w:rPr>
                <w:sz w:val="18"/>
                <w:szCs w:val="18"/>
              </w:rPr>
              <w:t>Relevance</w:t>
            </w:r>
            <w:r w:rsidR="007D4165" w:rsidRPr="006F26B8">
              <w:rPr>
                <w:sz w:val="18"/>
                <w:szCs w:val="18"/>
              </w:rPr>
              <w:t xml:space="preserve"> </w:t>
            </w:r>
            <w:r>
              <w:rPr>
                <w:sz w:val="18"/>
                <w:szCs w:val="18"/>
              </w:rPr>
              <w:t>výzkumu pro společnost a jeho dopady</w:t>
            </w:r>
          </w:p>
        </w:tc>
        <w:tc>
          <w:tcPr>
            <w:tcW w:w="1412" w:type="dxa"/>
            <w:gridSpan w:val="2"/>
            <w:tcBorders>
              <w:top w:val="nil"/>
              <w:left w:val="single" w:sz="18" w:space="0" w:color="8DB3E2" w:themeColor="text2" w:themeTint="66"/>
              <w:bottom w:val="nil"/>
              <w:right w:val="nil"/>
            </w:tcBorders>
            <w:vAlign w:val="center"/>
          </w:tcPr>
          <w:p w:rsidR="007D4165" w:rsidRDefault="007D4165" w:rsidP="009C6C43">
            <w:pPr>
              <w:jc w:val="center"/>
            </w:pPr>
          </w:p>
        </w:tc>
        <w:tc>
          <w:tcPr>
            <w:tcW w:w="1411" w:type="dxa"/>
            <w:gridSpan w:val="2"/>
            <w:tcBorders>
              <w:top w:val="nil"/>
              <w:left w:val="nil"/>
              <w:bottom w:val="nil"/>
              <w:right w:val="nil"/>
            </w:tcBorders>
            <w:shd w:val="clear" w:color="auto" w:fill="auto"/>
            <w:vAlign w:val="center"/>
          </w:tcPr>
          <w:p w:rsidR="007D4165" w:rsidRDefault="007D4165" w:rsidP="009C6C43">
            <w:pPr>
              <w:jc w:val="center"/>
            </w:pPr>
          </w:p>
        </w:tc>
        <w:tc>
          <w:tcPr>
            <w:tcW w:w="2823" w:type="dxa"/>
            <w:gridSpan w:val="3"/>
            <w:tcBorders>
              <w:top w:val="nil"/>
              <w:left w:val="nil"/>
              <w:bottom w:val="nil"/>
              <w:right w:val="single" w:sz="18" w:space="0" w:color="8DB3E2" w:themeColor="text2" w:themeTint="66"/>
            </w:tcBorders>
            <w:vAlign w:val="center"/>
          </w:tcPr>
          <w:p w:rsidR="007D4165" w:rsidRDefault="007D4165" w:rsidP="009C6C43">
            <w:pPr>
              <w:jc w:val="center"/>
            </w:pPr>
          </w:p>
        </w:tc>
        <w:tc>
          <w:tcPr>
            <w:tcW w:w="1414"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vAlign w:val="center"/>
          </w:tcPr>
          <w:p w:rsidR="007D4165" w:rsidRDefault="00137A0D" w:rsidP="009C6C43">
            <w:pPr>
              <w:jc w:val="center"/>
            </w:pPr>
            <w:r>
              <w:rPr>
                <w:sz w:val="18"/>
                <w:szCs w:val="18"/>
              </w:rPr>
              <w:t>Relevance</w:t>
            </w:r>
            <w:r w:rsidRPr="006F26B8">
              <w:rPr>
                <w:sz w:val="18"/>
                <w:szCs w:val="18"/>
              </w:rPr>
              <w:t xml:space="preserve"> </w:t>
            </w:r>
            <w:r>
              <w:rPr>
                <w:sz w:val="18"/>
                <w:szCs w:val="18"/>
              </w:rPr>
              <w:t>výzkumu pro společnost a jeho dopady</w:t>
            </w:r>
          </w:p>
        </w:tc>
        <w:tc>
          <w:tcPr>
            <w:tcW w:w="2879" w:type="dxa"/>
            <w:gridSpan w:val="4"/>
            <w:vMerge w:val="restart"/>
            <w:tcBorders>
              <w:top w:val="nil"/>
              <w:left w:val="single" w:sz="18" w:space="0" w:color="8DB3E2" w:themeColor="text2" w:themeTint="66"/>
              <w:bottom w:val="nil"/>
              <w:right w:val="nil"/>
            </w:tcBorders>
            <w:vAlign w:val="center"/>
          </w:tcPr>
          <w:p w:rsidR="007D4165" w:rsidRDefault="007D4165" w:rsidP="009C6C43">
            <w:pPr>
              <w:jc w:val="center"/>
            </w:pPr>
          </w:p>
        </w:tc>
      </w:tr>
      <w:tr w:rsidR="007D4165" w:rsidTr="00C17FBB">
        <w:trPr>
          <w:gridAfter w:val="2"/>
          <w:wAfter w:w="1385" w:type="dxa"/>
          <w:trHeight w:val="136"/>
          <w:jc w:val="center"/>
        </w:trPr>
        <w:tc>
          <w:tcPr>
            <w:tcW w:w="346" w:type="dxa"/>
            <w:vMerge/>
            <w:tcBorders>
              <w:left w:val="nil"/>
              <w:right w:val="nil"/>
            </w:tcBorders>
          </w:tcPr>
          <w:p w:rsidR="007D4165" w:rsidRDefault="007D4165" w:rsidP="009C6C43">
            <w:pPr>
              <w:jc w:val="center"/>
            </w:pPr>
          </w:p>
        </w:tc>
        <w:tc>
          <w:tcPr>
            <w:tcW w:w="1607" w:type="dxa"/>
            <w:vMerge/>
            <w:tcBorders>
              <w:top w:val="single" w:sz="18" w:space="0" w:color="8DB3E2" w:themeColor="text2" w:themeTint="66"/>
              <w:left w:val="nil"/>
              <w:bottom w:val="nil"/>
              <w:right w:val="nil"/>
            </w:tcBorders>
            <w:vAlign w:val="center"/>
          </w:tcPr>
          <w:p w:rsidR="007D4165" w:rsidRDefault="007D4165" w:rsidP="009C6C43">
            <w:pPr>
              <w:jc w:val="center"/>
            </w:pPr>
          </w:p>
        </w:tc>
        <w:tc>
          <w:tcPr>
            <w:tcW w:w="1413" w:type="dxa"/>
            <w:gridSpan w:val="2"/>
            <w:tcBorders>
              <w:top w:val="single" w:sz="18" w:space="0" w:color="8DB3E2" w:themeColor="text2" w:themeTint="66"/>
              <w:left w:val="nil"/>
              <w:bottom w:val="single" w:sz="18" w:space="0" w:color="8DB3E2" w:themeColor="text2" w:themeTint="66"/>
              <w:right w:val="nil"/>
            </w:tcBorders>
            <w:vAlign w:val="center"/>
          </w:tcPr>
          <w:p w:rsidR="007D4165" w:rsidRPr="0030243A" w:rsidRDefault="007D4165" w:rsidP="009C6C43">
            <w:pPr>
              <w:jc w:val="center"/>
              <w:rPr>
                <w:sz w:val="16"/>
                <w:szCs w:val="16"/>
              </w:rPr>
            </w:pPr>
          </w:p>
        </w:tc>
        <w:tc>
          <w:tcPr>
            <w:tcW w:w="1412" w:type="dxa"/>
            <w:gridSpan w:val="2"/>
            <w:tcBorders>
              <w:top w:val="nil"/>
              <w:left w:val="nil"/>
              <w:bottom w:val="nil"/>
              <w:right w:val="nil"/>
            </w:tcBorders>
            <w:vAlign w:val="center"/>
          </w:tcPr>
          <w:p w:rsidR="007D4165" w:rsidRPr="0030243A" w:rsidRDefault="007D4165" w:rsidP="009C6C43">
            <w:pPr>
              <w:jc w:val="center"/>
              <w:rPr>
                <w:sz w:val="16"/>
                <w:szCs w:val="16"/>
              </w:rPr>
            </w:pPr>
          </w:p>
        </w:tc>
        <w:tc>
          <w:tcPr>
            <w:tcW w:w="1411" w:type="dxa"/>
            <w:gridSpan w:val="2"/>
            <w:tcBorders>
              <w:top w:val="nil"/>
              <w:left w:val="nil"/>
              <w:bottom w:val="nil"/>
              <w:right w:val="nil"/>
            </w:tcBorders>
            <w:vAlign w:val="center"/>
          </w:tcPr>
          <w:p w:rsidR="007D4165" w:rsidRPr="0030243A" w:rsidRDefault="007D4165" w:rsidP="009C6C43">
            <w:pPr>
              <w:jc w:val="center"/>
              <w:rPr>
                <w:sz w:val="16"/>
                <w:szCs w:val="16"/>
              </w:rPr>
            </w:pPr>
          </w:p>
        </w:tc>
        <w:tc>
          <w:tcPr>
            <w:tcW w:w="2823" w:type="dxa"/>
            <w:gridSpan w:val="3"/>
            <w:tcBorders>
              <w:top w:val="nil"/>
              <w:left w:val="nil"/>
              <w:bottom w:val="nil"/>
              <w:right w:val="nil"/>
            </w:tcBorders>
            <w:vAlign w:val="center"/>
          </w:tcPr>
          <w:p w:rsidR="007D4165" w:rsidRPr="0030243A" w:rsidRDefault="007D4165" w:rsidP="009C6C43">
            <w:pPr>
              <w:jc w:val="center"/>
              <w:rPr>
                <w:sz w:val="16"/>
                <w:szCs w:val="16"/>
              </w:rPr>
            </w:pPr>
          </w:p>
        </w:tc>
        <w:tc>
          <w:tcPr>
            <w:tcW w:w="1414" w:type="dxa"/>
            <w:gridSpan w:val="2"/>
            <w:tcBorders>
              <w:top w:val="single" w:sz="18" w:space="0" w:color="8DB3E2" w:themeColor="text2" w:themeTint="66"/>
              <w:left w:val="nil"/>
              <w:bottom w:val="single" w:sz="18" w:space="0" w:color="8DB3E2" w:themeColor="text2" w:themeTint="66"/>
              <w:right w:val="nil"/>
            </w:tcBorders>
            <w:vAlign w:val="center"/>
          </w:tcPr>
          <w:p w:rsidR="007D4165" w:rsidRPr="0030243A" w:rsidRDefault="007D4165" w:rsidP="009C6C43">
            <w:pPr>
              <w:jc w:val="center"/>
              <w:rPr>
                <w:sz w:val="16"/>
                <w:szCs w:val="16"/>
              </w:rPr>
            </w:pPr>
          </w:p>
        </w:tc>
        <w:tc>
          <w:tcPr>
            <w:tcW w:w="2879" w:type="dxa"/>
            <w:gridSpan w:val="4"/>
            <w:vMerge/>
            <w:tcBorders>
              <w:top w:val="single" w:sz="18" w:space="0" w:color="8DB3E2" w:themeColor="text2" w:themeTint="66"/>
              <w:left w:val="nil"/>
              <w:bottom w:val="nil"/>
              <w:right w:val="nil"/>
            </w:tcBorders>
            <w:vAlign w:val="center"/>
          </w:tcPr>
          <w:p w:rsidR="007D4165" w:rsidRDefault="007D4165" w:rsidP="009C6C43">
            <w:pPr>
              <w:jc w:val="center"/>
            </w:pPr>
          </w:p>
        </w:tc>
      </w:tr>
      <w:tr w:rsidR="007D4165" w:rsidTr="00C17FBB">
        <w:trPr>
          <w:gridAfter w:val="2"/>
          <w:wAfter w:w="1385" w:type="dxa"/>
          <w:trHeight w:val="556"/>
          <w:jc w:val="center"/>
        </w:trPr>
        <w:tc>
          <w:tcPr>
            <w:tcW w:w="346" w:type="dxa"/>
            <w:vMerge/>
            <w:tcBorders>
              <w:left w:val="nil"/>
              <w:bottom w:val="nil"/>
              <w:right w:val="nil"/>
            </w:tcBorders>
          </w:tcPr>
          <w:p w:rsidR="007D4165" w:rsidRDefault="007D4165" w:rsidP="009C6C43">
            <w:pPr>
              <w:jc w:val="center"/>
            </w:pPr>
          </w:p>
        </w:tc>
        <w:tc>
          <w:tcPr>
            <w:tcW w:w="1607" w:type="dxa"/>
            <w:vMerge/>
            <w:tcBorders>
              <w:top w:val="single" w:sz="18" w:space="0" w:color="8DB3E2" w:themeColor="text2" w:themeTint="66"/>
              <w:left w:val="nil"/>
              <w:bottom w:val="nil"/>
              <w:right w:val="single" w:sz="18" w:space="0" w:color="8DB3E2" w:themeColor="text2" w:themeTint="66"/>
            </w:tcBorders>
            <w:vAlign w:val="center"/>
          </w:tcPr>
          <w:p w:rsidR="007D4165" w:rsidRDefault="007D4165" w:rsidP="009C6C43">
            <w:pPr>
              <w:jc w:val="center"/>
            </w:pP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vAlign w:val="center"/>
          </w:tcPr>
          <w:p w:rsidR="007D4165" w:rsidRDefault="00153C20" w:rsidP="009C6C43">
            <w:pPr>
              <w:jc w:val="center"/>
            </w:pPr>
            <w:r>
              <w:rPr>
                <w:sz w:val="18"/>
                <w:szCs w:val="18"/>
              </w:rPr>
              <w:t>Výzkumné prostředí</w:t>
            </w:r>
          </w:p>
        </w:tc>
        <w:tc>
          <w:tcPr>
            <w:tcW w:w="1412" w:type="dxa"/>
            <w:gridSpan w:val="2"/>
            <w:tcBorders>
              <w:top w:val="nil"/>
              <w:left w:val="single" w:sz="18" w:space="0" w:color="8DB3E2" w:themeColor="text2" w:themeTint="66"/>
              <w:bottom w:val="nil"/>
              <w:right w:val="nil"/>
            </w:tcBorders>
            <w:vAlign w:val="center"/>
          </w:tcPr>
          <w:p w:rsidR="007D4165" w:rsidRDefault="007D4165" w:rsidP="009C6C43">
            <w:pPr>
              <w:jc w:val="center"/>
            </w:pPr>
          </w:p>
        </w:tc>
        <w:tc>
          <w:tcPr>
            <w:tcW w:w="1411" w:type="dxa"/>
            <w:gridSpan w:val="2"/>
            <w:tcBorders>
              <w:top w:val="nil"/>
              <w:left w:val="nil"/>
              <w:bottom w:val="nil"/>
              <w:right w:val="nil"/>
            </w:tcBorders>
            <w:vAlign w:val="center"/>
          </w:tcPr>
          <w:p w:rsidR="007D4165" w:rsidRDefault="007D4165" w:rsidP="009C6C43">
            <w:pPr>
              <w:jc w:val="center"/>
            </w:pPr>
          </w:p>
        </w:tc>
        <w:tc>
          <w:tcPr>
            <w:tcW w:w="2823" w:type="dxa"/>
            <w:gridSpan w:val="3"/>
            <w:tcBorders>
              <w:top w:val="nil"/>
              <w:left w:val="nil"/>
              <w:bottom w:val="nil"/>
              <w:right w:val="single" w:sz="18" w:space="0" w:color="8DB3E2" w:themeColor="text2" w:themeTint="66"/>
            </w:tcBorders>
            <w:vAlign w:val="center"/>
          </w:tcPr>
          <w:p w:rsidR="007D4165" w:rsidRDefault="007D4165" w:rsidP="009C6C43">
            <w:pPr>
              <w:jc w:val="center"/>
            </w:pPr>
          </w:p>
        </w:tc>
        <w:tc>
          <w:tcPr>
            <w:tcW w:w="1414"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vAlign w:val="center"/>
          </w:tcPr>
          <w:p w:rsidR="007D4165" w:rsidRDefault="00C17FBB" w:rsidP="009C6C43">
            <w:pPr>
              <w:jc w:val="center"/>
            </w:pPr>
            <w:r>
              <w:rPr>
                <w:sz w:val="18"/>
                <w:szCs w:val="18"/>
              </w:rPr>
              <w:t>Výzkumné prostředí</w:t>
            </w:r>
          </w:p>
        </w:tc>
        <w:tc>
          <w:tcPr>
            <w:tcW w:w="2879" w:type="dxa"/>
            <w:gridSpan w:val="4"/>
            <w:vMerge/>
            <w:tcBorders>
              <w:top w:val="single" w:sz="18" w:space="0" w:color="8DB3E2" w:themeColor="text2" w:themeTint="66"/>
              <w:left w:val="single" w:sz="18" w:space="0" w:color="8DB3E2" w:themeColor="text2" w:themeTint="66"/>
              <w:bottom w:val="nil"/>
              <w:right w:val="nil"/>
            </w:tcBorders>
            <w:vAlign w:val="center"/>
          </w:tcPr>
          <w:p w:rsidR="007D4165" w:rsidRDefault="007D4165" w:rsidP="009C6C43">
            <w:pPr>
              <w:jc w:val="center"/>
            </w:pPr>
          </w:p>
        </w:tc>
      </w:tr>
      <w:tr w:rsidR="00153C20" w:rsidTr="00C17FBB">
        <w:trPr>
          <w:gridAfter w:val="2"/>
          <w:wAfter w:w="1385" w:type="dxa"/>
          <w:trHeight w:val="254"/>
          <w:jc w:val="center"/>
        </w:trPr>
        <w:tc>
          <w:tcPr>
            <w:tcW w:w="346" w:type="dxa"/>
            <w:tcBorders>
              <w:top w:val="nil"/>
              <w:left w:val="nil"/>
              <w:bottom w:val="nil"/>
              <w:right w:val="nil"/>
            </w:tcBorders>
          </w:tcPr>
          <w:p w:rsidR="00153C20" w:rsidRDefault="00153C20" w:rsidP="009C6C43">
            <w:pPr>
              <w:jc w:val="center"/>
            </w:pPr>
          </w:p>
        </w:tc>
        <w:tc>
          <w:tcPr>
            <w:tcW w:w="1607" w:type="dxa"/>
            <w:tcBorders>
              <w:top w:val="nil"/>
              <w:left w:val="nil"/>
              <w:bottom w:val="nil"/>
              <w:right w:val="nil"/>
            </w:tcBorders>
            <w:vAlign w:val="center"/>
          </w:tcPr>
          <w:p w:rsidR="00153C20" w:rsidRDefault="00153C20" w:rsidP="009C6C43">
            <w:pPr>
              <w:jc w:val="center"/>
            </w:pPr>
          </w:p>
        </w:tc>
        <w:tc>
          <w:tcPr>
            <w:tcW w:w="1413" w:type="dxa"/>
            <w:gridSpan w:val="2"/>
            <w:tcBorders>
              <w:top w:val="single" w:sz="18" w:space="0" w:color="8DB3E2" w:themeColor="text2" w:themeTint="66"/>
              <w:left w:val="nil"/>
              <w:bottom w:val="single" w:sz="18" w:space="0" w:color="8DB3E2" w:themeColor="text2" w:themeTint="66"/>
              <w:right w:val="nil"/>
            </w:tcBorders>
            <w:shd w:val="clear" w:color="auto" w:fill="FFFFFF" w:themeFill="background1"/>
            <w:vAlign w:val="center"/>
          </w:tcPr>
          <w:p w:rsidR="00153C20" w:rsidRDefault="00153C20" w:rsidP="009C6C43">
            <w:pPr>
              <w:jc w:val="center"/>
              <w:rPr>
                <w:sz w:val="18"/>
                <w:szCs w:val="18"/>
              </w:rPr>
            </w:pPr>
          </w:p>
        </w:tc>
        <w:tc>
          <w:tcPr>
            <w:tcW w:w="1412" w:type="dxa"/>
            <w:gridSpan w:val="2"/>
            <w:tcBorders>
              <w:top w:val="nil"/>
              <w:left w:val="nil"/>
              <w:bottom w:val="nil"/>
              <w:right w:val="nil"/>
            </w:tcBorders>
            <w:vAlign w:val="center"/>
          </w:tcPr>
          <w:p w:rsidR="00153C20" w:rsidRDefault="00153C20" w:rsidP="009C6C43">
            <w:pPr>
              <w:jc w:val="center"/>
            </w:pPr>
          </w:p>
        </w:tc>
        <w:tc>
          <w:tcPr>
            <w:tcW w:w="1411" w:type="dxa"/>
            <w:gridSpan w:val="2"/>
            <w:tcBorders>
              <w:top w:val="nil"/>
              <w:left w:val="nil"/>
              <w:bottom w:val="nil"/>
              <w:right w:val="nil"/>
            </w:tcBorders>
            <w:vAlign w:val="center"/>
          </w:tcPr>
          <w:p w:rsidR="00153C20" w:rsidRDefault="00153C20" w:rsidP="009C6C43">
            <w:pPr>
              <w:jc w:val="center"/>
            </w:pPr>
          </w:p>
        </w:tc>
        <w:tc>
          <w:tcPr>
            <w:tcW w:w="2823" w:type="dxa"/>
            <w:gridSpan w:val="3"/>
            <w:tcBorders>
              <w:top w:val="nil"/>
              <w:left w:val="nil"/>
              <w:bottom w:val="nil"/>
              <w:right w:val="nil"/>
            </w:tcBorders>
            <w:vAlign w:val="center"/>
          </w:tcPr>
          <w:p w:rsidR="00153C20" w:rsidRDefault="00153C20" w:rsidP="009C6C43">
            <w:pPr>
              <w:jc w:val="center"/>
            </w:pPr>
          </w:p>
        </w:tc>
        <w:tc>
          <w:tcPr>
            <w:tcW w:w="1414" w:type="dxa"/>
            <w:gridSpan w:val="2"/>
            <w:tcBorders>
              <w:top w:val="single" w:sz="18" w:space="0" w:color="8DB3E2" w:themeColor="text2" w:themeTint="66"/>
              <w:left w:val="nil"/>
              <w:bottom w:val="single" w:sz="18" w:space="0" w:color="8DB3E2" w:themeColor="text2" w:themeTint="66"/>
              <w:right w:val="nil"/>
            </w:tcBorders>
            <w:shd w:val="clear" w:color="auto" w:fill="FFFFFF" w:themeFill="background1"/>
            <w:vAlign w:val="center"/>
          </w:tcPr>
          <w:p w:rsidR="00153C20" w:rsidRDefault="00153C20" w:rsidP="009C6C43">
            <w:pPr>
              <w:jc w:val="center"/>
              <w:rPr>
                <w:sz w:val="18"/>
                <w:szCs w:val="18"/>
              </w:rPr>
            </w:pPr>
          </w:p>
        </w:tc>
        <w:tc>
          <w:tcPr>
            <w:tcW w:w="2879" w:type="dxa"/>
            <w:gridSpan w:val="4"/>
            <w:tcBorders>
              <w:top w:val="nil"/>
              <w:left w:val="nil"/>
              <w:bottom w:val="nil"/>
              <w:right w:val="nil"/>
            </w:tcBorders>
            <w:vAlign w:val="center"/>
          </w:tcPr>
          <w:p w:rsidR="00153C20" w:rsidRDefault="00153C20" w:rsidP="009C6C43">
            <w:pPr>
              <w:jc w:val="center"/>
            </w:pPr>
          </w:p>
        </w:tc>
      </w:tr>
      <w:tr w:rsidR="00153C20" w:rsidTr="00C17FBB">
        <w:trPr>
          <w:gridAfter w:val="2"/>
          <w:wAfter w:w="1385" w:type="dxa"/>
          <w:trHeight w:val="556"/>
          <w:jc w:val="center"/>
        </w:trPr>
        <w:tc>
          <w:tcPr>
            <w:tcW w:w="346" w:type="dxa"/>
            <w:tcBorders>
              <w:top w:val="nil"/>
              <w:left w:val="nil"/>
              <w:bottom w:val="nil"/>
              <w:right w:val="nil"/>
            </w:tcBorders>
          </w:tcPr>
          <w:p w:rsidR="00153C20" w:rsidRDefault="00153C20" w:rsidP="009C6C43">
            <w:pPr>
              <w:jc w:val="center"/>
            </w:pPr>
          </w:p>
        </w:tc>
        <w:tc>
          <w:tcPr>
            <w:tcW w:w="1607" w:type="dxa"/>
            <w:tcBorders>
              <w:top w:val="nil"/>
              <w:left w:val="nil"/>
              <w:bottom w:val="nil"/>
              <w:right w:val="single" w:sz="18" w:space="0" w:color="8DB3E2" w:themeColor="text2" w:themeTint="66"/>
            </w:tcBorders>
            <w:vAlign w:val="center"/>
          </w:tcPr>
          <w:p w:rsidR="00153C20" w:rsidRDefault="00153C20" w:rsidP="009C6C43">
            <w:pPr>
              <w:jc w:val="center"/>
            </w:pP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6D9F1" w:themeFill="text2" w:themeFillTint="33"/>
            <w:vAlign w:val="center"/>
          </w:tcPr>
          <w:p w:rsidR="00153C20" w:rsidRDefault="00153C20" w:rsidP="009C6C43">
            <w:pPr>
              <w:jc w:val="center"/>
              <w:rPr>
                <w:sz w:val="18"/>
                <w:szCs w:val="18"/>
              </w:rPr>
            </w:pPr>
            <w:r>
              <w:rPr>
                <w:sz w:val="18"/>
                <w:szCs w:val="18"/>
              </w:rPr>
              <w:t>Mezinárodní a národní spolupráce</w:t>
            </w:r>
          </w:p>
        </w:tc>
        <w:tc>
          <w:tcPr>
            <w:tcW w:w="1412" w:type="dxa"/>
            <w:gridSpan w:val="2"/>
            <w:tcBorders>
              <w:top w:val="nil"/>
              <w:left w:val="single" w:sz="18" w:space="0" w:color="8DB3E2" w:themeColor="text2" w:themeTint="66"/>
              <w:bottom w:val="nil"/>
              <w:right w:val="nil"/>
            </w:tcBorders>
            <w:vAlign w:val="center"/>
          </w:tcPr>
          <w:p w:rsidR="00153C20" w:rsidRDefault="00153C20" w:rsidP="009C6C43">
            <w:pPr>
              <w:jc w:val="center"/>
            </w:pPr>
          </w:p>
        </w:tc>
        <w:tc>
          <w:tcPr>
            <w:tcW w:w="1411" w:type="dxa"/>
            <w:gridSpan w:val="2"/>
            <w:tcBorders>
              <w:top w:val="nil"/>
              <w:left w:val="nil"/>
              <w:bottom w:val="nil"/>
              <w:right w:val="nil"/>
            </w:tcBorders>
            <w:vAlign w:val="center"/>
          </w:tcPr>
          <w:p w:rsidR="00153C20" w:rsidRDefault="00153C20" w:rsidP="009C6C43">
            <w:pPr>
              <w:jc w:val="center"/>
            </w:pPr>
          </w:p>
        </w:tc>
        <w:tc>
          <w:tcPr>
            <w:tcW w:w="2823" w:type="dxa"/>
            <w:gridSpan w:val="3"/>
            <w:tcBorders>
              <w:top w:val="nil"/>
              <w:left w:val="nil"/>
              <w:bottom w:val="nil"/>
              <w:right w:val="single" w:sz="18" w:space="0" w:color="8DB3E2" w:themeColor="text2" w:themeTint="66"/>
            </w:tcBorders>
            <w:vAlign w:val="center"/>
          </w:tcPr>
          <w:p w:rsidR="00153C20" w:rsidRDefault="00153C20" w:rsidP="009C6C43">
            <w:pPr>
              <w:jc w:val="center"/>
            </w:pPr>
          </w:p>
        </w:tc>
        <w:tc>
          <w:tcPr>
            <w:tcW w:w="1414"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6D9F1" w:themeFill="text2" w:themeFillTint="33"/>
            <w:vAlign w:val="center"/>
          </w:tcPr>
          <w:p w:rsidR="00153C20" w:rsidRDefault="00153C20" w:rsidP="009C6C43">
            <w:pPr>
              <w:jc w:val="center"/>
              <w:rPr>
                <w:sz w:val="18"/>
                <w:szCs w:val="18"/>
              </w:rPr>
            </w:pPr>
            <w:r>
              <w:rPr>
                <w:sz w:val="18"/>
                <w:szCs w:val="18"/>
              </w:rPr>
              <w:t>Mezinárodní a národní spolupráce</w:t>
            </w:r>
          </w:p>
        </w:tc>
        <w:tc>
          <w:tcPr>
            <w:tcW w:w="2879" w:type="dxa"/>
            <w:gridSpan w:val="4"/>
            <w:tcBorders>
              <w:top w:val="nil"/>
              <w:left w:val="single" w:sz="18" w:space="0" w:color="8DB3E2" w:themeColor="text2" w:themeTint="66"/>
              <w:bottom w:val="nil"/>
              <w:right w:val="nil"/>
            </w:tcBorders>
            <w:vAlign w:val="center"/>
          </w:tcPr>
          <w:p w:rsidR="00153C20" w:rsidRDefault="00153C20" w:rsidP="009C6C43">
            <w:pPr>
              <w:jc w:val="center"/>
            </w:pPr>
          </w:p>
        </w:tc>
      </w:tr>
      <w:tr w:rsidR="00153C20" w:rsidTr="00C17FBB">
        <w:trPr>
          <w:gridAfter w:val="2"/>
          <w:wAfter w:w="1385" w:type="dxa"/>
          <w:trHeight w:val="226"/>
          <w:jc w:val="center"/>
        </w:trPr>
        <w:tc>
          <w:tcPr>
            <w:tcW w:w="346" w:type="dxa"/>
            <w:tcBorders>
              <w:top w:val="nil"/>
              <w:left w:val="nil"/>
              <w:bottom w:val="nil"/>
              <w:right w:val="nil"/>
            </w:tcBorders>
          </w:tcPr>
          <w:p w:rsidR="00153C20" w:rsidRDefault="00153C20" w:rsidP="009C6C43">
            <w:pPr>
              <w:jc w:val="center"/>
            </w:pPr>
          </w:p>
        </w:tc>
        <w:tc>
          <w:tcPr>
            <w:tcW w:w="1607" w:type="dxa"/>
            <w:tcBorders>
              <w:top w:val="nil"/>
              <w:left w:val="nil"/>
              <w:bottom w:val="nil"/>
              <w:right w:val="nil"/>
            </w:tcBorders>
            <w:vAlign w:val="center"/>
          </w:tcPr>
          <w:p w:rsidR="00153C20" w:rsidRDefault="00153C20" w:rsidP="009C6C43">
            <w:pPr>
              <w:jc w:val="center"/>
            </w:pPr>
          </w:p>
        </w:tc>
        <w:tc>
          <w:tcPr>
            <w:tcW w:w="1413" w:type="dxa"/>
            <w:gridSpan w:val="2"/>
            <w:tcBorders>
              <w:top w:val="single" w:sz="18" w:space="0" w:color="8DB3E2" w:themeColor="text2" w:themeTint="66"/>
              <w:left w:val="nil"/>
              <w:bottom w:val="single" w:sz="18" w:space="0" w:color="8DB3E2" w:themeColor="text2" w:themeTint="66"/>
              <w:right w:val="nil"/>
            </w:tcBorders>
            <w:shd w:val="clear" w:color="auto" w:fill="FFFFFF" w:themeFill="background1"/>
            <w:vAlign w:val="center"/>
          </w:tcPr>
          <w:p w:rsidR="00153C20" w:rsidRDefault="00153C20" w:rsidP="009C6C43">
            <w:pPr>
              <w:jc w:val="center"/>
              <w:rPr>
                <w:sz w:val="18"/>
                <w:szCs w:val="18"/>
              </w:rPr>
            </w:pPr>
          </w:p>
        </w:tc>
        <w:tc>
          <w:tcPr>
            <w:tcW w:w="1412" w:type="dxa"/>
            <w:gridSpan w:val="2"/>
            <w:tcBorders>
              <w:top w:val="nil"/>
              <w:left w:val="nil"/>
              <w:bottom w:val="nil"/>
              <w:right w:val="nil"/>
            </w:tcBorders>
            <w:vAlign w:val="center"/>
          </w:tcPr>
          <w:p w:rsidR="00153C20" w:rsidRDefault="00153C20" w:rsidP="009C6C43">
            <w:pPr>
              <w:jc w:val="center"/>
            </w:pPr>
          </w:p>
        </w:tc>
        <w:tc>
          <w:tcPr>
            <w:tcW w:w="1411" w:type="dxa"/>
            <w:gridSpan w:val="2"/>
            <w:tcBorders>
              <w:top w:val="nil"/>
              <w:left w:val="nil"/>
              <w:bottom w:val="nil"/>
              <w:right w:val="nil"/>
            </w:tcBorders>
            <w:vAlign w:val="center"/>
          </w:tcPr>
          <w:p w:rsidR="00153C20" w:rsidRDefault="00153C20" w:rsidP="009C6C43">
            <w:pPr>
              <w:jc w:val="center"/>
            </w:pPr>
          </w:p>
        </w:tc>
        <w:tc>
          <w:tcPr>
            <w:tcW w:w="2823" w:type="dxa"/>
            <w:gridSpan w:val="3"/>
            <w:tcBorders>
              <w:top w:val="nil"/>
              <w:left w:val="nil"/>
              <w:bottom w:val="nil"/>
              <w:right w:val="nil"/>
            </w:tcBorders>
            <w:vAlign w:val="center"/>
          </w:tcPr>
          <w:p w:rsidR="00153C20" w:rsidRDefault="00153C20" w:rsidP="009C6C43">
            <w:pPr>
              <w:jc w:val="center"/>
            </w:pPr>
          </w:p>
        </w:tc>
        <w:tc>
          <w:tcPr>
            <w:tcW w:w="1414" w:type="dxa"/>
            <w:gridSpan w:val="2"/>
            <w:tcBorders>
              <w:top w:val="single" w:sz="18" w:space="0" w:color="8DB3E2" w:themeColor="text2" w:themeTint="66"/>
              <w:left w:val="nil"/>
              <w:bottom w:val="single" w:sz="18" w:space="0" w:color="8DB3E2" w:themeColor="text2" w:themeTint="66"/>
              <w:right w:val="nil"/>
            </w:tcBorders>
            <w:shd w:val="clear" w:color="auto" w:fill="FFFFFF" w:themeFill="background1"/>
            <w:vAlign w:val="center"/>
          </w:tcPr>
          <w:p w:rsidR="00153C20" w:rsidRDefault="00153C20" w:rsidP="009C6C43">
            <w:pPr>
              <w:jc w:val="center"/>
              <w:rPr>
                <w:sz w:val="18"/>
                <w:szCs w:val="18"/>
              </w:rPr>
            </w:pPr>
          </w:p>
        </w:tc>
        <w:tc>
          <w:tcPr>
            <w:tcW w:w="2879" w:type="dxa"/>
            <w:gridSpan w:val="4"/>
            <w:tcBorders>
              <w:top w:val="nil"/>
              <w:left w:val="nil"/>
              <w:bottom w:val="nil"/>
              <w:right w:val="nil"/>
            </w:tcBorders>
            <w:vAlign w:val="center"/>
          </w:tcPr>
          <w:p w:rsidR="00153C20" w:rsidRDefault="00153C20" w:rsidP="009C6C43">
            <w:pPr>
              <w:jc w:val="center"/>
            </w:pPr>
          </w:p>
        </w:tc>
      </w:tr>
      <w:tr w:rsidR="00153C20" w:rsidTr="00C17FBB">
        <w:trPr>
          <w:gridAfter w:val="2"/>
          <w:wAfter w:w="1385" w:type="dxa"/>
          <w:trHeight w:val="556"/>
          <w:jc w:val="center"/>
        </w:trPr>
        <w:tc>
          <w:tcPr>
            <w:tcW w:w="346" w:type="dxa"/>
            <w:tcBorders>
              <w:top w:val="nil"/>
              <w:left w:val="nil"/>
              <w:bottom w:val="nil"/>
              <w:right w:val="nil"/>
            </w:tcBorders>
          </w:tcPr>
          <w:p w:rsidR="00153C20" w:rsidRDefault="00153C20" w:rsidP="009C6C43">
            <w:pPr>
              <w:jc w:val="center"/>
            </w:pPr>
          </w:p>
        </w:tc>
        <w:tc>
          <w:tcPr>
            <w:tcW w:w="1607" w:type="dxa"/>
            <w:tcBorders>
              <w:top w:val="nil"/>
              <w:left w:val="nil"/>
              <w:bottom w:val="nil"/>
              <w:right w:val="single" w:sz="18" w:space="0" w:color="8DB3E2" w:themeColor="text2" w:themeTint="66"/>
            </w:tcBorders>
            <w:vAlign w:val="center"/>
          </w:tcPr>
          <w:p w:rsidR="00153C20" w:rsidRDefault="00153C20" w:rsidP="009C6C43">
            <w:pPr>
              <w:jc w:val="center"/>
            </w:pPr>
          </w:p>
        </w:tc>
        <w:tc>
          <w:tcPr>
            <w:tcW w:w="1413"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CC0D9" w:themeFill="accent4" w:themeFillTint="66"/>
            <w:vAlign w:val="center"/>
          </w:tcPr>
          <w:p w:rsidR="00153C20" w:rsidRDefault="00153C20" w:rsidP="009C6C43">
            <w:pPr>
              <w:jc w:val="center"/>
              <w:rPr>
                <w:sz w:val="18"/>
                <w:szCs w:val="18"/>
              </w:rPr>
            </w:pPr>
            <w:r>
              <w:rPr>
                <w:sz w:val="18"/>
                <w:szCs w:val="18"/>
              </w:rPr>
              <w:t>Koncepce</w:t>
            </w:r>
          </w:p>
        </w:tc>
        <w:tc>
          <w:tcPr>
            <w:tcW w:w="1412" w:type="dxa"/>
            <w:gridSpan w:val="2"/>
            <w:tcBorders>
              <w:top w:val="nil"/>
              <w:left w:val="single" w:sz="18" w:space="0" w:color="8DB3E2" w:themeColor="text2" w:themeTint="66"/>
              <w:bottom w:val="nil"/>
              <w:right w:val="nil"/>
            </w:tcBorders>
            <w:vAlign w:val="center"/>
          </w:tcPr>
          <w:p w:rsidR="00153C20" w:rsidRDefault="00153C20" w:rsidP="009C6C43">
            <w:pPr>
              <w:jc w:val="center"/>
            </w:pPr>
          </w:p>
        </w:tc>
        <w:tc>
          <w:tcPr>
            <w:tcW w:w="1411" w:type="dxa"/>
            <w:gridSpan w:val="2"/>
            <w:tcBorders>
              <w:top w:val="nil"/>
              <w:left w:val="nil"/>
              <w:bottom w:val="nil"/>
              <w:right w:val="nil"/>
            </w:tcBorders>
            <w:vAlign w:val="center"/>
          </w:tcPr>
          <w:p w:rsidR="00153C20" w:rsidRDefault="00153C20" w:rsidP="009C6C43">
            <w:pPr>
              <w:jc w:val="center"/>
            </w:pPr>
          </w:p>
        </w:tc>
        <w:tc>
          <w:tcPr>
            <w:tcW w:w="2823" w:type="dxa"/>
            <w:gridSpan w:val="3"/>
            <w:tcBorders>
              <w:top w:val="nil"/>
              <w:left w:val="nil"/>
              <w:bottom w:val="nil"/>
              <w:right w:val="single" w:sz="18" w:space="0" w:color="8DB3E2" w:themeColor="text2" w:themeTint="66"/>
            </w:tcBorders>
            <w:vAlign w:val="center"/>
          </w:tcPr>
          <w:p w:rsidR="00153C20" w:rsidRDefault="00153C20" w:rsidP="009C6C43">
            <w:pPr>
              <w:jc w:val="center"/>
            </w:pPr>
          </w:p>
        </w:tc>
        <w:tc>
          <w:tcPr>
            <w:tcW w:w="1414" w:type="dxa"/>
            <w:gridSpan w:val="2"/>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CC0D9" w:themeFill="accent4" w:themeFillTint="66"/>
            <w:vAlign w:val="center"/>
          </w:tcPr>
          <w:p w:rsidR="00153C20" w:rsidRDefault="00153C20" w:rsidP="009C6C43">
            <w:pPr>
              <w:jc w:val="center"/>
              <w:rPr>
                <w:sz w:val="18"/>
                <w:szCs w:val="18"/>
              </w:rPr>
            </w:pPr>
            <w:r>
              <w:rPr>
                <w:sz w:val="18"/>
                <w:szCs w:val="18"/>
              </w:rPr>
              <w:t>Koncepce</w:t>
            </w:r>
          </w:p>
        </w:tc>
        <w:tc>
          <w:tcPr>
            <w:tcW w:w="2879" w:type="dxa"/>
            <w:gridSpan w:val="4"/>
            <w:tcBorders>
              <w:top w:val="nil"/>
              <w:left w:val="single" w:sz="18" w:space="0" w:color="8DB3E2" w:themeColor="text2" w:themeTint="66"/>
              <w:bottom w:val="nil"/>
              <w:right w:val="nil"/>
            </w:tcBorders>
            <w:vAlign w:val="center"/>
          </w:tcPr>
          <w:p w:rsidR="00153C20" w:rsidRDefault="00153C20" w:rsidP="009C6C43">
            <w:pPr>
              <w:jc w:val="center"/>
            </w:pPr>
          </w:p>
        </w:tc>
      </w:tr>
    </w:tbl>
    <w:p w:rsidR="007D4165" w:rsidRDefault="007D4165" w:rsidP="00FA2142">
      <w:pPr>
        <w:spacing w:after="60" w:line="288" w:lineRule="auto"/>
        <w:ind w:left="1080" w:hanging="360"/>
        <w:jc w:val="both"/>
        <w:rPr>
          <w:rFonts w:ascii="Times New Roman" w:eastAsia="Times New Roman" w:hAnsi="Times New Roman" w:cs="Times New Roman"/>
        </w:rPr>
      </w:pPr>
    </w:p>
    <w:p w:rsidR="007D4165" w:rsidRDefault="007D4165" w:rsidP="00FA2142">
      <w:pPr>
        <w:spacing w:after="60" w:line="288" w:lineRule="auto"/>
        <w:ind w:left="1080" w:hanging="360"/>
        <w:jc w:val="both"/>
        <w:rPr>
          <w:rFonts w:ascii="Times New Roman" w:eastAsia="Times New Roman" w:hAnsi="Times New Roman" w:cs="Times New Roman"/>
        </w:rPr>
        <w:sectPr w:rsidR="007D4165" w:rsidSect="00997F9C">
          <w:pgSz w:w="16838" w:h="11906" w:orient="landscape" w:code="9"/>
          <w:pgMar w:top="1418" w:right="1418" w:bottom="1418" w:left="1418" w:header="510" w:footer="397" w:gutter="0"/>
          <w:cols w:space="708"/>
          <w:docGrid w:linePitch="299"/>
        </w:sectPr>
      </w:pPr>
    </w:p>
    <w:p w:rsidR="00FA2142" w:rsidRPr="00FA2142" w:rsidRDefault="00FA2142" w:rsidP="001F6706">
      <w:pPr>
        <w:pStyle w:val="Nadpis1"/>
      </w:pPr>
      <w:bookmarkStart w:id="305" w:name="_Toc462064511"/>
      <w:r w:rsidRPr="00FA2142">
        <w:lastRenderedPageBreak/>
        <w:t>Hodnocení AV ČR</w:t>
      </w:r>
      <w:bookmarkEnd w:id="305"/>
    </w:p>
    <w:p w:rsidR="00FA2142" w:rsidRPr="00C852F0" w:rsidRDefault="00FA2142" w:rsidP="005F5E18">
      <w:pPr>
        <w:pStyle w:val="Nadpis2"/>
        <w:ind w:left="567"/>
      </w:pPr>
      <w:bookmarkStart w:id="306" w:name="_Toc461902533"/>
      <w:bookmarkStart w:id="307" w:name="_Toc461902657"/>
      <w:bookmarkStart w:id="308" w:name="_Toc462064512"/>
      <w:bookmarkEnd w:id="306"/>
      <w:bookmarkEnd w:id="307"/>
      <w:r w:rsidRPr="00C852F0">
        <w:t>Stav</w:t>
      </w:r>
      <w:bookmarkEnd w:id="308"/>
    </w:p>
    <w:p w:rsidR="00FA2142" w:rsidRPr="00FA2142" w:rsidRDefault="00FA2142" w:rsidP="00FA2142">
      <w:r w:rsidRPr="00FA2142">
        <w:t>AVČR provedla v roce 2015 komplexní hodnocení výzkumné a odborné činnosti pracovišť AV ČR za léta 2010 – 2014. V roce 2016 jsou jeho závěry k dispozici. V debatách na úrovni RVVI/Sekce VVI je diskutována jejich využitelnost pro řízení systému VaVaI na národní úrovni.</w:t>
      </w:r>
    </w:p>
    <w:p w:rsidR="00FA2142" w:rsidRPr="00FA2142" w:rsidRDefault="00FA2142" w:rsidP="005F5E18">
      <w:pPr>
        <w:pStyle w:val="Nadpis2"/>
        <w:ind w:left="567"/>
      </w:pPr>
      <w:bookmarkStart w:id="309" w:name="_Toc462064513"/>
      <w:r w:rsidRPr="00FA2142">
        <w:t>Účel hodnocení</w:t>
      </w:r>
      <w:bookmarkEnd w:id="309"/>
      <w:r w:rsidRPr="00FA2142">
        <w:t xml:space="preserve"> </w:t>
      </w:r>
    </w:p>
    <w:p w:rsidR="00FA2142" w:rsidRPr="00FA2142" w:rsidRDefault="00FA2142" w:rsidP="00FA2142">
      <w:r w:rsidRPr="00FA2142">
        <w:t xml:space="preserve">Jedním z nejdůležitějších úkolů vedení AV ČR a pracovišť AV ČR je trvalý důraz na zvyšování kvality vědecké a odborné činnosti, zapojování pracovišť do mezinárodní vědecké činnosti a kvalitní naplňování dalších funkcí AV ČR daných příslušnými legislativními předpisy. Ke zjištění úrovně řešení tohoto úkolu organizuje vedení AV ČR pravidelné hodnocení svých pracovišť od počátku existence AV ČR v roce 1993. Tato hodnocení slouží také k diferencovanému institucionálnímu financování pracovišť AV ČR. </w:t>
      </w:r>
    </w:p>
    <w:p w:rsidR="00FA2142" w:rsidRPr="00FA2142" w:rsidRDefault="00FA2142" w:rsidP="00FA2142">
      <w:r w:rsidRPr="00FA2142">
        <w:t>O provedení hodnocení výzkumné a odborné činnosti pracovišť AV ČR za léta 2010–2014 rozhodla Akademická rada AV ČR dne 6. října 2014 po široké diskusi, včetně diskuse na půdě Vědecké rady AV ČR.</w:t>
      </w:r>
    </w:p>
    <w:p w:rsidR="00FA2142" w:rsidRPr="00C852F0" w:rsidRDefault="00FA2142" w:rsidP="005F5E18">
      <w:pPr>
        <w:pStyle w:val="Nadpis2"/>
        <w:ind w:left="567"/>
      </w:pPr>
      <w:bookmarkStart w:id="310" w:name="_Toc462064514"/>
      <w:r w:rsidRPr="00C852F0">
        <w:t>Cíle hodnocení</w:t>
      </w:r>
      <w:bookmarkEnd w:id="310"/>
      <w:r w:rsidRPr="00C852F0">
        <w:t xml:space="preserve"> </w:t>
      </w:r>
    </w:p>
    <w:p w:rsidR="00FA2142" w:rsidRPr="00FA2142" w:rsidRDefault="00FA2142" w:rsidP="00FA2142">
      <w:r w:rsidRPr="00FA2142">
        <w:t xml:space="preserve">Akademická rada AV ČR stanovila tři hlavní cíle tohoto hodnocení: </w:t>
      </w:r>
    </w:p>
    <w:p w:rsidR="00FA2142" w:rsidRPr="00FA2142" w:rsidRDefault="00FA2142" w:rsidP="00FA2142">
      <w:r w:rsidRPr="00FA2142">
        <w:t xml:space="preserve">1. Získání kvalitativních a kvantitativních informací o postavení vědy v AV ČR v období 2010–2014 v národním, evropském a světovém kontextu. </w:t>
      </w:r>
    </w:p>
    <w:p w:rsidR="00FA2142" w:rsidRPr="00FA2142" w:rsidRDefault="00FA2142" w:rsidP="00FA2142">
      <w:r w:rsidRPr="00FA2142">
        <w:t xml:space="preserve">2. Získání informací pro strategické řízení AV ČR jako celku, včetně financování pracovišť jako jednoho z dílčích aspektů řízení. </w:t>
      </w:r>
    </w:p>
    <w:p w:rsidR="00FA2142" w:rsidRPr="00FA2142" w:rsidRDefault="00FA2142" w:rsidP="00FA2142">
      <w:r w:rsidRPr="00FA2142">
        <w:t xml:space="preserve">3. Zprostředkování nezávislého a srovnatelného hodnocení a zpětné vazby pro řízení jednotlivých pracovišť AV ČR a týmů. </w:t>
      </w:r>
    </w:p>
    <w:p w:rsidR="00FA2142" w:rsidRPr="00C852F0" w:rsidRDefault="00FA2142" w:rsidP="005F5E18">
      <w:pPr>
        <w:pStyle w:val="Nadpis2"/>
        <w:ind w:left="567"/>
      </w:pPr>
      <w:bookmarkStart w:id="311" w:name="_Toc462064515"/>
      <w:r w:rsidRPr="00C852F0">
        <w:t>Principy, obsah a hodnotící procesy</w:t>
      </w:r>
      <w:bookmarkEnd w:id="311"/>
      <w:r w:rsidRPr="00C852F0">
        <w:t xml:space="preserve"> </w:t>
      </w:r>
    </w:p>
    <w:p w:rsidR="00FA2142" w:rsidRPr="00FA2142" w:rsidRDefault="00FA2142" w:rsidP="00FA2142">
      <w:r w:rsidRPr="00FA2142">
        <w:t>Náležitosti hodnocení jsou upraveny v aktuálně platném dokumentu „Základní principy Hodnocení výzkumné a odborné činnosti pracovišť AV ČR za léta 2010–2014“ schvalovaným Akademickou radou AVČR.</w:t>
      </w:r>
    </w:p>
    <w:p w:rsidR="00FA2142" w:rsidRPr="00FA2142" w:rsidRDefault="00FA2142" w:rsidP="00FA2142">
      <w:r w:rsidRPr="00FA2142">
        <w:t>Hodnocení prováděné v souladu s těmito principy plně vyhovuje minimálním standardům hodnocení všech modulů požadovaných pro hodnocení pro II. úroveň řízení. Je naopak rozpracováno do detailu, nutného pro III. úroveň řízení, když poskytuje strukturované informace až pro úroveň týmů jednotlivých VO.</w:t>
      </w:r>
    </w:p>
    <w:p w:rsidR="00FA2142" w:rsidRPr="00FA2142" w:rsidRDefault="00FA2142" w:rsidP="005F5E18">
      <w:pPr>
        <w:pStyle w:val="Nadpis2"/>
        <w:ind w:left="567"/>
      </w:pPr>
      <w:bookmarkStart w:id="312" w:name="_Toc462064516"/>
      <w:r w:rsidRPr="00FA2142">
        <w:t>Budoucí vývoj</w:t>
      </w:r>
      <w:bookmarkEnd w:id="312"/>
    </w:p>
    <w:p w:rsidR="00FA2142" w:rsidRPr="00FA2142" w:rsidRDefault="00FA2142" w:rsidP="00FA2142">
      <w:r w:rsidRPr="00FA2142">
        <w:t>Je diskutováno užší propojení hodnocení z úrovně RVVI/Sekce VVI s hodnocením na úrovni AVČR, sdílení informací, spolupráce při zpracování dat</w:t>
      </w:r>
      <w:r w:rsidR="00120B2F">
        <w:t xml:space="preserve"> (otázka využití informačního systému ASEP pro </w:t>
      </w:r>
      <w:r w:rsidR="00120B2F">
        <w:lastRenderedPageBreak/>
        <w:t>hodnocení v rámci Metodiky 17+)</w:t>
      </w:r>
      <w:r w:rsidRPr="00FA2142">
        <w:t xml:space="preserve">, míra přiměřeného využívání závěrů hodnocení až po případnou možnost aktivní spoluúčasti v hodnotících procesech.  </w:t>
      </w:r>
    </w:p>
    <w:p w:rsidR="00FA2142" w:rsidRPr="00FA2142" w:rsidRDefault="00FA2142" w:rsidP="00FA2142">
      <w:r w:rsidRPr="00FA2142">
        <w:t>Po dobu platnosti zákona 130/2002 Sb. v aktuálním změní předepisujícího povinnost každoročního hodnocení výsledků všech VO je vyžadována účast AVČR v modulu M1, tak jak je specifikován v příslušných částech tohoto materiálu.</w:t>
      </w:r>
    </w:p>
    <w:p w:rsidR="00FA2142" w:rsidRPr="00FA2142" w:rsidRDefault="00FA2142" w:rsidP="00FA2142">
      <w:r w:rsidRPr="00FA2142">
        <w:t>Další kolo komplexního hodnocení je AVČR plánováno pro rok 2020 resp. 2021. Pro lepší koordinaci systému je jeho využití, resp. doplnění o modul M1 na úrovni RVVI navrhováno v roce 2021 – viz tabulka Náběh hodnocení AVČR.</w:t>
      </w:r>
    </w:p>
    <w:p w:rsidR="00B035A6" w:rsidRDefault="00B035A6" w:rsidP="00FA2142">
      <w:pPr>
        <w:rPr>
          <w:bCs/>
        </w:rPr>
      </w:pPr>
    </w:p>
    <w:p w:rsidR="00120B2F" w:rsidRDefault="00120B2F" w:rsidP="00FA2142">
      <w:pPr>
        <w:rPr>
          <w:bCs/>
        </w:rPr>
        <w:sectPr w:rsidR="00120B2F" w:rsidSect="00997F9C">
          <w:pgSz w:w="11906" w:h="16838" w:code="9"/>
          <w:pgMar w:top="1418" w:right="1418" w:bottom="1418" w:left="1418" w:header="510" w:footer="397" w:gutter="0"/>
          <w:cols w:space="708"/>
          <w:docGrid w:linePitch="299"/>
        </w:sectPr>
      </w:pPr>
    </w:p>
    <w:p w:rsidR="00120B2F" w:rsidRDefault="00931170" w:rsidP="00F90919">
      <w:r>
        <w:rPr>
          <w:b/>
        </w:rPr>
        <w:lastRenderedPageBreak/>
        <w:t xml:space="preserve">Schéma 4: </w:t>
      </w:r>
      <w:r w:rsidR="00120B2F" w:rsidRPr="00FE10BD">
        <w:t>Harmonogram – AV ČR</w:t>
      </w:r>
    </w:p>
    <w:tbl>
      <w:tblPr>
        <w:tblStyle w:val="Mkatabulky"/>
        <w:tblW w:w="14639" w:type="dxa"/>
        <w:jc w:val="center"/>
        <w:tblCellMar>
          <w:left w:w="57" w:type="dxa"/>
          <w:right w:w="57" w:type="dxa"/>
        </w:tblCellMar>
        <w:tblLook w:val="04A0" w:firstRow="1" w:lastRow="0" w:firstColumn="1" w:lastColumn="0" w:noHBand="0" w:noVBand="1"/>
      </w:tblPr>
      <w:tblGrid>
        <w:gridCol w:w="464"/>
        <w:gridCol w:w="1415"/>
        <w:gridCol w:w="1416"/>
        <w:gridCol w:w="1418"/>
        <w:gridCol w:w="1418"/>
        <w:gridCol w:w="1418"/>
        <w:gridCol w:w="1417"/>
        <w:gridCol w:w="1418"/>
        <w:gridCol w:w="1418"/>
        <w:gridCol w:w="1417"/>
        <w:gridCol w:w="1420"/>
      </w:tblGrid>
      <w:tr w:rsidR="00120B2F" w:rsidTr="009C6C43">
        <w:trPr>
          <w:trHeight w:val="347"/>
          <w:jc w:val="center"/>
        </w:trPr>
        <w:tc>
          <w:tcPr>
            <w:tcW w:w="464" w:type="dxa"/>
            <w:tcBorders>
              <w:top w:val="nil"/>
              <w:left w:val="nil"/>
              <w:bottom w:val="nil"/>
              <w:right w:val="single" w:sz="18" w:space="0" w:color="8DB3E2" w:themeColor="text2" w:themeTint="66"/>
            </w:tcBorders>
            <w:shd w:val="clear" w:color="auto" w:fill="FFFFFF" w:themeFill="background1"/>
          </w:tcPr>
          <w:p w:rsidR="00120B2F" w:rsidRPr="005F24D6" w:rsidRDefault="00120B2F" w:rsidP="009C6C43">
            <w:pPr>
              <w:jc w:val="center"/>
              <w:rPr>
                <w:b/>
                <w:color w:val="FFFFFF" w:themeColor="background1"/>
              </w:rPr>
            </w:pPr>
          </w:p>
        </w:tc>
        <w:tc>
          <w:tcPr>
            <w:tcW w:w="1415"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2017</w:t>
            </w:r>
          </w:p>
        </w:tc>
        <w:tc>
          <w:tcPr>
            <w:tcW w:w="1416"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2018</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2019</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2020</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2021</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2022</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2023</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2024</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sidRPr="005F24D6">
              <w:rPr>
                <w:b/>
                <w:color w:val="FFFFFF" w:themeColor="background1"/>
              </w:rPr>
              <w:t>2025</w:t>
            </w: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548DD4" w:themeFill="text2" w:themeFillTint="99"/>
            <w:vAlign w:val="center"/>
          </w:tcPr>
          <w:p w:rsidR="00120B2F" w:rsidRPr="005F24D6" w:rsidRDefault="00120B2F" w:rsidP="009C6C43">
            <w:pPr>
              <w:jc w:val="center"/>
              <w:rPr>
                <w:b/>
                <w:color w:val="FFFFFF" w:themeColor="background1"/>
              </w:rPr>
            </w:pPr>
            <w:r>
              <w:rPr>
                <w:b/>
                <w:color w:val="FFFFFF" w:themeColor="background1"/>
              </w:rPr>
              <w:t>2026</w:t>
            </w:r>
          </w:p>
        </w:tc>
      </w:tr>
      <w:tr w:rsidR="00120B2F" w:rsidTr="009C6C43">
        <w:trPr>
          <w:trHeight w:val="126"/>
          <w:jc w:val="center"/>
        </w:trPr>
        <w:tc>
          <w:tcPr>
            <w:tcW w:w="464" w:type="dxa"/>
            <w:vMerge w:val="restart"/>
            <w:tcBorders>
              <w:top w:val="nil"/>
              <w:left w:val="nil"/>
              <w:bottom w:val="single" w:sz="18" w:space="0" w:color="8DB3E2" w:themeColor="text2" w:themeTint="66"/>
              <w:right w:val="nil"/>
            </w:tcBorders>
            <w:textDirection w:val="btLr"/>
          </w:tcPr>
          <w:p w:rsidR="00120B2F" w:rsidRPr="001D538F" w:rsidRDefault="00CC39F2" w:rsidP="009C6C43">
            <w:pPr>
              <w:ind w:left="113" w:right="113"/>
              <w:jc w:val="center"/>
              <w:rPr>
                <w:sz w:val="18"/>
                <w:szCs w:val="18"/>
              </w:rPr>
            </w:pPr>
            <w:r>
              <w:rPr>
                <w:noProof/>
                <w:sz w:val="18"/>
                <w:szCs w:val="18"/>
              </w:rPr>
              <mc:AlternateContent>
                <mc:Choice Requires="wps">
                  <w:drawing>
                    <wp:anchor distT="4294967295" distB="4294967295" distL="114300" distR="114300" simplePos="0" relativeHeight="251665408" behindDoc="0" locked="0" layoutInCell="1" allowOverlap="1" wp14:anchorId="6E548512" wp14:editId="3B820803">
                      <wp:simplePos x="0" y="0"/>
                      <wp:positionH relativeFrom="column">
                        <wp:posOffset>-71120</wp:posOffset>
                      </wp:positionH>
                      <wp:positionV relativeFrom="paragraph">
                        <wp:posOffset>9352279</wp:posOffset>
                      </wp:positionV>
                      <wp:extent cx="9264650" cy="0"/>
                      <wp:effectExtent l="0" t="0" r="12700" b="19050"/>
                      <wp:wrapNone/>
                      <wp:docPr id="8" name="Přímá spojnic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64650" cy="0"/>
                              </a:xfrm>
                              <a:prstGeom prst="line">
                                <a:avLst/>
                              </a:prstGeom>
                              <a:ln w="15875" cmpd="sng">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8"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6pt,736.4pt" to="723.9pt,7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Jec7AEAABsEAAAOAAAAZHJzL2Uyb0RvYy54bWysU9uO0zAQfUfiHyy/06QVLSVqug9bwcsK&#10;Knb5AK9jNwbf5DFN8ik88gF8xYr/Yuw04SohEC9W7JlzZs6Zye6qN5qcRQDlbE2Xi5ISYblrlD3V&#10;9O3diydbSiAy2zDtrKjpIIBe7R8/2nW+EivXOt2IQJDEQtX5mrYx+qoogLfCMFg4LywGpQuGRbyG&#10;U9EE1iG70cWqLDdF50Ljg+MCAF8PY5DuM7+UgsfXUoKIRNcUe4v5DPm8T2ex37HqFJhvFb+0wf6h&#10;C8OUxaIz1YFFRj4E9QuVUTw4cDIuuDOFk1JxkTWgmmX5k5rblnmRtaA54Geb4P/R8lfnYyCqqSkO&#10;yjKDIzp++fjw2Tx8IuDdO4v9kW2yqfNQYfa1PYYklPf21t84/h4wVvwQTBfwY1ovg0npqJT02fZh&#10;tl30kXB8fL7aPN2scTp8ihWsmoA+QHwpnCHpo6Za2eQIq9j5BmIqzaopJT1rSzrcw/X22Rr5jEdh&#10;YE8ZkdIODFpyZrgMMEC6JGVIoe1FxNh3VhAHLUbKN0KiRdjpMhPl5RTXOoxMjHNh43JmwuwEk0rr&#10;GVj+GXjJT1CRF/dvwDMiV3Y2zmCjrAu/qx77qWU55k8OjLqTBfeuGY5hmi9uYPbq8rekFf/+nuHf&#10;/un9VwAAAP//AwBQSwMEFAAGAAgAAAAhAOkYiZveAAAADgEAAA8AAABkcnMvZG93bnJldi54bWxM&#10;j8FqwzAQRO+F/IPYQi8lkW1MU1zLIST0XJqG0KNirSUTSzKWnNh/382htLfdnWH2TbmZbMeuOITW&#10;OwHpKgGGrvaqdVrA8et9+QosROmU7LxDATMG2FSLh1IWyt/cJ14PUTMKcaGQAkyMfcF5qA1aGVa+&#10;R0da4wcrI62D5mqQNwq3Hc+S5IVb2Tr6YGSPO4P15TBaSjmOjXnezh+xa0/fjcbdXl9mIZ4ep+0b&#10;sIhT/DPDHZ/QoSKmsx+dCqwTsEzTjKwk5OuMStwteb6m6fx741XJ/9eofgAAAP//AwBQSwECLQAU&#10;AAYACAAAACEAtoM4kv4AAADhAQAAEwAAAAAAAAAAAAAAAAAAAAAAW0NvbnRlbnRfVHlwZXNdLnht&#10;bFBLAQItABQABgAIAAAAIQA4/SH/1gAAAJQBAAALAAAAAAAAAAAAAAAAAC8BAABfcmVscy8ucmVs&#10;c1BLAQItABQABgAIAAAAIQA8ZJec7AEAABsEAAAOAAAAAAAAAAAAAAAAAC4CAABkcnMvZTJvRG9j&#10;LnhtbFBLAQItABQABgAIAAAAIQDpGImb3gAAAA4BAAAPAAAAAAAAAAAAAAAAAEYEAABkcnMvZG93&#10;bnJldi54bWxQSwUGAAAAAAQABADzAAAAUQUAAAAA&#10;" strokecolor="#4579b8 [3044]" strokeweight="1.25pt">
                      <v:stroke dashstyle="3 1"/>
                      <o:lock v:ext="edit" shapetype="f"/>
                    </v:line>
                  </w:pict>
                </mc:Fallback>
              </mc:AlternateContent>
            </w:r>
            <w:r w:rsidR="00120B2F" w:rsidRPr="001D538F">
              <w:rPr>
                <w:sz w:val="18"/>
                <w:szCs w:val="18"/>
              </w:rPr>
              <w:t xml:space="preserve">RVVI/Sekce </w:t>
            </w:r>
          </w:p>
        </w:tc>
        <w:tc>
          <w:tcPr>
            <w:tcW w:w="12755" w:type="dxa"/>
            <w:gridSpan w:val="9"/>
            <w:tcBorders>
              <w:top w:val="single" w:sz="18" w:space="0" w:color="8DB3E2" w:themeColor="text2" w:themeTint="66"/>
              <w:left w:val="nil"/>
              <w:bottom w:val="nil"/>
              <w:right w:val="nil"/>
            </w:tcBorders>
            <w:vAlign w:val="center"/>
          </w:tcPr>
          <w:p w:rsidR="00120B2F" w:rsidRPr="001D538F" w:rsidRDefault="00120B2F" w:rsidP="009C6C43">
            <w:pPr>
              <w:jc w:val="center"/>
              <w:rPr>
                <w:sz w:val="18"/>
                <w:szCs w:val="18"/>
              </w:rPr>
            </w:pPr>
          </w:p>
        </w:tc>
        <w:tc>
          <w:tcPr>
            <w:tcW w:w="1420" w:type="dxa"/>
            <w:tcBorders>
              <w:top w:val="single" w:sz="18" w:space="0" w:color="8DB3E2" w:themeColor="text2" w:themeTint="66"/>
              <w:left w:val="nil"/>
              <w:bottom w:val="single" w:sz="18" w:space="0" w:color="8DB3E2" w:themeColor="text2" w:themeTint="66"/>
              <w:right w:val="nil"/>
            </w:tcBorders>
          </w:tcPr>
          <w:p w:rsidR="00120B2F" w:rsidRPr="001D538F" w:rsidRDefault="00120B2F" w:rsidP="009C6C43">
            <w:pPr>
              <w:jc w:val="center"/>
              <w:rPr>
                <w:sz w:val="18"/>
                <w:szCs w:val="18"/>
              </w:rPr>
            </w:pPr>
          </w:p>
        </w:tc>
      </w:tr>
      <w:tr w:rsidR="00120B2F" w:rsidTr="009C6C43">
        <w:trPr>
          <w:cantSplit/>
          <w:trHeight w:val="731"/>
          <w:jc w:val="center"/>
        </w:trPr>
        <w:tc>
          <w:tcPr>
            <w:tcW w:w="464" w:type="dxa"/>
            <w:vMerge/>
            <w:tcBorders>
              <w:left w:val="nil"/>
              <w:bottom w:val="single" w:sz="18" w:space="0" w:color="8DB3E2" w:themeColor="text2" w:themeTint="66"/>
              <w:right w:val="single" w:sz="18" w:space="0" w:color="8DB3E2" w:themeColor="text2" w:themeTint="66"/>
            </w:tcBorders>
            <w:shd w:val="clear" w:color="auto" w:fill="DAEEF3" w:themeFill="accent5" w:themeFillTint="33"/>
            <w:textDirection w:val="btLr"/>
          </w:tcPr>
          <w:p w:rsidR="00120B2F" w:rsidRPr="006F26B8" w:rsidRDefault="00120B2F" w:rsidP="009C6C43">
            <w:pPr>
              <w:ind w:left="113" w:right="113"/>
              <w:jc w:val="center"/>
              <w:rPr>
                <w:sz w:val="18"/>
                <w:szCs w:val="18"/>
              </w:rPr>
            </w:pPr>
          </w:p>
        </w:tc>
        <w:tc>
          <w:tcPr>
            <w:tcW w:w="1415"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6"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17" w:type="dxa"/>
            <w:tcBorders>
              <w:top w:val="single" w:sz="18" w:space="0" w:color="8DB3E2" w:themeColor="text2" w:themeTint="66"/>
              <w:left w:val="single" w:sz="18" w:space="0" w:color="8DB3E2" w:themeColor="text2" w:themeTint="66"/>
              <w:bottom w:val="single" w:sz="18" w:space="0" w:color="8DB3E2" w:themeColor="text2" w:themeTint="66"/>
              <w:right w:val="nil"/>
            </w:tcBorders>
            <w:shd w:val="clear" w:color="auto" w:fill="DAEEF3" w:themeFill="accent5" w:themeFillTint="33"/>
            <w:vAlign w:val="center"/>
          </w:tcPr>
          <w:p w:rsidR="00120B2F" w:rsidRPr="006F26B8" w:rsidRDefault="00120B2F" w:rsidP="009C6C43">
            <w:pPr>
              <w:jc w:val="center"/>
              <w:rPr>
                <w:sz w:val="18"/>
                <w:szCs w:val="18"/>
              </w:rPr>
            </w:pPr>
            <w:r w:rsidRPr="006F26B8">
              <w:rPr>
                <w:sz w:val="18"/>
                <w:szCs w:val="18"/>
              </w:rPr>
              <w:t>M1</w:t>
            </w:r>
          </w:p>
          <w:p w:rsidR="00120B2F" w:rsidRDefault="00120B2F" w:rsidP="009C6C43">
            <w:pPr>
              <w:jc w:val="center"/>
            </w:pPr>
            <w:r w:rsidRPr="006F26B8">
              <w:rPr>
                <w:sz w:val="18"/>
                <w:szCs w:val="18"/>
              </w:rPr>
              <w:t>Kvalita vybraných výsledků</w:t>
            </w: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AEEF3" w:themeFill="accent5" w:themeFillTint="33"/>
          </w:tcPr>
          <w:p w:rsidR="00120B2F" w:rsidRPr="006F26B8" w:rsidRDefault="00120B2F" w:rsidP="009C6C43">
            <w:pPr>
              <w:jc w:val="center"/>
              <w:rPr>
                <w:sz w:val="18"/>
                <w:szCs w:val="18"/>
              </w:rPr>
            </w:pPr>
            <w:r w:rsidRPr="006F26B8">
              <w:rPr>
                <w:sz w:val="18"/>
                <w:szCs w:val="18"/>
              </w:rPr>
              <w:t>M1</w:t>
            </w:r>
          </w:p>
          <w:p w:rsidR="00120B2F" w:rsidRPr="006F26B8" w:rsidRDefault="00120B2F" w:rsidP="009C6C43">
            <w:pPr>
              <w:jc w:val="center"/>
              <w:rPr>
                <w:sz w:val="18"/>
                <w:szCs w:val="18"/>
              </w:rPr>
            </w:pPr>
            <w:r w:rsidRPr="006F26B8">
              <w:rPr>
                <w:sz w:val="18"/>
                <w:szCs w:val="18"/>
              </w:rPr>
              <w:t>Kvalita vybraných výsledků</w:t>
            </w:r>
          </w:p>
        </w:tc>
      </w:tr>
      <w:tr w:rsidR="00120B2F" w:rsidTr="009C6C43">
        <w:trPr>
          <w:cantSplit/>
          <w:trHeight w:val="245"/>
          <w:jc w:val="center"/>
        </w:trPr>
        <w:tc>
          <w:tcPr>
            <w:tcW w:w="464" w:type="dxa"/>
            <w:vMerge/>
            <w:tcBorders>
              <w:left w:val="nil"/>
              <w:bottom w:val="nil"/>
              <w:right w:val="nil"/>
            </w:tcBorders>
            <w:shd w:val="clear" w:color="auto" w:fill="DAEEF3" w:themeFill="accent5" w:themeFillTint="33"/>
            <w:textDirection w:val="btLr"/>
          </w:tcPr>
          <w:p w:rsidR="00120B2F" w:rsidRPr="006F26B8" w:rsidRDefault="00120B2F" w:rsidP="009C6C43">
            <w:pPr>
              <w:ind w:left="113" w:right="113"/>
              <w:jc w:val="center"/>
              <w:rPr>
                <w:sz w:val="18"/>
                <w:szCs w:val="18"/>
              </w:rPr>
            </w:pPr>
          </w:p>
        </w:tc>
        <w:tc>
          <w:tcPr>
            <w:tcW w:w="14175" w:type="dxa"/>
            <w:gridSpan w:val="10"/>
            <w:vMerge w:val="restart"/>
            <w:tcBorders>
              <w:top w:val="single" w:sz="18" w:space="0" w:color="8DB3E2" w:themeColor="text2" w:themeTint="66"/>
              <w:left w:val="nil"/>
              <w:right w:val="nil"/>
            </w:tcBorders>
            <w:shd w:val="clear" w:color="auto" w:fill="auto"/>
            <w:vAlign w:val="center"/>
          </w:tcPr>
          <w:p w:rsidR="00120B2F" w:rsidRPr="00343B88" w:rsidRDefault="00120B2F" w:rsidP="009C6C43">
            <w:pPr>
              <w:jc w:val="center"/>
              <w:rPr>
                <w:sz w:val="10"/>
                <w:szCs w:val="10"/>
              </w:rPr>
            </w:pPr>
          </w:p>
        </w:tc>
      </w:tr>
      <w:tr w:rsidR="00120B2F" w:rsidTr="009C6C43">
        <w:trPr>
          <w:trHeight w:val="64"/>
          <w:jc w:val="center"/>
        </w:trPr>
        <w:tc>
          <w:tcPr>
            <w:tcW w:w="464" w:type="dxa"/>
            <w:tcBorders>
              <w:top w:val="nil"/>
              <w:left w:val="nil"/>
              <w:bottom w:val="nil"/>
              <w:right w:val="nil"/>
            </w:tcBorders>
          </w:tcPr>
          <w:p w:rsidR="00120B2F" w:rsidRPr="001D538F" w:rsidRDefault="00CC39F2" w:rsidP="009C6C43">
            <w:pPr>
              <w:jc w:val="center"/>
              <w:rPr>
                <w:noProof/>
                <w:sz w:val="18"/>
                <w:szCs w:val="18"/>
              </w:rPr>
            </w:pPr>
            <w:r>
              <w:rPr>
                <w:noProof/>
                <w:sz w:val="18"/>
                <w:szCs w:val="18"/>
              </w:rPr>
              <mc:AlternateContent>
                <mc:Choice Requires="wps">
                  <w:drawing>
                    <wp:anchor distT="4294967295" distB="4294967295" distL="114300" distR="114300" simplePos="0" relativeHeight="251666432" behindDoc="0" locked="0" layoutInCell="1" allowOverlap="1" wp14:anchorId="067A3A54" wp14:editId="1A1C56D3">
                      <wp:simplePos x="0" y="0"/>
                      <wp:positionH relativeFrom="column">
                        <wp:posOffset>-52705</wp:posOffset>
                      </wp:positionH>
                      <wp:positionV relativeFrom="paragraph">
                        <wp:posOffset>-636</wp:posOffset>
                      </wp:positionV>
                      <wp:extent cx="9359900" cy="0"/>
                      <wp:effectExtent l="0" t="0" r="12700" b="19050"/>
                      <wp:wrapNone/>
                      <wp:docPr id="9" name="Přímá spojnic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59900" cy="0"/>
                              </a:xfrm>
                              <a:prstGeom prst="line">
                                <a:avLst/>
                              </a:prstGeom>
                              <a:noFill/>
                              <a:ln w="15875" cap="flat" cmpd="sng" algn="ctr">
                                <a:solidFill>
                                  <a:srgbClr val="4F81BD">
                                    <a:shade val="95000"/>
                                    <a:satMod val="105000"/>
                                  </a:srgbClr>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id="Přímá spojnice 9"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15pt,-.05pt" to="732.8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CPu7QEAALQDAAAOAAAAZHJzL2Uyb0RvYy54bWysU8uO0zAU3SPxD5b3NOlAoYmajsRUZTNA&#10;pYEPuHWcB/glX9Okn8KSD+ArRvNfXDtth4EdYhP5vo7PuT5ZXY9asYP02FtT8fks50waYevetBX/&#10;/Gn7YskZBjA1KGtkxY8S+fX6+bPV4Ep5ZTuraukZgRgsB1fxLgRXZhmKTmrAmXXSULGxXkOg0LdZ&#10;7WEgdK2yqzx/nQ3W185bIREpu5mKfJ3wm0aK8LFpUAamKk7cQvr69N3Hb7ZeQdl6cF0vTjTgH1ho&#10;6A1deoHaQAD2zfd/QeleeIu2CTNhdWabphcyaSA18/wPNXcdOJm00HLQXdaE/w9WfDjsPOvrihec&#10;GdD0RLuH7/c/9f0Phs5+McSPFXFNg8OSum/MzkehYjR37taKr0i17EkxBuimtrHxOraTUjamtR8v&#10;a5djYIKSxctFUeT0OuJcy6A8DzqP4Z20msVDxVVv4kaghMMthng1lOeWmDZ22yuVXlUZNpAlF8s3&#10;C4IGMlejINBRO5KLpuUMVEuuFcEnSLSqr+N4BELf7m+UZwcg57zaLudvN1NTB7WcssUiJ9bpLoTw&#10;3tZTep6f88TtBJN4PsGPpDeA3TSDR4xBBKMhZSIDmex7Uvm403ja2/q487E5RmSNNHaycfTe73Hq&#10;evzZ1r8AAAD//wMAUEsDBBQABgAIAAAAIQCQPKWo3gAAAAcBAAAPAAAAZHJzL2Rvd25yZXYueG1s&#10;TI7BTsMwEETvSPyDtUjcWqdA2hLiVIAERBUX2kqImxsvcUS8jmI3DX/PlgucRjszmn35anStGLAP&#10;jScFs2kCAqnypqFawW77NFmCCFGT0a0nVPCNAVbF+VmuM+OP9IbDJtaCRyhkWoGNscukDJVFp8PU&#10;d0icffre6chnX0vT6yOPu1ZeJclcOt0Qf7C6w0eL1dfm4BR87Nbv+Ppw26WlfRmem6Ss12mp1OXF&#10;eH8HIuIY/8pwwmd0KJhp7w9kgmgVTJbX3GSdgTjFN/N0AWL/a8gil//5ix8AAAD//wMAUEsBAi0A&#10;FAAGAAgAAAAhALaDOJL+AAAA4QEAABMAAAAAAAAAAAAAAAAAAAAAAFtDb250ZW50X1R5cGVzXS54&#10;bWxQSwECLQAUAAYACAAAACEAOP0h/9YAAACUAQAACwAAAAAAAAAAAAAAAAAvAQAAX3JlbHMvLnJl&#10;bHNQSwECLQAUAAYACAAAACEA5KQj7u0BAAC0AwAADgAAAAAAAAAAAAAAAAAuAgAAZHJzL2Uyb0Rv&#10;Yy54bWxQSwECLQAUAAYACAAAACEAkDylqN4AAAAHAQAADwAAAAAAAAAAAAAAAABHBAAAZHJzL2Rv&#10;d25yZXYueG1sUEsFBgAAAAAEAAQA8wAAAFIFAAAAAA==&#10;" strokecolor="#4a7ebb" strokeweight="1.25pt">
                      <v:stroke dashstyle="3 1"/>
                      <o:lock v:ext="edit" shapetype="f"/>
                    </v:line>
                  </w:pict>
                </mc:Fallback>
              </mc:AlternateContent>
            </w:r>
          </w:p>
        </w:tc>
        <w:tc>
          <w:tcPr>
            <w:tcW w:w="14175" w:type="dxa"/>
            <w:gridSpan w:val="10"/>
            <w:vMerge/>
            <w:tcBorders>
              <w:left w:val="nil"/>
              <w:bottom w:val="nil"/>
              <w:right w:val="nil"/>
            </w:tcBorders>
            <w:vAlign w:val="center"/>
          </w:tcPr>
          <w:p w:rsidR="00120B2F" w:rsidRPr="001D538F" w:rsidRDefault="00120B2F" w:rsidP="009C6C43">
            <w:pPr>
              <w:jc w:val="center"/>
              <w:rPr>
                <w:b/>
                <w:sz w:val="18"/>
                <w:szCs w:val="18"/>
              </w:rPr>
            </w:pPr>
          </w:p>
        </w:tc>
      </w:tr>
      <w:tr w:rsidR="00120B2F" w:rsidTr="009C6C43">
        <w:trPr>
          <w:trHeight w:val="833"/>
          <w:jc w:val="center"/>
        </w:trPr>
        <w:tc>
          <w:tcPr>
            <w:tcW w:w="464" w:type="dxa"/>
            <w:vMerge w:val="restart"/>
            <w:tcBorders>
              <w:top w:val="nil"/>
              <w:left w:val="nil"/>
              <w:right w:val="nil"/>
            </w:tcBorders>
            <w:textDirection w:val="btLr"/>
          </w:tcPr>
          <w:p w:rsidR="00120B2F" w:rsidRPr="001D538F" w:rsidRDefault="00120B2F" w:rsidP="009C6C43">
            <w:pPr>
              <w:ind w:left="113" w:right="113"/>
              <w:jc w:val="center"/>
              <w:rPr>
                <w:noProof/>
                <w:sz w:val="18"/>
                <w:szCs w:val="18"/>
              </w:rPr>
            </w:pPr>
            <w:r w:rsidRPr="001D538F">
              <w:rPr>
                <w:sz w:val="18"/>
                <w:szCs w:val="18"/>
              </w:rPr>
              <w:t xml:space="preserve">Hodnocení na úrovni </w:t>
            </w:r>
            <w:r>
              <w:rPr>
                <w:sz w:val="18"/>
                <w:szCs w:val="18"/>
              </w:rPr>
              <w:t xml:space="preserve">AV ČR </w:t>
            </w:r>
          </w:p>
        </w:tc>
        <w:tc>
          <w:tcPr>
            <w:tcW w:w="1415" w:type="dxa"/>
            <w:tcBorders>
              <w:top w:val="nil"/>
              <w:left w:val="nil"/>
              <w:bottom w:val="nil"/>
              <w:right w:val="nil"/>
            </w:tcBorders>
            <w:vAlign w:val="center"/>
          </w:tcPr>
          <w:p w:rsidR="00120B2F" w:rsidRPr="001D538F" w:rsidRDefault="00120B2F" w:rsidP="009C6C43">
            <w:pPr>
              <w:jc w:val="center"/>
              <w:rPr>
                <w:b/>
                <w:sz w:val="18"/>
                <w:szCs w:val="18"/>
              </w:rPr>
            </w:pPr>
          </w:p>
        </w:tc>
        <w:tc>
          <w:tcPr>
            <w:tcW w:w="1416" w:type="dxa"/>
            <w:tcBorders>
              <w:top w:val="nil"/>
              <w:left w:val="nil"/>
              <w:bottom w:val="nil"/>
              <w:right w:val="nil"/>
            </w:tcBorders>
            <w:shd w:val="clear" w:color="auto" w:fill="FFFFFF" w:themeFill="background1"/>
            <w:vAlign w:val="center"/>
          </w:tcPr>
          <w:p w:rsidR="00120B2F" w:rsidRPr="001D538F" w:rsidRDefault="00120B2F" w:rsidP="009C6C43">
            <w:pPr>
              <w:jc w:val="center"/>
              <w:rPr>
                <w:b/>
                <w:sz w:val="18"/>
                <w:szCs w:val="18"/>
              </w:rPr>
            </w:pPr>
          </w:p>
        </w:tc>
        <w:tc>
          <w:tcPr>
            <w:tcW w:w="1418" w:type="dxa"/>
            <w:tcBorders>
              <w:top w:val="nil"/>
              <w:left w:val="nil"/>
              <w:bottom w:val="nil"/>
              <w:right w:val="nil"/>
            </w:tcBorders>
            <w:vAlign w:val="center"/>
          </w:tcPr>
          <w:p w:rsidR="00120B2F" w:rsidRPr="001D538F" w:rsidRDefault="00120B2F" w:rsidP="009C6C43">
            <w:pPr>
              <w:jc w:val="center"/>
              <w:rPr>
                <w:b/>
                <w:sz w:val="18"/>
                <w:szCs w:val="18"/>
              </w:rPr>
            </w:pPr>
          </w:p>
        </w:tc>
        <w:tc>
          <w:tcPr>
            <w:tcW w:w="1418" w:type="dxa"/>
            <w:tcBorders>
              <w:top w:val="nil"/>
              <w:left w:val="nil"/>
              <w:bottom w:val="nil"/>
              <w:right w:val="single" w:sz="18" w:space="0" w:color="8DB3E2" w:themeColor="text2" w:themeTint="66"/>
            </w:tcBorders>
            <w:vAlign w:val="center"/>
          </w:tcPr>
          <w:p w:rsidR="00120B2F" w:rsidRPr="001D538F" w:rsidRDefault="00120B2F" w:rsidP="009C6C43">
            <w:pPr>
              <w:jc w:val="center"/>
              <w:rPr>
                <w:b/>
                <w:sz w:val="18"/>
                <w:szCs w:val="18"/>
              </w:rP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vAlign w:val="center"/>
          </w:tcPr>
          <w:p w:rsidR="00120B2F" w:rsidRDefault="00120B2F" w:rsidP="009C6C43">
            <w:pPr>
              <w:jc w:val="center"/>
              <w:rPr>
                <w:sz w:val="18"/>
                <w:szCs w:val="18"/>
              </w:rPr>
            </w:pPr>
            <w:r>
              <w:rPr>
                <w:sz w:val="18"/>
                <w:szCs w:val="18"/>
              </w:rPr>
              <w:t>M2</w:t>
            </w:r>
          </w:p>
          <w:p w:rsidR="00120B2F" w:rsidRPr="001D538F" w:rsidRDefault="00120B2F" w:rsidP="009C6C43">
            <w:pPr>
              <w:jc w:val="center"/>
              <w:rPr>
                <w:b/>
                <w:sz w:val="18"/>
                <w:szCs w:val="18"/>
              </w:rPr>
            </w:pPr>
            <w:r>
              <w:rPr>
                <w:sz w:val="18"/>
                <w:szCs w:val="18"/>
              </w:rPr>
              <w:t>Výkonnost výzkumu</w:t>
            </w:r>
          </w:p>
        </w:tc>
        <w:tc>
          <w:tcPr>
            <w:tcW w:w="1417" w:type="dxa"/>
            <w:tcBorders>
              <w:top w:val="nil"/>
              <w:left w:val="single" w:sz="18" w:space="0" w:color="8DB3E2" w:themeColor="text2" w:themeTint="66"/>
              <w:bottom w:val="nil"/>
              <w:right w:val="nil"/>
            </w:tcBorders>
            <w:vAlign w:val="center"/>
          </w:tcPr>
          <w:p w:rsidR="00120B2F" w:rsidRPr="001D538F" w:rsidRDefault="00120B2F" w:rsidP="009C6C43">
            <w:pPr>
              <w:jc w:val="center"/>
              <w:rPr>
                <w:b/>
                <w:sz w:val="18"/>
                <w:szCs w:val="18"/>
              </w:rPr>
            </w:pPr>
          </w:p>
        </w:tc>
        <w:tc>
          <w:tcPr>
            <w:tcW w:w="1418" w:type="dxa"/>
            <w:tcBorders>
              <w:top w:val="nil"/>
              <w:left w:val="nil"/>
              <w:bottom w:val="nil"/>
              <w:right w:val="nil"/>
            </w:tcBorders>
            <w:shd w:val="clear" w:color="auto" w:fill="FFFFFF" w:themeFill="background1"/>
            <w:vAlign w:val="center"/>
          </w:tcPr>
          <w:p w:rsidR="00120B2F" w:rsidRPr="001D538F" w:rsidRDefault="00120B2F" w:rsidP="009C6C43">
            <w:pPr>
              <w:jc w:val="center"/>
              <w:rPr>
                <w:b/>
                <w:sz w:val="18"/>
                <w:szCs w:val="18"/>
              </w:rPr>
            </w:pPr>
          </w:p>
        </w:tc>
        <w:tc>
          <w:tcPr>
            <w:tcW w:w="1418" w:type="dxa"/>
            <w:tcBorders>
              <w:top w:val="nil"/>
              <w:left w:val="nil"/>
              <w:bottom w:val="nil"/>
              <w:right w:val="nil"/>
            </w:tcBorders>
            <w:vAlign w:val="center"/>
          </w:tcPr>
          <w:p w:rsidR="00120B2F" w:rsidRPr="001D538F" w:rsidRDefault="00120B2F" w:rsidP="009C6C43">
            <w:pPr>
              <w:jc w:val="center"/>
              <w:rPr>
                <w:b/>
                <w:sz w:val="18"/>
                <w:szCs w:val="18"/>
              </w:rPr>
            </w:pPr>
          </w:p>
        </w:tc>
        <w:tc>
          <w:tcPr>
            <w:tcW w:w="1417" w:type="dxa"/>
            <w:tcBorders>
              <w:top w:val="nil"/>
              <w:left w:val="nil"/>
              <w:bottom w:val="nil"/>
              <w:right w:val="single" w:sz="18" w:space="0" w:color="8DB3E2" w:themeColor="text2" w:themeTint="66"/>
            </w:tcBorders>
            <w:vAlign w:val="center"/>
          </w:tcPr>
          <w:p w:rsidR="00120B2F" w:rsidRPr="001D538F" w:rsidRDefault="00120B2F" w:rsidP="009C6C43">
            <w:pPr>
              <w:jc w:val="center"/>
              <w:rPr>
                <w:b/>
                <w:sz w:val="18"/>
                <w:szCs w:val="18"/>
              </w:rPr>
            </w:pP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D99594" w:themeFill="accent2" w:themeFillTint="99"/>
          </w:tcPr>
          <w:p w:rsidR="00120B2F" w:rsidRDefault="00120B2F" w:rsidP="009C6C43">
            <w:pPr>
              <w:jc w:val="center"/>
              <w:rPr>
                <w:sz w:val="18"/>
                <w:szCs w:val="18"/>
              </w:rPr>
            </w:pPr>
            <w:r>
              <w:rPr>
                <w:sz w:val="18"/>
                <w:szCs w:val="18"/>
              </w:rPr>
              <w:t>M2</w:t>
            </w:r>
          </w:p>
          <w:p w:rsidR="00120B2F" w:rsidRPr="001D538F" w:rsidRDefault="00120B2F" w:rsidP="009C6C43">
            <w:pPr>
              <w:jc w:val="center"/>
              <w:rPr>
                <w:b/>
                <w:sz w:val="18"/>
                <w:szCs w:val="18"/>
              </w:rPr>
            </w:pPr>
            <w:r>
              <w:rPr>
                <w:sz w:val="18"/>
                <w:szCs w:val="18"/>
              </w:rPr>
              <w:t>Výkonnost výzkumu</w:t>
            </w:r>
          </w:p>
        </w:tc>
      </w:tr>
      <w:tr w:rsidR="00120B2F" w:rsidTr="009C6C43">
        <w:trPr>
          <w:trHeight w:val="136"/>
          <w:jc w:val="center"/>
        </w:trPr>
        <w:tc>
          <w:tcPr>
            <w:tcW w:w="464" w:type="dxa"/>
            <w:vMerge/>
            <w:tcBorders>
              <w:left w:val="nil"/>
              <w:right w:val="nil"/>
            </w:tcBorders>
          </w:tcPr>
          <w:p w:rsidR="00120B2F" w:rsidRPr="00185167" w:rsidRDefault="00120B2F" w:rsidP="009C6C43">
            <w:pPr>
              <w:ind w:left="113" w:right="113"/>
              <w:jc w:val="center"/>
              <w:rPr>
                <w:noProof/>
                <w:sz w:val="16"/>
                <w:szCs w:val="16"/>
              </w:rPr>
            </w:pPr>
          </w:p>
        </w:tc>
        <w:tc>
          <w:tcPr>
            <w:tcW w:w="14175" w:type="dxa"/>
            <w:gridSpan w:val="10"/>
            <w:tcBorders>
              <w:top w:val="nil"/>
              <w:left w:val="nil"/>
              <w:bottom w:val="nil"/>
              <w:right w:val="nil"/>
            </w:tcBorders>
            <w:vAlign w:val="center"/>
          </w:tcPr>
          <w:p w:rsidR="00120B2F" w:rsidRPr="00185167" w:rsidRDefault="00120B2F" w:rsidP="009C6C43">
            <w:pPr>
              <w:jc w:val="center"/>
              <w:rPr>
                <w:b/>
                <w:sz w:val="16"/>
                <w:szCs w:val="16"/>
              </w:rPr>
            </w:pPr>
          </w:p>
        </w:tc>
      </w:tr>
      <w:tr w:rsidR="00120B2F" w:rsidTr="009C6C43">
        <w:trPr>
          <w:trHeight w:val="238"/>
          <w:jc w:val="center"/>
        </w:trPr>
        <w:tc>
          <w:tcPr>
            <w:tcW w:w="464" w:type="dxa"/>
            <w:vMerge/>
            <w:tcBorders>
              <w:left w:val="nil"/>
              <w:right w:val="nil"/>
            </w:tcBorders>
            <w:textDirection w:val="btLr"/>
          </w:tcPr>
          <w:p w:rsidR="00120B2F" w:rsidRDefault="00120B2F" w:rsidP="009C6C43">
            <w:pPr>
              <w:ind w:left="113" w:right="113"/>
              <w:jc w:val="center"/>
            </w:pPr>
          </w:p>
        </w:tc>
        <w:tc>
          <w:tcPr>
            <w:tcW w:w="1415" w:type="dxa"/>
            <w:tcBorders>
              <w:top w:val="nil"/>
              <w:left w:val="nil"/>
              <w:bottom w:val="nil"/>
              <w:right w:val="nil"/>
            </w:tcBorders>
            <w:vAlign w:val="center"/>
          </w:tcPr>
          <w:p w:rsidR="00120B2F" w:rsidRDefault="00120B2F" w:rsidP="009C6C43">
            <w:pPr>
              <w:jc w:val="center"/>
            </w:pPr>
          </w:p>
        </w:tc>
        <w:tc>
          <w:tcPr>
            <w:tcW w:w="1416" w:type="dxa"/>
            <w:tcBorders>
              <w:top w:val="nil"/>
              <w:left w:val="nil"/>
              <w:bottom w:val="nil"/>
              <w:right w:val="nil"/>
            </w:tcBorders>
            <w:shd w:val="clear" w:color="auto" w:fill="FFFFFF" w:themeFill="background1"/>
            <w:vAlign w:val="center"/>
          </w:tcPr>
          <w:p w:rsidR="00120B2F" w:rsidRDefault="00120B2F" w:rsidP="009C6C43">
            <w:pPr>
              <w:jc w:val="center"/>
            </w:pPr>
            <w:r w:rsidRPr="006F26B8">
              <w:rPr>
                <w:sz w:val="18"/>
                <w:szCs w:val="18"/>
              </w:rPr>
              <w:t xml:space="preserve"> </w:t>
            </w:r>
          </w:p>
        </w:tc>
        <w:tc>
          <w:tcPr>
            <w:tcW w:w="1418" w:type="dxa"/>
            <w:tcBorders>
              <w:top w:val="nil"/>
              <w:left w:val="nil"/>
              <w:bottom w:val="nil"/>
              <w:right w:val="nil"/>
            </w:tcBorders>
            <w:vAlign w:val="center"/>
          </w:tcPr>
          <w:p w:rsidR="00120B2F" w:rsidRDefault="00120B2F" w:rsidP="009C6C43">
            <w:pPr>
              <w:jc w:val="center"/>
            </w:pPr>
          </w:p>
        </w:tc>
        <w:tc>
          <w:tcPr>
            <w:tcW w:w="1418" w:type="dxa"/>
            <w:tcBorders>
              <w:top w:val="nil"/>
              <w:left w:val="nil"/>
              <w:bottom w:val="nil"/>
              <w:right w:val="single" w:sz="18" w:space="0" w:color="8DB3E2" w:themeColor="text2" w:themeTint="66"/>
            </w:tcBorders>
            <w:shd w:val="clear" w:color="auto" w:fill="auto"/>
            <w:vAlign w:val="center"/>
          </w:tcPr>
          <w:p w:rsidR="00120B2F" w:rsidRDefault="00120B2F" w:rsidP="009C6C43">
            <w:pPr>
              <w:jc w:val="cente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vAlign w:val="center"/>
          </w:tcPr>
          <w:p w:rsidR="00120B2F" w:rsidRPr="006F26B8" w:rsidRDefault="00120B2F" w:rsidP="009C6C43">
            <w:pPr>
              <w:jc w:val="center"/>
              <w:rPr>
                <w:sz w:val="18"/>
                <w:szCs w:val="18"/>
              </w:rPr>
            </w:pPr>
            <w:r w:rsidRPr="006F26B8">
              <w:rPr>
                <w:sz w:val="18"/>
                <w:szCs w:val="18"/>
              </w:rPr>
              <w:t>M3</w:t>
            </w:r>
          </w:p>
          <w:p w:rsidR="00120B2F" w:rsidRDefault="00120B2F" w:rsidP="009C6C43">
            <w:pPr>
              <w:jc w:val="center"/>
            </w:pPr>
            <w:r w:rsidRPr="006F26B8">
              <w:rPr>
                <w:sz w:val="18"/>
                <w:szCs w:val="18"/>
              </w:rPr>
              <w:t>Společenská relevance</w:t>
            </w:r>
          </w:p>
        </w:tc>
        <w:tc>
          <w:tcPr>
            <w:tcW w:w="1417" w:type="dxa"/>
            <w:tcBorders>
              <w:top w:val="nil"/>
              <w:left w:val="single" w:sz="18" w:space="0" w:color="8DB3E2" w:themeColor="text2" w:themeTint="66"/>
              <w:bottom w:val="nil"/>
              <w:right w:val="nil"/>
            </w:tcBorders>
            <w:vAlign w:val="center"/>
          </w:tcPr>
          <w:p w:rsidR="00120B2F" w:rsidRDefault="00120B2F" w:rsidP="009C6C43">
            <w:pPr>
              <w:jc w:val="center"/>
            </w:pPr>
          </w:p>
        </w:tc>
        <w:tc>
          <w:tcPr>
            <w:tcW w:w="1418" w:type="dxa"/>
            <w:tcBorders>
              <w:top w:val="nil"/>
              <w:left w:val="nil"/>
              <w:bottom w:val="nil"/>
              <w:right w:val="nil"/>
            </w:tcBorders>
            <w:shd w:val="clear" w:color="auto" w:fill="FFFFFF" w:themeFill="background1"/>
            <w:vAlign w:val="center"/>
          </w:tcPr>
          <w:p w:rsidR="00120B2F" w:rsidRDefault="00120B2F" w:rsidP="009C6C43">
            <w:pPr>
              <w:jc w:val="center"/>
            </w:pPr>
          </w:p>
        </w:tc>
        <w:tc>
          <w:tcPr>
            <w:tcW w:w="1418" w:type="dxa"/>
            <w:tcBorders>
              <w:top w:val="nil"/>
              <w:left w:val="nil"/>
              <w:bottom w:val="nil"/>
              <w:right w:val="nil"/>
            </w:tcBorders>
            <w:vAlign w:val="center"/>
          </w:tcPr>
          <w:p w:rsidR="00120B2F" w:rsidRDefault="00120B2F" w:rsidP="009C6C43">
            <w:pPr>
              <w:jc w:val="center"/>
            </w:pPr>
          </w:p>
        </w:tc>
        <w:tc>
          <w:tcPr>
            <w:tcW w:w="1417" w:type="dxa"/>
            <w:tcBorders>
              <w:top w:val="nil"/>
              <w:left w:val="nil"/>
              <w:bottom w:val="nil"/>
              <w:right w:val="single" w:sz="18" w:space="0" w:color="8DB3E2" w:themeColor="text2" w:themeTint="66"/>
            </w:tcBorders>
            <w:vAlign w:val="center"/>
          </w:tcPr>
          <w:p w:rsidR="00120B2F" w:rsidRDefault="00120B2F" w:rsidP="009C6C43">
            <w:pPr>
              <w:jc w:val="center"/>
            </w:pP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FABF8F" w:themeFill="accent6" w:themeFillTint="99"/>
          </w:tcPr>
          <w:p w:rsidR="00120B2F" w:rsidRDefault="00120B2F" w:rsidP="009C6C43">
            <w:pPr>
              <w:jc w:val="center"/>
              <w:rPr>
                <w:sz w:val="18"/>
                <w:szCs w:val="18"/>
              </w:rPr>
            </w:pPr>
            <w:r>
              <w:rPr>
                <w:sz w:val="18"/>
                <w:szCs w:val="18"/>
              </w:rPr>
              <w:t>M3</w:t>
            </w:r>
          </w:p>
          <w:p w:rsidR="00120B2F" w:rsidRDefault="00120B2F" w:rsidP="009C6C43">
            <w:pPr>
              <w:jc w:val="center"/>
            </w:pPr>
            <w:r w:rsidRPr="006F26B8">
              <w:rPr>
                <w:sz w:val="18"/>
                <w:szCs w:val="18"/>
              </w:rPr>
              <w:t>Společenská relevance</w:t>
            </w:r>
          </w:p>
        </w:tc>
      </w:tr>
      <w:tr w:rsidR="00120B2F" w:rsidTr="009C6C43">
        <w:trPr>
          <w:trHeight w:val="136"/>
          <w:jc w:val="center"/>
        </w:trPr>
        <w:tc>
          <w:tcPr>
            <w:tcW w:w="464" w:type="dxa"/>
            <w:vMerge/>
            <w:tcBorders>
              <w:left w:val="nil"/>
              <w:right w:val="nil"/>
            </w:tcBorders>
          </w:tcPr>
          <w:p w:rsidR="00120B2F" w:rsidRDefault="00120B2F" w:rsidP="009C6C43">
            <w:pPr>
              <w:jc w:val="center"/>
            </w:pPr>
          </w:p>
        </w:tc>
        <w:tc>
          <w:tcPr>
            <w:tcW w:w="14175" w:type="dxa"/>
            <w:gridSpan w:val="10"/>
            <w:tcBorders>
              <w:top w:val="nil"/>
              <w:left w:val="nil"/>
              <w:bottom w:val="nil"/>
              <w:right w:val="nil"/>
            </w:tcBorders>
            <w:vAlign w:val="center"/>
          </w:tcPr>
          <w:p w:rsidR="00120B2F" w:rsidRDefault="00120B2F" w:rsidP="009C6C43">
            <w:pPr>
              <w:jc w:val="center"/>
            </w:pPr>
          </w:p>
        </w:tc>
      </w:tr>
      <w:tr w:rsidR="00120B2F" w:rsidTr="009C6C43">
        <w:trPr>
          <w:trHeight w:val="579"/>
          <w:jc w:val="center"/>
        </w:trPr>
        <w:tc>
          <w:tcPr>
            <w:tcW w:w="464" w:type="dxa"/>
            <w:vMerge/>
            <w:tcBorders>
              <w:left w:val="nil"/>
              <w:right w:val="nil"/>
            </w:tcBorders>
          </w:tcPr>
          <w:p w:rsidR="00120B2F" w:rsidRDefault="00120B2F" w:rsidP="009C6C43">
            <w:pPr>
              <w:jc w:val="center"/>
            </w:pPr>
          </w:p>
        </w:tc>
        <w:tc>
          <w:tcPr>
            <w:tcW w:w="1415" w:type="dxa"/>
            <w:tcBorders>
              <w:top w:val="nil"/>
              <w:left w:val="nil"/>
              <w:bottom w:val="nil"/>
              <w:right w:val="nil"/>
            </w:tcBorders>
            <w:vAlign w:val="center"/>
          </w:tcPr>
          <w:p w:rsidR="00120B2F" w:rsidRDefault="00120B2F" w:rsidP="009C6C43">
            <w:pPr>
              <w:jc w:val="center"/>
            </w:pPr>
          </w:p>
        </w:tc>
        <w:tc>
          <w:tcPr>
            <w:tcW w:w="1416" w:type="dxa"/>
            <w:tcBorders>
              <w:top w:val="nil"/>
              <w:left w:val="nil"/>
              <w:bottom w:val="nil"/>
              <w:right w:val="nil"/>
            </w:tcBorders>
            <w:shd w:val="clear" w:color="auto" w:fill="FFFFFF" w:themeFill="background1"/>
            <w:vAlign w:val="center"/>
          </w:tcPr>
          <w:p w:rsidR="00120B2F" w:rsidRDefault="00120B2F" w:rsidP="009C6C43">
            <w:pPr>
              <w:jc w:val="center"/>
            </w:pPr>
            <w:r w:rsidRPr="006F26B8">
              <w:rPr>
                <w:sz w:val="18"/>
                <w:szCs w:val="18"/>
              </w:rPr>
              <w:t xml:space="preserve"> </w:t>
            </w:r>
          </w:p>
        </w:tc>
        <w:tc>
          <w:tcPr>
            <w:tcW w:w="1418" w:type="dxa"/>
            <w:tcBorders>
              <w:top w:val="nil"/>
              <w:left w:val="nil"/>
              <w:bottom w:val="nil"/>
              <w:right w:val="nil"/>
            </w:tcBorders>
            <w:vAlign w:val="center"/>
          </w:tcPr>
          <w:p w:rsidR="00120B2F" w:rsidRDefault="00120B2F" w:rsidP="009C6C43">
            <w:pPr>
              <w:jc w:val="center"/>
            </w:pPr>
          </w:p>
        </w:tc>
        <w:tc>
          <w:tcPr>
            <w:tcW w:w="1418" w:type="dxa"/>
            <w:tcBorders>
              <w:top w:val="nil"/>
              <w:left w:val="nil"/>
              <w:bottom w:val="nil"/>
              <w:right w:val="single" w:sz="18" w:space="0" w:color="8DB3E2" w:themeColor="text2" w:themeTint="66"/>
            </w:tcBorders>
            <w:vAlign w:val="center"/>
          </w:tcPr>
          <w:p w:rsidR="00120B2F" w:rsidRDefault="00120B2F" w:rsidP="009C6C43">
            <w:pPr>
              <w:jc w:val="cente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2D69B" w:themeFill="accent3" w:themeFillTint="99"/>
            <w:vAlign w:val="center"/>
          </w:tcPr>
          <w:p w:rsidR="00120B2F" w:rsidRPr="006F26B8" w:rsidRDefault="00120B2F" w:rsidP="009C6C43">
            <w:pPr>
              <w:jc w:val="center"/>
              <w:rPr>
                <w:sz w:val="18"/>
                <w:szCs w:val="18"/>
              </w:rPr>
            </w:pPr>
            <w:r>
              <w:rPr>
                <w:sz w:val="18"/>
                <w:szCs w:val="18"/>
              </w:rPr>
              <w:t>M4</w:t>
            </w:r>
          </w:p>
          <w:p w:rsidR="00120B2F" w:rsidRDefault="00120B2F" w:rsidP="009C6C43">
            <w:pPr>
              <w:jc w:val="center"/>
            </w:pPr>
            <w:r w:rsidRPr="006F26B8">
              <w:rPr>
                <w:sz w:val="18"/>
                <w:szCs w:val="18"/>
              </w:rPr>
              <w:t>Viabilita</w:t>
            </w:r>
          </w:p>
        </w:tc>
        <w:tc>
          <w:tcPr>
            <w:tcW w:w="1417" w:type="dxa"/>
            <w:tcBorders>
              <w:top w:val="nil"/>
              <w:left w:val="single" w:sz="18" w:space="0" w:color="8DB3E2" w:themeColor="text2" w:themeTint="66"/>
              <w:bottom w:val="nil"/>
              <w:right w:val="nil"/>
            </w:tcBorders>
            <w:vAlign w:val="center"/>
          </w:tcPr>
          <w:p w:rsidR="00120B2F" w:rsidRDefault="00120B2F" w:rsidP="009C6C43">
            <w:pPr>
              <w:jc w:val="center"/>
            </w:pPr>
          </w:p>
        </w:tc>
        <w:tc>
          <w:tcPr>
            <w:tcW w:w="1418" w:type="dxa"/>
            <w:tcBorders>
              <w:top w:val="nil"/>
              <w:left w:val="nil"/>
              <w:bottom w:val="nil"/>
              <w:right w:val="nil"/>
            </w:tcBorders>
            <w:shd w:val="clear" w:color="auto" w:fill="FFFFFF" w:themeFill="background1"/>
            <w:vAlign w:val="center"/>
          </w:tcPr>
          <w:p w:rsidR="00120B2F" w:rsidRDefault="00120B2F" w:rsidP="009C6C43">
            <w:pPr>
              <w:jc w:val="center"/>
            </w:pPr>
          </w:p>
        </w:tc>
        <w:tc>
          <w:tcPr>
            <w:tcW w:w="1418" w:type="dxa"/>
            <w:tcBorders>
              <w:top w:val="nil"/>
              <w:left w:val="nil"/>
              <w:bottom w:val="nil"/>
              <w:right w:val="nil"/>
            </w:tcBorders>
            <w:vAlign w:val="center"/>
          </w:tcPr>
          <w:p w:rsidR="00120B2F" w:rsidRDefault="00120B2F" w:rsidP="009C6C43">
            <w:pPr>
              <w:jc w:val="center"/>
            </w:pPr>
          </w:p>
        </w:tc>
        <w:tc>
          <w:tcPr>
            <w:tcW w:w="1417" w:type="dxa"/>
            <w:tcBorders>
              <w:top w:val="nil"/>
              <w:left w:val="nil"/>
              <w:bottom w:val="nil"/>
              <w:right w:val="single" w:sz="18" w:space="0" w:color="8DB3E2" w:themeColor="text2" w:themeTint="66"/>
            </w:tcBorders>
            <w:vAlign w:val="center"/>
          </w:tcPr>
          <w:p w:rsidR="00120B2F" w:rsidRDefault="00120B2F" w:rsidP="009C6C43">
            <w:pPr>
              <w:jc w:val="center"/>
            </w:pP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C2D69B" w:themeFill="accent3" w:themeFillTint="99"/>
          </w:tcPr>
          <w:p w:rsidR="00120B2F" w:rsidRPr="006F26B8" w:rsidRDefault="00120B2F" w:rsidP="009C6C43">
            <w:pPr>
              <w:jc w:val="center"/>
              <w:rPr>
                <w:sz w:val="18"/>
                <w:szCs w:val="18"/>
              </w:rPr>
            </w:pPr>
            <w:r w:rsidRPr="006F26B8">
              <w:rPr>
                <w:sz w:val="18"/>
                <w:szCs w:val="18"/>
              </w:rPr>
              <w:t>M4</w:t>
            </w:r>
          </w:p>
          <w:p w:rsidR="00120B2F" w:rsidRDefault="00120B2F" w:rsidP="009C6C43">
            <w:pPr>
              <w:jc w:val="center"/>
            </w:pPr>
            <w:r w:rsidRPr="006F26B8">
              <w:rPr>
                <w:sz w:val="18"/>
                <w:szCs w:val="18"/>
              </w:rPr>
              <w:t>Viabilita</w:t>
            </w:r>
          </w:p>
        </w:tc>
      </w:tr>
      <w:tr w:rsidR="00120B2F" w:rsidTr="009C6C43">
        <w:trPr>
          <w:trHeight w:val="136"/>
          <w:jc w:val="center"/>
        </w:trPr>
        <w:tc>
          <w:tcPr>
            <w:tcW w:w="464" w:type="dxa"/>
            <w:vMerge/>
            <w:tcBorders>
              <w:left w:val="nil"/>
              <w:right w:val="nil"/>
            </w:tcBorders>
          </w:tcPr>
          <w:p w:rsidR="00120B2F" w:rsidRDefault="00120B2F" w:rsidP="009C6C43">
            <w:pPr>
              <w:jc w:val="center"/>
            </w:pPr>
          </w:p>
        </w:tc>
        <w:tc>
          <w:tcPr>
            <w:tcW w:w="14175" w:type="dxa"/>
            <w:gridSpan w:val="10"/>
            <w:tcBorders>
              <w:top w:val="nil"/>
              <w:left w:val="nil"/>
              <w:bottom w:val="nil"/>
              <w:right w:val="nil"/>
            </w:tcBorders>
            <w:vAlign w:val="center"/>
          </w:tcPr>
          <w:p w:rsidR="00120B2F" w:rsidRDefault="00120B2F" w:rsidP="009C6C43">
            <w:pPr>
              <w:jc w:val="center"/>
            </w:pPr>
          </w:p>
        </w:tc>
      </w:tr>
      <w:tr w:rsidR="00120B2F" w:rsidTr="009C6C43">
        <w:trPr>
          <w:trHeight w:val="556"/>
          <w:jc w:val="center"/>
        </w:trPr>
        <w:tc>
          <w:tcPr>
            <w:tcW w:w="464" w:type="dxa"/>
            <w:vMerge/>
            <w:tcBorders>
              <w:left w:val="nil"/>
              <w:bottom w:val="nil"/>
              <w:right w:val="nil"/>
            </w:tcBorders>
          </w:tcPr>
          <w:p w:rsidR="00120B2F" w:rsidRDefault="00120B2F" w:rsidP="009C6C43">
            <w:pPr>
              <w:jc w:val="center"/>
            </w:pPr>
          </w:p>
        </w:tc>
        <w:tc>
          <w:tcPr>
            <w:tcW w:w="1415" w:type="dxa"/>
            <w:tcBorders>
              <w:top w:val="nil"/>
              <w:left w:val="nil"/>
              <w:bottom w:val="nil"/>
              <w:right w:val="nil"/>
            </w:tcBorders>
            <w:vAlign w:val="center"/>
          </w:tcPr>
          <w:p w:rsidR="00120B2F" w:rsidRDefault="00120B2F" w:rsidP="009C6C43">
            <w:pPr>
              <w:jc w:val="center"/>
            </w:pPr>
          </w:p>
        </w:tc>
        <w:tc>
          <w:tcPr>
            <w:tcW w:w="1416" w:type="dxa"/>
            <w:tcBorders>
              <w:top w:val="nil"/>
              <w:left w:val="nil"/>
              <w:bottom w:val="nil"/>
              <w:right w:val="nil"/>
            </w:tcBorders>
            <w:shd w:val="clear" w:color="auto" w:fill="FFFFFF" w:themeFill="background1"/>
            <w:vAlign w:val="center"/>
          </w:tcPr>
          <w:p w:rsidR="00120B2F" w:rsidRDefault="00120B2F" w:rsidP="009C6C43">
            <w:pPr>
              <w:jc w:val="center"/>
            </w:pPr>
          </w:p>
        </w:tc>
        <w:tc>
          <w:tcPr>
            <w:tcW w:w="1418" w:type="dxa"/>
            <w:tcBorders>
              <w:top w:val="nil"/>
              <w:left w:val="nil"/>
              <w:bottom w:val="nil"/>
              <w:right w:val="nil"/>
            </w:tcBorders>
            <w:vAlign w:val="center"/>
          </w:tcPr>
          <w:p w:rsidR="00120B2F" w:rsidRDefault="00120B2F" w:rsidP="009C6C43">
            <w:pPr>
              <w:jc w:val="center"/>
            </w:pPr>
          </w:p>
        </w:tc>
        <w:tc>
          <w:tcPr>
            <w:tcW w:w="1418" w:type="dxa"/>
            <w:tcBorders>
              <w:top w:val="nil"/>
              <w:left w:val="nil"/>
              <w:bottom w:val="nil"/>
              <w:right w:val="single" w:sz="18" w:space="0" w:color="8DB3E2" w:themeColor="text2" w:themeTint="66"/>
            </w:tcBorders>
            <w:vAlign w:val="center"/>
          </w:tcPr>
          <w:p w:rsidR="00120B2F" w:rsidRDefault="00120B2F" w:rsidP="009C6C43">
            <w:pPr>
              <w:jc w:val="center"/>
            </w:pPr>
          </w:p>
        </w:tc>
        <w:tc>
          <w:tcPr>
            <w:tcW w:w="1418"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vAlign w:val="center"/>
          </w:tcPr>
          <w:p w:rsidR="00120B2F" w:rsidRDefault="00120B2F" w:rsidP="009C6C43">
            <w:pPr>
              <w:jc w:val="center"/>
              <w:rPr>
                <w:sz w:val="18"/>
                <w:szCs w:val="18"/>
              </w:rPr>
            </w:pPr>
            <w:r w:rsidRPr="006F26B8">
              <w:rPr>
                <w:sz w:val="18"/>
                <w:szCs w:val="18"/>
              </w:rPr>
              <w:t>M</w:t>
            </w:r>
            <w:r>
              <w:rPr>
                <w:sz w:val="18"/>
                <w:szCs w:val="18"/>
              </w:rPr>
              <w:t>5</w:t>
            </w:r>
          </w:p>
          <w:p w:rsidR="00120B2F" w:rsidRDefault="00120B2F" w:rsidP="009C6C43">
            <w:pPr>
              <w:jc w:val="center"/>
            </w:pPr>
            <w:r>
              <w:rPr>
                <w:sz w:val="18"/>
                <w:szCs w:val="18"/>
              </w:rPr>
              <w:t>Koncepce a strategie</w:t>
            </w:r>
          </w:p>
        </w:tc>
        <w:tc>
          <w:tcPr>
            <w:tcW w:w="1417" w:type="dxa"/>
            <w:tcBorders>
              <w:top w:val="nil"/>
              <w:left w:val="single" w:sz="18" w:space="0" w:color="8DB3E2" w:themeColor="text2" w:themeTint="66"/>
              <w:bottom w:val="nil"/>
              <w:right w:val="nil"/>
            </w:tcBorders>
            <w:vAlign w:val="center"/>
          </w:tcPr>
          <w:p w:rsidR="00120B2F" w:rsidRDefault="00120B2F" w:rsidP="009C6C43">
            <w:pPr>
              <w:jc w:val="center"/>
            </w:pPr>
          </w:p>
        </w:tc>
        <w:tc>
          <w:tcPr>
            <w:tcW w:w="1418" w:type="dxa"/>
            <w:tcBorders>
              <w:top w:val="nil"/>
              <w:left w:val="nil"/>
              <w:bottom w:val="nil"/>
              <w:right w:val="nil"/>
            </w:tcBorders>
            <w:shd w:val="clear" w:color="auto" w:fill="FFFFFF" w:themeFill="background1"/>
            <w:vAlign w:val="center"/>
          </w:tcPr>
          <w:p w:rsidR="00120B2F" w:rsidRDefault="00120B2F" w:rsidP="009C6C43">
            <w:pPr>
              <w:jc w:val="center"/>
            </w:pPr>
          </w:p>
        </w:tc>
        <w:tc>
          <w:tcPr>
            <w:tcW w:w="1418" w:type="dxa"/>
            <w:tcBorders>
              <w:top w:val="nil"/>
              <w:left w:val="nil"/>
              <w:bottom w:val="nil"/>
              <w:right w:val="nil"/>
            </w:tcBorders>
            <w:vAlign w:val="center"/>
          </w:tcPr>
          <w:p w:rsidR="00120B2F" w:rsidRDefault="00120B2F" w:rsidP="009C6C43">
            <w:pPr>
              <w:jc w:val="center"/>
            </w:pPr>
          </w:p>
        </w:tc>
        <w:tc>
          <w:tcPr>
            <w:tcW w:w="1417" w:type="dxa"/>
            <w:tcBorders>
              <w:top w:val="nil"/>
              <w:left w:val="nil"/>
              <w:bottom w:val="nil"/>
              <w:right w:val="single" w:sz="18" w:space="0" w:color="8DB3E2" w:themeColor="text2" w:themeTint="66"/>
            </w:tcBorders>
            <w:vAlign w:val="center"/>
          </w:tcPr>
          <w:p w:rsidR="00120B2F" w:rsidRDefault="00120B2F" w:rsidP="009C6C43">
            <w:pPr>
              <w:jc w:val="center"/>
            </w:pPr>
          </w:p>
        </w:tc>
        <w:tc>
          <w:tcPr>
            <w:tcW w:w="1420" w:type="dxa"/>
            <w:tcBorders>
              <w:top w:val="single" w:sz="18" w:space="0" w:color="8DB3E2" w:themeColor="text2" w:themeTint="66"/>
              <w:left w:val="single" w:sz="18" w:space="0" w:color="8DB3E2" w:themeColor="text2" w:themeTint="66"/>
              <w:bottom w:val="single" w:sz="18" w:space="0" w:color="8DB3E2" w:themeColor="text2" w:themeTint="66"/>
              <w:right w:val="single" w:sz="18" w:space="0" w:color="8DB3E2" w:themeColor="text2" w:themeTint="66"/>
            </w:tcBorders>
            <w:shd w:val="clear" w:color="auto" w:fill="BFBFBF" w:themeFill="background1" w:themeFillShade="BF"/>
          </w:tcPr>
          <w:p w:rsidR="00120B2F" w:rsidRPr="006F26B8" w:rsidRDefault="00120B2F" w:rsidP="009C6C43">
            <w:pPr>
              <w:jc w:val="center"/>
              <w:rPr>
                <w:sz w:val="18"/>
                <w:szCs w:val="18"/>
              </w:rPr>
            </w:pPr>
            <w:r>
              <w:rPr>
                <w:sz w:val="18"/>
                <w:szCs w:val="18"/>
              </w:rPr>
              <w:t>M5</w:t>
            </w:r>
          </w:p>
          <w:p w:rsidR="00120B2F" w:rsidRDefault="00120B2F" w:rsidP="009C6C43">
            <w:pPr>
              <w:jc w:val="center"/>
            </w:pPr>
            <w:r>
              <w:rPr>
                <w:sz w:val="18"/>
                <w:szCs w:val="18"/>
              </w:rPr>
              <w:t>Koncepce a strategie</w:t>
            </w:r>
          </w:p>
        </w:tc>
      </w:tr>
    </w:tbl>
    <w:p w:rsidR="00120B2F" w:rsidRDefault="00120B2F" w:rsidP="00120B2F">
      <w:pPr>
        <w:jc w:val="center"/>
      </w:pPr>
    </w:p>
    <w:p w:rsidR="00691415" w:rsidRDefault="00CC39F2" w:rsidP="00E261CB">
      <w:pPr>
        <w:jc w:val="center"/>
      </w:pPr>
      <w:r>
        <w:rPr>
          <w:noProof/>
          <w:sz w:val="18"/>
          <w:szCs w:val="18"/>
        </w:rPr>
        <mc:AlternateContent>
          <mc:Choice Requires="wps">
            <w:drawing>
              <wp:anchor distT="0" distB="0" distL="114300" distR="114300" simplePos="0" relativeHeight="251664384" behindDoc="0" locked="0" layoutInCell="1" allowOverlap="1" wp14:anchorId="4C3B99DE" wp14:editId="258AC2DA">
                <wp:simplePos x="0" y="0"/>
                <wp:positionH relativeFrom="column">
                  <wp:posOffset>-166370</wp:posOffset>
                </wp:positionH>
                <wp:positionV relativeFrom="paragraph">
                  <wp:posOffset>304800</wp:posOffset>
                </wp:positionV>
                <wp:extent cx="3347085" cy="1061085"/>
                <wp:effectExtent l="0" t="0" r="24765" b="2476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7085" cy="1061085"/>
                        </a:xfrm>
                        <a:prstGeom prst="rect">
                          <a:avLst/>
                        </a:prstGeom>
                        <a:noFill/>
                        <a:ln w="3175">
                          <a:solidFill>
                            <a:prstClr val="black"/>
                          </a:solidFill>
                        </a:ln>
                        <a:effectLst/>
                      </wps:spPr>
                      <wps:txbx>
                        <w:txbxContent>
                          <w:tbl>
                            <w:tblPr>
                              <w:tblStyle w:val="Mkatabulky"/>
                              <w:tblW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E76F94" w:rsidRPr="00577F2A" w:rsidTr="009C6C43">
                              <w:trPr>
                                <w:trHeight w:val="249"/>
                              </w:trPr>
                              <w:tc>
                                <w:tcPr>
                                  <w:tcW w:w="5211" w:type="dxa"/>
                                </w:tcPr>
                                <w:p w:rsidR="00E76F94" w:rsidRPr="002D60FB" w:rsidRDefault="00E76F94" w:rsidP="009C6C43">
                                  <w:pPr>
                                    <w:rPr>
                                      <w:b/>
                                      <w:sz w:val="18"/>
                                      <w:szCs w:val="18"/>
                                    </w:rPr>
                                  </w:pPr>
                                  <w:r w:rsidRPr="002D60FB">
                                    <w:rPr>
                                      <w:b/>
                                      <w:sz w:val="18"/>
                                      <w:szCs w:val="18"/>
                                    </w:rPr>
                                    <w:t xml:space="preserve">Označení modulů podle metodiky AV ČR </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Společenská relevance (viz M3)</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Zapojení studentů do výzkumu, infrastruktury… (viz M3</w:t>
                                  </w:r>
                                  <w:r>
                                    <w:rPr>
                                      <w:sz w:val="18"/>
                                      <w:szCs w:val="18"/>
                                    </w:rPr>
                                    <w:t>, M4</w:t>
                                  </w:r>
                                  <w:r w:rsidRPr="002D60FB">
                                    <w:rPr>
                                      <w:sz w:val="18"/>
                                      <w:szCs w:val="18"/>
                                    </w:rPr>
                                    <w:t>)</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 xml:space="preserve">Strategie a zaměření do budoucnosti </w:t>
                                  </w:r>
                                  <w:r>
                                    <w:rPr>
                                      <w:sz w:val="18"/>
                                      <w:szCs w:val="18"/>
                                    </w:rPr>
                                    <w:t>(viz M5</w:t>
                                  </w:r>
                                  <w:r w:rsidRPr="002D60FB">
                                    <w:rPr>
                                      <w:sz w:val="18"/>
                                      <w:szCs w:val="18"/>
                                    </w:rPr>
                                    <w:t>)</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Postavení v mezinárodním a národním kontextu (viz M4)</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Vitalita, udržitelnost, perspektiva (viz M4)</w:t>
                                  </w:r>
                                </w:p>
                              </w:tc>
                            </w:tr>
                          </w:tbl>
                          <w:p w:rsidR="00E76F94" w:rsidRPr="00577F2A" w:rsidRDefault="00E76F94" w:rsidP="00120B2F">
                            <w:pPr>
                              <w:spacing w:after="0" w:line="240" w:lineRule="auto"/>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0" o:spid="_x0000_s1026" type="#_x0000_t202" style="position:absolute;left:0;text-align:left;margin-left:-13.1pt;margin-top:24pt;width:263.55pt;height:8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0l6WAIAAKgEAAAOAAAAZHJzL2Uyb0RvYy54bWysVN1O2zAUvp+0d7B8P9JA+VlEijoQ06QK&#10;kGDi2nUcGuH4eLbbhL3RnoMX22cnpRXb1bQb5xyfz+f3Ozm/6FvNNsr5hkzJ84MJZ8pIqhrzVPLv&#10;D9efzjjzQZhKaDKq5C/K84vZxw/nnS3UIa1IV8oxODG+6GzJVyHYIsu8XKlW+AOyysBYk2tFgOqe&#10;ssqJDt5bnR1OJidZR66yjqTyHrdXg5HPkv+6VjLc1rVXgemSI7eQTpfOZTyz2bkonpywq0aOaYh/&#10;yKIVjUHQN1dXIgi2ds0frtpGOvJUhwNJbUZ13UiVakA1+eRdNfcrYVWqBc3x9q1N/v+5lTebO8ea&#10;CrNDe4xoMaMH1QfavP5ilrRiuEeTOusLYO8t0KH/Qj0epIK9XZB89oBke5jhgQc6NqWvXRu/KJfh&#10;IQK9vPUesZjE5dHR9HRydsyZhC2fnORRiV53z63z4auilkWh5A7DTSmIzcKHAbqFxGiGrhutcS8K&#10;bViHEPnp8ZAz6aaKxmiLTy61YxsBiiy1kM9jWL9DIQltIlglSo3hYr1DiVEK/bJHsCguqXpBnxwN&#10;dPNWXjeIshA+3AkHfqED2Jlwi6PWhNRolDhbkfv5t/uIx9hh5awDX0vuf6yFU5zpbwaE+JxPp5Hg&#10;SZkenx5CcfuW5b7FrNtLQr05ttPKJEZ80FuxdtQ+YrXmMSpMwkjELnnYipdh2CKsplTzeQKB0laE&#10;hbm3ckuP2N2H/lE4O04tYOA3tGW2KN4Nb8AO45uvA9VNmuyuqyPPsA6JG+Pqxn3b1xNq94OZ/QYA&#10;AP//AwBQSwMEFAAGAAgAAAAhAI1MW1rhAAAACgEAAA8AAABkcnMvZG93bnJldi54bWxMj8tOwzAQ&#10;RfdI/IM1SOxaOyGtSsikQiAkFiBByoKlG08eajyOYrdN/x6zguVoju49t9jOdhAnmnzvGCFZKhDE&#10;tTM9twhfu5fFBoQPmo0eHBPChTxsy+urQufGnfmTTlVoRQxhn2uELoQxl9LXHVntl24kjr/GTVaH&#10;eE6tNJM+x3A7yFSptbS659jQ6ZGeOqoP1dEiNKp52z27w3dmX6uPObu7ZO9jhXh7Mz8+gAg0hz8Y&#10;fvWjOpTRae+ObLwYEBbpOo0oQraJmyKwUuoexB4hTVYJyLKQ/yeUPwAAAP//AwBQSwECLQAUAAYA&#10;CAAAACEAtoM4kv4AAADhAQAAEwAAAAAAAAAAAAAAAAAAAAAAW0NvbnRlbnRfVHlwZXNdLnhtbFBL&#10;AQItABQABgAIAAAAIQA4/SH/1gAAAJQBAAALAAAAAAAAAAAAAAAAAC8BAABfcmVscy8ucmVsc1BL&#10;AQItABQABgAIAAAAIQCc00l6WAIAAKgEAAAOAAAAAAAAAAAAAAAAAC4CAABkcnMvZTJvRG9jLnht&#10;bFBLAQItABQABgAIAAAAIQCNTFta4QAAAAoBAAAPAAAAAAAAAAAAAAAAALIEAABkcnMvZG93bnJl&#10;di54bWxQSwUGAAAAAAQABADzAAAAwAUAAAAA&#10;" filled="f" strokeweight=".25pt">
                <v:path arrowok="t"/>
                <v:textbox>
                  <w:txbxContent>
                    <w:tbl>
                      <w:tblPr>
                        <w:tblStyle w:val="Mkatabulky"/>
                        <w:tblW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E76F94" w:rsidRPr="00577F2A" w:rsidTr="009C6C43">
                        <w:trPr>
                          <w:trHeight w:val="249"/>
                        </w:trPr>
                        <w:tc>
                          <w:tcPr>
                            <w:tcW w:w="5211" w:type="dxa"/>
                          </w:tcPr>
                          <w:p w:rsidR="00E76F94" w:rsidRPr="002D60FB" w:rsidRDefault="00E76F94" w:rsidP="009C6C43">
                            <w:pPr>
                              <w:rPr>
                                <w:b/>
                                <w:sz w:val="18"/>
                                <w:szCs w:val="18"/>
                              </w:rPr>
                            </w:pPr>
                            <w:r w:rsidRPr="002D60FB">
                              <w:rPr>
                                <w:b/>
                                <w:sz w:val="18"/>
                                <w:szCs w:val="18"/>
                              </w:rPr>
                              <w:t xml:space="preserve">Označení modulů podle metodiky AV ČR </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Společenská relevance (viz M3)</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Zapojení studentů do výzkumu, infrastruktury… (viz M3</w:t>
                            </w:r>
                            <w:r>
                              <w:rPr>
                                <w:sz w:val="18"/>
                                <w:szCs w:val="18"/>
                              </w:rPr>
                              <w:t>, M4</w:t>
                            </w:r>
                            <w:r w:rsidRPr="002D60FB">
                              <w:rPr>
                                <w:sz w:val="18"/>
                                <w:szCs w:val="18"/>
                              </w:rPr>
                              <w:t>)</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 xml:space="preserve">Strategie a zaměření do budoucnosti </w:t>
                            </w:r>
                            <w:r>
                              <w:rPr>
                                <w:sz w:val="18"/>
                                <w:szCs w:val="18"/>
                              </w:rPr>
                              <w:t>(viz M5</w:t>
                            </w:r>
                            <w:r w:rsidRPr="002D60FB">
                              <w:rPr>
                                <w:sz w:val="18"/>
                                <w:szCs w:val="18"/>
                              </w:rPr>
                              <w:t>)</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Postavení v mezinárodním a národním kontextu (viz M4)</w:t>
                            </w:r>
                          </w:p>
                        </w:tc>
                      </w:tr>
                      <w:tr w:rsidR="00E76F94" w:rsidRPr="00577F2A" w:rsidTr="009C6C43">
                        <w:trPr>
                          <w:trHeight w:val="249"/>
                        </w:trPr>
                        <w:tc>
                          <w:tcPr>
                            <w:tcW w:w="5211" w:type="dxa"/>
                          </w:tcPr>
                          <w:p w:rsidR="00E76F94" w:rsidRPr="002D60FB" w:rsidRDefault="00E76F94" w:rsidP="009C6C43">
                            <w:pPr>
                              <w:ind w:left="142"/>
                              <w:rPr>
                                <w:sz w:val="18"/>
                                <w:szCs w:val="18"/>
                              </w:rPr>
                            </w:pPr>
                            <w:r w:rsidRPr="002D60FB">
                              <w:rPr>
                                <w:sz w:val="18"/>
                                <w:szCs w:val="18"/>
                              </w:rPr>
                              <w:t>Vitalita, udržitelnost, perspektiva (viz M4)</w:t>
                            </w:r>
                          </w:p>
                        </w:tc>
                      </w:tr>
                    </w:tbl>
                    <w:p w:rsidR="00E76F94" w:rsidRPr="00577F2A" w:rsidRDefault="00E76F94" w:rsidP="00120B2F">
                      <w:pPr>
                        <w:spacing w:after="0" w:line="240" w:lineRule="auto"/>
                        <w:rPr>
                          <w:sz w:val="18"/>
                          <w:szCs w:val="18"/>
                        </w:rPr>
                      </w:pPr>
                    </w:p>
                  </w:txbxContent>
                </v:textbox>
              </v:shape>
            </w:pict>
          </mc:Fallback>
        </mc:AlternateContent>
      </w:r>
      <w:bookmarkEnd w:id="17"/>
      <w:bookmarkEnd w:id="18"/>
      <w:bookmarkEnd w:id="19"/>
    </w:p>
    <w:sectPr w:rsidR="00691415" w:rsidSect="00997F9C">
      <w:pgSz w:w="16838" w:h="11906" w:orient="landscape" w:code="9"/>
      <w:pgMar w:top="1418" w:right="1418" w:bottom="1418" w:left="1418" w:header="510" w:footer="39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A88" w:rsidRDefault="00D93A88">
      <w:pPr>
        <w:spacing w:after="0" w:line="240" w:lineRule="auto"/>
      </w:pPr>
      <w:r>
        <w:separator/>
      </w:r>
    </w:p>
  </w:endnote>
  <w:endnote w:type="continuationSeparator" w:id="0">
    <w:p w:rsidR="00D93A88" w:rsidRDefault="00D93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F94" w:rsidRPr="00F22A1B" w:rsidRDefault="0016136C" w:rsidP="00F22A1B">
    <w:pPr>
      <w:pStyle w:val="Zpat"/>
    </w:pPr>
    <w:r>
      <w:fldChar w:fldCharType="begin"/>
    </w:r>
    <w:r>
      <w:instrText xml:space="preserve"> FILENAME   \* MERGEFORMAT </w:instrText>
    </w:r>
    <w:r>
      <w:fldChar w:fldCharType="separate"/>
    </w:r>
    <w:r>
      <w:rPr>
        <w:noProof/>
      </w:rPr>
      <w:t>Metodika 17+ komplet pracovní verze_2016_09_23.docx</w:t>
    </w:r>
    <w:r>
      <w:rPr>
        <w:noProof/>
      </w:rPr>
      <w:fldChar w:fldCharType="end"/>
    </w:r>
    <w:r w:rsidR="00E76F94">
      <w:tab/>
    </w:r>
    <w:r w:rsidR="00E76F94">
      <w:fldChar w:fldCharType="begin"/>
    </w:r>
    <w:r w:rsidR="00E76F94">
      <w:instrText xml:space="preserve"> PAGE   \* MERGEFORMAT </w:instrText>
    </w:r>
    <w:r w:rsidR="00E76F94">
      <w:fldChar w:fldCharType="separate"/>
    </w:r>
    <w:r>
      <w:rPr>
        <w:noProof/>
      </w:rPr>
      <w:t>1</w:t>
    </w:r>
    <w:r w:rsidR="00E76F94">
      <w:rPr>
        <w:noProof/>
      </w:rPr>
      <w:fldChar w:fldCharType="end"/>
    </w:r>
    <w:r w:rsidR="00E76F94">
      <w:t xml:space="preserve"> / </w:t>
    </w:r>
    <w:r>
      <w:fldChar w:fldCharType="begin"/>
    </w:r>
    <w:r>
      <w:instrText xml:space="preserve"> NUMPAGES   \* MERGEFORMAT </w:instrText>
    </w:r>
    <w:r>
      <w:fldChar w:fldCharType="separate"/>
    </w:r>
    <w:r>
      <w:rPr>
        <w:noProof/>
      </w:rPr>
      <w:t>37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A88" w:rsidRDefault="00D93A88">
      <w:pPr>
        <w:spacing w:after="0" w:line="240" w:lineRule="auto"/>
      </w:pPr>
      <w:r>
        <w:separator/>
      </w:r>
    </w:p>
  </w:footnote>
  <w:footnote w:type="continuationSeparator" w:id="0">
    <w:p w:rsidR="00D93A88" w:rsidRDefault="00D93A88">
      <w:pPr>
        <w:spacing w:after="0" w:line="240" w:lineRule="auto"/>
      </w:pPr>
      <w:r>
        <w:continuationSeparator/>
      </w:r>
    </w:p>
  </w:footnote>
  <w:footnote w:id="1">
    <w:p w:rsidR="00E76F94" w:rsidRDefault="00E76F94">
      <w:pPr>
        <w:pStyle w:val="Textpoznpodarou"/>
      </w:pPr>
      <w:r>
        <w:rPr>
          <w:rStyle w:val="Znakapoznpodarou"/>
        </w:rPr>
        <w:footnoteRef/>
      </w:r>
      <w:r>
        <w:t xml:space="preserve"> Obrázek schématicky ilustruje situaci při dělení do 3 skupin.</w:t>
      </w:r>
    </w:p>
  </w:footnote>
  <w:footnote w:id="2">
    <w:p w:rsidR="00E76F94" w:rsidRDefault="00E76F94" w:rsidP="0034190F">
      <w:pPr>
        <w:pStyle w:val="Textpoznpodarou"/>
      </w:pPr>
      <w:r>
        <w:rPr>
          <w:rStyle w:val="Znakapoznpodarou"/>
        </w:rPr>
        <w:footnoteRef/>
      </w:r>
      <w:r>
        <w:t xml:space="preserve"> § 7 odst. 7 zákona č. 130/2002 Sb.</w:t>
      </w:r>
    </w:p>
  </w:footnote>
  <w:footnote w:id="3">
    <w:p w:rsidR="00E76F94" w:rsidRPr="00144E08" w:rsidRDefault="00E76F94" w:rsidP="00843580">
      <w:pPr>
        <w:pStyle w:val="Textpoznpodarou"/>
        <w:rPr>
          <w:rFonts w:cs="Times New Roman"/>
        </w:rPr>
      </w:pPr>
      <w:r w:rsidRPr="00144E08">
        <w:rPr>
          <w:rStyle w:val="Znakapoznpodarou"/>
          <w:rFonts w:cs="Times New Roman"/>
        </w:rPr>
        <w:footnoteRef/>
      </w:r>
      <w:r w:rsidRPr="00144E08">
        <w:rPr>
          <w:rFonts w:cs="Times New Roman"/>
        </w:rPr>
        <w:t xml:space="preserve"> Redukce počtu oborů pro účely hodnocení byla provedena přidružením některých oborů k oborům obsahově příbuzným na základě doporučení IPn Metodika. Podobnou redukci oborů provedla při svém hodnocení AVČR. Seznam OECD obsahuje 6 oborových skupin s celkem 42</w:t>
      </w:r>
      <w:r w:rsidR="00FE10BD">
        <w:rPr>
          <w:rFonts w:cs="Times New Roman"/>
        </w:rPr>
        <w:t xml:space="preserve"> obory, in OECD Fields of Research and Development Classification 28. 4. 2015.</w:t>
      </w:r>
    </w:p>
  </w:footnote>
  <w:footnote w:id="4">
    <w:p w:rsidR="00E76F94" w:rsidRDefault="00E76F94">
      <w:pPr>
        <w:pStyle w:val="Textpoznpodarou"/>
      </w:pPr>
      <w:r>
        <w:rPr>
          <w:rStyle w:val="Znakapoznpodarou"/>
        </w:rPr>
        <w:footnoteRef/>
      </w:r>
      <w:r>
        <w:t xml:space="preserve"> Viz také hodnocení AV ČR nebo postup navrhovaný Metodikou 17+ pro hodnocení v působnosti rezortních poskytovatelů.</w:t>
      </w:r>
    </w:p>
  </w:footnote>
  <w:footnote w:id="5">
    <w:p w:rsidR="00E76F94" w:rsidRDefault="00E76F94" w:rsidP="005B0DD0">
      <w:pPr>
        <w:pStyle w:val="Textpoznpodarou"/>
        <w:ind w:left="181" w:hanging="181"/>
      </w:pPr>
      <w:r>
        <w:rPr>
          <w:rStyle w:val="Znakapoznpodarou"/>
        </w:rPr>
        <w:footnoteRef/>
      </w:r>
      <w:r>
        <w:tab/>
        <w:t>Včetně zákona č. 194/2016 Sb.</w:t>
      </w:r>
    </w:p>
  </w:footnote>
  <w:footnote w:id="6">
    <w:p w:rsidR="00E76F94" w:rsidRPr="00C67FBC" w:rsidRDefault="00E76F94" w:rsidP="005B0DD0">
      <w:pPr>
        <w:pStyle w:val="Default"/>
        <w:spacing w:after="60"/>
        <w:ind w:left="181" w:hanging="181"/>
        <w:rPr>
          <w:rFonts w:asciiTheme="minorHAnsi" w:hAnsiTheme="minorHAnsi"/>
          <w:sz w:val="20"/>
          <w:szCs w:val="20"/>
        </w:rPr>
      </w:pPr>
      <w:r w:rsidRPr="00C67FBC">
        <w:rPr>
          <w:rStyle w:val="Znakapoznpodarou"/>
          <w:rFonts w:asciiTheme="minorHAnsi" w:hAnsiTheme="minorHAnsi"/>
          <w:sz w:val="20"/>
          <w:szCs w:val="20"/>
        </w:rPr>
        <w:footnoteRef/>
      </w:r>
      <w:r w:rsidRPr="00C67FBC">
        <w:rPr>
          <w:rFonts w:asciiTheme="minorHAnsi" w:hAnsiTheme="minorHAnsi"/>
          <w:sz w:val="20"/>
          <w:szCs w:val="20"/>
        </w:rPr>
        <w:tab/>
        <w:t>NP VaVaI byla schválena usnesením vlády ze dne 17. února 2016 č. 135.</w:t>
      </w:r>
    </w:p>
  </w:footnote>
  <w:footnote w:id="7">
    <w:p w:rsidR="00E76F94" w:rsidRDefault="00E76F94" w:rsidP="005B0DD0">
      <w:pPr>
        <w:pStyle w:val="Textpoznpodarou"/>
        <w:ind w:left="181" w:hanging="181"/>
      </w:pPr>
      <w:r>
        <w:rPr>
          <w:rStyle w:val="Znakapoznpodarou"/>
        </w:rPr>
        <w:footnoteRef/>
      </w:r>
      <w:r>
        <w:tab/>
        <w:t>Termíny může poskytovatel při specifikaci M2017+ přiměřeně upravit.</w:t>
      </w:r>
    </w:p>
  </w:footnote>
  <w:footnote w:id="8">
    <w:p w:rsidR="00E76F94" w:rsidRDefault="00E76F94" w:rsidP="005B0DD0">
      <w:pPr>
        <w:pStyle w:val="Textpoznpodarou"/>
      </w:pPr>
      <w:r>
        <w:rPr>
          <w:rStyle w:val="Znakapoznpodarou"/>
        </w:rPr>
        <w:footnoteRef/>
      </w:r>
      <w:r>
        <w:t xml:space="preserve"> Do 5. ledna 2019 průběžná zpráva za r. 2018 atd.</w:t>
      </w:r>
    </w:p>
  </w:footnote>
  <w:footnote w:id="9">
    <w:p w:rsidR="00E76F94" w:rsidRDefault="00E76F94" w:rsidP="005B0DD0">
      <w:pPr>
        <w:pStyle w:val="Textpoznpodarou"/>
      </w:pPr>
      <w:r>
        <w:rPr>
          <w:rStyle w:val="Znakapoznpodarou"/>
        </w:rPr>
        <w:footnoteRef/>
      </w:r>
      <w:r>
        <w:t xml:space="preserve"> V r. 2017 ke dni 1. července 2017, kdy nabývá účinnosti § 33a zákona č. 130/2002 Sb.</w:t>
      </w:r>
    </w:p>
  </w:footnote>
  <w:footnote w:id="10">
    <w:p w:rsidR="00E76F94" w:rsidRDefault="00E76F94" w:rsidP="005B0DD0">
      <w:pPr>
        <w:pStyle w:val="Textpoznpodarou"/>
      </w:pPr>
      <w:r>
        <w:rPr>
          <w:rStyle w:val="Znakapoznpodarou"/>
        </w:rPr>
        <w:footnoteRef/>
      </w:r>
      <w:r>
        <w:t xml:space="preserve"> </w:t>
      </w:r>
      <w:r>
        <w:rPr>
          <w:szCs w:val="22"/>
        </w:rPr>
        <w:t>Poskytovatel může v odůvodněných případech tuto dobu zkrátit.</w:t>
      </w:r>
    </w:p>
  </w:footnote>
  <w:footnote w:id="11">
    <w:p w:rsidR="00E76F94" w:rsidRDefault="00E76F94" w:rsidP="005B0DD0">
      <w:pPr>
        <w:pStyle w:val="Textpoznpodarou"/>
      </w:pPr>
      <w:r>
        <w:rPr>
          <w:rStyle w:val="Znakapoznpodarou"/>
        </w:rPr>
        <w:footnoteRef/>
      </w:r>
      <w:r>
        <w:t xml:space="preserve"> </w:t>
      </w:r>
      <w:r>
        <w:rPr>
          <w:szCs w:val="22"/>
        </w:rPr>
        <w:t>Poskytovatel může v odůvodněných případech tuto dobu zkrátit.</w:t>
      </w:r>
    </w:p>
  </w:footnote>
  <w:footnote w:id="12">
    <w:p w:rsidR="00E76F94" w:rsidRDefault="00E76F94" w:rsidP="005B0DD0">
      <w:pPr>
        <w:pStyle w:val="Textpoznpodarou"/>
        <w:ind w:left="180" w:hanging="180"/>
      </w:pPr>
      <w:r>
        <w:rPr>
          <w:rStyle w:val="Znakapoznpodarou"/>
        </w:rPr>
        <w:footnoteRef/>
      </w:r>
      <w:r>
        <w:tab/>
        <w:t>Tj. např</w:t>
      </w:r>
      <w:r w:rsidRPr="00BD71EB">
        <w:rPr>
          <w:i/>
        </w:rPr>
        <w:t>. Dlouhodobá koncepce rozvoje výzkumné organizace, Výzkumný ústav …, 2018 – 2022</w:t>
      </w:r>
      <w:r>
        <w:t>)</w:t>
      </w:r>
    </w:p>
  </w:footnote>
  <w:footnote w:id="13">
    <w:p w:rsidR="00E76F94" w:rsidRDefault="00E76F94" w:rsidP="005B0DD0">
      <w:pPr>
        <w:pStyle w:val="Textvysvtlivek"/>
        <w:spacing w:after="0" w:line="240" w:lineRule="auto"/>
        <w:ind w:left="180" w:hanging="180"/>
      </w:pPr>
      <w:r>
        <w:rPr>
          <w:rStyle w:val="Znakapoznpodarou"/>
        </w:rPr>
        <w:footnoteRef/>
      </w:r>
      <w:r>
        <w:tab/>
        <w:t>Podle aktuálně platné koncepce výzkumu a vývoje poskytovatelů institucionální podpory nebo podle jiných koncepcí, které poskytovatel specifikuje:</w:t>
      </w:r>
    </w:p>
    <w:p w:rsidR="00E76F94" w:rsidRPr="00767A31" w:rsidRDefault="00E76F94" w:rsidP="005B0DD0">
      <w:pPr>
        <w:pStyle w:val="Textvysvtlivek"/>
        <w:spacing w:after="0" w:line="240" w:lineRule="auto"/>
        <w:ind w:left="720" w:hanging="540"/>
        <w:rPr>
          <w:i/>
        </w:rPr>
      </w:pPr>
      <w:r w:rsidRPr="00E44CDF">
        <w:rPr>
          <w:b/>
          <w:i/>
        </w:rPr>
        <w:t>MK</w:t>
      </w:r>
      <w:r w:rsidRPr="00767A31">
        <w:rPr>
          <w:i/>
        </w:rPr>
        <w:t xml:space="preserve"> - Meziresortní </w:t>
      </w:r>
      <w:hyperlink r:id="rId1" w:history="1">
        <w:r w:rsidRPr="00767A31">
          <w:rPr>
            <w:rStyle w:val="Hypertextovodkaz"/>
            <w:i/>
          </w:rPr>
          <w:t>koncepce aplikovaného výzkumu a vývoje národní a kulturní identity na léta 2016 až 2022</w:t>
        </w:r>
      </w:hyperlink>
      <w:r w:rsidRPr="00767A31">
        <w:rPr>
          <w:i/>
        </w:rPr>
        <w:t xml:space="preserve"> (usn. vlády ze dne </w:t>
      </w:r>
      <w:r>
        <w:rPr>
          <w:i/>
        </w:rPr>
        <w:t>2</w:t>
      </w:r>
      <w:r w:rsidRPr="00767A31">
        <w:rPr>
          <w:i/>
        </w:rPr>
        <w:t>7. 11. 2013 č. 886)</w:t>
      </w:r>
      <w:r>
        <w:rPr>
          <w:i/>
        </w:rPr>
        <w:t>,</w:t>
      </w:r>
    </w:p>
    <w:p w:rsidR="00E76F94" w:rsidRPr="00767A31" w:rsidRDefault="00E76F94" w:rsidP="005B0DD0">
      <w:pPr>
        <w:pStyle w:val="Textvysvtlivek"/>
        <w:spacing w:after="0" w:line="240" w:lineRule="auto"/>
        <w:ind w:left="720" w:hanging="540"/>
        <w:rPr>
          <w:i/>
        </w:rPr>
      </w:pPr>
      <w:r w:rsidRPr="00E44CDF">
        <w:rPr>
          <w:b/>
          <w:i/>
        </w:rPr>
        <w:t>MZ</w:t>
      </w:r>
      <w:r w:rsidRPr="00767A31">
        <w:rPr>
          <w:i/>
        </w:rPr>
        <w:t xml:space="preserve"> - </w:t>
      </w:r>
      <w:hyperlink r:id="rId2" w:history="1">
        <w:r w:rsidRPr="00767A31">
          <w:rPr>
            <w:rStyle w:val="Hypertextovodkaz"/>
            <w:i/>
          </w:rPr>
          <w:t>Koncepce zdravotnického výzkumu do roku 2022</w:t>
        </w:r>
      </w:hyperlink>
      <w:r w:rsidRPr="00767A31">
        <w:rPr>
          <w:i/>
        </w:rPr>
        <w:t xml:space="preserve"> (usn. vlády ze dne 22. 1. 2014 č. 58)</w:t>
      </w:r>
      <w:r>
        <w:rPr>
          <w:i/>
        </w:rPr>
        <w:t>,</w:t>
      </w:r>
    </w:p>
    <w:p w:rsidR="00E76F94" w:rsidRPr="00767A31" w:rsidRDefault="00E76F94" w:rsidP="005B0DD0">
      <w:pPr>
        <w:pStyle w:val="Textvysvtlivek"/>
        <w:spacing w:after="0" w:line="240" w:lineRule="auto"/>
        <w:ind w:left="720" w:hanging="540"/>
        <w:rPr>
          <w:i/>
        </w:rPr>
      </w:pPr>
      <w:r w:rsidRPr="00E44CDF">
        <w:rPr>
          <w:b/>
          <w:i/>
        </w:rPr>
        <w:t>MZe</w:t>
      </w:r>
      <w:r w:rsidRPr="00767A31">
        <w:rPr>
          <w:i/>
        </w:rPr>
        <w:t xml:space="preserve"> - </w:t>
      </w:r>
      <w:hyperlink r:id="rId3" w:history="1">
        <w:r w:rsidRPr="00767A31">
          <w:rPr>
            <w:rStyle w:val="Hypertextovodkaz"/>
            <w:i/>
          </w:rPr>
          <w:t>Koncepce výzkumu, vývoje a inovací Ministerstva zemědělství na léta 2016–2022</w:t>
        </w:r>
      </w:hyperlink>
      <w:r w:rsidRPr="00767A31">
        <w:rPr>
          <w:i/>
        </w:rPr>
        <w:t xml:space="preserve"> (usn. vlády ze dne 3. 2. 2016 č. 82)</w:t>
      </w:r>
      <w:r>
        <w:rPr>
          <w:i/>
        </w:rPr>
        <w:t>,</w:t>
      </w:r>
    </w:p>
    <w:p w:rsidR="00E76F94" w:rsidRPr="00767A31" w:rsidRDefault="00E76F94" w:rsidP="005B0DD0">
      <w:pPr>
        <w:pStyle w:val="Textvysvtlivek"/>
        <w:spacing w:after="0" w:line="240" w:lineRule="auto"/>
        <w:ind w:left="720" w:hanging="540"/>
        <w:rPr>
          <w:i/>
        </w:rPr>
      </w:pPr>
      <w:r w:rsidRPr="00E44CDF">
        <w:rPr>
          <w:b/>
          <w:i/>
        </w:rPr>
        <w:t>MO</w:t>
      </w:r>
      <w:r w:rsidRPr="00767A31">
        <w:rPr>
          <w:i/>
        </w:rPr>
        <w:t xml:space="preserve"> - </w:t>
      </w:r>
      <w:hyperlink r:id="rId4" w:history="1">
        <w:r w:rsidRPr="00DA6F41">
          <w:rPr>
            <w:rStyle w:val="Hypertextovodkaz"/>
            <w:i/>
          </w:rPr>
          <w:t>Koncepce obranného aplikovaného výzkumu, vývoje a inovací na období 2016 až 2022</w:t>
        </w:r>
      </w:hyperlink>
      <w:r w:rsidRPr="00767A31">
        <w:rPr>
          <w:i/>
        </w:rPr>
        <w:t xml:space="preserve"> (usn. vlády ze dne 21. 3. 2016 č. 246)</w:t>
      </w:r>
      <w:r>
        <w:rPr>
          <w:i/>
        </w:rPr>
        <w:t>,</w:t>
      </w:r>
    </w:p>
    <w:p w:rsidR="00E76F94" w:rsidRPr="001E1F33" w:rsidRDefault="00E76F94" w:rsidP="005B0DD0">
      <w:pPr>
        <w:pStyle w:val="Textvysvtlivek"/>
        <w:spacing w:after="0" w:line="240" w:lineRule="auto"/>
        <w:ind w:left="720" w:hanging="540"/>
        <w:rPr>
          <w:rStyle w:val="Hypertextovodkaz"/>
          <w:i/>
        </w:rPr>
      </w:pPr>
      <w:r w:rsidRPr="001E1F33">
        <w:rPr>
          <w:rStyle w:val="Hypertextovodkaz"/>
          <w:b/>
          <w:i/>
        </w:rPr>
        <w:t>MV</w:t>
      </w:r>
      <w:r w:rsidRPr="001E1F33">
        <w:rPr>
          <w:rStyle w:val="Hypertextovodkaz"/>
          <w:i/>
        </w:rPr>
        <w:t xml:space="preserve"> - Meziresortní koncepce bezpečnostního výzkumu 2009-2015, prodloužená do I</w:t>
      </w:r>
      <w:r>
        <w:rPr>
          <w:rStyle w:val="Hypertextovodkaz"/>
          <w:i/>
        </w:rPr>
        <w:t>.</w:t>
      </w:r>
      <w:r w:rsidRPr="001E1F33">
        <w:rPr>
          <w:rStyle w:val="Hypertextovodkaz"/>
          <w:i/>
        </w:rPr>
        <w:t xml:space="preserve"> Q 2017 a to na základě usnesení Bezpečnostní rady státu č. 32/2015 k Rozvoji systému podpory bezpečnostního výzkumu po roce 2015.</w:t>
      </w:r>
    </w:p>
    <w:p w:rsidR="00E76F94" w:rsidRDefault="00E76F94" w:rsidP="005B0DD0">
      <w:pPr>
        <w:pStyle w:val="Textvysvtlivek"/>
        <w:spacing w:after="0" w:line="240" w:lineRule="auto"/>
        <w:ind w:left="720" w:hanging="540"/>
        <w:rPr>
          <w:i/>
        </w:rPr>
      </w:pPr>
      <w:r w:rsidRPr="00E44CDF">
        <w:rPr>
          <w:b/>
          <w:i/>
        </w:rPr>
        <w:t>AV ČR</w:t>
      </w:r>
      <w:r>
        <w:rPr>
          <w:i/>
        </w:rPr>
        <w:t xml:space="preserve"> - má vlastní hodnocení, její koncepce „</w:t>
      </w:r>
      <w:hyperlink r:id="rId5" w:history="1">
        <w:r w:rsidRPr="00750A3C">
          <w:rPr>
            <w:rStyle w:val="Hypertextovodkaz"/>
            <w:i/>
          </w:rPr>
          <w:t>Strategie AV 21</w:t>
        </w:r>
      </w:hyperlink>
      <w:r>
        <w:rPr>
          <w:i/>
        </w:rPr>
        <w:t xml:space="preserve">“ byla schválena </w:t>
      </w:r>
      <w:r w:rsidRPr="00645BF4">
        <w:rPr>
          <w:i/>
        </w:rPr>
        <w:t>XLV. zasedání Akademického sněmu AV ČR 16. prosince 2014</w:t>
      </w:r>
      <w:r>
        <w:rPr>
          <w:i/>
        </w:rPr>
        <w:t>,</w:t>
      </w:r>
    </w:p>
    <w:p w:rsidR="00E76F94" w:rsidRPr="00767A31" w:rsidRDefault="00E76F94" w:rsidP="005B0DD0">
      <w:pPr>
        <w:pStyle w:val="Textvysvtlivek"/>
        <w:spacing w:after="0" w:line="240" w:lineRule="auto"/>
        <w:ind w:left="1890" w:hanging="1710"/>
        <w:rPr>
          <w:i/>
        </w:rPr>
      </w:pPr>
      <w:r w:rsidRPr="00E44CDF">
        <w:rPr>
          <w:b/>
          <w:i/>
        </w:rPr>
        <w:t>MŠMT</w:t>
      </w:r>
      <w:r>
        <w:rPr>
          <w:b/>
          <w:i/>
        </w:rPr>
        <w:t xml:space="preserve"> a</w:t>
      </w:r>
      <w:r w:rsidRPr="00E44CDF">
        <w:rPr>
          <w:b/>
          <w:i/>
        </w:rPr>
        <w:t xml:space="preserve"> MPO </w:t>
      </w:r>
      <w:r w:rsidRPr="00767A31">
        <w:rPr>
          <w:i/>
        </w:rPr>
        <w:t xml:space="preserve">samostatnou </w:t>
      </w:r>
      <w:r>
        <w:rPr>
          <w:i/>
        </w:rPr>
        <w:t xml:space="preserve">platnou </w:t>
      </w:r>
      <w:r w:rsidRPr="00767A31">
        <w:rPr>
          <w:i/>
        </w:rPr>
        <w:t xml:space="preserve">koncepci VaVaI </w:t>
      </w:r>
      <w:r w:rsidRPr="00E44CDF">
        <w:rPr>
          <w:i/>
        </w:rPr>
        <w:t>schválenou vládou</w:t>
      </w:r>
      <w:r w:rsidRPr="00767A31">
        <w:rPr>
          <w:i/>
        </w:rPr>
        <w:t xml:space="preserve"> nemají</w:t>
      </w:r>
      <w:r>
        <w:rPr>
          <w:i/>
        </w:rPr>
        <w:t>, tj. specifikují jiné koncepční dokumenty resortu schválené vládou.</w:t>
      </w:r>
    </w:p>
    <w:p w:rsidR="00E76F94" w:rsidRDefault="00E76F94" w:rsidP="005B0DD0">
      <w:pPr>
        <w:pStyle w:val="Textvysvtlivek"/>
        <w:spacing w:before="60" w:after="0" w:line="240" w:lineRule="auto"/>
        <w:ind w:left="720" w:hanging="539"/>
      </w:pPr>
      <w:r>
        <w:t>Čtyři koncepce VaV nových poskytovatelů institucionální podpory byly v r. 2016 zatím schváleny RVVI:</w:t>
      </w:r>
    </w:p>
    <w:p w:rsidR="00E76F94" w:rsidRPr="00751789" w:rsidRDefault="00E76F94" w:rsidP="005B0DD0">
      <w:pPr>
        <w:pStyle w:val="Textvysvtlivek"/>
        <w:spacing w:after="0" w:line="240" w:lineRule="auto"/>
        <w:ind w:left="720" w:hanging="540"/>
        <w:rPr>
          <w:i/>
        </w:rPr>
      </w:pPr>
      <w:r w:rsidRPr="00E44CDF">
        <w:rPr>
          <w:b/>
          <w:i/>
        </w:rPr>
        <w:t>MŽP</w:t>
      </w:r>
      <w:r w:rsidRPr="00751789">
        <w:rPr>
          <w:i/>
        </w:rPr>
        <w:t xml:space="preserve"> - </w:t>
      </w:r>
      <w:hyperlink r:id="rId6" w:history="1">
        <w:r w:rsidRPr="00751789">
          <w:rPr>
            <w:rStyle w:val="Hypertextovodkaz"/>
            <w:i/>
          </w:rPr>
          <w:t>Koncepce výzkumu a vývoje Ministerstva životního prostředí na léta 2016 až 2025</w:t>
        </w:r>
      </w:hyperlink>
      <w:r w:rsidRPr="00751789">
        <w:rPr>
          <w:i/>
        </w:rPr>
        <w:t>,</w:t>
      </w:r>
    </w:p>
    <w:p w:rsidR="00E76F94" w:rsidRPr="00751789" w:rsidRDefault="00E76F94" w:rsidP="005B0DD0">
      <w:pPr>
        <w:pStyle w:val="Textvysvtlivek"/>
        <w:spacing w:after="0" w:line="240" w:lineRule="auto"/>
        <w:ind w:left="720" w:hanging="540"/>
        <w:rPr>
          <w:i/>
        </w:rPr>
      </w:pPr>
      <w:r w:rsidRPr="00E44CDF">
        <w:rPr>
          <w:b/>
          <w:i/>
        </w:rPr>
        <w:t>MD</w:t>
      </w:r>
      <w:r w:rsidRPr="00751789">
        <w:rPr>
          <w:i/>
        </w:rPr>
        <w:t xml:space="preserve"> - </w:t>
      </w:r>
      <w:hyperlink r:id="rId7" w:history="1">
        <w:r w:rsidRPr="00751789">
          <w:rPr>
            <w:rStyle w:val="Hypertextovodkaz"/>
            <w:i/>
          </w:rPr>
          <w:t>Koncepce výzkumu, vývoje a inovací resortu dopravy do roku 2030</w:t>
        </w:r>
      </w:hyperlink>
      <w:r w:rsidRPr="00751789">
        <w:rPr>
          <w:i/>
        </w:rPr>
        <w:t>,</w:t>
      </w:r>
    </w:p>
    <w:p w:rsidR="00E76F94" w:rsidRPr="00751789" w:rsidRDefault="00E76F94" w:rsidP="005B0DD0">
      <w:pPr>
        <w:pStyle w:val="Textvysvtlivek"/>
        <w:spacing w:after="0" w:line="240" w:lineRule="auto"/>
        <w:ind w:left="720" w:hanging="540"/>
        <w:rPr>
          <w:bCs/>
          <w:i/>
        </w:rPr>
      </w:pPr>
      <w:r w:rsidRPr="00E44CDF">
        <w:rPr>
          <w:b/>
          <w:i/>
        </w:rPr>
        <w:t>MPSV</w:t>
      </w:r>
      <w:r w:rsidRPr="00751789">
        <w:rPr>
          <w:i/>
        </w:rPr>
        <w:t xml:space="preserve"> - </w:t>
      </w:r>
      <w:hyperlink r:id="rId8" w:history="1">
        <w:r w:rsidRPr="00751789">
          <w:rPr>
            <w:rStyle w:val="Hypertextovodkaz"/>
            <w:bCs/>
            <w:i/>
          </w:rPr>
          <w:t>Koncepce výzkumu a vývoje Ministerstva práce a sociálních věcí</w:t>
        </w:r>
      </w:hyperlink>
      <w:r w:rsidRPr="00751789">
        <w:rPr>
          <w:bCs/>
          <w:i/>
        </w:rPr>
        <w:t>,</w:t>
      </w:r>
    </w:p>
    <w:p w:rsidR="00E76F94" w:rsidRDefault="00E76F94" w:rsidP="005B0DD0">
      <w:pPr>
        <w:pStyle w:val="Textpoznpodarou"/>
        <w:ind w:left="180"/>
      </w:pPr>
      <w:r w:rsidRPr="00E44CDF">
        <w:rPr>
          <w:b/>
          <w:bCs/>
          <w:i/>
        </w:rPr>
        <w:t>MZV</w:t>
      </w:r>
      <w:r w:rsidRPr="00751789">
        <w:rPr>
          <w:bCs/>
          <w:i/>
        </w:rPr>
        <w:t xml:space="preserve"> - </w:t>
      </w:r>
      <w:hyperlink r:id="rId9" w:history="1">
        <w:r w:rsidRPr="00751789">
          <w:rPr>
            <w:rStyle w:val="Hypertextovodkaz"/>
            <w:i/>
          </w:rPr>
          <w:t>Koncepce výzkumu a vývoje Ministerstva zahraničních věcí na léta 2016 až 2025</w:t>
        </w:r>
      </w:hyperlink>
    </w:p>
  </w:footnote>
  <w:footnote w:id="14">
    <w:p w:rsidR="00E76F94" w:rsidRDefault="00E76F94" w:rsidP="005B0DD0">
      <w:pPr>
        <w:pStyle w:val="Textpoznpodarou"/>
      </w:pPr>
      <w:r>
        <w:rPr>
          <w:rStyle w:val="Znakapoznpodarou"/>
        </w:rPr>
        <w:footnoteRef/>
      </w:r>
      <w:r>
        <w:t xml:space="preserve"> </w:t>
      </w:r>
      <w:r>
        <w:rPr>
          <w:szCs w:val="22"/>
        </w:rPr>
        <w:t>Poskytovatel může v odůvodněných případech tuto dobu zkrátit.</w:t>
      </w:r>
    </w:p>
  </w:footnote>
  <w:footnote w:id="15">
    <w:p w:rsidR="00E76F94" w:rsidRDefault="00E76F94" w:rsidP="005B0DD0">
      <w:pPr>
        <w:pStyle w:val="Textpoznpodarou"/>
        <w:ind w:left="181" w:hanging="181"/>
      </w:pPr>
      <w:r>
        <w:rPr>
          <w:rStyle w:val="Znakapoznpodarou"/>
        </w:rPr>
        <w:footnoteRef/>
      </w:r>
      <w:r>
        <w:tab/>
        <w:t>Viz opatření č. 10 NP VaVaI ČR 2016 – 2020 (str. 40).</w:t>
      </w:r>
    </w:p>
  </w:footnote>
  <w:footnote w:id="16">
    <w:p w:rsidR="00E76F94" w:rsidRDefault="00E76F94" w:rsidP="005B0DD0">
      <w:pPr>
        <w:pStyle w:val="Textpoznpodarou"/>
        <w:ind w:left="181" w:hanging="181"/>
      </w:pPr>
      <w:r>
        <w:rPr>
          <w:rStyle w:val="Znakapoznpodarou"/>
        </w:rPr>
        <w:footnoteRef/>
      </w:r>
      <w:r>
        <w:tab/>
        <w:t xml:space="preserve">Viz </w:t>
      </w:r>
      <w:hyperlink r:id="rId10" w:history="1">
        <w:r w:rsidRPr="000E7CD0">
          <w:rPr>
            <w:rStyle w:val="Hypertextovodkaz"/>
          </w:rPr>
          <w:t xml:space="preserve">Metodika hodnocení ve výzkumu </w:t>
        </w:r>
        <w:r>
          <w:rPr>
            <w:rStyle w:val="Hypertextovodkaz"/>
          </w:rPr>
          <w:t>a vývoji a zásady financování (S</w:t>
        </w:r>
        <w:r w:rsidRPr="000E7CD0">
          <w:rPr>
            <w:rStyle w:val="Hypertextovodkaz"/>
          </w:rPr>
          <w:t>ouhrnná zpráva)</w:t>
        </w:r>
      </w:hyperlink>
      <w:r w:rsidRPr="00900A6C">
        <w:t xml:space="preserve">, </w:t>
      </w:r>
      <w:r>
        <w:t xml:space="preserve">část </w:t>
      </w:r>
      <w:r w:rsidRPr="002839BB">
        <w:t>3.2.5 Přehled hodnoticích kritérií</w:t>
      </w:r>
      <w:r>
        <w:t>, str. 53 – 58 vč. obr. č. 15 „</w:t>
      </w:r>
      <w:r w:rsidRPr="002C1A06">
        <w:rPr>
          <w:i/>
        </w:rPr>
        <w:t>Seznam hlavn</w:t>
      </w:r>
      <w:r w:rsidRPr="002C1A06">
        <w:rPr>
          <w:rFonts w:hint="eastAsia"/>
          <w:i/>
        </w:rPr>
        <w:t>í</w:t>
      </w:r>
      <w:r w:rsidRPr="002C1A06">
        <w:rPr>
          <w:i/>
        </w:rPr>
        <w:t>ch indik</w:t>
      </w:r>
      <w:r w:rsidRPr="002C1A06">
        <w:rPr>
          <w:rFonts w:hint="eastAsia"/>
          <w:i/>
        </w:rPr>
        <w:t>á</w:t>
      </w:r>
      <w:r w:rsidRPr="002C1A06">
        <w:rPr>
          <w:i/>
        </w:rPr>
        <w:t>tor</w:t>
      </w:r>
      <w:r w:rsidRPr="002C1A06">
        <w:rPr>
          <w:rFonts w:hint="eastAsia"/>
          <w:i/>
        </w:rPr>
        <w:t>ů</w:t>
      </w:r>
      <w:r w:rsidRPr="002C1A06">
        <w:rPr>
          <w:i/>
        </w:rPr>
        <w:t xml:space="preserve"> a jejich relevance pro typy VO</w:t>
      </w:r>
      <w:r>
        <w:t>“.</w:t>
      </w:r>
    </w:p>
  </w:footnote>
  <w:footnote w:id="17">
    <w:p w:rsidR="00E76F94" w:rsidRDefault="00E76F94" w:rsidP="005B0DD0">
      <w:pPr>
        <w:pStyle w:val="Textpoznpodarou"/>
        <w:ind w:left="180" w:hanging="180"/>
      </w:pPr>
      <w:r>
        <w:rPr>
          <w:rStyle w:val="Znakapoznpodarou"/>
        </w:rPr>
        <w:footnoteRef/>
      </w:r>
      <w:r>
        <w:tab/>
        <w:t>Tj. např</w:t>
      </w:r>
      <w:r w:rsidRPr="00BD71EB">
        <w:rPr>
          <w:i/>
        </w:rPr>
        <w:t xml:space="preserve">. </w:t>
      </w:r>
      <w:r>
        <w:rPr>
          <w:i/>
        </w:rPr>
        <w:t>Závěrečná zpráva o plnění d</w:t>
      </w:r>
      <w:r w:rsidRPr="00BD71EB">
        <w:rPr>
          <w:i/>
        </w:rPr>
        <w:t>louhodob</w:t>
      </w:r>
      <w:r>
        <w:rPr>
          <w:i/>
        </w:rPr>
        <w:t>é</w:t>
      </w:r>
      <w:r w:rsidRPr="00BD71EB">
        <w:rPr>
          <w:i/>
        </w:rPr>
        <w:t xml:space="preserve"> koncepce rozvoje výzkumné organizace, Výzkumný ústav …, 2018 – 2022</w:t>
      </w:r>
      <w:r>
        <w:t>).</w:t>
      </w:r>
    </w:p>
  </w:footnote>
  <w:footnote w:id="18">
    <w:p w:rsidR="00E76F94" w:rsidRDefault="00E76F94" w:rsidP="005B0DD0">
      <w:pPr>
        <w:pStyle w:val="Textvysvtlivek"/>
        <w:spacing w:after="0" w:line="240" w:lineRule="auto"/>
        <w:ind w:left="180" w:hanging="180"/>
      </w:pPr>
      <w:r>
        <w:rPr>
          <w:rStyle w:val="Znakapoznpodarou"/>
        </w:rPr>
        <w:footnoteRef/>
      </w:r>
      <w:r>
        <w:tab/>
        <w:t>Podle aktuálně platné koncepce výzkumu a vývoje poskytovatelů institucionální podpory nebo podle jiných koncepčních a strategickým materiálů poskytovatele schválených vládou, které poskytovatel specifikuje:</w:t>
      </w:r>
    </w:p>
    <w:p w:rsidR="00E76F94" w:rsidRPr="00767A31" w:rsidRDefault="00E76F94" w:rsidP="005B0DD0">
      <w:pPr>
        <w:pStyle w:val="Textvysvtlivek"/>
        <w:spacing w:after="0" w:line="240" w:lineRule="auto"/>
        <w:ind w:left="720" w:hanging="540"/>
        <w:rPr>
          <w:i/>
        </w:rPr>
      </w:pPr>
      <w:r w:rsidRPr="00E44CDF">
        <w:rPr>
          <w:b/>
          <w:i/>
        </w:rPr>
        <w:t>MK</w:t>
      </w:r>
      <w:r w:rsidRPr="00767A31">
        <w:rPr>
          <w:i/>
        </w:rPr>
        <w:t xml:space="preserve"> - Meziresortní </w:t>
      </w:r>
      <w:hyperlink r:id="rId11" w:history="1">
        <w:r w:rsidRPr="00767A31">
          <w:rPr>
            <w:rStyle w:val="Hypertextovodkaz"/>
            <w:i/>
          </w:rPr>
          <w:t>koncepce aplikovaného výzkumu a vývoje národní a kulturní identity na léta 2016 až 2022</w:t>
        </w:r>
      </w:hyperlink>
      <w:r w:rsidRPr="00767A31">
        <w:rPr>
          <w:i/>
        </w:rPr>
        <w:t xml:space="preserve"> (usn. vlády ze dne </w:t>
      </w:r>
      <w:r>
        <w:rPr>
          <w:i/>
        </w:rPr>
        <w:t>2</w:t>
      </w:r>
      <w:r w:rsidRPr="00767A31">
        <w:rPr>
          <w:i/>
        </w:rPr>
        <w:t>7. 11. 2013 č. 886)</w:t>
      </w:r>
      <w:r>
        <w:rPr>
          <w:i/>
        </w:rPr>
        <w:t>,</w:t>
      </w:r>
    </w:p>
    <w:p w:rsidR="00E76F94" w:rsidRPr="00767A31" w:rsidRDefault="00E76F94" w:rsidP="005B0DD0">
      <w:pPr>
        <w:pStyle w:val="Textvysvtlivek"/>
        <w:spacing w:after="0" w:line="240" w:lineRule="auto"/>
        <w:ind w:left="720" w:hanging="540"/>
        <w:rPr>
          <w:i/>
        </w:rPr>
      </w:pPr>
      <w:r w:rsidRPr="00E44CDF">
        <w:rPr>
          <w:b/>
          <w:i/>
        </w:rPr>
        <w:t>MZ</w:t>
      </w:r>
      <w:r w:rsidRPr="00767A31">
        <w:rPr>
          <w:i/>
        </w:rPr>
        <w:t xml:space="preserve"> - </w:t>
      </w:r>
      <w:hyperlink r:id="rId12" w:history="1">
        <w:r w:rsidRPr="00767A31">
          <w:rPr>
            <w:rStyle w:val="Hypertextovodkaz"/>
            <w:i/>
          </w:rPr>
          <w:t>Koncepce zdravotnického výzkumu do roku 2022</w:t>
        </w:r>
      </w:hyperlink>
      <w:r w:rsidRPr="00767A31">
        <w:rPr>
          <w:i/>
        </w:rPr>
        <w:t xml:space="preserve"> (usn. vlády ze dne 22. 1. 2014 č. 58)</w:t>
      </w:r>
      <w:r>
        <w:rPr>
          <w:i/>
        </w:rPr>
        <w:t>,</w:t>
      </w:r>
    </w:p>
    <w:p w:rsidR="00E76F94" w:rsidRPr="00767A31" w:rsidRDefault="00E76F94" w:rsidP="005B0DD0">
      <w:pPr>
        <w:pStyle w:val="Textvysvtlivek"/>
        <w:spacing w:after="0" w:line="240" w:lineRule="auto"/>
        <w:ind w:left="720" w:hanging="540"/>
        <w:rPr>
          <w:i/>
        </w:rPr>
      </w:pPr>
      <w:r w:rsidRPr="00E44CDF">
        <w:rPr>
          <w:b/>
          <w:i/>
        </w:rPr>
        <w:t>MZe</w:t>
      </w:r>
      <w:r w:rsidRPr="00767A31">
        <w:rPr>
          <w:i/>
        </w:rPr>
        <w:t xml:space="preserve"> - </w:t>
      </w:r>
      <w:hyperlink r:id="rId13" w:history="1">
        <w:r w:rsidRPr="00767A31">
          <w:rPr>
            <w:rStyle w:val="Hypertextovodkaz"/>
            <w:i/>
          </w:rPr>
          <w:t>Koncepce výzkumu, vývoje a inovací Ministerstva zemědělství na léta 2016–2022</w:t>
        </w:r>
      </w:hyperlink>
      <w:r w:rsidRPr="00767A31">
        <w:rPr>
          <w:i/>
        </w:rPr>
        <w:t xml:space="preserve"> (usn. vlády ze dne 3. 2. 2016 č. 82)</w:t>
      </w:r>
      <w:r>
        <w:rPr>
          <w:i/>
        </w:rPr>
        <w:t>,</w:t>
      </w:r>
    </w:p>
    <w:p w:rsidR="00E76F94" w:rsidRPr="00767A31" w:rsidRDefault="00E76F94" w:rsidP="005B0DD0">
      <w:pPr>
        <w:pStyle w:val="Textvysvtlivek"/>
        <w:spacing w:after="0" w:line="240" w:lineRule="auto"/>
        <w:ind w:left="720" w:hanging="540"/>
        <w:rPr>
          <w:i/>
        </w:rPr>
      </w:pPr>
      <w:r w:rsidRPr="00E44CDF">
        <w:rPr>
          <w:b/>
          <w:i/>
        </w:rPr>
        <w:t>MO</w:t>
      </w:r>
      <w:r w:rsidRPr="00767A31">
        <w:rPr>
          <w:i/>
        </w:rPr>
        <w:t xml:space="preserve"> - </w:t>
      </w:r>
      <w:hyperlink r:id="rId14" w:history="1">
        <w:r w:rsidRPr="00DA6F41">
          <w:rPr>
            <w:rStyle w:val="Hypertextovodkaz"/>
            <w:i/>
          </w:rPr>
          <w:t>Koncepce obranného aplikovaného výzkumu, vývoje a inovací na období 2016 až 2022</w:t>
        </w:r>
      </w:hyperlink>
      <w:r w:rsidRPr="00767A31">
        <w:rPr>
          <w:i/>
        </w:rPr>
        <w:t xml:space="preserve"> (usn. vlády ze dne 21. 3. 2016 č. 246)</w:t>
      </w:r>
      <w:r>
        <w:rPr>
          <w:i/>
        </w:rPr>
        <w:t>,</w:t>
      </w:r>
    </w:p>
    <w:p w:rsidR="00E76F94" w:rsidRDefault="00E76F94" w:rsidP="005B0DD0">
      <w:pPr>
        <w:pStyle w:val="Textvysvtlivek"/>
        <w:spacing w:after="0" w:line="240" w:lineRule="auto"/>
        <w:ind w:left="720" w:hanging="540"/>
        <w:rPr>
          <w:i/>
        </w:rPr>
      </w:pPr>
      <w:r w:rsidRPr="00E44CDF">
        <w:rPr>
          <w:b/>
          <w:i/>
        </w:rPr>
        <w:t>AV ČR</w:t>
      </w:r>
      <w:r>
        <w:rPr>
          <w:i/>
        </w:rPr>
        <w:t xml:space="preserve"> - má vlastní hodnocení, její koncepce „</w:t>
      </w:r>
      <w:hyperlink r:id="rId15" w:history="1">
        <w:r w:rsidRPr="00750A3C">
          <w:rPr>
            <w:rStyle w:val="Hypertextovodkaz"/>
            <w:i/>
          </w:rPr>
          <w:t>Strategie AV 21</w:t>
        </w:r>
      </w:hyperlink>
      <w:r>
        <w:rPr>
          <w:i/>
        </w:rPr>
        <w:t xml:space="preserve">“ byla schválena </w:t>
      </w:r>
      <w:r w:rsidRPr="00645BF4">
        <w:rPr>
          <w:i/>
        </w:rPr>
        <w:t>XLV. zasedání Akademického sněmu AV ČR 16. prosince 2014</w:t>
      </w:r>
      <w:r>
        <w:rPr>
          <w:i/>
        </w:rPr>
        <w:t>,</w:t>
      </w:r>
    </w:p>
    <w:p w:rsidR="00E76F94" w:rsidRPr="00767A31" w:rsidRDefault="00E76F94" w:rsidP="005B0DD0">
      <w:pPr>
        <w:pStyle w:val="Textvysvtlivek"/>
        <w:spacing w:after="0" w:line="240" w:lineRule="auto"/>
        <w:ind w:left="1890" w:hanging="1710"/>
        <w:rPr>
          <w:i/>
        </w:rPr>
      </w:pPr>
      <w:r w:rsidRPr="00E44CDF">
        <w:rPr>
          <w:b/>
          <w:i/>
        </w:rPr>
        <w:t>MŠMT, MPO a MV</w:t>
      </w:r>
      <w:r w:rsidRPr="00767A31">
        <w:rPr>
          <w:i/>
        </w:rPr>
        <w:t xml:space="preserve"> samostatnou </w:t>
      </w:r>
      <w:r>
        <w:rPr>
          <w:i/>
        </w:rPr>
        <w:t xml:space="preserve">platnou </w:t>
      </w:r>
      <w:r w:rsidRPr="00767A31">
        <w:rPr>
          <w:i/>
        </w:rPr>
        <w:t xml:space="preserve">koncepci VaVaI </w:t>
      </w:r>
      <w:r w:rsidRPr="00E44CDF">
        <w:rPr>
          <w:i/>
        </w:rPr>
        <w:t>schválenou vládou</w:t>
      </w:r>
      <w:r w:rsidRPr="00767A31">
        <w:rPr>
          <w:i/>
        </w:rPr>
        <w:t xml:space="preserve"> nemají</w:t>
      </w:r>
      <w:r>
        <w:rPr>
          <w:i/>
        </w:rPr>
        <w:t>, tj. specifikují jiné koncepční dokumenty resortu schválené vládou.</w:t>
      </w:r>
    </w:p>
    <w:p w:rsidR="00E76F94" w:rsidRDefault="00E76F94" w:rsidP="005B0DD0">
      <w:pPr>
        <w:pStyle w:val="Textvysvtlivek"/>
        <w:spacing w:before="60" w:after="0" w:line="240" w:lineRule="auto"/>
        <w:ind w:left="720" w:hanging="539"/>
      </w:pPr>
      <w:r>
        <w:t>Čtyři koncepce VaV nových poskytovatelů institucionální podpory byly v r. 2016 zatím schváleny RVVI:</w:t>
      </w:r>
    </w:p>
    <w:p w:rsidR="00E76F94" w:rsidRPr="00751789" w:rsidRDefault="00E76F94" w:rsidP="005B0DD0">
      <w:pPr>
        <w:pStyle w:val="Textvysvtlivek"/>
        <w:spacing w:after="0" w:line="240" w:lineRule="auto"/>
        <w:ind w:left="720" w:hanging="540"/>
        <w:rPr>
          <w:i/>
        </w:rPr>
      </w:pPr>
      <w:r w:rsidRPr="00E44CDF">
        <w:rPr>
          <w:b/>
          <w:i/>
        </w:rPr>
        <w:t>MŽP</w:t>
      </w:r>
      <w:r w:rsidRPr="00751789">
        <w:rPr>
          <w:i/>
        </w:rPr>
        <w:t xml:space="preserve"> - </w:t>
      </w:r>
      <w:hyperlink r:id="rId16" w:history="1">
        <w:r w:rsidRPr="00751789">
          <w:rPr>
            <w:rStyle w:val="Hypertextovodkaz"/>
            <w:i/>
          </w:rPr>
          <w:t>Koncepce výzkumu a vývoje Ministerstva životního prostředí na léta 2016 až 2025</w:t>
        </w:r>
      </w:hyperlink>
      <w:r w:rsidRPr="00751789">
        <w:rPr>
          <w:i/>
        </w:rPr>
        <w:t>,</w:t>
      </w:r>
    </w:p>
    <w:p w:rsidR="00E76F94" w:rsidRPr="00751789" w:rsidRDefault="00E76F94" w:rsidP="005B0DD0">
      <w:pPr>
        <w:pStyle w:val="Textvysvtlivek"/>
        <w:spacing w:after="0" w:line="240" w:lineRule="auto"/>
        <w:ind w:left="720" w:hanging="540"/>
        <w:rPr>
          <w:i/>
        </w:rPr>
      </w:pPr>
      <w:r w:rsidRPr="00E44CDF">
        <w:rPr>
          <w:b/>
          <w:i/>
        </w:rPr>
        <w:t>MD</w:t>
      </w:r>
      <w:r w:rsidRPr="00751789">
        <w:rPr>
          <w:i/>
        </w:rPr>
        <w:t xml:space="preserve"> - </w:t>
      </w:r>
      <w:hyperlink r:id="rId17" w:history="1">
        <w:r w:rsidRPr="00751789">
          <w:rPr>
            <w:rStyle w:val="Hypertextovodkaz"/>
            <w:i/>
          </w:rPr>
          <w:t>Koncepce výzkumu, vývoje a inovací resortu dopravy do roku 2030</w:t>
        </w:r>
      </w:hyperlink>
      <w:r w:rsidRPr="00751789">
        <w:rPr>
          <w:i/>
        </w:rPr>
        <w:t>,</w:t>
      </w:r>
    </w:p>
    <w:p w:rsidR="00E76F94" w:rsidRPr="00751789" w:rsidRDefault="00E76F94" w:rsidP="005B0DD0">
      <w:pPr>
        <w:pStyle w:val="Textvysvtlivek"/>
        <w:spacing w:after="0" w:line="240" w:lineRule="auto"/>
        <w:ind w:left="720" w:hanging="540"/>
        <w:rPr>
          <w:bCs/>
          <w:i/>
        </w:rPr>
      </w:pPr>
      <w:r w:rsidRPr="00E44CDF">
        <w:rPr>
          <w:b/>
          <w:i/>
        </w:rPr>
        <w:t>MPSV</w:t>
      </w:r>
      <w:r w:rsidRPr="00751789">
        <w:rPr>
          <w:i/>
        </w:rPr>
        <w:t xml:space="preserve"> - </w:t>
      </w:r>
      <w:hyperlink r:id="rId18" w:history="1">
        <w:r w:rsidRPr="00751789">
          <w:rPr>
            <w:rStyle w:val="Hypertextovodkaz"/>
            <w:bCs/>
            <w:i/>
          </w:rPr>
          <w:t>Koncepce výzkumu a vývoje Ministerstva práce a sociálních věcí</w:t>
        </w:r>
      </w:hyperlink>
      <w:r w:rsidRPr="00751789">
        <w:rPr>
          <w:bCs/>
          <w:i/>
        </w:rPr>
        <w:t>,</w:t>
      </w:r>
    </w:p>
    <w:p w:rsidR="00E76F94" w:rsidRDefault="00E76F94" w:rsidP="005B0DD0">
      <w:pPr>
        <w:pStyle w:val="Textpoznpodarou"/>
        <w:ind w:left="180"/>
      </w:pPr>
      <w:r w:rsidRPr="00E44CDF">
        <w:rPr>
          <w:b/>
          <w:bCs/>
          <w:i/>
        </w:rPr>
        <w:t>MZV</w:t>
      </w:r>
      <w:r w:rsidRPr="00751789">
        <w:rPr>
          <w:bCs/>
          <w:i/>
        </w:rPr>
        <w:t xml:space="preserve"> - </w:t>
      </w:r>
      <w:hyperlink r:id="rId19" w:history="1">
        <w:r w:rsidRPr="00751789">
          <w:rPr>
            <w:rStyle w:val="Hypertextovodkaz"/>
            <w:i/>
          </w:rPr>
          <w:t>Koncepce výzkumu a vývoje Ministerstva zahraničních věcí na léta 2016 až 2025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062" w:type="dxa"/>
      <w:tblInd w:w="-756" w:type="dxa"/>
      <w:tblLook w:val="04A0" w:firstRow="1" w:lastRow="0" w:firstColumn="1" w:lastColumn="0" w:noHBand="0" w:noVBand="1"/>
    </w:tblPr>
    <w:tblGrid>
      <w:gridCol w:w="8887"/>
      <w:gridCol w:w="1175"/>
    </w:tblGrid>
    <w:tr w:rsidR="00E76F94" w:rsidRPr="000F1A82" w:rsidTr="00181D6D">
      <w:trPr>
        <w:trHeight w:val="875"/>
      </w:trPr>
      <w:tc>
        <w:tcPr>
          <w:tcW w:w="8887" w:type="dxa"/>
          <w:tcBorders>
            <w:top w:val="nil"/>
            <w:left w:val="nil"/>
            <w:bottom w:val="single" w:sz="4" w:space="0" w:color="auto"/>
            <w:right w:val="single" w:sz="6" w:space="0" w:color="auto"/>
          </w:tcBorders>
          <w:vAlign w:val="center"/>
        </w:tcPr>
        <w:p w:rsidR="00E76F94" w:rsidRDefault="00E76F94" w:rsidP="00476D77">
          <w:pPr>
            <w:pStyle w:val="Zhlav"/>
            <w:rPr>
              <w:rFonts w:cs="Arial"/>
              <w:b/>
              <w:color w:val="0B38B5"/>
              <w:sz w:val="20"/>
              <w:szCs w:val="20"/>
            </w:rPr>
          </w:pPr>
          <w:r w:rsidRPr="008B4983">
            <w:rPr>
              <w:rFonts w:cs="Arial"/>
              <w:b/>
              <w:color w:val="0B38B5"/>
              <w:sz w:val="20"/>
              <w:szCs w:val="20"/>
            </w:rPr>
            <w:t>Metodika 17+ verze2016_0</w:t>
          </w:r>
          <w:r>
            <w:rPr>
              <w:rFonts w:cs="Arial"/>
              <w:b/>
              <w:color w:val="0B38B5"/>
              <w:sz w:val="20"/>
              <w:szCs w:val="20"/>
            </w:rPr>
            <w:t>9</w:t>
          </w:r>
          <w:r w:rsidRPr="008B4983">
            <w:rPr>
              <w:rFonts w:cs="Arial"/>
              <w:b/>
              <w:color w:val="0B38B5"/>
              <w:sz w:val="20"/>
              <w:szCs w:val="20"/>
            </w:rPr>
            <w:t>_</w:t>
          </w:r>
          <w:r w:rsidR="00476D77">
            <w:rPr>
              <w:rFonts w:cs="Arial"/>
              <w:b/>
              <w:color w:val="0B38B5"/>
              <w:sz w:val="20"/>
              <w:szCs w:val="20"/>
            </w:rPr>
            <w:t>23</w:t>
          </w:r>
          <w:r w:rsidRPr="008B4983">
            <w:rPr>
              <w:rFonts w:cs="Arial"/>
              <w:b/>
              <w:color w:val="0B38B5"/>
              <w:sz w:val="20"/>
              <w:szCs w:val="20"/>
            </w:rPr>
            <w:t xml:space="preserve">, </w:t>
          </w:r>
          <w:r>
            <w:rPr>
              <w:rFonts w:cs="Arial"/>
              <w:b/>
              <w:color w:val="0B38B5"/>
              <w:sz w:val="20"/>
              <w:szCs w:val="20"/>
            </w:rPr>
            <w:t xml:space="preserve">zpracovala prof. </w:t>
          </w:r>
          <w:r w:rsidRPr="008B4983">
            <w:rPr>
              <w:rFonts w:cs="Arial"/>
              <w:b/>
              <w:color w:val="0B38B5"/>
              <w:sz w:val="20"/>
              <w:szCs w:val="20"/>
            </w:rPr>
            <w:t>Moravcová</w:t>
          </w:r>
          <w:r>
            <w:rPr>
              <w:rFonts w:cs="Arial"/>
              <w:b/>
              <w:color w:val="0B38B5"/>
              <w:sz w:val="20"/>
              <w:szCs w:val="20"/>
            </w:rPr>
            <w:t xml:space="preserve">, rezorty, Sekce VVI </w:t>
          </w:r>
        </w:p>
        <w:p w:rsidR="007A1DBE" w:rsidRPr="008B4983" w:rsidRDefault="007A1DBE" w:rsidP="00476D77">
          <w:pPr>
            <w:pStyle w:val="Zhlav"/>
            <w:rPr>
              <w:rFonts w:cs="Arial"/>
              <w:b/>
              <w:color w:val="0B38B5"/>
              <w:sz w:val="20"/>
              <w:szCs w:val="20"/>
            </w:rPr>
          </w:pPr>
          <w:r>
            <w:rPr>
              <w:rFonts w:cs="Arial"/>
              <w:b/>
              <w:color w:val="0B38B5"/>
              <w:sz w:val="20"/>
              <w:szCs w:val="20"/>
            </w:rPr>
            <w:t>PRACOVNÍ VERZE PRO JEDNÁNÍ RVVI</w:t>
          </w:r>
        </w:p>
      </w:tc>
      <w:tc>
        <w:tcPr>
          <w:tcW w:w="1175" w:type="dxa"/>
          <w:tcBorders>
            <w:top w:val="single" w:sz="6" w:space="0" w:color="auto"/>
            <w:left w:val="single" w:sz="6" w:space="0" w:color="auto"/>
            <w:bottom w:val="single" w:sz="6" w:space="0" w:color="auto"/>
            <w:right w:val="single" w:sz="6" w:space="0" w:color="auto"/>
          </w:tcBorders>
          <w:shd w:val="clear" w:color="auto" w:fill="FFFF99"/>
          <w:vAlign w:val="center"/>
        </w:tcPr>
        <w:p w:rsidR="00E76F94" w:rsidRPr="000F1A82" w:rsidRDefault="00FB12F8" w:rsidP="000F1A82">
          <w:pPr>
            <w:pStyle w:val="Zhlav"/>
            <w:jc w:val="center"/>
            <w:rPr>
              <w:rFonts w:ascii="Arial" w:hAnsi="Arial" w:cs="Arial"/>
              <w:b/>
              <w:color w:val="0070C0"/>
              <w:sz w:val="24"/>
              <w:szCs w:val="24"/>
            </w:rPr>
          </w:pPr>
          <w:r>
            <w:rPr>
              <w:rFonts w:ascii="Arial" w:hAnsi="Arial" w:cs="Arial"/>
              <w:b/>
              <w:color w:val="0070C0"/>
              <w:sz w:val="24"/>
              <w:szCs w:val="24"/>
            </w:rPr>
            <w:t>318/A1</w:t>
          </w:r>
        </w:p>
      </w:tc>
    </w:tr>
  </w:tbl>
  <w:p w:rsidR="00E76F94" w:rsidRPr="000F1A82" w:rsidRDefault="00E76F94" w:rsidP="008B4983">
    <w:pPr>
      <w:tabs>
        <w:tab w:val="center" w:pos="4536"/>
        <w:tab w:val="right" w:pos="9072"/>
      </w:tabs>
      <w:spacing w:after="0" w:line="240" w:lineRule="auto"/>
      <w:rPr>
        <w:rFonts w:ascii="Arial" w:hAnsi="Arial" w:cs="Arial"/>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multilevel"/>
    <w:tmpl w:val="00000012"/>
    <w:name w:val="WW8Num22"/>
    <w:lvl w:ilvl="0">
      <w:start w:val="1"/>
      <w:numFmt w:val="lowerLetter"/>
      <w:lvlText w:val="%1)"/>
      <w:lvlJc w:val="left"/>
      <w:pPr>
        <w:tabs>
          <w:tab w:val="num" w:pos="0"/>
        </w:tabs>
        <w:ind w:left="1684" w:hanging="975"/>
      </w:p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1">
    <w:nsid w:val="0EB15D93"/>
    <w:multiLevelType w:val="hybridMultilevel"/>
    <w:tmpl w:val="24BEF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9017945"/>
    <w:multiLevelType w:val="hybridMultilevel"/>
    <w:tmpl w:val="1C10D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7A47F9D"/>
    <w:multiLevelType w:val="hybridMultilevel"/>
    <w:tmpl w:val="05F28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145DA6"/>
    <w:multiLevelType w:val="hybridMultilevel"/>
    <w:tmpl w:val="019653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F5A3E46"/>
    <w:multiLevelType w:val="hybridMultilevel"/>
    <w:tmpl w:val="A2D430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5FA5A4D"/>
    <w:multiLevelType w:val="hybridMultilevel"/>
    <w:tmpl w:val="162CE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F91375F"/>
    <w:multiLevelType w:val="hybridMultilevel"/>
    <w:tmpl w:val="D31669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0326539"/>
    <w:multiLevelType w:val="hybridMultilevel"/>
    <w:tmpl w:val="0358B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832228"/>
    <w:multiLevelType w:val="hybridMultilevel"/>
    <w:tmpl w:val="CF0CAE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5D0976D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F186295"/>
    <w:multiLevelType w:val="hybridMultilevel"/>
    <w:tmpl w:val="7A72D7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63B1F77"/>
    <w:multiLevelType w:val="multilevel"/>
    <w:tmpl w:val="64F202CE"/>
    <w:lvl w:ilvl="0">
      <w:start w:val="1"/>
      <w:numFmt w:val="decimal"/>
      <w:pStyle w:val="Nadpis1"/>
      <w:lvlText w:val="%1"/>
      <w:lvlJc w:val="left"/>
      <w:pPr>
        <w:ind w:left="432" w:hanging="432"/>
      </w:pPr>
      <w:rPr>
        <w:color w:val="0070C0"/>
      </w:rPr>
    </w:lvl>
    <w:lvl w:ilvl="1">
      <w:start w:val="1"/>
      <w:numFmt w:val="decimal"/>
      <w:pStyle w:val="Nadpis2"/>
      <w:lvlText w:val="%1.%2"/>
      <w:lvlJc w:val="left"/>
      <w:pPr>
        <w:ind w:left="7664" w:hanging="576"/>
      </w:pPr>
      <w:rPr>
        <w:color w:val="0070C0"/>
      </w:rPr>
    </w:lvl>
    <w:lvl w:ilvl="2">
      <w:start w:val="1"/>
      <w:numFmt w:val="decimal"/>
      <w:pStyle w:val="Nadpis3"/>
      <w:lvlText w:val="%1.%2.%3"/>
      <w:lvlJc w:val="left"/>
      <w:pPr>
        <w:ind w:left="720" w:hanging="720"/>
      </w:pPr>
      <w:rPr>
        <w:color w:val="0070C0"/>
      </w:rPr>
    </w:lvl>
    <w:lvl w:ilvl="3">
      <w:start w:val="1"/>
      <w:numFmt w:val="decimal"/>
      <w:pStyle w:val="Nadpis4"/>
      <w:lvlText w:val="%1.%2.%3.%4"/>
      <w:lvlJc w:val="left"/>
      <w:pPr>
        <w:ind w:left="9795"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66726620"/>
    <w:multiLevelType w:val="hybridMultilevel"/>
    <w:tmpl w:val="4B72C4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5">
    <w:nsid w:val="6CF554F9"/>
    <w:multiLevelType w:val="hybridMultilevel"/>
    <w:tmpl w:val="4F5E1F88"/>
    <w:lvl w:ilvl="0" w:tplc="6B401224">
      <w:start w:val="1"/>
      <w:numFmt w:val="lowerLetter"/>
      <w:lvlText w:val="%1)"/>
      <w:lvlJc w:val="left"/>
      <w:pPr>
        <w:ind w:left="396" w:hanging="360"/>
      </w:pPr>
      <w:rPr>
        <w:rFonts w:hint="default"/>
      </w:rPr>
    </w:lvl>
    <w:lvl w:ilvl="1" w:tplc="04050019" w:tentative="1">
      <w:start w:val="1"/>
      <w:numFmt w:val="lowerLetter"/>
      <w:lvlText w:val="%2."/>
      <w:lvlJc w:val="left"/>
      <w:pPr>
        <w:ind w:left="1116" w:hanging="360"/>
      </w:pPr>
    </w:lvl>
    <w:lvl w:ilvl="2" w:tplc="0405001B" w:tentative="1">
      <w:start w:val="1"/>
      <w:numFmt w:val="lowerRoman"/>
      <w:lvlText w:val="%3."/>
      <w:lvlJc w:val="right"/>
      <w:pPr>
        <w:ind w:left="1836" w:hanging="180"/>
      </w:pPr>
    </w:lvl>
    <w:lvl w:ilvl="3" w:tplc="0405000F" w:tentative="1">
      <w:start w:val="1"/>
      <w:numFmt w:val="decimal"/>
      <w:lvlText w:val="%4."/>
      <w:lvlJc w:val="left"/>
      <w:pPr>
        <w:ind w:left="2556" w:hanging="360"/>
      </w:pPr>
    </w:lvl>
    <w:lvl w:ilvl="4" w:tplc="04050019" w:tentative="1">
      <w:start w:val="1"/>
      <w:numFmt w:val="lowerLetter"/>
      <w:lvlText w:val="%5."/>
      <w:lvlJc w:val="left"/>
      <w:pPr>
        <w:ind w:left="3276" w:hanging="360"/>
      </w:pPr>
    </w:lvl>
    <w:lvl w:ilvl="5" w:tplc="0405001B" w:tentative="1">
      <w:start w:val="1"/>
      <w:numFmt w:val="lowerRoman"/>
      <w:lvlText w:val="%6."/>
      <w:lvlJc w:val="right"/>
      <w:pPr>
        <w:ind w:left="3996" w:hanging="180"/>
      </w:pPr>
    </w:lvl>
    <w:lvl w:ilvl="6" w:tplc="0405000F" w:tentative="1">
      <w:start w:val="1"/>
      <w:numFmt w:val="decimal"/>
      <w:lvlText w:val="%7."/>
      <w:lvlJc w:val="left"/>
      <w:pPr>
        <w:ind w:left="4716" w:hanging="360"/>
      </w:pPr>
    </w:lvl>
    <w:lvl w:ilvl="7" w:tplc="04050019" w:tentative="1">
      <w:start w:val="1"/>
      <w:numFmt w:val="lowerLetter"/>
      <w:lvlText w:val="%8."/>
      <w:lvlJc w:val="left"/>
      <w:pPr>
        <w:ind w:left="5436" w:hanging="360"/>
      </w:pPr>
    </w:lvl>
    <w:lvl w:ilvl="8" w:tplc="0405001B" w:tentative="1">
      <w:start w:val="1"/>
      <w:numFmt w:val="lowerRoman"/>
      <w:lvlText w:val="%9."/>
      <w:lvlJc w:val="right"/>
      <w:pPr>
        <w:ind w:left="6156" w:hanging="180"/>
      </w:pPr>
    </w:lvl>
  </w:abstractNum>
  <w:abstractNum w:abstractNumId="16">
    <w:nsid w:val="6D356416"/>
    <w:multiLevelType w:val="hybridMultilevel"/>
    <w:tmpl w:val="629431EE"/>
    <w:lvl w:ilvl="0" w:tplc="E3DA9ECC">
      <w:start w:val="1"/>
      <w:numFmt w:val="lowerLetter"/>
      <w:lvlText w:val="%1)"/>
      <w:lvlJc w:val="left"/>
      <w:pPr>
        <w:ind w:left="396" w:hanging="360"/>
      </w:pPr>
      <w:rPr>
        <w:rFonts w:hint="default"/>
      </w:rPr>
    </w:lvl>
    <w:lvl w:ilvl="1" w:tplc="04050019" w:tentative="1">
      <w:start w:val="1"/>
      <w:numFmt w:val="lowerLetter"/>
      <w:lvlText w:val="%2."/>
      <w:lvlJc w:val="left"/>
      <w:pPr>
        <w:ind w:left="1116" w:hanging="360"/>
      </w:pPr>
    </w:lvl>
    <w:lvl w:ilvl="2" w:tplc="0405001B" w:tentative="1">
      <w:start w:val="1"/>
      <w:numFmt w:val="lowerRoman"/>
      <w:lvlText w:val="%3."/>
      <w:lvlJc w:val="right"/>
      <w:pPr>
        <w:ind w:left="1836" w:hanging="180"/>
      </w:pPr>
    </w:lvl>
    <w:lvl w:ilvl="3" w:tplc="0405000F" w:tentative="1">
      <w:start w:val="1"/>
      <w:numFmt w:val="decimal"/>
      <w:lvlText w:val="%4."/>
      <w:lvlJc w:val="left"/>
      <w:pPr>
        <w:ind w:left="2556" w:hanging="360"/>
      </w:pPr>
    </w:lvl>
    <w:lvl w:ilvl="4" w:tplc="04050019" w:tentative="1">
      <w:start w:val="1"/>
      <w:numFmt w:val="lowerLetter"/>
      <w:lvlText w:val="%5."/>
      <w:lvlJc w:val="left"/>
      <w:pPr>
        <w:ind w:left="3276" w:hanging="360"/>
      </w:pPr>
    </w:lvl>
    <w:lvl w:ilvl="5" w:tplc="0405001B" w:tentative="1">
      <w:start w:val="1"/>
      <w:numFmt w:val="lowerRoman"/>
      <w:lvlText w:val="%6."/>
      <w:lvlJc w:val="right"/>
      <w:pPr>
        <w:ind w:left="3996" w:hanging="180"/>
      </w:pPr>
    </w:lvl>
    <w:lvl w:ilvl="6" w:tplc="0405000F" w:tentative="1">
      <w:start w:val="1"/>
      <w:numFmt w:val="decimal"/>
      <w:lvlText w:val="%7."/>
      <w:lvlJc w:val="left"/>
      <w:pPr>
        <w:ind w:left="4716" w:hanging="360"/>
      </w:pPr>
    </w:lvl>
    <w:lvl w:ilvl="7" w:tplc="04050019" w:tentative="1">
      <w:start w:val="1"/>
      <w:numFmt w:val="lowerLetter"/>
      <w:lvlText w:val="%8."/>
      <w:lvlJc w:val="left"/>
      <w:pPr>
        <w:ind w:left="5436" w:hanging="360"/>
      </w:pPr>
    </w:lvl>
    <w:lvl w:ilvl="8" w:tplc="0405001B" w:tentative="1">
      <w:start w:val="1"/>
      <w:numFmt w:val="lowerRoman"/>
      <w:lvlText w:val="%9."/>
      <w:lvlJc w:val="right"/>
      <w:pPr>
        <w:ind w:left="6156" w:hanging="180"/>
      </w:pPr>
    </w:lvl>
  </w:abstractNum>
  <w:abstractNum w:abstractNumId="17">
    <w:nsid w:val="7BB762CC"/>
    <w:multiLevelType w:val="hybridMultilevel"/>
    <w:tmpl w:val="81EA60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2"/>
  </w:num>
  <w:num w:numId="4">
    <w:abstractNumId w:val="7"/>
  </w:num>
  <w:num w:numId="5">
    <w:abstractNumId w:val="17"/>
  </w:num>
  <w:num w:numId="6">
    <w:abstractNumId w:val="3"/>
  </w:num>
  <w:num w:numId="7">
    <w:abstractNumId w:val="4"/>
  </w:num>
  <w:num w:numId="8">
    <w:abstractNumId w:val="8"/>
  </w:num>
  <w:num w:numId="9">
    <w:abstractNumId w:val="9"/>
  </w:num>
  <w:num w:numId="10">
    <w:abstractNumId w:val="6"/>
  </w:num>
  <w:num w:numId="11">
    <w:abstractNumId w:val="15"/>
  </w:num>
  <w:num w:numId="12">
    <w:abstractNumId w:val="16"/>
  </w:num>
  <w:num w:numId="13">
    <w:abstractNumId w:val="1"/>
  </w:num>
  <w:num w:numId="14">
    <w:abstractNumId w:val="5"/>
  </w:num>
  <w:num w:numId="15">
    <w:abstractNumId w:val="11"/>
  </w:num>
  <w:num w:numId="16">
    <w:abstractNumId w:val="13"/>
  </w:num>
  <w:num w:numId="17">
    <w:abstractNumId w:val="10"/>
  </w:num>
  <w:num w:numId="18">
    <w:abstractNumId w:val="1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Blažka">
    <w15:presenceInfo w15:providerId="None" w15:userId="Marek Blaž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E95"/>
    <w:rsid w:val="00001D22"/>
    <w:rsid w:val="00012B62"/>
    <w:rsid w:val="00013742"/>
    <w:rsid w:val="00015CB2"/>
    <w:rsid w:val="000244E9"/>
    <w:rsid w:val="00027780"/>
    <w:rsid w:val="00030758"/>
    <w:rsid w:val="000378EA"/>
    <w:rsid w:val="00044095"/>
    <w:rsid w:val="00052164"/>
    <w:rsid w:val="000564BD"/>
    <w:rsid w:val="0005757B"/>
    <w:rsid w:val="00061EE7"/>
    <w:rsid w:val="0006433B"/>
    <w:rsid w:val="00066EBA"/>
    <w:rsid w:val="000672E6"/>
    <w:rsid w:val="00067336"/>
    <w:rsid w:val="000764FE"/>
    <w:rsid w:val="00076668"/>
    <w:rsid w:val="00077B95"/>
    <w:rsid w:val="000832F1"/>
    <w:rsid w:val="00085737"/>
    <w:rsid w:val="00085DA2"/>
    <w:rsid w:val="00095999"/>
    <w:rsid w:val="000A0FA0"/>
    <w:rsid w:val="000A3931"/>
    <w:rsid w:val="000A5566"/>
    <w:rsid w:val="000B522B"/>
    <w:rsid w:val="000B5971"/>
    <w:rsid w:val="000C2A38"/>
    <w:rsid w:val="000C3DF0"/>
    <w:rsid w:val="000C533A"/>
    <w:rsid w:val="000C626B"/>
    <w:rsid w:val="000C6D1D"/>
    <w:rsid w:val="000D13F4"/>
    <w:rsid w:val="000D14DA"/>
    <w:rsid w:val="000D2D31"/>
    <w:rsid w:val="000D4B0E"/>
    <w:rsid w:val="000D63E3"/>
    <w:rsid w:val="000D6EDD"/>
    <w:rsid w:val="000E194B"/>
    <w:rsid w:val="000E375D"/>
    <w:rsid w:val="000E6D4C"/>
    <w:rsid w:val="000F0F67"/>
    <w:rsid w:val="000F14F6"/>
    <w:rsid w:val="000F1A82"/>
    <w:rsid w:val="000F55D4"/>
    <w:rsid w:val="0010707F"/>
    <w:rsid w:val="00114FC6"/>
    <w:rsid w:val="001153E7"/>
    <w:rsid w:val="00115E0C"/>
    <w:rsid w:val="00116017"/>
    <w:rsid w:val="00116154"/>
    <w:rsid w:val="00116654"/>
    <w:rsid w:val="00120B2F"/>
    <w:rsid w:val="0012406F"/>
    <w:rsid w:val="0012592A"/>
    <w:rsid w:val="00125957"/>
    <w:rsid w:val="00130926"/>
    <w:rsid w:val="001311F9"/>
    <w:rsid w:val="00136C51"/>
    <w:rsid w:val="00137A0D"/>
    <w:rsid w:val="00137AC6"/>
    <w:rsid w:val="00143130"/>
    <w:rsid w:val="00143B8B"/>
    <w:rsid w:val="00144E08"/>
    <w:rsid w:val="00146DE3"/>
    <w:rsid w:val="00153C20"/>
    <w:rsid w:val="00154F06"/>
    <w:rsid w:val="00156FF5"/>
    <w:rsid w:val="0016136C"/>
    <w:rsid w:val="001640FB"/>
    <w:rsid w:val="001659C9"/>
    <w:rsid w:val="00165C9B"/>
    <w:rsid w:val="001668C3"/>
    <w:rsid w:val="001748C6"/>
    <w:rsid w:val="001807CC"/>
    <w:rsid w:val="00181D6D"/>
    <w:rsid w:val="00186608"/>
    <w:rsid w:val="00187D5A"/>
    <w:rsid w:val="001963F7"/>
    <w:rsid w:val="001A7360"/>
    <w:rsid w:val="001A7BEC"/>
    <w:rsid w:val="001B2122"/>
    <w:rsid w:val="001B25BD"/>
    <w:rsid w:val="001C1177"/>
    <w:rsid w:val="001C1AEA"/>
    <w:rsid w:val="001C41CE"/>
    <w:rsid w:val="001C517A"/>
    <w:rsid w:val="001C68B8"/>
    <w:rsid w:val="001D38A3"/>
    <w:rsid w:val="001D4817"/>
    <w:rsid w:val="001D64F7"/>
    <w:rsid w:val="001D7168"/>
    <w:rsid w:val="001D7849"/>
    <w:rsid w:val="001E0345"/>
    <w:rsid w:val="001E6332"/>
    <w:rsid w:val="001F0192"/>
    <w:rsid w:val="001F10F6"/>
    <w:rsid w:val="001F52D4"/>
    <w:rsid w:val="001F54E5"/>
    <w:rsid w:val="001F6706"/>
    <w:rsid w:val="001F67DE"/>
    <w:rsid w:val="00203221"/>
    <w:rsid w:val="00204441"/>
    <w:rsid w:val="0021076E"/>
    <w:rsid w:val="0021344A"/>
    <w:rsid w:val="00214E1F"/>
    <w:rsid w:val="00216145"/>
    <w:rsid w:val="00221807"/>
    <w:rsid w:val="002219A1"/>
    <w:rsid w:val="00224182"/>
    <w:rsid w:val="00230EF9"/>
    <w:rsid w:val="002310FA"/>
    <w:rsid w:val="00235D46"/>
    <w:rsid w:val="00243616"/>
    <w:rsid w:val="002543B1"/>
    <w:rsid w:val="00257168"/>
    <w:rsid w:val="002714D7"/>
    <w:rsid w:val="00274D99"/>
    <w:rsid w:val="00276D0F"/>
    <w:rsid w:val="00280419"/>
    <w:rsid w:val="00287A9D"/>
    <w:rsid w:val="00290D45"/>
    <w:rsid w:val="0029351A"/>
    <w:rsid w:val="002A5062"/>
    <w:rsid w:val="002A6428"/>
    <w:rsid w:val="002B4437"/>
    <w:rsid w:val="002C383B"/>
    <w:rsid w:val="002C7363"/>
    <w:rsid w:val="002D19D4"/>
    <w:rsid w:val="002D35D0"/>
    <w:rsid w:val="002D3A83"/>
    <w:rsid w:val="002E0A04"/>
    <w:rsid w:val="002E1216"/>
    <w:rsid w:val="002E129E"/>
    <w:rsid w:val="002E37DC"/>
    <w:rsid w:val="002E4521"/>
    <w:rsid w:val="002E7D4D"/>
    <w:rsid w:val="002F33B0"/>
    <w:rsid w:val="003011D3"/>
    <w:rsid w:val="00302968"/>
    <w:rsid w:val="00303A51"/>
    <w:rsid w:val="00304C4A"/>
    <w:rsid w:val="00307B83"/>
    <w:rsid w:val="00307DF9"/>
    <w:rsid w:val="003115E0"/>
    <w:rsid w:val="00315C15"/>
    <w:rsid w:val="00316175"/>
    <w:rsid w:val="00316585"/>
    <w:rsid w:val="00316A73"/>
    <w:rsid w:val="00322497"/>
    <w:rsid w:val="003227B8"/>
    <w:rsid w:val="00324ECA"/>
    <w:rsid w:val="003344B4"/>
    <w:rsid w:val="0033473E"/>
    <w:rsid w:val="00334830"/>
    <w:rsid w:val="00335F3D"/>
    <w:rsid w:val="0034190F"/>
    <w:rsid w:val="00345DE0"/>
    <w:rsid w:val="00345F2E"/>
    <w:rsid w:val="003464AE"/>
    <w:rsid w:val="003517D3"/>
    <w:rsid w:val="00351A80"/>
    <w:rsid w:val="003530A5"/>
    <w:rsid w:val="00353E17"/>
    <w:rsid w:val="00353F87"/>
    <w:rsid w:val="00355C62"/>
    <w:rsid w:val="00356C82"/>
    <w:rsid w:val="0036655C"/>
    <w:rsid w:val="00370402"/>
    <w:rsid w:val="00372495"/>
    <w:rsid w:val="00372A1C"/>
    <w:rsid w:val="00372C98"/>
    <w:rsid w:val="00373781"/>
    <w:rsid w:val="00374343"/>
    <w:rsid w:val="003776C2"/>
    <w:rsid w:val="00377FEB"/>
    <w:rsid w:val="0038081D"/>
    <w:rsid w:val="003810E1"/>
    <w:rsid w:val="00387951"/>
    <w:rsid w:val="0039031B"/>
    <w:rsid w:val="0039329D"/>
    <w:rsid w:val="003969B5"/>
    <w:rsid w:val="003A7FA1"/>
    <w:rsid w:val="003B2DC4"/>
    <w:rsid w:val="003B33F9"/>
    <w:rsid w:val="003B64BE"/>
    <w:rsid w:val="003C05E5"/>
    <w:rsid w:val="003C1A42"/>
    <w:rsid w:val="003C2CB3"/>
    <w:rsid w:val="003C4ED9"/>
    <w:rsid w:val="003C7528"/>
    <w:rsid w:val="003D10A6"/>
    <w:rsid w:val="003D5B5E"/>
    <w:rsid w:val="003D7141"/>
    <w:rsid w:val="003E0D01"/>
    <w:rsid w:val="003E6483"/>
    <w:rsid w:val="003E7CE5"/>
    <w:rsid w:val="003F0891"/>
    <w:rsid w:val="003F1F4E"/>
    <w:rsid w:val="003F3710"/>
    <w:rsid w:val="003F3A86"/>
    <w:rsid w:val="00402416"/>
    <w:rsid w:val="0040303D"/>
    <w:rsid w:val="00405E74"/>
    <w:rsid w:val="00406362"/>
    <w:rsid w:val="00412FEE"/>
    <w:rsid w:val="00422DDC"/>
    <w:rsid w:val="00425AE2"/>
    <w:rsid w:val="00430CE3"/>
    <w:rsid w:val="0043749C"/>
    <w:rsid w:val="004403D4"/>
    <w:rsid w:val="00440914"/>
    <w:rsid w:val="00442A2E"/>
    <w:rsid w:val="00444305"/>
    <w:rsid w:val="0044464B"/>
    <w:rsid w:val="00444CCD"/>
    <w:rsid w:val="0044588A"/>
    <w:rsid w:val="00447EC5"/>
    <w:rsid w:val="0045052A"/>
    <w:rsid w:val="00451671"/>
    <w:rsid w:val="00451915"/>
    <w:rsid w:val="0045341C"/>
    <w:rsid w:val="00461271"/>
    <w:rsid w:val="00461916"/>
    <w:rsid w:val="0046396E"/>
    <w:rsid w:val="00464936"/>
    <w:rsid w:val="00467CFD"/>
    <w:rsid w:val="00472E56"/>
    <w:rsid w:val="0047498E"/>
    <w:rsid w:val="00476A5F"/>
    <w:rsid w:val="00476D77"/>
    <w:rsid w:val="00476F3E"/>
    <w:rsid w:val="004857E9"/>
    <w:rsid w:val="00492F83"/>
    <w:rsid w:val="00495747"/>
    <w:rsid w:val="004961E8"/>
    <w:rsid w:val="004A304C"/>
    <w:rsid w:val="004A3E6E"/>
    <w:rsid w:val="004B0F58"/>
    <w:rsid w:val="004C1748"/>
    <w:rsid w:val="004C76C1"/>
    <w:rsid w:val="004D0003"/>
    <w:rsid w:val="004D0C3F"/>
    <w:rsid w:val="004D1093"/>
    <w:rsid w:val="004E2B82"/>
    <w:rsid w:val="004E37F1"/>
    <w:rsid w:val="004E493D"/>
    <w:rsid w:val="004F0AA9"/>
    <w:rsid w:val="004F1E92"/>
    <w:rsid w:val="004F66DC"/>
    <w:rsid w:val="00503C5D"/>
    <w:rsid w:val="00503C88"/>
    <w:rsid w:val="005067DC"/>
    <w:rsid w:val="005078F8"/>
    <w:rsid w:val="00515E51"/>
    <w:rsid w:val="005215A0"/>
    <w:rsid w:val="00530FC0"/>
    <w:rsid w:val="00531488"/>
    <w:rsid w:val="00550B27"/>
    <w:rsid w:val="00552FCA"/>
    <w:rsid w:val="00555C73"/>
    <w:rsid w:val="0055624B"/>
    <w:rsid w:val="0055624E"/>
    <w:rsid w:val="00556963"/>
    <w:rsid w:val="00562B0E"/>
    <w:rsid w:val="00570864"/>
    <w:rsid w:val="00574992"/>
    <w:rsid w:val="00576076"/>
    <w:rsid w:val="00577C21"/>
    <w:rsid w:val="00581685"/>
    <w:rsid w:val="00582497"/>
    <w:rsid w:val="005872FF"/>
    <w:rsid w:val="00590023"/>
    <w:rsid w:val="0059100F"/>
    <w:rsid w:val="00594F03"/>
    <w:rsid w:val="00596FB2"/>
    <w:rsid w:val="005A16A6"/>
    <w:rsid w:val="005B0DD0"/>
    <w:rsid w:val="005C06B1"/>
    <w:rsid w:val="005C740D"/>
    <w:rsid w:val="005D2634"/>
    <w:rsid w:val="005D30ED"/>
    <w:rsid w:val="005D5707"/>
    <w:rsid w:val="005D58D0"/>
    <w:rsid w:val="005E1775"/>
    <w:rsid w:val="005E3A63"/>
    <w:rsid w:val="005E3B6A"/>
    <w:rsid w:val="005E475B"/>
    <w:rsid w:val="005F0478"/>
    <w:rsid w:val="005F0D79"/>
    <w:rsid w:val="005F173E"/>
    <w:rsid w:val="005F1914"/>
    <w:rsid w:val="005F2075"/>
    <w:rsid w:val="005F25CC"/>
    <w:rsid w:val="005F2814"/>
    <w:rsid w:val="005F5733"/>
    <w:rsid w:val="005F5E18"/>
    <w:rsid w:val="00604B8F"/>
    <w:rsid w:val="006105B9"/>
    <w:rsid w:val="00612537"/>
    <w:rsid w:val="006210BF"/>
    <w:rsid w:val="00621EBD"/>
    <w:rsid w:val="00623AE3"/>
    <w:rsid w:val="00624646"/>
    <w:rsid w:val="00624CAC"/>
    <w:rsid w:val="00631029"/>
    <w:rsid w:val="0063266A"/>
    <w:rsid w:val="00634FC2"/>
    <w:rsid w:val="006375A8"/>
    <w:rsid w:val="00640AD4"/>
    <w:rsid w:val="0065258B"/>
    <w:rsid w:val="00656C73"/>
    <w:rsid w:val="006644B9"/>
    <w:rsid w:val="00665965"/>
    <w:rsid w:val="00667B08"/>
    <w:rsid w:val="00667E9A"/>
    <w:rsid w:val="00670794"/>
    <w:rsid w:val="006710AD"/>
    <w:rsid w:val="00674482"/>
    <w:rsid w:val="0068479E"/>
    <w:rsid w:val="006859F5"/>
    <w:rsid w:val="006905A9"/>
    <w:rsid w:val="00691415"/>
    <w:rsid w:val="00697335"/>
    <w:rsid w:val="0069740D"/>
    <w:rsid w:val="006976BF"/>
    <w:rsid w:val="006A087F"/>
    <w:rsid w:val="006A0AA6"/>
    <w:rsid w:val="006A1F93"/>
    <w:rsid w:val="006A2CD8"/>
    <w:rsid w:val="006A4138"/>
    <w:rsid w:val="006B011B"/>
    <w:rsid w:val="006B22F5"/>
    <w:rsid w:val="006B39B8"/>
    <w:rsid w:val="006B510C"/>
    <w:rsid w:val="006B7162"/>
    <w:rsid w:val="006B7CCD"/>
    <w:rsid w:val="006B7FD0"/>
    <w:rsid w:val="006C180A"/>
    <w:rsid w:val="006C1B92"/>
    <w:rsid w:val="006D181C"/>
    <w:rsid w:val="006D2E11"/>
    <w:rsid w:val="006D39DB"/>
    <w:rsid w:val="006D51E3"/>
    <w:rsid w:val="006D682D"/>
    <w:rsid w:val="006E3344"/>
    <w:rsid w:val="006E6092"/>
    <w:rsid w:val="006E68EE"/>
    <w:rsid w:val="006F0D25"/>
    <w:rsid w:val="006F7A10"/>
    <w:rsid w:val="007019F6"/>
    <w:rsid w:val="00701F52"/>
    <w:rsid w:val="0070251D"/>
    <w:rsid w:val="00704148"/>
    <w:rsid w:val="00704366"/>
    <w:rsid w:val="00705925"/>
    <w:rsid w:val="0071236B"/>
    <w:rsid w:val="00713336"/>
    <w:rsid w:val="00720240"/>
    <w:rsid w:val="00720FAD"/>
    <w:rsid w:val="00724EE7"/>
    <w:rsid w:val="00733300"/>
    <w:rsid w:val="0073461F"/>
    <w:rsid w:val="00735219"/>
    <w:rsid w:val="0074257B"/>
    <w:rsid w:val="0076139C"/>
    <w:rsid w:val="00764851"/>
    <w:rsid w:val="00765D3D"/>
    <w:rsid w:val="00773A20"/>
    <w:rsid w:val="00774D9A"/>
    <w:rsid w:val="007772B5"/>
    <w:rsid w:val="007777EA"/>
    <w:rsid w:val="00780976"/>
    <w:rsid w:val="00781848"/>
    <w:rsid w:val="007860E0"/>
    <w:rsid w:val="00790A4F"/>
    <w:rsid w:val="007947D9"/>
    <w:rsid w:val="007A1DBE"/>
    <w:rsid w:val="007A2753"/>
    <w:rsid w:val="007A32B6"/>
    <w:rsid w:val="007B4C84"/>
    <w:rsid w:val="007B634B"/>
    <w:rsid w:val="007B73AA"/>
    <w:rsid w:val="007C118F"/>
    <w:rsid w:val="007C2482"/>
    <w:rsid w:val="007C248F"/>
    <w:rsid w:val="007C4566"/>
    <w:rsid w:val="007C566F"/>
    <w:rsid w:val="007C5997"/>
    <w:rsid w:val="007D1FB7"/>
    <w:rsid w:val="007D4165"/>
    <w:rsid w:val="007D4C65"/>
    <w:rsid w:val="007D4F29"/>
    <w:rsid w:val="007E42D0"/>
    <w:rsid w:val="007F2866"/>
    <w:rsid w:val="007F36A8"/>
    <w:rsid w:val="007F45BE"/>
    <w:rsid w:val="007F519D"/>
    <w:rsid w:val="007F5BFC"/>
    <w:rsid w:val="00800A01"/>
    <w:rsid w:val="00800B9D"/>
    <w:rsid w:val="00802C97"/>
    <w:rsid w:val="008047EA"/>
    <w:rsid w:val="0080482B"/>
    <w:rsid w:val="008069CE"/>
    <w:rsid w:val="008118FD"/>
    <w:rsid w:val="00815DC9"/>
    <w:rsid w:val="00816166"/>
    <w:rsid w:val="00817378"/>
    <w:rsid w:val="00817578"/>
    <w:rsid w:val="00817889"/>
    <w:rsid w:val="00820F63"/>
    <w:rsid w:val="0082104C"/>
    <w:rsid w:val="0082222A"/>
    <w:rsid w:val="00832A75"/>
    <w:rsid w:val="00832DB3"/>
    <w:rsid w:val="0083373A"/>
    <w:rsid w:val="008371A0"/>
    <w:rsid w:val="0084003B"/>
    <w:rsid w:val="00843580"/>
    <w:rsid w:val="00844B1A"/>
    <w:rsid w:val="008456B6"/>
    <w:rsid w:val="00847587"/>
    <w:rsid w:val="0084798D"/>
    <w:rsid w:val="0085019D"/>
    <w:rsid w:val="00850921"/>
    <w:rsid w:val="00850EF6"/>
    <w:rsid w:val="00851CD0"/>
    <w:rsid w:val="00854C91"/>
    <w:rsid w:val="00855F9B"/>
    <w:rsid w:val="00865609"/>
    <w:rsid w:val="00870CAE"/>
    <w:rsid w:val="00875F45"/>
    <w:rsid w:val="0088658B"/>
    <w:rsid w:val="00886663"/>
    <w:rsid w:val="00893DB6"/>
    <w:rsid w:val="008A01A1"/>
    <w:rsid w:val="008A2548"/>
    <w:rsid w:val="008A4F3D"/>
    <w:rsid w:val="008A5AE4"/>
    <w:rsid w:val="008A6D96"/>
    <w:rsid w:val="008B095F"/>
    <w:rsid w:val="008B3A88"/>
    <w:rsid w:val="008B4983"/>
    <w:rsid w:val="008B65A5"/>
    <w:rsid w:val="008C73B3"/>
    <w:rsid w:val="008D0511"/>
    <w:rsid w:val="008D0705"/>
    <w:rsid w:val="008D1B42"/>
    <w:rsid w:val="008D60D2"/>
    <w:rsid w:val="008D713F"/>
    <w:rsid w:val="008E13D7"/>
    <w:rsid w:val="008E16BA"/>
    <w:rsid w:val="008E33E4"/>
    <w:rsid w:val="008E5E4C"/>
    <w:rsid w:val="008F439E"/>
    <w:rsid w:val="009037BD"/>
    <w:rsid w:val="009040BD"/>
    <w:rsid w:val="0090410C"/>
    <w:rsid w:val="00912343"/>
    <w:rsid w:val="00913467"/>
    <w:rsid w:val="009147AE"/>
    <w:rsid w:val="00915F09"/>
    <w:rsid w:val="009210C5"/>
    <w:rsid w:val="00922912"/>
    <w:rsid w:val="009230F4"/>
    <w:rsid w:val="0092725A"/>
    <w:rsid w:val="00930416"/>
    <w:rsid w:val="00931170"/>
    <w:rsid w:val="00932A32"/>
    <w:rsid w:val="00933827"/>
    <w:rsid w:val="00935B93"/>
    <w:rsid w:val="00937742"/>
    <w:rsid w:val="00940911"/>
    <w:rsid w:val="00942D17"/>
    <w:rsid w:val="00944EA0"/>
    <w:rsid w:val="00951F9E"/>
    <w:rsid w:val="00962623"/>
    <w:rsid w:val="00963437"/>
    <w:rsid w:val="009650FC"/>
    <w:rsid w:val="00971E5E"/>
    <w:rsid w:val="00974273"/>
    <w:rsid w:val="009749A5"/>
    <w:rsid w:val="009856BF"/>
    <w:rsid w:val="00985E2C"/>
    <w:rsid w:val="009933FA"/>
    <w:rsid w:val="00995CB4"/>
    <w:rsid w:val="009961F9"/>
    <w:rsid w:val="00997F9C"/>
    <w:rsid w:val="009A1970"/>
    <w:rsid w:val="009A27CA"/>
    <w:rsid w:val="009A4F19"/>
    <w:rsid w:val="009A55A2"/>
    <w:rsid w:val="009A6B6F"/>
    <w:rsid w:val="009B0F03"/>
    <w:rsid w:val="009B555D"/>
    <w:rsid w:val="009B7DA4"/>
    <w:rsid w:val="009C57A8"/>
    <w:rsid w:val="009C6C43"/>
    <w:rsid w:val="009C7834"/>
    <w:rsid w:val="009D262E"/>
    <w:rsid w:val="009D3502"/>
    <w:rsid w:val="009D4B53"/>
    <w:rsid w:val="009E15FF"/>
    <w:rsid w:val="009E1647"/>
    <w:rsid w:val="009E1B06"/>
    <w:rsid w:val="009E2BD3"/>
    <w:rsid w:val="009E361E"/>
    <w:rsid w:val="009E4E39"/>
    <w:rsid w:val="009E5821"/>
    <w:rsid w:val="009E69B5"/>
    <w:rsid w:val="009F0231"/>
    <w:rsid w:val="009F0412"/>
    <w:rsid w:val="009F0C73"/>
    <w:rsid w:val="009F1FE7"/>
    <w:rsid w:val="009F2E6B"/>
    <w:rsid w:val="009F3726"/>
    <w:rsid w:val="009F487F"/>
    <w:rsid w:val="009F61BF"/>
    <w:rsid w:val="00A007D6"/>
    <w:rsid w:val="00A0407F"/>
    <w:rsid w:val="00A07409"/>
    <w:rsid w:val="00A07AD8"/>
    <w:rsid w:val="00A10AF1"/>
    <w:rsid w:val="00A10E31"/>
    <w:rsid w:val="00A13D89"/>
    <w:rsid w:val="00A1431D"/>
    <w:rsid w:val="00A21951"/>
    <w:rsid w:val="00A249B2"/>
    <w:rsid w:val="00A25166"/>
    <w:rsid w:val="00A25266"/>
    <w:rsid w:val="00A25C35"/>
    <w:rsid w:val="00A27667"/>
    <w:rsid w:val="00A34E1E"/>
    <w:rsid w:val="00A352DF"/>
    <w:rsid w:val="00A412E3"/>
    <w:rsid w:val="00A41759"/>
    <w:rsid w:val="00A42F1C"/>
    <w:rsid w:val="00A44B7C"/>
    <w:rsid w:val="00A60747"/>
    <w:rsid w:val="00A63620"/>
    <w:rsid w:val="00A67EF4"/>
    <w:rsid w:val="00A700E3"/>
    <w:rsid w:val="00A75B55"/>
    <w:rsid w:val="00A7750C"/>
    <w:rsid w:val="00A81BE6"/>
    <w:rsid w:val="00A84476"/>
    <w:rsid w:val="00A934C6"/>
    <w:rsid w:val="00A93967"/>
    <w:rsid w:val="00A94239"/>
    <w:rsid w:val="00A96E95"/>
    <w:rsid w:val="00AA7354"/>
    <w:rsid w:val="00AB1D0B"/>
    <w:rsid w:val="00AB347B"/>
    <w:rsid w:val="00AB7B8E"/>
    <w:rsid w:val="00AC044E"/>
    <w:rsid w:val="00AC1C58"/>
    <w:rsid w:val="00AC7DBC"/>
    <w:rsid w:val="00AD4282"/>
    <w:rsid w:val="00AD533D"/>
    <w:rsid w:val="00AD663E"/>
    <w:rsid w:val="00AD790C"/>
    <w:rsid w:val="00AE19CE"/>
    <w:rsid w:val="00AE2ABB"/>
    <w:rsid w:val="00AF219E"/>
    <w:rsid w:val="00B00220"/>
    <w:rsid w:val="00B035A6"/>
    <w:rsid w:val="00B105F7"/>
    <w:rsid w:val="00B1096D"/>
    <w:rsid w:val="00B1136C"/>
    <w:rsid w:val="00B114FD"/>
    <w:rsid w:val="00B1289C"/>
    <w:rsid w:val="00B12A1F"/>
    <w:rsid w:val="00B15754"/>
    <w:rsid w:val="00B21378"/>
    <w:rsid w:val="00B21EF9"/>
    <w:rsid w:val="00B233DE"/>
    <w:rsid w:val="00B26BCD"/>
    <w:rsid w:val="00B279A7"/>
    <w:rsid w:val="00B30167"/>
    <w:rsid w:val="00B30536"/>
    <w:rsid w:val="00B30E3D"/>
    <w:rsid w:val="00B32FF4"/>
    <w:rsid w:val="00B36DB0"/>
    <w:rsid w:val="00B4005F"/>
    <w:rsid w:val="00B53119"/>
    <w:rsid w:val="00B5790E"/>
    <w:rsid w:val="00B65E7C"/>
    <w:rsid w:val="00B67662"/>
    <w:rsid w:val="00B676DF"/>
    <w:rsid w:val="00B70DBF"/>
    <w:rsid w:val="00B71A9F"/>
    <w:rsid w:val="00B77657"/>
    <w:rsid w:val="00B77779"/>
    <w:rsid w:val="00B80FA7"/>
    <w:rsid w:val="00B81244"/>
    <w:rsid w:val="00B817F3"/>
    <w:rsid w:val="00B83836"/>
    <w:rsid w:val="00B842AC"/>
    <w:rsid w:val="00B869FD"/>
    <w:rsid w:val="00B90280"/>
    <w:rsid w:val="00B905D0"/>
    <w:rsid w:val="00B90C21"/>
    <w:rsid w:val="00B91B93"/>
    <w:rsid w:val="00B94A22"/>
    <w:rsid w:val="00B95711"/>
    <w:rsid w:val="00BA0FE0"/>
    <w:rsid w:val="00BA10B6"/>
    <w:rsid w:val="00BA3C00"/>
    <w:rsid w:val="00BA4263"/>
    <w:rsid w:val="00BA5AB2"/>
    <w:rsid w:val="00BA5B19"/>
    <w:rsid w:val="00BA6F9C"/>
    <w:rsid w:val="00BB329A"/>
    <w:rsid w:val="00BB329D"/>
    <w:rsid w:val="00BB683F"/>
    <w:rsid w:val="00BC27E2"/>
    <w:rsid w:val="00BC38BF"/>
    <w:rsid w:val="00BD0DCF"/>
    <w:rsid w:val="00BD2FF2"/>
    <w:rsid w:val="00BD49D9"/>
    <w:rsid w:val="00BD57F7"/>
    <w:rsid w:val="00BD7F1F"/>
    <w:rsid w:val="00BE6398"/>
    <w:rsid w:val="00BF20D4"/>
    <w:rsid w:val="00BF37FF"/>
    <w:rsid w:val="00C00D15"/>
    <w:rsid w:val="00C02DEF"/>
    <w:rsid w:val="00C03D07"/>
    <w:rsid w:val="00C06DD9"/>
    <w:rsid w:val="00C074D7"/>
    <w:rsid w:val="00C074FE"/>
    <w:rsid w:val="00C14684"/>
    <w:rsid w:val="00C14AAC"/>
    <w:rsid w:val="00C14E0C"/>
    <w:rsid w:val="00C16CDC"/>
    <w:rsid w:val="00C17FBB"/>
    <w:rsid w:val="00C248F0"/>
    <w:rsid w:val="00C26304"/>
    <w:rsid w:val="00C32ECA"/>
    <w:rsid w:val="00C34EFB"/>
    <w:rsid w:val="00C37C12"/>
    <w:rsid w:val="00C41F65"/>
    <w:rsid w:val="00C42864"/>
    <w:rsid w:val="00C46FA1"/>
    <w:rsid w:val="00C510E8"/>
    <w:rsid w:val="00C511EF"/>
    <w:rsid w:val="00C51B6A"/>
    <w:rsid w:val="00C54A20"/>
    <w:rsid w:val="00C54AB2"/>
    <w:rsid w:val="00C674A9"/>
    <w:rsid w:val="00C67FBC"/>
    <w:rsid w:val="00C71C56"/>
    <w:rsid w:val="00C74007"/>
    <w:rsid w:val="00C7541E"/>
    <w:rsid w:val="00C81B98"/>
    <w:rsid w:val="00C81D5B"/>
    <w:rsid w:val="00C852F0"/>
    <w:rsid w:val="00C85D07"/>
    <w:rsid w:val="00C90F15"/>
    <w:rsid w:val="00C9609D"/>
    <w:rsid w:val="00CA0C45"/>
    <w:rsid w:val="00CA3163"/>
    <w:rsid w:val="00CA5D84"/>
    <w:rsid w:val="00CB1508"/>
    <w:rsid w:val="00CB2B92"/>
    <w:rsid w:val="00CC12E6"/>
    <w:rsid w:val="00CC272E"/>
    <w:rsid w:val="00CC39F2"/>
    <w:rsid w:val="00CC4870"/>
    <w:rsid w:val="00CC5930"/>
    <w:rsid w:val="00CC73F5"/>
    <w:rsid w:val="00CD0743"/>
    <w:rsid w:val="00CD26A7"/>
    <w:rsid w:val="00CD6819"/>
    <w:rsid w:val="00CE19E9"/>
    <w:rsid w:val="00CE3275"/>
    <w:rsid w:val="00CE50DC"/>
    <w:rsid w:val="00CE5396"/>
    <w:rsid w:val="00CE5A43"/>
    <w:rsid w:val="00CE6489"/>
    <w:rsid w:val="00CF053E"/>
    <w:rsid w:val="00CF7B5B"/>
    <w:rsid w:val="00D20E97"/>
    <w:rsid w:val="00D2541C"/>
    <w:rsid w:val="00D2595F"/>
    <w:rsid w:val="00D30171"/>
    <w:rsid w:val="00D30315"/>
    <w:rsid w:val="00D31B5E"/>
    <w:rsid w:val="00D32D75"/>
    <w:rsid w:val="00D408BE"/>
    <w:rsid w:val="00D41D78"/>
    <w:rsid w:val="00D463E2"/>
    <w:rsid w:val="00D47D33"/>
    <w:rsid w:val="00D47F8C"/>
    <w:rsid w:val="00D51E7E"/>
    <w:rsid w:val="00D532AE"/>
    <w:rsid w:val="00D560C3"/>
    <w:rsid w:val="00D61EFE"/>
    <w:rsid w:val="00D62C06"/>
    <w:rsid w:val="00D67BF7"/>
    <w:rsid w:val="00D74B9C"/>
    <w:rsid w:val="00D75D30"/>
    <w:rsid w:val="00D77BF4"/>
    <w:rsid w:val="00D80841"/>
    <w:rsid w:val="00D816F3"/>
    <w:rsid w:val="00D843CC"/>
    <w:rsid w:val="00D85628"/>
    <w:rsid w:val="00D85F5E"/>
    <w:rsid w:val="00D86A0F"/>
    <w:rsid w:val="00D87725"/>
    <w:rsid w:val="00D93A88"/>
    <w:rsid w:val="00D94E0F"/>
    <w:rsid w:val="00D968A7"/>
    <w:rsid w:val="00DA027D"/>
    <w:rsid w:val="00DA6A41"/>
    <w:rsid w:val="00DB0E34"/>
    <w:rsid w:val="00DB67EE"/>
    <w:rsid w:val="00DC0D70"/>
    <w:rsid w:val="00DC219F"/>
    <w:rsid w:val="00DC4C42"/>
    <w:rsid w:val="00DC50FA"/>
    <w:rsid w:val="00DD3591"/>
    <w:rsid w:val="00DD451D"/>
    <w:rsid w:val="00DD635F"/>
    <w:rsid w:val="00DD7C7F"/>
    <w:rsid w:val="00DD7FE1"/>
    <w:rsid w:val="00DE1EDB"/>
    <w:rsid w:val="00DE49C3"/>
    <w:rsid w:val="00DE519B"/>
    <w:rsid w:val="00DE7A83"/>
    <w:rsid w:val="00DF1765"/>
    <w:rsid w:val="00DF1B96"/>
    <w:rsid w:val="00E00DAD"/>
    <w:rsid w:val="00E023DC"/>
    <w:rsid w:val="00E07A80"/>
    <w:rsid w:val="00E11270"/>
    <w:rsid w:val="00E11273"/>
    <w:rsid w:val="00E1359B"/>
    <w:rsid w:val="00E1389F"/>
    <w:rsid w:val="00E139DB"/>
    <w:rsid w:val="00E1442E"/>
    <w:rsid w:val="00E17C16"/>
    <w:rsid w:val="00E206AC"/>
    <w:rsid w:val="00E240BC"/>
    <w:rsid w:val="00E261CB"/>
    <w:rsid w:val="00E261D8"/>
    <w:rsid w:val="00E26E39"/>
    <w:rsid w:val="00E2744D"/>
    <w:rsid w:val="00E30488"/>
    <w:rsid w:val="00E310ED"/>
    <w:rsid w:val="00E34233"/>
    <w:rsid w:val="00E41B96"/>
    <w:rsid w:val="00E44F98"/>
    <w:rsid w:val="00E45360"/>
    <w:rsid w:val="00E50B6B"/>
    <w:rsid w:val="00E6303F"/>
    <w:rsid w:val="00E641CC"/>
    <w:rsid w:val="00E70F54"/>
    <w:rsid w:val="00E72D56"/>
    <w:rsid w:val="00E76518"/>
    <w:rsid w:val="00E765B7"/>
    <w:rsid w:val="00E76F94"/>
    <w:rsid w:val="00E833F1"/>
    <w:rsid w:val="00E84498"/>
    <w:rsid w:val="00E9063A"/>
    <w:rsid w:val="00E91DC5"/>
    <w:rsid w:val="00E9350D"/>
    <w:rsid w:val="00E97820"/>
    <w:rsid w:val="00EC0E94"/>
    <w:rsid w:val="00EC246F"/>
    <w:rsid w:val="00EC661C"/>
    <w:rsid w:val="00EC6B01"/>
    <w:rsid w:val="00ED02ED"/>
    <w:rsid w:val="00ED0D4F"/>
    <w:rsid w:val="00ED16B2"/>
    <w:rsid w:val="00ED6841"/>
    <w:rsid w:val="00ED6A3C"/>
    <w:rsid w:val="00ED72D6"/>
    <w:rsid w:val="00EE0F1A"/>
    <w:rsid w:val="00EE4A3C"/>
    <w:rsid w:val="00EE5025"/>
    <w:rsid w:val="00EE52A9"/>
    <w:rsid w:val="00EE70F7"/>
    <w:rsid w:val="00EE79AF"/>
    <w:rsid w:val="00EF0F84"/>
    <w:rsid w:val="00EF6D8A"/>
    <w:rsid w:val="00F04BC0"/>
    <w:rsid w:val="00F07630"/>
    <w:rsid w:val="00F11223"/>
    <w:rsid w:val="00F177A7"/>
    <w:rsid w:val="00F20692"/>
    <w:rsid w:val="00F211B7"/>
    <w:rsid w:val="00F2217B"/>
    <w:rsid w:val="00F22A1B"/>
    <w:rsid w:val="00F266E7"/>
    <w:rsid w:val="00F327D0"/>
    <w:rsid w:val="00F40668"/>
    <w:rsid w:val="00F46640"/>
    <w:rsid w:val="00F479D6"/>
    <w:rsid w:val="00F56A1E"/>
    <w:rsid w:val="00F63407"/>
    <w:rsid w:val="00F63893"/>
    <w:rsid w:val="00F63C95"/>
    <w:rsid w:val="00F660C5"/>
    <w:rsid w:val="00F666E0"/>
    <w:rsid w:val="00F7020E"/>
    <w:rsid w:val="00F72D4B"/>
    <w:rsid w:val="00F7387A"/>
    <w:rsid w:val="00F77653"/>
    <w:rsid w:val="00F77E79"/>
    <w:rsid w:val="00F851E4"/>
    <w:rsid w:val="00F87057"/>
    <w:rsid w:val="00F8730A"/>
    <w:rsid w:val="00F9042C"/>
    <w:rsid w:val="00F90919"/>
    <w:rsid w:val="00F915CF"/>
    <w:rsid w:val="00F953A9"/>
    <w:rsid w:val="00F957DC"/>
    <w:rsid w:val="00F97C4F"/>
    <w:rsid w:val="00FA05DA"/>
    <w:rsid w:val="00FA0AF0"/>
    <w:rsid w:val="00FA2142"/>
    <w:rsid w:val="00FA3A1E"/>
    <w:rsid w:val="00FB045A"/>
    <w:rsid w:val="00FB12F8"/>
    <w:rsid w:val="00FB2041"/>
    <w:rsid w:val="00FB2CAD"/>
    <w:rsid w:val="00FB51F7"/>
    <w:rsid w:val="00FB5806"/>
    <w:rsid w:val="00FB5B4A"/>
    <w:rsid w:val="00FB6B7D"/>
    <w:rsid w:val="00FC1653"/>
    <w:rsid w:val="00FC2BC1"/>
    <w:rsid w:val="00FC439D"/>
    <w:rsid w:val="00FE10BD"/>
    <w:rsid w:val="00FE3680"/>
    <w:rsid w:val="00FE4567"/>
    <w:rsid w:val="00FE5255"/>
    <w:rsid w:val="00FE745F"/>
    <w:rsid w:val="00FF0EEC"/>
    <w:rsid w:val="00FF3985"/>
    <w:rsid w:val="00FF53B6"/>
    <w:rsid w:val="00FF6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400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6B39B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B4005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rsid w:val="00B4005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uiPriority w:val="9"/>
    <w:semiHidden/>
    <w:unhideWhenUsed/>
    <w:qFormat/>
    <w:rsid w:val="00B4005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uiPriority w:val="9"/>
    <w:semiHidden/>
    <w:unhideWhenUsed/>
    <w:qFormat/>
    <w:rsid w:val="00B4005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7499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570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570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rsid w:val="00B4005F"/>
    <w:tblPr>
      <w:tblCellMar>
        <w:top w:w="0" w:type="dxa"/>
        <w:left w:w="0" w:type="dxa"/>
        <w:bottom w:w="0" w:type="dxa"/>
        <w:right w:w="0" w:type="dxa"/>
      </w:tblCellMar>
    </w:tblPr>
  </w:style>
  <w:style w:type="paragraph" w:styleId="Nzev">
    <w:name w:val="Title"/>
    <w:basedOn w:val="Normln"/>
    <w:next w:val="Normln"/>
    <w:link w:val="NzevChar"/>
    <w:uiPriority w:val="10"/>
    <w:qFormat/>
    <w:rsid w:val="00B400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4005F"/>
    <w:pPr>
      <w:numPr>
        <w:ilvl w:val="1"/>
      </w:numPr>
    </w:pPr>
    <w:rPr>
      <w:rFonts w:asciiTheme="majorHAnsi" w:eastAsiaTheme="majorEastAsia" w:hAnsiTheme="majorHAnsi" w:cstheme="majorBidi"/>
      <w:i/>
      <w:iCs/>
      <w:color w:val="4F81BD" w:themeColor="accent1"/>
      <w:spacing w:val="15"/>
      <w:sz w:val="24"/>
      <w:szCs w:val="24"/>
    </w:rPr>
  </w:style>
  <w:style w:type="paragraph" w:styleId="Textbubliny">
    <w:name w:val="Balloon Text"/>
    <w:basedOn w:val="Normln"/>
    <w:link w:val="TextbublinyChar"/>
    <w:semiHidden/>
    <w:unhideWhenUsed/>
    <w:rsid w:val="002044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04441"/>
    <w:rPr>
      <w:rFonts w:ascii="Tahoma" w:hAnsi="Tahoma" w:cs="Tahoma"/>
      <w:sz w:val="16"/>
      <w:szCs w:val="16"/>
    </w:rPr>
  </w:style>
  <w:style w:type="paragraph" w:styleId="Bezmezer">
    <w:name w:val="No Spacing"/>
    <w:uiPriority w:val="1"/>
    <w:qFormat/>
    <w:rsid w:val="002E4521"/>
    <w:pPr>
      <w:spacing w:after="0" w:line="240" w:lineRule="auto"/>
    </w:pPr>
  </w:style>
  <w:style w:type="paragraph" w:styleId="Odstavecseseznamem">
    <w:name w:val="List Paragraph"/>
    <w:basedOn w:val="Normln"/>
    <w:uiPriority w:val="34"/>
    <w:qFormat/>
    <w:rsid w:val="00865609"/>
    <w:pPr>
      <w:ind w:left="720"/>
      <w:contextualSpacing/>
    </w:pPr>
  </w:style>
  <w:style w:type="character" w:styleId="Odkaznakoment">
    <w:name w:val="annotation reference"/>
    <w:basedOn w:val="Standardnpsmoodstavce"/>
    <w:unhideWhenUsed/>
    <w:rsid w:val="00503C5D"/>
    <w:rPr>
      <w:sz w:val="16"/>
      <w:szCs w:val="16"/>
    </w:rPr>
  </w:style>
  <w:style w:type="paragraph" w:styleId="Textkomente">
    <w:name w:val="annotation text"/>
    <w:basedOn w:val="Normln"/>
    <w:link w:val="TextkomenteChar"/>
    <w:unhideWhenUsed/>
    <w:rsid w:val="00503C5D"/>
    <w:pPr>
      <w:spacing w:line="240" w:lineRule="auto"/>
    </w:pPr>
    <w:rPr>
      <w:sz w:val="20"/>
      <w:szCs w:val="20"/>
    </w:rPr>
  </w:style>
  <w:style w:type="character" w:customStyle="1" w:styleId="TextkomenteChar">
    <w:name w:val="Text komentáře Char"/>
    <w:basedOn w:val="Standardnpsmoodstavce"/>
    <w:link w:val="Textkomente"/>
    <w:rsid w:val="00503C5D"/>
    <w:rPr>
      <w:sz w:val="20"/>
      <w:szCs w:val="20"/>
    </w:rPr>
  </w:style>
  <w:style w:type="paragraph" w:styleId="Pedmtkomente">
    <w:name w:val="annotation subject"/>
    <w:basedOn w:val="Textkomente"/>
    <w:next w:val="Textkomente"/>
    <w:link w:val="PedmtkomenteChar"/>
    <w:unhideWhenUsed/>
    <w:rsid w:val="00503C5D"/>
    <w:rPr>
      <w:b/>
      <w:bCs/>
    </w:rPr>
  </w:style>
  <w:style w:type="character" w:customStyle="1" w:styleId="PedmtkomenteChar">
    <w:name w:val="Předmět komentáře Char"/>
    <w:basedOn w:val="TextkomenteChar"/>
    <w:link w:val="Pedmtkomente"/>
    <w:rsid w:val="00503C5D"/>
    <w:rPr>
      <w:b/>
      <w:bCs/>
      <w:sz w:val="20"/>
      <w:szCs w:val="20"/>
    </w:rPr>
  </w:style>
  <w:style w:type="paragraph" w:styleId="Zhlav">
    <w:name w:val="header"/>
    <w:basedOn w:val="Normln"/>
    <w:link w:val="ZhlavChar"/>
    <w:uiPriority w:val="99"/>
    <w:unhideWhenUsed/>
    <w:rsid w:val="00B902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90280"/>
  </w:style>
  <w:style w:type="paragraph" w:styleId="Zpat">
    <w:name w:val="footer"/>
    <w:basedOn w:val="Normln"/>
    <w:link w:val="ZpatChar"/>
    <w:uiPriority w:val="99"/>
    <w:unhideWhenUsed/>
    <w:rsid w:val="00B90280"/>
    <w:pPr>
      <w:tabs>
        <w:tab w:val="center" w:pos="4536"/>
        <w:tab w:val="right" w:pos="9072"/>
      </w:tabs>
      <w:spacing w:after="0" w:line="240" w:lineRule="auto"/>
    </w:pPr>
  </w:style>
  <w:style w:type="character" w:customStyle="1" w:styleId="ZpatChar">
    <w:name w:val="Zápatí Char"/>
    <w:basedOn w:val="Standardnpsmoodstavce"/>
    <w:link w:val="Zpat"/>
    <w:uiPriority w:val="99"/>
    <w:rsid w:val="00B90280"/>
  </w:style>
  <w:style w:type="paragraph" w:styleId="Textpoznpodarou">
    <w:name w:val="footnote text"/>
    <w:basedOn w:val="Normln"/>
    <w:link w:val="TextpoznpodarouChar"/>
    <w:semiHidden/>
    <w:unhideWhenUsed/>
    <w:rsid w:val="00AB7B8E"/>
    <w:pPr>
      <w:spacing w:after="0" w:line="240" w:lineRule="auto"/>
    </w:pPr>
    <w:rPr>
      <w:sz w:val="20"/>
      <w:szCs w:val="20"/>
    </w:rPr>
  </w:style>
  <w:style w:type="character" w:customStyle="1" w:styleId="TextpoznpodarouChar">
    <w:name w:val="Text pozn. pod čarou Char"/>
    <w:basedOn w:val="Standardnpsmoodstavce"/>
    <w:link w:val="Textpoznpodarou"/>
    <w:semiHidden/>
    <w:rsid w:val="00AB7B8E"/>
    <w:rPr>
      <w:sz w:val="20"/>
      <w:szCs w:val="20"/>
    </w:rPr>
  </w:style>
  <w:style w:type="character" w:styleId="Znakapoznpodarou">
    <w:name w:val="footnote reference"/>
    <w:basedOn w:val="Standardnpsmoodstavce"/>
    <w:semiHidden/>
    <w:unhideWhenUsed/>
    <w:rsid w:val="00AB7B8E"/>
    <w:rPr>
      <w:vertAlign w:val="superscript"/>
    </w:rPr>
  </w:style>
  <w:style w:type="character" w:customStyle="1" w:styleId="Nadpis7Char">
    <w:name w:val="Nadpis 7 Char"/>
    <w:basedOn w:val="Standardnpsmoodstavce"/>
    <w:link w:val="Nadpis7"/>
    <w:uiPriority w:val="9"/>
    <w:semiHidden/>
    <w:rsid w:val="00574992"/>
    <w:rPr>
      <w:rFonts w:asciiTheme="majorHAnsi" w:eastAsiaTheme="majorEastAsia" w:hAnsiTheme="majorHAnsi" w:cstheme="majorBidi"/>
      <w:i/>
      <w:iCs/>
      <w:color w:val="404040" w:themeColor="text1" w:themeTint="BF"/>
    </w:rPr>
  </w:style>
  <w:style w:type="character" w:styleId="Siln">
    <w:name w:val="Strong"/>
    <w:basedOn w:val="Standardnpsmoodstavce"/>
    <w:uiPriority w:val="22"/>
    <w:qFormat/>
    <w:rsid w:val="00DB0E34"/>
    <w:rPr>
      <w:b/>
      <w:bCs/>
    </w:rPr>
  </w:style>
  <w:style w:type="paragraph" w:styleId="Titulek">
    <w:name w:val="caption"/>
    <w:basedOn w:val="Normln"/>
    <w:next w:val="Normln"/>
    <w:uiPriority w:val="35"/>
    <w:unhideWhenUsed/>
    <w:qFormat/>
    <w:rsid w:val="008456B6"/>
    <w:pPr>
      <w:spacing w:line="240" w:lineRule="auto"/>
    </w:pPr>
    <w:rPr>
      <w:b/>
      <w:bCs/>
      <w:color w:val="4F81BD" w:themeColor="accent1"/>
      <w:sz w:val="18"/>
      <w:szCs w:val="18"/>
    </w:rPr>
  </w:style>
  <w:style w:type="character" w:customStyle="1" w:styleId="Nadpis8Char">
    <w:name w:val="Nadpis 8 Char"/>
    <w:basedOn w:val="Standardnpsmoodstavce"/>
    <w:link w:val="Nadpis8"/>
    <w:uiPriority w:val="9"/>
    <w:semiHidden/>
    <w:rsid w:val="005D570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5707"/>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FE7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3B33F9"/>
    <w:pPr>
      <w:spacing w:before="120" w:after="0"/>
    </w:pPr>
    <w:rPr>
      <w:b/>
      <w:bCs/>
      <w:i/>
      <w:iCs/>
      <w:sz w:val="24"/>
      <w:szCs w:val="24"/>
    </w:rPr>
  </w:style>
  <w:style w:type="paragraph" w:styleId="Obsah2">
    <w:name w:val="toc 2"/>
    <w:basedOn w:val="Normln"/>
    <w:next w:val="Normln"/>
    <w:autoRedefine/>
    <w:uiPriority w:val="39"/>
    <w:unhideWhenUsed/>
    <w:rsid w:val="00B30536"/>
    <w:pPr>
      <w:spacing w:before="120" w:after="0"/>
      <w:ind w:left="220"/>
    </w:pPr>
    <w:rPr>
      <w:b/>
      <w:bCs/>
    </w:rPr>
  </w:style>
  <w:style w:type="character" w:styleId="Hypertextovodkaz">
    <w:name w:val="Hyperlink"/>
    <w:basedOn w:val="Standardnpsmoodstavce"/>
    <w:uiPriority w:val="99"/>
    <w:unhideWhenUsed/>
    <w:rsid w:val="00B30536"/>
    <w:rPr>
      <w:color w:val="0000FF" w:themeColor="hyperlink"/>
      <w:u w:val="single"/>
    </w:rPr>
  </w:style>
  <w:style w:type="paragraph" w:styleId="Obsah3">
    <w:name w:val="toc 3"/>
    <w:basedOn w:val="Normln"/>
    <w:next w:val="Normln"/>
    <w:autoRedefine/>
    <w:uiPriority w:val="39"/>
    <w:unhideWhenUsed/>
    <w:rsid w:val="00790A4F"/>
    <w:pPr>
      <w:spacing w:after="0"/>
      <w:ind w:left="440"/>
    </w:pPr>
    <w:rPr>
      <w:sz w:val="20"/>
      <w:szCs w:val="20"/>
    </w:rPr>
  </w:style>
  <w:style w:type="paragraph" w:styleId="Nadpisobsahu">
    <w:name w:val="TOC Heading"/>
    <w:basedOn w:val="Nadpis1"/>
    <w:next w:val="Normln"/>
    <w:uiPriority w:val="39"/>
    <w:semiHidden/>
    <w:unhideWhenUsed/>
    <w:qFormat/>
    <w:rsid w:val="003B33F9"/>
    <w:pPr>
      <w:numPr>
        <w:numId w:val="0"/>
      </w:numPr>
      <w:outlineLvl w:val="9"/>
    </w:pPr>
  </w:style>
  <w:style w:type="paragraph" w:styleId="Obsah4">
    <w:name w:val="toc 4"/>
    <w:basedOn w:val="Normln"/>
    <w:next w:val="Normln"/>
    <w:autoRedefine/>
    <w:uiPriority w:val="39"/>
    <w:unhideWhenUsed/>
    <w:rsid w:val="003B33F9"/>
    <w:pPr>
      <w:spacing w:after="0"/>
      <w:ind w:left="660"/>
    </w:pPr>
    <w:rPr>
      <w:sz w:val="20"/>
      <w:szCs w:val="20"/>
    </w:rPr>
  </w:style>
  <w:style w:type="paragraph" w:styleId="Obsah5">
    <w:name w:val="toc 5"/>
    <w:basedOn w:val="Normln"/>
    <w:next w:val="Normln"/>
    <w:autoRedefine/>
    <w:uiPriority w:val="39"/>
    <w:unhideWhenUsed/>
    <w:rsid w:val="003B33F9"/>
    <w:pPr>
      <w:spacing w:after="0"/>
      <w:ind w:left="880"/>
    </w:pPr>
    <w:rPr>
      <w:sz w:val="20"/>
      <w:szCs w:val="20"/>
    </w:rPr>
  </w:style>
  <w:style w:type="paragraph" w:styleId="Obsah6">
    <w:name w:val="toc 6"/>
    <w:basedOn w:val="Normln"/>
    <w:next w:val="Normln"/>
    <w:autoRedefine/>
    <w:uiPriority w:val="39"/>
    <w:unhideWhenUsed/>
    <w:rsid w:val="003B33F9"/>
    <w:pPr>
      <w:spacing w:after="0"/>
      <w:ind w:left="1100"/>
    </w:pPr>
    <w:rPr>
      <w:sz w:val="20"/>
      <w:szCs w:val="20"/>
    </w:rPr>
  </w:style>
  <w:style w:type="paragraph" w:styleId="Obsah7">
    <w:name w:val="toc 7"/>
    <w:basedOn w:val="Normln"/>
    <w:next w:val="Normln"/>
    <w:autoRedefine/>
    <w:uiPriority w:val="39"/>
    <w:unhideWhenUsed/>
    <w:rsid w:val="003B33F9"/>
    <w:pPr>
      <w:spacing w:after="0"/>
      <w:ind w:left="1320"/>
    </w:pPr>
    <w:rPr>
      <w:sz w:val="20"/>
      <w:szCs w:val="20"/>
    </w:rPr>
  </w:style>
  <w:style w:type="paragraph" w:styleId="Obsah8">
    <w:name w:val="toc 8"/>
    <w:basedOn w:val="Normln"/>
    <w:next w:val="Normln"/>
    <w:autoRedefine/>
    <w:uiPriority w:val="39"/>
    <w:unhideWhenUsed/>
    <w:rsid w:val="003B33F9"/>
    <w:pPr>
      <w:spacing w:after="0"/>
      <w:ind w:left="1540"/>
    </w:pPr>
    <w:rPr>
      <w:sz w:val="20"/>
      <w:szCs w:val="20"/>
    </w:rPr>
  </w:style>
  <w:style w:type="paragraph" w:styleId="Obsah9">
    <w:name w:val="toc 9"/>
    <w:basedOn w:val="Normln"/>
    <w:next w:val="Normln"/>
    <w:autoRedefine/>
    <w:uiPriority w:val="39"/>
    <w:unhideWhenUsed/>
    <w:rsid w:val="003B33F9"/>
    <w:pPr>
      <w:spacing w:after="0"/>
      <w:ind w:left="1760"/>
    </w:pPr>
    <w:rPr>
      <w:sz w:val="20"/>
      <w:szCs w:val="20"/>
    </w:rPr>
  </w:style>
  <w:style w:type="paragraph" w:styleId="Normlnweb">
    <w:name w:val="Normal (Web)"/>
    <w:basedOn w:val="Normln"/>
    <w:uiPriority w:val="99"/>
    <w:unhideWhenUsed/>
    <w:rsid w:val="007860E0"/>
    <w:pPr>
      <w:spacing w:before="100" w:beforeAutospacing="1" w:after="100" w:afterAutospacing="1" w:line="240" w:lineRule="auto"/>
    </w:pPr>
    <w:rPr>
      <w:rFonts w:ascii="Times New Roman" w:hAnsi="Times New Roman" w:cs="Times New Roman"/>
      <w:sz w:val="24"/>
      <w:szCs w:val="24"/>
    </w:rPr>
  </w:style>
  <w:style w:type="character" w:customStyle="1" w:styleId="PodtitulChar">
    <w:name w:val="Podtitul Char"/>
    <w:basedOn w:val="Standardnpsmoodstavce"/>
    <w:link w:val="Podtitul"/>
    <w:uiPriority w:val="11"/>
    <w:rsid w:val="003227B8"/>
    <w:rPr>
      <w:rFonts w:asciiTheme="majorHAnsi" w:eastAsiaTheme="majorEastAsia" w:hAnsiTheme="majorHAnsi" w:cstheme="majorBidi"/>
      <w:i/>
      <w:iCs/>
      <w:color w:val="4F81BD" w:themeColor="accent1"/>
      <w:spacing w:val="15"/>
      <w:sz w:val="24"/>
      <w:szCs w:val="24"/>
    </w:rPr>
  </w:style>
  <w:style w:type="character" w:customStyle="1" w:styleId="NzevChar">
    <w:name w:val="Název Char"/>
    <w:basedOn w:val="Standardnpsmoodstavce"/>
    <w:link w:val="Nzev"/>
    <w:uiPriority w:val="10"/>
    <w:rsid w:val="003227B8"/>
    <w:rPr>
      <w:rFonts w:asciiTheme="majorHAnsi" w:eastAsiaTheme="majorEastAsia" w:hAnsiTheme="majorHAnsi" w:cstheme="majorBidi"/>
      <w:color w:val="17365D" w:themeColor="text2" w:themeShade="BF"/>
      <w:spacing w:val="5"/>
      <w:kern w:val="28"/>
      <w:sz w:val="52"/>
      <w:szCs w:val="52"/>
    </w:rPr>
  </w:style>
  <w:style w:type="numbering" w:customStyle="1" w:styleId="Bezseznamu1">
    <w:name w:val="Bez seznamu1"/>
    <w:next w:val="Bezseznamu"/>
    <w:uiPriority w:val="99"/>
    <w:semiHidden/>
    <w:unhideWhenUsed/>
    <w:rsid w:val="003227B8"/>
  </w:style>
  <w:style w:type="character" w:customStyle="1" w:styleId="Nadpis1Char">
    <w:name w:val="Nadpis 1 Char"/>
    <w:basedOn w:val="Standardnpsmoodstavce"/>
    <w:link w:val="Nadpis1"/>
    <w:rsid w:val="003227B8"/>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6B39B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rsid w:val="003227B8"/>
    <w:rPr>
      <w:rFonts w:asciiTheme="majorHAnsi" w:eastAsiaTheme="majorEastAsia" w:hAnsiTheme="majorHAnsi" w:cstheme="majorBidi"/>
      <w:b/>
      <w:bCs/>
      <w:color w:val="4F81BD" w:themeColor="accent1"/>
    </w:rPr>
  </w:style>
  <w:style w:type="character" w:styleId="slostrnky">
    <w:name w:val="page number"/>
    <w:basedOn w:val="Standardnpsmoodstavce"/>
    <w:rsid w:val="003227B8"/>
  </w:style>
  <w:style w:type="paragraph" w:styleId="Textvysvtlivek">
    <w:name w:val="endnote text"/>
    <w:basedOn w:val="Normln"/>
    <w:link w:val="TextvysvtlivekChar"/>
    <w:semiHidden/>
    <w:rsid w:val="003227B8"/>
    <w:pPr>
      <w:spacing w:after="60" w:line="288" w:lineRule="auto"/>
      <w:jc w:val="both"/>
    </w:pPr>
    <w:rPr>
      <w:rFonts w:ascii="Times New Roman" w:eastAsia="Times New Roman" w:hAnsi="Times New Roman" w:cs="Times New Roman"/>
      <w:sz w:val="20"/>
      <w:szCs w:val="20"/>
    </w:rPr>
  </w:style>
  <w:style w:type="character" w:customStyle="1" w:styleId="TextvysvtlivekChar">
    <w:name w:val="Text vysvětlivek Char"/>
    <w:basedOn w:val="Standardnpsmoodstavce"/>
    <w:link w:val="Textvysvtlivek"/>
    <w:semiHidden/>
    <w:rsid w:val="003227B8"/>
    <w:rPr>
      <w:rFonts w:ascii="Times New Roman" w:eastAsia="Times New Roman" w:hAnsi="Times New Roman" w:cs="Times New Roman"/>
      <w:sz w:val="20"/>
      <w:szCs w:val="20"/>
    </w:rPr>
  </w:style>
  <w:style w:type="character" w:styleId="Odkaznavysvtlivky">
    <w:name w:val="endnote reference"/>
    <w:semiHidden/>
    <w:rsid w:val="003227B8"/>
    <w:rPr>
      <w:vertAlign w:val="superscript"/>
    </w:rPr>
  </w:style>
  <w:style w:type="paragraph" w:customStyle="1" w:styleId="CharChar6">
    <w:name w:val="Char Char6"/>
    <w:basedOn w:val="Normln"/>
    <w:rsid w:val="003227B8"/>
    <w:pPr>
      <w:spacing w:after="160" w:line="240" w:lineRule="exact"/>
    </w:pPr>
    <w:rPr>
      <w:rFonts w:ascii="Tahoma" w:eastAsia="Times New Roman" w:hAnsi="Tahoma" w:cs="Times New Roman"/>
      <w:sz w:val="20"/>
      <w:szCs w:val="20"/>
      <w:lang w:val="en-US" w:eastAsia="en-US"/>
    </w:rPr>
  </w:style>
  <w:style w:type="paragraph" w:customStyle="1" w:styleId="Paragraf">
    <w:name w:val="Paragraf"/>
    <w:basedOn w:val="Normln"/>
    <w:next w:val="Textodstavce"/>
    <w:rsid w:val="003227B8"/>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rsid w:val="003227B8"/>
    <w:pPr>
      <w:numPr>
        <w:ilvl w:val="8"/>
        <w:numId w:val="2"/>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3227B8"/>
    <w:pPr>
      <w:numPr>
        <w:ilvl w:val="7"/>
        <w:numId w:val="2"/>
      </w:numPr>
      <w:spacing w:after="0"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link w:val="TextodstavceChar"/>
    <w:rsid w:val="003227B8"/>
    <w:pPr>
      <w:numPr>
        <w:ilvl w:val="6"/>
        <w:numId w:val="2"/>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adpisparagrafu">
    <w:name w:val="Nadpis paragrafu"/>
    <w:basedOn w:val="Paragraf"/>
    <w:next w:val="Textodstavce"/>
    <w:rsid w:val="003227B8"/>
    <w:rPr>
      <w:b/>
    </w:rPr>
  </w:style>
  <w:style w:type="character" w:customStyle="1" w:styleId="TextpsmeneChar">
    <w:name w:val="Text písmene Char"/>
    <w:link w:val="Textpsmene"/>
    <w:locked/>
    <w:rsid w:val="003227B8"/>
    <w:rPr>
      <w:rFonts w:ascii="Times New Roman" w:eastAsia="Times New Roman" w:hAnsi="Times New Roman" w:cs="Times New Roman"/>
      <w:sz w:val="24"/>
      <w:szCs w:val="20"/>
    </w:rPr>
  </w:style>
  <w:style w:type="character" w:customStyle="1" w:styleId="TextodstavceChar">
    <w:name w:val="Text odstavce Char"/>
    <w:link w:val="Textodstavce"/>
    <w:locked/>
    <w:rsid w:val="003227B8"/>
    <w:rPr>
      <w:rFonts w:ascii="Times New Roman" w:eastAsia="Times New Roman" w:hAnsi="Times New Roman" w:cs="Times New Roman"/>
      <w:sz w:val="24"/>
      <w:szCs w:val="20"/>
    </w:rPr>
  </w:style>
  <w:style w:type="paragraph" w:customStyle="1" w:styleId="Obsahrmce">
    <w:name w:val="Obsah rámce"/>
    <w:basedOn w:val="Zkladntext"/>
    <w:rsid w:val="003227B8"/>
    <w:pPr>
      <w:suppressAutoHyphens/>
      <w:spacing w:line="240" w:lineRule="auto"/>
      <w:ind w:firstLine="709"/>
    </w:pPr>
    <w:rPr>
      <w:sz w:val="24"/>
      <w:lang w:eastAsia="zh-CN"/>
    </w:rPr>
  </w:style>
  <w:style w:type="paragraph" w:styleId="Zkladntext">
    <w:name w:val="Body Text"/>
    <w:basedOn w:val="Normln"/>
    <w:link w:val="ZkladntextChar"/>
    <w:rsid w:val="003227B8"/>
    <w:pPr>
      <w:spacing w:after="120" w:line="288" w:lineRule="auto"/>
      <w:jc w:val="both"/>
    </w:pPr>
    <w:rPr>
      <w:rFonts w:ascii="Times New Roman" w:eastAsia="Times New Roman" w:hAnsi="Times New Roman" w:cs="Times New Roman"/>
      <w:szCs w:val="24"/>
    </w:rPr>
  </w:style>
  <w:style w:type="character" w:customStyle="1" w:styleId="ZkladntextChar">
    <w:name w:val="Základní text Char"/>
    <w:basedOn w:val="Standardnpsmoodstavce"/>
    <w:link w:val="Zkladntext"/>
    <w:rsid w:val="003227B8"/>
    <w:rPr>
      <w:rFonts w:ascii="Times New Roman" w:eastAsia="Times New Roman" w:hAnsi="Times New Roman" w:cs="Times New Roman"/>
      <w:szCs w:val="24"/>
    </w:rPr>
  </w:style>
  <w:style w:type="paragraph" w:customStyle="1" w:styleId="Default">
    <w:name w:val="Default"/>
    <w:rsid w:val="003227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Mkatabulky1">
    <w:name w:val="Mřížka tabulky1"/>
    <w:basedOn w:val="Normlntabulka"/>
    <w:next w:val="Mkatabulky"/>
    <w:rsid w:val="003227B8"/>
    <w:pPr>
      <w:spacing w:after="60" w:line="288"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3227B8"/>
    <w:rPr>
      <w:color w:val="800080"/>
      <w:u w:val="single"/>
    </w:rPr>
  </w:style>
  <w:style w:type="paragraph" w:styleId="Revize">
    <w:name w:val="Revision"/>
    <w:hidden/>
    <w:uiPriority w:val="99"/>
    <w:semiHidden/>
    <w:rsid w:val="003227B8"/>
    <w:pPr>
      <w:spacing w:after="0" w:line="240" w:lineRule="auto"/>
    </w:pPr>
    <w:rPr>
      <w:rFonts w:ascii="Times New Roman" w:eastAsia="Times New Roman" w:hAnsi="Times New Roman" w:cs="Times New Roman"/>
      <w:szCs w:val="24"/>
    </w:rPr>
  </w:style>
  <w:style w:type="paragraph" w:styleId="FormtovanvHTML">
    <w:name w:val="HTML Preformatted"/>
    <w:basedOn w:val="Normln"/>
    <w:link w:val="FormtovanvHTMLChar"/>
    <w:rsid w:val="008B6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rsid w:val="008B65A5"/>
    <w:rPr>
      <w:rFonts w:ascii="Courier New" w:eastAsia="Times New Roman" w:hAnsi="Courier New" w:cs="Courier New"/>
      <w:sz w:val="20"/>
      <w:szCs w:val="20"/>
    </w:rPr>
  </w:style>
  <w:style w:type="character" w:customStyle="1" w:styleId="apple-tab-span">
    <w:name w:val="apple-tab-span"/>
    <w:basedOn w:val="Standardnpsmoodstavce"/>
    <w:rsid w:val="006A2C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B4005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6B39B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qFormat/>
    <w:rsid w:val="00B4005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rsid w:val="00B4005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uiPriority w:val="9"/>
    <w:semiHidden/>
    <w:unhideWhenUsed/>
    <w:qFormat/>
    <w:rsid w:val="00B4005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uiPriority w:val="9"/>
    <w:semiHidden/>
    <w:unhideWhenUsed/>
    <w:qFormat/>
    <w:rsid w:val="00B4005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7499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570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570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rsid w:val="00B4005F"/>
    <w:tblPr>
      <w:tblCellMar>
        <w:top w:w="0" w:type="dxa"/>
        <w:left w:w="0" w:type="dxa"/>
        <w:bottom w:w="0" w:type="dxa"/>
        <w:right w:w="0" w:type="dxa"/>
      </w:tblCellMar>
    </w:tblPr>
  </w:style>
  <w:style w:type="paragraph" w:styleId="Nzev">
    <w:name w:val="Title"/>
    <w:basedOn w:val="Normln"/>
    <w:next w:val="Normln"/>
    <w:link w:val="NzevChar"/>
    <w:uiPriority w:val="10"/>
    <w:qFormat/>
    <w:rsid w:val="00B400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4005F"/>
    <w:pPr>
      <w:numPr>
        <w:ilvl w:val="1"/>
      </w:numPr>
    </w:pPr>
    <w:rPr>
      <w:rFonts w:asciiTheme="majorHAnsi" w:eastAsiaTheme="majorEastAsia" w:hAnsiTheme="majorHAnsi" w:cstheme="majorBidi"/>
      <w:i/>
      <w:iCs/>
      <w:color w:val="4F81BD" w:themeColor="accent1"/>
      <w:spacing w:val="15"/>
      <w:sz w:val="24"/>
      <w:szCs w:val="24"/>
    </w:rPr>
  </w:style>
  <w:style w:type="paragraph" w:styleId="Textbubliny">
    <w:name w:val="Balloon Text"/>
    <w:basedOn w:val="Normln"/>
    <w:link w:val="TextbublinyChar"/>
    <w:semiHidden/>
    <w:unhideWhenUsed/>
    <w:rsid w:val="0020444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204441"/>
    <w:rPr>
      <w:rFonts w:ascii="Tahoma" w:hAnsi="Tahoma" w:cs="Tahoma"/>
      <w:sz w:val="16"/>
      <w:szCs w:val="16"/>
    </w:rPr>
  </w:style>
  <w:style w:type="paragraph" w:styleId="Bezmezer">
    <w:name w:val="No Spacing"/>
    <w:uiPriority w:val="1"/>
    <w:qFormat/>
    <w:rsid w:val="002E4521"/>
    <w:pPr>
      <w:spacing w:after="0" w:line="240" w:lineRule="auto"/>
    </w:pPr>
  </w:style>
  <w:style w:type="paragraph" w:styleId="Odstavecseseznamem">
    <w:name w:val="List Paragraph"/>
    <w:basedOn w:val="Normln"/>
    <w:uiPriority w:val="34"/>
    <w:qFormat/>
    <w:rsid w:val="00865609"/>
    <w:pPr>
      <w:ind w:left="720"/>
      <w:contextualSpacing/>
    </w:pPr>
  </w:style>
  <w:style w:type="character" w:styleId="Odkaznakoment">
    <w:name w:val="annotation reference"/>
    <w:basedOn w:val="Standardnpsmoodstavce"/>
    <w:unhideWhenUsed/>
    <w:rsid w:val="00503C5D"/>
    <w:rPr>
      <w:sz w:val="16"/>
      <w:szCs w:val="16"/>
    </w:rPr>
  </w:style>
  <w:style w:type="paragraph" w:styleId="Textkomente">
    <w:name w:val="annotation text"/>
    <w:basedOn w:val="Normln"/>
    <w:link w:val="TextkomenteChar"/>
    <w:unhideWhenUsed/>
    <w:rsid w:val="00503C5D"/>
    <w:pPr>
      <w:spacing w:line="240" w:lineRule="auto"/>
    </w:pPr>
    <w:rPr>
      <w:sz w:val="20"/>
      <w:szCs w:val="20"/>
    </w:rPr>
  </w:style>
  <w:style w:type="character" w:customStyle="1" w:styleId="TextkomenteChar">
    <w:name w:val="Text komentáře Char"/>
    <w:basedOn w:val="Standardnpsmoodstavce"/>
    <w:link w:val="Textkomente"/>
    <w:rsid w:val="00503C5D"/>
    <w:rPr>
      <w:sz w:val="20"/>
      <w:szCs w:val="20"/>
    </w:rPr>
  </w:style>
  <w:style w:type="paragraph" w:styleId="Pedmtkomente">
    <w:name w:val="annotation subject"/>
    <w:basedOn w:val="Textkomente"/>
    <w:next w:val="Textkomente"/>
    <w:link w:val="PedmtkomenteChar"/>
    <w:unhideWhenUsed/>
    <w:rsid w:val="00503C5D"/>
    <w:rPr>
      <w:b/>
      <w:bCs/>
    </w:rPr>
  </w:style>
  <w:style w:type="character" w:customStyle="1" w:styleId="PedmtkomenteChar">
    <w:name w:val="Předmět komentáře Char"/>
    <w:basedOn w:val="TextkomenteChar"/>
    <w:link w:val="Pedmtkomente"/>
    <w:rsid w:val="00503C5D"/>
    <w:rPr>
      <w:b/>
      <w:bCs/>
      <w:sz w:val="20"/>
      <w:szCs w:val="20"/>
    </w:rPr>
  </w:style>
  <w:style w:type="paragraph" w:styleId="Zhlav">
    <w:name w:val="header"/>
    <w:basedOn w:val="Normln"/>
    <w:link w:val="ZhlavChar"/>
    <w:uiPriority w:val="99"/>
    <w:unhideWhenUsed/>
    <w:rsid w:val="00B902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90280"/>
  </w:style>
  <w:style w:type="paragraph" w:styleId="Zpat">
    <w:name w:val="footer"/>
    <w:basedOn w:val="Normln"/>
    <w:link w:val="ZpatChar"/>
    <w:uiPriority w:val="99"/>
    <w:unhideWhenUsed/>
    <w:rsid w:val="00B90280"/>
    <w:pPr>
      <w:tabs>
        <w:tab w:val="center" w:pos="4536"/>
        <w:tab w:val="right" w:pos="9072"/>
      </w:tabs>
      <w:spacing w:after="0" w:line="240" w:lineRule="auto"/>
    </w:pPr>
  </w:style>
  <w:style w:type="character" w:customStyle="1" w:styleId="ZpatChar">
    <w:name w:val="Zápatí Char"/>
    <w:basedOn w:val="Standardnpsmoodstavce"/>
    <w:link w:val="Zpat"/>
    <w:uiPriority w:val="99"/>
    <w:rsid w:val="00B90280"/>
  </w:style>
  <w:style w:type="paragraph" w:styleId="Textpoznpodarou">
    <w:name w:val="footnote text"/>
    <w:basedOn w:val="Normln"/>
    <w:link w:val="TextpoznpodarouChar"/>
    <w:semiHidden/>
    <w:unhideWhenUsed/>
    <w:rsid w:val="00AB7B8E"/>
    <w:pPr>
      <w:spacing w:after="0" w:line="240" w:lineRule="auto"/>
    </w:pPr>
    <w:rPr>
      <w:sz w:val="20"/>
      <w:szCs w:val="20"/>
    </w:rPr>
  </w:style>
  <w:style w:type="character" w:customStyle="1" w:styleId="TextpoznpodarouChar">
    <w:name w:val="Text pozn. pod čarou Char"/>
    <w:basedOn w:val="Standardnpsmoodstavce"/>
    <w:link w:val="Textpoznpodarou"/>
    <w:semiHidden/>
    <w:rsid w:val="00AB7B8E"/>
    <w:rPr>
      <w:sz w:val="20"/>
      <w:szCs w:val="20"/>
    </w:rPr>
  </w:style>
  <w:style w:type="character" w:styleId="Znakapoznpodarou">
    <w:name w:val="footnote reference"/>
    <w:basedOn w:val="Standardnpsmoodstavce"/>
    <w:semiHidden/>
    <w:unhideWhenUsed/>
    <w:rsid w:val="00AB7B8E"/>
    <w:rPr>
      <w:vertAlign w:val="superscript"/>
    </w:rPr>
  </w:style>
  <w:style w:type="character" w:customStyle="1" w:styleId="Nadpis7Char">
    <w:name w:val="Nadpis 7 Char"/>
    <w:basedOn w:val="Standardnpsmoodstavce"/>
    <w:link w:val="Nadpis7"/>
    <w:uiPriority w:val="9"/>
    <w:semiHidden/>
    <w:rsid w:val="00574992"/>
    <w:rPr>
      <w:rFonts w:asciiTheme="majorHAnsi" w:eastAsiaTheme="majorEastAsia" w:hAnsiTheme="majorHAnsi" w:cstheme="majorBidi"/>
      <w:i/>
      <w:iCs/>
      <w:color w:val="404040" w:themeColor="text1" w:themeTint="BF"/>
    </w:rPr>
  </w:style>
  <w:style w:type="character" w:styleId="Siln">
    <w:name w:val="Strong"/>
    <w:basedOn w:val="Standardnpsmoodstavce"/>
    <w:uiPriority w:val="22"/>
    <w:qFormat/>
    <w:rsid w:val="00DB0E34"/>
    <w:rPr>
      <w:b/>
      <w:bCs/>
    </w:rPr>
  </w:style>
  <w:style w:type="paragraph" w:styleId="Titulek">
    <w:name w:val="caption"/>
    <w:basedOn w:val="Normln"/>
    <w:next w:val="Normln"/>
    <w:uiPriority w:val="35"/>
    <w:unhideWhenUsed/>
    <w:qFormat/>
    <w:rsid w:val="008456B6"/>
    <w:pPr>
      <w:spacing w:line="240" w:lineRule="auto"/>
    </w:pPr>
    <w:rPr>
      <w:b/>
      <w:bCs/>
      <w:color w:val="4F81BD" w:themeColor="accent1"/>
      <w:sz w:val="18"/>
      <w:szCs w:val="18"/>
    </w:rPr>
  </w:style>
  <w:style w:type="character" w:customStyle="1" w:styleId="Nadpis8Char">
    <w:name w:val="Nadpis 8 Char"/>
    <w:basedOn w:val="Standardnpsmoodstavce"/>
    <w:link w:val="Nadpis8"/>
    <w:uiPriority w:val="9"/>
    <w:semiHidden/>
    <w:rsid w:val="005D570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5707"/>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FE7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3B33F9"/>
    <w:pPr>
      <w:spacing w:before="120" w:after="0"/>
    </w:pPr>
    <w:rPr>
      <w:b/>
      <w:bCs/>
      <w:i/>
      <w:iCs/>
      <w:sz w:val="24"/>
      <w:szCs w:val="24"/>
    </w:rPr>
  </w:style>
  <w:style w:type="paragraph" w:styleId="Obsah2">
    <w:name w:val="toc 2"/>
    <w:basedOn w:val="Normln"/>
    <w:next w:val="Normln"/>
    <w:autoRedefine/>
    <w:uiPriority w:val="39"/>
    <w:unhideWhenUsed/>
    <w:rsid w:val="00B30536"/>
    <w:pPr>
      <w:spacing w:before="120" w:after="0"/>
      <w:ind w:left="220"/>
    </w:pPr>
    <w:rPr>
      <w:b/>
      <w:bCs/>
    </w:rPr>
  </w:style>
  <w:style w:type="character" w:styleId="Hypertextovodkaz">
    <w:name w:val="Hyperlink"/>
    <w:basedOn w:val="Standardnpsmoodstavce"/>
    <w:uiPriority w:val="99"/>
    <w:unhideWhenUsed/>
    <w:rsid w:val="00B30536"/>
    <w:rPr>
      <w:color w:val="0000FF" w:themeColor="hyperlink"/>
      <w:u w:val="single"/>
    </w:rPr>
  </w:style>
  <w:style w:type="paragraph" w:styleId="Obsah3">
    <w:name w:val="toc 3"/>
    <w:basedOn w:val="Normln"/>
    <w:next w:val="Normln"/>
    <w:autoRedefine/>
    <w:uiPriority w:val="39"/>
    <w:unhideWhenUsed/>
    <w:rsid w:val="00790A4F"/>
    <w:pPr>
      <w:spacing w:after="0"/>
      <w:ind w:left="440"/>
    </w:pPr>
    <w:rPr>
      <w:sz w:val="20"/>
      <w:szCs w:val="20"/>
    </w:rPr>
  </w:style>
  <w:style w:type="paragraph" w:styleId="Nadpisobsahu">
    <w:name w:val="TOC Heading"/>
    <w:basedOn w:val="Nadpis1"/>
    <w:next w:val="Normln"/>
    <w:uiPriority w:val="39"/>
    <w:semiHidden/>
    <w:unhideWhenUsed/>
    <w:qFormat/>
    <w:rsid w:val="003B33F9"/>
    <w:pPr>
      <w:numPr>
        <w:numId w:val="0"/>
      </w:numPr>
      <w:outlineLvl w:val="9"/>
    </w:pPr>
  </w:style>
  <w:style w:type="paragraph" w:styleId="Obsah4">
    <w:name w:val="toc 4"/>
    <w:basedOn w:val="Normln"/>
    <w:next w:val="Normln"/>
    <w:autoRedefine/>
    <w:uiPriority w:val="39"/>
    <w:unhideWhenUsed/>
    <w:rsid w:val="003B33F9"/>
    <w:pPr>
      <w:spacing w:after="0"/>
      <w:ind w:left="660"/>
    </w:pPr>
    <w:rPr>
      <w:sz w:val="20"/>
      <w:szCs w:val="20"/>
    </w:rPr>
  </w:style>
  <w:style w:type="paragraph" w:styleId="Obsah5">
    <w:name w:val="toc 5"/>
    <w:basedOn w:val="Normln"/>
    <w:next w:val="Normln"/>
    <w:autoRedefine/>
    <w:uiPriority w:val="39"/>
    <w:unhideWhenUsed/>
    <w:rsid w:val="003B33F9"/>
    <w:pPr>
      <w:spacing w:after="0"/>
      <w:ind w:left="880"/>
    </w:pPr>
    <w:rPr>
      <w:sz w:val="20"/>
      <w:szCs w:val="20"/>
    </w:rPr>
  </w:style>
  <w:style w:type="paragraph" w:styleId="Obsah6">
    <w:name w:val="toc 6"/>
    <w:basedOn w:val="Normln"/>
    <w:next w:val="Normln"/>
    <w:autoRedefine/>
    <w:uiPriority w:val="39"/>
    <w:unhideWhenUsed/>
    <w:rsid w:val="003B33F9"/>
    <w:pPr>
      <w:spacing w:after="0"/>
      <w:ind w:left="1100"/>
    </w:pPr>
    <w:rPr>
      <w:sz w:val="20"/>
      <w:szCs w:val="20"/>
    </w:rPr>
  </w:style>
  <w:style w:type="paragraph" w:styleId="Obsah7">
    <w:name w:val="toc 7"/>
    <w:basedOn w:val="Normln"/>
    <w:next w:val="Normln"/>
    <w:autoRedefine/>
    <w:uiPriority w:val="39"/>
    <w:unhideWhenUsed/>
    <w:rsid w:val="003B33F9"/>
    <w:pPr>
      <w:spacing w:after="0"/>
      <w:ind w:left="1320"/>
    </w:pPr>
    <w:rPr>
      <w:sz w:val="20"/>
      <w:szCs w:val="20"/>
    </w:rPr>
  </w:style>
  <w:style w:type="paragraph" w:styleId="Obsah8">
    <w:name w:val="toc 8"/>
    <w:basedOn w:val="Normln"/>
    <w:next w:val="Normln"/>
    <w:autoRedefine/>
    <w:uiPriority w:val="39"/>
    <w:unhideWhenUsed/>
    <w:rsid w:val="003B33F9"/>
    <w:pPr>
      <w:spacing w:after="0"/>
      <w:ind w:left="1540"/>
    </w:pPr>
    <w:rPr>
      <w:sz w:val="20"/>
      <w:szCs w:val="20"/>
    </w:rPr>
  </w:style>
  <w:style w:type="paragraph" w:styleId="Obsah9">
    <w:name w:val="toc 9"/>
    <w:basedOn w:val="Normln"/>
    <w:next w:val="Normln"/>
    <w:autoRedefine/>
    <w:uiPriority w:val="39"/>
    <w:unhideWhenUsed/>
    <w:rsid w:val="003B33F9"/>
    <w:pPr>
      <w:spacing w:after="0"/>
      <w:ind w:left="1760"/>
    </w:pPr>
    <w:rPr>
      <w:sz w:val="20"/>
      <w:szCs w:val="20"/>
    </w:rPr>
  </w:style>
  <w:style w:type="paragraph" w:styleId="Normlnweb">
    <w:name w:val="Normal (Web)"/>
    <w:basedOn w:val="Normln"/>
    <w:uiPriority w:val="99"/>
    <w:unhideWhenUsed/>
    <w:rsid w:val="007860E0"/>
    <w:pPr>
      <w:spacing w:before="100" w:beforeAutospacing="1" w:after="100" w:afterAutospacing="1" w:line="240" w:lineRule="auto"/>
    </w:pPr>
    <w:rPr>
      <w:rFonts w:ascii="Times New Roman" w:hAnsi="Times New Roman" w:cs="Times New Roman"/>
      <w:sz w:val="24"/>
      <w:szCs w:val="24"/>
    </w:rPr>
  </w:style>
  <w:style w:type="character" w:customStyle="1" w:styleId="PodtitulChar">
    <w:name w:val="Podtitul Char"/>
    <w:basedOn w:val="Standardnpsmoodstavce"/>
    <w:link w:val="Podtitul"/>
    <w:uiPriority w:val="11"/>
    <w:rsid w:val="003227B8"/>
    <w:rPr>
      <w:rFonts w:asciiTheme="majorHAnsi" w:eastAsiaTheme="majorEastAsia" w:hAnsiTheme="majorHAnsi" w:cstheme="majorBidi"/>
      <w:i/>
      <w:iCs/>
      <w:color w:val="4F81BD" w:themeColor="accent1"/>
      <w:spacing w:val="15"/>
      <w:sz w:val="24"/>
      <w:szCs w:val="24"/>
    </w:rPr>
  </w:style>
  <w:style w:type="character" w:customStyle="1" w:styleId="NzevChar">
    <w:name w:val="Název Char"/>
    <w:basedOn w:val="Standardnpsmoodstavce"/>
    <w:link w:val="Nzev"/>
    <w:uiPriority w:val="10"/>
    <w:rsid w:val="003227B8"/>
    <w:rPr>
      <w:rFonts w:asciiTheme="majorHAnsi" w:eastAsiaTheme="majorEastAsia" w:hAnsiTheme="majorHAnsi" w:cstheme="majorBidi"/>
      <w:color w:val="17365D" w:themeColor="text2" w:themeShade="BF"/>
      <w:spacing w:val="5"/>
      <w:kern w:val="28"/>
      <w:sz w:val="52"/>
      <w:szCs w:val="52"/>
    </w:rPr>
  </w:style>
  <w:style w:type="numbering" w:customStyle="1" w:styleId="Bezseznamu1">
    <w:name w:val="Bez seznamu1"/>
    <w:next w:val="Bezseznamu"/>
    <w:uiPriority w:val="99"/>
    <w:semiHidden/>
    <w:unhideWhenUsed/>
    <w:rsid w:val="003227B8"/>
  </w:style>
  <w:style w:type="character" w:customStyle="1" w:styleId="Nadpis1Char">
    <w:name w:val="Nadpis 1 Char"/>
    <w:basedOn w:val="Standardnpsmoodstavce"/>
    <w:link w:val="Nadpis1"/>
    <w:rsid w:val="003227B8"/>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6B39B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rsid w:val="003227B8"/>
    <w:rPr>
      <w:rFonts w:asciiTheme="majorHAnsi" w:eastAsiaTheme="majorEastAsia" w:hAnsiTheme="majorHAnsi" w:cstheme="majorBidi"/>
      <w:b/>
      <w:bCs/>
      <w:color w:val="4F81BD" w:themeColor="accent1"/>
    </w:rPr>
  </w:style>
  <w:style w:type="character" w:styleId="slostrnky">
    <w:name w:val="page number"/>
    <w:basedOn w:val="Standardnpsmoodstavce"/>
    <w:rsid w:val="003227B8"/>
  </w:style>
  <w:style w:type="paragraph" w:styleId="Textvysvtlivek">
    <w:name w:val="endnote text"/>
    <w:basedOn w:val="Normln"/>
    <w:link w:val="TextvysvtlivekChar"/>
    <w:semiHidden/>
    <w:rsid w:val="003227B8"/>
    <w:pPr>
      <w:spacing w:after="60" w:line="288" w:lineRule="auto"/>
      <w:jc w:val="both"/>
    </w:pPr>
    <w:rPr>
      <w:rFonts w:ascii="Times New Roman" w:eastAsia="Times New Roman" w:hAnsi="Times New Roman" w:cs="Times New Roman"/>
      <w:sz w:val="20"/>
      <w:szCs w:val="20"/>
    </w:rPr>
  </w:style>
  <w:style w:type="character" w:customStyle="1" w:styleId="TextvysvtlivekChar">
    <w:name w:val="Text vysvětlivek Char"/>
    <w:basedOn w:val="Standardnpsmoodstavce"/>
    <w:link w:val="Textvysvtlivek"/>
    <w:semiHidden/>
    <w:rsid w:val="003227B8"/>
    <w:rPr>
      <w:rFonts w:ascii="Times New Roman" w:eastAsia="Times New Roman" w:hAnsi="Times New Roman" w:cs="Times New Roman"/>
      <w:sz w:val="20"/>
      <w:szCs w:val="20"/>
    </w:rPr>
  </w:style>
  <w:style w:type="character" w:styleId="Odkaznavysvtlivky">
    <w:name w:val="endnote reference"/>
    <w:semiHidden/>
    <w:rsid w:val="003227B8"/>
    <w:rPr>
      <w:vertAlign w:val="superscript"/>
    </w:rPr>
  </w:style>
  <w:style w:type="paragraph" w:customStyle="1" w:styleId="CharChar6">
    <w:name w:val="Char Char6"/>
    <w:basedOn w:val="Normln"/>
    <w:rsid w:val="003227B8"/>
    <w:pPr>
      <w:spacing w:after="160" w:line="240" w:lineRule="exact"/>
    </w:pPr>
    <w:rPr>
      <w:rFonts w:ascii="Tahoma" w:eastAsia="Times New Roman" w:hAnsi="Tahoma" w:cs="Times New Roman"/>
      <w:sz w:val="20"/>
      <w:szCs w:val="20"/>
      <w:lang w:val="en-US" w:eastAsia="en-US"/>
    </w:rPr>
  </w:style>
  <w:style w:type="paragraph" w:customStyle="1" w:styleId="Paragraf">
    <w:name w:val="Paragraf"/>
    <w:basedOn w:val="Normln"/>
    <w:next w:val="Textodstavce"/>
    <w:rsid w:val="003227B8"/>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bodu">
    <w:name w:val="Text bodu"/>
    <w:basedOn w:val="Normln"/>
    <w:rsid w:val="003227B8"/>
    <w:pPr>
      <w:numPr>
        <w:ilvl w:val="8"/>
        <w:numId w:val="2"/>
      </w:numPr>
      <w:spacing w:after="0" w:line="240" w:lineRule="auto"/>
      <w:jc w:val="both"/>
      <w:outlineLvl w:val="8"/>
    </w:pPr>
    <w:rPr>
      <w:rFonts w:ascii="Times New Roman" w:eastAsia="Times New Roman" w:hAnsi="Times New Roman" w:cs="Times New Roman"/>
      <w:sz w:val="24"/>
      <w:szCs w:val="20"/>
    </w:rPr>
  </w:style>
  <w:style w:type="paragraph" w:customStyle="1" w:styleId="Textpsmene">
    <w:name w:val="Text písmene"/>
    <w:basedOn w:val="Normln"/>
    <w:link w:val="TextpsmeneChar"/>
    <w:rsid w:val="003227B8"/>
    <w:pPr>
      <w:numPr>
        <w:ilvl w:val="7"/>
        <w:numId w:val="2"/>
      </w:numPr>
      <w:spacing w:after="0" w:line="240" w:lineRule="auto"/>
      <w:jc w:val="both"/>
      <w:outlineLvl w:val="7"/>
    </w:pPr>
    <w:rPr>
      <w:rFonts w:ascii="Times New Roman" w:eastAsia="Times New Roman" w:hAnsi="Times New Roman" w:cs="Times New Roman"/>
      <w:sz w:val="24"/>
      <w:szCs w:val="20"/>
    </w:rPr>
  </w:style>
  <w:style w:type="paragraph" w:customStyle="1" w:styleId="Textodstavce">
    <w:name w:val="Text odstavce"/>
    <w:basedOn w:val="Normln"/>
    <w:link w:val="TextodstavceChar"/>
    <w:rsid w:val="003227B8"/>
    <w:pPr>
      <w:numPr>
        <w:ilvl w:val="6"/>
        <w:numId w:val="2"/>
      </w:numPr>
      <w:tabs>
        <w:tab w:val="left" w:pos="851"/>
      </w:tabs>
      <w:spacing w:before="120" w:after="120" w:line="240" w:lineRule="auto"/>
      <w:jc w:val="both"/>
      <w:outlineLvl w:val="6"/>
    </w:pPr>
    <w:rPr>
      <w:rFonts w:ascii="Times New Roman" w:eastAsia="Times New Roman" w:hAnsi="Times New Roman" w:cs="Times New Roman"/>
      <w:sz w:val="24"/>
      <w:szCs w:val="20"/>
    </w:rPr>
  </w:style>
  <w:style w:type="paragraph" w:customStyle="1" w:styleId="Nadpisparagrafu">
    <w:name w:val="Nadpis paragrafu"/>
    <w:basedOn w:val="Paragraf"/>
    <w:next w:val="Textodstavce"/>
    <w:rsid w:val="003227B8"/>
    <w:rPr>
      <w:b/>
    </w:rPr>
  </w:style>
  <w:style w:type="character" w:customStyle="1" w:styleId="TextpsmeneChar">
    <w:name w:val="Text písmene Char"/>
    <w:link w:val="Textpsmene"/>
    <w:locked/>
    <w:rsid w:val="003227B8"/>
    <w:rPr>
      <w:rFonts w:ascii="Times New Roman" w:eastAsia="Times New Roman" w:hAnsi="Times New Roman" w:cs="Times New Roman"/>
      <w:sz w:val="24"/>
      <w:szCs w:val="20"/>
    </w:rPr>
  </w:style>
  <w:style w:type="character" w:customStyle="1" w:styleId="TextodstavceChar">
    <w:name w:val="Text odstavce Char"/>
    <w:link w:val="Textodstavce"/>
    <w:locked/>
    <w:rsid w:val="003227B8"/>
    <w:rPr>
      <w:rFonts w:ascii="Times New Roman" w:eastAsia="Times New Roman" w:hAnsi="Times New Roman" w:cs="Times New Roman"/>
      <w:sz w:val="24"/>
      <w:szCs w:val="20"/>
    </w:rPr>
  </w:style>
  <w:style w:type="paragraph" w:customStyle="1" w:styleId="Obsahrmce">
    <w:name w:val="Obsah rámce"/>
    <w:basedOn w:val="Zkladntext"/>
    <w:rsid w:val="003227B8"/>
    <w:pPr>
      <w:suppressAutoHyphens/>
      <w:spacing w:line="240" w:lineRule="auto"/>
      <w:ind w:firstLine="709"/>
    </w:pPr>
    <w:rPr>
      <w:sz w:val="24"/>
      <w:lang w:eastAsia="zh-CN"/>
    </w:rPr>
  </w:style>
  <w:style w:type="paragraph" w:styleId="Zkladntext">
    <w:name w:val="Body Text"/>
    <w:basedOn w:val="Normln"/>
    <w:link w:val="ZkladntextChar"/>
    <w:rsid w:val="003227B8"/>
    <w:pPr>
      <w:spacing w:after="120" w:line="288" w:lineRule="auto"/>
      <w:jc w:val="both"/>
    </w:pPr>
    <w:rPr>
      <w:rFonts w:ascii="Times New Roman" w:eastAsia="Times New Roman" w:hAnsi="Times New Roman" w:cs="Times New Roman"/>
      <w:szCs w:val="24"/>
    </w:rPr>
  </w:style>
  <w:style w:type="character" w:customStyle="1" w:styleId="ZkladntextChar">
    <w:name w:val="Základní text Char"/>
    <w:basedOn w:val="Standardnpsmoodstavce"/>
    <w:link w:val="Zkladntext"/>
    <w:rsid w:val="003227B8"/>
    <w:rPr>
      <w:rFonts w:ascii="Times New Roman" w:eastAsia="Times New Roman" w:hAnsi="Times New Roman" w:cs="Times New Roman"/>
      <w:szCs w:val="24"/>
    </w:rPr>
  </w:style>
  <w:style w:type="paragraph" w:customStyle="1" w:styleId="Default">
    <w:name w:val="Default"/>
    <w:rsid w:val="003227B8"/>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Mkatabulky1">
    <w:name w:val="Mřížka tabulky1"/>
    <w:basedOn w:val="Normlntabulka"/>
    <w:next w:val="Mkatabulky"/>
    <w:rsid w:val="003227B8"/>
    <w:pPr>
      <w:spacing w:after="60" w:line="288"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3227B8"/>
    <w:rPr>
      <w:color w:val="800080"/>
      <w:u w:val="single"/>
    </w:rPr>
  </w:style>
  <w:style w:type="paragraph" w:styleId="Revize">
    <w:name w:val="Revision"/>
    <w:hidden/>
    <w:uiPriority w:val="99"/>
    <w:semiHidden/>
    <w:rsid w:val="003227B8"/>
    <w:pPr>
      <w:spacing w:after="0" w:line="240" w:lineRule="auto"/>
    </w:pPr>
    <w:rPr>
      <w:rFonts w:ascii="Times New Roman" w:eastAsia="Times New Roman" w:hAnsi="Times New Roman" w:cs="Times New Roman"/>
      <w:szCs w:val="24"/>
    </w:rPr>
  </w:style>
  <w:style w:type="paragraph" w:styleId="FormtovanvHTML">
    <w:name w:val="HTML Preformatted"/>
    <w:basedOn w:val="Normln"/>
    <w:link w:val="FormtovanvHTMLChar"/>
    <w:rsid w:val="008B6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rsid w:val="008B65A5"/>
    <w:rPr>
      <w:rFonts w:ascii="Courier New" w:eastAsia="Times New Roman" w:hAnsi="Courier New" w:cs="Courier New"/>
      <w:sz w:val="20"/>
      <w:szCs w:val="20"/>
    </w:rPr>
  </w:style>
  <w:style w:type="character" w:customStyle="1" w:styleId="apple-tab-span">
    <w:name w:val="apple-tab-span"/>
    <w:basedOn w:val="Standardnpsmoodstavce"/>
    <w:rsid w:val="006A2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42028">
      <w:bodyDiv w:val="1"/>
      <w:marLeft w:val="0"/>
      <w:marRight w:val="0"/>
      <w:marTop w:val="0"/>
      <w:marBottom w:val="0"/>
      <w:divBdr>
        <w:top w:val="none" w:sz="0" w:space="0" w:color="auto"/>
        <w:left w:val="none" w:sz="0" w:space="0" w:color="auto"/>
        <w:bottom w:val="none" w:sz="0" w:space="0" w:color="auto"/>
        <w:right w:val="none" w:sz="0" w:space="0" w:color="auto"/>
      </w:divBdr>
    </w:div>
    <w:div w:id="376243577">
      <w:bodyDiv w:val="1"/>
      <w:marLeft w:val="0"/>
      <w:marRight w:val="0"/>
      <w:marTop w:val="0"/>
      <w:marBottom w:val="0"/>
      <w:divBdr>
        <w:top w:val="none" w:sz="0" w:space="0" w:color="auto"/>
        <w:left w:val="none" w:sz="0" w:space="0" w:color="auto"/>
        <w:bottom w:val="none" w:sz="0" w:space="0" w:color="auto"/>
        <w:right w:val="none" w:sz="0" w:space="0" w:color="auto"/>
      </w:divBdr>
    </w:div>
    <w:div w:id="395856021">
      <w:bodyDiv w:val="1"/>
      <w:marLeft w:val="0"/>
      <w:marRight w:val="0"/>
      <w:marTop w:val="0"/>
      <w:marBottom w:val="0"/>
      <w:divBdr>
        <w:top w:val="none" w:sz="0" w:space="0" w:color="auto"/>
        <w:left w:val="none" w:sz="0" w:space="0" w:color="auto"/>
        <w:bottom w:val="none" w:sz="0" w:space="0" w:color="auto"/>
        <w:right w:val="none" w:sz="0" w:space="0" w:color="auto"/>
      </w:divBdr>
    </w:div>
    <w:div w:id="534974639">
      <w:bodyDiv w:val="1"/>
      <w:marLeft w:val="0"/>
      <w:marRight w:val="0"/>
      <w:marTop w:val="0"/>
      <w:marBottom w:val="0"/>
      <w:divBdr>
        <w:top w:val="none" w:sz="0" w:space="0" w:color="auto"/>
        <w:left w:val="none" w:sz="0" w:space="0" w:color="auto"/>
        <w:bottom w:val="none" w:sz="0" w:space="0" w:color="auto"/>
        <w:right w:val="none" w:sz="0" w:space="0" w:color="auto"/>
      </w:divBdr>
      <w:divsChild>
        <w:div w:id="328876576">
          <w:marLeft w:val="432"/>
          <w:marRight w:val="0"/>
          <w:marTop w:val="120"/>
          <w:marBottom w:val="0"/>
          <w:divBdr>
            <w:top w:val="none" w:sz="0" w:space="0" w:color="auto"/>
            <w:left w:val="none" w:sz="0" w:space="0" w:color="auto"/>
            <w:bottom w:val="none" w:sz="0" w:space="0" w:color="auto"/>
            <w:right w:val="none" w:sz="0" w:space="0" w:color="auto"/>
          </w:divBdr>
        </w:div>
        <w:div w:id="575554780">
          <w:marLeft w:val="432"/>
          <w:marRight w:val="0"/>
          <w:marTop w:val="120"/>
          <w:marBottom w:val="0"/>
          <w:divBdr>
            <w:top w:val="none" w:sz="0" w:space="0" w:color="auto"/>
            <w:left w:val="none" w:sz="0" w:space="0" w:color="auto"/>
            <w:bottom w:val="none" w:sz="0" w:space="0" w:color="auto"/>
            <w:right w:val="none" w:sz="0" w:space="0" w:color="auto"/>
          </w:divBdr>
        </w:div>
        <w:div w:id="25718606">
          <w:marLeft w:val="432"/>
          <w:marRight w:val="0"/>
          <w:marTop w:val="120"/>
          <w:marBottom w:val="0"/>
          <w:divBdr>
            <w:top w:val="none" w:sz="0" w:space="0" w:color="auto"/>
            <w:left w:val="none" w:sz="0" w:space="0" w:color="auto"/>
            <w:bottom w:val="none" w:sz="0" w:space="0" w:color="auto"/>
            <w:right w:val="none" w:sz="0" w:space="0" w:color="auto"/>
          </w:divBdr>
        </w:div>
        <w:div w:id="1494296014">
          <w:marLeft w:val="432"/>
          <w:marRight w:val="0"/>
          <w:marTop w:val="120"/>
          <w:marBottom w:val="0"/>
          <w:divBdr>
            <w:top w:val="none" w:sz="0" w:space="0" w:color="auto"/>
            <w:left w:val="none" w:sz="0" w:space="0" w:color="auto"/>
            <w:bottom w:val="none" w:sz="0" w:space="0" w:color="auto"/>
            <w:right w:val="none" w:sz="0" w:space="0" w:color="auto"/>
          </w:divBdr>
        </w:div>
        <w:div w:id="277571685">
          <w:marLeft w:val="432"/>
          <w:marRight w:val="0"/>
          <w:marTop w:val="120"/>
          <w:marBottom w:val="0"/>
          <w:divBdr>
            <w:top w:val="none" w:sz="0" w:space="0" w:color="auto"/>
            <w:left w:val="none" w:sz="0" w:space="0" w:color="auto"/>
            <w:bottom w:val="none" w:sz="0" w:space="0" w:color="auto"/>
            <w:right w:val="none" w:sz="0" w:space="0" w:color="auto"/>
          </w:divBdr>
        </w:div>
      </w:divsChild>
    </w:div>
    <w:div w:id="572934673">
      <w:bodyDiv w:val="1"/>
      <w:marLeft w:val="0"/>
      <w:marRight w:val="0"/>
      <w:marTop w:val="0"/>
      <w:marBottom w:val="0"/>
      <w:divBdr>
        <w:top w:val="none" w:sz="0" w:space="0" w:color="auto"/>
        <w:left w:val="none" w:sz="0" w:space="0" w:color="auto"/>
        <w:bottom w:val="none" w:sz="0" w:space="0" w:color="auto"/>
        <w:right w:val="none" w:sz="0" w:space="0" w:color="auto"/>
      </w:divBdr>
    </w:div>
    <w:div w:id="607661653">
      <w:bodyDiv w:val="1"/>
      <w:marLeft w:val="0"/>
      <w:marRight w:val="0"/>
      <w:marTop w:val="0"/>
      <w:marBottom w:val="0"/>
      <w:divBdr>
        <w:top w:val="none" w:sz="0" w:space="0" w:color="auto"/>
        <w:left w:val="none" w:sz="0" w:space="0" w:color="auto"/>
        <w:bottom w:val="none" w:sz="0" w:space="0" w:color="auto"/>
        <w:right w:val="none" w:sz="0" w:space="0" w:color="auto"/>
      </w:divBdr>
    </w:div>
    <w:div w:id="1214998222">
      <w:bodyDiv w:val="1"/>
      <w:marLeft w:val="0"/>
      <w:marRight w:val="0"/>
      <w:marTop w:val="0"/>
      <w:marBottom w:val="0"/>
      <w:divBdr>
        <w:top w:val="none" w:sz="0" w:space="0" w:color="auto"/>
        <w:left w:val="none" w:sz="0" w:space="0" w:color="auto"/>
        <w:bottom w:val="none" w:sz="0" w:space="0" w:color="auto"/>
        <w:right w:val="none" w:sz="0" w:space="0" w:color="auto"/>
      </w:divBdr>
      <w:divsChild>
        <w:div w:id="355734618">
          <w:marLeft w:val="432"/>
          <w:marRight w:val="0"/>
          <w:marTop w:val="120"/>
          <w:marBottom w:val="0"/>
          <w:divBdr>
            <w:top w:val="none" w:sz="0" w:space="0" w:color="auto"/>
            <w:left w:val="none" w:sz="0" w:space="0" w:color="auto"/>
            <w:bottom w:val="none" w:sz="0" w:space="0" w:color="auto"/>
            <w:right w:val="none" w:sz="0" w:space="0" w:color="auto"/>
          </w:divBdr>
        </w:div>
        <w:div w:id="1392848351">
          <w:marLeft w:val="1008"/>
          <w:marRight w:val="0"/>
          <w:marTop w:val="101"/>
          <w:marBottom w:val="0"/>
          <w:divBdr>
            <w:top w:val="none" w:sz="0" w:space="0" w:color="auto"/>
            <w:left w:val="none" w:sz="0" w:space="0" w:color="auto"/>
            <w:bottom w:val="none" w:sz="0" w:space="0" w:color="auto"/>
            <w:right w:val="none" w:sz="0" w:space="0" w:color="auto"/>
          </w:divBdr>
        </w:div>
        <w:div w:id="262226501">
          <w:marLeft w:val="432"/>
          <w:marRight w:val="0"/>
          <w:marTop w:val="120"/>
          <w:marBottom w:val="0"/>
          <w:divBdr>
            <w:top w:val="none" w:sz="0" w:space="0" w:color="auto"/>
            <w:left w:val="none" w:sz="0" w:space="0" w:color="auto"/>
            <w:bottom w:val="none" w:sz="0" w:space="0" w:color="auto"/>
            <w:right w:val="none" w:sz="0" w:space="0" w:color="auto"/>
          </w:divBdr>
        </w:div>
        <w:div w:id="1424296487">
          <w:marLeft w:val="1008"/>
          <w:marRight w:val="0"/>
          <w:marTop w:val="101"/>
          <w:marBottom w:val="0"/>
          <w:divBdr>
            <w:top w:val="none" w:sz="0" w:space="0" w:color="auto"/>
            <w:left w:val="none" w:sz="0" w:space="0" w:color="auto"/>
            <w:bottom w:val="none" w:sz="0" w:space="0" w:color="auto"/>
            <w:right w:val="none" w:sz="0" w:space="0" w:color="auto"/>
          </w:divBdr>
        </w:div>
        <w:div w:id="1273826332">
          <w:marLeft w:val="1008"/>
          <w:marRight w:val="0"/>
          <w:marTop w:val="101"/>
          <w:marBottom w:val="0"/>
          <w:divBdr>
            <w:top w:val="none" w:sz="0" w:space="0" w:color="auto"/>
            <w:left w:val="none" w:sz="0" w:space="0" w:color="auto"/>
            <w:bottom w:val="none" w:sz="0" w:space="0" w:color="auto"/>
            <w:right w:val="none" w:sz="0" w:space="0" w:color="auto"/>
          </w:divBdr>
        </w:div>
        <w:div w:id="760493408">
          <w:marLeft w:val="1008"/>
          <w:marRight w:val="0"/>
          <w:marTop w:val="101"/>
          <w:marBottom w:val="0"/>
          <w:divBdr>
            <w:top w:val="none" w:sz="0" w:space="0" w:color="auto"/>
            <w:left w:val="none" w:sz="0" w:space="0" w:color="auto"/>
            <w:bottom w:val="none" w:sz="0" w:space="0" w:color="auto"/>
            <w:right w:val="none" w:sz="0" w:space="0" w:color="auto"/>
          </w:divBdr>
        </w:div>
        <w:div w:id="888154123">
          <w:marLeft w:val="1008"/>
          <w:marRight w:val="0"/>
          <w:marTop w:val="101"/>
          <w:marBottom w:val="0"/>
          <w:divBdr>
            <w:top w:val="none" w:sz="0" w:space="0" w:color="auto"/>
            <w:left w:val="none" w:sz="0" w:space="0" w:color="auto"/>
            <w:bottom w:val="none" w:sz="0" w:space="0" w:color="auto"/>
            <w:right w:val="none" w:sz="0" w:space="0" w:color="auto"/>
          </w:divBdr>
        </w:div>
      </w:divsChild>
    </w:div>
    <w:div w:id="1507475592">
      <w:bodyDiv w:val="1"/>
      <w:marLeft w:val="0"/>
      <w:marRight w:val="0"/>
      <w:marTop w:val="0"/>
      <w:marBottom w:val="0"/>
      <w:divBdr>
        <w:top w:val="none" w:sz="0" w:space="0" w:color="auto"/>
        <w:left w:val="none" w:sz="0" w:space="0" w:color="auto"/>
        <w:bottom w:val="none" w:sz="0" w:space="0" w:color="auto"/>
        <w:right w:val="none" w:sz="0" w:space="0" w:color="auto"/>
      </w:divBdr>
    </w:div>
    <w:div w:id="1521627923">
      <w:bodyDiv w:val="1"/>
      <w:marLeft w:val="0"/>
      <w:marRight w:val="0"/>
      <w:marTop w:val="0"/>
      <w:marBottom w:val="0"/>
      <w:divBdr>
        <w:top w:val="none" w:sz="0" w:space="0" w:color="auto"/>
        <w:left w:val="none" w:sz="0" w:space="0" w:color="auto"/>
        <w:bottom w:val="none" w:sz="0" w:space="0" w:color="auto"/>
        <w:right w:val="none" w:sz="0" w:space="0" w:color="auto"/>
      </w:divBdr>
    </w:div>
    <w:div w:id="2143618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vyzkum.cz/FrontClanek.aspx?idsekce=766334" TargetMode="External"/><Relationship Id="rId13" Type="http://schemas.openxmlformats.org/officeDocument/2006/relationships/hyperlink" Target="http://eagri.cz/public/web/mze/poradenstvi-a-vyzkum/vyzkum-a-vyvoj/koncepce-a-strategie/koncepce-vyzkumu-vyvoje-a-inovaci.html" TargetMode="External"/><Relationship Id="rId18" Type="http://schemas.openxmlformats.org/officeDocument/2006/relationships/hyperlink" Target="http://www.vyzkum.cz/FrontClanek.aspx?idsekce=766334" TargetMode="External"/><Relationship Id="rId3" Type="http://schemas.openxmlformats.org/officeDocument/2006/relationships/hyperlink" Target="http://eagri.cz/public/web/mze/poradenstvi-a-vyzkum/vyzkum-a-vyvoj/koncepce-a-strategie/koncepce-vyzkumu-vyvoje-a-inovaci.html" TargetMode="External"/><Relationship Id="rId7" Type="http://schemas.openxmlformats.org/officeDocument/2006/relationships/hyperlink" Target="http://www.vyzkum.cz/FrontClanek.aspx?idsekce=766334" TargetMode="External"/><Relationship Id="rId12" Type="http://schemas.openxmlformats.org/officeDocument/2006/relationships/hyperlink" Target="http://www.mzcr.cz/dokumenty/koncepcni-dokumenty-vyzkumu-a-vyvoje-na-leta-2015-2022_8727_985_3.html" TargetMode="External"/><Relationship Id="rId17" Type="http://schemas.openxmlformats.org/officeDocument/2006/relationships/hyperlink" Target="http://www.vyzkum.cz/FrontClanek.aspx?idsekce=766334" TargetMode="External"/><Relationship Id="rId2" Type="http://schemas.openxmlformats.org/officeDocument/2006/relationships/hyperlink" Target="http://www.mzcr.cz/dokumenty/koncepcni-dokumenty-vyzkumu-a-vyvoje-na-leta-2015-2022_8727_985_3.html" TargetMode="External"/><Relationship Id="rId16" Type="http://schemas.openxmlformats.org/officeDocument/2006/relationships/hyperlink" Target="http://www.vyzkum.cz/FrontClanek.aspx?idsekce=766334" TargetMode="External"/><Relationship Id="rId1" Type="http://schemas.openxmlformats.org/officeDocument/2006/relationships/hyperlink" Target="https://www.mkcr.cz/meziresortni-koncepce-aplikovaneho-vyzkumu-a-vyvoje-narodni-a-kulturni-identity-na-leta-2016-2022-852.html" TargetMode="External"/><Relationship Id="rId6" Type="http://schemas.openxmlformats.org/officeDocument/2006/relationships/hyperlink" Target="http://www.vyzkum.cz/FrontClanek.aspx?idsekce=766334" TargetMode="External"/><Relationship Id="rId11" Type="http://schemas.openxmlformats.org/officeDocument/2006/relationships/hyperlink" Target="https://www.mkcr.cz/meziresortni-koncepce-aplikovaneho-vyzkumu-a-vyvoje-narodni-a-kulturni-identity-na-leta-2016-2022-852.html" TargetMode="External"/><Relationship Id="rId5" Type="http://schemas.openxmlformats.org/officeDocument/2006/relationships/hyperlink" Target="http://av21.avcr.cz/miranda2/export/sitesavcr/av21/dokumenty/AV21_brozura.pdf" TargetMode="External"/><Relationship Id="rId15" Type="http://schemas.openxmlformats.org/officeDocument/2006/relationships/hyperlink" Target="http://av21.avcr.cz/miranda2/export/sitesavcr/av21/dokumenty/AV21_brozura.pdf" TargetMode="External"/><Relationship Id="rId10" Type="http://schemas.openxmlformats.org/officeDocument/2006/relationships/hyperlink" Target="http://metodika.reformy-msmt.cz/souhrnna-zprava" TargetMode="External"/><Relationship Id="rId19" Type="http://schemas.openxmlformats.org/officeDocument/2006/relationships/hyperlink" Target="http://www.vyzkum.cz/FrontClanek.aspx?idsekce=766334" TargetMode="External"/><Relationship Id="rId4" Type="http://schemas.openxmlformats.org/officeDocument/2006/relationships/hyperlink" Target="http://www.mocr.army.cz/assets/informacni-servis/vladni-agenda/160321-sdeleni_vyzkum.docx" TargetMode="External"/><Relationship Id="rId9" Type="http://schemas.openxmlformats.org/officeDocument/2006/relationships/hyperlink" Target="http://www.vyzkum.cz/FrontClanek.aspx?idsekce=766334" TargetMode="External"/><Relationship Id="rId14" Type="http://schemas.openxmlformats.org/officeDocument/2006/relationships/hyperlink" Target="http://www.mocr.army.cz/assets/informacni-servis/vladni-agenda/160321-sdeleni_vyzkum.doc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4C97C-5657-47CD-A789-B86E33FF8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10099</Words>
  <Characters>59588</Characters>
  <Application>Microsoft Office Word</Application>
  <DocSecurity>0</DocSecurity>
  <Lines>496</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69548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Miholová Kateřina</dc:creator>
  <cp:lastModifiedBy>Bártová Milada</cp:lastModifiedBy>
  <cp:revision>8</cp:revision>
  <cp:lastPrinted>2016-09-23T12:36:00Z</cp:lastPrinted>
  <dcterms:created xsi:type="dcterms:W3CDTF">2016-09-23T11:52:00Z</dcterms:created>
  <dcterms:modified xsi:type="dcterms:W3CDTF">2016-09-23T12:37:00Z</dcterms:modified>
</cp:coreProperties>
</file>