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012C307" w14:textId="77777777" w:rsidR="00F30870" w:rsidRPr="00E7695F" w:rsidRDefault="003D47F5" w:rsidP="00B1207A">
      <w:pPr>
        <w:spacing w:before="120" w:after="120"/>
        <w:jc w:val="right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III.</w:t>
      </w:r>
    </w:p>
    <w:p w14:paraId="6DEDEB74" w14:textId="1A853723" w:rsidR="00F30870" w:rsidRPr="00E7695F" w:rsidRDefault="003D47F5" w:rsidP="00B1207A">
      <w:pPr>
        <w:spacing w:before="120" w:after="120"/>
        <w:jc w:val="center"/>
        <w:rPr>
          <w:rFonts w:ascii="Arial" w:hAnsi="Arial" w:cs="Arial"/>
        </w:rPr>
      </w:pPr>
      <w:r w:rsidRPr="00E7695F">
        <w:rPr>
          <w:rFonts w:ascii="Arial" w:eastAsia="Arial" w:hAnsi="Arial" w:cs="Arial"/>
          <w:b/>
        </w:rPr>
        <w:t xml:space="preserve">Program na podporu aplikovaného výzkumu, experimentálního vývoje </w:t>
      </w:r>
      <w:r w:rsidRPr="00E7695F">
        <w:rPr>
          <w:rFonts w:ascii="Arial" w:eastAsia="Arial" w:hAnsi="Arial" w:cs="Arial"/>
          <w:b/>
        </w:rPr>
        <w:br/>
        <w:t xml:space="preserve">a inovací </w:t>
      </w:r>
      <w:r w:rsidR="00C80CE5">
        <w:rPr>
          <w:rFonts w:ascii="Arial" w:eastAsia="Arial" w:hAnsi="Arial" w:cs="Arial"/>
          <w:b/>
        </w:rPr>
        <w:t>THÉTA</w:t>
      </w:r>
    </w:p>
    <w:p w14:paraId="5B6EBE7F" w14:textId="77777777" w:rsidR="00F30870" w:rsidRPr="00E7695F" w:rsidRDefault="003D47F5" w:rsidP="00F94E70">
      <w:pPr>
        <w:pStyle w:val="Nadpis1"/>
        <w:rPr>
          <w:rFonts w:ascii="Arial" w:hAnsi="Arial" w:cs="Arial"/>
          <w:szCs w:val="22"/>
        </w:rPr>
      </w:pPr>
      <w:r w:rsidRPr="00E7695F">
        <w:rPr>
          <w:rFonts w:ascii="Arial" w:hAnsi="Arial" w:cs="Arial"/>
          <w:szCs w:val="22"/>
        </w:rPr>
        <w:t>NÁZEV PROGRAMU</w:t>
      </w:r>
    </w:p>
    <w:p w14:paraId="25AA83D1" w14:textId="54782BC4" w:rsidR="008D2C1B" w:rsidRPr="00E7695F" w:rsidRDefault="003D47F5" w:rsidP="008D2C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Program na podporu aplikovaného výzkumu, experimentálního vývoje a inovací </w:t>
      </w:r>
      <w:r w:rsidR="00C80CE5">
        <w:rPr>
          <w:rFonts w:ascii="Arial" w:eastAsia="Arial" w:hAnsi="Arial" w:cs="Arial"/>
          <w:sz w:val="22"/>
          <w:szCs w:val="22"/>
        </w:rPr>
        <w:t>THÉTA</w:t>
      </w:r>
      <w:r w:rsidRPr="00E7695F">
        <w:rPr>
          <w:rFonts w:ascii="Arial" w:eastAsia="Arial" w:hAnsi="Arial" w:cs="Arial"/>
          <w:sz w:val="22"/>
          <w:szCs w:val="22"/>
        </w:rPr>
        <w:t xml:space="preserve"> (dále jen „prog</w:t>
      </w:r>
      <w:bookmarkStart w:id="0" w:name="_GoBack"/>
      <w:bookmarkEnd w:id="0"/>
      <w:r w:rsidRPr="00E7695F">
        <w:rPr>
          <w:rFonts w:ascii="Arial" w:eastAsia="Arial" w:hAnsi="Arial" w:cs="Arial"/>
          <w:sz w:val="22"/>
          <w:szCs w:val="22"/>
        </w:rPr>
        <w:t>ram“).</w:t>
      </w:r>
    </w:p>
    <w:p w14:paraId="7EBF7AFD" w14:textId="198FB249" w:rsidR="00F30870" w:rsidRPr="00E7695F" w:rsidRDefault="003D47F5" w:rsidP="006802BA">
      <w:pPr>
        <w:pStyle w:val="Nadpis1"/>
        <w:rPr>
          <w:rFonts w:ascii="Arial" w:hAnsi="Arial" w:cs="Arial"/>
          <w:szCs w:val="22"/>
        </w:rPr>
      </w:pPr>
      <w:r w:rsidRPr="00E7695F">
        <w:rPr>
          <w:rFonts w:ascii="Arial" w:hAnsi="Arial" w:cs="Arial"/>
          <w:szCs w:val="22"/>
        </w:rPr>
        <w:t>PRÁVNÍ RÁMEC PROGRAMU</w:t>
      </w:r>
    </w:p>
    <w:p w14:paraId="12DE4482" w14:textId="77777777" w:rsidR="00F30870" w:rsidRPr="00E7695F" w:rsidRDefault="003D47F5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Program bude realizován podle:</w:t>
      </w:r>
    </w:p>
    <w:p w14:paraId="73F6E7CB" w14:textId="77777777" w:rsidR="00F30870" w:rsidRPr="00E7695F" w:rsidRDefault="003D47F5" w:rsidP="00B1207A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Zákona č. 130/2002 Sb., o podpoře výzkumu, experimentálního vývoje a inovací z veřejných prostředků a o změně některých souvisejících zákonů (dále jen “zákon </w:t>
      </w:r>
      <w:r w:rsidRPr="00E7695F">
        <w:rPr>
          <w:rFonts w:ascii="Arial" w:eastAsia="Arial" w:hAnsi="Arial" w:cs="Arial"/>
          <w:sz w:val="22"/>
          <w:szCs w:val="22"/>
        </w:rPr>
        <w:br/>
        <w:t>o podpoře výzkumu, experimentálního vývoje a inovací”), ve znění pozdějších předpisů;</w:t>
      </w:r>
    </w:p>
    <w:p w14:paraId="62275C44" w14:textId="2194D9B6" w:rsidR="00F30870" w:rsidRPr="00E7695F" w:rsidRDefault="003D47F5" w:rsidP="00B1207A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Smlouvy o fungování Evropské unie 2012/C 326/01, (zejména 107, případně také články 93 a</w:t>
      </w:r>
      <w:r w:rsidR="00AC431A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106);</w:t>
      </w:r>
    </w:p>
    <w:p w14:paraId="1B0B90EB" w14:textId="66E513C2" w:rsidR="00F30870" w:rsidRPr="00E7695F" w:rsidRDefault="003D47F5" w:rsidP="00B1207A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Nařízení Komise (EU) č. 651/2014 ze dne 17. června 2014, kte</w:t>
      </w:r>
      <w:r w:rsidR="00AC431A" w:rsidRPr="00E7695F">
        <w:rPr>
          <w:rFonts w:ascii="Arial" w:eastAsia="Arial" w:hAnsi="Arial" w:cs="Arial"/>
          <w:sz w:val="22"/>
          <w:szCs w:val="22"/>
        </w:rPr>
        <w:t>rým se v souladu s články 107 a </w:t>
      </w:r>
      <w:r w:rsidRPr="00E7695F">
        <w:rPr>
          <w:rFonts w:ascii="Arial" w:eastAsia="Arial" w:hAnsi="Arial" w:cs="Arial"/>
          <w:sz w:val="22"/>
          <w:szCs w:val="22"/>
        </w:rPr>
        <w:t>108 Smlouvy prohlašují určité kategorie podpory za slučitelné s vnitřním trhem - Úřední věstník Evropské unie L 187, 26. června 2014 (dále jen „Nařízení“), zejm. čl. 25, 28 a 29;</w:t>
      </w:r>
    </w:p>
    <w:p w14:paraId="25C356A6" w14:textId="77777777" w:rsidR="00F30870" w:rsidRPr="00E7695F" w:rsidRDefault="003D47F5" w:rsidP="00B1207A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Rámce pro státní podporu výzkumu, vývoje a inovací – Úřední věstník Evropské unie </w:t>
      </w:r>
      <w:r w:rsidRPr="00E7695F">
        <w:rPr>
          <w:rFonts w:ascii="Arial" w:eastAsia="Arial" w:hAnsi="Arial" w:cs="Arial"/>
          <w:sz w:val="22"/>
          <w:szCs w:val="22"/>
        </w:rPr>
        <w:br/>
        <w:t>C 198, 27. června 2014 (dále jen „Rámec“);</w:t>
      </w:r>
    </w:p>
    <w:p w14:paraId="51DFD886" w14:textId="77777777" w:rsidR="00F30870" w:rsidRPr="00E7695F" w:rsidRDefault="003D47F5" w:rsidP="00B1207A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a podle ostatních souvisejících předpisů.</w:t>
      </w:r>
    </w:p>
    <w:p w14:paraId="13826BB1" w14:textId="77777777" w:rsidR="00F30870" w:rsidRPr="00E7695F" w:rsidRDefault="003D47F5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Program je vyňat z oznamovací povinnosti podle čl. 108 odst. 3 Smlouvy o fungování Evropské unie, neboť splňuje podmínky Nařízení.</w:t>
      </w:r>
    </w:p>
    <w:p w14:paraId="0D6A2511" w14:textId="77777777" w:rsidR="00F30870" w:rsidRPr="00E7695F" w:rsidRDefault="003D47F5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V rámci tohoto programu je vyloučeno vyplacení jednotlivé podpory ve prospěch podniku:</w:t>
      </w:r>
    </w:p>
    <w:p w14:paraId="3C1CC6C2" w14:textId="6E55CD89" w:rsidR="00F30870" w:rsidRPr="00E7695F" w:rsidRDefault="003D47F5" w:rsidP="00B1207A">
      <w:pPr>
        <w:numPr>
          <w:ilvl w:val="0"/>
          <w:numId w:val="13"/>
        </w:numPr>
        <w:spacing w:before="120" w:after="120"/>
        <w:ind w:hanging="36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vůči němuž byl v návaznosti na rozhodnutí Komise, jímž je podpora prohlášena za protiprávní a neslučitelnou s vnitřním trhem, vystaven inkasní příkaz, který je nesplacený</w:t>
      </w:r>
      <w:r w:rsidR="005B0045" w:rsidRPr="00E7695F">
        <w:rPr>
          <w:rFonts w:ascii="Arial" w:eastAsia="Arial" w:hAnsi="Arial" w:cs="Arial"/>
          <w:sz w:val="22"/>
          <w:szCs w:val="22"/>
        </w:rPr>
        <w:t>,</w:t>
      </w:r>
    </w:p>
    <w:p w14:paraId="3701C231" w14:textId="5AE23C11" w:rsidR="00F30870" w:rsidRPr="00E7695F" w:rsidRDefault="003D47F5" w:rsidP="00B1207A">
      <w:pPr>
        <w:numPr>
          <w:ilvl w:val="0"/>
          <w:numId w:val="13"/>
        </w:numPr>
        <w:spacing w:before="120" w:after="120"/>
        <w:ind w:hanging="36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splňujícímu definici podniku v obtížích uvedenou v čl. 2, odst. 18) Nařízení</w:t>
      </w:r>
      <w:r w:rsidR="005B0045" w:rsidRPr="00E7695F">
        <w:rPr>
          <w:rFonts w:ascii="Arial" w:eastAsia="Arial" w:hAnsi="Arial" w:cs="Arial"/>
          <w:sz w:val="22"/>
          <w:szCs w:val="22"/>
        </w:rPr>
        <w:t>.</w:t>
      </w:r>
    </w:p>
    <w:p w14:paraId="598390BD" w14:textId="77777777" w:rsidR="00F30870" w:rsidRPr="00E7695F" w:rsidRDefault="003D47F5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Pokud jeden podnik obdrží v rámci programu veřejnou podporu vyšší než 500 tis. EUR, budou informace o příjemci a jemu poskytnuté podpoře (v rozsahu dle přílohy III Nařízení) zveřejněny na centrální webové stránce ve smyslu čl. 9 Nařízení.</w:t>
      </w:r>
    </w:p>
    <w:p w14:paraId="2D8060D5" w14:textId="2D413765" w:rsidR="008D2C1B" w:rsidRPr="00E7695F" w:rsidRDefault="003D47F5" w:rsidP="008D2C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Program bude realizován v souladu s Národní politikou výzkumu, vývoje a inovací České republiky na léta 2016 až 2020 s výhledem do roku 2025, schválenou usnesením vlády České republiky ze dne 17. února 2016 č. 135, Národními prioritami orientovaného výzkumu, experimentálního vývoje a inovací, které byly přijaty usnesením vlády ze dne 19. července 2012 č. 552 (dále jen „NPOV“), se Státní energetickou koncepcí České republiky, schválenou usnesením vlády </w:t>
      </w:r>
      <w:r w:rsidR="00FE31DB" w:rsidRPr="00E7695F">
        <w:rPr>
          <w:rFonts w:ascii="Arial" w:eastAsia="Arial" w:hAnsi="Arial" w:cs="Arial"/>
          <w:sz w:val="22"/>
          <w:szCs w:val="22"/>
        </w:rPr>
        <w:t xml:space="preserve">č. 362 </w:t>
      </w:r>
      <w:r w:rsidRPr="00E7695F">
        <w:rPr>
          <w:rFonts w:ascii="Arial" w:eastAsia="Arial" w:hAnsi="Arial" w:cs="Arial"/>
          <w:sz w:val="22"/>
          <w:szCs w:val="22"/>
        </w:rPr>
        <w:t xml:space="preserve">ze dne 18. května 2015, </w:t>
      </w:r>
      <w:r w:rsidR="007476A7" w:rsidRPr="00E7695F">
        <w:rPr>
          <w:rFonts w:ascii="Arial" w:eastAsia="Arial" w:hAnsi="Arial" w:cs="Arial"/>
          <w:sz w:val="22"/>
          <w:szCs w:val="22"/>
        </w:rPr>
        <w:t xml:space="preserve">aktualizovanou </w:t>
      </w:r>
      <w:r w:rsidRPr="00E7695F">
        <w:rPr>
          <w:rFonts w:ascii="Arial" w:eastAsia="Arial" w:hAnsi="Arial" w:cs="Arial"/>
          <w:sz w:val="22"/>
          <w:szCs w:val="22"/>
        </w:rPr>
        <w:t>Národní výzkumnou a inovační strategií pro inteligentní specializaci České republiky</w:t>
      </w:r>
      <w:r w:rsidR="00C80CE5">
        <w:rPr>
          <w:rFonts w:ascii="Arial" w:eastAsia="Arial" w:hAnsi="Arial" w:cs="Arial"/>
          <w:sz w:val="22"/>
          <w:szCs w:val="22"/>
        </w:rPr>
        <w:t>,</w:t>
      </w:r>
      <w:r w:rsidRPr="00E7695F">
        <w:rPr>
          <w:rFonts w:ascii="Arial" w:eastAsia="Arial" w:hAnsi="Arial" w:cs="Arial"/>
          <w:sz w:val="22"/>
          <w:szCs w:val="22"/>
        </w:rPr>
        <w:t xml:space="preserve"> schválenou usnesením vlády České republiky dne </w:t>
      </w:r>
      <w:r w:rsidR="007476A7" w:rsidRPr="00E7695F">
        <w:rPr>
          <w:rFonts w:ascii="Arial" w:eastAsia="Arial" w:hAnsi="Arial" w:cs="Arial"/>
          <w:sz w:val="22"/>
          <w:szCs w:val="22"/>
        </w:rPr>
        <w:t xml:space="preserve">11. července 2016 č. 634, </w:t>
      </w:r>
      <w:r w:rsidRPr="00E7695F">
        <w:rPr>
          <w:rFonts w:ascii="Arial" w:eastAsia="Arial" w:hAnsi="Arial" w:cs="Arial"/>
          <w:sz w:val="22"/>
          <w:szCs w:val="22"/>
        </w:rPr>
        <w:t xml:space="preserve">s principy </w:t>
      </w:r>
      <w:r w:rsidR="00AC431A" w:rsidRPr="00E7695F">
        <w:rPr>
          <w:rFonts w:ascii="Arial" w:eastAsia="Arial" w:hAnsi="Arial" w:cs="Arial"/>
          <w:sz w:val="22"/>
          <w:szCs w:val="22"/>
        </w:rPr>
        <w:t>I</w:t>
      </w:r>
      <w:r w:rsidR="00C80CE5">
        <w:rPr>
          <w:rFonts w:ascii="Arial" w:eastAsia="Arial" w:hAnsi="Arial" w:cs="Arial"/>
          <w:sz w:val="22"/>
          <w:szCs w:val="22"/>
        </w:rPr>
        <w:t>niciativy Průmysl </w:t>
      </w:r>
      <w:r w:rsidRPr="00E7695F">
        <w:rPr>
          <w:rFonts w:ascii="Arial" w:eastAsia="Arial" w:hAnsi="Arial" w:cs="Arial"/>
          <w:sz w:val="22"/>
          <w:szCs w:val="22"/>
        </w:rPr>
        <w:t xml:space="preserve">4.0 </w:t>
      </w:r>
      <w:r w:rsidR="00AC431A" w:rsidRPr="00E7695F">
        <w:rPr>
          <w:rFonts w:ascii="Arial" w:eastAsia="Arial" w:hAnsi="Arial" w:cs="Arial"/>
          <w:sz w:val="22"/>
          <w:szCs w:val="22"/>
        </w:rPr>
        <w:t xml:space="preserve">vzatou na vědomí vládou usnesením č. 729 dne 24. srpna 2016 </w:t>
      </w:r>
      <w:r w:rsidRPr="00E7695F">
        <w:rPr>
          <w:rFonts w:ascii="Arial" w:eastAsia="Arial" w:hAnsi="Arial" w:cs="Arial"/>
          <w:sz w:val="22"/>
          <w:szCs w:val="22"/>
        </w:rPr>
        <w:t>a</w:t>
      </w:r>
      <w:r w:rsidR="00297F27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dalšími národními a rezortními strategiemi.</w:t>
      </w:r>
    </w:p>
    <w:p w14:paraId="728BE5E3" w14:textId="310F9D34" w:rsidR="00F30870" w:rsidRPr="00E7695F" w:rsidRDefault="003D47F5" w:rsidP="00F94E70">
      <w:pPr>
        <w:pStyle w:val="Nadpis1"/>
        <w:rPr>
          <w:rFonts w:ascii="Arial" w:eastAsia="Times New Roman" w:hAnsi="Arial" w:cs="Arial"/>
          <w:szCs w:val="22"/>
        </w:rPr>
      </w:pPr>
      <w:r w:rsidRPr="00E7695F">
        <w:rPr>
          <w:rFonts w:ascii="Arial" w:hAnsi="Arial" w:cs="Arial"/>
          <w:szCs w:val="22"/>
        </w:rPr>
        <w:lastRenderedPageBreak/>
        <w:t>POSKYTOVATEL</w:t>
      </w:r>
    </w:p>
    <w:p w14:paraId="2D715B8B" w14:textId="77777777" w:rsidR="008D2C1B" w:rsidRPr="00E7695F" w:rsidRDefault="003D47F5" w:rsidP="008D2C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Poskytovatelem podpory je Technologická agentura České republiky (dále jen „TA ČR“).</w:t>
      </w:r>
    </w:p>
    <w:p w14:paraId="09D46633" w14:textId="70D1AFFF" w:rsidR="00F30870" w:rsidRPr="00E7695F" w:rsidRDefault="003D47F5" w:rsidP="00F94E70">
      <w:pPr>
        <w:pStyle w:val="Nadpis1"/>
        <w:rPr>
          <w:rFonts w:ascii="Arial" w:eastAsia="Times New Roman" w:hAnsi="Arial" w:cs="Arial"/>
          <w:szCs w:val="22"/>
        </w:rPr>
      </w:pPr>
      <w:r w:rsidRPr="00E7695F">
        <w:rPr>
          <w:rFonts w:ascii="Arial" w:hAnsi="Arial" w:cs="Arial"/>
          <w:szCs w:val="22"/>
        </w:rPr>
        <w:t>IDENTIFIKAČNÍ KÓD PROGRAMU</w:t>
      </w:r>
    </w:p>
    <w:p w14:paraId="68A7BC3A" w14:textId="77777777" w:rsidR="008D2C1B" w:rsidRPr="00E7695F" w:rsidRDefault="003D47F5" w:rsidP="008D2C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Pro účely evidence v informačním systému výzkumu, experimentálního vývoje a inovací byl programu přidělen </w:t>
      </w:r>
      <w:proofErr w:type="gramStart"/>
      <w:r w:rsidRPr="00E7695F">
        <w:rPr>
          <w:rFonts w:ascii="Arial" w:eastAsia="Arial" w:hAnsi="Arial" w:cs="Arial"/>
          <w:sz w:val="22"/>
          <w:szCs w:val="22"/>
        </w:rPr>
        <w:t>kód „...“.</w:t>
      </w:r>
      <w:proofErr w:type="gramEnd"/>
    </w:p>
    <w:p w14:paraId="1587DD93" w14:textId="05ECE047" w:rsidR="00F30870" w:rsidRPr="00E7695F" w:rsidRDefault="003D47F5" w:rsidP="00F94E70">
      <w:pPr>
        <w:pStyle w:val="Nadpis1"/>
        <w:rPr>
          <w:rFonts w:ascii="Arial" w:eastAsia="Times New Roman" w:hAnsi="Arial" w:cs="Arial"/>
          <w:szCs w:val="22"/>
        </w:rPr>
      </w:pPr>
      <w:r w:rsidRPr="00E7695F">
        <w:rPr>
          <w:rFonts w:ascii="Arial" w:hAnsi="Arial" w:cs="Arial"/>
          <w:szCs w:val="22"/>
        </w:rPr>
        <w:t>DOBA TRVÁNÍ A TERMÍNY VYHLÁŠENÍ PROGRAMU</w:t>
      </w:r>
    </w:p>
    <w:p w14:paraId="184C1890" w14:textId="77777777" w:rsidR="00F30870" w:rsidRPr="00E7695F" w:rsidRDefault="003D47F5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Doba trvání programu se předpokládá v letech 2018 až 2025, tj. 8 let. </w:t>
      </w:r>
    </w:p>
    <w:p w14:paraId="3A56FCB8" w14:textId="5DED4A99" w:rsidR="00F30870" w:rsidRPr="00E7695F" w:rsidRDefault="003D47F5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Veřejná soutěž v aplikovaném výzkumu a experimentálním vývoji a inovacích (dále jen „veřejná soutěž“) na výběr projektů do programu bude vyhlášena poprvé v roce 2017 se zahájením poskytování podpory v roce 2018. Následně </w:t>
      </w:r>
      <w:r w:rsidR="00060428" w:rsidRPr="00E7695F">
        <w:rPr>
          <w:rFonts w:ascii="Arial" w:eastAsia="Arial" w:hAnsi="Arial" w:cs="Arial"/>
          <w:sz w:val="22"/>
          <w:szCs w:val="22"/>
        </w:rPr>
        <w:t xml:space="preserve">se předpokládá vyhlášení </w:t>
      </w:r>
      <w:r w:rsidRPr="00E7695F">
        <w:rPr>
          <w:rFonts w:ascii="Arial" w:eastAsia="Arial" w:hAnsi="Arial" w:cs="Arial"/>
          <w:sz w:val="22"/>
          <w:szCs w:val="22"/>
        </w:rPr>
        <w:t xml:space="preserve">veřejné soutěže každoročně v letech 2018 až 2023. </w:t>
      </w:r>
    </w:p>
    <w:p w14:paraId="3629DF5C" w14:textId="77777777" w:rsidR="00F30870" w:rsidRPr="00E7695F" w:rsidRDefault="003D47F5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Maximální délka řešení projektů v tomto programu je stanovena na 8 let. V průměru lze očekávat projekty s délkou řešení zpravidla 36 měsíců.  </w:t>
      </w:r>
    </w:p>
    <w:p w14:paraId="14AC0327" w14:textId="77777777" w:rsidR="008D2C1B" w:rsidRPr="00E7695F" w:rsidRDefault="003D47F5" w:rsidP="008D2C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Doba trvání projektů nesmí přesáhnout dobu trvání programu.  </w:t>
      </w:r>
    </w:p>
    <w:p w14:paraId="35FB323C" w14:textId="26019F80" w:rsidR="00F30870" w:rsidRPr="00E7695F" w:rsidRDefault="003D47F5" w:rsidP="00F94E70">
      <w:pPr>
        <w:pStyle w:val="Nadpis1"/>
        <w:rPr>
          <w:rFonts w:ascii="Arial" w:eastAsia="Times New Roman" w:hAnsi="Arial" w:cs="Arial"/>
          <w:szCs w:val="22"/>
        </w:rPr>
      </w:pPr>
      <w:r w:rsidRPr="00E7695F">
        <w:rPr>
          <w:rFonts w:ascii="Arial" w:hAnsi="Arial" w:cs="Arial"/>
          <w:szCs w:val="22"/>
        </w:rPr>
        <w:t>ZAMĚŘENÍ PROGRAMU</w:t>
      </w:r>
    </w:p>
    <w:p w14:paraId="00C2EA90" w14:textId="115BF44C" w:rsidR="00F30870" w:rsidRPr="00E7695F" w:rsidRDefault="003D47F5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Zaměření programu vychází z</w:t>
      </w:r>
      <w:r w:rsidR="00BD24B2" w:rsidRPr="00E7695F">
        <w:rPr>
          <w:rFonts w:ascii="Arial" w:eastAsia="Arial" w:hAnsi="Arial" w:cs="Arial"/>
          <w:sz w:val="22"/>
          <w:szCs w:val="22"/>
        </w:rPr>
        <w:t xml:space="preserve"> </w:t>
      </w:r>
      <w:r w:rsidR="007476A7" w:rsidRPr="00E7695F">
        <w:rPr>
          <w:rFonts w:ascii="Arial" w:eastAsia="Arial" w:hAnsi="Arial" w:cs="Arial"/>
          <w:sz w:val="22"/>
          <w:szCs w:val="22"/>
        </w:rPr>
        <w:t>aktualizované</w:t>
      </w:r>
      <w:r w:rsidRPr="00E7695F">
        <w:rPr>
          <w:rFonts w:ascii="Arial" w:eastAsia="Arial" w:hAnsi="Arial" w:cs="Arial"/>
          <w:sz w:val="22"/>
          <w:szCs w:val="22"/>
        </w:rPr>
        <w:t xml:space="preserve"> Státní energetické koncepce České republiky, která byla vládou České republiky schválena v květnu 2015. V tomto dokumentu je ukotvena potřeba zajištění podpory projektů výzkumu a </w:t>
      </w:r>
      <w:r w:rsidR="00560692" w:rsidRPr="00E7695F">
        <w:rPr>
          <w:rFonts w:ascii="Arial" w:eastAsia="Arial" w:hAnsi="Arial" w:cs="Arial"/>
          <w:sz w:val="22"/>
          <w:szCs w:val="22"/>
        </w:rPr>
        <w:t>vývoje</w:t>
      </w:r>
      <w:r w:rsidRPr="00E7695F">
        <w:rPr>
          <w:rFonts w:ascii="Arial" w:eastAsia="Arial" w:hAnsi="Arial" w:cs="Arial"/>
          <w:sz w:val="22"/>
          <w:szCs w:val="22"/>
        </w:rPr>
        <w:t xml:space="preserve"> v oblasti energetiky v návaznosti na schválené strategické dokumenty a Evropský strategický plán pro energetické technologie, a</w:t>
      </w:r>
      <w:r w:rsidR="00297F27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 xml:space="preserve">to </w:t>
      </w:r>
      <w:r w:rsidR="00994031" w:rsidRPr="00E7695F">
        <w:rPr>
          <w:rFonts w:ascii="Arial" w:eastAsia="Arial" w:hAnsi="Arial" w:cs="Arial"/>
          <w:sz w:val="22"/>
          <w:szCs w:val="22"/>
        </w:rPr>
        <w:t>prostřednictvím strategicky usměrňované</w:t>
      </w:r>
      <w:r w:rsidRPr="00E7695F">
        <w:rPr>
          <w:rFonts w:ascii="Arial" w:eastAsia="Arial" w:hAnsi="Arial" w:cs="Arial"/>
          <w:sz w:val="22"/>
          <w:szCs w:val="22"/>
        </w:rPr>
        <w:t xml:space="preserve"> podpor</w:t>
      </w:r>
      <w:r w:rsidR="00994031" w:rsidRPr="00E7695F">
        <w:rPr>
          <w:rFonts w:ascii="Arial" w:eastAsia="Arial" w:hAnsi="Arial" w:cs="Arial"/>
          <w:sz w:val="22"/>
          <w:szCs w:val="22"/>
        </w:rPr>
        <w:t>y</w:t>
      </w:r>
      <w:r w:rsidRPr="00E7695F">
        <w:rPr>
          <w:rFonts w:ascii="Arial" w:eastAsia="Arial" w:hAnsi="Arial" w:cs="Arial"/>
          <w:sz w:val="22"/>
          <w:szCs w:val="22"/>
        </w:rPr>
        <w:t xml:space="preserve"> výz</w:t>
      </w:r>
      <w:r w:rsidR="00297F27">
        <w:rPr>
          <w:rFonts w:ascii="Arial" w:eastAsia="Arial" w:hAnsi="Arial" w:cs="Arial"/>
          <w:sz w:val="22"/>
          <w:szCs w:val="22"/>
        </w:rPr>
        <w:t>kumných projektů v energetice v </w:t>
      </w:r>
      <w:r w:rsidRPr="00E7695F">
        <w:rPr>
          <w:rFonts w:ascii="Arial" w:eastAsia="Arial" w:hAnsi="Arial" w:cs="Arial"/>
          <w:sz w:val="22"/>
          <w:szCs w:val="22"/>
        </w:rPr>
        <w:t xml:space="preserve">kontextu prioritní oblasti „Udržitelná energetika“. </w:t>
      </w:r>
    </w:p>
    <w:p w14:paraId="50AD43B8" w14:textId="5FC291C2" w:rsidR="00F30870" w:rsidRPr="00E7695F" w:rsidRDefault="003D47F5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V horizontu posledních let došlo ke schválení řady dalších vrcholových strategických dokumentů v</w:t>
      </w:r>
      <w:r w:rsidR="00CB78E6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 xml:space="preserve">oblasti energetiky. Jedná se zejména </w:t>
      </w:r>
      <w:r w:rsidR="00994031" w:rsidRPr="00E7695F">
        <w:rPr>
          <w:rFonts w:ascii="Arial" w:eastAsia="Arial" w:hAnsi="Arial" w:cs="Arial"/>
          <w:sz w:val="22"/>
          <w:szCs w:val="22"/>
        </w:rPr>
        <w:t xml:space="preserve">o </w:t>
      </w:r>
      <w:r w:rsidRPr="00E7695F">
        <w:rPr>
          <w:rFonts w:ascii="Arial" w:eastAsia="Arial" w:hAnsi="Arial" w:cs="Arial"/>
          <w:sz w:val="22"/>
          <w:szCs w:val="22"/>
        </w:rPr>
        <w:t>Národní akční plán rozvoje jaderné energetiky v ČR, Národní akční plán pro chytré sítě, Národní akční plán čisté mobility, Národní akční plán energetické účinnosti České republiky, Akční plán pro biomasu v ČR 2012-2020, Víceletý program podpory dalšího uplatnění udržitelných biopaliv v dopravě na období 2015-2020 a některé další strategické dokumenty, které vycházejí ze strategického rámce Státní energetické koncepce ČR. Dále se jedná o strategické dokumenty, které nejsou přímo zaměřeny na sektor energetiky, ale svým zaměřením s touto problematikou úzce souvisí.</w:t>
      </w:r>
      <w:r w:rsidR="00C80CE5">
        <w:rPr>
          <w:rFonts w:ascii="Arial" w:eastAsia="Arial" w:hAnsi="Arial" w:cs="Arial"/>
          <w:sz w:val="22"/>
          <w:szCs w:val="22"/>
        </w:rPr>
        <w:t xml:space="preserve"> </w:t>
      </w:r>
      <w:r w:rsidRPr="00E7695F">
        <w:rPr>
          <w:rFonts w:ascii="Arial" w:eastAsia="Arial" w:hAnsi="Arial" w:cs="Arial"/>
          <w:sz w:val="22"/>
          <w:szCs w:val="22"/>
        </w:rPr>
        <w:t>Tyto dokumenty jsou základem sektorového a strategického zaměření tohoto programu.</w:t>
      </w:r>
    </w:p>
    <w:p w14:paraId="220BC689" w14:textId="77777777" w:rsidR="003908A9" w:rsidRPr="00E7695F" w:rsidRDefault="003D47F5" w:rsidP="00B1207A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Program je zaměřen na podporu projektů, které spadají dle čl. 25 odst. 2 písm. b) a c) Nařízení a čl. </w:t>
      </w:r>
      <w:proofErr w:type="gramStart"/>
      <w:r w:rsidRPr="00E7695F">
        <w:rPr>
          <w:rFonts w:ascii="Arial" w:eastAsia="Arial" w:hAnsi="Arial" w:cs="Arial"/>
          <w:sz w:val="22"/>
          <w:szCs w:val="22"/>
        </w:rPr>
        <w:t>1.3. písm.</w:t>
      </w:r>
      <w:proofErr w:type="gramEnd"/>
      <w:r w:rsidRPr="00E7695F">
        <w:rPr>
          <w:rFonts w:ascii="Arial" w:eastAsia="Arial" w:hAnsi="Arial" w:cs="Arial"/>
          <w:sz w:val="22"/>
          <w:szCs w:val="22"/>
        </w:rPr>
        <w:t xml:space="preserve"> e) Rámce do kategorie aplikovaného výzkumu (zahrnuje průmyslový výzkum, experimentální vývoj nebo jejich kombinaci), jejichž výsledky mají vysoký potenciál pro uplatnění v řadě oblastí celospolečenského života obyvatel České republiky. </w:t>
      </w:r>
    </w:p>
    <w:p w14:paraId="38CC28CC" w14:textId="53177E1C" w:rsidR="00F30870" w:rsidRPr="00E7695F" w:rsidRDefault="008D2C1B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Realizace projektů podpořených v programu jednoznačně přispěje k naplňování cílů NPOV, a to </w:t>
      </w:r>
      <w:r w:rsidR="003D47F5" w:rsidRPr="00E7695F">
        <w:rPr>
          <w:rFonts w:ascii="Arial" w:eastAsia="Arial" w:hAnsi="Arial" w:cs="Arial"/>
          <w:sz w:val="22"/>
          <w:szCs w:val="22"/>
        </w:rPr>
        <w:t>zejména</w:t>
      </w:r>
      <w:r w:rsidR="003D59F0" w:rsidRPr="00E7695F">
        <w:rPr>
          <w:rFonts w:ascii="Arial" w:eastAsia="Arial" w:hAnsi="Arial" w:cs="Arial"/>
          <w:sz w:val="22"/>
          <w:szCs w:val="22"/>
        </w:rPr>
        <w:t xml:space="preserve"> k</w:t>
      </w:r>
      <w:r w:rsidR="003D47F5" w:rsidRPr="00E7695F">
        <w:rPr>
          <w:rFonts w:ascii="Arial" w:eastAsia="Arial" w:hAnsi="Arial" w:cs="Arial"/>
          <w:sz w:val="22"/>
          <w:szCs w:val="22"/>
        </w:rPr>
        <w:t xml:space="preserve"> </w:t>
      </w:r>
      <w:r w:rsidRPr="00E7695F">
        <w:rPr>
          <w:rFonts w:ascii="Arial" w:eastAsia="Arial" w:hAnsi="Arial" w:cs="Arial"/>
          <w:sz w:val="22"/>
          <w:szCs w:val="22"/>
        </w:rPr>
        <w:t>prioritní oblast</w:t>
      </w:r>
      <w:r w:rsidR="003D59F0" w:rsidRPr="00E7695F">
        <w:rPr>
          <w:rFonts w:ascii="Arial" w:eastAsia="Arial" w:hAnsi="Arial" w:cs="Arial"/>
          <w:sz w:val="22"/>
          <w:szCs w:val="22"/>
        </w:rPr>
        <w:t>i</w:t>
      </w:r>
      <w:r w:rsidRPr="00E7695F">
        <w:rPr>
          <w:rFonts w:ascii="Arial" w:eastAsia="Arial" w:hAnsi="Arial" w:cs="Arial"/>
          <w:sz w:val="22"/>
          <w:szCs w:val="22"/>
        </w:rPr>
        <w:t xml:space="preserve"> </w:t>
      </w:r>
      <w:proofErr w:type="gramStart"/>
      <w:r w:rsidRPr="00E7695F">
        <w:rPr>
          <w:rFonts w:ascii="Arial" w:eastAsia="Arial" w:hAnsi="Arial" w:cs="Arial"/>
          <w:sz w:val="22"/>
          <w:szCs w:val="22"/>
        </w:rPr>
        <w:t>č.</w:t>
      </w:r>
      <w:r w:rsidR="003D59F0" w:rsidRPr="00E7695F">
        <w:rPr>
          <w:rFonts w:ascii="Arial" w:eastAsia="Arial" w:hAnsi="Arial" w:cs="Arial"/>
          <w:sz w:val="22"/>
          <w:szCs w:val="22"/>
        </w:rPr>
        <w:t> </w:t>
      </w:r>
      <w:r w:rsidR="00C16BDF" w:rsidRPr="00E7695F">
        <w:rPr>
          <w:rFonts w:ascii="Arial" w:eastAsia="Arial" w:hAnsi="Arial" w:cs="Arial"/>
          <w:sz w:val="22"/>
          <w:szCs w:val="22"/>
        </w:rPr>
        <w:t>2</w:t>
      </w:r>
      <w:r w:rsidR="003D59F0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i/>
          <w:sz w:val="22"/>
          <w:szCs w:val="22"/>
        </w:rPr>
        <w:t>Udržitelnost</w:t>
      </w:r>
      <w:proofErr w:type="gramEnd"/>
      <w:r w:rsidRPr="00E7695F">
        <w:rPr>
          <w:rFonts w:ascii="Arial" w:eastAsia="Arial" w:hAnsi="Arial" w:cs="Arial"/>
          <w:i/>
          <w:sz w:val="22"/>
          <w:szCs w:val="22"/>
        </w:rPr>
        <w:t xml:space="preserve"> energetiky a materiálových zdrojů</w:t>
      </w:r>
      <w:r w:rsidR="00C16BDF" w:rsidRPr="00E7695F">
        <w:rPr>
          <w:rFonts w:ascii="Arial" w:eastAsia="Arial" w:hAnsi="Arial" w:cs="Arial"/>
          <w:sz w:val="22"/>
          <w:szCs w:val="22"/>
        </w:rPr>
        <w:t>, ale doplňkově (respektive průřezově) i k dalším prioritním oblastem NPOV</w:t>
      </w:r>
      <w:r w:rsidRPr="00E7695F">
        <w:rPr>
          <w:rFonts w:ascii="Arial" w:eastAsia="Arial" w:hAnsi="Arial" w:cs="Arial"/>
          <w:sz w:val="22"/>
          <w:szCs w:val="22"/>
        </w:rPr>
        <w:t xml:space="preserve">. </w:t>
      </w:r>
      <w:r w:rsidR="003D47F5" w:rsidRPr="00E7695F">
        <w:rPr>
          <w:rFonts w:ascii="Arial" w:eastAsia="Arial" w:hAnsi="Arial" w:cs="Arial"/>
          <w:sz w:val="22"/>
          <w:szCs w:val="22"/>
        </w:rPr>
        <w:t xml:space="preserve"> </w:t>
      </w:r>
    </w:p>
    <w:p w14:paraId="7DCCB72D" w14:textId="5A0DE315" w:rsidR="00F30870" w:rsidRPr="00E7695F" w:rsidRDefault="003D47F5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Program přispěje k tomu, aby veřejné prostředky investované do aplikovaného výzkumu přinášely ekonomický či jiný společenský přínos z jejich realizace. Získané poznatky přispějí k definování faktorů a procesů, které určují a ovlivňují fungování a rozvoj české společnosti, v kontextu probíhající evropské integrace a světové globalizace v oblasti energetiky. Při realizaci tento program předpokládá především uplatnění projektů zaměřených na </w:t>
      </w:r>
      <w:r w:rsidRPr="00E7695F">
        <w:rPr>
          <w:rFonts w:ascii="Arial" w:eastAsia="Arial" w:hAnsi="Arial" w:cs="Arial"/>
          <w:sz w:val="22"/>
          <w:szCs w:val="22"/>
        </w:rPr>
        <w:lastRenderedPageBreak/>
        <w:t>průmyslový výzkum</w:t>
      </w:r>
      <w:r w:rsidR="004E68CE" w:rsidRPr="00E7695F">
        <w:rPr>
          <w:rFonts w:ascii="Arial" w:eastAsia="Arial" w:hAnsi="Arial" w:cs="Arial"/>
          <w:sz w:val="22"/>
          <w:szCs w:val="22"/>
        </w:rPr>
        <w:t xml:space="preserve"> (případně zahrnující nezbytné činnosti</w:t>
      </w:r>
      <w:r w:rsidR="00DE0B2A" w:rsidRPr="00E7695F">
        <w:rPr>
          <w:rFonts w:ascii="Arial" w:eastAsia="Arial" w:hAnsi="Arial" w:cs="Arial"/>
          <w:sz w:val="22"/>
          <w:szCs w:val="22"/>
        </w:rPr>
        <w:t xml:space="preserve"> orientovaného</w:t>
      </w:r>
      <w:r w:rsidR="004E68CE" w:rsidRPr="00E7695F">
        <w:rPr>
          <w:rFonts w:ascii="Arial" w:eastAsia="Arial" w:hAnsi="Arial" w:cs="Arial"/>
          <w:sz w:val="22"/>
          <w:szCs w:val="22"/>
        </w:rPr>
        <w:t xml:space="preserve"> základního</w:t>
      </w:r>
      <w:r w:rsidR="003D7F26" w:rsidRPr="00E7695F">
        <w:rPr>
          <w:rFonts w:ascii="Arial" w:eastAsia="Arial" w:hAnsi="Arial" w:cs="Arial"/>
          <w:sz w:val="22"/>
          <w:szCs w:val="22"/>
        </w:rPr>
        <w:t xml:space="preserve"> </w:t>
      </w:r>
      <w:r w:rsidR="004E68CE" w:rsidRPr="00E7695F">
        <w:rPr>
          <w:rFonts w:ascii="Arial" w:eastAsia="Arial" w:hAnsi="Arial" w:cs="Arial"/>
          <w:sz w:val="22"/>
          <w:szCs w:val="22"/>
        </w:rPr>
        <w:t>výzkumu)</w:t>
      </w:r>
      <w:r w:rsidR="003D7F26" w:rsidRPr="00E7695F">
        <w:rPr>
          <w:rFonts w:ascii="Arial" w:eastAsia="Arial" w:hAnsi="Arial" w:cs="Arial"/>
          <w:sz w:val="22"/>
          <w:szCs w:val="22"/>
        </w:rPr>
        <w:t xml:space="preserve"> a také</w:t>
      </w:r>
      <w:r w:rsidR="00060428" w:rsidRPr="00E7695F">
        <w:rPr>
          <w:rFonts w:ascii="Arial" w:eastAsia="Arial" w:hAnsi="Arial" w:cs="Arial"/>
          <w:sz w:val="22"/>
          <w:szCs w:val="22"/>
        </w:rPr>
        <w:t xml:space="preserve"> </w:t>
      </w:r>
      <w:r w:rsidRPr="00E7695F">
        <w:rPr>
          <w:rFonts w:ascii="Arial" w:eastAsia="Arial" w:hAnsi="Arial" w:cs="Arial"/>
          <w:sz w:val="22"/>
          <w:szCs w:val="22"/>
        </w:rPr>
        <w:t xml:space="preserve">podporu projektů </w:t>
      </w:r>
      <w:r w:rsidR="004E68CE" w:rsidRPr="00E7695F">
        <w:rPr>
          <w:rFonts w:ascii="Arial" w:eastAsia="Arial" w:hAnsi="Arial" w:cs="Arial"/>
          <w:sz w:val="22"/>
          <w:szCs w:val="22"/>
        </w:rPr>
        <w:t xml:space="preserve">s převahou </w:t>
      </w:r>
      <w:r w:rsidRPr="00E7695F">
        <w:rPr>
          <w:rFonts w:ascii="Arial" w:eastAsia="Arial" w:hAnsi="Arial" w:cs="Arial"/>
          <w:sz w:val="22"/>
          <w:szCs w:val="22"/>
        </w:rPr>
        <w:t>experimentálního vývoje.</w:t>
      </w:r>
    </w:p>
    <w:p w14:paraId="319C28D8" w14:textId="7F7419A2" w:rsidR="00F30870" w:rsidRPr="00E7695F" w:rsidRDefault="003D47F5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Program bude navazovat na jiné národní programy v oblasti výzkumu, vývoje a inovací</w:t>
      </w:r>
      <w:r w:rsidR="00507156" w:rsidRPr="00E7695F">
        <w:rPr>
          <w:rFonts w:ascii="Arial" w:eastAsia="Arial" w:hAnsi="Arial" w:cs="Arial"/>
          <w:sz w:val="22"/>
          <w:szCs w:val="22"/>
        </w:rPr>
        <w:t>, zejména program</w:t>
      </w:r>
      <w:r w:rsidR="003908A9" w:rsidRPr="00E7695F">
        <w:rPr>
          <w:rFonts w:ascii="Arial" w:eastAsia="Arial" w:hAnsi="Arial" w:cs="Arial"/>
          <w:sz w:val="22"/>
          <w:szCs w:val="22"/>
        </w:rPr>
        <w:t>y</w:t>
      </w:r>
      <w:r w:rsidR="00507156" w:rsidRPr="00E7695F">
        <w:rPr>
          <w:rFonts w:ascii="Arial" w:eastAsia="Arial" w:hAnsi="Arial" w:cs="Arial"/>
          <w:sz w:val="22"/>
          <w:szCs w:val="22"/>
        </w:rPr>
        <w:t xml:space="preserve"> </w:t>
      </w:r>
      <w:r w:rsidR="00186FB0" w:rsidRPr="00E7695F">
        <w:rPr>
          <w:rFonts w:ascii="Arial" w:eastAsia="Arial" w:hAnsi="Arial" w:cs="Arial"/>
          <w:sz w:val="22"/>
          <w:szCs w:val="22"/>
        </w:rPr>
        <w:t>TIP, TRIO</w:t>
      </w:r>
      <w:r w:rsidR="00560692" w:rsidRPr="00E7695F">
        <w:rPr>
          <w:rFonts w:ascii="Arial" w:eastAsia="Arial" w:hAnsi="Arial" w:cs="Arial"/>
          <w:sz w:val="22"/>
          <w:szCs w:val="22"/>
        </w:rPr>
        <w:t>, ALFA</w:t>
      </w:r>
      <w:r w:rsidR="00507156" w:rsidRPr="00E7695F">
        <w:rPr>
          <w:rFonts w:ascii="Arial" w:eastAsia="Arial" w:hAnsi="Arial" w:cs="Arial"/>
          <w:sz w:val="22"/>
          <w:szCs w:val="22"/>
        </w:rPr>
        <w:t xml:space="preserve"> a EPSILON</w:t>
      </w:r>
      <w:r w:rsidR="00186FB0" w:rsidRPr="00E7695F">
        <w:rPr>
          <w:rFonts w:ascii="Arial" w:eastAsia="Arial" w:hAnsi="Arial" w:cs="Arial"/>
          <w:sz w:val="22"/>
          <w:szCs w:val="22"/>
        </w:rPr>
        <w:t>.</w:t>
      </w:r>
    </w:p>
    <w:p w14:paraId="5466B64B" w14:textId="77374054" w:rsidR="008D2C1B" w:rsidRPr="00E7695F" w:rsidRDefault="003D47F5" w:rsidP="008D2C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Program bude možné využít </w:t>
      </w:r>
      <w:r w:rsidR="00507156" w:rsidRPr="00E7695F">
        <w:rPr>
          <w:rFonts w:ascii="Arial" w:eastAsia="Arial" w:hAnsi="Arial" w:cs="Arial"/>
          <w:sz w:val="22"/>
          <w:szCs w:val="22"/>
        </w:rPr>
        <w:t>pro synergické a komplementární efekty v mezinárodních</w:t>
      </w:r>
      <w:r w:rsidRPr="00E7695F">
        <w:rPr>
          <w:rFonts w:ascii="Arial" w:eastAsia="Arial" w:hAnsi="Arial" w:cs="Arial"/>
          <w:sz w:val="22"/>
          <w:szCs w:val="22"/>
        </w:rPr>
        <w:t xml:space="preserve"> schémat</w:t>
      </w:r>
      <w:r w:rsidR="00507156" w:rsidRPr="00E7695F">
        <w:rPr>
          <w:rFonts w:ascii="Arial" w:eastAsia="Arial" w:hAnsi="Arial" w:cs="Arial"/>
          <w:sz w:val="22"/>
          <w:szCs w:val="22"/>
        </w:rPr>
        <w:t>ech</w:t>
      </w:r>
      <w:r w:rsidRPr="00E7695F">
        <w:rPr>
          <w:rFonts w:ascii="Arial" w:eastAsia="Arial" w:hAnsi="Arial" w:cs="Arial"/>
          <w:sz w:val="22"/>
          <w:szCs w:val="22"/>
        </w:rPr>
        <w:t xml:space="preserve"> typu</w:t>
      </w:r>
      <w:r w:rsidR="00507156" w:rsidRPr="00E7695F">
        <w:rPr>
          <w:rFonts w:ascii="Arial" w:eastAsia="Arial" w:hAnsi="Arial" w:cs="Arial"/>
          <w:sz w:val="22"/>
          <w:szCs w:val="22"/>
        </w:rPr>
        <w:t xml:space="preserve"> H2020</w:t>
      </w:r>
      <w:r w:rsidR="00507156" w:rsidRPr="00E7695F">
        <w:rPr>
          <w:rStyle w:val="Znakapoznpodarou"/>
          <w:rFonts w:ascii="Arial" w:eastAsia="Arial" w:hAnsi="Arial" w:cs="Arial"/>
          <w:sz w:val="22"/>
          <w:szCs w:val="22"/>
        </w:rPr>
        <w:footnoteReference w:id="1"/>
      </w:r>
      <w:r w:rsidR="00507156" w:rsidRPr="00E7695F">
        <w:rPr>
          <w:rFonts w:ascii="Arial" w:eastAsia="Arial" w:hAnsi="Arial" w:cs="Arial"/>
          <w:sz w:val="22"/>
          <w:szCs w:val="22"/>
        </w:rPr>
        <w:t xml:space="preserve">, </w:t>
      </w:r>
      <w:r w:rsidRPr="00E7695F">
        <w:rPr>
          <w:rFonts w:ascii="Arial" w:eastAsia="Arial" w:hAnsi="Arial" w:cs="Arial"/>
          <w:sz w:val="22"/>
          <w:szCs w:val="22"/>
        </w:rPr>
        <w:t>Euratomu</w:t>
      </w:r>
      <w:r w:rsidR="00FE4970" w:rsidRPr="00E7695F">
        <w:rPr>
          <w:rFonts w:ascii="Arial" w:eastAsia="Arial" w:hAnsi="Arial" w:cs="Arial"/>
          <w:sz w:val="22"/>
          <w:szCs w:val="22"/>
        </w:rPr>
        <w:t>, dalších programech EU</w:t>
      </w:r>
      <w:r w:rsidR="00507156" w:rsidRPr="00E7695F">
        <w:rPr>
          <w:rFonts w:ascii="Arial" w:eastAsia="Arial" w:hAnsi="Arial" w:cs="Arial"/>
          <w:sz w:val="22"/>
          <w:szCs w:val="22"/>
        </w:rPr>
        <w:t xml:space="preserve"> a dalších </w:t>
      </w:r>
      <w:r w:rsidR="00FE4970" w:rsidRPr="00E7695F">
        <w:rPr>
          <w:rFonts w:ascii="Arial" w:eastAsia="Arial" w:hAnsi="Arial" w:cs="Arial"/>
          <w:sz w:val="22"/>
          <w:szCs w:val="22"/>
        </w:rPr>
        <w:t xml:space="preserve">mezinárodních </w:t>
      </w:r>
      <w:r w:rsidR="00507156" w:rsidRPr="00E7695F">
        <w:rPr>
          <w:rFonts w:ascii="Arial" w:eastAsia="Arial" w:hAnsi="Arial" w:cs="Arial"/>
          <w:sz w:val="22"/>
          <w:szCs w:val="22"/>
        </w:rPr>
        <w:t>programech</w:t>
      </w:r>
      <w:r w:rsidRPr="00E7695F">
        <w:rPr>
          <w:rFonts w:ascii="Arial" w:eastAsia="Arial" w:hAnsi="Arial" w:cs="Arial"/>
          <w:sz w:val="22"/>
          <w:szCs w:val="22"/>
        </w:rPr>
        <w:t>,</w:t>
      </w:r>
      <w:r w:rsidR="00507156" w:rsidRPr="00E7695F">
        <w:rPr>
          <w:rFonts w:ascii="Arial" w:eastAsia="Arial" w:hAnsi="Arial" w:cs="Arial"/>
          <w:sz w:val="22"/>
          <w:szCs w:val="22"/>
        </w:rPr>
        <w:t xml:space="preserve"> </w:t>
      </w:r>
      <w:r w:rsidRPr="00E7695F">
        <w:rPr>
          <w:rFonts w:ascii="Arial" w:eastAsia="Arial" w:hAnsi="Arial" w:cs="Arial"/>
          <w:sz w:val="22"/>
          <w:szCs w:val="22"/>
        </w:rPr>
        <w:t>které jsou v</w:t>
      </w:r>
      <w:r w:rsidR="00C16BDF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 xml:space="preserve">souladu se zaměřením programu. </w:t>
      </w:r>
    </w:p>
    <w:p w14:paraId="41D797F7" w14:textId="036C4965" w:rsidR="00F30870" w:rsidRPr="00E7695F" w:rsidRDefault="00555619" w:rsidP="00F94E70">
      <w:pPr>
        <w:pStyle w:val="Nadpis1"/>
        <w:rPr>
          <w:rFonts w:ascii="Arial" w:eastAsia="Times New Roman" w:hAnsi="Arial" w:cs="Arial"/>
          <w:szCs w:val="22"/>
        </w:rPr>
      </w:pPr>
      <w:r w:rsidRPr="00E7695F">
        <w:rPr>
          <w:rFonts w:ascii="Arial" w:hAnsi="Arial" w:cs="Arial"/>
          <w:szCs w:val="22"/>
        </w:rPr>
        <w:t>CÍL</w:t>
      </w:r>
      <w:r w:rsidR="003D47F5" w:rsidRPr="00E7695F">
        <w:rPr>
          <w:rFonts w:ascii="Arial" w:hAnsi="Arial" w:cs="Arial"/>
          <w:szCs w:val="22"/>
        </w:rPr>
        <w:t xml:space="preserve"> PROGRAMU</w:t>
      </w:r>
    </w:p>
    <w:p w14:paraId="2EEF9185" w14:textId="738F21A2" w:rsidR="008D2C1B" w:rsidRPr="00E7695F" w:rsidRDefault="002D12E3" w:rsidP="008D2C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Cílem programu je prostřednictvím v</w:t>
      </w:r>
      <w:r w:rsidRPr="00E7695F">
        <w:rPr>
          <w:rFonts w:ascii="Arial" w:eastAsia="Arial" w:hAnsi="Arial" w:cs="Arial"/>
          <w:sz w:val="22"/>
          <w:szCs w:val="22"/>
        </w:rPr>
        <w:t>ýstup</w:t>
      </w:r>
      <w:r>
        <w:rPr>
          <w:rFonts w:ascii="Arial" w:eastAsia="Arial" w:hAnsi="Arial" w:cs="Arial"/>
          <w:sz w:val="22"/>
          <w:szCs w:val="22"/>
        </w:rPr>
        <w:t>ů, výsledků</w:t>
      </w:r>
      <w:r w:rsidRPr="00E7695F">
        <w:rPr>
          <w:rFonts w:ascii="Arial" w:eastAsia="Arial" w:hAnsi="Arial" w:cs="Arial"/>
          <w:sz w:val="22"/>
          <w:szCs w:val="22"/>
        </w:rPr>
        <w:t xml:space="preserve"> a dopad</w:t>
      </w:r>
      <w:r>
        <w:rPr>
          <w:rFonts w:ascii="Arial" w:eastAsia="Arial" w:hAnsi="Arial" w:cs="Arial"/>
          <w:sz w:val="22"/>
          <w:szCs w:val="22"/>
        </w:rPr>
        <w:t>ů</w:t>
      </w:r>
      <w:r w:rsidRPr="00E7695F">
        <w:rPr>
          <w:rFonts w:ascii="Arial" w:eastAsia="Arial" w:hAnsi="Arial" w:cs="Arial"/>
          <w:sz w:val="22"/>
          <w:szCs w:val="22"/>
        </w:rPr>
        <w:t xml:space="preserve"> z podpořených projektů </w:t>
      </w:r>
      <w:r>
        <w:rPr>
          <w:rFonts w:ascii="Arial" w:eastAsia="Arial" w:hAnsi="Arial" w:cs="Arial"/>
          <w:sz w:val="22"/>
          <w:szCs w:val="22"/>
        </w:rPr>
        <w:t>přispět</w:t>
      </w:r>
      <w:r w:rsidRPr="00E7695F">
        <w:rPr>
          <w:rFonts w:ascii="Arial" w:eastAsia="Arial" w:hAnsi="Arial" w:cs="Arial"/>
          <w:sz w:val="22"/>
          <w:szCs w:val="22"/>
        </w:rPr>
        <w:t xml:space="preserve"> ve střednědobém a dlouhodobém horizontu k naplnění vize transformace a</w:t>
      </w:r>
      <w:r w:rsidR="00297F27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modernizace energetického sektoru v souladu se schválenými strategickými materiály.</w:t>
      </w:r>
      <w:r>
        <w:rPr>
          <w:rFonts w:ascii="Arial" w:eastAsia="Arial" w:hAnsi="Arial" w:cs="Arial"/>
          <w:sz w:val="22"/>
          <w:szCs w:val="22"/>
        </w:rPr>
        <w:t xml:space="preserve"> Tohoto cíle bude dosaženo prostřednictvím </w:t>
      </w:r>
      <w:r w:rsidR="003D47F5" w:rsidRPr="00E7695F">
        <w:rPr>
          <w:rFonts w:ascii="Arial" w:eastAsia="Arial" w:hAnsi="Arial" w:cs="Arial"/>
          <w:sz w:val="22"/>
          <w:szCs w:val="22"/>
        </w:rPr>
        <w:t>podpor</w:t>
      </w:r>
      <w:r>
        <w:rPr>
          <w:rFonts w:ascii="Arial" w:eastAsia="Arial" w:hAnsi="Arial" w:cs="Arial"/>
          <w:sz w:val="22"/>
          <w:szCs w:val="22"/>
        </w:rPr>
        <w:t>y</w:t>
      </w:r>
      <w:r w:rsidR="003D47F5" w:rsidRPr="00E7695F">
        <w:rPr>
          <w:rFonts w:ascii="Arial" w:eastAsia="Arial" w:hAnsi="Arial" w:cs="Arial"/>
          <w:sz w:val="22"/>
          <w:szCs w:val="22"/>
        </w:rPr>
        <w:t xml:space="preserve"> výzkumu, vývoje a inovací v oblasti energetiky se zaměřením na</w:t>
      </w:r>
      <w:r w:rsidR="00373A3C" w:rsidRPr="00E7695F">
        <w:rPr>
          <w:rFonts w:ascii="Arial" w:eastAsia="Arial" w:hAnsi="Arial" w:cs="Arial"/>
          <w:sz w:val="22"/>
          <w:szCs w:val="22"/>
        </w:rPr>
        <w:t xml:space="preserve"> (i)</w:t>
      </w:r>
      <w:r w:rsidR="003D47F5" w:rsidRPr="00E7695F">
        <w:rPr>
          <w:rFonts w:ascii="Arial" w:eastAsia="Arial" w:hAnsi="Arial" w:cs="Arial"/>
          <w:sz w:val="22"/>
          <w:szCs w:val="22"/>
        </w:rPr>
        <w:t xml:space="preserve"> podporu projektů ve veřejném zájmu, </w:t>
      </w:r>
      <w:r w:rsidR="00373A3C" w:rsidRPr="00E7695F">
        <w:rPr>
          <w:rFonts w:ascii="Arial" w:eastAsia="Arial" w:hAnsi="Arial" w:cs="Arial"/>
          <w:sz w:val="22"/>
          <w:szCs w:val="22"/>
        </w:rPr>
        <w:t xml:space="preserve">(ii) </w:t>
      </w:r>
      <w:r w:rsidR="003D47F5" w:rsidRPr="00E7695F">
        <w:rPr>
          <w:rFonts w:ascii="Arial" w:eastAsia="Arial" w:hAnsi="Arial" w:cs="Arial"/>
          <w:sz w:val="22"/>
          <w:szCs w:val="22"/>
        </w:rPr>
        <w:t>nové technologie a</w:t>
      </w:r>
      <w:r w:rsidR="00297F27">
        <w:rPr>
          <w:rFonts w:ascii="Arial" w:eastAsia="Arial" w:hAnsi="Arial" w:cs="Arial"/>
          <w:sz w:val="22"/>
          <w:szCs w:val="22"/>
        </w:rPr>
        <w:t> </w:t>
      </w:r>
      <w:r w:rsidR="003D47F5" w:rsidRPr="00E7695F">
        <w:rPr>
          <w:rFonts w:ascii="Arial" w:eastAsia="Arial" w:hAnsi="Arial" w:cs="Arial"/>
          <w:sz w:val="22"/>
          <w:szCs w:val="22"/>
        </w:rPr>
        <w:t xml:space="preserve">systémové prvky </w:t>
      </w:r>
      <w:r w:rsidR="002F5640">
        <w:rPr>
          <w:rFonts w:ascii="Arial" w:eastAsia="Arial" w:hAnsi="Arial" w:cs="Arial"/>
          <w:sz w:val="22"/>
          <w:szCs w:val="22"/>
        </w:rPr>
        <w:t xml:space="preserve">s vysokým potenciálem pro rychlé uplatnění v praxi </w:t>
      </w:r>
      <w:r w:rsidR="003D47F5" w:rsidRPr="00E7695F">
        <w:rPr>
          <w:rFonts w:ascii="Arial" w:eastAsia="Arial" w:hAnsi="Arial" w:cs="Arial"/>
          <w:sz w:val="22"/>
          <w:szCs w:val="22"/>
        </w:rPr>
        <w:t xml:space="preserve">a </w:t>
      </w:r>
      <w:r w:rsidR="00373A3C" w:rsidRPr="00E7695F">
        <w:rPr>
          <w:rFonts w:ascii="Arial" w:eastAsia="Arial" w:hAnsi="Arial" w:cs="Arial"/>
          <w:sz w:val="22"/>
          <w:szCs w:val="22"/>
        </w:rPr>
        <w:t xml:space="preserve">(iii) </w:t>
      </w:r>
      <w:r w:rsidR="003D47F5" w:rsidRPr="00E7695F">
        <w:rPr>
          <w:rFonts w:ascii="Arial" w:eastAsia="Arial" w:hAnsi="Arial" w:cs="Arial"/>
          <w:sz w:val="22"/>
          <w:szCs w:val="22"/>
        </w:rPr>
        <w:t xml:space="preserve">podporu dlouhodobých </w:t>
      </w:r>
      <w:r w:rsidR="00994031" w:rsidRPr="00E7695F">
        <w:rPr>
          <w:rFonts w:ascii="Arial" w:eastAsia="Arial" w:hAnsi="Arial" w:cs="Arial"/>
          <w:sz w:val="22"/>
          <w:szCs w:val="22"/>
        </w:rPr>
        <w:t>technologických</w:t>
      </w:r>
      <w:r w:rsidR="003D47F5" w:rsidRPr="00E7695F">
        <w:rPr>
          <w:rFonts w:ascii="Arial" w:eastAsia="Arial" w:hAnsi="Arial" w:cs="Arial"/>
          <w:sz w:val="22"/>
          <w:szCs w:val="22"/>
        </w:rPr>
        <w:t xml:space="preserve"> perspektiv. </w:t>
      </w:r>
    </w:p>
    <w:p w14:paraId="660B6A86" w14:textId="079D535F" w:rsidR="00F30870" w:rsidRPr="00E7695F" w:rsidRDefault="00555619" w:rsidP="00F94E70">
      <w:pPr>
        <w:pStyle w:val="Nadpis1"/>
        <w:rPr>
          <w:rFonts w:ascii="Arial" w:eastAsia="Times New Roman" w:hAnsi="Arial" w:cs="Arial"/>
          <w:szCs w:val="22"/>
        </w:rPr>
      </w:pPr>
      <w:r w:rsidRPr="00E7695F">
        <w:rPr>
          <w:rFonts w:ascii="Arial" w:hAnsi="Arial" w:cs="Arial"/>
          <w:szCs w:val="22"/>
        </w:rPr>
        <w:t>ODŮVODNĚNÍ CÍLE</w:t>
      </w:r>
      <w:r w:rsidR="003D47F5" w:rsidRPr="00E7695F">
        <w:rPr>
          <w:rFonts w:ascii="Arial" w:hAnsi="Arial" w:cs="Arial"/>
          <w:szCs w:val="22"/>
        </w:rPr>
        <w:t xml:space="preserve"> PROGRAMU</w:t>
      </w:r>
    </w:p>
    <w:p w14:paraId="5F028067" w14:textId="176ECE8E" w:rsidR="00F30870" w:rsidRPr="00E7695F" w:rsidRDefault="003D47F5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Vláda ČR schválila v květnu 2015 </w:t>
      </w:r>
      <w:r w:rsidR="004E68CE" w:rsidRPr="00E7695F">
        <w:rPr>
          <w:rFonts w:ascii="Arial" w:eastAsia="Arial" w:hAnsi="Arial" w:cs="Arial"/>
          <w:sz w:val="22"/>
          <w:szCs w:val="22"/>
        </w:rPr>
        <w:t>a</w:t>
      </w:r>
      <w:r w:rsidRPr="00E7695F">
        <w:rPr>
          <w:rFonts w:ascii="Arial" w:eastAsia="Arial" w:hAnsi="Arial" w:cs="Arial"/>
          <w:sz w:val="22"/>
          <w:szCs w:val="22"/>
        </w:rPr>
        <w:t>ktualiz</w:t>
      </w:r>
      <w:r w:rsidR="004E68CE" w:rsidRPr="00E7695F">
        <w:rPr>
          <w:rFonts w:ascii="Arial" w:eastAsia="Arial" w:hAnsi="Arial" w:cs="Arial"/>
          <w:sz w:val="22"/>
          <w:szCs w:val="22"/>
        </w:rPr>
        <w:t>ovanou</w:t>
      </w:r>
      <w:r w:rsidRPr="00E7695F">
        <w:rPr>
          <w:rFonts w:ascii="Arial" w:eastAsia="Arial" w:hAnsi="Arial" w:cs="Arial"/>
          <w:sz w:val="22"/>
          <w:szCs w:val="22"/>
        </w:rPr>
        <w:t xml:space="preserve"> </w:t>
      </w:r>
      <w:r w:rsidR="004E68CE" w:rsidRPr="00E7695F">
        <w:rPr>
          <w:rFonts w:ascii="Arial" w:eastAsia="Arial" w:hAnsi="Arial" w:cs="Arial"/>
          <w:sz w:val="22"/>
          <w:szCs w:val="22"/>
        </w:rPr>
        <w:t>S</w:t>
      </w:r>
      <w:r w:rsidRPr="00E7695F">
        <w:rPr>
          <w:rFonts w:ascii="Arial" w:eastAsia="Arial" w:hAnsi="Arial" w:cs="Arial"/>
          <w:sz w:val="22"/>
          <w:szCs w:val="22"/>
        </w:rPr>
        <w:t>tátní energetick</w:t>
      </w:r>
      <w:r w:rsidR="00A75777" w:rsidRPr="00E7695F">
        <w:rPr>
          <w:rFonts w:ascii="Arial" w:eastAsia="Arial" w:hAnsi="Arial" w:cs="Arial"/>
          <w:sz w:val="22"/>
          <w:szCs w:val="22"/>
        </w:rPr>
        <w:t>ou</w:t>
      </w:r>
      <w:r w:rsidRPr="00E7695F">
        <w:rPr>
          <w:rFonts w:ascii="Arial" w:eastAsia="Arial" w:hAnsi="Arial" w:cs="Arial"/>
          <w:sz w:val="22"/>
          <w:szCs w:val="22"/>
        </w:rPr>
        <w:t xml:space="preserve"> koncepc</w:t>
      </w:r>
      <w:r w:rsidR="00A75777" w:rsidRPr="00E7695F">
        <w:rPr>
          <w:rFonts w:ascii="Arial" w:eastAsia="Arial" w:hAnsi="Arial" w:cs="Arial"/>
          <w:sz w:val="22"/>
          <w:szCs w:val="22"/>
        </w:rPr>
        <w:t>i</w:t>
      </w:r>
      <w:r w:rsidRPr="00E7695F">
        <w:rPr>
          <w:rFonts w:ascii="Arial" w:eastAsia="Arial" w:hAnsi="Arial" w:cs="Arial"/>
          <w:sz w:val="22"/>
          <w:szCs w:val="22"/>
        </w:rPr>
        <w:t xml:space="preserve"> ČR (usnesení</w:t>
      </w:r>
      <w:r w:rsidR="004E68CE" w:rsidRPr="00E7695F">
        <w:rPr>
          <w:rFonts w:ascii="Arial" w:eastAsia="Arial" w:hAnsi="Arial" w:cs="Arial"/>
          <w:sz w:val="22"/>
          <w:szCs w:val="22"/>
        </w:rPr>
        <w:t xml:space="preserve"> </w:t>
      </w:r>
      <w:r w:rsidRPr="00E7695F">
        <w:rPr>
          <w:rFonts w:ascii="Arial" w:eastAsia="Arial" w:hAnsi="Arial" w:cs="Arial"/>
          <w:sz w:val="22"/>
          <w:szCs w:val="22"/>
        </w:rPr>
        <w:t>ze dne 18.</w:t>
      </w:r>
      <w:r w:rsidR="00C16BDF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května 2015</w:t>
      </w:r>
      <w:r w:rsidR="004E68CE" w:rsidRPr="00E7695F">
        <w:rPr>
          <w:rFonts w:ascii="Arial" w:eastAsia="Arial" w:hAnsi="Arial" w:cs="Arial"/>
          <w:sz w:val="22"/>
          <w:szCs w:val="22"/>
        </w:rPr>
        <w:t xml:space="preserve"> č. 362</w:t>
      </w:r>
      <w:r w:rsidRPr="00E7695F">
        <w:rPr>
          <w:rFonts w:ascii="Arial" w:eastAsia="Arial" w:hAnsi="Arial" w:cs="Arial"/>
          <w:sz w:val="22"/>
          <w:szCs w:val="22"/>
        </w:rPr>
        <w:t>). Jedná se o vrcholný dokument v oblasti energetiky, který určuje strategické zadání pro rozvoj české energetiky v horizontu dalších desítek let. Tento dokument je zároveň závazný pro výkon státní správy v oblasti nakládání s</w:t>
      </w:r>
      <w:r w:rsidR="00297F27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energií. TA ČR byla pověřena v součinnosti s Min</w:t>
      </w:r>
      <w:r w:rsidR="00297F27">
        <w:rPr>
          <w:rFonts w:ascii="Arial" w:eastAsia="Arial" w:hAnsi="Arial" w:cs="Arial"/>
          <w:sz w:val="22"/>
          <w:szCs w:val="22"/>
        </w:rPr>
        <w:t>isterstvem průmyslu a obchodu a </w:t>
      </w:r>
      <w:r w:rsidRPr="00E7695F">
        <w:rPr>
          <w:rFonts w:ascii="Arial" w:eastAsia="Arial" w:hAnsi="Arial" w:cs="Arial"/>
          <w:sz w:val="22"/>
          <w:szCs w:val="22"/>
        </w:rPr>
        <w:t>Ministerstvem školství, mládeže a tělovýchovy “zajistit p</w:t>
      </w:r>
      <w:r w:rsidR="00297F27">
        <w:rPr>
          <w:rFonts w:ascii="Arial" w:eastAsia="Arial" w:hAnsi="Arial" w:cs="Arial"/>
          <w:sz w:val="22"/>
          <w:szCs w:val="22"/>
        </w:rPr>
        <w:t>odporu pilotních projektů VaV v </w:t>
      </w:r>
      <w:r w:rsidRPr="00E7695F">
        <w:rPr>
          <w:rFonts w:ascii="Arial" w:eastAsia="Arial" w:hAnsi="Arial" w:cs="Arial"/>
          <w:sz w:val="22"/>
          <w:szCs w:val="22"/>
        </w:rPr>
        <w:t>oblasti energetiky v návaznosti na SET plán. Orientovat nový program strategicky usměrňované podpory výzkumných projektů v oblasti energetiky (inteligentní sítě, elektroakumulace, VaV v oblasti jaderných technologií) v kontextu prioritní oblasti “Udržitelná energetik</w:t>
      </w:r>
      <w:r w:rsidR="00994031" w:rsidRPr="00E7695F">
        <w:rPr>
          <w:rFonts w:ascii="Arial" w:eastAsia="Arial" w:hAnsi="Arial" w:cs="Arial"/>
          <w:sz w:val="22"/>
          <w:szCs w:val="22"/>
        </w:rPr>
        <w:t>a</w:t>
      </w:r>
      <w:r w:rsidRPr="00E7695F">
        <w:rPr>
          <w:rFonts w:ascii="Arial" w:eastAsia="Arial" w:hAnsi="Arial" w:cs="Arial"/>
          <w:sz w:val="22"/>
          <w:szCs w:val="22"/>
        </w:rPr>
        <w:t>” podle usnesení vlády ČR ze dne 19. července 2012 č. 552 NPOV a potřeb plynoucích z</w:t>
      </w:r>
      <w:r w:rsidR="00CB78E6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naplňování Státní energetické koncepce.”</w:t>
      </w:r>
    </w:p>
    <w:p w14:paraId="7E04D491" w14:textId="75BAC01B" w:rsidR="00F30870" w:rsidRPr="00E7695F" w:rsidRDefault="003D47F5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Program je v souladu s NPOV</w:t>
      </w:r>
      <w:r w:rsidR="004E68CE" w:rsidRPr="00E7695F">
        <w:rPr>
          <w:rFonts w:ascii="Arial" w:eastAsia="Arial" w:hAnsi="Arial" w:cs="Arial"/>
          <w:sz w:val="22"/>
          <w:szCs w:val="22"/>
        </w:rPr>
        <w:t xml:space="preserve"> a reaguje </w:t>
      </w:r>
      <w:r w:rsidR="00373A3C" w:rsidRPr="00E7695F">
        <w:rPr>
          <w:rFonts w:ascii="Arial" w:eastAsia="Arial" w:hAnsi="Arial" w:cs="Arial"/>
          <w:sz w:val="22"/>
          <w:szCs w:val="22"/>
        </w:rPr>
        <w:t xml:space="preserve">dále </w:t>
      </w:r>
      <w:r w:rsidR="004E68CE" w:rsidRPr="00E7695F">
        <w:rPr>
          <w:rFonts w:ascii="Arial" w:eastAsia="Arial" w:hAnsi="Arial" w:cs="Arial"/>
          <w:sz w:val="22"/>
          <w:szCs w:val="22"/>
        </w:rPr>
        <w:t xml:space="preserve">zejména na opatření </w:t>
      </w:r>
      <w:r w:rsidRPr="00E7695F">
        <w:rPr>
          <w:rFonts w:ascii="Arial" w:eastAsia="Arial" w:hAnsi="Arial" w:cs="Arial"/>
          <w:sz w:val="22"/>
          <w:szCs w:val="22"/>
        </w:rPr>
        <w:t xml:space="preserve">v oblasti výzkumu </w:t>
      </w:r>
      <w:r w:rsidR="00297F27">
        <w:rPr>
          <w:rFonts w:ascii="Arial" w:eastAsia="Arial" w:hAnsi="Arial" w:cs="Arial"/>
          <w:sz w:val="22"/>
          <w:szCs w:val="22"/>
        </w:rPr>
        <w:t>a </w:t>
      </w:r>
      <w:r w:rsidR="00060428" w:rsidRPr="00E7695F">
        <w:rPr>
          <w:rFonts w:ascii="Arial" w:eastAsia="Arial" w:hAnsi="Arial" w:cs="Arial"/>
          <w:sz w:val="22"/>
          <w:szCs w:val="22"/>
        </w:rPr>
        <w:t xml:space="preserve">vývoje </w:t>
      </w:r>
      <w:r w:rsidRPr="00E7695F">
        <w:rPr>
          <w:rFonts w:ascii="Arial" w:eastAsia="Arial" w:hAnsi="Arial" w:cs="Arial"/>
          <w:sz w:val="22"/>
          <w:szCs w:val="22"/>
        </w:rPr>
        <w:t>formulované v Národním akčním plánu rozvoje jaderné energetiky</w:t>
      </w:r>
      <w:r w:rsidR="00994031" w:rsidRPr="00E7695F">
        <w:rPr>
          <w:rFonts w:ascii="Arial" w:eastAsia="Arial" w:hAnsi="Arial" w:cs="Arial"/>
          <w:sz w:val="22"/>
          <w:szCs w:val="22"/>
        </w:rPr>
        <w:t xml:space="preserve"> v ČR</w:t>
      </w:r>
      <w:r w:rsidRPr="00E7695F">
        <w:rPr>
          <w:rFonts w:ascii="Arial" w:eastAsia="Arial" w:hAnsi="Arial" w:cs="Arial"/>
          <w:sz w:val="22"/>
          <w:szCs w:val="22"/>
        </w:rPr>
        <w:t xml:space="preserve"> (dle usnesení vlád</w:t>
      </w:r>
      <w:r w:rsidR="00373A3C" w:rsidRPr="00E7695F">
        <w:rPr>
          <w:rFonts w:ascii="Arial" w:eastAsia="Arial" w:hAnsi="Arial" w:cs="Arial"/>
          <w:sz w:val="22"/>
          <w:szCs w:val="22"/>
        </w:rPr>
        <w:t>y č. 419 ze dne 3. června 2015),</w:t>
      </w:r>
      <w:r w:rsidRPr="00E7695F">
        <w:rPr>
          <w:rFonts w:ascii="Arial" w:eastAsia="Arial" w:hAnsi="Arial" w:cs="Arial"/>
          <w:sz w:val="22"/>
          <w:szCs w:val="22"/>
        </w:rPr>
        <w:t xml:space="preserve"> Národním akčním plánu čisté mobility (dle usnesení vlády č. 941 ze dne 20.</w:t>
      </w:r>
      <w:r w:rsidR="00CB78E6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listopadu 2015)</w:t>
      </w:r>
      <w:r w:rsidR="00373A3C" w:rsidRPr="00E7695F">
        <w:rPr>
          <w:rFonts w:ascii="Arial" w:eastAsia="Arial" w:hAnsi="Arial" w:cs="Arial"/>
          <w:sz w:val="22"/>
          <w:szCs w:val="22"/>
        </w:rPr>
        <w:t>,</w:t>
      </w:r>
      <w:r w:rsidRPr="00E7695F">
        <w:rPr>
          <w:rFonts w:ascii="Arial" w:eastAsia="Arial" w:hAnsi="Arial" w:cs="Arial"/>
          <w:sz w:val="22"/>
          <w:szCs w:val="22"/>
        </w:rPr>
        <w:t xml:space="preserve"> Národním akčním plánu pro chytré sítě (dle usnesení vlády č. 149 ze dne 4.</w:t>
      </w:r>
      <w:r w:rsidR="00CB78E6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 xml:space="preserve">března 2015) a </w:t>
      </w:r>
      <w:r w:rsidR="00B1207A" w:rsidRPr="00E7695F">
        <w:rPr>
          <w:rFonts w:ascii="Arial" w:eastAsia="Arial" w:hAnsi="Arial" w:cs="Arial"/>
          <w:sz w:val="22"/>
          <w:szCs w:val="22"/>
        </w:rPr>
        <w:t>v</w:t>
      </w:r>
      <w:r w:rsidR="00373A3C" w:rsidRPr="00E7695F">
        <w:rPr>
          <w:rFonts w:ascii="Arial" w:eastAsia="Arial" w:hAnsi="Arial" w:cs="Arial"/>
          <w:sz w:val="22"/>
          <w:szCs w:val="22"/>
        </w:rPr>
        <w:t> dalších relevantních</w:t>
      </w:r>
      <w:r w:rsidRPr="00E7695F">
        <w:rPr>
          <w:rFonts w:ascii="Arial" w:eastAsia="Arial" w:hAnsi="Arial" w:cs="Arial"/>
          <w:sz w:val="22"/>
          <w:szCs w:val="22"/>
        </w:rPr>
        <w:t xml:space="preserve"> strategických dokument</w:t>
      </w:r>
      <w:r w:rsidR="00994031" w:rsidRPr="00E7695F">
        <w:rPr>
          <w:rFonts w:ascii="Arial" w:eastAsia="Arial" w:hAnsi="Arial" w:cs="Arial"/>
          <w:sz w:val="22"/>
          <w:szCs w:val="22"/>
        </w:rPr>
        <w:t>ech</w:t>
      </w:r>
      <w:r w:rsidRPr="00E7695F">
        <w:rPr>
          <w:rFonts w:ascii="Arial" w:eastAsia="Arial" w:hAnsi="Arial" w:cs="Arial"/>
          <w:sz w:val="22"/>
          <w:szCs w:val="22"/>
        </w:rPr>
        <w:t xml:space="preserve">. </w:t>
      </w:r>
    </w:p>
    <w:p w14:paraId="1A5BC71F" w14:textId="601BAB53" w:rsidR="00A75777" w:rsidRPr="00E7695F" w:rsidRDefault="00373A3C" w:rsidP="00A75777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Dalším impulsem pro vznik programu byl fakt, že v</w:t>
      </w:r>
      <w:r w:rsidR="00A75777" w:rsidRPr="00E7695F">
        <w:rPr>
          <w:rFonts w:ascii="Arial" w:eastAsia="Arial" w:hAnsi="Arial" w:cs="Arial"/>
          <w:sz w:val="22"/>
          <w:szCs w:val="22"/>
        </w:rPr>
        <w:t xml:space="preserve"> květnu 2015 bylo na úrovni Evropské unie s podporou členských států rozhodnuto o vytvoření tzv. Energetické unie. Jeden z pěti hlavních pilířů Energetické unie je zaměřen právě na </w:t>
      </w:r>
      <w:r w:rsidR="00060428" w:rsidRPr="00E7695F">
        <w:rPr>
          <w:rFonts w:ascii="Arial" w:eastAsia="Arial" w:hAnsi="Arial" w:cs="Arial"/>
          <w:sz w:val="22"/>
          <w:szCs w:val="22"/>
        </w:rPr>
        <w:t>výzkum, vývoj</w:t>
      </w:r>
      <w:r w:rsidR="00A75777" w:rsidRPr="00E7695F">
        <w:rPr>
          <w:rFonts w:ascii="Arial" w:eastAsia="Arial" w:hAnsi="Arial" w:cs="Arial"/>
          <w:sz w:val="22"/>
          <w:szCs w:val="22"/>
        </w:rPr>
        <w:t xml:space="preserve">, inovace a konkurenceschopnost. Za klíčový subjekt pro naplňování tohoto pilíře byl identifikován Evropský strategický plán pro energetické technologie, který klade důraz na systémový pohled na výzkum </w:t>
      </w:r>
      <w:r w:rsidR="00C27780" w:rsidRPr="00E7695F">
        <w:rPr>
          <w:rFonts w:ascii="Arial" w:eastAsia="Arial" w:hAnsi="Arial" w:cs="Arial"/>
          <w:sz w:val="22"/>
          <w:szCs w:val="22"/>
        </w:rPr>
        <w:t xml:space="preserve">a vývoj </w:t>
      </w:r>
      <w:r w:rsidR="00A75777" w:rsidRPr="00E7695F">
        <w:rPr>
          <w:rFonts w:ascii="Arial" w:eastAsia="Arial" w:hAnsi="Arial" w:cs="Arial"/>
          <w:sz w:val="22"/>
          <w:szCs w:val="22"/>
        </w:rPr>
        <w:t>v oblasti energetiky. Evropský strategický plán pro energetické technologie by měl sloužit jako jedno z hlavních východisek pro formulaci klíčových priorit zajišťující soulad národních a </w:t>
      </w:r>
      <w:r w:rsidR="00060428" w:rsidRPr="00E7695F">
        <w:rPr>
          <w:rFonts w:ascii="Arial" w:eastAsia="Arial" w:hAnsi="Arial" w:cs="Arial"/>
          <w:sz w:val="22"/>
          <w:szCs w:val="22"/>
        </w:rPr>
        <w:t xml:space="preserve">evropských </w:t>
      </w:r>
      <w:r w:rsidR="00A75777" w:rsidRPr="00E7695F">
        <w:rPr>
          <w:rFonts w:ascii="Arial" w:eastAsia="Arial" w:hAnsi="Arial" w:cs="Arial"/>
          <w:sz w:val="22"/>
          <w:szCs w:val="22"/>
        </w:rPr>
        <w:t xml:space="preserve">priorit se zohledněním národních specifik. V kontextu Energetické unie také dochází k periodickému vyhodnocování plnění cílů v jednotlivých pilířích (první zhodnocení stavu Energetické unie bylo představeno v rámci sdělení v listopadu 2015). </w:t>
      </w:r>
      <w:r w:rsidR="00060428" w:rsidRPr="00E7695F">
        <w:rPr>
          <w:rFonts w:ascii="Arial" w:eastAsia="Arial" w:hAnsi="Arial" w:cs="Arial"/>
          <w:sz w:val="22"/>
          <w:szCs w:val="22"/>
        </w:rPr>
        <w:t>P</w:t>
      </w:r>
      <w:r w:rsidR="00A75777" w:rsidRPr="00E7695F">
        <w:rPr>
          <w:rFonts w:ascii="Arial" w:eastAsia="Arial" w:hAnsi="Arial" w:cs="Arial"/>
          <w:sz w:val="22"/>
          <w:szCs w:val="22"/>
        </w:rPr>
        <w:t xml:space="preserve">rogram </w:t>
      </w:r>
      <w:r w:rsidR="00C80CE5">
        <w:rPr>
          <w:rFonts w:ascii="Arial" w:eastAsia="Arial" w:hAnsi="Arial" w:cs="Arial"/>
          <w:sz w:val="22"/>
          <w:szCs w:val="22"/>
        </w:rPr>
        <w:t>THÉTA</w:t>
      </w:r>
      <w:r w:rsidR="00060428" w:rsidRPr="00E7695F">
        <w:rPr>
          <w:rFonts w:ascii="Arial" w:eastAsia="Arial" w:hAnsi="Arial" w:cs="Arial"/>
          <w:sz w:val="22"/>
          <w:szCs w:val="22"/>
        </w:rPr>
        <w:t xml:space="preserve"> </w:t>
      </w:r>
      <w:r w:rsidR="00A75777" w:rsidRPr="00E7695F">
        <w:rPr>
          <w:rFonts w:ascii="Arial" w:eastAsia="Arial" w:hAnsi="Arial" w:cs="Arial"/>
          <w:sz w:val="22"/>
          <w:szCs w:val="22"/>
        </w:rPr>
        <w:t xml:space="preserve">je pak jedním z hlavních </w:t>
      </w:r>
      <w:r w:rsidRPr="00E7695F">
        <w:rPr>
          <w:rFonts w:ascii="Arial" w:eastAsia="Arial" w:hAnsi="Arial" w:cs="Arial"/>
          <w:sz w:val="22"/>
          <w:szCs w:val="22"/>
        </w:rPr>
        <w:t xml:space="preserve">národních </w:t>
      </w:r>
      <w:r w:rsidR="00A75777" w:rsidRPr="00E7695F">
        <w:rPr>
          <w:rFonts w:ascii="Arial" w:eastAsia="Arial" w:hAnsi="Arial" w:cs="Arial"/>
          <w:sz w:val="22"/>
          <w:szCs w:val="22"/>
        </w:rPr>
        <w:t xml:space="preserve">nástrojů pro naplňování pátého pilíře Energetické unie zaměřeného na výzkum </w:t>
      </w:r>
      <w:r w:rsidR="00060428" w:rsidRPr="00E7695F">
        <w:rPr>
          <w:rFonts w:ascii="Arial" w:eastAsia="Arial" w:hAnsi="Arial" w:cs="Arial"/>
          <w:sz w:val="22"/>
          <w:szCs w:val="22"/>
        </w:rPr>
        <w:t xml:space="preserve">a vývoj </w:t>
      </w:r>
      <w:r w:rsidR="00A75777" w:rsidRPr="00E7695F">
        <w:rPr>
          <w:rFonts w:ascii="Arial" w:eastAsia="Arial" w:hAnsi="Arial" w:cs="Arial"/>
          <w:sz w:val="22"/>
          <w:szCs w:val="22"/>
        </w:rPr>
        <w:t>v oblasti energetiky.</w:t>
      </w:r>
    </w:p>
    <w:p w14:paraId="53EB8140" w14:textId="05D4F2F2" w:rsidR="008D2C1B" w:rsidRPr="00E7695F" w:rsidRDefault="00A75777" w:rsidP="008D2C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lastRenderedPageBreak/>
        <w:t xml:space="preserve">V dlouhodobém horizontu program napomáhá realizaci </w:t>
      </w:r>
      <w:r w:rsidR="00060428" w:rsidRPr="00E7695F">
        <w:rPr>
          <w:rFonts w:ascii="Arial" w:eastAsia="Arial" w:hAnsi="Arial" w:cs="Arial"/>
          <w:sz w:val="22"/>
          <w:szCs w:val="22"/>
        </w:rPr>
        <w:t xml:space="preserve">evropské </w:t>
      </w:r>
      <w:r w:rsidRPr="00E7695F">
        <w:rPr>
          <w:rFonts w:ascii="Arial" w:eastAsia="Arial" w:hAnsi="Arial" w:cs="Arial"/>
          <w:sz w:val="22"/>
          <w:szCs w:val="22"/>
        </w:rPr>
        <w:t>klimaticko-energetické politiky a</w:t>
      </w:r>
      <w:r w:rsidR="00CB78E6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 xml:space="preserve">jejímu naplňování na úrovni České republiky </w:t>
      </w:r>
      <w:r w:rsidR="003927F7" w:rsidRPr="00E7695F">
        <w:rPr>
          <w:rFonts w:ascii="Arial" w:eastAsia="Arial" w:hAnsi="Arial" w:cs="Arial"/>
          <w:sz w:val="22"/>
          <w:szCs w:val="22"/>
        </w:rPr>
        <w:t>v </w:t>
      </w:r>
      <w:r w:rsidR="00373A3C" w:rsidRPr="00E7695F">
        <w:rPr>
          <w:rFonts w:ascii="Arial" w:eastAsia="Arial" w:hAnsi="Arial" w:cs="Arial"/>
          <w:sz w:val="22"/>
          <w:szCs w:val="22"/>
        </w:rPr>
        <w:t>rámci jejích základních pilířů: (</w:t>
      </w:r>
      <w:r w:rsidR="003927F7" w:rsidRPr="00E7695F">
        <w:rPr>
          <w:rFonts w:ascii="Arial" w:eastAsia="Arial" w:hAnsi="Arial" w:cs="Arial"/>
          <w:sz w:val="22"/>
          <w:szCs w:val="22"/>
        </w:rPr>
        <w:t>i)</w:t>
      </w:r>
      <w:r w:rsidR="00297F27">
        <w:rPr>
          <w:rFonts w:ascii="Arial" w:eastAsia="Arial" w:hAnsi="Arial" w:cs="Arial"/>
          <w:sz w:val="22"/>
          <w:szCs w:val="22"/>
        </w:rPr>
        <w:t> </w:t>
      </w:r>
      <w:r w:rsidR="003927F7" w:rsidRPr="00E7695F">
        <w:rPr>
          <w:rFonts w:ascii="Arial" w:eastAsia="Arial" w:hAnsi="Arial" w:cs="Arial"/>
          <w:sz w:val="22"/>
          <w:szCs w:val="22"/>
        </w:rPr>
        <w:t xml:space="preserve">spolehlivost dodávek energií, </w:t>
      </w:r>
      <w:r w:rsidR="00373A3C" w:rsidRPr="00E7695F">
        <w:rPr>
          <w:rFonts w:ascii="Arial" w:eastAsia="Arial" w:hAnsi="Arial" w:cs="Arial"/>
          <w:sz w:val="22"/>
          <w:szCs w:val="22"/>
        </w:rPr>
        <w:t>(</w:t>
      </w:r>
      <w:r w:rsidR="003927F7" w:rsidRPr="00E7695F">
        <w:rPr>
          <w:rFonts w:ascii="Arial" w:eastAsia="Arial" w:hAnsi="Arial" w:cs="Arial"/>
          <w:sz w:val="22"/>
          <w:szCs w:val="22"/>
        </w:rPr>
        <w:t>ii) dlouhodobá udržitelnost a</w:t>
      </w:r>
      <w:r w:rsidR="00373A3C" w:rsidRPr="00E7695F">
        <w:rPr>
          <w:rFonts w:ascii="Arial" w:eastAsia="Arial" w:hAnsi="Arial" w:cs="Arial"/>
          <w:sz w:val="22"/>
          <w:szCs w:val="22"/>
        </w:rPr>
        <w:t xml:space="preserve"> (</w:t>
      </w:r>
      <w:r w:rsidR="003927F7" w:rsidRPr="00E7695F">
        <w:rPr>
          <w:rFonts w:ascii="Arial" w:eastAsia="Arial" w:hAnsi="Arial" w:cs="Arial"/>
          <w:sz w:val="22"/>
          <w:szCs w:val="22"/>
        </w:rPr>
        <w:t xml:space="preserve">iii) konkurenceschopnost </w:t>
      </w:r>
      <w:r w:rsidR="00373A3C" w:rsidRPr="00E7695F">
        <w:rPr>
          <w:rFonts w:ascii="Arial" w:eastAsia="Arial" w:hAnsi="Arial" w:cs="Arial"/>
          <w:sz w:val="22"/>
          <w:szCs w:val="22"/>
        </w:rPr>
        <w:t>-</w:t>
      </w:r>
      <w:r w:rsidR="003927F7" w:rsidRPr="00E7695F">
        <w:rPr>
          <w:rFonts w:ascii="Arial" w:eastAsia="Arial" w:hAnsi="Arial" w:cs="Arial"/>
          <w:sz w:val="22"/>
          <w:szCs w:val="22"/>
        </w:rPr>
        <w:t xml:space="preserve"> cenová přijatelnost</w:t>
      </w:r>
      <w:r w:rsidR="00373A3C" w:rsidRPr="00E7695F">
        <w:rPr>
          <w:rFonts w:ascii="Arial" w:eastAsia="Arial" w:hAnsi="Arial" w:cs="Arial"/>
          <w:sz w:val="22"/>
          <w:szCs w:val="22"/>
        </w:rPr>
        <w:t>. Program je důležitým nástroj</w:t>
      </w:r>
      <w:r w:rsidR="005B0045" w:rsidRPr="00E7695F">
        <w:rPr>
          <w:rFonts w:ascii="Arial" w:eastAsia="Arial" w:hAnsi="Arial" w:cs="Arial"/>
          <w:sz w:val="22"/>
          <w:szCs w:val="22"/>
        </w:rPr>
        <w:t>e</w:t>
      </w:r>
      <w:r w:rsidR="00373A3C" w:rsidRPr="00E7695F">
        <w:rPr>
          <w:rFonts w:ascii="Arial" w:eastAsia="Arial" w:hAnsi="Arial" w:cs="Arial"/>
          <w:sz w:val="22"/>
          <w:szCs w:val="22"/>
        </w:rPr>
        <w:t xml:space="preserve">m také </w:t>
      </w:r>
      <w:r w:rsidRPr="00E7695F">
        <w:rPr>
          <w:rFonts w:ascii="Arial" w:eastAsia="Arial" w:hAnsi="Arial" w:cs="Arial"/>
          <w:sz w:val="22"/>
          <w:szCs w:val="22"/>
        </w:rPr>
        <w:t>v kontextu schválených klimaticko-energetických cílů do roku 2030, které jsou zaměřeny zejména na</w:t>
      </w:r>
      <w:r w:rsidR="00373A3C" w:rsidRPr="00E7695F">
        <w:rPr>
          <w:rFonts w:ascii="Arial" w:eastAsia="Arial" w:hAnsi="Arial" w:cs="Arial"/>
          <w:sz w:val="22"/>
          <w:szCs w:val="22"/>
        </w:rPr>
        <w:t xml:space="preserve"> (</w:t>
      </w:r>
      <w:r w:rsidRPr="00E7695F">
        <w:rPr>
          <w:rFonts w:ascii="Arial" w:eastAsia="Arial" w:hAnsi="Arial" w:cs="Arial"/>
          <w:sz w:val="22"/>
          <w:szCs w:val="22"/>
        </w:rPr>
        <w:t xml:space="preserve">i) snížení emisí skleníkových plynů, </w:t>
      </w:r>
      <w:r w:rsidR="00373A3C" w:rsidRPr="00E7695F">
        <w:rPr>
          <w:rFonts w:ascii="Arial" w:eastAsia="Arial" w:hAnsi="Arial" w:cs="Arial"/>
          <w:sz w:val="22"/>
          <w:szCs w:val="22"/>
        </w:rPr>
        <w:t>(</w:t>
      </w:r>
      <w:r w:rsidRPr="00E7695F">
        <w:rPr>
          <w:rFonts w:ascii="Arial" w:eastAsia="Arial" w:hAnsi="Arial" w:cs="Arial"/>
          <w:sz w:val="22"/>
          <w:szCs w:val="22"/>
        </w:rPr>
        <w:t>ii) zvýšení podílu obnovitelných zdrojů v energetickém mixu</w:t>
      </w:r>
      <w:r w:rsidR="00373A3C" w:rsidRPr="00E7695F">
        <w:rPr>
          <w:rFonts w:ascii="Arial" w:eastAsia="Arial" w:hAnsi="Arial" w:cs="Arial"/>
          <w:sz w:val="22"/>
          <w:szCs w:val="22"/>
        </w:rPr>
        <w:t>,</w:t>
      </w:r>
      <w:r w:rsidRPr="00E7695F">
        <w:rPr>
          <w:rFonts w:ascii="Arial" w:eastAsia="Arial" w:hAnsi="Arial" w:cs="Arial"/>
          <w:sz w:val="22"/>
          <w:szCs w:val="22"/>
        </w:rPr>
        <w:t xml:space="preserve"> </w:t>
      </w:r>
      <w:r w:rsidR="00373A3C" w:rsidRPr="00E7695F">
        <w:rPr>
          <w:rFonts w:ascii="Arial" w:eastAsia="Arial" w:hAnsi="Arial" w:cs="Arial"/>
          <w:sz w:val="22"/>
          <w:szCs w:val="22"/>
        </w:rPr>
        <w:t>(</w:t>
      </w:r>
      <w:r w:rsidRPr="00E7695F">
        <w:rPr>
          <w:rFonts w:ascii="Arial" w:eastAsia="Arial" w:hAnsi="Arial" w:cs="Arial"/>
          <w:sz w:val="22"/>
          <w:szCs w:val="22"/>
        </w:rPr>
        <w:t xml:space="preserve">iii) zvýšení energetické účinnosti a </w:t>
      </w:r>
      <w:r w:rsidR="00373A3C" w:rsidRPr="00E7695F">
        <w:rPr>
          <w:rFonts w:ascii="Arial" w:eastAsia="Arial" w:hAnsi="Arial" w:cs="Arial"/>
          <w:sz w:val="22"/>
          <w:szCs w:val="22"/>
        </w:rPr>
        <w:t>(</w:t>
      </w:r>
      <w:r w:rsidRPr="00E7695F">
        <w:rPr>
          <w:rFonts w:ascii="Arial" w:eastAsia="Arial" w:hAnsi="Arial" w:cs="Arial"/>
          <w:sz w:val="22"/>
          <w:szCs w:val="22"/>
        </w:rPr>
        <w:t xml:space="preserve">iv) posílení energetické infrastruktury a zvýšení </w:t>
      </w:r>
      <w:proofErr w:type="spellStart"/>
      <w:r w:rsidRPr="00E7695F">
        <w:rPr>
          <w:rFonts w:ascii="Arial" w:eastAsia="Arial" w:hAnsi="Arial" w:cs="Arial"/>
          <w:sz w:val="22"/>
          <w:szCs w:val="22"/>
        </w:rPr>
        <w:t>interkonektivity</w:t>
      </w:r>
      <w:proofErr w:type="spellEnd"/>
      <w:r w:rsidRPr="00E7695F">
        <w:rPr>
          <w:rFonts w:ascii="Arial" w:eastAsia="Arial" w:hAnsi="Arial" w:cs="Arial"/>
          <w:sz w:val="22"/>
          <w:szCs w:val="22"/>
        </w:rPr>
        <w:t>. Tento program také dílčím způsobem napomáhá k transformaci energetického sektoru v souladu s Cestovní mapou pro přechod k nízkouhlíkové ekonomice do roku 2050.</w:t>
      </w:r>
    </w:p>
    <w:p w14:paraId="3ABCA38F" w14:textId="2C6AAC38" w:rsidR="00555619" w:rsidRPr="00E7695F" w:rsidRDefault="00555619" w:rsidP="00F94E70">
      <w:pPr>
        <w:pStyle w:val="Nadpis1"/>
        <w:rPr>
          <w:rFonts w:ascii="Arial" w:eastAsia="Times New Roman" w:hAnsi="Arial" w:cs="Arial"/>
          <w:szCs w:val="22"/>
        </w:rPr>
      </w:pPr>
      <w:r w:rsidRPr="00E7695F">
        <w:rPr>
          <w:rFonts w:ascii="Arial" w:hAnsi="Arial" w:cs="Arial"/>
          <w:szCs w:val="22"/>
        </w:rPr>
        <w:t xml:space="preserve">KRITÉRIA SPLNĚNÍ CÍLŮ PROGRAMU </w:t>
      </w:r>
    </w:p>
    <w:p w14:paraId="09C49DC7" w14:textId="4A15BE03" w:rsidR="00555619" w:rsidRPr="00E7695F" w:rsidRDefault="00555619" w:rsidP="0055561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Dosažení cílů programu bude vyhodnocováno v souladu s Metodikou hodnocení výsledků výzkumných organizací a hodnocení výsledků ukončených programů platnou v době hodnocení programu, případně podmín</w:t>
      </w:r>
      <w:r w:rsidR="00373A3C" w:rsidRPr="00E7695F">
        <w:rPr>
          <w:rFonts w:ascii="Arial" w:eastAsia="Arial" w:hAnsi="Arial" w:cs="Arial"/>
          <w:sz w:val="22"/>
          <w:szCs w:val="22"/>
        </w:rPr>
        <w:t>kami</w:t>
      </w:r>
      <w:r w:rsidRPr="00E7695F">
        <w:rPr>
          <w:rFonts w:ascii="Arial" w:eastAsia="Arial" w:hAnsi="Arial" w:cs="Arial"/>
          <w:sz w:val="22"/>
          <w:szCs w:val="22"/>
        </w:rPr>
        <w:t xml:space="preserve"> stanovený</w:t>
      </w:r>
      <w:r w:rsidR="00373A3C" w:rsidRPr="00E7695F">
        <w:rPr>
          <w:rFonts w:ascii="Arial" w:eastAsia="Arial" w:hAnsi="Arial" w:cs="Arial"/>
          <w:sz w:val="22"/>
          <w:szCs w:val="22"/>
        </w:rPr>
        <w:t>mi</w:t>
      </w:r>
      <w:r w:rsidRPr="00E7695F">
        <w:rPr>
          <w:rFonts w:ascii="Arial" w:eastAsia="Arial" w:hAnsi="Arial" w:cs="Arial"/>
          <w:sz w:val="22"/>
          <w:szCs w:val="22"/>
        </w:rPr>
        <w:t xml:space="preserve"> poskytovatelem. Dosažení cílů programu bude vyhodnocováno</w:t>
      </w:r>
      <w:r w:rsidR="00373A3C" w:rsidRPr="00E7695F">
        <w:rPr>
          <w:rFonts w:ascii="Arial" w:eastAsia="Arial" w:hAnsi="Arial" w:cs="Arial"/>
          <w:sz w:val="22"/>
          <w:szCs w:val="22"/>
        </w:rPr>
        <w:t xml:space="preserve"> mimo jiné</w:t>
      </w:r>
      <w:r w:rsidRPr="00E7695F">
        <w:rPr>
          <w:rFonts w:ascii="Arial" w:eastAsia="Arial" w:hAnsi="Arial" w:cs="Arial"/>
          <w:sz w:val="22"/>
          <w:szCs w:val="22"/>
        </w:rPr>
        <w:t xml:space="preserve"> na základě souboru indikátorů určených pro monitorování průběhu plnění programu a</w:t>
      </w:r>
      <w:r w:rsidR="00CB78E6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 xml:space="preserve">hodnocení jeho celkové výkonnosti a úspěšnosti. </w:t>
      </w:r>
    </w:p>
    <w:p w14:paraId="6123AE41" w14:textId="49460882" w:rsidR="006802BA" w:rsidRPr="00E7695F" w:rsidRDefault="006802BA" w:rsidP="006802BA">
      <w:pPr>
        <w:keepNext/>
        <w:tabs>
          <w:tab w:val="left" w:pos="36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 w:rsidRPr="00E7695F">
        <w:rPr>
          <w:rFonts w:ascii="Arial" w:eastAsia="Arial" w:hAnsi="Arial" w:cs="Arial"/>
          <w:b/>
          <w:sz w:val="22"/>
          <w:szCs w:val="22"/>
        </w:rPr>
        <w:t>Tabulka č. 9. 1: Indikátory programu</w:t>
      </w:r>
    </w:p>
    <w:tbl>
      <w:tblPr>
        <w:tblStyle w:val="a4"/>
        <w:tblW w:w="9590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20"/>
        <w:gridCol w:w="1470"/>
      </w:tblGrid>
      <w:tr w:rsidR="00555619" w:rsidRPr="00E7695F" w14:paraId="741BA925" w14:textId="77777777" w:rsidTr="00186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20" w:type="dxa"/>
          </w:tcPr>
          <w:p w14:paraId="56E59536" w14:textId="77777777" w:rsidR="00555619" w:rsidRPr="00E7695F" w:rsidRDefault="00555619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695F">
              <w:rPr>
                <w:rFonts w:ascii="Arial" w:eastAsia="Arial" w:hAnsi="Arial" w:cs="Arial"/>
                <w:b/>
                <w:sz w:val="22"/>
                <w:szCs w:val="22"/>
              </w:rPr>
              <w:t>Indikátor</w:t>
            </w:r>
          </w:p>
        </w:tc>
        <w:tc>
          <w:tcPr>
            <w:tcW w:w="1470" w:type="dxa"/>
          </w:tcPr>
          <w:p w14:paraId="409A221E" w14:textId="3F1B3E10" w:rsidR="00555619" w:rsidRPr="00E7695F" w:rsidRDefault="00555619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695F">
              <w:rPr>
                <w:rFonts w:ascii="Arial" w:eastAsia="Arial" w:hAnsi="Arial" w:cs="Arial"/>
                <w:b/>
                <w:sz w:val="22"/>
                <w:szCs w:val="22"/>
              </w:rPr>
              <w:t>Hodnota</w:t>
            </w:r>
          </w:p>
        </w:tc>
      </w:tr>
      <w:tr w:rsidR="00555619" w:rsidRPr="00E7695F" w14:paraId="7191F8EE" w14:textId="77777777" w:rsidTr="00186F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</w:trPr>
        <w:tc>
          <w:tcPr>
            <w:tcW w:w="8120" w:type="dxa"/>
          </w:tcPr>
          <w:p w14:paraId="2D8F96C5" w14:textId="77777777" w:rsidR="00555619" w:rsidRPr="00E7695F" w:rsidRDefault="00555619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695F">
              <w:rPr>
                <w:rFonts w:ascii="Arial" w:hAnsi="Arial" w:cs="Arial"/>
                <w:sz w:val="22"/>
                <w:szCs w:val="22"/>
              </w:rPr>
              <w:t>1. Průměrná míra podpory za program</w:t>
            </w:r>
          </w:p>
        </w:tc>
        <w:tc>
          <w:tcPr>
            <w:tcW w:w="1470" w:type="dxa"/>
          </w:tcPr>
          <w:p w14:paraId="7897C5F3" w14:textId="77777777" w:rsidR="00555619" w:rsidRPr="00E7695F" w:rsidRDefault="00555619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695F">
              <w:rPr>
                <w:rFonts w:ascii="Arial" w:hAnsi="Arial" w:cs="Arial"/>
                <w:sz w:val="22"/>
                <w:szCs w:val="22"/>
              </w:rPr>
              <w:t>70 %</w:t>
            </w:r>
          </w:p>
        </w:tc>
      </w:tr>
      <w:tr w:rsidR="00555619" w:rsidRPr="00E7695F" w14:paraId="2306DFDF" w14:textId="77777777" w:rsidTr="00186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8120" w:type="dxa"/>
          </w:tcPr>
          <w:p w14:paraId="0807B3D5" w14:textId="77777777" w:rsidR="00555619" w:rsidRPr="00E7695F" w:rsidRDefault="00555619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695F">
              <w:rPr>
                <w:rFonts w:ascii="Arial" w:hAnsi="Arial" w:cs="Arial"/>
                <w:sz w:val="22"/>
                <w:szCs w:val="22"/>
              </w:rPr>
              <w:t>2. Minimální počet podpořených projektů</w:t>
            </w:r>
          </w:p>
        </w:tc>
        <w:tc>
          <w:tcPr>
            <w:tcW w:w="1470" w:type="dxa"/>
          </w:tcPr>
          <w:p w14:paraId="2A8A9F1D" w14:textId="35D347CD" w:rsidR="00555619" w:rsidRPr="00E7695F" w:rsidRDefault="00297F27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555619" w:rsidRPr="00E7695F">
              <w:rPr>
                <w:rFonts w:ascii="Arial" w:hAnsi="Arial" w:cs="Arial"/>
                <w:sz w:val="22"/>
                <w:szCs w:val="22"/>
              </w:rPr>
              <w:t>00</w:t>
            </w:r>
          </w:p>
        </w:tc>
      </w:tr>
      <w:tr w:rsidR="00555619" w:rsidRPr="00E7695F" w14:paraId="00951C49" w14:textId="77777777" w:rsidTr="00186F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</w:trPr>
        <w:tc>
          <w:tcPr>
            <w:tcW w:w="8120" w:type="dxa"/>
          </w:tcPr>
          <w:p w14:paraId="59C73AAA" w14:textId="77777777" w:rsidR="00555619" w:rsidRPr="00E7695F" w:rsidRDefault="00555619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695F">
              <w:rPr>
                <w:rFonts w:ascii="Arial" w:hAnsi="Arial" w:cs="Arial"/>
                <w:sz w:val="22"/>
                <w:szCs w:val="22"/>
              </w:rPr>
              <w:t>3. Minimální míra úspěšně dokončených projektů</w:t>
            </w:r>
          </w:p>
        </w:tc>
        <w:tc>
          <w:tcPr>
            <w:tcW w:w="1470" w:type="dxa"/>
          </w:tcPr>
          <w:p w14:paraId="4B225EA1" w14:textId="6290E2BF" w:rsidR="00555619" w:rsidRPr="00E7695F" w:rsidRDefault="003D59F0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695F">
              <w:rPr>
                <w:rFonts w:ascii="Arial" w:hAnsi="Arial" w:cs="Arial"/>
                <w:sz w:val="22"/>
                <w:szCs w:val="22"/>
              </w:rPr>
              <w:t>80</w:t>
            </w:r>
            <w:r w:rsidR="00555619" w:rsidRPr="00E769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</w:tr>
      <w:tr w:rsidR="00555619" w:rsidRPr="00E7695F" w14:paraId="2286D722" w14:textId="77777777" w:rsidTr="00186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20" w:type="dxa"/>
          </w:tcPr>
          <w:p w14:paraId="4A5FDD90" w14:textId="77777777" w:rsidR="00555619" w:rsidRPr="00E7695F" w:rsidRDefault="00555619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695F">
              <w:rPr>
                <w:rFonts w:ascii="Arial" w:hAnsi="Arial" w:cs="Arial"/>
                <w:sz w:val="22"/>
                <w:szCs w:val="22"/>
              </w:rPr>
              <w:t>4. Minimální počet dosažených výstupů</w:t>
            </w:r>
          </w:p>
        </w:tc>
        <w:tc>
          <w:tcPr>
            <w:tcW w:w="1470" w:type="dxa"/>
          </w:tcPr>
          <w:p w14:paraId="5AC3BF18" w14:textId="24715716" w:rsidR="00555619" w:rsidRPr="00E7695F" w:rsidRDefault="00297F27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555619" w:rsidRPr="00E7695F">
              <w:rPr>
                <w:rFonts w:ascii="Arial" w:hAnsi="Arial" w:cs="Arial"/>
                <w:sz w:val="22"/>
                <w:szCs w:val="22"/>
              </w:rPr>
              <w:t>00</w:t>
            </w:r>
          </w:p>
        </w:tc>
      </w:tr>
      <w:tr w:rsidR="00555619" w:rsidRPr="00E7695F" w14:paraId="1880D688" w14:textId="77777777" w:rsidTr="00186F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120" w:type="dxa"/>
          </w:tcPr>
          <w:p w14:paraId="7CE6DC30" w14:textId="29471B30" w:rsidR="00555619" w:rsidRPr="00E7695F" w:rsidRDefault="003D59F0" w:rsidP="003D59F0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695F">
              <w:rPr>
                <w:rFonts w:ascii="Arial" w:hAnsi="Arial" w:cs="Arial"/>
                <w:sz w:val="22"/>
                <w:szCs w:val="22"/>
              </w:rPr>
              <w:t>5. Minimální počet</w:t>
            </w:r>
            <w:r w:rsidR="00555619" w:rsidRPr="00E7695F">
              <w:rPr>
                <w:rFonts w:ascii="Arial" w:hAnsi="Arial" w:cs="Arial"/>
                <w:sz w:val="22"/>
                <w:szCs w:val="22"/>
              </w:rPr>
              <w:t xml:space="preserve"> aplikovaných výstupů</w:t>
            </w:r>
          </w:p>
        </w:tc>
        <w:tc>
          <w:tcPr>
            <w:tcW w:w="1470" w:type="dxa"/>
          </w:tcPr>
          <w:p w14:paraId="3F9A2B6D" w14:textId="2965120C" w:rsidR="00555619" w:rsidRPr="00E7695F" w:rsidRDefault="00297F27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3D59F0" w:rsidRPr="00E7695F">
              <w:rPr>
                <w:rFonts w:ascii="Arial" w:hAnsi="Arial" w:cs="Arial"/>
                <w:sz w:val="22"/>
                <w:szCs w:val="22"/>
              </w:rPr>
              <w:t>00</w:t>
            </w:r>
          </w:p>
        </w:tc>
      </w:tr>
    </w:tbl>
    <w:p w14:paraId="146CB078" w14:textId="77777777" w:rsidR="00555619" w:rsidRPr="00E7695F" w:rsidRDefault="00555619" w:rsidP="00F94E70">
      <w:pPr>
        <w:pStyle w:val="Nadpis1"/>
        <w:rPr>
          <w:rFonts w:ascii="Arial" w:hAnsi="Arial" w:cs="Arial"/>
          <w:szCs w:val="22"/>
        </w:rPr>
      </w:pPr>
      <w:r w:rsidRPr="00E7695F">
        <w:rPr>
          <w:rFonts w:ascii="Arial" w:hAnsi="Arial" w:cs="Arial"/>
          <w:szCs w:val="22"/>
        </w:rPr>
        <w:t>OČEKÁVANÉ VÝSLEDKY A PŘÍNOSY PROGRAMU</w:t>
      </w:r>
    </w:p>
    <w:p w14:paraId="28BAB493" w14:textId="1A9F1D2A" w:rsidR="00555619" w:rsidRPr="00E7695F" w:rsidRDefault="00555619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V tomto programu </w:t>
      </w:r>
      <w:r w:rsidR="001A6B01">
        <w:rPr>
          <w:rFonts w:ascii="Arial" w:eastAsia="Arial" w:hAnsi="Arial" w:cs="Arial"/>
          <w:sz w:val="22"/>
          <w:szCs w:val="22"/>
        </w:rPr>
        <w:t>budou</w:t>
      </w:r>
      <w:r w:rsidRPr="00E7695F">
        <w:rPr>
          <w:rFonts w:ascii="Arial" w:eastAsia="Arial" w:hAnsi="Arial" w:cs="Arial"/>
          <w:sz w:val="22"/>
          <w:szCs w:val="22"/>
        </w:rPr>
        <w:t xml:space="preserve"> podporovány</w:t>
      </w:r>
      <w:r w:rsidR="001A6B01">
        <w:rPr>
          <w:rFonts w:ascii="Arial" w:eastAsia="Arial" w:hAnsi="Arial" w:cs="Arial"/>
          <w:sz w:val="22"/>
          <w:szCs w:val="22"/>
        </w:rPr>
        <w:t xml:space="preserve"> zejména</w:t>
      </w:r>
      <w:r w:rsidRPr="00E7695F">
        <w:rPr>
          <w:rFonts w:ascii="Arial" w:eastAsia="Arial" w:hAnsi="Arial" w:cs="Arial"/>
          <w:sz w:val="22"/>
          <w:szCs w:val="22"/>
        </w:rPr>
        <w:t xml:space="preserve"> projekty, u kterých se odůvodněně předpoklád</w:t>
      </w:r>
      <w:r w:rsidR="001A6B01">
        <w:rPr>
          <w:rFonts w:ascii="Arial" w:eastAsia="Arial" w:hAnsi="Arial" w:cs="Arial"/>
          <w:sz w:val="22"/>
          <w:szCs w:val="22"/>
        </w:rPr>
        <w:t>á</w:t>
      </w:r>
      <w:r w:rsidRPr="00E7695F">
        <w:rPr>
          <w:rFonts w:ascii="Arial" w:eastAsia="Arial" w:hAnsi="Arial" w:cs="Arial"/>
          <w:sz w:val="22"/>
          <w:szCs w:val="22"/>
        </w:rPr>
        <w:t xml:space="preserve"> dosažení využitelných výstupů, taktéž publikačních, jejichž aplikace přispěje k plnění stanovených cílů programu a k pozitivním společenským dopadům. Program umožní dosažení následujících výstupů ve</w:t>
      </w:r>
      <w:r w:rsidR="00CB78E6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formě výsledků dle Metodiky a Rejstříku informací o</w:t>
      </w:r>
      <w:r w:rsidR="00297F27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 xml:space="preserve">výsledcích (RIV) platné v době jejich uplatňování: </w:t>
      </w:r>
    </w:p>
    <w:p w14:paraId="1DAE4219" w14:textId="5E99830E" w:rsidR="00555619" w:rsidRPr="00E7695F" w:rsidRDefault="00555619" w:rsidP="008B7FB8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  <w:u w:val="single"/>
        </w:rPr>
        <w:t>Výsledky relevantní pro podprogram</w:t>
      </w:r>
      <w:r w:rsidR="001A6B01">
        <w:rPr>
          <w:rFonts w:ascii="Arial" w:eastAsia="Arial" w:hAnsi="Arial" w:cs="Arial"/>
          <w:sz w:val="22"/>
          <w:szCs w:val="22"/>
          <w:u w:val="single"/>
        </w:rPr>
        <w:t xml:space="preserve"> 1</w:t>
      </w:r>
      <w:r w:rsidRPr="00E7695F">
        <w:rPr>
          <w:rFonts w:ascii="Arial" w:eastAsia="Arial" w:hAnsi="Arial" w:cs="Arial"/>
          <w:sz w:val="22"/>
          <w:szCs w:val="22"/>
          <w:u w:val="single"/>
        </w:rPr>
        <w:t>:</w:t>
      </w:r>
    </w:p>
    <w:p w14:paraId="412A72A1" w14:textId="77777777" w:rsidR="00555619" w:rsidRPr="001A6B01" w:rsidRDefault="00555619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A6B01">
        <w:rPr>
          <w:rFonts w:ascii="Arial" w:eastAsia="Arial" w:hAnsi="Arial" w:cs="Arial"/>
          <w:sz w:val="22"/>
          <w:szCs w:val="22"/>
        </w:rPr>
        <w:t>P – patent;</w:t>
      </w:r>
    </w:p>
    <w:p w14:paraId="147C5126" w14:textId="77777777" w:rsidR="00555619" w:rsidRPr="001A6B01" w:rsidRDefault="00555619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A6B01">
        <w:rPr>
          <w:rFonts w:ascii="Arial" w:eastAsia="Arial" w:hAnsi="Arial" w:cs="Arial"/>
          <w:sz w:val="22"/>
          <w:szCs w:val="22"/>
        </w:rPr>
        <w:t>G – technicky realizované výsledky – prototyp, funkční vzorek;</w:t>
      </w:r>
    </w:p>
    <w:p w14:paraId="0041DD4D" w14:textId="77777777" w:rsidR="00555619" w:rsidRPr="001A6B01" w:rsidRDefault="00555619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A6B01">
        <w:rPr>
          <w:rFonts w:ascii="Arial" w:eastAsia="Arial" w:hAnsi="Arial" w:cs="Arial"/>
          <w:sz w:val="22"/>
          <w:szCs w:val="22"/>
        </w:rPr>
        <w:t>Z – poloprovoz, ověřená technologie;</w:t>
      </w:r>
    </w:p>
    <w:p w14:paraId="79D372D0" w14:textId="77777777" w:rsidR="00555619" w:rsidRPr="001A6B01" w:rsidRDefault="00555619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A6B01">
        <w:rPr>
          <w:rFonts w:ascii="Arial" w:eastAsia="Arial" w:hAnsi="Arial" w:cs="Arial"/>
          <w:sz w:val="22"/>
          <w:szCs w:val="22"/>
        </w:rPr>
        <w:t>R – software;</w:t>
      </w:r>
    </w:p>
    <w:p w14:paraId="3FE89D56" w14:textId="42459683" w:rsidR="00555619" w:rsidRPr="001A6B01" w:rsidRDefault="005B0045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A6B01">
        <w:rPr>
          <w:rFonts w:ascii="Arial" w:eastAsia="Arial" w:hAnsi="Arial" w:cs="Arial"/>
          <w:sz w:val="22"/>
          <w:szCs w:val="22"/>
        </w:rPr>
        <w:t>F – průmyslový a užitný vzor</w:t>
      </w:r>
      <w:r w:rsidR="001A6B01" w:rsidRPr="001A6B01">
        <w:rPr>
          <w:rFonts w:ascii="Arial" w:eastAsia="Arial" w:hAnsi="Arial" w:cs="Arial"/>
          <w:sz w:val="22"/>
          <w:szCs w:val="22"/>
        </w:rPr>
        <w:t>;</w:t>
      </w:r>
    </w:p>
    <w:p w14:paraId="6D3057EA" w14:textId="69B5B74B" w:rsidR="00555619" w:rsidRPr="001A6B01" w:rsidRDefault="00555619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A6B01">
        <w:rPr>
          <w:rFonts w:ascii="Arial" w:eastAsia="Arial" w:hAnsi="Arial" w:cs="Arial"/>
          <w:sz w:val="22"/>
          <w:szCs w:val="22"/>
        </w:rPr>
        <w:t xml:space="preserve">H </w:t>
      </w:r>
      <w:r w:rsidR="00BA4439" w:rsidRPr="001A6B01">
        <w:rPr>
          <w:rFonts w:ascii="Arial" w:eastAsia="Arial" w:hAnsi="Arial" w:cs="Arial"/>
          <w:sz w:val="22"/>
          <w:szCs w:val="22"/>
        </w:rPr>
        <w:t>–</w:t>
      </w:r>
      <w:r w:rsidRPr="001A6B01">
        <w:rPr>
          <w:rFonts w:ascii="Arial" w:eastAsia="Arial" w:hAnsi="Arial" w:cs="Arial"/>
          <w:sz w:val="22"/>
          <w:szCs w:val="22"/>
        </w:rPr>
        <w:t xml:space="preserve"> výsledky promítnuté do právních předpisů a norem a výsledky promítnuté do směrnic a předpisů nelegislativní povahy závazných v rámci kompetence příslušného poskytovatele</w:t>
      </w:r>
      <w:r w:rsidR="001A6B01" w:rsidRPr="001A6B01">
        <w:rPr>
          <w:rFonts w:ascii="Arial" w:eastAsia="Arial" w:hAnsi="Arial" w:cs="Arial"/>
          <w:sz w:val="22"/>
          <w:szCs w:val="22"/>
        </w:rPr>
        <w:t>;</w:t>
      </w:r>
    </w:p>
    <w:p w14:paraId="72A98EE9" w14:textId="5295C58F" w:rsidR="00555619" w:rsidRPr="00E7695F" w:rsidRDefault="00555619" w:rsidP="00555619">
      <w:pPr>
        <w:spacing w:before="120" w:after="120"/>
        <w:jc w:val="both"/>
        <w:rPr>
          <w:rFonts w:ascii="Arial" w:hAnsi="Arial" w:cs="Arial"/>
          <w:i/>
          <w:sz w:val="22"/>
          <w:szCs w:val="22"/>
        </w:rPr>
      </w:pPr>
      <w:r w:rsidRPr="001A6B01">
        <w:rPr>
          <w:rFonts w:ascii="Arial" w:eastAsia="Arial" w:hAnsi="Arial" w:cs="Arial"/>
          <w:sz w:val="22"/>
          <w:szCs w:val="22"/>
        </w:rPr>
        <w:t>N – certifikované metodiky, postupy a specializované mapy s odborným obsahem</w:t>
      </w:r>
      <w:r w:rsidR="00C80CE5">
        <w:rPr>
          <w:rFonts w:ascii="Arial" w:eastAsia="Arial" w:hAnsi="Arial" w:cs="Arial"/>
          <w:sz w:val="22"/>
          <w:szCs w:val="22"/>
        </w:rPr>
        <w:t>.</w:t>
      </w:r>
    </w:p>
    <w:p w14:paraId="70B73C14" w14:textId="5B5447F1" w:rsidR="001A6B01" w:rsidRPr="001A6B01" w:rsidRDefault="001A6B01" w:rsidP="008B7FB8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1A6B01">
        <w:rPr>
          <w:rFonts w:ascii="Arial" w:eastAsia="Arial" w:hAnsi="Arial" w:cs="Arial"/>
          <w:sz w:val="22"/>
          <w:szCs w:val="22"/>
          <w:u w:val="single"/>
        </w:rPr>
        <w:lastRenderedPageBreak/>
        <w:t>Výsledky relevantní pro podprogram 2:</w:t>
      </w:r>
    </w:p>
    <w:p w14:paraId="3C65BD00" w14:textId="77777777" w:rsidR="001A6B01" w:rsidRPr="001A6B01" w:rsidRDefault="001A6B01" w:rsidP="001A6B0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A6B01">
        <w:rPr>
          <w:rFonts w:ascii="Arial" w:eastAsia="Arial" w:hAnsi="Arial" w:cs="Arial"/>
          <w:sz w:val="22"/>
          <w:szCs w:val="22"/>
        </w:rPr>
        <w:t>P – patent;</w:t>
      </w:r>
    </w:p>
    <w:p w14:paraId="26108012" w14:textId="77777777" w:rsidR="001A6B01" w:rsidRPr="001A6B01" w:rsidRDefault="001A6B01" w:rsidP="001A6B0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A6B01">
        <w:rPr>
          <w:rFonts w:ascii="Arial" w:eastAsia="Arial" w:hAnsi="Arial" w:cs="Arial"/>
          <w:sz w:val="22"/>
          <w:szCs w:val="22"/>
        </w:rPr>
        <w:t>G – technicky realizované výsledky – prototyp, funkční vzorek;</w:t>
      </w:r>
    </w:p>
    <w:p w14:paraId="620DE890" w14:textId="77777777" w:rsidR="001A6B01" w:rsidRPr="001A6B01" w:rsidRDefault="001A6B01" w:rsidP="001A6B0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A6B01">
        <w:rPr>
          <w:rFonts w:ascii="Arial" w:eastAsia="Arial" w:hAnsi="Arial" w:cs="Arial"/>
          <w:sz w:val="22"/>
          <w:szCs w:val="22"/>
        </w:rPr>
        <w:t>Z – poloprovoz, ověřená technologie;</w:t>
      </w:r>
    </w:p>
    <w:p w14:paraId="4A9FB4BA" w14:textId="77777777" w:rsidR="001A6B01" w:rsidRPr="001A6B01" w:rsidRDefault="001A6B01" w:rsidP="001A6B0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A6B01">
        <w:rPr>
          <w:rFonts w:ascii="Arial" w:eastAsia="Arial" w:hAnsi="Arial" w:cs="Arial"/>
          <w:sz w:val="22"/>
          <w:szCs w:val="22"/>
        </w:rPr>
        <w:t>R – software;</w:t>
      </w:r>
    </w:p>
    <w:p w14:paraId="6BE52A4B" w14:textId="77777777" w:rsidR="001A6B01" w:rsidRPr="001A6B01" w:rsidRDefault="001A6B01" w:rsidP="001A6B0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A6B01">
        <w:rPr>
          <w:rFonts w:ascii="Arial" w:eastAsia="Arial" w:hAnsi="Arial" w:cs="Arial"/>
          <w:sz w:val="22"/>
          <w:szCs w:val="22"/>
        </w:rPr>
        <w:t>F – průmyslový a užitný vzor.</w:t>
      </w:r>
    </w:p>
    <w:p w14:paraId="466104F3" w14:textId="28633D44" w:rsidR="001A6B01" w:rsidRPr="001A6B01" w:rsidRDefault="001A6B01" w:rsidP="001A6B01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1A6B01">
        <w:rPr>
          <w:rFonts w:ascii="Arial" w:eastAsia="Arial" w:hAnsi="Arial" w:cs="Arial"/>
          <w:sz w:val="22"/>
          <w:szCs w:val="22"/>
          <w:u w:val="single"/>
        </w:rPr>
        <w:t xml:space="preserve">Výsledky relevantní pro podprogram </w:t>
      </w:r>
      <w:r>
        <w:rPr>
          <w:rFonts w:ascii="Arial" w:eastAsia="Arial" w:hAnsi="Arial" w:cs="Arial"/>
          <w:sz w:val="22"/>
          <w:szCs w:val="22"/>
          <w:u w:val="single"/>
        </w:rPr>
        <w:t>3</w:t>
      </w:r>
      <w:r w:rsidRPr="001A6B01">
        <w:rPr>
          <w:rFonts w:ascii="Arial" w:eastAsia="Arial" w:hAnsi="Arial" w:cs="Arial"/>
          <w:sz w:val="22"/>
          <w:szCs w:val="22"/>
          <w:u w:val="single"/>
        </w:rPr>
        <w:t>:</w:t>
      </w:r>
    </w:p>
    <w:p w14:paraId="73DB7D40" w14:textId="0FD392ED" w:rsidR="001A6B01" w:rsidRPr="001A6B01" w:rsidRDefault="001A6B01" w:rsidP="001A6B01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1A6B01">
        <w:rPr>
          <w:rFonts w:ascii="Arial" w:eastAsia="Arial" w:hAnsi="Arial" w:cs="Arial"/>
          <w:sz w:val="22"/>
          <w:szCs w:val="22"/>
        </w:rPr>
        <w:t xml:space="preserve">Předpokládají se všechny výsledky základního </w:t>
      </w:r>
      <w:r w:rsidR="00C80CE5">
        <w:rPr>
          <w:rFonts w:ascii="Arial" w:eastAsia="Arial" w:hAnsi="Arial" w:cs="Arial"/>
          <w:sz w:val="22"/>
          <w:szCs w:val="22"/>
        </w:rPr>
        <w:t>a aplikovaného výzkumu uznávané</w:t>
      </w:r>
      <w:r w:rsidRPr="001A6B01">
        <w:rPr>
          <w:rFonts w:ascii="Arial" w:eastAsia="Arial" w:hAnsi="Arial" w:cs="Arial"/>
          <w:sz w:val="22"/>
          <w:szCs w:val="22"/>
        </w:rPr>
        <w:t xml:space="preserve"> Metodikou hodnocení výsledků výzkumných organizací.</w:t>
      </w:r>
    </w:p>
    <w:p w14:paraId="0471DC5D" w14:textId="7D65BE85" w:rsidR="003A269B" w:rsidRDefault="00555619" w:rsidP="001A6B01">
      <w:pPr>
        <w:spacing w:before="24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Mezi očekávané přínosy programu patří hlavně zvýšení kvality a počtu výsledků výzkumu a</w:t>
      </w:r>
      <w:r w:rsidR="00297F27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 xml:space="preserve">vývoje, které budou aplikovány v praxi v podobě inovací výrobků, postupů, procesů nebo služeb. </w:t>
      </w:r>
      <w:r w:rsidR="002F5640">
        <w:rPr>
          <w:rFonts w:ascii="Arial" w:eastAsia="Arial" w:hAnsi="Arial" w:cs="Arial"/>
          <w:sz w:val="22"/>
          <w:szCs w:val="22"/>
        </w:rPr>
        <w:t xml:space="preserve">Očekávaným přínosem je u podprogramu 1 především zkvalitnění řízení odvětví energetiky ze strany veřejné správy, u podprogramu 2 </w:t>
      </w:r>
      <w:r w:rsidR="003A269B">
        <w:rPr>
          <w:rFonts w:ascii="Arial" w:eastAsia="Arial" w:hAnsi="Arial" w:cs="Arial"/>
          <w:sz w:val="22"/>
          <w:szCs w:val="22"/>
        </w:rPr>
        <w:t xml:space="preserve">pak </w:t>
      </w:r>
      <w:proofErr w:type="gramStart"/>
      <w:r w:rsidR="003A269B">
        <w:rPr>
          <w:rFonts w:ascii="Arial" w:eastAsia="Arial" w:hAnsi="Arial" w:cs="Arial"/>
          <w:sz w:val="22"/>
          <w:szCs w:val="22"/>
        </w:rPr>
        <w:t>rychlé</w:t>
      </w:r>
      <w:proofErr w:type="gramEnd"/>
      <w:r w:rsidR="003A269B">
        <w:rPr>
          <w:rFonts w:ascii="Arial" w:eastAsia="Arial" w:hAnsi="Arial" w:cs="Arial"/>
          <w:sz w:val="22"/>
          <w:szCs w:val="22"/>
        </w:rPr>
        <w:t xml:space="preserve"> uplatnění výsledků projektů, které se </w:t>
      </w:r>
      <w:r w:rsidRPr="00E7695F">
        <w:rPr>
          <w:rFonts w:ascii="Arial" w:eastAsia="Arial" w:hAnsi="Arial" w:cs="Arial"/>
          <w:sz w:val="22"/>
          <w:szCs w:val="22"/>
        </w:rPr>
        <w:t>sekundárně projeví i ve zlepšení ukazatelů podpořených subjektů (a to např. v růstu obratu, exportu apod.)</w:t>
      </w:r>
      <w:r w:rsidR="003A269B">
        <w:rPr>
          <w:rFonts w:ascii="Arial" w:eastAsia="Arial" w:hAnsi="Arial" w:cs="Arial"/>
          <w:sz w:val="22"/>
          <w:szCs w:val="22"/>
        </w:rPr>
        <w:t>. U podprogramu 3 je očekávaným přínosem zřetelný posun ve výzkumu a vývoji perspektivních technologií, respektive systémových energetických řešení</w:t>
      </w:r>
      <w:r w:rsidRPr="00E7695F">
        <w:rPr>
          <w:rFonts w:ascii="Arial" w:eastAsia="Arial" w:hAnsi="Arial" w:cs="Arial"/>
          <w:sz w:val="22"/>
          <w:szCs w:val="22"/>
        </w:rPr>
        <w:t xml:space="preserve">. </w:t>
      </w:r>
    </w:p>
    <w:p w14:paraId="6DDC77DA" w14:textId="16DF2500" w:rsidR="00555619" w:rsidRPr="00E7695F" w:rsidRDefault="00555619" w:rsidP="001A6B01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U spolupracujících výzkumných organizací se přínosy </w:t>
      </w:r>
      <w:r w:rsidR="003A269B">
        <w:rPr>
          <w:rFonts w:ascii="Arial" w:eastAsia="Arial" w:hAnsi="Arial" w:cs="Arial"/>
          <w:sz w:val="22"/>
          <w:szCs w:val="22"/>
        </w:rPr>
        <w:t xml:space="preserve">programu </w:t>
      </w:r>
      <w:r w:rsidRPr="00E7695F">
        <w:rPr>
          <w:rFonts w:ascii="Arial" w:eastAsia="Arial" w:hAnsi="Arial" w:cs="Arial"/>
          <w:sz w:val="22"/>
          <w:szCs w:val="22"/>
        </w:rPr>
        <w:t>projeví například ve zvýšení počtu jejich výsledků aplikovaných v praxi, v počtu komercializovaných patentů a nárůstu jejich komercializačního potenciálu. Jako sekundární efekt lze považovat posílení efektivního transferu know-how a technologií do praxe.</w:t>
      </w:r>
    </w:p>
    <w:p w14:paraId="096ED97D" w14:textId="3218E978" w:rsidR="00555619" w:rsidRPr="00E7695F" w:rsidRDefault="00555619" w:rsidP="00F94E70">
      <w:pPr>
        <w:pStyle w:val="Nadpis1"/>
        <w:rPr>
          <w:rFonts w:ascii="Arial" w:eastAsia="Times New Roman" w:hAnsi="Arial" w:cs="Arial"/>
          <w:szCs w:val="22"/>
        </w:rPr>
      </w:pPr>
      <w:r w:rsidRPr="00E7695F">
        <w:rPr>
          <w:rFonts w:ascii="Arial" w:hAnsi="Arial" w:cs="Arial"/>
          <w:szCs w:val="22"/>
        </w:rPr>
        <w:t>UCHAZEČI A PROKÁZÁNÍ JEJICH ZPŮSOBILOSTI</w:t>
      </w:r>
    </w:p>
    <w:p w14:paraId="7C9A4827" w14:textId="7076CFA6" w:rsidR="00555619" w:rsidRPr="00E7695F" w:rsidRDefault="00BA4439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Uchazečem, respektive</w:t>
      </w:r>
      <w:r w:rsidR="00555619" w:rsidRPr="00E7695F">
        <w:rPr>
          <w:rFonts w:ascii="Arial" w:eastAsia="Arial" w:hAnsi="Arial" w:cs="Arial"/>
          <w:sz w:val="22"/>
          <w:szCs w:val="22"/>
        </w:rPr>
        <w:t xml:space="preserve"> příjemcem podpory na projekt ve všech podprogramech podle zákona o</w:t>
      </w:r>
      <w:r w:rsidR="00CB78E6" w:rsidRPr="00E7695F">
        <w:rPr>
          <w:rFonts w:ascii="Arial" w:eastAsia="Arial" w:hAnsi="Arial" w:cs="Arial"/>
          <w:sz w:val="22"/>
          <w:szCs w:val="22"/>
        </w:rPr>
        <w:t> </w:t>
      </w:r>
      <w:r w:rsidR="00555619" w:rsidRPr="00E7695F">
        <w:rPr>
          <w:rFonts w:ascii="Arial" w:eastAsia="Arial" w:hAnsi="Arial" w:cs="Arial"/>
          <w:sz w:val="22"/>
          <w:szCs w:val="22"/>
        </w:rPr>
        <w:t>podpoře výzkumu, experimentálního vývoje a inovací, Rámce a Nařízení mohou být:</w:t>
      </w:r>
    </w:p>
    <w:p w14:paraId="45CF05C4" w14:textId="77777777" w:rsidR="00555619" w:rsidRPr="00E7695F" w:rsidRDefault="00555619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b/>
          <w:sz w:val="22"/>
          <w:szCs w:val="22"/>
        </w:rPr>
        <w:t>Podniky</w:t>
      </w:r>
      <w:r w:rsidRPr="00E7695F">
        <w:rPr>
          <w:rFonts w:ascii="Arial" w:eastAsia="Arial" w:hAnsi="Arial" w:cs="Arial"/>
          <w:sz w:val="22"/>
          <w:szCs w:val="22"/>
        </w:rPr>
        <w:t xml:space="preserve"> – právnické i fyzické osoby vykonávající hospodářskou činnost, bez ohledu na právní formu (příloha 1 Nařízení), které řeší projekt samostatně nebo ve spolupráci s dalšími účastníky a prokáží schopnost projekt spolufinancovat z neveřejných prostředků.</w:t>
      </w:r>
    </w:p>
    <w:p w14:paraId="321D04F3" w14:textId="2B9876D4" w:rsidR="00555619" w:rsidRPr="00E7695F" w:rsidRDefault="00555619" w:rsidP="0055561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b/>
          <w:sz w:val="22"/>
          <w:szCs w:val="22"/>
        </w:rPr>
        <w:t>Organizace pro výzkum a šíření znalostí (dále jen „výzkumné organizace“)</w:t>
      </w:r>
      <w:r w:rsidRPr="00E7695F">
        <w:rPr>
          <w:rFonts w:ascii="Arial" w:eastAsia="Arial" w:hAnsi="Arial" w:cs="Arial"/>
          <w:sz w:val="22"/>
          <w:szCs w:val="22"/>
        </w:rPr>
        <w:t xml:space="preserve"> – právnické osoby, které splňují definici výzkumné organizace podle čl. 2 odst. 83 Nařízení</w:t>
      </w:r>
      <w:r w:rsidR="00EB2BAC">
        <w:rPr>
          <w:rFonts w:ascii="Arial" w:eastAsia="Arial" w:hAnsi="Arial" w:cs="Arial"/>
          <w:sz w:val="22"/>
          <w:szCs w:val="22"/>
        </w:rPr>
        <w:t xml:space="preserve"> a </w:t>
      </w:r>
      <w:r w:rsidR="00EB2BAC" w:rsidRPr="00EB2BAC">
        <w:rPr>
          <w:rFonts w:ascii="Arial" w:eastAsia="Arial" w:hAnsi="Arial" w:cs="Arial"/>
          <w:sz w:val="22"/>
          <w:szCs w:val="22"/>
        </w:rPr>
        <w:t>dle zákona o podpoře výzkumu, experimentálního vývoje a inovací</w:t>
      </w:r>
      <w:r w:rsidRPr="00E7695F">
        <w:rPr>
          <w:rFonts w:ascii="Arial" w:eastAsia="Arial" w:hAnsi="Arial" w:cs="Arial"/>
          <w:sz w:val="22"/>
          <w:szCs w:val="22"/>
        </w:rPr>
        <w:t>, a které řeší projekt samostatně nebo ve spolupráci s dalšími účastníky, a prokáží schopnost projekt spolufinancovat z</w:t>
      </w:r>
      <w:r w:rsidR="00CB78E6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neveřejných prostředků, a mají zajištěn systém realizace výsledků v praxi.</w:t>
      </w:r>
    </w:p>
    <w:p w14:paraId="771736A2" w14:textId="74B36228" w:rsidR="00C16BDF" w:rsidRPr="00E7695F" w:rsidRDefault="00C16BDF" w:rsidP="00555619">
      <w:pPr>
        <w:spacing w:before="120" w:after="120"/>
        <w:jc w:val="both"/>
        <w:rPr>
          <w:rFonts w:ascii="Arial" w:eastAsia="Arial" w:hAnsi="Arial" w:cs="Arial"/>
          <w:sz w:val="22"/>
          <w:szCs w:val="22"/>
          <w:u w:val="single"/>
        </w:rPr>
      </w:pPr>
      <w:r w:rsidRPr="00E7695F">
        <w:rPr>
          <w:rFonts w:ascii="Arial" w:eastAsia="Arial" w:hAnsi="Arial" w:cs="Arial"/>
          <w:sz w:val="22"/>
          <w:szCs w:val="22"/>
          <w:u w:val="single"/>
        </w:rPr>
        <w:t>Další uchazeči relevantní pouze pro podprogramy 1 a 3</w:t>
      </w:r>
    </w:p>
    <w:p w14:paraId="7E561B5B" w14:textId="246BE756" w:rsidR="00496E9D" w:rsidRPr="00E7695F" w:rsidRDefault="00496E9D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b/>
          <w:sz w:val="22"/>
          <w:szCs w:val="22"/>
        </w:rPr>
        <w:t xml:space="preserve">Další fyzické osoby a právnické osoby </w:t>
      </w:r>
      <w:r w:rsidRPr="00E7695F">
        <w:rPr>
          <w:rFonts w:ascii="Arial" w:eastAsia="Arial" w:hAnsi="Arial" w:cs="Arial"/>
          <w:sz w:val="22"/>
          <w:szCs w:val="22"/>
        </w:rPr>
        <w:t>veřejného i soukromého práva bez ohledu na právní formu či způsob financování, které budou vykonávat činnosti, na něž je podpora poskytována mimo režim veřejné podpory, tj. nebude se jednat o podniky</w:t>
      </w:r>
      <w:r w:rsidR="00A173F4">
        <w:rPr>
          <w:rFonts w:ascii="Arial" w:eastAsia="Arial" w:hAnsi="Arial" w:cs="Arial"/>
          <w:sz w:val="22"/>
          <w:szCs w:val="22"/>
        </w:rPr>
        <w:t>.</w:t>
      </w:r>
    </w:p>
    <w:p w14:paraId="1000EEE2" w14:textId="0A332766" w:rsidR="00E34422" w:rsidRPr="00E7695F" w:rsidRDefault="00555619" w:rsidP="006A62DB">
      <w:pPr>
        <w:spacing w:before="120" w:after="120"/>
        <w:jc w:val="both"/>
        <w:rPr>
          <w:rFonts w:ascii="Arial" w:eastAsia="Calibri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Podporu na projekt realizovaný v Programu mohou získat pouze ti uchazeči, kteří splňují podmínky způsobilosti dané § 18 Zákona č. 130/2002 Sb. Uchází-li se o řešení jednoho projektu společně více uchazečů, vztahuje se povinnost prokázat svoji způsobilost na všechny tyto uchazeče. Způsobilost prokazuje uchazeč doklady dle zákona o podpoře výzkumu, experimentálního vývoje a inovací způsobem stanoveným poskytovatelem v</w:t>
      </w:r>
      <w:r w:rsidR="00297F27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zadávací dokumentaci.</w:t>
      </w:r>
    </w:p>
    <w:p w14:paraId="74ECE860" w14:textId="5DD358C2" w:rsidR="00F30870" w:rsidRPr="00E7695F" w:rsidRDefault="003D47F5" w:rsidP="00F94E70">
      <w:pPr>
        <w:pStyle w:val="Nadpis1"/>
        <w:rPr>
          <w:rFonts w:ascii="Arial" w:hAnsi="Arial" w:cs="Arial"/>
          <w:szCs w:val="22"/>
        </w:rPr>
      </w:pPr>
      <w:r w:rsidRPr="00E7695F">
        <w:rPr>
          <w:rFonts w:ascii="Arial" w:hAnsi="Arial" w:cs="Arial"/>
          <w:szCs w:val="22"/>
        </w:rPr>
        <w:lastRenderedPageBreak/>
        <w:t>VÝDAJE NA PROGRAM</w:t>
      </w:r>
    </w:p>
    <w:p w14:paraId="73B6BCE3" w14:textId="348B5B01" w:rsidR="00A173F4" w:rsidRDefault="003D47F5" w:rsidP="00B1207A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Celkové výdaje na program jsou na období trvání programu </w:t>
      </w:r>
      <w:r w:rsidR="00A173F4" w:rsidRPr="00A173F4">
        <w:rPr>
          <w:rFonts w:ascii="Arial" w:eastAsia="Arial" w:hAnsi="Arial" w:cs="Arial"/>
          <w:sz w:val="22"/>
          <w:szCs w:val="22"/>
        </w:rPr>
        <w:t xml:space="preserve">stanoveny na základě </w:t>
      </w:r>
      <w:r w:rsidR="00A173F4">
        <w:rPr>
          <w:rFonts w:ascii="Arial" w:eastAsia="Arial" w:hAnsi="Arial" w:cs="Arial"/>
          <w:sz w:val="22"/>
          <w:szCs w:val="22"/>
        </w:rPr>
        <w:t xml:space="preserve">analýzy </w:t>
      </w:r>
      <w:r w:rsidR="00A173F4" w:rsidRPr="00A173F4">
        <w:rPr>
          <w:rFonts w:ascii="Arial" w:eastAsia="Arial" w:hAnsi="Arial" w:cs="Arial"/>
          <w:sz w:val="22"/>
          <w:szCs w:val="22"/>
        </w:rPr>
        <w:t>absorpční kapacity, vyhodnocení stávajících veřejných soutěží relevantních pro obor energetiky a</w:t>
      </w:r>
      <w:r w:rsidR="00A173F4">
        <w:rPr>
          <w:rFonts w:ascii="Arial" w:eastAsia="Arial" w:hAnsi="Arial" w:cs="Arial"/>
          <w:sz w:val="22"/>
          <w:szCs w:val="22"/>
        </w:rPr>
        <w:t xml:space="preserve"> </w:t>
      </w:r>
      <w:r w:rsidRPr="00E7695F">
        <w:rPr>
          <w:rFonts w:ascii="Arial" w:eastAsia="Arial" w:hAnsi="Arial" w:cs="Arial"/>
          <w:sz w:val="22"/>
          <w:szCs w:val="22"/>
        </w:rPr>
        <w:t>rozvrženy v souladu s předpokládaným postupným vyhlašováním jednotlivých veřejných soutěží ve výzkumu, vývoji a inovacích.</w:t>
      </w:r>
      <w:r w:rsidR="00E34422" w:rsidRPr="00E7695F">
        <w:rPr>
          <w:rFonts w:ascii="Arial" w:eastAsia="Arial" w:hAnsi="Arial" w:cs="Arial"/>
          <w:sz w:val="22"/>
          <w:szCs w:val="22"/>
        </w:rPr>
        <w:t xml:space="preserve"> </w:t>
      </w:r>
    </w:p>
    <w:p w14:paraId="3E433F7C" w14:textId="4E6C4D42" w:rsidR="008145F2" w:rsidRPr="00E7695F" w:rsidRDefault="00295A14" w:rsidP="00B1207A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Alokace programu je rozdělena na jednotlivé podprogramy v poměru: podprogram 1 </w:t>
      </w:r>
      <w:r w:rsidR="008145F2" w:rsidRPr="00E7695F">
        <w:rPr>
          <w:rFonts w:ascii="Arial" w:eastAsia="Arial" w:hAnsi="Arial" w:cs="Arial"/>
          <w:sz w:val="22"/>
          <w:szCs w:val="22"/>
        </w:rPr>
        <w:t>–</w:t>
      </w:r>
      <w:r w:rsidRPr="00E7695F">
        <w:rPr>
          <w:rFonts w:ascii="Arial" w:eastAsia="Arial" w:hAnsi="Arial" w:cs="Arial"/>
          <w:sz w:val="22"/>
          <w:szCs w:val="22"/>
        </w:rPr>
        <w:t xml:space="preserve"> </w:t>
      </w:r>
      <w:r w:rsidR="008145F2" w:rsidRPr="00E7695F">
        <w:rPr>
          <w:rFonts w:ascii="Arial" w:eastAsia="Arial" w:hAnsi="Arial" w:cs="Arial"/>
          <w:sz w:val="22"/>
          <w:szCs w:val="22"/>
        </w:rPr>
        <w:t xml:space="preserve">15 </w:t>
      </w:r>
      <w:r w:rsidRPr="00E7695F">
        <w:rPr>
          <w:rFonts w:ascii="Arial" w:eastAsia="Arial" w:hAnsi="Arial" w:cs="Arial"/>
          <w:sz w:val="22"/>
          <w:szCs w:val="22"/>
        </w:rPr>
        <w:t>%, podprogram 2 – 50</w:t>
      </w:r>
      <w:r w:rsidR="008145F2" w:rsidRPr="00E7695F">
        <w:rPr>
          <w:rFonts w:ascii="Arial" w:eastAsia="Arial" w:hAnsi="Arial" w:cs="Arial"/>
          <w:sz w:val="22"/>
          <w:szCs w:val="22"/>
        </w:rPr>
        <w:t xml:space="preserve"> </w:t>
      </w:r>
      <w:r w:rsidRPr="00E7695F">
        <w:rPr>
          <w:rFonts w:ascii="Arial" w:eastAsia="Arial" w:hAnsi="Arial" w:cs="Arial"/>
          <w:sz w:val="22"/>
          <w:szCs w:val="22"/>
        </w:rPr>
        <w:t xml:space="preserve">% a podprogram 3 – </w:t>
      </w:r>
      <w:r w:rsidR="008145F2" w:rsidRPr="00E7695F">
        <w:rPr>
          <w:rFonts w:ascii="Arial" w:eastAsia="Arial" w:hAnsi="Arial" w:cs="Arial"/>
          <w:sz w:val="22"/>
          <w:szCs w:val="22"/>
        </w:rPr>
        <w:t>35</w:t>
      </w:r>
      <w:r w:rsidR="00C80CE5">
        <w:rPr>
          <w:rFonts w:ascii="Arial" w:eastAsia="Arial" w:hAnsi="Arial" w:cs="Arial"/>
          <w:sz w:val="22"/>
          <w:szCs w:val="22"/>
        </w:rPr>
        <w:t xml:space="preserve"> </w:t>
      </w:r>
      <w:r w:rsidRPr="00E7695F">
        <w:rPr>
          <w:rFonts w:ascii="Arial" w:eastAsia="Arial" w:hAnsi="Arial" w:cs="Arial"/>
          <w:sz w:val="22"/>
          <w:szCs w:val="22"/>
        </w:rPr>
        <w:t xml:space="preserve">%.  </w:t>
      </w:r>
    </w:p>
    <w:p w14:paraId="50108641" w14:textId="2D6CE56E" w:rsidR="00F30870" w:rsidRPr="00E7695F" w:rsidRDefault="003D47F5" w:rsidP="00BA4439">
      <w:pPr>
        <w:keepNext/>
        <w:tabs>
          <w:tab w:val="left" w:pos="36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 w:rsidRPr="00E7695F">
        <w:rPr>
          <w:rFonts w:ascii="Arial" w:eastAsia="Arial" w:hAnsi="Arial" w:cs="Arial"/>
          <w:b/>
          <w:sz w:val="22"/>
          <w:szCs w:val="22"/>
        </w:rPr>
        <w:t xml:space="preserve">Tabulka č. </w:t>
      </w:r>
      <w:r w:rsidR="006802BA" w:rsidRPr="00E7695F">
        <w:rPr>
          <w:rFonts w:ascii="Arial" w:eastAsia="Arial" w:hAnsi="Arial" w:cs="Arial"/>
          <w:b/>
          <w:sz w:val="22"/>
          <w:szCs w:val="22"/>
        </w:rPr>
        <w:t>12</w:t>
      </w:r>
      <w:r w:rsidR="00FE7F86" w:rsidRPr="00E7695F">
        <w:rPr>
          <w:rFonts w:ascii="Arial" w:eastAsia="Arial" w:hAnsi="Arial" w:cs="Arial"/>
          <w:b/>
          <w:sz w:val="22"/>
          <w:szCs w:val="22"/>
        </w:rPr>
        <w:t xml:space="preserve">. </w:t>
      </w:r>
      <w:r w:rsidRPr="00E7695F">
        <w:rPr>
          <w:rFonts w:ascii="Arial" w:eastAsia="Arial" w:hAnsi="Arial" w:cs="Arial"/>
          <w:b/>
          <w:sz w:val="22"/>
          <w:szCs w:val="22"/>
        </w:rPr>
        <w:t>1: Rozpočet programu [</w:t>
      </w:r>
      <w:r w:rsidR="00BA4439" w:rsidRPr="00E7695F">
        <w:rPr>
          <w:rFonts w:ascii="Arial" w:eastAsia="Arial" w:hAnsi="Arial" w:cs="Arial"/>
          <w:b/>
          <w:sz w:val="22"/>
          <w:szCs w:val="22"/>
        </w:rPr>
        <w:t xml:space="preserve">zaokrouhleno na </w:t>
      </w:r>
      <w:r w:rsidRPr="00E7695F">
        <w:rPr>
          <w:rFonts w:ascii="Arial" w:eastAsia="Arial" w:hAnsi="Arial" w:cs="Arial"/>
          <w:b/>
          <w:sz w:val="22"/>
          <w:szCs w:val="22"/>
        </w:rPr>
        <w:t>mil. Kč]</w:t>
      </w:r>
    </w:p>
    <w:tbl>
      <w:tblPr>
        <w:tblStyle w:val="a"/>
        <w:tblW w:w="9072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94"/>
        <w:gridCol w:w="722"/>
        <w:gridCol w:w="722"/>
        <w:gridCol w:w="722"/>
        <w:gridCol w:w="722"/>
        <w:gridCol w:w="722"/>
        <w:gridCol w:w="722"/>
        <w:gridCol w:w="722"/>
        <w:gridCol w:w="722"/>
        <w:gridCol w:w="1502"/>
      </w:tblGrid>
      <w:tr w:rsidR="006A62DB" w:rsidRPr="006A62DB" w14:paraId="62E3F872" w14:textId="77777777" w:rsidTr="006A6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B5E41" w14:textId="77777777" w:rsidR="00F30870" w:rsidRPr="006A62DB" w:rsidRDefault="003D47F5" w:rsidP="00C16BDF">
            <w:pPr>
              <w:keepNext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BA01" w14:textId="77777777" w:rsidR="00F30870" w:rsidRPr="006A62DB" w:rsidRDefault="003D47F5" w:rsidP="006A62DB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b/>
                <w:sz w:val="20"/>
                <w:szCs w:val="20"/>
              </w:rPr>
              <w:t>2018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BA2C4" w14:textId="77777777" w:rsidR="00F30870" w:rsidRPr="006A62DB" w:rsidRDefault="003D47F5" w:rsidP="006A62DB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b/>
                <w:sz w:val="20"/>
                <w:szCs w:val="20"/>
              </w:rPr>
              <w:t>2019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FE9FB" w14:textId="77777777" w:rsidR="00F30870" w:rsidRPr="006A62DB" w:rsidRDefault="003D47F5" w:rsidP="006A62DB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b/>
                <w:sz w:val="20"/>
                <w:szCs w:val="20"/>
              </w:rPr>
              <w:t>2020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0258A" w14:textId="77777777" w:rsidR="00F30870" w:rsidRPr="006A62DB" w:rsidRDefault="003D47F5" w:rsidP="006A62DB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b/>
                <w:sz w:val="20"/>
                <w:szCs w:val="20"/>
              </w:rPr>
              <w:t>2021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CF36D" w14:textId="77777777" w:rsidR="00F30870" w:rsidRPr="006A62DB" w:rsidRDefault="003D47F5" w:rsidP="006A62DB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b/>
                <w:sz w:val="20"/>
                <w:szCs w:val="20"/>
              </w:rPr>
              <w:t>2022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383B4" w14:textId="77777777" w:rsidR="00F30870" w:rsidRPr="006A62DB" w:rsidRDefault="003D47F5" w:rsidP="006A62DB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b/>
                <w:sz w:val="20"/>
                <w:szCs w:val="20"/>
              </w:rPr>
              <w:t>2023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4178" w14:textId="77777777" w:rsidR="00F30870" w:rsidRPr="006A62DB" w:rsidRDefault="003D47F5" w:rsidP="006A62DB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b/>
                <w:sz w:val="20"/>
                <w:szCs w:val="20"/>
              </w:rPr>
              <w:t>2024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7175" w14:textId="77777777" w:rsidR="00F30870" w:rsidRPr="006A62DB" w:rsidRDefault="003D47F5" w:rsidP="006A62DB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b/>
                <w:sz w:val="20"/>
                <w:szCs w:val="20"/>
              </w:rPr>
              <w:t>2025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7FAE" w14:textId="77777777" w:rsidR="00F30870" w:rsidRPr="006A62DB" w:rsidRDefault="003D47F5" w:rsidP="006A62DB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b/>
                <w:sz w:val="20"/>
                <w:szCs w:val="20"/>
              </w:rPr>
              <w:t>Celkem</w:t>
            </w:r>
          </w:p>
        </w:tc>
      </w:tr>
      <w:tr w:rsidR="006A62DB" w:rsidRPr="006A62DB" w14:paraId="09097D4B" w14:textId="77777777" w:rsidTr="006A62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F1D21" w14:textId="77777777" w:rsidR="00C16BDF" w:rsidRPr="006A62DB" w:rsidRDefault="00C16BDF" w:rsidP="00C16BDF">
            <w:pPr>
              <w:keepNext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Celkové výdaje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D7485" w14:textId="6B335A73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272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C03FC" w14:textId="2C21CE83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509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1A314" w14:textId="27FC3E40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818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A0984" w14:textId="12ECDBBE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917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BB8DC" w14:textId="23B6CE3C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917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FBAB3" w14:textId="37128ED7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917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A1249" w14:textId="5DFEAD0A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867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C4944" w14:textId="0E4137CC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498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3B23B" w14:textId="34C24126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5 715</w:t>
            </w:r>
          </w:p>
        </w:tc>
      </w:tr>
      <w:tr w:rsidR="006A62DB" w:rsidRPr="006A62DB" w14:paraId="7942B94B" w14:textId="77777777" w:rsidTr="006A6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86376" w14:textId="77777777" w:rsidR="00C16BDF" w:rsidRPr="006A62DB" w:rsidRDefault="00C16BDF" w:rsidP="00C16BDF">
            <w:pPr>
              <w:keepNext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Výdaje státního rozpočtu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C8F11" w14:textId="77063472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200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959EB" w14:textId="4416E11D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360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B3E93" w14:textId="3CC6FE5C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580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C5BB4" w14:textId="3918EDAF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640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6DB1C" w14:textId="0C631963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640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0AF64" w14:textId="50D19107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640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57096" w14:textId="12B59DE0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600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CFBA4" w14:textId="5C76562B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340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E918D" w14:textId="59C32C19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4 000</w:t>
            </w:r>
          </w:p>
        </w:tc>
      </w:tr>
      <w:tr w:rsidR="006A62DB" w:rsidRPr="006A62DB" w14:paraId="7845DCA2" w14:textId="77777777" w:rsidTr="006A62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B61BE" w14:textId="77777777" w:rsidR="00C16BDF" w:rsidRPr="006A62DB" w:rsidRDefault="00C16BDF" w:rsidP="00B1207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Neveřejné zdroje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1744B" w14:textId="07337330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72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7128E" w14:textId="5BD6AC96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149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F72A0" w14:textId="55A7E084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238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D684C" w14:textId="245D029E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277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71555" w14:textId="1F3A38FF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277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A4308" w14:textId="17A96110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277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A6BFD" w14:textId="57FD4ECB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267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D99D6" w14:textId="2BC4B37D" w:rsidR="00C16BDF" w:rsidRPr="006A62DB" w:rsidRDefault="00C16BDF" w:rsidP="006A62DB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158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360D0" w14:textId="467D437B" w:rsidR="00C16BDF" w:rsidRPr="006A62DB" w:rsidRDefault="00C16BDF" w:rsidP="006A62DB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A62DB">
              <w:rPr>
                <w:rFonts w:ascii="Arial" w:eastAsia="Arial" w:hAnsi="Arial" w:cs="Arial"/>
                <w:sz w:val="20"/>
                <w:szCs w:val="20"/>
              </w:rPr>
              <w:t>1715</w:t>
            </w:r>
          </w:p>
        </w:tc>
      </w:tr>
    </w:tbl>
    <w:p w14:paraId="2B2E2139" w14:textId="77777777" w:rsidR="00F30870" w:rsidRPr="00E7695F" w:rsidRDefault="003D47F5" w:rsidP="00F94E70">
      <w:pPr>
        <w:pStyle w:val="Nadpis1"/>
        <w:rPr>
          <w:rFonts w:ascii="Arial" w:hAnsi="Arial" w:cs="Arial"/>
          <w:szCs w:val="22"/>
        </w:rPr>
      </w:pPr>
      <w:r w:rsidRPr="00E7695F">
        <w:rPr>
          <w:rFonts w:ascii="Arial" w:hAnsi="Arial" w:cs="Arial"/>
          <w:szCs w:val="22"/>
        </w:rPr>
        <w:t>MÍRA PODPORY</w:t>
      </w:r>
    </w:p>
    <w:p w14:paraId="30CA66C3" w14:textId="7E21EADA" w:rsidR="00F30870" w:rsidRPr="00E7695F" w:rsidRDefault="007363FE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Předpokládaná</w:t>
      </w:r>
      <w:r w:rsidR="008145F2" w:rsidRPr="00E7695F">
        <w:rPr>
          <w:rFonts w:ascii="Arial" w:eastAsia="Arial" w:hAnsi="Arial" w:cs="Arial"/>
          <w:sz w:val="22"/>
          <w:szCs w:val="22"/>
        </w:rPr>
        <w:t xml:space="preserve"> průměrná</w:t>
      </w:r>
      <w:r w:rsidR="003D47F5" w:rsidRPr="00E7695F">
        <w:rPr>
          <w:rFonts w:ascii="Arial" w:eastAsia="Arial" w:hAnsi="Arial" w:cs="Arial"/>
          <w:sz w:val="22"/>
          <w:szCs w:val="22"/>
        </w:rPr>
        <w:t xml:space="preserve"> míra podpory celkově za program </w:t>
      </w:r>
      <w:r w:rsidR="008145F2" w:rsidRPr="00E7695F">
        <w:rPr>
          <w:rFonts w:ascii="Arial" w:eastAsia="Arial" w:hAnsi="Arial" w:cs="Arial"/>
          <w:sz w:val="22"/>
          <w:szCs w:val="22"/>
        </w:rPr>
        <w:t xml:space="preserve">je 70 </w:t>
      </w:r>
      <w:r w:rsidR="003D47F5" w:rsidRPr="00E7695F">
        <w:rPr>
          <w:rFonts w:ascii="Arial" w:eastAsia="Arial" w:hAnsi="Arial" w:cs="Arial"/>
          <w:sz w:val="22"/>
          <w:szCs w:val="22"/>
        </w:rPr>
        <w:t>%.</w:t>
      </w:r>
      <w:r w:rsidR="008145F2" w:rsidRPr="00E7695F">
        <w:rPr>
          <w:rFonts w:ascii="Arial" w:eastAsia="Arial" w:hAnsi="Arial" w:cs="Arial"/>
          <w:sz w:val="22"/>
          <w:szCs w:val="22"/>
        </w:rPr>
        <w:t xml:space="preserve"> Nejvyšší povolená míra podpory na projekt u podprogramu 1 a podprogramu 3 je 100 %, u podprogramu 2 pak 80 %.</w:t>
      </w:r>
      <w:r w:rsidR="00E34422" w:rsidRPr="00E7695F">
        <w:rPr>
          <w:rFonts w:ascii="Arial" w:eastAsia="Arial" w:hAnsi="Arial" w:cs="Arial"/>
          <w:sz w:val="22"/>
          <w:szCs w:val="22"/>
        </w:rPr>
        <w:t xml:space="preserve"> </w:t>
      </w:r>
      <w:r w:rsidR="003D47F5" w:rsidRPr="00E7695F">
        <w:rPr>
          <w:rFonts w:ascii="Arial" w:eastAsia="Arial" w:hAnsi="Arial" w:cs="Arial"/>
          <w:sz w:val="22"/>
          <w:szCs w:val="22"/>
        </w:rPr>
        <w:t>Míra podpory, stanovená jako procento uznaných nákladů projektu, bude vypočtena pro každý projekt i pro každého příjemce a dalšího účastníka samostatně s tím, že pokud bude podpora poskytována podnikům dle Nařízení, musí být respektovány v něm uvedené maximální stropy měr podpory.</w:t>
      </w:r>
    </w:p>
    <w:p w14:paraId="5FD50481" w14:textId="0E6D91D3" w:rsidR="00FE7F86" w:rsidRDefault="00496E9D" w:rsidP="00297F27">
      <w:pPr>
        <w:tabs>
          <w:tab w:val="left" w:pos="360"/>
        </w:tabs>
        <w:spacing w:before="120" w:after="120"/>
        <w:rPr>
          <w:rFonts w:ascii="Arial" w:eastAsia="Arial" w:hAnsi="Arial" w:cs="Arial"/>
          <w:b/>
          <w:sz w:val="22"/>
          <w:szCs w:val="22"/>
        </w:rPr>
      </w:pPr>
      <w:r w:rsidRPr="00E7695F">
        <w:rPr>
          <w:rFonts w:ascii="Arial" w:eastAsia="Arial" w:hAnsi="Arial" w:cs="Arial"/>
          <w:b/>
          <w:sz w:val="22"/>
          <w:szCs w:val="22"/>
        </w:rPr>
        <w:t>Tabulka č. 13</w:t>
      </w:r>
      <w:r w:rsidR="00FE7F86" w:rsidRPr="00E7695F">
        <w:rPr>
          <w:rFonts w:ascii="Arial" w:eastAsia="Arial" w:hAnsi="Arial" w:cs="Arial"/>
          <w:b/>
          <w:sz w:val="22"/>
          <w:szCs w:val="22"/>
        </w:rPr>
        <w:t>. 1:</w:t>
      </w:r>
      <w:r w:rsidR="00FE7F86" w:rsidRPr="00E7695F">
        <w:rPr>
          <w:rFonts w:ascii="Arial" w:eastAsia="Arial" w:hAnsi="Arial" w:cs="Arial"/>
          <w:b/>
          <w:sz w:val="22"/>
          <w:szCs w:val="22"/>
        </w:rPr>
        <w:tab/>
        <w:t xml:space="preserve">Nejvyšší povolené míry podpory pro průmyslový výzkum a experimentální </w:t>
      </w:r>
      <w:r w:rsidR="006802BA" w:rsidRPr="00E7695F">
        <w:rPr>
          <w:rFonts w:ascii="Arial" w:eastAsia="Arial" w:hAnsi="Arial" w:cs="Arial"/>
          <w:b/>
          <w:sz w:val="22"/>
          <w:szCs w:val="22"/>
        </w:rPr>
        <w:t>vývoj podle</w:t>
      </w:r>
      <w:r w:rsidR="00297F27">
        <w:rPr>
          <w:rFonts w:ascii="Arial" w:eastAsia="Arial" w:hAnsi="Arial" w:cs="Arial"/>
          <w:b/>
          <w:sz w:val="22"/>
          <w:szCs w:val="22"/>
        </w:rPr>
        <w:t xml:space="preserve"> kategorie účastníků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4"/>
        <w:gridCol w:w="1269"/>
        <w:gridCol w:w="1386"/>
        <w:gridCol w:w="1290"/>
        <w:gridCol w:w="2053"/>
      </w:tblGrid>
      <w:tr w:rsidR="000E0B0F" w:rsidRPr="00AF6DF3" w14:paraId="72A38711" w14:textId="77777777" w:rsidTr="00060B19">
        <w:trPr>
          <w:trHeight w:val="345"/>
        </w:trPr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4399F6A" w14:textId="77777777" w:rsidR="000E0B0F" w:rsidRPr="00AF6DF3" w:rsidRDefault="000E0B0F" w:rsidP="00060B19">
            <w:p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1A56F16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Příjemci</w:t>
            </w:r>
          </w:p>
        </w:tc>
      </w:tr>
      <w:tr w:rsidR="000E0B0F" w:rsidRPr="00AF6DF3" w14:paraId="5B0D9CAB" w14:textId="77777777" w:rsidTr="00060B19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6817C8F" w14:textId="77777777" w:rsidR="000E0B0F" w:rsidRPr="00AF6DF3" w:rsidRDefault="000E0B0F" w:rsidP="00060B19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Kategorie činností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0942449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malý podnik*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E40D00C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střední podnik*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77A39CB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velký podnik*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7080DFF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výzkumné organizace˙˙</w:t>
            </w:r>
          </w:p>
        </w:tc>
      </w:tr>
      <w:tr w:rsidR="000E0B0F" w:rsidRPr="00AF6DF3" w14:paraId="25CAD8AB" w14:textId="77777777" w:rsidTr="00060B1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4402C54" w14:textId="77777777" w:rsidR="000E0B0F" w:rsidRPr="00AF6DF3" w:rsidRDefault="000E0B0F" w:rsidP="00297F27">
            <w:pPr>
              <w:spacing w:after="120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Průmyslový výzkum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CF1750C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70 %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62421BA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60 %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32ECAA3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520C8FA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0E0B0F" w:rsidRPr="00AF6DF3" w14:paraId="55EEFAD7" w14:textId="77777777" w:rsidTr="00060B1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1E6D449" w14:textId="77777777" w:rsidR="000E0B0F" w:rsidRPr="00AF6DF3" w:rsidRDefault="000E0B0F" w:rsidP="00297F27">
            <w:pPr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Průmyslový výzkum</w:t>
            </w:r>
          </w:p>
          <w:p w14:paraId="3F6AEF41" w14:textId="77777777" w:rsidR="000E0B0F" w:rsidRPr="00AF6DF3" w:rsidRDefault="000E0B0F" w:rsidP="00297F27">
            <w:pPr>
              <w:spacing w:after="120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v případě účinné spolupráce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4695879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80 %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873D4D9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75 %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EB98031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65 %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D77BF33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0E0B0F" w:rsidRPr="00AF6DF3" w14:paraId="1CA89EF1" w14:textId="77777777" w:rsidTr="00060B1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C19F8D9" w14:textId="77777777" w:rsidR="000E0B0F" w:rsidRPr="00AF6DF3" w:rsidRDefault="000E0B0F" w:rsidP="00297F27">
            <w:pPr>
              <w:spacing w:after="120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Experimentální vývoj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B6C8882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45 %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DBD9761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35 %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D6527E6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25 %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CB87D39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0E0B0F" w:rsidRPr="00AF6DF3" w14:paraId="1D2117B9" w14:textId="77777777" w:rsidTr="00060B1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BE655FA" w14:textId="77777777" w:rsidR="000E0B0F" w:rsidRPr="00AF6DF3" w:rsidRDefault="000E0B0F" w:rsidP="00297F27">
            <w:pPr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Experimentální vývoj</w:t>
            </w:r>
          </w:p>
          <w:p w14:paraId="1E7D03CE" w14:textId="77777777" w:rsidR="000E0B0F" w:rsidRPr="00AF6DF3" w:rsidRDefault="000E0B0F" w:rsidP="00297F27">
            <w:pPr>
              <w:spacing w:after="120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v případě účinné spolupráce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D07C137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60 %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D8C2A7A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5467FCF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40 %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CA1FAD8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0E0B0F" w:rsidRPr="00AF6DF3" w14:paraId="3A0D8550" w14:textId="77777777" w:rsidTr="00060B1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997D360" w14:textId="0ED52026" w:rsidR="000E0B0F" w:rsidRPr="00AF6DF3" w:rsidRDefault="000E0B0F" w:rsidP="00297F27">
            <w:pPr>
              <w:spacing w:after="120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Inovace určená malým a</w:t>
            </w:r>
            <w:r w:rsidR="00297F27">
              <w:rPr>
                <w:rFonts w:ascii="Arial" w:hAnsi="Arial" w:cs="Arial"/>
                <w:sz w:val="22"/>
                <w:szCs w:val="22"/>
              </w:rPr>
              <w:t> </w:t>
            </w:r>
            <w:r w:rsidRPr="00AF6DF3">
              <w:rPr>
                <w:rFonts w:ascii="Arial" w:hAnsi="Arial" w:cs="Arial"/>
                <w:sz w:val="22"/>
                <w:szCs w:val="22"/>
              </w:rPr>
              <w:t>středním podnikům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094C212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5E60F39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5E2B9BA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5FBDB00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0E0B0F" w:rsidRPr="00AF6DF3" w14:paraId="3AD13016" w14:textId="77777777" w:rsidTr="00060B1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3C020A2" w14:textId="77777777" w:rsidR="000E0B0F" w:rsidRPr="00AF6DF3" w:rsidRDefault="000E0B0F" w:rsidP="00297F27">
            <w:pPr>
              <w:spacing w:after="120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Inovace postupů a organizační inovace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CB0C722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4D44CDA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F951771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5B1387F" w14:textId="77777777" w:rsidR="000E0B0F" w:rsidRPr="00AF6DF3" w:rsidRDefault="000E0B0F" w:rsidP="00060B19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</w:tbl>
    <w:p w14:paraId="062E8E91" w14:textId="77777777" w:rsidR="000E0B0F" w:rsidRPr="00AF6DF3" w:rsidRDefault="000E0B0F" w:rsidP="000E0B0F">
      <w:pPr>
        <w:jc w:val="both"/>
        <w:rPr>
          <w:rFonts w:ascii="Arial" w:hAnsi="Arial" w:cs="Arial"/>
          <w:color w:val="auto"/>
          <w:sz w:val="18"/>
          <w:szCs w:val="18"/>
        </w:rPr>
      </w:pPr>
      <w:r w:rsidRPr="00AF6DF3">
        <w:rPr>
          <w:rFonts w:ascii="Arial" w:hAnsi="Arial" w:cs="Arial"/>
          <w:b/>
          <w:bCs/>
          <w:sz w:val="18"/>
          <w:szCs w:val="18"/>
        </w:rPr>
        <w:t>Poznámka:</w:t>
      </w:r>
      <w:r w:rsidRPr="00AF6DF3">
        <w:rPr>
          <w:rFonts w:ascii="Arial" w:hAnsi="Arial" w:cs="Arial"/>
          <w:sz w:val="18"/>
          <w:szCs w:val="18"/>
        </w:rPr>
        <w:t xml:space="preserve"> </w:t>
      </w:r>
      <w:r w:rsidRPr="00AF6DF3">
        <w:rPr>
          <w:rFonts w:ascii="Cambria Math" w:hAnsi="Cambria Math" w:cs="Cambria Math"/>
          <w:sz w:val="18"/>
          <w:szCs w:val="18"/>
          <w:vertAlign w:val="superscript"/>
        </w:rPr>
        <w:t>∗</w:t>
      </w:r>
      <w:r w:rsidRPr="00AF6DF3">
        <w:rPr>
          <w:rFonts w:ascii="Arial" w:hAnsi="Arial" w:cs="Arial"/>
          <w:sz w:val="18"/>
          <w:szCs w:val="18"/>
        </w:rPr>
        <w:t xml:space="preserve">Malý a střední podnik je vymezen podle definice uvedené v článku 2 odst. 2 a potažmo v Příloze 1 Nařízení a velký podnik je vymezen podle definice v článku 2 odst. 24 Nařízení. </w:t>
      </w:r>
    </w:p>
    <w:p w14:paraId="43200A98" w14:textId="77777777" w:rsidR="000E0B0F" w:rsidRPr="00AF6DF3" w:rsidRDefault="000E0B0F" w:rsidP="000E0B0F">
      <w:pPr>
        <w:jc w:val="both"/>
        <w:rPr>
          <w:rFonts w:ascii="Arial" w:hAnsi="Arial" w:cs="Arial"/>
          <w:color w:val="auto"/>
          <w:sz w:val="18"/>
          <w:szCs w:val="18"/>
        </w:rPr>
      </w:pPr>
      <w:r w:rsidRPr="00AF6DF3">
        <w:rPr>
          <w:rFonts w:ascii="Arial" w:hAnsi="Arial" w:cs="Arial"/>
          <w:sz w:val="18"/>
          <w:szCs w:val="18"/>
          <w:vertAlign w:val="superscript"/>
        </w:rPr>
        <w:t xml:space="preserve">** </w:t>
      </w:r>
      <w:r w:rsidRPr="00AF6DF3">
        <w:rPr>
          <w:rFonts w:ascii="Arial" w:hAnsi="Arial" w:cs="Arial"/>
          <w:sz w:val="18"/>
          <w:szCs w:val="18"/>
        </w:rPr>
        <w:t xml:space="preserve">Výzkumná organizace je vymezena podle čl. 2 odst. 83 Nařízení. Uvedená míra podpory je určena pro </w:t>
      </w:r>
      <w:proofErr w:type="spellStart"/>
      <w:r w:rsidRPr="00AF6DF3">
        <w:rPr>
          <w:rFonts w:ascii="Arial" w:hAnsi="Arial" w:cs="Arial"/>
          <w:sz w:val="18"/>
          <w:szCs w:val="18"/>
        </w:rPr>
        <w:t>nehospodářské</w:t>
      </w:r>
      <w:proofErr w:type="spellEnd"/>
      <w:r w:rsidRPr="00AF6DF3">
        <w:rPr>
          <w:rFonts w:ascii="Arial" w:hAnsi="Arial" w:cs="Arial"/>
          <w:sz w:val="18"/>
          <w:szCs w:val="18"/>
        </w:rPr>
        <w:t xml:space="preserve"> činnosti výzkumných organizací.</w:t>
      </w:r>
    </w:p>
    <w:p w14:paraId="3F4352B8" w14:textId="77777777" w:rsidR="000E0B0F" w:rsidRPr="00AF6DF3" w:rsidRDefault="000E0B0F" w:rsidP="000E0B0F">
      <w:pPr>
        <w:jc w:val="both"/>
        <w:rPr>
          <w:rFonts w:ascii="Arial" w:hAnsi="Arial" w:cs="Arial"/>
          <w:color w:val="auto"/>
          <w:sz w:val="18"/>
          <w:szCs w:val="18"/>
        </w:rPr>
      </w:pPr>
      <w:r w:rsidRPr="00AF6DF3">
        <w:rPr>
          <w:rFonts w:ascii="Arial" w:hAnsi="Arial" w:cs="Arial"/>
          <w:sz w:val="18"/>
          <w:szCs w:val="18"/>
          <w:vertAlign w:val="superscript"/>
        </w:rPr>
        <w:t>1)</w:t>
      </w:r>
      <w:r w:rsidRPr="00AF6DF3">
        <w:rPr>
          <w:rFonts w:ascii="Arial" w:hAnsi="Arial" w:cs="Arial"/>
          <w:sz w:val="18"/>
          <w:szCs w:val="18"/>
        </w:rPr>
        <w:t>Při respektování průměrné míry podpory na program ve výši 80 %.</w:t>
      </w:r>
    </w:p>
    <w:p w14:paraId="14C92D18" w14:textId="77777777" w:rsidR="000E0B0F" w:rsidRPr="00AF6DF3" w:rsidRDefault="000E0B0F" w:rsidP="000E0B0F">
      <w:pPr>
        <w:jc w:val="both"/>
        <w:rPr>
          <w:rFonts w:ascii="Arial" w:hAnsi="Arial" w:cs="Arial"/>
          <w:color w:val="auto"/>
          <w:sz w:val="18"/>
          <w:szCs w:val="18"/>
        </w:rPr>
      </w:pPr>
      <w:r w:rsidRPr="00AF6DF3">
        <w:rPr>
          <w:rFonts w:ascii="Arial" w:hAnsi="Arial" w:cs="Arial"/>
          <w:b/>
          <w:bCs/>
          <w:sz w:val="18"/>
          <w:szCs w:val="18"/>
        </w:rPr>
        <w:t>Zdroj: Nařízení</w:t>
      </w:r>
    </w:p>
    <w:p w14:paraId="13237E5B" w14:textId="316A683B" w:rsidR="00555619" w:rsidRPr="00E7695F" w:rsidRDefault="00555619" w:rsidP="00F94E70">
      <w:pPr>
        <w:pStyle w:val="Nadpis1"/>
        <w:rPr>
          <w:rFonts w:ascii="Arial" w:hAnsi="Arial" w:cs="Arial"/>
          <w:szCs w:val="22"/>
        </w:rPr>
      </w:pPr>
      <w:r w:rsidRPr="00E7695F">
        <w:rPr>
          <w:rFonts w:ascii="Arial" w:hAnsi="Arial" w:cs="Arial"/>
          <w:szCs w:val="22"/>
        </w:rPr>
        <w:lastRenderedPageBreak/>
        <w:t>ZPŮSOBILÉ A UZNANÉ NÁKLADY</w:t>
      </w:r>
    </w:p>
    <w:p w14:paraId="53B3303D" w14:textId="76629B89" w:rsidR="00555619" w:rsidRPr="00E7695F" w:rsidRDefault="00555619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Podpora bude poskytována na uznané náklady projektu, tj. na ty způsobilé náklady, které poskytovatel schválí a které jsou zdůvodněné. Uchazeč může jako způsobilé náklady navrhnout pouze náklady vymezené vždy v souladu se zákonem o podpoře výzkumu, experimentálního vývoje a inovací, a dále v</w:t>
      </w:r>
      <w:r w:rsidR="00CB78E6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případě podpory v režimu veřejné po</w:t>
      </w:r>
      <w:r w:rsidR="00297F27">
        <w:rPr>
          <w:rFonts w:ascii="Arial" w:eastAsia="Arial" w:hAnsi="Arial" w:cs="Arial"/>
          <w:sz w:val="22"/>
          <w:szCs w:val="22"/>
        </w:rPr>
        <w:t xml:space="preserve">dpory podle kategorie podpory, </w:t>
      </w:r>
      <w:r w:rsidRPr="00E7695F">
        <w:rPr>
          <w:rFonts w:ascii="Arial" w:eastAsia="Arial" w:hAnsi="Arial" w:cs="Arial"/>
          <w:sz w:val="22"/>
          <w:szCs w:val="22"/>
        </w:rPr>
        <w:t xml:space="preserve">tj. v souladu s Nařízením dle čl. 25, odst. 3, písm. a), b), d) e): </w:t>
      </w:r>
    </w:p>
    <w:p w14:paraId="1C4E836E" w14:textId="77777777" w:rsidR="00555619" w:rsidRPr="00E7695F" w:rsidRDefault="00555619" w:rsidP="00555619">
      <w:pPr>
        <w:numPr>
          <w:ilvl w:val="0"/>
          <w:numId w:val="8"/>
        </w:numPr>
        <w:spacing w:before="120" w:after="120"/>
        <w:ind w:hanging="357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i/>
          <w:sz w:val="22"/>
          <w:szCs w:val="22"/>
        </w:rPr>
        <w:t>Osobní náklady</w:t>
      </w:r>
      <w:r w:rsidRPr="00E7695F">
        <w:rPr>
          <w:rFonts w:ascii="Arial" w:eastAsia="Arial" w:hAnsi="Arial" w:cs="Arial"/>
          <w:sz w:val="22"/>
          <w:szCs w:val="22"/>
        </w:rPr>
        <w:t>: výzkumní pracovníci, technici a ostatní podpůrný personál v rozsahu nezbytném pro účely projektu; jedná se o osobní náklady:</w:t>
      </w:r>
    </w:p>
    <w:p w14:paraId="0B14E2B0" w14:textId="77777777" w:rsidR="00555619" w:rsidRPr="00E7695F" w:rsidRDefault="00555619" w:rsidP="00555619">
      <w:pPr>
        <w:numPr>
          <w:ilvl w:val="0"/>
          <w:numId w:val="9"/>
        </w:numPr>
        <w:spacing w:before="120" w:after="120"/>
        <w:ind w:hanging="36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zaměstnanců uchazeče/příjemce alokovaných na projekt, tj. výzkumných pracovníků, techniků a ostatního podpůrného personálu, v rozsahu nezbytném pro účely výzkumného projektu;</w:t>
      </w:r>
    </w:p>
    <w:p w14:paraId="3B49379B" w14:textId="77777777" w:rsidR="00555619" w:rsidRPr="00E7695F" w:rsidRDefault="00555619" w:rsidP="00555619">
      <w:pPr>
        <w:numPr>
          <w:ilvl w:val="0"/>
          <w:numId w:val="9"/>
        </w:numPr>
        <w:spacing w:before="120" w:after="120"/>
        <w:ind w:hanging="36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pracovníků, s nimiž uchazeč/příjemce uzavřel dohodu o pracovní činnosti nebo dohodu o provedení práce, a to v přímé souvislosti s řešením projektu;</w:t>
      </w:r>
    </w:p>
    <w:p w14:paraId="02E6FB98" w14:textId="77777777" w:rsidR="00555619" w:rsidRPr="00E7695F" w:rsidRDefault="00555619" w:rsidP="00555619">
      <w:pPr>
        <w:numPr>
          <w:ilvl w:val="0"/>
          <w:numId w:val="9"/>
        </w:numPr>
        <w:spacing w:before="120" w:after="120"/>
        <w:ind w:hanging="36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stipendia studentů, podílejících se na řešení projektu.</w:t>
      </w:r>
    </w:p>
    <w:p w14:paraId="724EB83A" w14:textId="77777777" w:rsidR="00555619" w:rsidRPr="00E7695F" w:rsidRDefault="00555619" w:rsidP="00555619">
      <w:pPr>
        <w:numPr>
          <w:ilvl w:val="0"/>
          <w:numId w:val="8"/>
        </w:numPr>
        <w:spacing w:before="120" w:after="120"/>
        <w:ind w:hanging="357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i/>
          <w:sz w:val="22"/>
          <w:szCs w:val="22"/>
        </w:rPr>
        <w:t>Náklady na nástroje a vybavení</w:t>
      </w:r>
      <w:r w:rsidRPr="00E7695F">
        <w:rPr>
          <w:rFonts w:ascii="Arial" w:eastAsia="Arial" w:hAnsi="Arial" w:cs="Arial"/>
          <w:sz w:val="22"/>
          <w:szCs w:val="22"/>
        </w:rPr>
        <w:t xml:space="preserve"> v rozsahu a po dobu, kdy jsou využívány pro účely projektu. Jestliže nejsou tyto nástroje a vybavení používány v rámci projektu po celou dobu své životnosti, jsou za způsobilé náklady považovány pouze daňové odpisy za dobu trvání projektu.</w:t>
      </w:r>
    </w:p>
    <w:p w14:paraId="50FE8A40" w14:textId="53D4F0C2" w:rsidR="00555619" w:rsidRPr="00E7695F" w:rsidRDefault="00555619" w:rsidP="00555619">
      <w:pPr>
        <w:numPr>
          <w:ilvl w:val="0"/>
          <w:numId w:val="8"/>
        </w:numPr>
        <w:spacing w:before="120" w:after="120"/>
        <w:ind w:hanging="357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i/>
          <w:sz w:val="22"/>
          <w:szCs w:val="22"/>
        </w:rPr>
        <w:t>Náklady na smluvní výzkum</w:t>
      </w:r>
      <w:r w:rsidRPr="00E7695F">
        <w:rPr>
          <w:rFonts w:ascii="Arial" w:eastAsia="Arial" w:hAnsi="Arial" w:cs="Arial"/>
          <w:sz w:val="22"/>
          <w:szCs w:val="22"/>
        </w:rPr>
        <w:t>, technické poznatky a patenty zakoupené nebo pořízené v rámci licence z vnějších zdrojů za obvyklých tržních podmínek a za předpokladu, že transakce proběhla v podmínkách volné hospodářské soutěže a nedošlo při ní k</w:t>
      </w:r>
      <w:r w:rsidR="00297F27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žádné nesrovnalosti, a</w:t>
      </w:r>
      <w:r w:rsidR="00CB78E6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rovněž náklady na poradenské a rovnocenné služby využité výlučně pro účely výzkumné činnosti v rámci daného výzkumného projektu.</w:t>
      </w:r>
    </w:p>
    <w:p w14:paraId="500A8959" w14:textId="03B6C2EC" w:rsidR="00555619" w:rsidRPr="00E7695F" w:rsidRDefault="00555619" w:rsidP="00555619">
      <w:pPr>
        <w:numPr>
          <w:ilvl w:val="0"/>
          <w:numId w:val="8"/>
        </w:numPr>
        <w:spacing w:before="120" w:after="120"/>
        <w:ind w:hanging="357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i/>
          <w:sz w:val="22"/>
          <w:szCs w:val="22"/>
        </w:rPr>
        <w:t xml:space="preserve">Dodatečné </w:t>
      </w:r>
      <w:r w:rsidR="00A173F4">
        <w:rPr>
          <w:rFonts w:ascii="Arial" w:eastAsia="Arial" w:hAnsi="Arial" w:cs="Arial"/>
          <w:i/>
          <w:sz w:val="22"/>
          <w:szCs w:val="22"/>
        </w:rPr>
        <w:t>nepřímé</w:t>
      </w:r>
      <w:r w:rsidR="00A173F4" w:rsidRPr="00E7695F">
        <w:rPr>
          <w:rFonts w:ascii="Arial" w:eastAsia="Arial" w:hAnsi="Arial" w:cs="Arial"/>
          <w:i/>
          <w:sz w:val="22"/>
          <w:szCs w:val="22"/>
        </w:rPr>
        <w:t xml:space="preserve"> </w:t>
      </w:r>
      <w:r w:rsidRPr="00E7695F">
        <w:rPr>
          <w:rFonts w:ascii="Arial" w:eastAsia="Arial" w:hAnsi="Arial" w:cs="Arial"/>
          <w:i/>
          <w:sz w:val="22"/>
          <w:szCs w:val="22"/>
        </w:rPr>
        <w:t>a ostatní provozní náklady</w:t>
      </w:r>
      <w:r w:rsidRPr="00E7695F">
        <w:rPr>
          <w:rFonts w:ascii="Arial" w:eastAsia="Arial" w:hAnsi="Arial" w:cs="Arial"/>
          <w:sz w:val="22"/>
          <w:szCs w:val="22"/>
        </w:rPr>
        <w:t xml:space="preserve"> včetně nákladů na materiál, dodávky a podobné výrobky, které vznikly bezprostředně v důsledku projektu.</w:t>
      </w:r>
    </w:p>
    <w:p w14:paraId="3F43FBD7" w14:textId="77777777" w:rsidR="00555619" w:rsidRPr="00E7695F" w:rsidRDefault="00555619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hAnsi="Arial" w:cs="Arial"/>
          <w:sz w:val="22"/>
          <w:szCs w:val="22"/>
        </w:rPr>
        <w:t>Podle čl. 28 Nařízení jsou v případě podpory na inovace určené malým a středním podnikům při splnění podmínek v čl. 28 odst. 3 a 4 jsou v rámci podprogramu 2 dále způsobilé tyto náklady:</w:t>
      </w:r>
    </w:p>
    <w:p w14:paraId="2E213F26" w14:textId="77777777" w:rsidR="00555619" w:rsidRPr="00E7695F" w:rsidRDefault="00555619" w:rsidP="00555619">
      <w:pPr>
        <w:numPr>
          <w:ilvl w:val="0"/>
          <w:numId w:val="8"/>
        </w:numPr>
        <w:spacing w:before="120" w:after="120"/>
        <w:ind w:hanging="357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i/>
          <w:sz w:val="22"/>
          <w:szCs w:val="22"/>
        </w:rPr>
        <w:t>náklady na získání, uznání a obranu patentů</w:t>
      </w:r>
      <w:r w:rsidRPr="00E7695F">
        <w:rPr>
          <w:rFonts w:ascii="Arial" w:eastAsia="Arial" w:hAnsi="Arial" w:cs="Arial"/>
          <w:sz w:val="22"/>
          <w:szCs w:val="22"/>
        </w:rPr>
        <w:t xml:space="preserve"> a dalších nehmotných aktiv;</w:t>
      </w:r>
    </w:p>
    <w:p w14:paraId="4C8058B0" w14:textId="6E56E88B" w:rsidR="00555619" w:rsidRPr="00E7695F" w:rsidRDefault="00555619" w:rsidP="00555619">
      <w:pPr>
        <w:numPr>
          <w:ilvl w:val="0"/>
          <w:numId w:val="8"/>
        </w:numPr>
        <w:spacing w:before="120" w:after="120"/>
        <w:ind w:hanging="357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i/>
          <w:sz w:val="22"/>
          <w:szCs w:val="22"/>
        </w:rPr>
        <w:t>náklady na vyslání vysoce kvalifikovaných pracovníků</w:t>
      </w:r>
      <w:r w:rsidRPr="00E7695F">
        <w:rPr>
          <w:rFonts w:ascii="Arial" w:eastAsia="Arial" w:hAnsi="Arial" w:cs="Arial"/>
          <w:sz w:val="22"/>
          <w:szCs w:val="22"/>
        </w:rPr>
        <w:t xml:space="preserve"> z výzkumné organizace nebo velkého podniku, kteří u příjemce podpory pracují na činnostech v oblasti výzkumu, vývoje a inovací v</w:t>
      </w:r>
      <w:r w:rsidR="00CB78E6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nově vytvořené funkci, avšak nenahrazují jiné pracovníky;</w:t>
      </w:r>
    </w:p>
    <w:p w14:paraId="72D74781" w14:textId="461379EB" w:rsidR="00555619" w:rsidRPr="00E7695F" w:rsidRDefault="00555619" w:rsidP="00555619">
      <w:pPr>
        <w:numPr>
          <w:ilvl w:val="0"/>
          <w:numId w:val="8"/>
        </w:numPr>
        <w:spacing w:before="120" w:after="120"/>
        <w:ind w:hanging="357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i/>
          <w:sz w:val="22"/>
          <w:szCs w:val="22"/>
        </w:rPr>
        <w:t xml:space="preserve">náklady na poradenské a podpůrné služby </w:t>
      </w:r>
      <w:r w:rsidRPr="00E7695F">
        <w:rPr>
          <w:rFonts w:ascii="Arial" w:eastAsia="Arial" w:hAnsi="Arial" w:cs="Arial"/>
          <w:sz w:val="22"/>
          <w:szCs w:val="22"/>
        </w:rPr>
        <w:t>v oblasti inovací</w:t>
      </w:r>
      <w:r w:rsidR="005B0045" w:rsidRPr="00E7695F">
        <w:rPr>
          <w:rFonts w:ascii="Arial" w:eastAsia="Arial" w:hAnsi="Arial" w:cs="Arial"/>
          <w:sz w:val="22"/>
          <w:szCs w:val="22"/>
        </w:rPr>
        <w:t>.</w:t>
      </w:r>
    </w:p>
    <w:p w14:paraId="47DF0B76" w14:textId="77777777" w:rsidR="00555619" w:rsidRPr="00E7695F" w:rsidRDefault="00555619" w:rsidP="00E34422">
      <w:pPr>
        <w:keepNext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hAnsi="Arial" w:cs="Arial"/>
          <w:sz w:val="22"/>
          <w:szCs w:val="22"/>
        </w:rPr>
        <w:t>Podle čl. 29 odst. 3 Nařízení v případě podpory na inovace postupů a organizační inovace při splnění podmínek v čl. 29 odst. 2 a 4 jsou v rámci podprogramu 2 způsobilé tyto náklady:</w:t>
      </w:r>
    </w:p>
    <w:p w14:paraId="52C78169" w14:textId="77777777" w:rsidR="00555619" w:rsidRPr="00E7695F" w:rsidRDefault="00555619" w:rsidP="00555619">
      <w:pPr>
        <w:numPr>
          <w:ilvl w:val="0"/>
          <w:numId w:val="8"/>
        </w:numPr>
        <w:spacing w:before="120" w:after="120"/>
        <w:ind w:hanging="357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i/>
          <w:sz w:val="22"/>
          <w:szCs w:val="22"/>
        </w:rPr>
        <w:t>osobní náklady</w:t>
      </w:r>
      <w:r w:rsidRPr="00E7695F">
        <w:rPr>
          <w:rFonts w:ascii="Arial" w:eastAsia="Arial" w:hAnsi="Arial" w:cs="Arial"/>
          <w:sz w:val="22"/>
          <w:szCs w:val="22"/>
        </w:rPr>
        <w:t>;</w:t>
      </w:r>
    </w:p>
    <w:p w14:paraId="4ABC874A" w14:textId="77777777" w:rsidR="00555619" w:rsidRPr="00E7695F" w:rsidRDefault="00555619" w:rsidP="00555619">
      <w:pPr>
        <w:numPr>
          <w:ilvl w:val="0"/>
          <w:numId w:val="8"/>
        </w:numPr>
        <w:spacing w:before="120" w:after="120"/>
        <w:ind w:hanging="357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i/>
          <w:sz w:val="22"/>
          <w:szCs w:val="22"/>
        </w:rPr>
        <w:t>náklady na nástroje, vybavení, budovy a pozemky</w:t>
      </w:r>
      <w:r w:rsidRPr="00E7695F">
        <w:rPr>
          <w:rFonts w:ascii="Arial" w:eastAsia="Arial" w:hAnsi="Arial" w:cs="Arial"/>
          <w:sz w:val="22"/>
          <w:szCs w:val="22"/>
        </w:rPr>
        <w:t xml:space="preserve"> v rozsahu a za období, kdy jsou využívány pro projekt;</w:t>
      </w:r>
    </w:p>
    <w:p w14:paraId="3D9EFC2C" w14:textId="77777777" w:rsidR="00555619" w:rsidRPr="00E7695F" w:rsidRDefault="00555619" w:rsidP="00555619">
      <w:pPr>
        <w:numPr>
          <w:ilvl w:val="0"/>
          <w:numId w:val="8"/>
        </w:numPr>
        <w:spacing w:before="120" w:after="120"/>
        <w:ind w:hanging="357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i/>
          <w:sz w:val="22"/>
          <w:szCs w:val="22"/>
        </w:rPr>
        <w:t>náklady na smluvní výzkum, poznatky a patenty</w:t>
      </w:r>
      <w:r w:rsidRPr="00E7695F">
        <w:rPr>
          <w:rFonts w:ascii="Arial" w:eastAsia="Arial" w:hAnsi="Arial" w:cs="Arial"/>
          <w:sz w:val="22"/>
          <w:szCs w:val="22"/>
        </w:rPr>
        <w:t>, které byly zakoupeny nebo na něž byla pořízena licence od vnějších zdrojů za obvyklých tržních podmínek;</w:t>
      </w:r>
    </w:p>
    <w:p w14:paraId="173CF91B" w14:textId="49464666" w:rsidR="00555619" w:rsidRPr="00E7695F" w:rsidRDefault="00555619" w:rsidP="00555619">
      <w:pPr>
        <w:numPr>
          <w:ilvl w:val="0"/>
          <w:numId w:val="8"/>
        </w:numPr>
        <w:spacing w:before="120" w:after="120"/>
        <w:ind w:hanging="357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i/>
          <w:sz w:val="22"/>
          <w:szCs w:val="22"/>
        </w:rPr>
        <w:t>dodatečné režijní a ostatní provozní náklady</w:t>
      </w:r>
      <w:r w:rsidRPr="00E7695F">
        <w:rPr>
          <w:rFonts w:ascii="Arial" w:eastAsia="Arial" w:hAnsi="Arial" w:cs="Arial"/>
          <w:sz w:val="22"/>
          <w:szCs w:val="22"/>
        </w:rPr>
        <w:t xml:space="preserve"> včetně nákladů na materiál, dodávky a</w:t>
      </w:r>
      <w:r w:rsidR="00297F27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podobné výrobky, které vznikly přímo v důsledku provádění projektu.</w:t>
      </w:r>
    </w:p>
    <w:p w14:paraId="727C4E1B" w14:textId="77777777" w:rsidR="00555619" w:rsidRPr="00E7695F" w:rsidRDefault="00555619" w:rsidP="00F94E70">
      <w:pPr>
        <w:pStyle w:val="Nadpis1"/>
        <w:rPr>
          <w:rFonts w:ascii="Arial" w:hAnsi="Arial" w:cs="Arial"/>
          <w:szCs w:val="22"/>
        </w:rPr>
      </w:pPr>
      <w:r w:rsidRPr="00E7695F">
        <w:rPr>
          <w:rFonts w:ascii="Arial" w:hAnsi="Arial" w:cs="Arial"/>
          <w:szCs w:val="22"/>
        </w:rPr>
        <w:lastRenderedPageBreak/>
        <w:t>MOTIVAČNÍ ÚČINEK</w:t>
      </w:r>
    </w:p>
    <w:p w14:paraId="19E08EA7" w14:textId="479038DE" w:rsidR="008D2C1B" w:rsidRPr="00A173F4" w:rsidRDefault="00555619" w:rsidP="008D2C1B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Pro naplnění cílů programu a podmínek Nařízení bude poskytovatel v rámci procesu hodnocení návrhů projektů posuzovat přítomnost motivač</w:t>
      </w:r>
      <w:r w:rsidR="00A173F4">
        <w:rPr>
          <w:rFonts w:ascii="Arial" w:eastAsia="Arial" w:hAnsi="Arial" w:cs="Arial"/>
          <w:sz w:val="22"/>
          <w:szCs w:val="22"/>
        </w:rPr>
        <w:t>ního účinku podpory podle čl.</w:t>
      </w:r>
      <w:r w:rsidR="00297F27">
        <w:rPr>
          <w:rFonts w:ascii="Arial" w:eastAsia="Arial" w:hAnsi="Arial" w:cs="Arial"/>
          <w:sz w:val="22"/>
          <w:szCs w:val="22"/>
        </w:rPr>
        <w:t> </w:t>
      </w:r>
      <w:r w:rsidR="00A173F4">
        <w:rPr>
          <w:rFonts w:ascii="Arial" w:eastAsia="Arial" w:hAnsi="Arial" w:cs="Arial"/>
          <w:sz w:val="22"/>
          <w:szCs w:val="22"/>
        </w:rPr>
        <w:t>6 </w:t>
      </w:r>
      <w:r w:rsidRPr="00E7695F">
        <w:rPr>
          <w:rFonts w:ascii="Arial" w:eastAsia="Arial" w:hAnsi="Arial" w:cs="Arial"/>
          <w:sz w:val="22"/>
          <w:szCs w:val="22"/>
        </w:rPr>
        <w:t xml:space="preserve">Nařízení. </w:t>
      </w:r>
    </w:p>
    <w:p w14:paraId="698AA8E9" w14:textId="56CD5CCE" w:rsidR="00425311" w:rsidRPr="00E7695F" w:rsidRDefault="00425311" w:rsidP="00F94E70">
      <w:pPr>
        <w:pStyle w:val="Nadpis1"/>
        <w:rPr>
          <w:rFonts w:ascii="Arial" w:eastAsia="Times New Roman" w:hAnsi="Arial" w:cs="Arial"/>
          <w:szCs w:val="22"/>
        </w:rPr>
      </w:pPr>
      <w:r w:rsidRPr="00E7695F">
        <w:rPr>
          <w:rFonts w:ascii="Arial" w:hAnsi="Arial" w:cs="Arial"/>
          <w:szCs w:val="22"/>
        </w:rPr>
        <w:t>ZPŮSOB A OBECNÁ KRITÉRIA HODNOCENÍ NÁVRHŮ PROJEKTŮ</w:t>
      </w:r>
    </w:p>
    <w:p w14:paraId="077ED4E1" w14:textId="5F9095B7" w:rsidR="00425311" w:rsidRPr="00E7695F" w:rsidRDefault="00425311" w:rsidP="00425311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Návrhy projektů budou TA ČR komplexně hodnoceny v souladu se zákonem o podpoře výzkumu, experimentálního vývoje a inovací.</w:t>
      </w:r>
      <w:r w:rsidR="00A173F4">
        <w:rPr>
          <w:rFonts w:ascii="Arial" w:eastAsia="Arial" w:hAnsi="Arial" w:cs="Arial"/>
          <w:sz w:val="22"/>
          <w:szCs w:val="22"/>
        </w:rPr>
        <w:t xml:space="preserve"> </w:t>
      </w:r>
      <w:r w:rsidR="00A173F4" w:rsidRPr="00E7695F">
        <w:rPr>
          <w:rFonts w:ascii="Arial" w:eastAsia="Arial" w:hAnsi="Arial" w:cs="Arial"/>
          <w:sz w:val="22"/>
          <w:szCs w:val="22"/>
        </w:rPr>
        <w:t>Každý návrh projektu bude hodnocen nejméně dvěma nezávislými oponenty.</w:t>
      </w:r>
      <w:r w:rsidRPr="00E7695F">
        <w:rPr>
          <w:rFonts w:ascii="Arial" w:eastAsia="Arial" w:hAnsi="Arial" w:cs="Arial"/>
          <w:sz w:val="22"/>
          <w:szCs w:val="22"/>
        </w:rPr>
        <w:t xml:space="preserve"> Pro hodnocení návrhů projektů přijatých do veřejné soutěže ustaví TA ČR odborný poradní orgán. </w:t>
      </w:r>
    </w:p>
    <w:p w14:paraId="27B9743C" w14:textId="12863DB6" w:rsidR="00425311" w:rsidRPr="00E7695F" w:rsidRDefault="00425311" w:rsidP="00425311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   </w:t>
      </w:r>
    </w:p>
    <w:p w14:paraId="10ACF9FE" w14:textId="77777777" w:rsidR="00425311" w:rsidRPr="00E7695F" w:rsidRDefault="00425311" w:rsidP="00425311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Navrhovaná obecná kritéria hodnocení:</w:t>
      </w:r>
    </w:p>
    <w:p w14:paraId="56FF30BB" w14:textId="4EA1980E" w:rsidR="00425311" w:rsidRPr="00E7695F" w:rsidRDefault="00425311" w:rsidP="00425311">
      <w:pPr>
        <w:numPr>
          <w:ilvl w:val="0"/>
          <w:numId w:val="1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s</w:t>
      </w:r>
      <w:r w:rsidR="005B0045" w:rsidRPr="00E7695F">
        <w:rPr>
          <w:rFonts w:ascii="Arial" w:eastAsia="Arial" w:hAnsi="Arial" w:cs="Arial"/>
          <w:sz w:val="22"/>
          <w:szCs w:val="22"/>
        </w:rPr>
        <w:t>plnění podmínek veřejné soutěže;</w:t>
      </w:r>
    </w:p>
    <w:p w14:paraId="16FD5D43" w14:textId="14D8B48B" w:rsidR="00425311" w:rsidRPr="00E7695F" w:rsidRDefault="005B0045" w:rsidP="00425311">
      <w:pPr>
        <w:numPr>
          <w:ilvl w:val="0"/>
          <w:numId w:val="1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potřebnost projektu</w:t>
      </w:r>
      <w:r w:rsidR="00A173F4">
        <w:rPr>
          <w:rFonts w:ascii="Arial" w:eastAsia="Arial" w:hAnsi="Arial" w:cs="Arial"/>
          <w:sz w:val="22"/>
          <w:szCs w:val="22"/>
        </w:rPr>
        <w:t xml:space="preserve"> a jeho př</w:t>
      </w:r>
      <w:r w:rsidR="00C80CE5">
        <w:rPr>
          <w:rFonts w:ascii="Arial" w:eastAsia="Arial" w:hAnsi="Arial" w:cs="Arial"/>
          <w:sz w:val="22"/>
          <w:szCs w:val="22"/>
        </w:rPr>
        <w:t>ínos k naplňování cílů programu</w:t>
      </w:r>
      <w:r w:rsidRPr="00E7695F">
        <w:rPr>
          <w:rFonts w:ascii="Arial" w:eastAsia="Arial" w:hAnsi="Arial" w:cs="Arial"/>
          <w:sz w:val="22"/>
          <w:szCs w:val="22"/>
        </w:rPr>
        <w:t>;</w:t>
      </w:r>
    </w:p>
    <w:p w14:paraId="10EF9953" w14:textId="1DE15AEA" w:rsidR="00425311" w:rsidRPr="00E7695F" w:rsidRDefault="00425311" w:rsidP="00425311">
      <w:pPr>
        <w:numPr>
          <w:ilvl w:val="0"/>
          <w:numId w:val="1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očekávaný pří</w:t>
      </w:r>
      <w:r w:rsidR="005B0045" w:rsidRPr="00E7695F">
        <w:rPr>
          <w:rFonts w:ascii="Arial" w:eastAsia="Arial" w:hAnsi="Arial" w:cs="Arial"/>
          <w:sz w:val="22"/>
          <w:szCs w:val="22"/>
        </w:rPr>
        <w:t>nos a kvalita výsledku projektu;</w:t>
      </w:r>
    </w:p>
    <w:p w14:paraId="52D9D1A7" w14:textId="7103F8B8" w:rsidR="00425311" w:rsidRPr="00E7695F" w:rsidRDefault="00C80CE5" w:rsidP="00425311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proveditelnost </w:t>
      </w:r>
      <w:r w:rsidR="00425311" w:rsidRPr="00E7695F">
        <w:rPr>
          <w:rFonts w:ascii="Arial" w:eastAsia="Arial" w:hAnsi="Arial" w:cs="Arial"/>
          <w:sz w:val="22"/>
          <w:szCs w:val="22"/>
        </w:rPr>
        <w:t>a postup realizace projektu.</w:t>
      </w:r>
    </w:p>
    <w:p w14:paraId="094CDEF8" w14:textId="77777777" w:rsidR="00425311" w:rsidRPr="00E7695F" w:rsidRDefault="00425311" w:rsidP="00425311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Podrobný způsob hodnocení návrhů projektu, bodové a prahové hodnoty jednotlivých kritérií hodnocení stanoví zadávací dokumentace k příslušné veřejné soutěži.</w:t>
      </w:r>
    </w:p>
    <w:p w14:paraId="2CBCB0B2" w14:textId="42FA33E7" w:rsidR="00E34422" w:rsidRPr="00E7695F" w:rsidRDefault="00425311" w:rsidP="00B1379F">
      <w:pPr>
        <w:spacing w:before="120" w:after="120"/>
        <w:jc w:val="both"/>
        <w:rPr>
          <w:rFonts w:ascii="Arial" w:eastAsia="Calibri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Pro hodnocení případných duplicit, návazností, komplementarit a synergií mezi různými již realizovanými projekty a návrhy projektů </w:t>
      </w:r>
      <w:r w:rsidR="00A173F4">
        <w:rPr>
          <w:rFonts w:ascii="Arial" w:eastAsia="Arial" w:hAnsi="Arial" w:cs="Arial"/>
          <w:sz w:val="22"/>
          <w:szCs w:val="22"/>
        </w:rPr>
        <w:t>využije poskytovatel</w:t>
      </w:r>
      <w:r w:rsidRPr="00E7695F">
        <w:rPr>
          <w:rFonts w:ascii="Arial" w:eastAsia="Arial" w:hAnsi="Arial" w:cs="Arial"/>
          <w:sz w:val="22"/>
          <w:szCs w:val="22"/>
        </w:rPr>
        <w:t xml:space="preserve"> datové a analytické nástroje.</w:t>
      </w:r>
    </w:p>
    <w:p w14:paraId="5BD19590" w14:textId="020FA1BE" w:rsidR="00FE7F86" w:rsidRPr="00E7695F" w:rsidRDefault="003D47F5" w:rsidP="00F94E70">
      <w:pPr>
        <w:pStyle w:val="Nadpis1"/>
        <w:rPr>
          <w:rFonts w:ascii="Arial" w:hAnsi="Arial" w:cs="Arial"/>
          <w:szCs w:val="22"/>
        </w:rPr>
      </w:pPr>
      <w:r w:rsidRPr="00E7695F">
        <w:rPr>
          <w:rFonts w:ascii="Arial" w:hAnsi="Arial" w:cs="Arial"/>
          <w:szCs w:val="22"/>
        </w:rPr>
        <w:t>PODPROGRAMY</w:t>
      </w:r>
    </w:p>
    <w:p w14:paraId="7144719D" w14:textId="63C527A6" w:rsidR="00D574D4" w:rsidRPr="00E7695F" w:rsidRDefault="003D47F5" w:rsidP="00855D2B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Pro účely dosažení cíle je program členěn na tři podprogramy podle zaměření a rozsahu s tím, že se vzájemně podporují a doplňují.</w:t>
      </w:r>
      <w:r w:rsidR="005B0045" w:rsidRPr="00E7695F">
        <w:rPr>
          <w:rFonts w:ascii="Arial" w:eastAsia="Arial" w:hAnsi="Arial" w:cs="Arial"/>
          <w:sz w:val="22"/>
          <w:szCs w:val="22"/>
        </w:rPr>
        <w:t xml:space="preserve"> Bližší specifikaci zaměření jednotlivých podprogramů stanoví zadávací dokumentace k příslušné veřejné soutěži.</w:t>
      </w:r>
    </w:p>
    <w:p w14:paraId="5ACDB0AF" w14:textId="572994F5" w:rsidR="00D574D4" w:rsidRPr="00E7695F" w:rsidRDefault="003D47F5" w:rsidP="004443AD">
      <w:pPr>
        <w:pStyle w:val="Nadpis2"/>
      </w:pPr>
      <w:r w:rsidRPr="00E7695F">
        <w:t>Podprogram 1 – Výzkum ve veřejném zájmu</w:t>
      </w:r>
    </w:p>
    <w:p w14:paraId="70DFA9A5" w14:textId="503B0887" w:rsidR="003D7145" w:rsidRPr="00E7695F" w:rsidRDefault="003D7145" w:rsidP="002A2CA1">
      <w:pPr>
        <w:keepNext/>
        <w:spacing w:before="240" w:after="120"/>
        <w:jc w:val="both"/>
        <w:rPr>
          <w:rFonts w:ascii="Arial" w:eastAsia="Arial" w:hAnsi="Arial" w:cs="Arial"/>
          <w:b/>
          <w:sz w:val="22"/>
          <w:szCs w:val="22"/>
        </w:rPr>
      </w:pPr>
      <w:r w:rsidRPr="00E7695F">
        <w:rPr>
          <w:rFonts w:ascii="Arial" w:eastAsia="Arial" w:hAnsi="Arial" w:cs="Arial"/>
          <w:b/>
          <w:sz w:val="22"/>
          <w:szCs w:val="22"/>
        </w:rPr>
        <w:t>Cíl a zaměření podprogramu</w:t>
      </w:r>
      <w:r w:rsidR="003D59F0" w:rsidRPr="00E7695F">
        <w:rPr>
          <w:rFonts w:ascii="Arial" w:eastAsia="Arial" w:hAnsi="Arial" w:cs="Arial"/>
          <w:b/>
          <w:sz w:val="22"/>
          <w:szCs w:val="22"/>
        </w:rPr>
        <w:t xml:space="preserve"> 1</w:t>
      </w:r>
    </w:p>
    <w:p w14:paraId="4F7C06B7" w14:textId="7E7D591D" w:rsidR="003D7145" w:rsidRPr="00E7695F" w:rsidRDefault="003D7145" w:rsidP="00B1207A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Cílem podprogramu je </w:t>
      </w:r>
      <w:r w:rsidR="002D12E3">
        <w:rPr>
          <w:rFonts w:ascii="Arial" w:eastAsia="Arial" w:hAnsi="Arial" w:cs="Arial"/>
          <w:sz w:val="22"/>
          <w:szCs w:val="22"/>
        </w:rPr>
        <w:t xml:space="preserve">zkvalitnění řízení </w:t>
      </w:r>
      <w:r w:rsidR="00114B89" w:rsidRPr="00E7695F">
        <w:rPr>
          <w:rFonts w:ascii="Arial" w:eastAsia="Arial" w:hAnsi="Arial" w:cs="Arial"/>
          <w:sz w:val="22"/>
          <w:szCs w:val="22"/>
        </w:rPr>
        <w:t>v odvětví energetiky</w:t>
      </w:r>
      <w:r w:rsidR="00114B89">
        <w:rPr>
          <w:rFonts w:ascii="Arial" w:eastAsia="Arial" w:hAnsi="Arial" w:cs="Arial"/>
          <w:sz w:val="22"/>
          <w:szCs w:val="22"/>
        </w:rPr>
        <w:t xml:space="preserve"> ze strany veřejné správy </w:t>
      </w:r>
      <w:r w:rsidR="002D12E3">
        <w:rPr>
          <w:rFonts w:ascii="Arial" w:eastAsia="Arial" w:hAnsi="Arial" w:cs="Arial"/>
          <w:sz w:val="22"/>
          <w:szCs w:val="22"/>
        </w:rPr>
        <w:t>a</w:t>
      </w:r>
      <w:r w:rsidR="00297F27">
        <w:rPr>
          <w:rFonts w:ascii="Arial" w:eastAsia="Arial" w:hAnsi="Arial" w:cs="Arial"/>
          <w:sz w:val="22"/>
          <w:szCs w:val="22"/>
        </w:rPr>
        <w:t> </w:t>
      </w:r>
      <w:r w:rsidR="002D12E3">
        <w:rPr>
          <w:rFonts w:ascii="Arial" w:eastAsia="Arial" w:hAnsi="Arial" w:cs="Arial"/>
          <w:sz w:val="22"/>
          <w:szCs w:val="22"/>
        </w:rPr>
        <w:t xml:space="preserve">tvorby </w:t>
      </w:r>
      <w:r w:rsidR="002D12E3" w:rsidRPr="00E7695F">
        <w:rPr>
          <w:rFonts w:ascii="Arial" w:eastAsia="Arial" w:hAnsi="Arial" w:cs="Arial"/>
          <w:sz w:val="22"/>
          <w:szCs w:val="22"/>
        </w:rPr>
        <w:t>strategických a koncepčních dokumentů</w:t>
      </w:r>
      <w:r w:rsidR="002D12E3">
        <w:rPr>
          <w:rFonts w:ascii="Arial" w:eastAsia="Arial" w:hAnsi="Arial" w:cs="Arial"/>
          <w:sz w:val="22"/>
          <w:szCs w:val="22"/>
        </w:rPr>
        <w:t>, a to prostřednictvím</w:t>
      </w:r>
      <w:r w:rsidR="002D12E3" w:rsidRPr="00E7695F">
        <w:rPr>
          <w:rFonts w:ascii="Arial" w:eastAsia="Arial" w:hAnsi="Arial" w:cs="Arial"/>
          <w:sz w:val="22"/>
          <w:szCs w:val="22"/>
        </w:rPr>
        <w:t xml:space="preserve"> </w:t>
      </w:r>
      <w:r w:rsidRPr="00E7695F">
        <w:rPr>
          <w:rFonts w:ascii="Arial" w:eastAsia="Arial" w:hAnsi="Arial" w:cs="Arial"/>
          <w:sz w:val="22"/>
          <w:szCs w:val="22"/>
        </w:rPr>
        <w:t>podpor</w:t>
      </w:r>
      <w:r w:rsidR="002D12E3">
        <w:rPr>
          <w:rFonts w:ascii="Arial" w:eastAsia="Arial" w:hAnsi="Arial" w:cs="Arial"/>
          <w:sz w:val="22"/>
          <w:szCs w:val="22"/>
        </w:rPr>
        <w:t>y</w:t>
      </w:r>
      <w:r w:rsidRPr="00E7695F">
        <w:rPr>
          <w:rFonts w:ascii="Arial" w:eastAsia="Arial" w:hAnsi="Arial" w:cs="Arial"/>
          <w:sz w:val="22"/>
          <w:szCs w:val="22"/>
        </w:rPr>
        <w:t xml:space="preserve"> výzkumu</w:t>
      </w:r>
      <w:r w:rsidR="00297F27">
        <w:rPr>
          <w:rFonts w:ascii="Arial" w:eastAsia="Arial" w:hAnsi="Arial" w:cs="Arial"/>
          <w:sz w:val="22"/>
          <w:szCs w:val="22"/>
        </w:rPr>
        <w:t xml:space="preserve"> a </w:t>
      </w:r>
      <w:r w:rsidRPr="00E7695F">
        <w:rPr>
          <w:rFonts w:ascii="Arial" w:eastAsia="Arial" w:hAnsi="Arial" w:cs="Arial"/>
          <w:sz w:val="22"/>
          <w:szCs w:val="22"/>
        </w:rPr>
        <w:t xml:space="preserve">vývoje v oblasti energetiky se zaměřením na podporu projektů </w:t>
      </w:r>
      <w:r w:rsidR="00EE7F69">
        <w:rPr>
          <w:rFonts w:ascii="Arial" w:eastAsia="Arial" w:hAnsi="Arial" w:cs="Arial"/>
          <w:sz w:val="22"/>
          <w:szCs w:val="22"/>
        </w:rPr>
        <w:t xml:space="preserve">výzkumu a vývoje </w:t>
      </w:r>
      <w:r w:rsidRPr="00E7695F">
        <w:rPr>
          <w:rFonts w:ascii="Arial" w:eastAsia="Arial" w:hAnsi="Arial" w:cs="Arial"/>
          <w:sz w:val="22"/>
          <w:szCs w:val="22"/>
        </w:rPr>
        <w:t>ve veřejném zájmu. V tomto ohledu se jedná zejména o podporu výzkumu</w:t>
      </w:r>
      <w:r w:rsidR="00C27780" w:rsidRPr="00E7695F">
        <w:rPr>
          <w:rFonts w:ascii="Arial" w:eastAsia="Arial" w:hAnsi="Arial" w:cs="Arial"/>
          <w:sz w:val="22"/>
          <w:szCs w:val="22"/>
        </w:rPr>
        <w:t xml:space="preserve"> a </w:t>
      </w:r>
      <w:r w:rsidRPr="00E7695F">
        <w:rPr>
          <w:rFonts w:ascii="Arial" w:eastAsia="Arial" w:hAnsi="Arial" w:cs="Arial"/>
          <w:sz w:val="22"/>
          <w:szCs w:val="22"/>
        </w:rPr>
        <w:t xml:space="preserve">vývoje v oblasti jaderné bezpečnosti a radiační ochrany, energetické regulace a v dalších </w:t>
      </w:r>
      <w:r w:rsidR="002D12E3">
        <w:rPr>
          <w:rFonts w:ascii="Arial" w:eastAsia="Arial" w:hAnsi="Arial" w:cs="Arial"/>
          <w:sz w:val="22"/>
          <w:szCs w:val="22"/>
        </w:rPr>
        <w:t xml:space="preserve">relevantních </w:t>
      </w:r>
      <w:r w:rsidRPr="00E7695F">
        <w:rPr>
          <w:rFonts w:ascii="Arial" w:eastAsia="Arial" w:hAnsi="Arial" w:cs="Arial"/>
          <w:sz w:val="22"/>
          <w:szCs w:val="22"/>
        </w:rPr>
        <w:t>oblastech</w:t>
      </w:r>
      <w:r w:rsidR="002D12E3">
        <w:rPr>
          <w:rFonts w:ascii="Arial" w:eastAsia="Arial" w:hAnsi="Arial" w:cs="Arial"/>
          <w:sz w:val="22"/>
          <w:szCs w:val="22"/>
        </w:rPr>
        <w:t xml:space="preserve"> odvětví energetiky.</w:t>
      </w:r>
    </w:p>
    <w:p w14:paraId="641A8A59" w14:textId="232B4839" w:rsidR="003D7145" w:rsidRPr="00E7695F" w:rsidRDefault="003D7145" w:rsidP="00B1207A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Dílčím cílem podprogramu je podpora výzkumu</w:t>
      </w:r>
      <w:r w:rsidR="00C27780" w:rsidRPr="00E7695F">
        <w:rPr>
          <w:rFonts w:ascii="Arial" w:eastAsia="Arial" w:hAnsi="Arial" w:cs="Arial"/>
          <w:sz w:val="22"/>
          <w:szCs w:val="22"/>
        </w:rPr>
        <w:t xml:space="preserve"> a </w:t>
      </w:r>
      <w:r w:rsidRPr="00E7695F">
        <w:rPr>
          <w:rFonts w:ascii="Arial" w:eastAsia="Arial" w:hAnsi="Arial" w:cs="Arial"/>
          <w:sz w:val="22"/>
          <w:szCs w:val="22"/>
        </w:rPr>
        <w:t>vývoje v oblasti jaderné bezpečnosti a systémových prvků, která povede ve střednědobém a dlouhodobém horizontu k naplňování potřeb jak dozoru nad jadernou bezpečností, tak po</w:t>
      </w:r>
      <w:r w:rsidR="00297F27">
        <w:rPr>
          <w:rFonts w:ascii="Arial" w:eastAsia="Arial" w:hAnsi="Arial" w:cs="Arial"/>
          <w:sz w:val="22"/>
          <w:szCs w:val="22"/>
        </w:rPr>
        <w:t>třeb dlouhodobé udržitelnosti a </w:t>
      </w:r>
      <w:r w:rsidRPr="00E7695F">
        <w:rPr>
          <w:rFonts w:ascii="Arial" w:eastAsia="Arial" w:hAnsi="Arial" w:cs="Arial"/>
          <w:sz w:val="22"/>
          <w:szCs w:val="22"/>
        </w:rPr>
        <w:t xml:space="preserve">bezpečnosti infrastruktury v této oblasti. </w:t>
      </w:r>
    </w:p>
    <w:p w14:paraId="693A5970" w14:textId="7ECD3C1A" w:rsidR="003D7145" w:rsidRPr="00E7695F" w:rsidRDefault="003D7145" w:rsidP="00B1207A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Dalším cílem podprogramu je podpora výzkumu celospolečenských dopadů v oblasti regulace a cenotvorby v energetice. Za další tematický celek je možné označit proces liberalizace a</w:t>
      </w:r>
      <w:r w:rsidR="00BA4439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decentralizace se zaměřením na reformu evropského velkoobchodního trhu s</w:t>
      </w:r>
      <w:r w:rsidR="00297F27">
        <w:rPr>
          <w:rFonts w:ascii="Arial" w:eastAsia="Arial" w:hAnsi="Arial" w:cs="Arial"/>
          <w:sz w:val="22"/>
          <w:szCs w:val="22"/>
        </w:rPr>
        <w:t> </w:t>
      </w:r>
      <w:r w:rsidR="0019623F" w:rsidRPr="00E7695F">
        <w:rPr>
          <w:rFonts w:ascii="Arial" w:eastAsia="Arial" w:hAnsi="Arial" w:cs="Arial"/>
          <w:sz w:val="22"/>
          <w:szCs w:val="22"/>
        </w:rPr>
        <w:t xml:space="preserve">energií </w:t>
      </w:r>
      <w:r w:rsidRPr="00E7695F">
        <w:rPr>
          <w:rFonts w:ascii="Arial" w:eastAsia="Arial" w:hAnsi="Arial" w:cs="Arial"/>
          <w:sz w:val="22"/>
          <w:szCs w:val="22"/>
        </w:rPr>
        <w:t>a její dopad na ČR, liberalizaci a integraci národních trhů a dopad na českého spotřebitele, oblast velkoobchodního a maloobchodního trhu a témata souv</w:t>
      </w:r>
      <w:r w:rsidR="00297F27">
        <w:rPr>
          <w:rFonts w:ascii="Arial" w:eastAsia="Arial" w:hAnsi="Arial" w:cs="Arial"/>
          <w:sz w:val="22"/>
          <w:szCs w:val="22"/>
        </w:rPr>
        <w:t>isející se </w:t>
      </w:r>
      <w:r w:rsidRPr="00E7695F">
        <w:rPr>
          <w:rFonts w:ascii="Arial" w:eastAsia="Arial" w:hAnsi="Arial" w:cs="Arial"/>
          <w:sz w:val="22"/>
          <w:szCs w:val="22"/>
        </w:rPr>
        <w:t xml:space="preserve">zajištěním flexibility </w:t>
      </w:r>
      <w:r w:rsidR="0019623F" w:rsidRPr="00E7695F">
        <w:rPr>
          <w:rFonts w:ascii="Arial" w:eastAsia="Arial" w:hAnsi="Arial" w:cs="Arial"/>
          <w:sz w:val="22"/>
          <w:szCs w:val="22"/>
        </w:rPr>
        <w:t xml:space="preserve">energetických </w:t>
      </w:r>
      <w:r w:rsidRPr="00E7695F">
        <w:rPr>
          <w:rFonts w:ascii="Arial" w:eastAsia="Arial" w:hAnsi="Arial" w:cs="Arial"/>
          <w:sz w:val="22"/>
          <w:szCs w:val="22"/>
        </w:rPr>
        <w:t xml:space="preserve">soustav v podmínkách ČR. V širším kontextu </w:t>
      </w:r>
      <w:r w:rsidRPr="00E7695F">
        <w:rPr>
          <w:rFonts w:ascii="Arial" w:eastAsia="Arial" w:hAnsi="Arial" w:cs="Arial"/>
          <w:sz w:val="22"/>
          <w:szCs w:val="22"/>
        </w:rPr>
        <w:lastRenderedPageBreak/>
        <w:t>podprogramu by měla být také řešena témata spojená s problematikou zranitelného zákazníka, energetické chudoby a energetické gramotnosti.</w:t>
      </w:r>
    </w:p>
    <w:p w14:paraId="7E86071C" w14:textId="77777777" w:rsidR="003D7145" w:rsidRPr="00E7695F" w:rsidRDefault="003D7145" w:rsidP="00B1207A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Podprogram by měl být dále zaměřen na podporu výzkumu v oblasti systémových témat, která by měla přispívat k integrovanému pohledu na sektor energetiky. V neposlední řadě by měl podprogram přispívat ke zkvalitnění řízení v odvětví energetiky a dále tvorby a případně také implementace strategických a koncepčních dokumentů v tomto odvětví.</w:t>
      </w:r>
    </w:p>
    <w:p w14:paraId="76CBACD0" w14:textId="727ABBB4" w:rsidR="00F30870" w:rsidRPr="00E7695F" w:rsidRDefault="003D47F5" w:rsidP="002A2CA1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b/>
          <w:sz w:val="22"/>
          <w:szCs w:val="22"/>
        </w:rPr>
        <w:t>Rozpočet podprogramu</w:t>
      </w:r>
      <w:r w:rsidR="003D59F0" w:rsidRPr="00E7695F">
        <w:rPr>
          <w:rFonts w:ascii="Arial" w:eastAsia="Arial" w:hAnsi="Arial" w:cs="Arial"/>
          <w:b/>
          <w:sz w:val="22"/>
          <w:szCs w:val="22"/>
        </w:rPr>
        <w:t xml:space="preserve"> 1</w:t>
      </w:r>
    </w:p>
    <w:p w14:paraId="7EB19A46" w14:textId="441F3833" w:rsidR="00F30870" w:rsidRPr="00E7695F" w:rsidRDefault="007363FE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Předpokládaná</w:t>
      </w:r>
      <w:r w:rsidR="00C27780" w:rsidRPr="00E7695F">
        <w:rPr>
          <w:rFonts w:ascii="Arial" w:eastAsia="Arial" w:hAnsi="Arial" w:cs="Arial"/>
          <w:sz w:val="22"/>
          <w:szCs w:val="22"/>
        </w:rPr>
        <w:t xml:space="preserve"> průměrná míra podpory celkově za </w:t>
      </w:r>
      <w:r w:rsidR="00C80CE5">
        <w:rPr>
          <w:rFonts w:ascii="Arial" w:eastAsia="Arial" w:hAnsi="Arial" w:cs="Arial"/>
          <w:sz w:val="22"/>
          <w:szCs w:val="22"/>
        </w:rPr>
        <w:t>pod</w:t>
      </w:r>
      <w:r w:rsidR="00C27780" w:rsidRPr="00E7695F">
        <w:rPr>
          <w:rFonts w:ascii="Arial" w:eastAsia="Arial" w:hAnsi="Arial" w:cs="Arial"/>
          <w:sz w:val="22"/>
          <w:szCs w:val="22"/>
        </w:rPr>
        <w:t xml:space="preserve">program je 95 %. Nejvyšší povolená </w:t>
      </w:r>
      <w:r w:rsidR="003D47F5" w:rsidRPr="00E7695F">
        <w:rPr>
          <w:rFonts w:ascii="Arial" w:eastAsia="Arial" w:hAnsi="Arial" w:cs="Arial"/>
          <w:sz w:val="22"/>
          <w:szCs w:val="22"/>
        </w:rPr>
        <w:t xml:space="preserve">míra podpory u </w:t>
      </w:r>
      <w:r w:rsidR="00C27780" w:rsidRPr="00E7695F">
        <w:rPr>
          <w:rFonts w:ascii="Arial" w:eastAsia="Arial" w:hAnsi="Arial" w:cs="Arial"/>
          <w:sz w:val="22"/>
          <w:szCs w:val="22"/>
        </w:rPr>
        <w:t xml:space="preserve">podprogramu 1 je </w:t>
      </w:r>
      <w:r w:rsidR="003D47F5" w:rsidRPr="00E7695F">
        <w:rPr>
          <w:rFonts w:ascii="Arial" w:eastAsia="Arial" w:hAnsi="Arial" w:cs="Arial"/>
          <w:sz w:val="22"/>
          <w:szCs w:val="22"/>
        </w:rPr>
        <w:t>100 %</w:t>
      </w:r>
      <w:r w:rsidR="000F7842" w:rsidRPr="00E7695F">
        <w:rPr>
          <w:rFonts w:ascii="Arial" w:eastAsia="Arial" w:hAnsi="Arial" w:cs="Arial"/>
          <w:sz w:val="22"/>
          <w:szCs w:val="22"/>
        </w:rPr>
        <w:t xml:space="preserve"> z celkových způsobilých nákladů projektu.</w:t>
      </w:r>
    </w:p>
    <w:p w14:paraId="7E78733A" w14:textId="5FD7142B" w:rsidR="00F30870" w:rsidRPr="00E7695F" w:rsidRDefault="0037312D" w:rsidP="004443AD">
      <w:pPr>
        <w:keepLines/>
        <w:spacing w:before="240" w:after="120"/>
        <w:jc w:val="both"/>
        <w:rPr>
          <w:rFonts w:ascii="Arial" w:eastAsia="Arial" w:hAnsi="Arial" w:cs="Arial"/>
          <w:b/>
          <w:sz w:val="22"/>
          <w:szCs w:val="22"/>
        </w:rPr>
      </w:pPr>
      <w:r w:rsidRPr="00E7695F">
        <w:rPr>
          <w:rFonts w:ascii="Arial" w:eastAsia="Arial" w:hAnsi="Arial" w:cs="Arial"/>
          <w:b/>
          <w:sz w:val="22"/>
          <w:szCs w:val="22"/>
        </w:rPr>
        <w:t>Tabulka č. 17</w:t>
      </w:r>
      <w:r w:rsidR="003D7145" w:rsidRPr="00E7695F">
        <w:rPr>
          <w:rFonts w:ascii="Arial" w:eastAsia="Arial" w:hAnsi="Arial" w:cs="Arial"/>
          <w:b/>
          <w:sz w:val="22"/>
          <w:szCs w:val="22"/>
        </w:rPr>
        <w:t>.1</w:t>
      </w:r>
      <w:r w:rsidR="003D47F5" w:rsidRPr="00E7695F">
        <w:rPr>
          <w:rFonts w:ascii="Arial" w:eastAsia="Arial" w:hAnsi="Arial" w:cs="Arial"/>
          <w:b/>
          <w:sz w:val="22"/>
          <w:szCs w:val="22"/>
        </w:rPr>
        <w:t xml:space="preserve">: Rozpočet </w:t>
      </w:r>
      <w:r w:rsidR="00C27780" w:rsidRPr="00E7695F">
        <w:rPr>
          <w:rFonts w:ascii="Arial" w:eastAsia="Arial" w:hAnsi="Arial" w:cs="Arial"/>
          <w:b/>
          <w:sz w:val="22"/>
          <w:szCs w:val="22"/>
        </w:rPr>
        <w:t xml:space="preserve">podprogramu 1 </w:t>
      </w:r>
      <w:r w:rsidR="003D47F5" w:rsidRPr="00E7695F">
        <w:rPr>
          <w:rFonts w:ascii="Arial" w:eastAsia="Arial" w:hAnsi="Arial" w:cs="Arial"/>
          <w:b/>
          <w:sz w:val="22"/>
          <w:szCs w:val="22"/>
        </w:rPr>
        <w:t>[</w:t>
      </w:r>
      <w:r w:rsidR="00BA4439" w:rsidRPr="00E7695F">
        <w:rPr>
          <w:rFonts w:ascii="Arial" w:eastAsia="Arial" w:hAnsi="Arial" w:cs="Arial"/>
          <w:b/>
          <w:sz w:val="22"/>
          <w:szCs w:val="22"/>
        </w:rPr>
        <w:t xml:space="preserve">zaokrouhleno na </w:t>
      </w:r>
      <w:r w:rsidR="003D47F5" w:rsidRPr="00E7695F">
        <w:rPr>
          <w:rFonts w:ascii="Arial" w:eastAsia="Arial" w:hAnsi="Arial" w:cs="Arial"/>
          <w:b/>
          <w:sz w:val="22"/>
          <w:szCs w:val="22"/>
        </w:rPr>
        <w:t>mil. Kč]</w:t>
      </w:r>
    </w:p>
    <w:tbl>
      <w:tblPr>
        <w:tblStyle w:val="a0"/>
        <w:tblW w:w="9142" w:type="dxa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0"/>
        <w:gridCol w:w="745"/>
        <w:gridCol w:w="745"/>
        <w:gridCol w:w="745"/>
        <w:gridCol w:w="745"/>
        <w:gridCol w:w="745"/>
        <w:gridCol w:w="745"/>
        <w:gridCol w:w="745"/>
        <w:gridCol w:w="745"/>
        <w:gridCol w:w="1432"/>
      </w:tblGrid>
      <w:tr w:rsidR="00B1379F" w:rsidRPr="00B1379F" w14:paraId="76D4408C" w14:textId="77777777" w:rsidTr="002520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96563" w14:textId="77777777" w:rsidR="00F30870" w:rsidRPr="00B1379F" w:rsidRDefault="003D47F5" w:rsidP="00B1207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eastAsia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87C5" w14:textId="77777777" w:rsidR="00F30870" w:rsidRPr="00B1379F" w:rsidRDefault="003D47F5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eastAsia="Arial" w:hAnsi="Arial" w:cs="Arial"/>
                <w:b/>
                <w:sz w:val="20"/>
                <w:szCs w:val="20"/>
              </w:rPr>
              <w:t>2018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C4D56" w14:textId="77777777" w:rsidR="00F30870" w:rsidRPr="00B1379F" w:rsidRDefault="003D47F5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eastAsia="Arial" w:hAnsi="Arial" w:cs="Arial"/>
                <w:b/>
                <w:sz w:val="20"/>
                <w:szCs w:val="20"/>
              </w:rPr>
              <w:t>2019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F9BA1" w14:textId="77777777" w:rsidR="00F30870" w:rsidRPr="00B1379F" w:rsidRDefault="003D47F5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eastAsia="Arial" w:hAnsi="Arial" w:cs="Arial"/>
                <w:b/>
                <w:sz w:val="20"/>
                <w:szCs w:val="20"/>
              </w:rPr>
              <w:t>2020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62F3" w14:textId="77777777" w:rsidR="00F30870" w:rsidRPr="00B1379F" w:rsidRDefault="003D47F5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eastAsia="Arial" w:hAnsi="Arial" w:cs="Arial"/>
                <w:b/>
                <w:sz w:val="20"/>
                <w:szCs w:val="20"/>
              </w:rPr>
              <w:t>2021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B0108" w14:textId="77777777" w:rsidR="00F30870" w:rsidRPr="00B1379F" w:rsidRDefault="003D47F5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eastAsia="Arial" w:hAnsi="Arial" w:cs="Arial"/>
                <w:b/>
                <w:sz w:val="20"/>
                <w:szCs w:val="20"/>
              </w:rPr>
              <w:t>2022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7A62" w14:textId="77777777" w:rsidR="00F30870" w:rsidRPr="00B1379F" w:rsidRDefault="003D47F5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eastAsia="Arial" w:hAnsi="Arial" w:cs="Arial"/>
                <w:b/>
                <w:sz w:val="20"/>
                <w:szCs w:val="20"/>
              </w:rPr>
              <w:t>2023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B95A" w14:textId="77777777" w:rsidR="00F30870" w:rsidRPr="00B1379F" w:rsidRDefault="003D47F5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eastAsia="Arial" w:hAnsi="Arial" w:cs="Arial"/>
                <w:b/>
                <w:sz w:val="20"/>
                <w:szCs w:val="20"/>
              </w:rPr>
              <w:t>2024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56A92" w14:textId="77777777" w:rsidR="00F30870" w:rsidRPr="00B1379F" w:rsidRDefault="003D47F5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eastAsia="Arial" w:hAnsi="Arial" w:cs="Arial"/>
                <w:b/>
                <w:sz w:val="20"/>
                <w:szCs w:val="20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61159" w14:textId="77777777" w:rsidR="00F30870" w:rsidRPr="00B1379F" w:rsidRDefault="003D47F5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eastAsia="Arial" w:hAnsi="Arial" w:cs="Arial"/>
                <w:b/>
                <w:sz w:val="20"/>
                <w:szCs w:val="20"/>
              </w:rPr>
              <w:t>Celkem</w:t>
            </w:r>
          </w:p>
        </w:tc>
      </w:tr>
      <w:tr w:rsidR="00B1379F" w:rsidRPr="00B1379F" w14:paraId="53DE8156" w14:textId="77777777" w:rsidTr="002520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240F" w14:textId="77777777" w:rsidR="00FE31DB" w:rsidRPr="00B1379F" w:rsidRDefault="00FE31DB" w:rsidP="00B1207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eastAsia="Arial" w:hAnsi="Arial" w:cs="Arial"/>
                <w:sz w:val="20"/>
                <w:szCs w:val="20"/>
              </w:rPr>
              <w:t>Celkové výdaje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D2E30" w14:textId="38A0593C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1C002" w14:textId="7A8C3241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FB4AB" w14:textId="6F70D12F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2B07B" w14:textId="5615F5BA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9320B" w14:textId="2380D1F0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19993" w14:textId="2002B736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D847A" w14:textId="233B4FFC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0219F" w14:textId="35784752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6C0C8" w14:textId="6AD89E1D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632</w:t>
            </w:r>
          </w:p>
        </w:tc>
      </w:tr>
      <w:tr w:rsidR="00B1379F" w:rsidRPr="00B1379F" w14:paraId="1E7B5EED" w14:textId="77777777" w:rsidTr="002520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4A16D" w14:textId="77777777" w:rsidR="00FE31DB" w:rsidRPr="00B1379F" w:rsidRDefault="00FE31DB" w:rsidP="00B1207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eastAsia="Arial" w:hAnsi="Arial" w:cs="Arial"/>
                <w:sz w:val="20"/>
                <w:szCs w:val="20"/>
              </w:rPr>
              <w:t>Výdaje státního rozpočtu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19CA1" w14:textId="1C6A8093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291A6" w14:textId="3CD356D4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A59E2" w14:textId="12B6CB2D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6FF02" w14:textId="099D2DC1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1A346" w14:textId="6DF105A0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1B36F" w14:textId="5271B406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D7E97" w14:textId="6F142F68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E5BD2" w14:textId="746B91D4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54F98" w14:textId="3BAEA219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B1379F" w:rsidRPr="00B1379F" w14:paraId="0FF1411F" w14:textId="77777777" w:rsidTr="002520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5625E" w14:textId="77777777" w:rsidR="00FE31DB" w:rsidRPr="00B1379F" w:rsidRDefault="00FE31DB" w:rsidP="00B1207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eastAsia="Arial" w:hAnsi="Arial" w:cs="Arial"/>
                <w:sz w:val="20"/>
                <w:szCs w:val="20"/>
              </w:rPr>
              <w:t>Neveřejné zdroje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B99CC" w14:textId="5DC66554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80572" w14:textId="1F2A3656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5B430" w14:textId="31734D85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E841B" w14:textId="2F71BDB6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EE483" w14:textId="3987B327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15439" w14:textId="25F0B650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8F85C" w14:textId="1E8ED80E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C993F" w14:textId="69036561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FC5B9" w14:textId="42341E93" w:rsidR="00FE31DB" w:rsidRPr="00B1379F" w:rsidRDefault="00FE31DB" w:rsidP="00B137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79F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</w:tbl>
    <w:p w14:paraId="355BFFDB" w14:textId="4AC35792" w:rsidR="00F30870" w:rsidRPr="00E7695F" w:rsidRDefault="003D47F5" w:rsidP="004443AD">
      <w:pPr>
        <w:pStyle w:val="Nadpis2"/>
      </w:pPr>
      <w:r w:rsidRPr="00E7695F">
        <w:t>Podprogram 2 – Strategické energetické technologie</w:t>
      </w:r>
    </w:p>
    <w:p w14:paraId="257333E0" w14:textId="6AB138AB" w:rsidR="00F30870" w:rsidRPr="00E7695F" w:rsidRDefault="003D47F5" w:rsidP="002A2CA1">
      <w:pPr>
        <w:keepNext/>
        <w:keepLines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b/>
          <w:sz w:val="22"/>
          <w:szCs w:val="22"/>
        </w:rPr>
        <w:t>Cíl</w:t>
      </w:r>
      <w:r w:rsidR="004E7D26" w:rsidRPr="00E7695F">
        <w:rPr>
          <w:rFonts w:ascii="Arial" w:eastAsia="Arial" w:hAnsi="Arial" w:cs="Arial"/>
          <w:b/>
          <w:sz w:val="22"/>
          <w:szCs w:val="22"/>
        </w:rPr>
        <w:t xml:space="preserve"> a zaměření</w:t>
      </w:r>
      <w:r w:rsidRPr="00E7695F">
        <w:rPr>
          <w:rFonts w:ascii="Arial" w:eastAsia="Arial" w:hAnsi="Arial" w:cs="Arial"/>
          <w:b/>
          <w:sz w:val="22"/>
          <w:szCs w:val="22"/>
        </w:rPr>
        <w:t xml:space="preserve"> podprogramu</w:t>
      </w:r>
      <w:r w:rsidR="003D59F0" w:rsidRPr="00E7695F">
        <w:rPr>
          <w:rFonts w:ascii="Arial" w:eastAsia="Arial" w:hAnsi="Arial" w:cs="Arial"/>
          <w:b/>
          <w:sz w:val="22"/>
          <w:szCs w:val="22"/>
        </w:rPr>
        <w:t xml:space="preserve"> 2</w:t>
      </w:r>
    </w:p>
    <w:p w14:paraId="4F99DE82" w14:textId="05362152" w:rsidR="00BD24B2" w:rsidRPr="00E7695F" w:rsidRDefault="004E7D26" w:rsidP="00E34422">
      <w:pPr>
        <w:keepNext/>
        <w:keepLines/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Cílem podprogramu je </w:t>
      </w:r>
      <w:r w:rsidR="002F5640">
        <w:rPr>
          <w:rFonts w:ascii="Arial" w:eastAsia="Arial" w:hAnsi="Arial" w:cs="Arial"/>
          <w:sz w:val="22"/>
          <w:szCs w:val="22"/>
        </w:rPr>
        <w:t xml:space="preserve">přispět </w:t>
      </w:r>
      <w:r w:rsidR="002F5640" w:rsidRPr="00E7695F">
        <w:rPr>
          <w:rFonts w:ascii="Arial" w:eastAsia="Arial" w:hAnsi="Arial" w:cs="Arial"/>
          <w:sz w:val="22"/>
          <w:szCs w:val="22"/>
        </w:rPr>
        <w:t>ve střednědobém a dlouhodobém horizontu k naplnění vize transformace a modernizace energetického sektoru v souladu se schválenými strategickými materiály</w:t>
      </w:r>
      <w:r w:rsidR="002F5640">
        <w:rPr>
          <w:rFonts w:ascii="Arial" w:eastAsia="Arial" w:hAnsi="Arial" w:cs="Arial"/>
          <w:sz w:val="22"/>
          <w:szCs w:val="22"/>
        </w:rPr>
        <w:t>, a to prostřednictvím</w:t>
      </w:r>
      <w:r w:rsidR="002F5640" w:rsidRPr="00E7695F">
        <w:rPr>
          <w:rFonts w:ascii="Arial" w:eastAsia="Arial" w:hAnsi="Arial" w:cs="Arial"/>
          <w:sz w:val="22"/>
          <w:szCs w:val="22"/>
        </w:rPr>
        <w:t xml:space="preserve"> </w:t>
      </w:r>
      <w:r w:rsidRPr="00E7695F">
        <w:rPr>
          <w:rFonts w:ascii="Arial" w:eastAsia="Arial" w:hAnsi="Arial" w:cs="Arial"/>
          <w:sz w:val="22"/>
          <w:szCs w:val="22"/>
        </w:rPr>
        <w:t>podpor</w:t>
      </w:r>
      <w:r w:rsidR="002F5640">
        <w:rPr>
          <w:rFonts w:ascii="Arial" w:eastAsia="Arial" w:hAnsi="Arial" w:cs="Arial"/>
          <w:sz w:val="22"/>
          <w:szCs w:val="22"/>
        </w:rPr>
        <w:t>y</w:t>
      </w:r>
      <w:r w:rsidRPr="00E7695F">
        <w:rPr>
          <w:rFonts w:ascii="Arial" w:eastAsia="Arial" w:hAnsi="Arial" w:cs="Arial"/>
          <w:sz w:val="22"/>
          <w:szCs w:val="22"/>
        </w:rPr>
        <w:t xml:space="preserve"> výzkumu, vývoje a inovací v oblasti energetických technologií a systémových prvků</w:t>
      </w:r>
      <w:r w:rsidR="002F5640">
        <w:rPr>
          <w:rFonts w:ascii="Arial" w:eastAsia="Arial" w:hAnsi="Arial" w:cs="Arial"/>
          <w:sz w:val="22"/>
          <w:szCs w:val="22"/>
        </w:rPr>
        <w:t xml:space="preserve"> s </w:t>
      </w:r>
      <w:r w:rsidR="002F5640" w:rsidRPr="002F5640">
        <w:rPr>
          <w:rFonts w:ascii="Arial" w:eastAsia="Arial" w:hAnsi="Arial" w:cs="Arial"/>
          <w:sz w:val="22"/>
          <w:szCs w:val="22"/>
        </w:rPr>
        <w:t>vysoký</w:t>
      </w:r>
      <w:r w:rsidR="002F5640">
        <w:rPr>
          <w:rFonts w:ascii="Arial" w:eastAsia="Arial" w:hAnsi="Arial" w:cs="Arial"/>
          <w:sz w:val="22"/>
          <w:szCs w:val="22"/>
        </w:rPr>
        <w:t>m</w:t>
      </w:r>
      <w:r w:rsidR="002F5640" w:rsidRPr="002F5640">
        <w:rPr>
          <w:rFonts w:ascii="Arial" w:eastAsia="Arial" w:hAnsi="Arial" w:cs="Arial"/>
          <w:sz w:val="22"/>
          <w:szCs w:val="22"/>
        </w:rPr>
        <w:t xml:space="preserve"> potenciál</w:t>
      </w:r>
      <w:r w:rsidR="002F5640">
        <w:rPr>
          <w:rFonts w:ascii="Arial" w:eastAsia="Arial" w:hAnsi="Arial" w:cs="Arial"/>
          <w:sz w:val="22"/>
          <w:szCs w:val="22"/>
        </w:rPr>
        <w:t>em</w:t>
      </w:r>
      <w:r w:rsidR="002F5640" w:rsidRPr="002F5640">
        <w:rPr>
          <w:rFonts w:ascii="Arial" w:eastAsia="Arial" w:hAnsi="Arial" w:cs="Arial"/>
          <w:sz w:val="22"/>
          <w:szCs w:val="22"/>
        </w:rPr>
        <w:t xml:space="preserve"> pro rychlé uplatnění v nových produktech, výrobních postupech a službách</w:t>
      </w:r>
      <w:r w:rsidRPr="00E7695F">
        <w:rPr>
          <w:rFonts w:ascii="Arial" w:eastAsia="Arial" w:hAnsi="Arial" w:cs="Arial"/>
          <w:sz w:val="22"/>
          <w:szCs w:val="22"/>
        </w:rPr>
        <w:t>. Podprogram (respektive celý program) v tomto ohledu také reflektuje potřebu sektorového přístupu v oblasti energetiky</w:t>
      </w:r>
      <w:r w:rsidR="003F11D7" w:rsidRPr="00E7695F">
        <w:rPr>
          <w:rFonts w:ascii="Arial" w:eastAsia="Arial" w:hAnsi="Arial" w:cs="Arial"/>
          <w:sz w:val="22"/>
          <w:szCs w:val="22"/>
        </w:rPr>
        <w:t>.</w:t>
      </w:r>
    </w:p>
    <w:p w14:paraId="5CF9FBAA" w14:textId="1270E95B" w:rsidR="004E7D26" w:rsidRPr="00E7695F" w:rsidRDefault="00A75777" w:rsidP="00B1207A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Podprogram reflektuje širší rámec Energetické unie a zejména jejího pátého pilíře zaměřeného na </w:t>
      </w:r>
      <w:r w:rsidR="00C27780" w:rsidRPr="00E7695F">
        <w:rPr>
          <w:rFonts w:ascii="Arial" w:eastAsia="Arial" w:hAnsi="Arial" w:cs="Arial"/>
          <w:sz w:val="22"/>
          <w:szCs w:val="22"/>
        </w:rPr>
        <w:t>výzkum, vývoj</w:t>
      </w:r>
      <w:r w:rsidRPr="00E7695F">
        <w:rPr>
          <w:rFonts w:ascii="Arial" w:eastAsia="Arial" w:hAnsi="Arial" w:cs="Arial"/>
          <w:sz w:val="22"/>
          <w:szCs w:val="22"/>
        </w:rPr>
        <w:t>, inovace a konkurenceschopnost, a to zejména prostřednictví</w:t>
      </w:r>
      <w:r w:rsidR="00C80CE5">
        <w:rPr>
          <w:rFonts w:ascii="Arial" w:eastAsia="Arial" w:hAnsi="Arial" w:cs="Arial"/>
          <w:sz w:val="22"/>
          <w:szCs w:val="22"/>
        </w:rPr>
        <w:t>m</w:t>
      </w:r>
      <w:r w:rsidRPr="00E7695F">
        <w:rPr>
          <w:rFonts w:ascii="Arial" w:eastAsia="Arial" w:hAnsi="Arial" w:cs="Arial"/>
          <w:sz w:val="22"/>
          <w:szCs w:val="22"/>
        </w:rPr>
        <w:t xml:space="preserve"> Evropského strategického plánu pro energetické technologie. Tento podprogram je jedním z hlavních nástrojů pro naplňování tohoto pilíře Energetické unie. V dlouhodobém horizontu program napomáhá realizaci Evropské klimaticko-energetické politiky a jejímu naplňování na úrovni České republiky.</w:t>
      </w:r>
    </w:p>
    <w:p w14:paraId="7D388BCF" w14:textId="3C0B776C" w:rsidR="00BD24B2" w:rsidRPr="00E7695F" w:rsidRDefault="004E7D26" w:rsidP="00B1207A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V rámci podprogramu by měly být upřednostňovány takové energetické technologie, které zvyšují konkurenceschopnost českého hospodářství, mají exportní potenciál s vysokou přidanou hodnotou a</w:t>
      </w:r>
      <w:r w:rsidR="006B046D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také přispívají k ochraně životního prostředí. Podpora by měla být soustředěna do oblastí, v nichž je výzkum a vývoj v ČR již na evropské či světové úrovni nebo může významně využívat konkurenční výhody (tradice, know-how, geografické podmínky, existence infrastruktury, silné postave</w:t>
      </w:r>
      <w:r w:rsidR="003F11D7" w:rsidRPr="00E7695F">
        <w:rPr>
          <w:rFonts w:ascii="Arial" w:eastAsia="Arial" w:hAnsi="Arial" w:cs="Arial"/>
          <w:sz w:val="22"/>
          <w:szCs w:val="22"/>
        </w:rPr>
        <w:t>ní na mezinárodním trhu apod.).</w:t>
      </w:r>
    </w:p>
    <w:p w14:paraId="782231E5" w14:textId="5B08C1A7" w:rsidR="002A2CA1" w:rsidRPr="002A2CA1" w:rsidRDefault="004E7D26" w:rsidP="002A2CA1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Podprogram by měl být konkrétně tematicky zaměřen na technologie a systémové prvky v oblasti zvyšování účinnosti a spolehlivosti systémů výroby, přenosu a </w:t>
      </w:r>
      <w:r w:rsidR="003D7F26" w:rsidRPr="00E7695F">
        <w:rPr>
          <w:rFonts w:ascii="Arial" w:eastAsia="Arial" w:hAnsi="Arial" w:cs="Arial"/>
          <w:sz w:val="22"/>
          <w:szCs w:val="22"/>
        </w:rPr>
        <w:t xml:space="preserve">distribuce </w:t>
      </w:r>
      <w:r w:rsidRPr="00E7695F">
        <w:rPr>
          <w:rFonts w:ascii="Arial" w:eastAsia="Arial" w:hAnsi="Arial" w:cs="Arial"/>
          <w:sz w:val="22"/>
          <w:szCs w:val="22"/>
        </w:rPr>
        <w:t xml:space="preserve">energie; dále na technologické a systémové prvky chytrých sítí (měřící zařízení, softwarové prvky a systémy, decentralizované zdroje a jejich zapojení do stávajícího systému); demonstrační prvky a technologie integrující sektory hospodaření s energií v souladu s konceptem chytrých měst s důrazem na účinnost užití energie; technologie v oblasti obnovitelných respektive druhotných zdrojů energie; účinnější a k životnímu prostředí šetrnější využívání fosilních </w:t>
      </w:r>
      <w:r w:rsidRPr="00E7695F">
        <w:rPr>
          <w:rFonts w:ascii="Arial" w:eastAsia="Arial" w:hAnsi="Arial" w:cs="Arial"/>
          <w:sz w:val="22"/>
          <w:szCs w:val="22"/>
        </w:rPr>
        <w:lastRenderedPageBreak/>
        <w:t>zdrojů energie včetně technologií přímo snižujících nejen emise skleníkových plynů, ale také ostatních znečišťujících látek, nebo zabraňujících jejich uvolnění do ovzduší v procesech přeměny energie a perspektivní technologie v oblastech vysokoúčinné výroby a distribuce tepla a chladu; perspektivní technologie čisté mobility; technologie související s akumulací energie a v neposlední řadě na průřezové technologie a výzkum v oblasti systémových prvků.</w:t>
      </w:r>
    </w:p>
    <w:p w14:paraId="4899ECA1" w14:textId="57AC738E" w:rsidR="00F30870" w:rsidRPr="00E7695F" w:rsidRDefault="003D47F5" w:rsidP="002A2CA1">
      <w:pPr>
        <w:keepLines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b/>
          <w:sz w:val="22"/>
          <w:szCs w:val="22"/>
        </w:rPr>
        <w:t xml:space="preserve">Rozpočet </w:t>
      </w:r>
      <w:r w:rsidR="00FB2E41" w:rsidRPr="00E7695F">
        <w:rPr>
          <w:rFonts w:ascii="Arial" w:eastAsia="Arial" w:hAnsi="Arial" w:cs="Arial"/>
          <w:b/>
          <w:sz w:val="22"/>
          <w:szCs w:val="22"/>
        </w:rPr>
        <w:t>podprogramu</w:t>
      </w:r>
      <w:r w:rsidR="003D59F0" w:rsidRPr="00E7695F">
        <w:rPr>
          <w:rFonts w:ascii="Arial" w:eastAsia="Arial" w:hAnsi="Arial" w:cs="Arial"/>
          <w:b/>
          <w:sz w:val="22"/>
          <w:szCs w:val="22"/>
        </w:rPr>
        <w:t xml:space="preserve"> 2</w:t>
      </w:r>
    </w:p>
    <w:p w14:paraId="52E10E82" w14:textId="26F35A3A" w:rsidR="002A2CA1" w:rsidRDefault="007363FE" w:rsidP="00FE31DB">
      <w:pPr>
        <w:keepLines/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Předpokládaná</w:t>
      </w:r>
      <w:r w:rsidR="00804D07" w:rsidRPr="00E7695F">
        <w:rPr>
          <w:rFonts w:ascii="Arial" w:eastAsia="Arial" w:hAnsi="Arial" w:cs="Arial"/>
          <w:sz w:val="22"/>
          <w:szCs w:val="22"/>
        </w:rPr>
        <w:t xml:space="preserve"> průměrná míra podpory celkově za </w:t>
      </w:r>
      <w:r w:rsidR="00C80CE5">
        <w:rPr>
          <w:rFonts w:ascii="Arial" w:eastAsia="Arial" w:hAnsi="Arial" w:cs="Arial"/>
          <w:sz w:val="22"/>
          <w:szCs w:val="22"/>
        </w:rPr>
        <w:t>pod</w:t>
      </w:r>
      <w:r w:rsidR="00804D07" w:rsidRPr="00E7695F">
        <w:rPr>
          <w:rFonts w:ascii="Arial" w:eastAsia="Arial" w:hAnsi="Arial" w:cs="Arial"/>
          <w:sz w:val="22"/>
          <w:szCs w:val="22"/>
        </w:rPr>
        <w:t xml:space="preserve">program je 60 %. Nejvyšší povolená </w:t>
      </w:r>
      <w:r w:rsidR="003D47F5" w:rsidRPr="00E7695F">
        <w:rPr>
          <w:rFonts w:ascii="Arial" w:eastAsia="Arial" w:hAnsi="Arial" w:cs="Arial"/>
          <w:sz w:val="22"/>
          <w:szCs w:val="22"/>
        </w:rPr>
        <w:t xml:space="preserve">míra podpory u </w:t>
      </w:r>
      <w:r w:rsidR="00804D07" w:rsidRPr="00E7695F">
        <w:rPr>
          <w:rFonts w:ascii="Arial" w:eastAsia="Arial" w:hAnsi="Arial" w:cs="Arial"/>
          <w:sz w:val="22"/>
          <w:szCs w:val="22"/>
        </w:rPr>
        <w:t xml:space="preserve">podprogramu 2 je 80 </w:t>
      </w:r>
      <w:r w:rsidR="003D47F5" w:rsidRPr="00E7695F">
        <w:rPr>
          <w:rFonts w:ascii="Arial" w:eastAsia="Arial" w:hAnsi="Arial" w:cs="Arial"/>
          <w:sz w:val="22"/>
          <w:szCs w:val="22"/>
        </w:rPr>
        <w:t>%</w:t>
      </w:r>
      <w:r w:rsidR="000F7842" w:rsidRPr="00E7695F">
        <w:rPr>
          <w:rFonts w:ascii="Arial" w:eastAsia="Arial" w:hAnsi="Arial" w:cs="Arial"/>
          <w:sz w:val="22"/>
          <w:szCs w:val="22"/>
        </w:rPr>
        <w:t xml:space="preserve"> z celkových způsobilých nákladů projektu.</w:t>
      </w:r>
    </w:p>
    <w:p w14:paraId="2D3340C2" w14:textId="72C6EC16" w:rsidR="00F30870" w:rsidRPr="00E7695F" w:rsidRDefault="003D47F5" w:rsidP="002A2CA1">
      <w:pPr>
        <w:keepLines/>
        <w:spacing w:before="240" w:after="120"/>
        <w:jc w:val="both"/>
        <w:rPr>
          <w:rFonts w:ascii="Arial" w:eastAsia="Arial" w:hAnsi="Arial" w:cs="Arial"/>
          <w:b/>
          <w:sz w:val="22"/>
          <w:szCs w:val="22"/>
        </w:rPr>
      </w:pPr>
      <w:r w:rsidRPr="00E7695F">
        <w:rPr>
          <w:rFonts w:ascii="Arial" w:eastAsia="Arial" w:hAnsi="Arial" w:cs="Arial"/>
          <w:b/>
          <w:sz w:val="22"/>
          <w:szCs w:val="22"/>
        </w:rPr>
        <w:t xml:space="preserve">Tabulka č. </w:t>
      </w:r>
      <w:r w:rsidR="004E7D26" w:rsidRPr="00E7695F">
        <w:rPr>
          <w:rFonts w:ascii="Arial" w:eastAsia="Arial" w:hAnsi="Arial" w:cs="Arial"/>
          <w:b/>
          <w:sz w:val="22"/>
          <w:szCs w:val="22"/>
        </w:rPr>
        <w:t>1</w:t>
      </w:r>
      <w:r w:rsidR="0037312D" w:rsidRPr="00E7695F">
        <w:rPr>
          <w:rFonts w:ascii="Arial" w:eastAsia="Arial" w:hAnsi="Arial" w:cs="Arial"/>
          <w:b/>
          <w:sz w:val="22"/>
          <w:szCs w:val="22"/>
        </w:rPr>
        <w:t>7</w:t>
      </w:r>
      <w:r w:rsidR="004E7D26" w:rsidRPr="00E7695F">
        <w:rPr>
          <w:rFonts w:ascii="Arial" w:eastAsia="Arial" w:hAnsi="Arial" w:cs="Arial"/>
          <w:b/>
          <w:sz w:val="22"/>
          <w:szCs w:val="22"/>
        </w:rPr>
        <w:t>. 2</w:t>
      </w:r>
      <w:r w:rsidRPr="00E7695F">
        <w:rPr>
          <w:rFonts w:ascii="Arial" w:eastAsia="Arial" w:hAnsi="Arial" w:cs="Arial"/>
          <w:b/>
          <w:sz w:val="22"/>
          <w:szCs w:val="22"/>
        </w:rPr>
        <w:t xml:space="preserve">: Rozpočet </w:t>
      </w:r>
      <w:r w:rsidR="00804D07" w:rsidRPr="00E7695F">
        <w:rPr>
          <w:rFonts w:ascii="Arial" w:eastAsia="Arial" w:hAnsi="Arial" w:cs="Arial"/>
          <w:b/>
          <w:sz w:val="22"/>
          <w:szCs w:val="22"/>
        </w:rPr>
        <w:t xml:space="preserve">podprogramu 2 </w:t>
      </w:r>
      <w:r w:rsidRPr="00E7695F">
        <w:rPr>
          <w:rFonts w:ascii="Arial" w:eastAsia="Arial" w:hAnsi="Arial" w:cs="Arial"/>
          <w:b/>
          <w:sz w:val="22"/>
          <w:szCs w:val="22"/>
        </w:rPr>
        <w:t>[</w:t>
      </w:r>
      <w:r w:rsidR="006B046D" w:rsidRPr="00E7695F">
        <w:rPr>
          <w:rFonts w:ascii="Arial" w:eastAsia="Arial" w:hAnsi="Arial" w:cs="Arial"/>
          <w:b/>
          <w:sz w:val="22"/>
          <w:szCs w:val="22"/>
        </w:rPr>
        <w:t xml:space="preserve">zaokrouhleno na </w:t>
      </w:r>
      <w:r w:rsidRPr="00E7695F">
        <w:rPr>
          <w:rFonts w:ascii="Arial" w:eastAsia="Arial" w:hAnsi="Arial" w:cs="Arial"/>
          <w:b/>
          <w:sz w:val="22"/>
          <w:szCs w:val="22"/>
        </w:rPr>
        <w:t>mil. Kč]</w:t>
      </w:r>
    </w:p>
    <w:tbl>
      <w:tblPr>
        <w:tblStyle w:val="a1"/>
        <w:tblW w:w="9072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2"/>
        <w:gridCol w:w="731"/>
        <w:gridCol w:w="731"/>
        <w:gridCol w:w="731"/>
        <w:gridCol w:w="731"/>
        <w:gridCol w:w="731"/>
        <w:gridCol w:w="731"/>
        <w:gridCol w:w="731"/>
        <w:gridCol w:w="731"/>
        <w:gridCol w:w="1402"/>
      </w:tblGrid>
      <w:tr w:rsidR="00F30870" w:rsidRPr="00252066" w14:paraId="1ADF7C96" w14:textId="77777777" w:rsidTr="002520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8183D" w14:textId="77777777" w:rsidR="00F30870" w:rsidRPr="00252066" w:rsidRDefault="003D47F5" w:rsidP="00FE31DB">
            <w:pPr>
              <w:keepLine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693C2" w14:textId="77777777" w:rsidR="00F30870" w:rsidRPr="00252066" w:rsidRDefault="003D47F5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2018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4AC6" w14:textId="77777777" w:rsidR="00F30870" w:rsidRPr="00252066" w:rsidRDefault="003D47F5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2019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6AD7" w14:textId="77777777" w:rsidR="00F30870" w:rsidRPr="00252066" w:rsidRDefault="003D47F5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2020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39CF1" w14:textId="77777777" w:rsidR="00F30870" w:rsidRPr="00252066" w:rsidRDefault="003D47F5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2021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86D10" w14:textId="77777777" w:rsidR="00F30870" w:rsidRPr="00252066" w:rsidRDefault="003D47F5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2022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D02C3" w14:textId="77777777" w:rsidR="00F30870" w:rsidRPr="00252066" w:rsidRDefault="003D47F5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2023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FD345" w14:textId="77777777" w:rsidR="00F30870" w:rsidRPr="00252066" w:rsidRDefault="003D47F5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2024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8F581" w14:textId="77777777" w:rsidR="00F30870" w:rsidRPr="00252066" w:rsidRDefault="003D47F5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F1E05" w14:textId="77777777" w:rsidR="00F30870" w:rsidRPr="00252066" w:rsidRDefault="003D47F5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Celkem</w:t>
            </w:r>
          </w:p>
        </w:tc>
      </w:tr>
      <w:tr w:rsidR="00FE31DB" w:rsidRPr="00252066" w14:paraId="1C013B88" w14:textId="77777777" w:rsidTr="002520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4702" w14:textId="77777777" w:rsidR="00FE31DB" w:rsidRPr="00252066" w:rsidRDefault="00FE31DB" w:rsidP="00FE31DB">
            <w:pPr>
              <w:keepLine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sz w:val="20"/>
                <w:szCs w:val="20"/>
              </w:rPr>
              <w:t>Celkové výdaje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FDA43" w14:textId="5CDFFB41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52192" w14:textId="17B6E3FA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5A0B9" w14:textId="5E54AEDB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434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3CC5F" w14:textId="71C4FADF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533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43964" w14:textId="2CD92BC2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533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AAC36" w14:textId="227076F0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533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D6943" w14:textId="4F8F9746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533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BFA6A" w14:textId="52AB3A36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334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2B4DD" w14:textId="213461BE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3333</w:t>
            </w:r>
          </w:p>
        </w:tc>
      </w:tr>
      <w:tr w:rsidR="00FE31DB" w:rsidRPr="00252066" w14:paraId="423D628F" w14:textId="77777777" w:rsidTr="002520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A18D" w14:textId="77777777" w:rsidR="00FE31DB" w:rsidRPr="00252066" w:rsidRDefault="00FE31DB" w:rsidP="00FE31DB">
            <w:pPr>
              <w:keepLine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sz w:val="20"/>
                <w:szCs w:val="20"/>
              </w:rPr>
              <w:t>Výdaje státního rozpočtu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3938F" w14:textId="5391C60F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0C02C" w14:textId="1A680651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92F0D" w14:textId="23C7153D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EE21C" w14:textId="27868766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52496" w14:textId="6F051D68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97538" w14:textId="32461851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2C04F" w14:textId="461FA6E1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85DCE" w14:textId="4751DC35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39023" w14:textId="70BEB9AC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FE31DB" w:rsidRPr="00252066" w14:paraId="2796BDB4" w14:textId="77777777" w:rsidTr="002520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AEB9B" w14:textId="77777777" w:rsidR="00FE31DB" w:rsidRPr="00252066" w:rsidRDefault="00FE31DB" w:rsidP="00FE31DB">
            <w:pPr>
              <w:keepLine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sz w:val="20"/>
                <w:szCs w:val="20"/>
              </w:rPr>
              <w:t>Neveřejné zdroje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D631E" w14:textId="2A79A842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02626" w14:textId="1838BF00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47F1D" w14:textId="5404205E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174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D2E56" w14:textId="3D5A86EC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213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778EE" w14:textId="54F6DE3B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213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70214" w14:textId="1DB856C0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213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774E8" w14:textId="43E4CB02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213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CD899" w14:textId="3B4CDB9A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E5599" w14:textId="22630CA8" w:rsidR="00FE31DB" w:rsidRPr="00252066" w:rsidRDefault="00FE31DB" w:rsidP="00252066">
            <w:pPr>
              <w:keepLine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1333</w:t>
            </w:r>
          </w:p>
        </w:tc>
      </w:tr>
    </w:tbl>
    <w:p w14:paraId="5CF8642D" w14:textId="0BD92CA2" w:rsidR="00F30870" w:rsidRPr="004443AD" w:rsidRDefault="003D47F5" w:rsidP="004443AD">
      <w:pPr>
        <w:pStyle w:val="Nadpis2"/>
      </w:pPr>
      <w:r w:rsidRPr="004443AD">
        <w:t>Podprogram 3 – Dlouhodobé technologické perspektivy</w:t>
      </w:r>
    </w:p>
    <w:p w14:paraId="4027FE9F" w14:textId="13FA40E2" w:rsidR="00F30870" w:rsidRPr="00E7695F" w:rsidRDefault="003D47F5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b/>
          <w:sz w:val="22"/>
          <w:szCs w:val="22"/>
        </w:rPr>
        <w:t xml:space="preserve">Cíl </w:t>
      </w:r>
      <w:r w:rsidR="000F7842" w:rsidRPr="00E7695F">
        <w:rPr>
          <w:rFonts w:ascii="Arial" w:eastAsia="Arial" w:hAnsi="Arial" w:cs="Arial"/>
          <w:b/>
          <w:sz w:val="22"/>
          <w:szCs w:val="22"/>
        </w:rPr>
        <w:t xml:space="preserve">a zaměření </w:t>
      </w:r>
      <w:r w:rsidRPr="00E7695F">
        <w:rPr>
          <w:rFonts w:ascii="Arial" w:eastAsia="Arial" w:hAnsi="Arial" w:cs="Arial"/>
          <w:b/>
          <w:sz w:val="22"/>
          <w:szCs w:val="22"/>
        </w:rPr>
        <w:t>podprogramu</w:t>
      </w:r>
      <w:r w:rsidR="003D59F0" w:rsidRPr="00E7695F">
        <w:rPr>
          <w:rFonts w:ascii="Arial" w:eastAsia="Arial" w:hAnsi="Arial" w:cs="Arial"/>
          <w:b/>
          <w:sz w:val="22"/>
          <w:szCs w:val="22"/>
        </w:rPr>
        <w:t xml:space="preserve"> 3</w:t>
      </w:r>
    </w:p>
    <w:p w14:paraId="595FDF4B" w14:textId="7F080D8F" w:rsidR="00F30870" w:rsidRPr="00E7695F" w:rsidRDefault="003D47F5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Cílem podprogramu je podpora dlouhodobých </w:t>
      </w:r>
      <w:r w:rsidR="00994031" w:rsidRPr="00E7695F">
        <w:rPr>
          <w:rFonts w:ascii="Arial" w:eastAsia="Arial" w:hAnsi="Arial" w:cs="Arial"/>
          <w:sz w:val="22"/>
          <w:szCs w:val="22"/>
        </w:rPr>
        <w:t>technologických</w:t>
      </w:r>
      <w:r w:rsidRPr="00E7695F">
        <w:rPr>
          <w:rFonts w:ascii="Arial" w:eastAsia="Arial" w:hAnsi="Arial" w:cs="Arial"/>
          <w:sz w:val="22"/>
          <w:szCs w:val="22"/>
        </w:rPr>
        <w:t xml:space="preserve"> perspektiv v energetice, které budou realizovány prostřednictvím výzkumných a vývojových aktivit zejména výzkumných organizací. Bude se jednat mimo jiné o </w:t>
      </w:r>
      <w:r w:rsidR="006B046D" w:rsidRPr="00E7695F">
        <w:rPr>
          <w:rFonts w:ascii="Arial" w:eastAsia="Arial" w:hAnsi="Arial" w:cs="Arial"/>
          <w:sz w:val="22"/>
          <w:szCs w:val="22"/>
        </w:rPr>
        <w:t xml:space="preserve">(zpravidla </w:t>
      </w:r>
      <w:r w:rsidRPr="00E7695F">
        <w:rPr>
          <w:rFonts w:ascii="Arial" w:eastAsia="Arial" w:hAnsi="Arial" w:cs="Arial"/>
          <w:sz w:val="22"/>
          <w:szCs w:val="22"/>
        </w:rPr>
        <w:t>dlouhodobé</w:t>
      </w:r>
      <w:r w:rsidR="006B046D" w:rsidRPr="00E7695F">
        <w:rPr>
          <w:rFonts w:ascii="Arial" w:eastAsia="Arial" w:hAnsi="Arial" w:cs="Arial"/>
          <w:sz w:val="22"/>
          <w:szCs w:val="22"/>
        </w:rPr>
        <w:t>)</w:t>
      </w:r>
      <w:r w:rsidRPr="00E7695F">
        <w:rPr>
          <w:rFonts w:ascii="Arial" w:eastAsia="Arial" w:hAnsi="Arial" w:cs="Arial"/>
          <w:sz w:val="22"/>
          <w:szCs w:val="22"/>
        </w:rPr>
        <w:t xml:space="preserve"> projekty aplikovaného výzkumu</w:t>
      </w:r>
      <w:r w:rsidR="000F7842" w:rsidRPr="00E7695F">
        <w:rPr>
          <w:rFonts w:ascii="Arial" w:eastAsia="Arial" w:hAnsi="Arial" w:cs="Arial"/>
          <w:sz w:val="22"/>
          <w:szCs w:val="22"/>
        </w:rPr>
        <w:t xml:space="preserve"> (se zahrnutím nezbytných činností</w:t>
      </w:r>
      <w:r w:rsidR="00DE0B2A" w:rsidRPr="00E7695F">
        <w:rPr>
          <w:rFonts w:ascii="Arial" w:eastAsia="Arial" w:hAnsi="Arial" w:cs="Arial"/>
          <w:sz w:val="22"/>
          <w:szCs w:val="22"/>
        </w:rPr>
        <w:t xml:space="preserve"> orientovaného</w:t>
      </w:r>
      <w:r w:rsidR="000F7842" w:rsidRPr="00E7695F">
        <w:rPr>
          <w:rFonts w:ascii="Arial" w:eastAsia="Arial" w:hAnsi="Arial" w:cs="Arial"/>
          <w:sz w:val="22"/>
          <w:szCs w:val="22"/>
        </w:rPr>
        <w:t xml:space="preserve"> základního výzkumu), </w:t>
      </w:r>
      <w:r w:rsidRPr="00E7695F">
        <w:rPr>
          <w:rFonts w:ascii="Arial" w:eastAsia="Arial" w:hAnsi="Arial" w:cs="Arial"/>
          <w:sz w:val="22"/>
          <w:szCs w:val="22"/>
        </w:rPr>
        <w:t>u kterých se neočekává okamžitá aplikace, a</w:t>
      </w:r>
      <w:r w:rsidR="006B046D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které budou podporovat systémová energetická řešení</w:t>
      </w:r>
      <w:r w:rsidR="00FE4970" w:rsidRPr="00E7695F">
        <w:rPr>
          <w:rFonts w:ascii="Arial" w:eastAsia="Arial" w:hAnsi="Arial" w:cs="Arial"/>
          <w:sz w:val="22"/>
          <w:szCs w:val="22"/>
        </w:rPr>
        <w:t>.</w:t>
      </w:r>
    </w:p>
    <w:p w14:paraId="4E062FAA" w14:textId="7D4AAAFA" w:rsidR="00F30870" w:rsidRPr="00E7695F" w:rsidRDefault="003D47F5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Podprogram je zaměřen na výzkumná témata, která jsou identifikována tak, aby přinášela novou kvalitu v dopadu energetického průmyslu na společnost - zabezpečení dodávky</w:t>
      </w:r>
      <w:r w:rsidR="00994031" w:rsidRPr="00E7695F">
        <w:rPr>
          <w:rFonts w:ascii="Arial" w:eastAsia="Arial" w:hAnsi="Arial" w:cs="Arial"/>
          <w:sz w:val="22"/>
          <w:szCs w:val="22"/>
        </w:rPr>
        <w:t xml:space="preserve"> energie</w:t>
      </w:r>
      <w:r w:rsidRPr="00E7695F">
        <w:rPr>
          <w:rFonts w:ascii="Arial" w:eastAsia="Arial" w:hAnsi="Arial" w:cs="Arial"/>
          <w:sz w:val="22"/>
          <w:szCs w:val="22"/>
        </w:rPr>
        <w:t>, ochrany životního prostředí a sociální přiměřenosti, což jsou zásadní kritéria pohledu na energetickou realitu. Budou vybírána ve spolupráci s organizacemi působícími v</w:t>
      </w:r>
      <w:r w:rsidR="00C80CE5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oboru energetiky, a to na základě dlouhodobého vývoje jejich činností v oboru a se zřetelem na relevantní evropské strategie. Při výběru výzkumných témat budou rovněž brány v úvahu mimoř</w:t>
      </w:r>
      <w:r w:rsidR="006B046D" w:rsidRPr="00E7695F">
        <w:rPr>
          <w:rFonts w:ascii="Arial" w:eastAsia="Arial" w:hAnsi="Arial" w:cs="Arial"/>
          <w:sz w:val="22"/>
          <w:szCs w:val="22"/>
        </w:rPr>
        <w:t>ádné výsledky výzkumných týmů v </w:t>
      </w:r>
      <w:r w:rsidRPr="00E7695F">
        <w:rPr>
          <w:rFonts w:ascii="Arial" w:eastAsia="Arial" w:hAnsi="Arial" w:cs="Arial"/>
          <w:sz w:val="22"/>
          <w:szCs w:val="22"/>
        </w:rPr>
        <w:t>odpovídajících výzkumných oblastech (</w:t>
      </w:r>
      <w:r w:rsidR="006B046D" w:rsidRPr="00E7695F">
        <w:rPr>
          <w:rFonts w:ascii="Arial" w:eastAsia="Arial" w:hAnsi="Arial" w:cs="Arial"/>
          <w:sz w:val="22"/>
          <w:szCs w:val="22"/>
        </w:rPr>
        <w:t xml:space="preserve">např. </w:t>
      </w:r>
      <w:r w:rsidRPr="00E7695F">
        <w:rPr>
          <w:rFonts w:ascii="Arial" w:eastAsia="Arial" w:hAnsi="Arial" w:cs="Arial"/>
          <w:sz w:val="22"/>
          <w:szCs w:val="22"/>
        </w:rPr>
        <w:t>specifické jaderné materiály - kde je ČR významný</w:t>
      </w:r>
      <w:r w:rsidR="00994031" w:rsidRPr="00E7695F">
        <w:rPr>
          <w:rFonts w:ascii="Arial" w:eastAsia="Arial" w:hAnsi="Arial" w:cs="Arial"/>
          <w:sz w:val="22"/>
          <w:szCs w:val="22"/>
        </w:rPr>
        <w:t>m</w:t>
      </w:r>
      <w:r w:rsidRPr="00E7695F">
        <w:rPr>
          <w:rFonts w:ascii="Arial" w:eastAsia="Arial" w:hAnsi="Arial" w:cs="Arial"/>
          <w:sz w:val="22"/>
          <w:szCs w:val="22"/>
        </w:rPr>
        <w:t xml:space="preserve"> hráč</w:t>
      </w:r>
      <w:r w:rsidR="00994031" w:rsidRPr="00E7695F">
        <w:rPr>
          <w:rFonts w:ascii="Arial" w:eastAsia="Arial" w:hAnsi="Arial" w:cs="Arial"/>
          <w:sz w:val="22"/>
          <w:szCs w:val="22"/>
        </w:rPr>
        <w:t>em</w:t>
      </w:r>
      <w:r w:rsidRPr="00E7695F">
        <w:rPr>
          <w:rFonts w:ascii="Arial" w:eastAsia="Arial" w:hAnsi="Arial" w:cs="Arial"/>
          <w:sz w:val="22"/>
          <w:szCs w:val="22"/>
        </w:rPr>
        <w:t xml:space="preserve">, energie chemických vazeb, nové materiály, nové </w:t>
      </w:r>
      <w:r w:rsidR="00994031" w:rsidRPr="00E7695F">
        <w:rPr>
          <w:rFonts w:ascii="Arial" w:eastAsia="Arial" w:hAnsi="Arial" w:cs="Arial"/>
          <w:sz w:val="22"/>
          <w:szCs w:val="22"/>
        </w:rPr>
        <w:t xml:space="preserve">způsoby </w:t>
      </w:r>
      <w:r w:rsidRPr="00E7695F">
        <w:rPr>
          <w:rFonts w:ascii="Arial" w:eastAsia="Arial" w:hAnsi="Arial" w:cs="Arial"/>
          <w:sz w:val="22"/>
          <w:szCs w:val="22"/>
        </w:rPr>
        <w:t>využití energetických surovin</w:t>
      </w:r>
      <w:r w:rsidR="006B046D" w:rsidRPr="00E7695F">
        <w:rPr>
          <w:rFonts w:ascii="Arial" w:eastAsia="Arial" w:hAnsi="Arial" w:cs="Arial"/>
          <w:sz w:val="22"/>
          <w:szCs w:val="22"/>
        </w:rPr>
        <w:t xml:space="preserve"> a </w:t>
      </w:r>
      <w:r w:rsidRPr="00E7695F">
        <w:rPr>
          <w:rFonts w:ascii="Arial" w:eastAsia="Arial" w:hAnsi="Arial" w:cs="Arial"/>
          <w:sz w:val="22"/>
          <w:szCs w:val="22"/>
        </w:rPr>
        <w:t>výzkumných infrastruktur).</w:t>
      </w:r>
    </w:p>
    <w:p w14:paraId="436040B4" w14:textId="77777777" w:rsidR="003927F7" w:rsidRPr="00E7695F" w:rsidRDefault="003D47F5" w:rsidP="003927F7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Výzkumné oblasti budou řešeny prostřednictvím orientovaných výzkumných projektů, jejichž výsledky </w:t>
      </w:r>
      <w:r w:rsidR="00A75777" w:rsidRPr="00E7695F">
        <w:rPr>
          <w:rFonts w:ascii="Arial" w:eastAsia="Arial" w:hAnsi="Arial" w:cs="Arial"/>
          <w:sz w:val="22"/>
          <w:szCs w:val="22"/>
        </w:rPr>
        <w:t xml:space="preserve">nemusí </w:t>
      </w:r>
      <w:r w:rsidRPr="00E7695F">
        <w:rPr>
          <w:rFonts w:ascii="Arial" w:eastAsia="Arial" w:hAnsi="Arial" w:cs="Arial"/>
          <w:sz w:val="22"/>
          <w:szCs w:val="22"/>
        </w:rPr>
        <w:t>mít rychlé uplatnění na trhu, neboť jsou charakteristické svým dlouhým vývojovým cyklem. Podprogram také umožní reagovat na nové výzvy v oblasti energetiky, které během trvání programu mohou vzniknout. Proto bude v podprogramu umožněno definování výzkumných témat řešitelem</w:t>
      </w:r>
      <w:r w:rsidR="00F11C08" w:rsidRPr="00E7695F">
        <w:rPr>
          <w:rFonts w:ascii="Arial" w:eastAsia="Arial" w:hAnsi="Arial" w:cs="Arial"/>
          <w:sz w:val="22"/>
          <w:szCs w:val="22"/>
        </w:rPr>
        <w:t>, která vznikla</w:t>
      </w:r>
      <w:r w:rsidR="00994031" w:rsidRPr="00E7695F">
        <w:rPr>
          <w:rFonts w:ascii="Arial" w:eastAsia="Arial" w:hAnsi="Arial" w:cs="Arial"/>
          <w:sz w:val="22"/>
          <w:szCs w:val="22"/>
        </w:rPr>
        <w:t xml:space="preserve"> </w:t>
      </w:r>
      <w:r w:rsidRPr="00E7695F">
        <w:rPr>
          <w:rFonts w:ascii="Arial" w:eastAsia="Arial" w:hAnsi="Arial" w:cs="Arial"/>
          <w:sz w:val="22"/>
          <w:szCs w:val="22"/>
        </w:rPr>
        <w:t>v rámci rozsáhlejší společenské debat</w:t>
      </w:r>
      <w:r w:rsidR="00F11C08" w:rsidRPr="00E7695F">
        <w:rPr>
          <w:rFonts w:ascii="Arial" w:eastAsia="Arial" w:hAnsi="Arial" w:cs="Arial"/>
          <w:sz w:val="22"/>
          <w:szCs w:val="22"/>
        </w:rPr>
        <w:t>y</w:t>
      </w:r>
      <w:r w:rsidRPr="00E7695F">
        <w:rPr>
          <w:rFonts w:ascii="Arial" w:eastAsia="Arial" w:hAnsi="Arial" w:cs="Arial"/>
          <w:sz w:val="22"/>
          <w:szCs w:val="22"/>
        </w:rPr>
        <w:t xml:space="preserve"> v daném oboru. </w:t>
      </w:r>
    </w:p>
    <w:p w14:paraId="0D8266A9" w14:textId="70A9CA3F" w:rsidR="00F30870" w:rsidRPr="00E7695F" w:rsidRDefault="003D47F5" w:rsidP="002A2CA1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b/>
          <w:sz w:val="22"/>
          <w:szCs w:val="22"/>
        </w:rPr>
        <w:t xml:space="preserve">Rozpočet </w:t>
      </w:r>
      <w:r w:rsidR="00FB2E41" w:rsidRPr="00E7695F">
        <w:rPr>
          <w:rFonts w:ascii="Arial" w:eastAsia="Arial" w:hAnsi="Arial" w:cs="Arial"/>
          <w:b/>
          <w:sz w:val="22"/>
          <w:szCs w:val="22"/>
        </w:rPr>
        <w:t>podprogramu</w:t>
      </w:r>
      <w:r w:rsidRPr="00E7695F">
        <w:rPr>
          <w:rFonts w:ascii="Arial" w:eastAsia="Arial" w:hAnsi="Arial" w:cs="Arial"/>
          <w:b/>
          <w:sz w:val="22"/>
          <w:szCs w:val="22"/>
        </w:rPr>
        <w:t xml:space="preserve"> </w:t>
      </w:r>
      <w:r w:rsidR="003D59F0" w:rsidRPr="00E7695F">
        <w:rPr>
          <w:rFonts w:ascii="Arial" w:eastAsia="Arial" w:hAnsi="Arial" w:cs="Arial"/>
          <w:b/>
          <w:sz w:val="22"/>
          <w:szCs w:val="22"/>
        </w:rPr>
        <w:t>3</w:t>
      </w:r>
    </w:p>
    <w:p w14:paraId="5EA9286D" w14:textId="6C009C88" w:rsidR="00F30870" w:rsidRPr="00E7695F" w:rsidRDefault="00804D07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Očekávaná průměrná míra podpory celkově za </w:t>
      </w:r>
      <w:r w:rsidR="00C80CE5">
        <w:rPr>
          <w:rFonts w:ascii="Arial" w:eastAsia="Arial" w:hAnsi="Arial" w:cs="Arial"/>
          <w:sz w:val="22"/>
          <w:szCs w:val="22"/>
        </w:rPr>
        <w:t>pod</w:t>
      </w:r>
      <w:r w:rsidRPr="00E7695F">
        <w:rPr>
          <w:rFonts w:ascii="Arial" w:eastAsia="Arial" w:hAnsi="Arial" w:cs="Arial"/>
          <w:sz w:val="22"/>
          <w:szCs w:val="22"/>
        </w:rPr>
        <w:t xml:space="preserve">program je 80 %. Nejvyšší povolená </w:t>
      </w:r>
      <w:r w:rsidR="003D47F5" w:rsidRPr="00E7695F">
        <w:rPr>
          <w:rFonts w:ascii="Arial" w:eastAsia="Arial" w:hAnsi="Arial" w:cs="Arial"/>
          <w:sz w:val="22"/>
          <w:szCs w:val="22"/>
        </w:rPr>
        <w:t>míra podpory u</w:t>
      </w:r>
      <w:r w:rsidR="00171501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podprogramu 3 je</w:t>
      </w:r>
      <w:r w:rsidR="003D47F5" w:rsidRPr="00E7695F">
        <w:rPr>
          <w:rFonts w:ascii="Arial" w:eastAsia="Arial" w:hAnsi="Arial" w:cs="Arial"/>
          <w:sz w:val="22"/>
          <w:szCs w:val="22"/>
        </w:rPr>
        <w:t xml:space="preserve"> 100 %</w:t>
      </w:r>
      <w:r w:rsidR="000F7842" w:rsidRPr="00E7695F">
        <w:rPr>
          <w:rFonts w:ascii="Arial" w:eastAsia="Arial" w:hAnsi="Arial" w:cs="Arial"/>
          <w:sz w:val="22"/>
          <w:szCs w:val="22"/>
        </w:rPr>
        <w:t xml:space="preserve"> z celkových způsobilých nákladů projektu</w:t>
      </w:r>
      <w:r w:rsidR="003D47F5" w:rsidRPr="00E7695F">
        <w:rPr>
          <w:rFonts w:ascii="Arial" w:eastAsia="Arial" w:hAnsi="Arial" w:cs="Arial"/>
          <w:sz w:val="22"/>
          <w:szCs w:val="22"/>
        </w:rPr>
        <w:t>.</w:t>
      </w:r>
    </w:p>
    <w:p w14:paraId="1A80BEEF" w14:textId="24570B3F" w:rsidR="00F30870" w:rsidRPr="00E7695F" w:rsidRDefault="0037312D" w:rsidP="004443AD">
      <w:pPr>
        <w:keepNext/>
        <w:keepLines/>
        <w:spacing w:before="240" w:after="120"/>
        <w:jc w:val="both"/>
        <w:rPr>
          <w:rFonts w:ascii="Arial" w:eastAsia="Arial" w:hAnsi="Arial" w:cs="Arial"/>
          <w:b/>
          <w:sz w:val="22"/>
          <w:szCs w:val="22"/>
        </w:rPr>
      </w:pPr>
      <w:r w:rsidRPr="00E7695F">
        <w:rPr>
          <w:rFonts w:ascii="Arial" w:eastAsia="Arial" w:hAnsi="Arial" w:cs="Arial"/>
          <w:b/>
          <w:sz w:val="22"/>
          <w:szCs w:val="22"/>
        </w:rPr>
        <w:lastRenderedPageBreak/>
        <w:t xml:space="preserve">Tabulka č. 17.3 </w:t>
      </w:r>
      <w:r w:rsidR="003D47F5" w:rsidRPr="00E7695F">
        <w:rPr>
          <w:rFonts w:ascii="Arial" w:eastAsia="Arial" w:hAnsi="Arial" w:cs="Arial"/>
          <w:b/>
          <w:sz w:val="22"/>
          <w:szCs w:val="22"/>
        </w:rPr>
        <w:t xml:space="preserve">: Rozpočet </w:t>
      </w:r>
      <w:r w:rsidR="00C962AE" w:rsidRPr="00E7695F">
        <w:rPr>
          <w:rFonts w:ascii="Arial" w:eastAsia="Arial" w:hAnsi="Arial" w:cs="Arial"/>
          <w:b/>
          <w:sz w:val="22"/>
          <w:szCs w:val="22"/>
        </w:rPr>
        <w:t>podprogramu 3</w:t>
      </w:r>
      <w:r w:rsidR="003D47F5" w:rsidRPr="00E7695F">
        <w:rPr>
          <w:rFonts w:ascii="Arial" w:eastAsia="Arial" w:hAnsi="Arial" w:cs="Arial"/>
          <w:b/>
          <w:sz w:val="22"/>
          <w:szCs w:val="22"/>
        </w:rPr>
        <w:t xml:space="preserve"> [</w:t>
      </w:r>
      <w:r w:rsidR="006B046D" w:rsidRPr="00E7695F">
        <w:rPr>
          <w:rFonts w:ascii="Arial" w:eastAsia="Arial" w:hAnsi="Arial" w:cs="Arial"/>
          <w:b/>
          <w:sz w:val="22"/>
          <w:szCs w:val="22"/>
        </w:rPr>
        <w:t xml:space="preserve">zaokrouhleno na </w:t>
      </w:r>
      <w:r w:rsidR="003D47F5" w:rsidRPr="00E7695F">
        <w:rPr>
          <w:rFonts w:ascii="Arial" w:eastAsia="Arial" w:hAnsi="Arial" w:cs="Arial"/>
          <w:b/>
          <w:sz w:val="22"/>
          <w:szCs w:val="22"/>
        </w:rPr>
        <w:t>mil. Kč]</w:t>
      </w:r>
    </w:p>
    <w:tbl>
      <w:tblPr>
        <w:tblStyle w:val="a2"/>
        <w:tblW w:w="9072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2"/>
        <w:gridCol w:w="731"/>
        <w:gridCol w:w="731"/>
        <w:gridCol w:w="731"/>
        <w:gridCol w:w="731"/>
        <w:gridCol w:w="731"/>
        <w:gridCol w:w="731"/>
        <w:gridCol w:w="731"/>
        <w:gridCol w:w="731"/>
        <w:gridCol w:w="1262"/>
      </w:tblGrid>
      <w:tr w:rsidR="00F30870" w:rsidRPr="00252066" w14:paraId="48A86A57" w14:textId="77777777" w:rsidTr="002520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9886D" w14:textId="77777777" w:rsidR="00F30870" w:rsidRPr="00252066" w:rsidRDefault="003D47F5" w:rsidP="00B1207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A0E1" w14:textId="77777777" w:rsidR="00F30870" w:rsidRPr="00252066" w:rsidRDefault="003D47F5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2018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A511" w14:textId="77777777" w:rsidR="00F30870" w:rsidRPr="00252066" w:rsidRDefault="003D47F5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2019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4209" w14:textId="77777777" w:rsidR="00F30870" w:rsidRPr="00252066" w:rsidRDefault="003D47F5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2020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2A56" w14:textId="77777777" w:rsidR="00F30870" w:rsidRPr="00252066" w:rsidRDefault="003D47F5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2021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01A0" w14:textId="77777777" w:rsidR="00F30870" w:rsidRPr="00252066" w:rsidRDefault="003D47F5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2022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A55E8" w14:textId="77777777" w:rsidR="00F30870" w:rsidRPr="00252066" w:rsidRDefault="003D47F5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2023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E65A6" w14:textId="77777777" w:rsidR="00F30870" w:rsidRPr="00252066" w:rsidRDefault="003D47F5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2024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45E7" w14:textId="77777777" w:rsidR="00F30870" w:rsidRPr="00252066" w:rsidRDefault="003D47F5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C9C64" w14:textId="77777777" w:rsidR="00F30870" w:rsidRPr="00252066" w:rsidRDefault="003D47F5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b/>
                <w:sz w:val="20"/>
                <w:szCs w:val="20"/>
              </w:rPr>
              <w:t>Celkem</w:t>
            </w:r>
          </w:p>
        </w:tc>
      </w:tr>
      <w:tr w:rsidR="00FE31DB" w:rsidRPr="00252066" w14:paraId="5CE86C3A" w14:textId="77777777" w:rsidTr="002520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666C" w14:textId="77777777" w:rsidR="00FE31DB" w:rsidRPr="00252066" w:rsidRDefault="00FE31DB" w:rsidP="00B1207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sz w:val="20"/>
                <w:szCs w:val="20"/>
              </w:rPr>
              <w:t>Celkové výdaje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9F668" w14:textId="393F29EC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EBDF7" w14:textId="4738033F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A6753" w14:textId="4AE170C9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B6A3" w14:textId="45B0B43F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D8319" w14:textId="26FFBDF0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B47E5" w14:textId="3C266CFD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21906" w14:textId="293006B8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6C655" w14:textId="327E8E65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38BD6" w14:textId="145A255D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1750</w:t>
            </w:r>
          </w:p>
        </w:tc>
      </w:tr>
      <w:tr w:rsidR="00FE31DB" w:rsidRPr="00252066" w14:paraId="1AF676DE" w14:textId="77777777" w:rsidTr="002520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E4F4" w14:textId="77777777" w:rsidR="00FE31DB" w:rsidRPr="00252066" w:rsidRDefault="00FE31DB" w:rsidP="00B1207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sz w:val="20"/>
                <w:szCs w:val="20"/>
              </w:rPr>
              <w:t>Výdaje státního rozpočtu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85675" w14:textId="4593A705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99CF8" w14:textId="4C7B33A5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7C776" w14:textId="2D793010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BCCE4" w14:textId="1D35979A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00432" w14:textId="2C05B4DB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DC2F0" w14:textId="71F7FB17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43AF" w14:textId="516890C6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D69E3" w14:textId="3386D9AB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41716" w14:textId="34E59CD6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FE31DB" w:rsidRPr="00252066" w14:paraId="46AB1EF0" w14:textId="77777777" w:rsidTr="002520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AEE3F" w14:textId="77777777" w:rsidR="00FE31DB" w:rsidRPr="00252066" w:rsidRDefault="00FE31DB" w:rsidP="00B1207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eastAsia="Arial" w:hAnsi="Arial" w:cs="Arial"/>
                <w:sz w:val="20"/>
                <w:szCs w:val="20"/>
              </w:rPr>
              <w:t>Neveřejné zdroje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2F1A7" w14:textId="57593183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D7CCA" w14:textId="13CD57DE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94B97" w14:textId="47B09AFE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5C382" w14:textId="5D36D6B7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A4265" w14:textId="1BD81F85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1F34F" w14:textId="4D3E0084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FF6A3" w14:textId="5EA6A191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5BC5B" w14:textId="39911ACE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7D38A" w14:textId="2466C8E0" w:rsidR="00FE31DB" w:rsidRPr="00252066" w:rsidRDefault="00FE31DB" w:rsidP="0025206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66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</w:tr>
    </w:tbl>
    <w:p w14:paraId="67F6CC7C" w14:textId="5340991A" w:rsidR="00E34422" w:rsidRPr="00E7695F" w:rsidRDefault="00E34422">
      <w:pPr>
        <w:rPr>
          <w:rFonts w:ascii="Arial" w:eastAsia="Calibri" w:hAnsi="Arial" w:cs="Arial"/>
          <w:sz w:val="22"/>
          <w:szCs w:val="22"/>
        </w:rPr>
      </w:pPr>
    </w:p>
    <w:p w14:paraId="593115AA" w14:textId="32364B62" w:rsidR="00F30870" w:rsidRPr="00E7695F" w:rsidRDefault="003D47F5" w:rsidP="00F94E70">
      <w:pPr>
        <w:pStyle w:val="Nadpis1"/>
        <w:rPr>
          <w:rFonts w:ascii="Arial" w:hAnsi="Arial" w:cs="Arial"/>
          <w:szCs w:val="22"/>
        </w:rPr>
      </w:pPr>
      <w:r w:rsidRPr="00E7695F">
        <w:rPr>
          <w:rFonts w:ascii="Arial" w:hAnsi="Arial" w:cs="Arial"/>
          <w:szCs w:val="22"/>
        </w:rPr>
        <w:t>SROVNÁNÍ SOUČASNÉHO STAVU V ČESKÉ REPUBLICE A V ZAHRANIČÍ</w:t>
      </w:r>
    </w:p>
    <w:p w14:paraId="6DD16C33" w14:textId="4B8BB57B" w:rsidR="005E28CF" w:rsidRPr="00E7695F" w:rsidRDefault="003D47F5" w:rsidP="00B1207A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V České republice je realizován v letech 2015 – 2025 Technologickou agenturou ČR program na podporu aplikovaného výzkumu a experimentálního vývoje EPSILON, jehož druhý podprogram je zaměřen na dosažení dlouhodobě udržitelného energetického mixu a</w:t>
      </w:r>
      <w:r w:rsidR="00297F27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tím podporuje posun směrem ke společnosti méně náročné na zdroje. Implementace programu, zejména 1. veřejné soutěže, byla velmi omezena z důvodu</w:t>
      </w:r>
      <w:r w:rsidR="00A173F4">
        <w:rPr>
          <w:rFonts w:ascii="Arial" w:eastAsia="Arial" w:hAnsi="Arial" w:cs="Arial"/>
          <w:sz w:val="22"/>
          <w:szCs w:val="22"/>
        </w:rPr>
        <w:t xml:space="preserve"> </w:t>
      </w:r>
      <w:r w:rsidR="00A173F4" w:rsidRPr="00A173F4">
        <w:rPr>
          <w:rFonts w:ascii="Arial" w:eastAsia="Arial" w:hAnsi="Arial" w:cs="Arial"/>
          <w:sz w:val="22"/>
          <w:szCs w:val="22"/>
        </w:rPr>
        <w:t>nedostatku prostředků ve státním rozpočtu pro tento program v daném roce</w:t>
      </w:r>
      <w:r w:rsidRPr="00E7695F">
        <w:rPr>
          <w:rFonts w:ascii="Arial" w:eastAsia="Arial" w:hAnsi="Arial" w:cs="Arial"/>
          <w:sz w:val="22"/>
          <w:szCs w:val="22"/>
        </w:rPr>
        <w:t xml:space="preserve"> na realizaci soutěže, čímž není zdaleka uspokojena absorpční kapacita programu. </w:t>
      </w:r>
      <w:r w:rsidR="005E28CF" w:rsidRPr="00E7695F">
        <w:rPr>
          <w:rFonts w:ascii="Arial" w:eastAsia="Arial" w:hAnsi="Arial" w:cs="Arial"/>
          <w:sz w:val="22"/>
          <w:szCs w:val="22"/>
        </w:rPr>
        <w:t>Program EPSILON navázal na úspěšný program ALFA, který je realizován v letech 2011 – 2019. Poslední veřejná soutěž v programu ALFA byla vyhlášena v roce 2014 a další již nejsou plánovány.</w:t>
      </w:r>
    </w:p>
    <w:p w14:paraId="4B18EDB4" w14:textId="55A71399" w:rsidR="00F30870" w:rsidRPr="00E7695F" w:rsidRDefault="003D47F5" w:rsidP="00B1207A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Ministerstvo průmyslu a obchodu v roce 2015 spustilo program TRIO, který je zaměřen na podporu </w:t>
      </w:r>
      <w:r w:rsidR="0042041D">
        <w:rPr>
          <w:rFonts w:ascii="Arial" w:eastAsia="Arial" w:hAnsi="Arial" w:cs="Arial"/>
          <w:sz w:val="22"/>
          <w:szCs w:val="22"/>
        </w:rPr>
        <w:t>aplikovaného</w:t>
      </w:r>
      <w:r w:rsidR="0042041D" w:rsidRPr="00E7695F">
        <w:rPr>
          <w:rFonts w:ascii="Arial" w:eastAsia="Arial" w:hAnsi="Arial" w:cs="Arial"/>
          <w:sz w:val="22"/>
          <w:szCs w:val="22"/>
        </w:rPr>
        <w:t xml:space="preserve"> </w:t>
      </w:r>
      <w:r w:rsidRPr="00E7695F">
        <w:rPr>
          <w:rFonts w:ascii="Arial" w:eastAsia="Arial" w:hAnsi="Arial" w:cs="Arial"/>
          <w:sz w:val="22"/>
          <w:szCs w:val="22"/>
        </w:rPr>
        <w:t>výzkumu mj. také v oblasti energetiky. Projekty však musí mít vazbu na tzv. kl</w:t>
      </w:r>
      <w:r w:rsidR="005E28CF" w:rsidRPr="00E7695F">
        <w:rPr>
          <w:rFonts w:ascii="Arial" w:eastAsia="Arial" w:hAnsi="Arial" w:cs="Arial"/>
          <w:sz w:val="22"/>
          <w:szCs w:val="22"/>
        </w:rPr>
        <w:t xml:space="preserve">íčové technologie (Key </w:t>
      </w:r>
      <w:proofErr w:type="spellStart"/>
      <w:r w:rsidR="005E28CF" w:rsidRPr="00E7695F">
        <w:rPr>
          <w:rFonts w:ascii="Arial" w:eastAsia="Arial" w:hAnsi="Arial" w:cs="Arial"/>
          <w:sz w:val="22"/>
          <w:szCs w:val="22"/>
        </w:rPr>
        <w:t>enabling</w:t>
      </w:r>
      <w:proofErr w:type="spellEnd"/>
      <w:r w:rsidRPr="00E7695F">
        <w:rPr>
          <w:rFonts w:ascii="Arial" w:eastAsia="Arial" w:hAnsi="Arial" w:cs="Arial"/>
          <w:sz w:val="22"/>
          <w:szCs w:val="22"/>
        </w:rPr>
        <w:t xml:space="preserve"> technologies) a zároveň naplňovat programem stanovené cíle z NPOV. V tomto programu je plánováno vyhlášení třech veřejných soutěží v letech 2015, 2016 a 2017 s termínem ukončení projektů nejpozději v roce 2021. Program TRIO navíc podpoří pouze projekty s</w:t>
      </w:r>
      <w:r w:rsidR="00CB78E6" w:rsidRPr="00E7695F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max. výši dotace 20. mil. Kč, v programu EPSILON se očekává průměrná výše dotace na jeden projekt max. 10 mil. Kč. V oblasti energetiky lze předpokládat finančně náročnější projekty</w:t>
      </w:r>
      <w:r w:rsidR="005B0045" w:rsidRPr="00E7695F">
        <w:rPr>
          <w:rFonts w:ascii="Arial" w:eastAsia="Arial" w:hAnsi="Arial" w:cs="Arial"/>
          <w:sz w:val="22"/>
          <w:szCs w:val="22"/>
        </w:rPr>
        <w:t xml:space="preserve"> (zejména u třetího podprogramu)</w:t>
      </w:r>
      <w:r w:rsidRPr="00E7695F">
        <w:rPr>
          <w:rFonts w:ascii="Arial" w:eastAsia="Arial" w:hAnsi="Arial" w:cs="Arial"/>
          <w:sz w:val="22"/>
          <w:szCs w:val="22"/>
        </w:rPr>
        <w:t xml:space="preserve">, u nichž by tato výše podpory ze státního rozpočtu nemusela být dostačující. </w:t>
      </w:r>
    </w:p>
    <w:p w14:paraId="7997478F" w14:textId="36E9528B" w:rsidR="00CB78E6" w:rsidRPr="00E7695F" w:rsidRDefault="005E28CF" w:rsidP="005E28CF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Dalším relevantním program</w:t>
      </w:r>
      <w:r w:rsidR="00BC3AB4">
        <w:rPr>
          <w:rFonts w:ascii="Arial" w:eastAsia="Arial" w:hAnsi="Arial" w:cs="Arial"/>
          <w:sz w:val="22"/>
          <w:szCs w:val="22"/>
        </w:rPr>
        <w:t>em</w:t>
      </w:r>
      <w:r w:rsidRPr="00E7695F">
        <w:rPr>
          <w:rFonts w:ascii="Arial" w:eastAsia="Arial" w:hAnsi="Arial" w:cs="Arial"/>
          <w:sz w:val="22"/>
          <w:szCs w:val="22"/>
        </w:rPr>
        <w:t xml:space="preserve"> je Operační program Podnikání a inovace pro konkurenceschopnost (OP PIK), který je implementován v programovém období 2014 – 2020.  V rámci OP PIK je realizován program Aplikace, který je zaměřen na získávání nových znalostí prostřednictvím realizace </w:t>
      </w:r>
      <w:r w:rsidR="00297F27">
        <w:rPr>
          <w:rFonts w:ascii="Arial" w:eastAsia="Arial" w:hAnsi="Arial" w:cs="Arial"/>
          <w:sz w:val="22"/>
          <w:szCs w:val="22"/>
        </w:rPr>
        <w:t>projektů průmyslového výzkumu a </w:t>
      </w:r>
      <w:r w:rsidRPr="00E7695F">
        <w:rPr>
          <w:rFonts w:ascii="Arial" w:eastAsia="Arial" w:hAnsi="Arial" w:cs="Arial"/>
          <w:sz w:val="22"/>
          <w:szCs w:val="22"/>
        </w:rPr>
        <w:t xml:space="preserve">experimentálního vývoje. Oprávněnými příjemci programu Aplikace jsou podnikatelské subjekty a organizace pro výzkum a šíření znalostí. </w:t>
      </w:r>
    </w:p>
    <w:p w14:paraId="30CFC747" w14:textId="6EB681BE" w:rsidR="005E28CF" w:rsidRPr="00E7695F" w:rsidRDefault="005E28CF" w:rsidP="005E28CF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Projekty musí být v souladu s cíli RIS 3 a v rámci hodnocení je posuzováno, zdali zaměření projektu spadá</w:t>
      </w:r>
      <w:r w:rsidRPr="00E7695F">
        <w:rPr>
          <w:rFonts w:ascii="Arial" w:hAnsi="Arial" w:cs="Arial"/>
          <w:sz w:val="22"/>
          <w:szCs w:val="22"/>
        </w:rPr>
        <w:t xml:space="preserve"> </w:t>
      </w:r>
      <w:r w:rsidRPr="00E7695F">
        <w:rPr>
          <w:rFonts w:ascii="Arial" w:eastAsia="Arial" w:hAnsi="Arial" w:cs="Arial"/>
          <w:sz w:val="22"/>
          <w:szCs w:val="22"/>
        </w:rPr>
        <w:t>pod národní domény specializace RIS3, mezi které patří mimo jiné právě energetika (konkrétně oblast „Výroba a distribuce elektrické energie). Program je plánován do roku 2020. V první výzvě byla vyhlášena alokace 2 mld.</w:t>
      </w:r>
      <w:r w:rsidR="00297F27">
        <w:rPr>
          <w:rFonts w:ascii="Arial" w:eastAsia="Arial" w:hAnsi="Arial" w:cs="Arial"/>
          <w:sz w:val="22"/>
          <w:szCs w:val="22"/>
        </w:rPr>
        <w:t xml:space="preserve"> Kč, v druhé výzvě 40 mil. Kč a </w:t>
      </w:r>
      <w:r w:rsidRPr="00E7695F">
        <w:rPr>
          <w:rFonts w:ascii="Arial" w:eastAsia="Arial" w:hAnsi="Arial" w:cs="Arial"/>
          <w:sz w:val="22"/>
          <w:szCs w:val="22"/>
        </w:rPr>
        <w:t>pro třetí výzvu je plánována alokace 4,5 mld. Kč. V těchto třech výzvách tedy bude vyčerpáno souhrnně 6,54 mld. Kč, tj. cca 77</w:t>
      </w:r>
      <w:r w:rsidR="00DA7B42">
        <w:rPr>
          <w:rFonts w:ascii="Arial" w:eastAsia="Arial" w:hAnsi="Arial" w:cs="Arial"/>
          <w:sz w:val="22"/>
          <w:szCs w:val="22"/>
        </w:rPr>
        <w:t xml:space="preserve"> </w:t>
      </w:r>
      <w:r w:rsidRPr="00E7695F">
        <w:rPr>
          <w:rFonts w:ascii="Arial" w:eastAsia="Arial" w:hAnsi="Arial" w:cs="Arial"/>
          <w:sz w:val="22"/>
          <w:szCs w:val="22"/>
        </w:rPr>
        <w:t xml:space="preserve">% alokace programu. Než tedy bude zahájen program </w:t>
      </w:r>
      <w:r w:rsidR="00C80CE5">
        <w:rPr>
          <w:rFonts w:ascii="Arial" w:eastAsia="Arial" w:hAnsi="Arial" w:cs="Arial"/>
          <w:sz w:val="22"/>
          <w:szCs w:val="22"/>
        </w:rPr>
        <w:t>THÉTA</w:t>
      </w:r>
      <w:r w:rsidRPr="00E7695F">
        <w:rPr>
          <w:rFonts w:ascii="Arial" w:eastAsia="Arial" w:hAnsi="Arial" w:cs="Arial"/>
          <w:sz w:val="22"/>
          <w:szCs w:val="22"/>
        </w:rPr>
        <w:t xml:space="preserve">, měla by být alokace programu Aplikace vyčerpána. </w:t>
      </w:r>
    </w:p>
    <w:p w14:paraId="3851089B" w14:textId="21A15122" w:rsidR="00CB78E6" w:rsidRPr="00E7695F" w:rsidRDefault="00CB78E6" w:rsidP="00CB78E6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Na úrovni EU reflektují hlavní mechanismy podpory energetického výzkumu a vývoje zakladatelské a nástupnické smlouvy formující dnešní EU. Těmito mechanismy jsou (i) Rámcové programy výzkumu a vývoje (poslední s tímto názvem byl 7. Rámcový program – 2007 - 2013, současným ekvivalentem je Horizon 2020 pro období 2014 – 2020); Výzkumný program uhlí a ocele (Research Fund for Coal and Steel, RFCS) a Euratom Research and Training Programme.</w:t>
      </w:r>
    </w:p>
    <w:p w14:paraId="0DF9A0F4" w14:textId="480A0FBD" w:rsidR="00CB78E6" w:rsidRPr="00E7695F" w:rsidRDefault="00CB78E6" w:rsidP="00CB78E6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lastRenderedPageBreak/>
        <w:t>Význam energetického výzkumu demonstruje fakt, že</w:t>
      </w:r>
      <w:r w:rsidR="00297F27">
        <w:rPr>
          <w:rFonts w:ascii="Arial" w:eastAsia="Arial" w:hAnsi="Arial" w:cs="Arial"/>
          <w:sz w:val="22"/>
          <w:szCs w:val="22"/>
        </w:rPr>
        <w:t xml:space="preserve"> rozpočet na tuto část vzrost</w:t>
      </w:r>
      <w:r w:rsidR="00C80CE5">
        <w:rPr>
          <w:rFonts w:ascii="Arial" w:eastAsia="Arial" w:hAnsi="Arial" w:cs="Arial"/>
          <w:sz w:val="22"/>
          <w:szCs w:val="22"/>
        </w:rPr>
        <w:t>l</w:t>
      </w:r>
      <w:r w:rsidR="00297F27">
        <w:rPr>
          <w:rFonts w:ascii="Arial" w:eastAsia="Arial" w:hAnsi="Arial" w:cs="Arial"/>
          <w:sz w:val="22"/>
          <w:szCs w:val="22"/>
        </w:rPr>
        <w:t xml:space="preserve"> v </w:t>
      </w:r>
      <w:r w:rsidRPr="00E7695F">
        <w:rPr>
          <w:rFonts w:ascii="Arial" w:eastAsia="Arial" w:hAnsi="Arial" w:cs="Arial"/>
          <w:sz w:val="22"/>
          <w:szCs w:val="22"/>
        </w:rPr>
        <w:t>7.</w:t>
      </w:r>
      <w:r w:rsidR="00297F27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rámcovém programu o 41</w:t>
      </w:r>
      <w:r w:rsidR="00C80CE5">
        <w:rPr>
          <w:rFonts w:ascii="Arial" w:eastAsia="Arial" w:hAnsi="Arial" w:cs="Arial"/>
          <w:sz w:val="22"/>
          <w:szCs w:val="22"/>
        </w:rPr>
        <w:t xml:space="preserve"> </w:t>
      </w:r>
      <w:r w:rsidRPr="00E7695F">
        <w:rPr>
          <w:rFonts w:ascii="Arial" w:eastAsia="Arial" w:hAnsi="Arial" w:cs="Arial"/>
          <w:sz w:val="22"/>
          <w:szCs w:val="22"/>
        </w:rPr>
        <w:t>% (na 2,3 mld. EUR, bez Euratomu) oproti 6. rámcovému programu. Další radikální nárůst nastal v programu Horizon 2020, kde hodnota energeticky orientovaného výzkumu a vývoje tvoří téměř 8 mld. EUR. Charakteristický je nárůst projektů pilotního a demonstračního charakteru, které jsou zpravidla vydefinovány evropskými technologickými platformami (ETP) a evropskými průmyslovými iniciativami (EII).</w:t>
      </w:r>
    </w:p>
    <w:p w14:paraId="15C5E4AE" w14:textId="5A1B97A9" w:rsidR="00CB78E6" w:rsidRPr="00E7695F" w:rsidRDefault="00CB78E6" w:rsidP="00CB78E6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V programu Horizon 2020 je energetika (Secure, clean and efficient energy) především součástí společenských výzev (societal challenges), nicméně je obsažena i dalších </w:t>
      </w:r>
      <w:proofErr w:type="gramStart"/>
      <w:r w:rsidRPr="00E7695F">
        <w:rPr>
          <w:rFonts w:ascii="Arial" w:eastAsia="Arial" w:hAnsi="Arial" w:cs="Arial"/>
          <w:sz w:val="22"/>
          <w:szCs w:val="22"/>
        </w:rPr>
        <w:t>součástech</w:t>
      </w:r>
      <w:proofErr w:type="gramEnd"/>
      <w:r w:rsidRPr="00E7695F">
        <w:rPr>
          <w:rFonts w:ascii="Arial" w:eastAsia="Arial" w:hAnsi="Arial" w:cs="Arial"/>
          <w:sz w:val="22"/>
          <w:szCs w:val="22"/>
        </w:rPr>
        <w:t xml:space="preserve"> – Excellent Science (kde jsou např. FET – Future and Emerging Technologies) a</w:t>
      </w:r>
      <w:r w:rsidR="00297F27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Industrial Leadership (kde jsou např. pokročilé materiály či přístup rizikového financování pro malé a střední podniky).</w:t>
      </w:r>
    </w:p>
    <w:p w14:paraId="3D9FD1A1" w14:textId="2FFCBF71" w:rsidR="00CB78E6" w:rsidRPr="00E7695F" w:rsidRDefault="00CB78E6" w:rsidP="00CB78E6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Energetika v části společenský</w:t>
      </w:r>
      <w:r w:rsidR="00C80CE5">
        <w:rPr>
          <w:rFonts w:ascii="Arial" w:eastAsia="Arial" w:hAnsi="Arial" w:cs="Arial"/>
          <w:sz w:val="22"/>
          <w:szCs w:val="22"/>
        </w:rPr>
        <w:t>ch</w:t>
      </w:r>
      <w:r w:rsidR="00BC3AB4">
        <w:rPr>
          <w:rFonts w:ascii="Arial" w:eastAsia="Arial" w:hAnsi="Arial" w:cs="Arial"/>
          <w:sz w:val="22"/>
          <w:szCs w:val="22"/>
        </w:rPr>
        <w:t xml:space="preserve"> výzev má tři hlavní části: (i) </w:t>
      </w:r>
      <w:r w:rsidRPr="00E7695F">
        <w:rPr>
          <w:rFonts w:ascii="Arial" w:eastAsia="Arial" w:hAnsi="Arial" w:cs="Arial"/>
          <w:sz w:val="22"/>
          <w:szCs w:val="22"/>
        </w:rPr>
        <w:t>energetickou účinnost, (ii)</w:t>
      </w:r>
      <w:r w:rsidR="00C80CE5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nízkouhlíkové technologie (včetně obnovitelných zdrojů) a (iii)</w:t>
      </w:r>
      <w:r w:rsidR="00C80CE5">
        <w:rPr>
          <w:rFonts w:ascii="Arial" w:eastAsia="Arial" w:hAnsi="Arial" w:cs="Arial"/>
          <w:sz w:val="22"/>
          <w:szCs w:val="22"/>
        </w:rPr>
        <w:t xml:space="preserve"> smart cities. Tyto tři</w:t>
      </w:r>
      <w:r w:rsidRPr="00E7695F">
        <w:rPr>
          <w:rFonts w:ascii="Arial" w:eastAsia="Arial" w:hAnsi="Arial" w:cs="Arial"/>
          <w:sz w:val="22"/>
          <w:szCs w:val="22"/>
        </w:rPr>
        <w:t xml:space="preserve"> části jsou doplněny mnoha dalšími oblastmi, z nichž značná část pochází z dříve samostatného (a</w:t>
      </w:r>
      <w:r w:rsidR="00C80CE5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nyní do Horizon 2020 absorbovaného) programu Intelligent Energy for Europe.</w:t>
      </w:r>
    </w:p>
    <w:p w14:paraId="5C70CBD7" w14:textId="70154B9C" w:rsidR="00CB78E6" w:rsidRPr="00E7695F" w:rsidRDefault="00CB78E6" w:rsidP="00CB78E6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Energetika v rámci Horizon 2020 je součástí dalších mechanismů</w:t>
      </w:r>
      <w:r w:rsidR="00C80CE5">
        <w:rPr>
          <w:rFonts w:ascii="Arial" w:eastAsia="Arial" w:hAnsi="Arial" w:cs="Arial"/>
          <w:sz w:val="22"/>
          <w:szCs w:val="22"/>
        </w:rPr>
        <w:t xml:space="preserve"> dosud málo využívaných</w:t>
      </w:r>
      <w:r w:rsidRPr="00E7695F">
        <w:rPr>
          <w:rFonts w:ascii="Arial" w:eastAsia="Arial" w:hAnsi="Arial" w:cs="Arial"/>
          <w:sz w:val="22"/>
          <w:szCs w:val="22"/>
        </w:rPr>
        <w:t xml:space="preserve"> subjekty z ČR – public-public partnerships (relevantní je hlavně mechanismus ERA-Net Cofund) a public-private partnerships (relevantní je především Hydrogen and Fuel Cells Joint Technology Initiative). Samostatným mechanismem podpory je EIT (European Institute for Innovation and Technology) a jeho KIC (Knowledge Innovation Communities), v rámci kterých existuje již od roku 2010.</w:t>
      </w:r>
    </w:p>
    <w:p w14:paraId="33BC64E3" w14:textId="7E37FEE7" w:rsidR="00F30870" w:rsidRPr="00E7695F" w:rsidRDefault="00CB78E6" w:rsidP="003D59F0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Účast českých subjektů v evropských mechanismech podpory výzkumu a vývoje je nedostatečná, resp</w:t>
      </w:r>
      <w:r w:rsidR="004B75BB" w:rsidRPr="00E7695F">
        <w:rPr>
          <w:rFonts w:ascii="Arial" w:eastAsia="Arial" w:hAnsi="Arial" w:cs="Arial"/>
          <w:sz w:val="22"/>
          <w:szCs w:val="22"/>
        </w:rPr>
        <w:t>ektive</w:t>
      </w:r>
      <w:r w:rsidRPr="00E7695F">
        <w:rPr>
          <w:rFonts w:ascii="Arial" w:eastAsia="Arial" w:hAnsi="Arial" w:cs="Arial"/>
          <w:sz w:val="22"/>
          <w:szCs w:val="22"/>
        </w:rPr>
        <w:t xml:space="preserve"> nevyvážená. Excelentní je tradičně v části Euratom, v jiných oblastech je naopak velmi nedostatečná. Účast subjektů z ČR v 7. rámcovém programu byla v</w:t>
      </w:r>
      <w:r w:rsidR="00C80CE5">
        <w:rPr>
          <w:rFonts w:ascii="Arial" w:eastAsia="Arial" w:hAnsi="Arial" w:cs="Arial"/>
          <w:sz w:val="22"/>
          <w:szCs w:val="22"/>
        </w:rPr>
        <w:t>e</w:t>
      </w:r>
      <w:r w:rsidRPr="00E7695F">
        <w:rPr>
          <w:rFonts w:ascii="Arial" w:eastAsia="Arial" w:hAnsi="Arial" w:cs="Arial"/>
          <w:sz w:val="22"/>
          <w:szCs w:val="22"/>
        </w:rPr>
        <w:t xml:space="preserve"> 23 projektech a programu Euratom, část jaderného štěpení (Fission) byla v 71 projektech (velká část tvoří ÚJV Řež). Účast českých subjektů v RFCS je zanedbatelná. V rámci Horizon 2020 jsou subjekty z ČR zapojeny celkem ve 22 projektech, nejčastěji však formou CSA (Coordination support action), což jsou převážně vzdělávací projekty a projekty na získání dobré praxe. Průměrná je účast v bývalém mechanismu Intelligent Energy for Europe (díky poradenským firmám působícím v oblasti energetických úspor). I proto p</w:t>
      </w:r>
      <w:r w:rsidR="003D47F5" w:rsidRPr="00E7695F">
        <w:rPr>
          <w:rFonts w:ascii="Arial" w:eastAsia="Arial" w:hAnsi="Arial" w:cs="Arial"/>
          <w:sz w:val="22"/>
          <w:szCs w:val="22"/>
        </w:rPr>
        <w:t xml:space="preserve">rogram </w:t>
      </w:r>
      <w:r w:rsidR="00C80CE5">
        <w:rPr>
          <w:rFonts w:ascii="Arial" w:eastAsia="Arial" w:hAnsi="Arial" w:cs="Arial"/>
          <w:sz w:val="22"/>
          <w:szCs w:val="22"/>
        </w:rPr>
        <w:t>THÉTA</w:t>
      </w:r>
      <w:r w:rsidR="003D47F5" w:rsidRPr="00E7695F">
        <w:rPr>
          <w:rFonts w:ascii="Arial" w:eastAsia="Arial" w:hAnsi="Arial" w:cs="Arial"/>
          <w:sz w:val="22"/>
          <w:szCs w:val="22"/>
        </w:rPr>
        <w:t xml:space="preserve"> umožňuje zapojení českých výzkumných týmů do evropských programů na podporu VaVaI v</w:t>
      </w:r>
      <w:r w:rsidRPr="00E7695F">
        <w:rPr>
          <w:rFonts w:ascii="Arial" w:eastAsia="Arial" w:hAnsi="Arial" w:cs="Arial"/>
          <w:sz w:val="22"/>
          <w:szCs w:val="22"/>
        </w:rPr>
        <w:t> </w:t>
      </w:r>
      <w:r w:rsidR="003D47F5" w:rsidRPr="00E7695F">
        <w:rPr>
          <w:rFonts w:ascii="Arial" w:eastAsia="Arial" w:hAnsi="Arial" w:cs="Arial"/>
          <w:sz w:val="22"/>
          <w:szCs w:val="22"/>
        </w:rPr>
        <w:t>oblastech, které jsou v souladu se zaměřením programu.</w:t>
      </w:r>
    </w:p>
    <w:p w14:paraId="61A7702D" w14:textId="5315482C" w:rsidR="005E443F" w:rsidRPr="00E7695F" w:rsidRDefault="005E443F" w:rsidP="005E443F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Programy podpory výzkumu a vývoje podobné programu </w:t>
      </w:r>
      <w:r w:rsidR="00C80CE5">
        <w:rPr>
          <w:rFonts w:ascii="Arial" w:eastAsia="Arial" w:hAnsi="Arial" w:cs="Arial"/>
          <w:sz w:val="22"/>
          <w:szCs w:val="22"/>
        </w:rPr>
        <w:t>THÉTA</w:t>
      </w:r>
      <w:r w:rsidRPr="00E7695F">
        <w:rPr>
          <w:rFonts w:ascii="Arial" w:eastAsia="Arial" w:hAnsi="Arial" w:cs="Arial"/>
          <w:sz w:val="22"/>
          <w:szCs w:val="22"/>
        </w:rPr>
        <w:t xml:space="preserve"> existují v řadě evropských zemí. Například v Rakousku jsou základní cíle pro energetický výzkum a vývoj definovány s</w:t>
      </w:r>
      <w:r w:rsidR="00297F27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cílem naplnění klimaticko-energetických závazků. Hlavní zdrojem finančních prostředků pro energetický výzkum a vývoj je od roku 2007 Climate and Energy Fund (spravovaný společně ministerstvy BMVIT – doprava, inovace a techno</w:t>
      </w:r>
      <w:r w:rsidR="00297F27">
        <w:rPr>
          <w:rFonts w:ascii="Arial" w:eastAsia="Arial" w:hAnsi="Arial" w:cs="Arial"/>
          <w:sz w:val="22"/>
          <w:szCs w:val="22"/>
        </w:rPr>
        <w:t>logie a BMLFUW – věda, výzkum a </w:t>
      </w:r>
      <w:r w:rsidRPr="00E7695F">
        <w:rPr>
          <w:rFonts w:ascii="Arial" w:eastAsia="Arial" w:hAnsi="Arial" w:cs="Arial"/>
          <w:sz w:val="22"/>
          <w:szCs w:val="22"/>
        </w:rPr>
        <w:t xml:space="preserve">ekonomika). Nosnými programy jsou E!Missio0n (zaměřený především na perspektivní technologie, jde tedy o ekvivalent podprogramu 3 </w:t>
      </w:r>
      <w:r w:rsidR="00C80CE5">
        <w:rPr>
          <w:rFonts w:ascii="Arial" w:eastAsia="Arial" w:hAnsi="Arial" w:cs="Arial"/>
          <w:sz w:val="22"/>
          <w:szCs w:val="22"/>
        </w:rPr>
        <w:t>THÉTA</w:t>
      </w:r>
      <w:r w:rsidRPr="00E7695F">
        <w:rPr>
          <w:rFonts w:ascii="Arial" w:eastAsia="Arial" w:hAnsi="Arial" w:cs="Arial"/>
          <w:sz w:val="22"/>
          <w:szCs w:val="22"/>
        </w:rPr>
        <w:t>, energetickou účinnost a úspory, obnovitelné zdroje, smart grids a akumulaci energie), programy Smart cities a City of tomorrow a program zaměřený na klíčové aspekty budoucí mobility, především se zaměřením na elektromobilitu.</w:t>
      </w:r>
    </w:p>
    <w:p w14:paraId="57258564" w14:textId="5FA024DF" w:rsidR="005E443F" w:rsidRPr="00E7695F" w:rsidRDefault="005E443F" w:rsidP="005E443F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>V Německu pak podpora výzkumu a vývoje (včetně energetického VaV) byla vždy na vysoké úrovni s ohledem na průmyslový charakter Německa. Podpora</w:t>
      </w:r>
      <w:r w:rsidR="00584ADA">
        <w:rPr>
          <w:rFonts w:ascii="Arial" w:eastAsia="Arial" w:hAnsi="Arial" w:cs="Arial"/>
          <w:sz w:val="22"/>
          <w:szCs w:val="22"/>
        </w:rPr>
        <w:t xml:space="preserve"> v oblasti energetiky se </w:t>
      </w:r>
      <w:proofErr w:type="spellStart"/>
      <w:r w:rsidR="00584ADA">
        <w:rPr>
          <w:rFonts w:ascii="Arial" w:eastAsia="Arial" w:hAnsi="Arial" w:cs="Arial"/>
          <w:sz w:val="22"/>
          <w:szCs w:val="22"/>
        </w:rPr>
        <w:t>realokovala</w:t>
      </w:r>
      <w:proofErr w:type="spellEnd"/>
      <w:r w:rsidRPr="00E7695F">
        <w:rPr>
          <w:rFonts w:ascii="Arial" w:eastAsia="Arial" w:hAnsi="Arial" w:cs="Arial"/>
          <w:sz w:val="22"/>
          <w:szCs w:val="22"/>
        </w:rPr>
        <w:t xml:space="preserve"> v souvislosti s Energiewende. Německá podpora energetického výzkumu a</w:t>
      </w:r>
      <w:r w:rsidR="00584ADA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vývoje činila cca 3,5 ml. EUR v období 2011-2014. Zásadními programy jsou společná iniciativa pro akumulaci energie, společná iniciativa pro budoucnost sítí a Národní inovační program pro vodíkové technologie a palivové články (NIP) – partnerství veřejného a</w:t>
      </w:r>
      <w:r w:rsidR="00584ADA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>privátního sektoru.</w:t>
      </w:r>
    </w:p>
    <w:p w14:paraId="44AD5673" w14:textId="7EF9B8A6" w:rsidR="005E443F" w:rsidRPr="00E7695F" w:rsidRDefault="005E443F" w:rsidP="005E443F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lastRenderedPageBreak/>
        <w:t>Ve Švédsku veřejná podpora výzkumu a vývoje dramaticky narostla v období 2009-2011, především díky fondům pro demonstrační projekty. Švédsko se stalo inovačním lídrem v</w:t>
      </w:r>
      <w:r w:rsidR="00297F27">
        <w:rPr>
          <w:rFonts w:ascii="Arial" w:eastAsia="Arial" w:hAnsi="Arial" w:cs="Arial"/>
          <w:sz w:val="22"/>
          <w:szCs w:val="22"/>
        </w:rPr>
        <w:t> </w:t>
      </w:r>
      <w:r w:rsidRPr="00E7695F">
        <w:rPr>
          <w:rFonts w:ascii="Arial" w:eastAsia="Arial" w:hAnsi="Arial" w:cs="Arial"/>
          <w:sz w:val="22"/>
          <w:szCs w:val="22"/>
        </w:rPr>
        <w:t xml:space="preserve">několika oblastech jako smart grids, druhá generace kapalných biopaliv a překvapivě rovněž separace a ukládání CO2 do geologického podloží (technologie CCS). Švédská energetická agentura má mnoho programů pokrývajících elektromobilitu, smart grids, systémové studie (general energy system studies, což je přímý ekvivalent podprogramu 1 </w:t>
      </w:r>
      <w:r w:rsidR="00C80CE5">
        <w:rPr>
          <w:rFonts w:ascii="Arial" w:eastAsia="Arial" w:hAnsi="Arial" w:cs="Arial"/>
          <w:sz w:val="22"/>
          <w:szCs w:val="22"/>
        </w:rPr>
        <w:t>THÉTA</w:t>
      </w:r>
      <w:r w:rsidRPr="00E7695F">
        <w:rPr>
          <w:rFonts w:ascii="Arial" w:eastAsia="Arial" w:hAnsi="Arial" w:cs="Arial"/>
          <w:sz w:val="22"/>
          <w:szCs w:val="22"/>
        </w:rPr>
        <w:t>), obnovitelné zdroje (biomasa, vodní energie, v minulosti rovněž solární energie, což bylo následně shledáno jako nepříliš efektivní cesta) či energetické úspory.</w:t>
      </w:r>
    </w:p>
    <w:p w14:paraId="6808F4C8" w14:textId="3462D98A" w:rsidR="005E443F" w:rsidRPr="00E7695F" w:rsidRDefault="005E443F" w:rsidP="005E443F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7695F">
        <w:rPr>
          <w:rFonts w:ascii="Arial" w:eastAsia="Arial" w:hAnsi="Arial" w:cs="Arial"/>
          <w:sz w:val="22"/>
          <w:szCs w:val="22"/>
        </w:rPr>
        <w:t xml:space="preserve"> </w:t>
      </w:r>
    </w:p>
    <w:sectPr w:rsidR="005E443F" w:rsidRPr="00E7695F" w:rsidSect="006A62DB">
      <w:footerReference w:type="default" r:id="rId9"/>
      <w:headerReference w:type="first" r:id="rId10"/>
      <w:pgSz w:w="11906" w:h="16838"/>
      <w:pgMar w:top="1417" w:right="1417" w:bottom="1417" w:left="1417" w:header="737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BC4DC1" w14:textId="77777777" w:rsidR="0027049E" w:rsidRDefault="0027049E">
      <w:r>
        <w:separator/>
      </w:r>
    </w:p>
  </w:endnote>
  <w:endnote w:type="continuationSeparator" w:id="0">
    <w:p w14:paraId="55449D31" w14:textId="77777777" w:rsidR="0027049E" w:rsidRDefault="00270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C0FA5" w14:textId="7658C6DD" w:rsidR="00373A3C" w:rsidRPr="002E62C5" w:rsidRDefault="00373A3C">
    <w:pPr>
      <w:pStyle w:val="Podtitul"/>
      <w:spacing w:after="720"/>
      <w:rPr>
        <w:rFonts w:asciiTheme="majorHAnsi" w:hAnsiTheme="majorHAnsi"/>
      </w:rPr>
    </w:pPr>
    <w:r w:rsidRPr="002E62C5">
      <w:rPr>
        <w:rFonts w:asciiTheme="majorHAnsi" w:eastAsia="Arial" w:hAnsiTheme="majorHAnsi" w:cs="Arial"/>
        <w:sz w:val="22"/>
        <w:szCs w:val="22"/>
      </w:rPr>
      <w:t xml:space="preserve">Stránka </w:t>
    </w:r>
    <w:r w:rsidRPr="002E62C5">
      <w:rPr>
        <w:rFonts w:asciiTheme="majorHAnsi" w:hAnsiTheme="majorHAnsi"/>
      </w:rPr>
      <w:fldChar w:fldCharType="begin"/>
    </w:r>
    <w:r w:rsidRPr="002E62C5">
      <w:rPr>
        <w:rFonts w:asciiTheme="majorHAnsi" w:hAnsiTheme="majorHAnsi"/>
      </w:rPr>
      <w:instrText>PAGE</w:instrText>
    </w:r>
    <w:r w:rsidRPr="002E62C5">
      <w:rPr>
        <w:rFonts w:asciiTheme="majorHAnsi" w:hAnsiTheme="majorHAnsi"/>
      </w:rPr>
      <w:fldChar w:fldCharType="separate"/>
    </w:r>
    <w:r w:rsidR="0096453D">
      <w:rPr>
        <w:rFonts w:asciiTheme="majorHAnsi" w:hAnsiTheme="majorHAnsi"/>
        <w:noProof/>
      </w:rPr>
      <w:t>1</w:t>
    </w:r>
    <w:r w:rsidRPr="002E62C5">
      <w:rPr>
        <w:rFonts w:asciiTheme="majorHAnsi" w:hAnsiTheme="majorHAnsi"/>
        <w:noProof/>
      </w:rPr>
      <w:fldChar w:fldCharType="end"/>
    </w:r>
    <w:r w:rsidRPr="002E62C5">
      <w:rPr>
        <w:rFonts w:asciiTheme="majorHAnsi" w:eastAsia="Arial" w:hAnsiTheme="majorHAnsi" w:cs="Arial"/>
        <w:sz w:val="22"/>
        <w:szCs w:val="22"/>
      </w:rPr>
      <w:t xml:space="preserve"> (celkem </w:t>
    </w:r>
    <w:r w:rsidRPr="002E62C5">
      <w:rPr>
        <w:rFonts w:asciiTheme="majorHAnsi" w:hAnsiTheme="majorHAnsi"/>
      </w:rPr>
      <w:fldChar w:fldCharType="begin"/>
    </w:r>
    <w:r w:rsidRPr="002E62C5">
      <w:rPr>
        <w:rFonts w:asciiTheme="majorHAnsi" w:hAnsiTheme="majorHAnsi"/>
      </w:rPr>
      <w:instrText>NUMPAGES</w:instrText>
    </w:r>
    <w:r w:rsidRPr="002E62C5">
      <w:rPr>
        <w:rFonts w:asciiTheme="majorHAnsi" w:hAnsiTheme="majorHAnsi"/>
      </w:rPr>
      <w:fldChar w:fldCharType="separate"/>
    </w:r>
    <w:r w:rsidR="0096453D">
      <w:rPr>
        <w:rFonts w:asciiTheme="majorHAnsi" w:hAnsiTheme="majorHAnsi"/>
        <w:noProof/>
      </w:rPr>
      <w:t>13</w:t>
    </w:r>
    <w:r w:rsidRPr="002E62C5">
      <w:rPr>
        <w:rFonts w:asciiTheme="majorHAnsi" w:hAnsiTheme="majorHAnsi"/>
        <w:noProof/>
      </w:rPr>
      <w:fldChar w:fldCharType="end"/>
    </w:r>
    <w:r w:rsidRPr="002E62C5">
      <w:rPr>
        <w:rFonts w:asciiTheme="majorHAnsi" w:eastAsia="Arial" w:hAnsiTheme="majorHAnsi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CE8127" w14:textId="77777777" w:rsidR="0027049E" w:rsidRDefault="0027049E">
      <w:r>
        <w:separator/>
      </w:r>
    </w:p>
  </w:footnote>
  <w:footnote w:type="continuationSeparator" w:id="0">
    <w:p w14:paraId="3CEBC2A8" w14:textId="77777777" w:rsidR="0027049E" w:rsidRDefault="0027049E">
      <w:r>
        <w:continuationSeparator/>
      </w:r>
    </w:p>
  </w:footnote>
  <w:footnote w:id="1">
    <w:p w14:paraId="5EDF54C5" w14:textId="578538AD" w:rsidR="00373A3C" w:rsidRPr="00B1207A" w:rsidRDefault="00373A3C">
      <w:pPr>
        <w:pStyle w:val="Textpoznpodarou"/>
        <w:rPr>
          <w:rFonts w:asciiTheme="majorHAnsi" w:hAnsiTheme="majorHAnsi"/>
          <w:sz w:val="18"/>
          <w:szCs w:val="18"/>
        </w:rPr>
      </w:pPr>
      <w:r w:rsidRPr="00B1207A">
        <w:rPr>
          <w:rStyle w:val="Znakapoznpodarou"/>
          <w:rFonts w:asciiTheme="majorHAnsi" w:hAnsiTheme="majorHAnsi"/>
          <w:sz w:val="18"/>
          <w:szCs w:val="18"/>
        </w:rPr>
        <w:footnoteRef/>
      </w:r>
      <w:r w:rsidRPr="00B1207A">
        <w:rPr>
          <w:rFonts w:asciiTheme="majorHAnsi" w:hAnsiTheme="majorHAnsi"/>
          <w:sz w:val="18"/>
          <w:szCs w:val="18"/>
        </w:rPr>
        <w:t xml:space="preserve"> </w:t>
      </w:r>
      <w:r w:rsidRPr="00C80CE5">
        <w:rPr>
          <w:rFonts w:ascii="Arial" w:eastAsia="Arial" w:hAnsi="Arial" w:cs="Arial"/>
          <w:sz w:val="16"/>
          <w:szCs w:val="16"/>
        </w:rPr>
        <w:t>Následně pak v rámcovém programu pro výzkum a inovace, který nahradí Horizont 2020 od roku 2021.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364FA" w14:textId="5E61EA18" w:rsidR="00373A3C" w:rsidRDefault="00373A3C" w:rsidP="00555619">
    <w:pPr>
      <w:pStyle w:val="Zhlav"/>
      <w:tabs>
        <w:tab w:val="clear" w:pos="4536"/>
        <w:tab w:val="clear" w:pos="9072"/>
        <w:tab w:val="left" w:pos="3285"/>
      </w:tabs>
    </w:pPr>
    <w:r>
      <w:rPr>
        <w:noProof/>
        <w:sz w:val="12"/>
      </w:rPr>
      <w:drawing>
        <wp:anchor distT="0" distB="0" distL="114300" distR="114300" simplePos="0" relativeHeight="251659264" behindDoc="1" locked="1" layoutInCell="0" allowOverlap="0" wp14:anchorId="4713C679" wp14:editId="74ACCFD0">
          <wp:simplePos x="0" y="0"/>
          <wp:positionH relativeFrom="page">
            <wp:posOffset>-9525</wp:posOffset>
          </wp:positionH>
          <wp:positionV relativeFrom="page">
            <wp:posOffset>-28575</wp:posOffset>
          </wp:positionV>
          <wp:extent cx="1439545" cy="1439545"/>
          <wp:effectExtent l="0" t="0" r="8255" b="825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5" cy="1439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26B3523F" w14:textId="77777777" w:rsidR="00373A3C" w:rsidRDefault="00373A3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3422"/>
    <w:multiLevelType w:val="hybridMultilevel"/>
    <w:tmpl w:val="CD082DC0"/>
    <w:lvl w:ilvl="0" w:tplc="666A5BC8">
      <w:start w:val="17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D6B3D"/>
    <w:multiLevelType w:val="multilevel"/>
    <w:tmpl w:val="2BB88F78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2">
    <w:nsid w:val="179036F4"/>
    <w:multiLevelType w:val="multilevel"/>
    <w:tmpl w:val="F460D222"/>
    <w:lvl w:ilvl="0">
      <w:start w:val="1"/>
      <w:numFmt w:val="bullet"/>
      <w:lvlText w:val="●"/>
      <w:lvlJc w:val="left"/>
      <w:pPr>
        <w:ind w:left="1070" w:firstLine="285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790" w:firstLine="501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10" w:firstLine="717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30" w:firstLine="933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50" w:firstLine="1149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70" w:firstLine="1365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390" w:firstLine="1581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10" w:firstLine="1797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30" w:firstLine="20130"/>
      </w:pPr>
      <w:rPr>
        <w:rFonts w:ascii="Arial" w:eastAsia="Arial" w:hAnsi="Arial" w:cs="Arial"/>
      </w:rPr>
    </w:lvl>
  </w:abstractNum>
  <w:abstractNum w:abstractNumId="3">
    <w:nsid w:val="1D3B2430"/>
    <w:multiLevelType w:val="multilevel"/>
    <w:tmpl w:val="065E91B2"/>
    <w:lvl w:ilvl="0">
      <w:start w:val="7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firstLine="8280"/>
      </w:pPr>
    </w:lvl>
    <w:lvl w:ilvl="2">
      <w:start w:val="1"/>
      <w:numFmt w:val="decimal"/>
      <w:lvlText w:val="%3."/>
      <w:lvlJc w:val="lef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decimal"/>
      <w:lvlText w:val="%5."/>
      <w:lvlJc w:val="left"/>
      <w:pPr>
        <w:ind w:left="3600" w:firstLine="21240"/>
      </w:pPr>
    </w:lvl>
    <w:lvl w:ilvl="5">
      <w:start w:val="1"/>
      <w:numFmt w:val="decimal"/>
      <w:lvlText w:val="%6."/>
      <w:lvlJc w:val="lef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decimal"/>
      <w:lvlText w:val="%8."/>
      <w:lvlJc w:val="left"/>
      <w:pPr>
        <w:ind w:left="5760" w:hanging="31336"/>
      </w:pPr>
    </w:lvl>
    <w:lvl w:ilvl="8">
      <w:start w:val="1"/>
      <w:numFmt w:val="decimal"/>
      <w:lvlText w:val="%9."/>
      <w:lvlJc w:val="left"/>
      <w:pPr>
        <w:ind w:left="6480" w:hanging="27016"/>
      </w:pPr>
    </w:lvl>
  </w:abstractNum>
  <w:abstractNum w:abstractNumId="4">
    <w:nsid w:val="237E5364"/>
    <w:multiLevelType w:val="multilevel"/>
    <w:tmpl w:val="C2027C50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firstLine="8280"/>
      </w:pPr>
    </w:lvl>
    <w:lvl w:ilvl="2">
      <w:start w:val="1"/>
      <w:numFmt w:val="lowerRoman"/>
      <w:lvlText w:val="%3."/>
      <w:lvlJc w:val="right"/>
      <w:pPr>
        <w:ind w:left="2160" w:firstLine="1278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lowerLetter"/>
      <w:lvlText w:val="%5."/>
      <w:lvlJc w:val="left"/>
      <w:pPr>
        <w:ind w:left="3600" w:firstLine="21240"/>
      </w:pPr>
    </w:lvl>
    <w:lvl w:ilvl="5">
      <w:start w:val="1"/>
      <w:numFmt w:val="lowerRoman"/>
      <w:lvlText w:val="%6."/>
      <w:lvlJc w:val="right"/>
      <w:pPr>
        <w:ind w:left="4320" w:firstLine="2574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lowerLetter"/>
      <w:lvlText w:val="%8."/>
      <w:lvlJc w:val="left"/>
      <w:pPr>
        <w:ind w:left="5760" w:hanging="31336"/>
      </w:pPr>
    </w:lvl>
    <w:lvl w:ilvl="8">
      <w:start w:val="1"/>
      <w:numFmt w:val="lowerRoman"/>
      <w:lvlText w:val="%9."/>
      <w:lvlJc w:val="right"/>
      <w:pPr>
        <w:ind w:left="6480" w:hanging="26836"/>
      </w:pPr>
    </w:lvl>
  </w:abstractNum>
  <w:abstractNum w:abstractNumId="5">
    <w:nsid w:val="2E6760BE"/>
    <w:multiLevelType w:val="multilevel"/>
    <w:tmpl w:val="336E8578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39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61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104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12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69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9080"/>
      </w:pPr>
      <w:rPr>
        <w:rFonts w:ascii="Arial" w:eastAsia="Arial" w:hAnsi="Arial" w:cs="Arial"/>
      </w:rPr>
    </w:lvl>
  </w:abstractNum>
  <w:abstractNum w:abstractNumId="6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7">
    <w:nsid w:val="3CEC731F"/>
    <w:multiLevelType w:val="multilevel"/>
    <w:tmpl w:val="8214A99C"/>
    <w:lvl w:ilvl="0">
      <w:start w:val="1"/>
      <w:numFmt w:val="bullet"/>
      <w:lvlText w:val="●"/>
      <w:lvlJc w:val="left"/>
      <w:pPr>
        <w:ind w:left="1423" w:firstLine="3909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43" w:firstLine="6069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63" w:firstLine="8229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583" w:firstLine="10389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03" w:firstLine="12549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23" w:firstLine="14709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43" w:firstLine="16869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63" w:firstLine="19029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183" w:firstLine="21188"/>
      </w:pPr>
      <w:rPr>
        <w:rFonts w:ascii="Arial" w:eastAsia="Arial" w:hAnsi="Arial" w:cs="Arial"/>
      </w:rPr>
    </w:lvl>
  </w:abstractNum>
  <w:abstractNum w:abstractNumId="8">
    <w:nsid w:val="43170972"/>
    <w:multiLevelType w:val="multilevel"/>
    <w:tmpl w:val="083097CE"/>
    <w:lvl w:ilvl="0">
      <w:start w:val="6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firstLine="8280"/>
      </w:pPr>
    </w:lvl>
    <w:lvl w:ilvl="2">
      <w:start w:val="1"/>
      <w:numFmt w:val="decimal"/>
      <w:lvlText w:val="%3."/>
      <w:lvlJc w:val="lef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decimal"/>
      <w:lvlText w:val="%5."/>
      <w:lvlJc w:val="left"/>
      <w:pPr>
        <w:ind w:left="3600" w:firstLine="21240"/>
      </w:pPr>
    </w:lvl>
    <w:lvl w:ilvl="5">
      <w:start w:val="1"/>
      <w:numFmt w:val="decimal"/>
      <w:lvlText w:val="%6."/>
      <w:lvlJc w:val="lef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decimal"/>
      <w:lvlText w:val="%8."/>
      <w:lvlJc w:val="left"/>
      <w:pPr>
        <w:ind w:left="5760" w:hanging="31336"/>
      </w:pPr>
    </w:lvl>
    <w:lvl w:ilvl="8">
      <w:start w:val="1"/>
      <w:numFmt w:val="decimal"/>
      <w:lvlText w:val="%9."/>
      <w:lvlJc w:val="left"/>
      <w:pPr>
        <w:ind w:left="6480" w:hanging="27016"/>
      </w:pPr>
    </w:lvl>
  </w:abstractNum>
  <w:abstractNum w:abstractNumId="9">
    <w:nsid w:val="46CD6ED9"/>
    <w:multiLevelType w:val="multilevel"/>
    <w:tmpl w:val="B8320768"/>
    <w:lvl w:ilvl="0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7200" w:firstLine="14040"/>
      </w:pPr>
      <w:rPr>
        <w:rFonts w:ascii="Arial" w:eastAsia="Arial" w:hAnsi="Arial" w:cs="Arial"/>
        <w:u w:val="none"/>
      </w:rPr>
    </w:lvl>
  </w:abstractNum>
  <w:abstractNum w:abstractNumId="10">
    <w:nsid w:val="4B3873C8"/>
    <w:multiLevelType w:val="multilevel"/>
    <w:tmpl w:val="095ED7EC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firstLine="8280"/>
      </w:pPr>
    </w:lvl>
    <w:lvl w:ilvl="2">
      <w:start w:val="1"/>
      <w:numFmt w:val="decimal"/>
      <w:lvlText w:val="%3."/>
      <w:lvlJc w:val="lef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decimal"/>
      <w:lvlText w:val="%5."/>
      <w:lvlJc w:val="left"/>
      <w:pPr>
        <w:ind w:left="3600" w:firstLine="21240"/>
      </w:pPr>
    </w:lvl>
    <w:lvl w:ilvl="5">
      <w:start w:val="1"/>
      <w:numFmt w:val="decimal"/>
      <w:lvlText w:val="%6."/>
      <w:lvlJc w:val="lef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decimal"/>
      <w:lvlText w:val="%8."/>
      <w:lvlJc w:val="left"/>
      <w:pPr>
        <w:ind w:left="5760" w:hanging="31336"/>
      </w:pPr>
    </w:lvl>
    <w:lvl w:ilvl="8">
      <w:start w:val="1"/>
      <w:numFmt w:val="decimal"/>
      <w:lvlText w:val="%9."/>
      <w:lvlJc w:val="left"/>
      <w:pPr>
        <w:ind w:left="6480" w:hanging="27016"/>
      </w:pPr>
    </w:lvl>
  </w:abstractNum>
  <w:abstractNum w:abstractNumId="11">
    <w:nsid w:val="65B10FD6"/>
    <w:multiLevelType w:val="multilevel"/>
    <w:tmpl w:val="8270811A"/>
    <w:lvl w:ilvl="0">
      <w:start w:val="1"/>
      <w:numFmt w:val="bullet"/>
      <w:lvlText w:val="●"/>
      <w:lvlJc w:val="left"/>
      <w:pPr>
        <w:ind w:left="36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28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50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72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9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115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13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58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8000"/>
      </w:pPr>
      <w:rPr>
        <w:rFonts w:ascii="Arial" w:eastAsia="Arial" w:hAnsi="Arial" w:cs="Arial"/>
      </w:rPr>
    </w:lvl>
  </w:abstractNum>
  <w:abstractNum w:abstractNumId="12">
    <w:nsid w:val="6AB32A4F"/>
    <w:multiLevelType w:val="multilevel"/>
    <w:tmpl w:val="C5FA7D3C"/>
    <w:lvl w:ilvl="0">
      <w:start w:val="2"/>
      <w:numFmt w:val="decimal"/>
      <w:lvlText w:val="%1."/>
      <w:lvlJc w:val="left"/>
      <w:pPr>
        <w:ind w:left="720" w:firstLine="39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82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26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69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21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255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298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1336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27016"/>
      </w:pPr>
      <w:rPr>
        <w:u w:val="none"/>
      </w:rPr>
    </w:lvl>
  </w:abstractNum>
  <w:abstractNum w:abstractNumId="13">
    <w:nsid w:val="6FF71716"/>
    <w:multiLevelType w:val="multilevel"/>
    <w:tmpl w:val="B110635A"/>
    <w:lvl w:ilvl="0">
      <w:start w:val="8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firstLine="8280"/>
      </w:pPr>
    </w:lvl>
    <w:lvl w:ilvl="2">
      <w:start w:val="1"/>
      <w:numFmt w:val="decimal"/>
      <w:lvlText w:val="%3."/>
      <w:lvlJc w:val="lef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decimal"/>
      <w:lvlText w:val="%5."/>
      <w:lvlJc w:val="left"/>
      <w:pPr>
        <w:ind w:left="3600" w:firstLine="21240"/>
      </w:pPr>
    </w:lvl>
    <w:lvl w:ilvl="5">
      <w:start w:val="1"/>
      <w:numFmt w:val="decimal"/>
      <w:lvlText w:val="%6."/>
      <w:lvlJc w:val="lef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decimal"/>
      <w:lvlText w:val="%8."/>
      <w:lvlJc w:val="left"/>
      <w:pPr>
        <w:ind w:left="5760" w:hanging="31336"/>
      </w:pPr>
    </w:lvl>
    <w:lvl w:ilvl="8">
      <w:start w:val="1"/>
      <w:numFmt w:val="decimal"/>
      <w:lvlText w:val="%9."/>
      <w:lvlJc w:val="left"/>
      <w:pPr>
        <w:ind w:left="6480" w:hanging="27016"/>
      </w:pPr>
    </w:lvl>
  </w:abstractNum>
  <w:abstractNum w:abstractNumId="14">
    <w:nsid w:val="743A3607"/>
    <w:multiLevelType w:val="hybridMultilevel"/>
    <w:tmpl w:val="DA5A32DC"/>
    <w:lvl w:ilvl="0" w:tplc="CA12B93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B92F2F"/>
    <w:multiLevelType w:val="multilevel"/>
    <w:tmpl w:val="BF607A96"/>
    <w:lvl w:ilvl="0">
      <w:start w:val="5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firstLine="8280"/>
      </w:pPr>
    </w:lvl>
    <w:lvl w:ilvl="2">
      <w:start w:val="1"/>
      <w:numFmt w:val="decimal"/>
      <w:lvlText w:val="%3."/>
      <w:lvlJc w:val="lef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decimal"/>
      <w:lvlText w:val="%5."/>
      <w:lvlJc w:val="left"/>
      <w:pPr>
        <w:ind w:left="3600" w:firstLine="21240"/>
      </w:pPr>
    </w:lvl>
    <w:lvl w:ilvl="5">
      <w:start w:val="1"/>
      <w:numFmt w:val="decimal"/>
      <w:lvlText w:val="%6."/>
      <w:lvlJc w:val="lef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decimal"/>
      <w:lvlText w:val="%8."/>
      <w:lvlJc w:val="left"/>
      <w:pPr>
        <w:ind w:left="5760" w:hanging="31336"/>
      </w:pPr>
    </w:lvl>
    <w:lvl w:ilvl="8">
      <w:start w:val="1"/>
      <w:numFmt w:val="decimal"/>
      <w:lvlText w:val="%9."/>
      <w:lvlJc w:val="left"/>
      <w:pPr>
        <w:ind w:left="6480" w:hanging="27016"/>
      </w:pPr>
    </w:lvl>
  </w:abstractNum>
  <w:abstractNum w:abstractNumId="16">
    <w:nsid w:val="7CC32287"/>
    <w:multiLevelType w:val="multilevel"/>
    <w:tmpl w:val="1EE0E788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>
    <w:nsid w:val="7CEA745C"/>
    <w:multiLevelType w:val="multilevel"/>
    <w:tmpl w:val="9314E8C6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firstLine="8280"/>
      </w:pPr>
    </w:lvl>
    <w:lvl w:ilvl="2">
      <w:start w:val="1"/>
      <w:numFmt w:val="decimal"/>
      <w:lvlText w:val="%3."/>
      <w:lvlJc w:val="lef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decimal"/>
      <w:lvlText w:val="%5."/>
      <w:lvlJc w:val="left"/>
      <w:pPr>
        <w:ind w:left="3600" w:firstLine="21240"/>
      </w:pPr>
    </w:lvl>
    <w:lvl w:ilvl="5">
      <w:start w:val="1"/>
      <w:numFmt w:val="decimal"/>
      <w:lvlText w:val="%6."/>
      <w:lvlJc w:val="lef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decimal"/>
      <w:lvlText w:val="%8."/>
      <w:lvlJc w:val="left"/>
      <w:pPr>
        <w:ind w:left="5760" w:hanging="31336"/>
      </w:pPr>
    </w:lvl>
    <w:lvl w:ilvl="8">
      <w:start w:val="1"/>
      <w:numFmt w:val="decimal"/>
      <w:lvlText w:val="%9."/>
      <w:lvlJc w:val="left"/>
      <w:pPr>
        <w:ind w:left="6480" w:hanging="27016"/>
      </w:pPr>
    </w:lvl>
  </w:abstractNum>
  <w:abstractNum w:abstractNumId="18">
    <w:nsid w:val="7D4E68FC"/>
    <w:multiLevelType w:val="multilevel"/>
    <w:tmpl w:val="9DCE8930"/>
    <w:lvl w:ilvl="0">
      <w:start w:val="1"/>
      <w:numFmt w:val="decimal"/>
      <w:lvlText w:val="%1."/>
      <w:lvlJc w:val="left"/>
      <w:pPr>
        <w:ind w:left="720" w:firstLine="3960"/>
      </w:pPr>
    </w:lvl>
    <w:lvl w:ilvl="1">
      <w:start w:val="1"/>
      <w:numFmt w:val="lowerLetter"/>
      <w:lvlText w:val="%2."/>
      <w:lvlJc w:val="left"/>
      <w:pPr>
        <w:ind w:left="1440" w:firstLine="8280"/>
      </w:pPr>
    </w:lvl>
    <w:lvl w:ilvl="2">
      <w:start w:val="1"/>
      <w:numFmt w:val="lowerRoman"/>
      <w:lvlText w:val="%3."/>
      <w:lvlJc w:val="righ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lowerLetter"/>
      <w:lvlText w:val="%5."/>
      <w:lvlJc w:val="left"/>
      <w:pPr>
        <w:ind w:left="3600" w:firstLine="21240"/>
      </w:pPr>
    </w:lvl>
    <w:lvl w:ilvl="5">
      <w:start w:val="1"/>
      <w:numFmt w:val="lowerRoman"/>
      <w:lvlText w:val="%6."/>
      <w:lvlJc w:val="righ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lowerLetter"/>
      <w:lvlText w:val="%8."/>
      <w:lvlJc w:val="left"/>
      <w:pPr>
        <w:ind w:left="5760" w:hanging="31336"/>
      </w:pPr>
    </w:lvl>
    <w:lvl w:ilvl="8">
      <w:start w:val="1"/>
      <w:numFmt w:val="lowerRoman"/>
      <w:lvlText w:val="%9."/>
      <w:lvlJc w:val="right"/>
      <w:pPr>
        <w:ind w:left="6480" w:hanging="27016"/>
      </w:pPr>
    </w:lvl>
  </w:abstractNum>
  <w:num w:numId="1">
    <w:abstractNumId w:val="3"/>
  </w:num>
  <w:num w:numId="2">
    <w:abstractNumId w:val="13"/>
  </w:num>
  <w:num w:numId="3">
    <w:abstractNumId w:val="18"/>
  </w:num>
  <w:num w:numId="4">
    <w:abstractNumId w:val="10"/>
  </w:num>
  <w:num w:numId="5">
    <w:abstractNumId w:val="17"/>
  </w:num>
  <w:num w:numId="6">
    <w:abstractNumId w:val="6"/>
  </w:num>
  <w:num w:numId="7">
    <w:abstractNumId w:val="8"/>
  </w:num>
  <w:num w:numId="8">
    <w:abstractNumId w:val="4"/>
  </w:num>
  <w:num w:numId="9">
    <w:abstractNumId w:val="9"/>
  </w:num>
  <w:num w:numId="10">
    <w:abstractNumId w:val="5"/>
  </w:num>
  <w:num w:numId="11">
    <w:abstractNumId w:val="12"/>
  </w:num>
  <w:num w:numId="12">
    <w:abstractNumId w:val="15"/>
  </w:num>
  <w:num w:numId="13">
    <w:abstractNumId w:val="1"/>
  </w:num>
  <w:num w:numId="14">
    <w:abstractNumId w:val="7"/>
  </w:num>
  <w:num w:numId="15">
    <w:abstractNumId w:val="2"/>
  </w:num>
  <w:num w:numId="16">
    <w:abstractNumId w:val="11"/>
  </w:num>
  <w:num w:numId="17">
    <w:abstractNumId w:val="14"/>
  </w:num>
  <w:num w:numId="18">
    <w:abstractNumId w:val="0"/>
  </w:num>
  <w:num w:numId="19">
    <w:abstractNumId w:val="0"/>
  </w:num>
  <w:num w:numId="20">
    <w:abstractNumId w:val="0"/>
  </w:num>
  <w:num w:numId="21">
    <w:abstractNumId w:val="1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870"/>
    <w:rsid w:val="00021019"/>
    <w:rsid w:val="0004665E"/>
    <w:rsid w:val="00060428"/>
    <w:rsid w:val="000A3D09"/>
    <w:rsid w:val="000B5FA8"/>
    <w:rsid w:val="000E0B0F"/>
    <w:rsid w:val="000E7FFD"/>
    <w:rsid w:val="000F7842"/>
    <w:rsid w:val="00114B89"/>
    <w:rsid w:val="00171501"/>
    <w:rsid w:val="001810C5"/>
    <w:rsid w:val="00185B28"/>
    <w:rsid w:val="00186FB0"/>
    <w:rsid w:val="0019623F"/>
    <w:rsid w:val="001A2870"/>
    <w:rsid w:val="001A6B01"/>
    <w:rsid w:val="001C5E7C"/>
    <w:rsid w:val="001D3B8B"/>
    <w:rsid w:val="001E2752"/>
    <w:rsid w:val="001E6658"/>
    <w:rsid w:val="00247F85"/>
    <w:rsid w:val="00252066"/>
    <w:rsid w:val="0027049E"/>
    <w:rsid w:val="00295A14"/>
    <w:rsid w:val="00297F27"/>
    <w:rsid w:val="002A078C"/>
    <w:rsid w:val="002A2CA1"/>
    <w:rsid w:val="002D12E3"/>
    <w:rsid w:val="002D1DF0"/>
    <w:rsid w:val="002E62C5"/>
    <w:rsid w:val="002F5640"/>
    <w:rsid w:val="00327FAB"/>
    <w:rsid w:val="0037312D"/>
    <w:rsid w:val="00373A3C"/>
    <w:rsid w:val="00380C06"/>
    <w:rsid w:val="003908A9"/>
    <w:rsid w:val="0039113F"/>
    <w:rsid w:val="003927F7"/>
    <w:rsid w:val="003A269B"/>
    <w:rsid w:val="003B5C89"/>
    <w:rsid w:val="003C68B1"/>
    <w:rsid w:val="003D47F5"/>
    <w:rsid w:val="003D59F0"/>
    <w:rsid w:val="003D7145"/>
    <w:rsid w:val="003D7F26"/>
    <w:rsid w:val="003F11D7"/>
    <w:rsid w:val="00402E9E"/>
    <w:rsid w:val="004040F8"/>
    <w:rsid w:val="00405574"/>
    <w:rsid w:val="0042041D"/>
    <w:rsid w:val="00425311"/>
    <w:rsid w:val="004443AD"/>
    <w:rsid w:val="00467C74"/>
    <w:rsid w:val="00496E9D"/>
    <w:rsid w:val="004B75BB"/>
    <w:rsid w:val="004E0A7C"/>
    <w:rsid w:val="004E68CE"/>
    <w:rsid w:val="004E7D26"/>
    <w:rsid w:val="00505C7A"/>
    <w:rsid w:val="00507156"/>
    <w:rsid w:val="00526461"/>
    <w:rsid w:val="00555619"/>
    <w:rsid w:val="00560692"/>
    <w:rsid w:val="00583533"/>
    <w:rsid w:val="00584ADA"/>
    <w:rsid w:val="005B0045"/>
    <w:rsid w:val="005D6E6A"/>
    <w:rsid w:val="005E193D"/>
    <w:rsid w:val="005E28CF"/>
    <w:rsid w:val="005E443F"/>
    <w:rsid w:val="005E6ED7"/>
    <w:rsid w:val="006046B1"/>
    <w:rsid w:val="00614152"/>
    <w:rsid w:val="00632486"/>
    <w:rsid w:val="0065217C"/>
    <w:rsid w:val="00654D53"/>
    <w:rsid w:val="00670B43"/>
    <w:rsid w:val="00675A06"/>
    <w:rsid w:val="006802BA"/>
    <w:rsid w:val="006928F2"/>
    <w:rsid w:val="006A62DB"/>
    <w:rsid w:val="006B046D"/>
    <w:rsid w:val="006D38E7"/>
    <w:rsid w:val="00701FC6"/>
    <w:rsid w:val="007363FE"/>
    <w:rsid w:val="007476A7"/>
    <w:rsid w:val="00760A14"/>
    <w:rsid w:val="007A70A9"/>
    <w:rsid w:val="007A7EA2"/>
    <w:rsid w:val="007B1EBB"/>
    <w:rsid w:val="007C4E75"/>
    <w:rsid w:val="007C782E"/>
    <w:rsid w:val="007F7A2D"/>
    <w:rsid w:val="00804D07"/>
    <w:rsid w:val="008145F2"/>
    <w:rsid w:val="00855D2B"/>
    <w:rsid w:val="00864386"/>
    <w:rsid w:val="00893838"/>
    <w:rsid w:val="008B7FB8"/>
    <w:rsid w:val="008C5B02"/>
    <w:rsid w:val="008D2C1B"/>
    <w:rsid w:val="00903085"/>
    <w:rsid w:val="009032C5"/>
    <w:rsid w:val="00911125"/>
    <w:rsid w:val="009456AA"/>
    <w:rsid w:val="00960AE6"/>
    <w:rsid w:val="0096453D"/>
    <w:rsid w:val="00991BF5"/>
    <w:rsid w:val="00994031"/>
    <w:rsid w:val="009C0272"/>
    <w:rsid w:val="009C0B90"/>
    <w:rsid w:val="009D07AA"/>
    <w:rsid w:val="009E0096"/>
    <w:rsid w:val="00A15AAE"/>
    <w:rsid w:val="00A173F4"/>
    <w:rsid w:val="00A35622"/>
    <w:rsid w:val="00A75777"/>
    <w:rsid w:val="00A900CD"/>
    <w:rsid w:val="00AC431A"/>
    <w:rsid w:val="00AD2AA8"/>
    <w:rsid w:val="00B1207A"/>
    <w:rsid w:val="00B1379F"/>
    <w:rsid w:val="00B44170"/>
    <w:rsid w:val="00B60D33"/>
    <w:rsid w:val="00BA4439"/>
    <w:rsid w:val="00BC3AB4"/>
    <w:rsid w:val="00BD24B2"/>
    <w:rsid w:val="00BD6745"/>
    <w:rsid w:val="00BD6DC2"/>
    <w:rsid w:val="00C07D86"/>
    <w:rsid w:val="00C16BDF"/>
    <w:rsid w:val="00C27780"/>
    <w:rsid w:val="00C43BF0"/>
    <w:rsid w:val="00C6054E"/>
    <w:rsid w:val="00C80CE5"/>
    <w:rsid w:val="00C962AE"/>
    <w:rsid w:val="00CB376E"/>
    <w:rsid w:val="00CB78E6"/>
    <w:rsid w:val="00CC5ACE"/>
    <w:rsid w:val="00D07E8C"/>
    <w:rsid w:val="00D30B57"/>
    <w:rsid w:val="00D574D4"/>
    <w:rsid w:val="00D63BEE"/>
    <w:rsid w:val="00DA7B42"/>
    <w:rsid w:val="00DC35C2"/>
    <w:rsid w:val="00DE0B2A"/>
    <w:rsid w:val="00E20581"/>
    <w:rsid w:val="00E34422"/>
    <w:rsid w:val="00E43B78"/>
    <w:rsid w:val="00E45AA5"/>
    <w:rsid w:val="00E519C2"/>
    <w:rsid w:val="00E7695F"/>
    <w:rsid w:val="00EB2BAC"/>
    <w:rsid w:val="00EB3076"/>
    <w:rsid w:val="00EE3B1E"/>
    <w:rsid w:val="00EE7F69"/>
    <w:rsid w:val="00F11C08"/>
    <w:rsid w:val="00F30870"/>
    <w:rsid w:val="00F61D64"/>
    <w:rsid w:val="00F83F40"/>
    <w:rsid w:val="00F8705B"/>
    <w:rsid w:val="00F94E70"/>
    <w:rsid w:val="00FB2E41"/>
    <w:rsid w:val="00FE31DB"/>
    <w:rsid w:val="00FE4970"/>
    <w:rsid w:val="00FE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8F0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4040F8"/>
  </w:style>
  <w:style w:type="paragraph" w:styleId="Nadpis1">
    <w:name w:val="heading 1"/>
    <w:basedOn w:val="Normln"/>
    <w:next w:val="Nadpis2"/>
    <w:link w:val="Nadpis1Char"/>
    <w:autoRedefine/>
    <w:qFormat/>
    <w:rsid w:val="006802BA"/>
    <w:pPr>
      <w:keepNext/>
      <w:keepLines/>
      <w:numPr>
        <w:numId w:val="21"/>
      </w:numPr>
      <w:spacing w:before="360" w:after="120" w:line="276" w:lineRule="auto"/>
      <w:ind w:left="431" w:hanging="431"/>
      <w:outlineLvl w:val="0"/>
    </w:pPr>
    <w:rPr>
      <w:rFonts w:ascii="Calibri" w:eastAsia="Calibri" w:hAnsi="Calibri" w:cs="Calibri"/>
      <w:sz w:val="22"/>
      <w:szCs w:val="48"/>
    </w:rPr>
  </w:style>
  <w:style w:type="paragraph" w:styleId="Nadpis2">
    <w:name w:val="heading 2"/>
    <w:basedOn w:val="Nadpis1"/>
    <w:next w:val="Normln"/>
    <w:link w:val="Nadpis2Char"/>
    <w:autoRedefine/>
    <w:qFormat/>
    <w:rsid w:val="004443AD"/>
    <w:pPr>
      <w:numPr>
        <w:ilvl w:val="1"/>
      </w:numPr>
      <w:spacing w:before="480" w:after="80"/>
      <w:ind w:left="578" w:hanging="578"/>
      <w:outlineLvl w:val="1"/>
    </w:pPr>
    <w:rPr>
      <w:rFonts w:ascii="Arial" w:hAnsi="Arial" w:cs="Arial"/>
      <w:b/>
      <w:szCs w:val="36"/>
    </w:rPr>
  </w:style>
  <w:style w:type="paragraph" w:styleId="Nadpis3">
    <w:name w:val="heading 3"/>
    <w:basedOn w:val="Normln"/>
    <w:next w:val="Normln"/>
    <w:rsid w:val="004040F8"/>
    <w:pPr>
      <w:keepNext/>
      <w:keepLines/>
      <w:numPr>
        <w:ilvl w:val="2"/>
        <w:numId w:val="21"/>
      </w:numPr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dpis4">
    <w:name w:val="heading 4"/>
    <w:basedOn w:val="Normln"/>
    <w:next w:val="Normln"/>
    <w:rsid w:val="004040F8"/>
    <w:pPr>
      <w:keepNext/>
      <w:keepLines/>
      <w:numPr>
        <w:ilvl w:val="3"/>
        <w:numId w:val="21"/>
      </w:numPr>
      <w:spacing w:before="240" w:after="40" w:line="276" w:lineRule="auto"/>
      <w:outlineLvl w:val="3"/>
    </w:pPr>
    <w:rPr>
      <w:rFonts w:ascii="Calibri" w:eastAsia="Calibri" w:hAnsi="Calibri" w:cs="Calibri"/>
      <w:b/>
    </w:rPr>
  </w:style>
  <w:style w:type="paragraph" w:styleId="Nadpis5">
    <w:name w:val="heading 5"/>
    <w:basedOn w:val="Normln"/>
    <w:next w:val="Normln"/>
    <w:rsid w:val="004040F8"/>
    <w:pPr>
      <w:keepNext/>
      <w:keepLines/>
      <w:numPr>
        <w:ilvl w:val="4"/>
        <w:numId w:val="21"/>
      </w:numPr>
      <w:spacing w:before="220" w:after="40" w:line="276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dpis6">
    <w:name w:val="heading 6"/>
    <w:basedOn w:val="Normln"/>
    <w:next w:val="Normln"/>
    <w:rsid w:val="004040F8"/>
    <w:pPr>
      <w:keepNext/>
      <w:keepLines/>
      <w:numPr>
        <w:ilvl w:val="5"/>
        <w:numId w:val="21"/>
      </w:numPr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55D2B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55D2B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55D2B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rsid w:val="004040F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rsid w:val="004040F8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</w:rPr>
  </w:style>
  <w:style w:type="paragraph" w:styleId="Podtitul">
    <w:name w:val="Subtitle"/>
    <w:basedOn w:val="Normln"/>
    <w:next w:val="Normln"/>
    <w:rsid w:val="004040F8"/>
    <w:pPr>
      <w:keepNext/>
      <w:keepLines/>
      <w:spacing w:after="60"/>
      <w:jc w:val="center"/>
    </w:pPr>
    <w:rPr>
      <w:rFonts w:ascii="Cambria" w:eastAsia="Cambria" w:hAnsi="Cambria" w:cs="Cambria"/>
      <w:i/>
      <w:color w:val="666666"/>
    </w:rPr>
  </w:style>
  <w:style w:type="table" w:customStyle="1" w:styleId="a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2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4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rsid w:val="004040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40F8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4040F8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07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07A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7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76A7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715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715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0715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80C06"/>
    <w:pPr>
      <w:ind w:left="720"/>
      <w:contextualSpacing/>
    </w:pPr>
  </w:style>
  <w:style w:type="paragraph" w:styleId="Revize">
    <w:name w:val="Revision"/>
    <w:hidden/>
    <w:uiPriority w:val="99"/>
    <w:semiHidden/>
    <w:rsid w:val="00380C06"/>
  </w:style>
  <w:style w:type="paragraph" w:styleId="Zhlav">
    <w:name w:val="header"/>
    <w:basedOn w:val="Normln"/>
    <w:link w:val="ZhlavChar"/>
    <w:uiPriority w:val="99"/>
    <w:unhideWhenUsed/>
    <w:rsid w:val="002E6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62C5"/>
  </w:style>
  <w:style w:type="paragraph" w:styleId="Zpat">
    <w:name w:val="footer"/>
    <w:basedOn w:val="Normln"/>
    <w:link w:val="ZpatChar"/>
    <w:uiPriority w:val="99"/>
    <w:unhideWhenUsed/>
    <w:rsid w:val="002E6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2C5"/>
  </w:style>
  <w:style w:type="character" w:styleId="Hypertextovodkaz">
    <w:name w:val="Hyperlink"/>
    <w:basedOn w:val="Standardnpsmoodstavce"/>
    <w:uiPriority w:val="99"/>
    <w:unhideWhenUsed/>
    <w:rsid w:val="008D2C1B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6802BA"/>
    <w:rPr>
      <w:rFonts w:ascii="Calibri" w:eastAsia="Calibri" w:hAnsi="Calibri" w:cs="Calibri"/>
      <w:sz w:val="22"/>
      <w:szCs w:val="48"/>
    </w:rPr>
  </w:style>
  <w:style w:type="character" w:customStyle="1" w:styleId="Nadpis2Char">
    <w:name w:val="Nadpis 2 Char"/>
    <w:basedOn w:val="Nadpis1Char"/>
    <w:link w:val="Nadpis2"/>
    <w:rsid w:val="004443AD"/>
    <w:rPr>
      <w:rFonts w:ascii="Arial" w:eastAsia="Calibri" w:hAnsi="Arial" w:cs="Arial"/>
      <w:b/>
      <w:sz w:val="22"/>
      <w:szCs w:val="3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55D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55D2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55D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4040F8"/>
  </w:style>
  <w:style w:type="paragraph" w:styleId="Nadpis1">
    <w:name w:val="heading 1"/>
    <w:basedOn w:val="Normln"/>
    <w:next w:val="Nadpis2"/>
    <w:link w:val="Nadpis1Char"/>
    <w:autoRedefine/>
    <w:qFormat/>
    <w:rsid w:val="006802BA"/>
    <w:pPr>
      <w:keepNext/>
      <w:keepLines/>
      <w:numPr>
        <w:numId w:val="21"/>
      </w:numPr>
      <w:spacing w:before="360" w:after="120" w:line="276" w:lineRule="auto"/>
      <w:ind w:left="431" w:hanging="431"/>
      <w:outlineLvl w:val="0"/>
    </w:pPr>
    <w:rPr>
      <w:rFonts w:ascii="Calibri" w:eastAsia="Calibri" w:hAnsi="Calibri" w:cs="Calibri"/>
      <w:sz w:val="22"/>
      <w:szCs w:val="48"/>
    </w:rPr>
  </w:style>
  <w:style w:type="paragraph" w:styleId="Nadpis2">
    <w:name w:val="heading 2"/>
    <w:basedOn w:val="Nadpis1"/>
    <w:next w:val="Normln"/>
    <w:link w:val="Nadpis2Char"/>
    <w:autoRedefine/>
    <w:qFormat/>
    <w:rsid w:val="004443AD"/>
    <w:pPr>
      <w:numPr>
        <w:ilvl w:val="1"/>
      </w:numPr>
      <w:spacing w:before="480" w:after="80"/>
      <w:ind w:left="578" w:hanging="578"/>
      <w:outlineLvl w:val="1"/>
    </w:pPr>
    <w:rPr>
      <w:rFonts w:ascii="Arial" w:hAnsi="Arial" w:cs="Arial"/>
      <w:b/>
      <w:szCs w:val="36"/>
    </w:rPr>
  </w:style>
  <w:style w:type="paragraph" w:styleId="Nadpis3">
    <w:name w:val="heading 3"/>
    <w:basedOn w:val="Normln"/>
    <w:next w:val="Normln"/>
    <w:rsid w:val="004040F8"/>
    <w:pPr>
      <w:keepNext/>
      <w:keepLines/>
      <w:numPr>
        <w:ilvl w:val="2"/>
        <w:numId w:val="21"/>
      </w:numPr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dpis4">
    <w:name w:val="heading 4"/>
    <w:basedOn w:val="Normln"/>
    <w:next w:val="Normln"/>
    <w:rsid w:val="004040F8"/>
    <w:pPr>
      <w:keepNext/>
      <w:keepLines/>
      <w:numPr>
        <w:ilvl w:val="3"/>
        <w:numId w:val="21"/>
      </w:numPr>
      <w:spacing w:before="240" w:after="40" w:line="276" w:lineRule="auto"/>
      <w:outlineLvl w:val="3"/>
    </w:pPr>
    <w:rPr>
      <w:rFonts w:ascii="Calibri" w:eastAsia="Calibri" w:hAnsi="Calibri" w:cs="Calibri"/>
      <w:b/>
    </w:rPr>
  </w:style>
  <w:style w:type="paragraph" w:styleId="Nadpis5">
    <w:name w:val="heading 5"/>
    <w:basedOn w:val="Normln"/>
    <w:next w:val="Normln"/>
    <w:rsid w:val="004040F8"/>
    <w:pPr>
      <w:keepNext/>
      <w:keepLines/>
      <w:numPr>
        <w:ilvl w:val="4"/>
        <w:numId w:val="21"/>
      </w:numPr>
      <w:spacing w:before="220" w:after="40" w:line="276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dpis6">
    <w:name w:val="heading 6"/>
    <w:basedOn w:val="Normln"/>
    <w:next w:val="Normln"/>
    <w:rsid w:val="004040F8"/>
    <w:pPr>
      <w:keepNext/>
      <w:keepLines/>
      <w:numPr>
        <w:ilvl w:val="5"/>
        <w:numId w:val="21"/>
      </w:numPr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55D2B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55D2B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55D2B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rsid w:val="004040F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rsid w:val="004040F8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</w:rPr>
  </w:style>
  <w:style w:type="paragraph" w:styleId="Podtitul">
    <w:name w:val="Subtitle"/>
    <w:basedOn w:val="Normln"/>
    <w:next w:val="Normln"/>
    <w:rsid w:val="004040F8"/>
    <w:pPr>
      <w:keepNext/>
      <w:keepLines/>
      <w:spacing w:after="60"/>
      <w:jc w:val="center"/>
    </w:pPr>
    <w:rPr>
      <w:rFonts w:ascii="Cambria" w:eastAsia="Cambria" w:hAnsi="Cambria" w:cs="Cambria"/>
      <w:i/>
      <w:color w:val="666666"/>
    </w:rPr>
  </w:style>
  <w:style w:type="table" w:customStyle="1" w:styleId="a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2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4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rsid w:val="004040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40F8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4040F8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07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07A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7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76A7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715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715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0715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80C06"/>
    <w:pPr>
      <w:ind w:left="720"/>
      <w:contextualSpacing/>
    </w:pPr>
  </w:style>
  <w:style w:type="paragraph" w:styleId="Revize">
    <w:name w:val="Revision"/>
    <w:hidden/>
    <w:uiPriority w:val="99"/>
    <w:semiHidden/>
    <w:rsid w:val="00380C06"/>
  </w:style>
  <w:style w:type="paragraph" w:styleId="Zhlav">
    <w:name w:val="header"/>
    <w:basedOn w:val="Normln"/>
    <w:link w:val="ZhlavChar"/>
    <w:uiPriority w:val="99"/>
    <w:unhideWhenUsed/>
    <w:rsid w:val="002E6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62C5"/>
  </w:style>
  <w:style w:type="paragraph" w:styleId="Zpat">
    <w:name w:val="footer"/>
    <w:basedOn w:val="Normln"/>
    <w:link w:val="ZpatChar"/>
    <w:uiPriority w:val="99"/>
    <w:unhideWhenUsed/>
    <w:rsid w:val="002E6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2C5"/>
  </w:style>
  <w:style w:type="character" w:styleId="Hypertextovodkaz">
    <w:name w:val="Hyperlink"/>
    <w:basedOn w:val="Standardnpsmoodstavce"/>
    <w:uiPriority w:val="99"/>
    <w:unhideWhenUsed/>
    <w:rsid w:val="008D2C1B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6802BA"/>
    <w:rPr>
      <w:rFonts w:ascii="Calibri" w:eastAsia="Calibri" w:hAnsi="Calibri" w:cs="Calibri"/>
      <w:sz w:val="22"/>
      <w:szCs w:val="48"/>
    </w:rPr>
  </w:style>
  <w:style w:type="character" w:customStyle="1" w:styleId="Nadpis2Char">
    <w:name w:val="Nadpis 2 Char"/>
    <w:basedOn w:val="Nadpis1Char"/>
    <w:link w:val="Nadpis2"/>
    <w:rsid w:val="004443AD"/>
    <w:rPr>
      <w:rFonts w:ascii="Arial" w:eastAsia="Calibri" w:hAnsi="Arial" w:cs="Arial"/>
      <w:b/>
      <w:sz w:val="22"/>
      <w:szCs w:val="3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55D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55D2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55D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3B0E0-BFFF-41CC-83EE-7C5356584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13</Pages>
  <Words>5255</Words>
  <Characters>31007</Characters>
  <Application>Microsoft Office Word</Application>
  <DocSecurity>0</DocSecurity>
  <Lines>258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Kühnelová</dc:creator>
  <cp:lastModifiedBy>Markéta Kühnelová</cp:lastModifiedBy>
  <cp:revision>21</cp:revision>
  <cp:lastPrinted>2016-10-05T09:16:00Z</cp:lastPrinted>
  <dcterms:created xsi:type="dcterms:W3CDTF">2016-09-21T20:32:00Z</dcterms:created>
  <dcterms:modified xsi:type="dcterms:W3CDTF">2016-10-05T09:29:00Z</dcterms:modified>
</cp:coreProperties>
</file>