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0B6F17">
        <w:rPr>
          <w:rFonts w:ascii="Arial" w:hAnsi="Arial" w:cs="Arial"/>
          <w:b/>
          <w:color w:val="0070C0"/>
          <w:sz w:val="28"/>
          <w:szCs w:val="28"/>
        </w:rPr>
        <w:t>říjen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79264B" w:rsidRDefault="0079264B" w:rsidP="0079264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3"/>
          <w:szCs w:val="23"/>
        </w:rPr>
      </w:pPr>
    </w:p>
    <w:p w:rsidR="00770987" w:rsidRPr="0079264B" w:rsidRDefault="00770987" w:rsidP="0079264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3"/>
          <w:szCs w:val="23"/>
        </w:rPr>
      </w:pPr>
      <w:r w:rsidRPr="0079264B">
        <w:rPr>
          <w:rFonts w:ascii="Arial" w:eastAsia="Calibri" w:hAnsi="Arial" w:cs="Arial"/>
          <w:b/>
          <w:iCs/>
          <w:color w:val="0070C0"/>
          <w:sz w:val="23"/>
          <w:szCs w:val="23"/>
        </w:rPr>
        <w:t>Evropská komise schválila aktualizaci Národní stra</w:t>
      </w:r>
      <w:r w:rsidR="0079264B">
        <w:rPr>
          <w:rFonts w:ascii="Arial" w:eastAsia="Calibri" w:hAnsi="Arial" w:cs="Arial"/>
          <w:b/>
          <w:iCs/>
          <w:color w:val="0070C0"/>
          <w:sz w:val="23"/>
          <w:szCs w:val="23"/>
        </w:rPr>
        <w:t>tegie inteligentní specializace</w:t>
      </w:r>
    </w:p>
    <w:p w:rsidR="00A863BE" w:rsidRPr="00CF7EE7" w:rsidRDefault="00A863BE" w:rsidP="00CF7EE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F7EE7">
        <w:rPr>
          <w:rFonts w:ascii="Arial" w:hAnsi="Arial" w:cs="Arial"/>
          <w:sz w:val="22"/>
          <w:szCs w:val="22"/>
        </w:rPr>
        <w:t xml:space="preserve">(zdroj: </w:t>
      </w:r>
      <w:r w:rsidR="00770987" w:rsidRPr="00CF7EE7">
        <w:rPr>
          <w:rFonts w:ascii="Arial" w:hAnsi="Arial" w:cs="Arial"/>
          <w:sz w:val="22"/>
          <w:szCs w:val="22"/>
        </w:rPr>
        <w:t>web vyzkum.cz, Euroskop</w:t>
      </w:r>
      <w:r w:rsidR="005F2FD6">
        <w:rPr>
          <w:rFonts w:ascii="Arial" w:hAnsi="Arial" w:cs="Arial"/>
          <w:sz w:val="22"/>
          <w:szCs w:val="22"/>
        </w:rPr>
        <w:t>.cz</w:t>
      </w:r>
      <w:r w:rsidRPr="00CF7EE7">
        <w:rPr>
          <w:rFonts w:ascii="Arial" w:hAnsi="Arial" w:cs="Arial"/>
          <w:sz w:val="22"/>
          <w:szCs w:val="22"/>
        </w:rPr>
        <w:t>)</w:t>
      </w:r>
    </w:p>
    <w:p w:rsidR="00A863BE" w:rsidRPr="00CF7EE7" w:rsidRDefault="00770987" w:rsidP="005F2FD6">
      <w:pPr>
        <w:autoSpaceDE w:val="0"/>
        <w:autoSpaceDN w:val="0"/>
        <w:adjustRightInd w:val="0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</w:pPr>
      <w:r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>Evropská komise schválila Národní strategii pro inteligentní specializaci České republiky</w:t>
      </w:r>
      <w:r w:rsidRPr="00CF7EE7"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  <w:t xml:space="preserve"> tzv. Národní RIS3 strategii. Cílem strategie je efektivní zacílení evropských, národních, regionálních a soukromých zdrojů v celkovém objemu až 70 miliard korun do</w:t>
      </w:r>
      <w:r w:rsidR="00F77440"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  <w:t> </w:t>
      </w:r>
      <w:r w:rsidRPr="00CF7EE7"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  <w:t xml:space="preserve">nejperspektivnějších odvětví českého hospodářství, resp. oblastí výzkumu a podnikání. Její </w:t>
      </w:r>
      <w:r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 xml:space="preserve">schválení </w:t>
      </w:r>
      <w:r w:rsidR="00146B24"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>Evropskou komisí bylo</w:t>
      </w:r>
      <w:r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 xml:space="preserve"> také předběžnou podmínkou pro čerpání evropských fondů</w:t>
      </w:r>
      <w:r w:rsidRPr="00CF7EE7"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  <w:t xml:space="preserve"> hned v několika národních operačních programech. Česká vláda dokument schválila na konci června tohoto roku a následně byl zaslán Evropské komisi.</w:t>
      </w:r>
    </w:p>
    <w:p w:rsidR="00770987" w:rsidRPr="00CF7EE7" w:rsidRDefault="00770987" w:rsidP="00CF7EE7">
      <w:pPr>
        <w:autoSpaceDE w:val="0"/>
        <w:autoSpaceDN w:val="0"/>
        <w:adjustRightInd w:val="0"/>
        <w:spacing w:before="240" w:after="24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</w:pPr>
      <w:r w:rsidRPr="00CF7EE7">
        <w:rPr>
          <w:rFonts w:asciiTheme="minorBidi" w:eastAsiaTheme="minorHAnsi" w:hAnsiTheme="minorBidi" w:cstheme="minorBidi"/>
          <w:color w:val="000000"/>
          <w:sz w:val="22"/>
          <w:szCs w:val="22"/>
          <w:lang w:eastAsia="en-US" w:bidi="he-IL"/>
        </w:rPr>
        <w:t xml:space="preserve">Prioritní oblasti podpory v rámci strategie společně určují zástupci firem, výzkumných institucí, vysokých škol, veřejné správy i neziskového sektoru. Vybranými prioritními oblastmi jsou: </w:t>
      </w:r>
      <w:r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>digitální technologie, elektrotechnik</w:t>
      </w:r>
      <w:r w:rsid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>a, dopravní prostředky pro 21. s</w:t>
      </w:r>
      <w:r w:rsidRPr="005F2FD6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 w:bidi="he-IL"/>
        </w:rPr>
        <w:t>toletí, pokročilé stroje/ průmyslové technologie, péče o zdraví a pokročilá medicína, Kulturní a kreativní průmysly, zemědělství a životní prostředí, společenské výzvy.</w:t>
      </w:r>
    </w:p>
    <w:p w:rsidR="0092644C" w:rsidRPr="00CF7EE7" w:rsidRDefault="00770987" w:rsidP="00CF7EE7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CF7EE7">
        <w:rPr>
          <w:rFonts w:asciiTheme="minorBidi" w:hAnsiTheme="minorBidi" w:cstheme="minorBidi"/>
          <w:sz w:val="22"/>
          <w:szCs w:val="22"/>
          <w:lang w:bidi="he-IL"/>
        </w:rPr>
        <w:t>Na tyto oblasti by měly být zaměřeny i výzvy z operačních programů Podnikání a inovace pro</w:t>
      </w:r>
      <w:r w:rsidR="00F77440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CF7EE7">
        <w:rPr>
          <w:rFonts w:asciiTheme="minorBidi" w:hAnsiTheme="minorBidi" w:cstheme="minorBidi"/>
          <w:sz w:val="22"/>
          <w:szCs w:val="22"/>
          <w:lang w:bidi="he-IL"/>
        </w:rPr>
        <w:t>konkurenceschopnost (OP PIK) na Ministerstvu průmyslu a obchodu, Výzkum, vývoj a</w:t>
      </w:r>
      <w:r w:rsidR="00F77440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CF7EE7">
        <w:rPr>
          <w:rFonts w:asciiTheme="minorBidi" w:hAnsiTheme="minorBidi" w:cstheme="minorBidi"/>
          <w:sz w:val="22"/>
          <w:szCs w:val="22"/>
          <w:lang w:bidi="he-IL"/>
        </w:rPr>
        <w:t>vzdělávání (OP VVV) na Ministerstvu školství a z programu Praha – pól růstu. První výzvy s úzkou vazbou na RIS3 budou vyhlášeny na podzim 2016. Pod Národní RIS3 strategii jsou částečně zahrnuty i národní programy Ministerstva průmyslu a obchodu a Technologické agentury ČR.</w:t>
      </w:r>
    </w:p>
    <w:p w:rsidR="00770987" w:rsidRPr="00CF7EE7" w:rsidRDefault="00770987" w:rsidP="00CF7EE7">
      <w:pPr>
        <w:pStyle w:val="Default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  <w:lang w:eastAsia="cs-CZ"/>
        </w:rPr>
      </w:pPr>
    </w:p>
    <w:p w:rsidR="00770987" w:rsidRPr="00CF7EE7" w:rsidRDefault="00770987" w:rsidP="00CF7EE7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bCs/>
          <w:iCs/>
          <w:color w:val="0070C0"/>
        </w:rPr>
      </w:pPr>
      <w:r w:rsidRPr="00CF7EE7">
        <w:rPr>
          <w:rFonts w:ascii="Arial" w:eastAsia="Calibri" w:hAnsi="Arial" w:cs="Arial"/>
          <w:b/>
          <w:bCs/>
          <w:iCs/>
          <w:color w:val="0070C0"/>
        </w:rPr>
        <w:t>Vláda schválila "Národní plán sítí nové generace"</w:t>
      </w:r>
    </w:p>
    <w:p w:rsidR="007929B4" w:rsidRPr="00CF7EE7" w:rsidRDefault="00770987" w:rsidP="00CF7EE7">
      <w:pPr>
        <w:shd w:val="clear" w:color="auto" w:fill="FFFFFF"/>
        <w:spacing w:after="150" w:line="276" w:lineRule="auto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CF7EE7">
        <w:rPr>
          <w:rFonts w:ascii="Arial" w:hAnsi="Arial" w:cs="Arial"/>
          <w:sz w:val="22"/>
          <w:szCs w:val="22"/>
        </w:rPr>
        <w:t>(zdroj: web MPO</w:t>
      </w:r>
      <w:r w:rsidR="007929B4" w:rsidRPr="00CF7EE7">
        <w:rPr>
          <w:rFonts w:ascii="Arial" w:hAnsi="Arial" w:cs="Arial"/>
          <w:sz w:val="22"/>
          <w:szCs w:val="22"/>
        </w:rPr>
        <w:t>)</w:t>
      </w:r>
    </w:p>
    <w:p w:rsidR="00770987" w:rsidRPr="0079264B" w:rsidRDefault="0046734A" w:rsidP="00CF7EE7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9264B">
        <w:rPr>
          <w:rFonts w:ascii="Arial" w:hAnsi="Arial" w:cs="Arial"/>
          <w:sz w:val="22"/>
          <w:szCs w:val="22"/>
        </w:rPr>
        <w:t>Vláda na svém zasedání dne 5. října 2016 schválila "Národní plán sítí nové generace".</w:t>
      </w:r>
      <w:r w:rsidRPr="0079264B">
        <w:rPr>
          <w:rFonts w:ascii="Arial" w:hAnsi="Arial" w:cs="Arial"/>
          <w:b/>
          <w:bCs/>
          <w:sz w:val="22"/>
          <w:szCs w:val="22"/>
        </w:rPr>
        <w:t xml:space="preserve"> </w:t>
      </w:r>
      <w:r w:rsidR="00770987" w:rsidRPr="0079264B">
        <w:rPr>
          <w:rFonts w:ascii="Arial" w:hAnsi="Arial" w:cs="Arial"/>
          <w:sz w:val="22"/>
          <w:szCs w:val="22"/>
        </w:rPr>
        <w:t xml:space="preserve">Národní plán je předpokladem pro realizaci specifického cíle 4. 1 Operačního programu Podnikání a inovace pro konkurenceschopnost (OP PIK) s názvem "Zvětšit pokrytí vysokorychlostním přístupem k internetu". Důležitou součástí Národního plánu je i tzv. mapa pokrytí infrastruktury, ze které vyplývá, v jakých lokalitách </w:t>
      </w:r>
      <w:r w:rsidR="00770987" w:rsidRPr="005F2FD6">
        <w:rPr>
          <w:rFonts w:ascii="Arial" w:hAnsi="Arial" w:cs="Arial"/>
          <w:b/>
          <w:bCs/>
          <w:sz w:val="22"/>
          <w:szCs w:val="22"/>
        </w:rPr>
        <w:t>neexistují přístupové sítě nové generace a ani na základě tržních mechanizmů se nehodlají budovat.</w:t>
      </w:r>
      <w:r w:rsidR="00770987" w:rsidRPr="0079264B">
        <w:rPr>
          <w:rFonts w:ascii="Arial" w:hAnsi="Arial" w:cs="Arial"/>
          <w:sz w:val="22"/>
          <w:szCs w:val="22"/>
        </w:rPr>
        <w:t xml:space="preserve"> Tyto lokality (tzv.</w:t>
      </w:r>
      <w:r w:rsidR="00F77440">
        <w:rPr>
          <w:rFonts w:ascii="Arial" w:hAnsi="Arial" w:cs="Arial"/>
          <w:sz w:val="22"/>
          <w:szCs w:val="22"/>
        </w:rPr>
        <w:t> </w:t>
      </w:r>
      <w:r w:rsidR="00770987" w:rsidRPr="0079264B">
        <w:rPr>
          <w:rFonts w:ascii="Arial" w:hAnsi="Arial" w:cs="Arial"/>
          <w:sz w:val="22"/>
          <w:szCs w:val="22"/>
        </w:rPr>
        <w:t xml:space="preserve">bílá místa) pak mohou být </w:t>
      </w:r>
      <w:r w:rsidR="00770987" w:rsidRPr="005F2FD6">
        <w:rPr>
          <w:rFonts w:ascii="Arial" w:hAnsi="Arial" w:cs="Arial"/>
          <w:b/>
          <w:bCs/>
          <w:sz w:val="22"/>
          <w:szCs w:val="22"/>
        </w:rPr>
        <w:t>předmětem podpory z veřejných zdrojů</w:t>
      </w:r>
      <w:r w:rsidR="00770987" w:rsidRPr="0079264B">
        <w:rPr>
          <w:rFonts w:ascii="Arial" w:hAnsi="Arial" w:cs="Arial"/>
          <w:sz w:val="22"/>
          <w:szCs w:val="22"/>
        </w:rPr>
        <w:t xml:space="preserve"> dle specifického cíle 4. 1 OP PIK.</w:t>
      </w:r>
    </w:p>
    <w:p w:rsidR="00770987" w:rsidRPr="0079264B" w:rsidRDefault="00770987" w:rsidP="00CF7EE7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9264B">
        <w:rPr>
          <w:rFonts w:ascii="Arial" w:hAnsi="Arial" w:cs="Arial"/>
          <w:sz w:val="22"/>
          <w:szCs w:val="22"/>
        </w:rPr>
        <w:t>Stát může podpořit rozvoj sítí elektronických komunikací prostřednictvím podpory veřejných zdrojů, která však musí být směřována pouze do lokalit, ve kterých selhávají tržní mechanizmy, aby nedošlo k vytěsnění soukromých investic. Druhým nástrojem je odstraňování legislativních a jiných bariér, které brání v budování sítí elektronických komunikací. Tyto dva nástroje tvoří páteř Národního plánu rozvoje sítí nové generace.</w:t>
      </w:r>
    </w:p>
    <w:p w:rsidR="00770987" w:rsidRPr="0079264B" w:rsidRDefault="00770987" w:rsidP="005F2FD6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9264B">
        <w:rPr>
          <w:rFonts w:ascii="Arial" w:hAnsi="Arial" w:cs="Arial"/>
          <w:sz w:val="22"/>
          <w:szCs w:val="22"/>
        </w:rPr>
        <w:t xml:space="preserve">Podle výsledků statistického šetření v roce 2015 bylo počítačem a přístupem k internetu vybaveno více než 3,1 milionu českých domácností (73 %). Budování sítí nové generace se předpokládá prostřednictvím investic soukromého sektoru a s podporou z veřejných zdrojů tak, aby do roku 2020 měli všichni obyvatelé možnost vysokorychlostního připojení </w:t>
      </w:r>
      <w:r w:rsidRPr="0079264B">
        <w:rPr>
          <w:rFonts w:ascii="Arial" w:hAnsi="Arial" w:cs="Arial"/>
          <w:sz w:val="22"/>
          <w:szCs w:val="22"/>
        </w:rPr>
        <w:lastRenderedPageBreak/>
        <w:t xml:space="preserve">rychlejšího než 30Mbit/s a aby nejméně polovina domácností měla možnost internetového připojení s rychlostí 100 </w:t>
      </w:r>
      <w:proofErr w:type="spellStart"/>
      <w:r w:rsidRPr="0079264B">
        <w:rPr>
          <w:rFonts w:ascii="Arial" w:hAnsi="Arial" w:cs="Arial"/>
          <w:sz w:val="22"/>
          <w:szCs w:val="22"/>
        </w:rPr>
        <w:t>Mbit</w:t>
      </w:r>
      <w:proofErr w:type="spellEnd"/>
      <w:r w:rsidRPr="0079264B">
        <w:rPr>
          <w:rFonts w:ascii="Arial" w:hAnsi="Arial" w:cs="Arial"/>
          <w:sz w:val="22"/>
          <w:szCs w:val="22"/>
        </w:rPr>
        <w:t>/s a více.</w:t>
      </w:r>
    </w:p>
    <w:p w:rsidR="005F2FD6" w:rsidRDefault="005F2FD6" w:rsidP="005F2FD6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>
        <w:rPr>
          <w:rFonts w:ascii="Arial" w:eastAsia="Calibri" w:hAnsi="Arial" w:cs="Arial"/>
          <w:b/>
          <w:iCs/>
          <w:color w:val="0070C0"/>
          <w:szCs w:val="22"/>
        </w:rPr>
        <w:t>Evropská komise</w:t>
      </w:r>
      <w:r w:rsidRPr="00146B24">
        <w:rPr>
          <w:rFonts w:ascii="Arial" w:eastAsia="Calibri" w:hAnsi="Arial" w:cs="Arial"/>
          <w:b/>
          <w:iCs/>
          <w:color w:val="0070C0"/>
          <w:szCs w:val="22"/>
        </w:rPr>
        <w:t xml:space="preserve"> navrhuje zvýšení rozpočtu pro H2020, Erasmus+ a COSME </w:t>
      </w:r>
    </w:p>
    <w:p w:rsidR="005F2FD6" w:rsidRDefault="005F2FD6" w:rsidP="005F2FD6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DD051D" w:rsidRPr="005F2FD6" w:rsidRDefault="005F2FD6" w:rsidP="005F2FD6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9264B">
        <w:rPr>
          <w:rFonts w:ascii="Arial" w:hAnsi="Arial" w:cs="Arial"/>
          <w:sz w:val="22"/>
          <w:szCs w:val="22"/>
        </w:rPr>
        <w:t>Evropská komise představila dne 14. září 2016 v rámci střednědobého hodnocení víceletého finančního rámce EU pro období 2014 – 2020 (</w:t>
      </w:r>
      <w:proofErr w:type="spellStart"/>
      <w:r w:rsidRPr="0079264B">
        <w:rPr>
          <w:rFonts w:ascii="Arial" w:hAnsi="Arial" w:cs="Arial"/>
          <w:sz w:val="22"/>
          <w:szCs w:val="22"/>
        </w:rPr>
        <w:t>mid</w:t>
      </w:r>
      <w:proofErr w:type="spellEnd"/>
      <w:r w:rsidRPr="0079264B">
        <w:rPr>
          <w:rFonts w:ascii="Arial" w:hAnsi="Arial" w:cs="Arial"/>
          <w:sz w:val="22"/>
          <w:szCs w:val="22"/>
        </w:rPr>
        <w:t xml:space="preserve">-term </w:t>
      </w:r>
      <w:proofErr w:type="spellStart"/>
      <w:r w:rsidRPr="0079264B">
        <w:rPr>
          <w:rFonts w:ascii="Arial" w:hAnsi="Arial" w:cs="Arial"/>
          <w:sz w:val="22"/>
          <w:szCs w:val="22"/>
        </w:rPr>
        <w:t>review</w:t>
      </w:r>
      <w:proofErr w:type="spellEnd"/>
      <w:r w:rsidRPr="007926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64B">
        <w:rPr>
          <w:rFonts w:ascii="Arial" w:hAnsi="Arial" w:cs="Arial"/>
          <w:sz w:val="22"/>
          <w:szCs w:val="22"/>
        </w:rPr>
        <w:t>of</w:t>
      </w:r>
      <w:proofErr w:type="spellEnd"/>
      <w:r w:rsidRPr="007926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64B">
        <w:rPr>
          <w:rFonts w:ascii="Arial" w:hAnsi="Arial" w:cs="Arial"/>
          <w:sz w:val="22"/>
          <w:szCs w:val="22"/>
        </w:rPr>
        <w:t>the</w:t>
      </w:r>
      <w:proofErr w:type="spellEnd"/>
      <w:r w:rsidRPr="007926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64B">
        <w:rPr>
          <w:rFonts w:ascii="Arial" w:hAnsi="Arial" w:cs="Arial"/>
          <w:sz w:val="22"/>
          <w:szCs w:val="22"/>
        </w:rPr>
        <w:t>multiannual</w:t>
      </w:r>
      <w:proofErr w:type="spellEnd"/>
      <w:r w:rsidRPr="0079264B">
        <w:rPr>
          <w:rFonts w:ascii="Arial" w:hAnsi="Arial" w:cs="Arial"/>
          <w:sz w:val="22"/>
          <w:szCs w:val="22"/>
        </w:rPr>
        <w:t xml:space="preserve"> EU budget 2014-2020) </w:t>
      </w:r>
      <w:r w:rsidRPr="0079264B">
        <w:rPr>
          <w:rFonts w:ascii="Arial" w:hAnsi="Arial" w:cs="Arial"/>
          <w:b/>
          <w:bCs/>
          <w:sz w:val="22"/>
          <w:szCs w:val="22"/>
        </w:rPr>
        <w:t xml:space="preserve">návrh na zásadní navýšení rozpočtu evropských programů pro </w:t>
      </w:r>
      <w:proofErr w:type="spellStart"/>
      <w:r w:rsidRPr="0079264B">
        <w:rPr>
          <w:rFonts w:ascii="Arial" w:hAnsi="Arial" w:cs="Arial"/>
          <w:b/>
          <w:bCs/>
          <w:sz w:val="22"/>
          <w:szCs w:val="22"/>
        </w:rPr>
        <w:t>VaVaI</w:t>
      </w:r>
      <w:proofErr w:type="spellEnd"/>
      <w:r w:rsidRPr="0079264B">
        <w:rPr>
          <w:rFonts w:ascii="Arial" w:hAnsi="Arial" w:cs="Arial"/>
          <w:b/>
          <w:bCs/>
          <w:sz w:val="22"/>
          <w:szCs w:val="22"/>
        </w:rPr>
        <w:t>, vzdělávání a drobné podnikání</w:t>
      </w:r>
      <w:r w:rsidRPr="0079264B">
        <w:rPr>
          <w:rFonts w:ascii="Arial" w:hAnsi="Arial" w:cs="Arial"/>
          <w:sz w:val="22"/>
          <w:szCs w:val="22"/>
        </w:rPr>
        <w:t>. EK konkrétně počítá v letech 2017 – 2020 s navýšením rozpočtu programu Horizont 2020 (400 milionů eur), Erasmus+ (200 milionů eur) a COSME (200 milionů eur). Legislativní návrh musí být schválen Evropským parlamentem a Radou do</w:t>
      </w:r>
      <w:r w:rsidR="00F77440">
        <w:rPr>
          <w:rFonts w:ascii="Arial" w:hAnsi="Arial" w:cs="Arial"/>
          <w:sz w:val="22"/>
          <w:szCs w:val="22"/>
        </w:rPr>
        <w:t> </w:t>
      </w:r>
      <w:r w:rsidRPr="0079264B">
        <w:rPr>
          <w:rFonts w:ascii="Arial" w:hAnsi="Arial" w:cs="Arial"/>
          <w:sz w:val="22"/>
          <w:szCs w:val="22"/>
        </w:rPr>
        <w:t>konce kalendářního roku.</w:t>
      </w:r>
    </w:p>
    <w:p w:rsidR="0092644C" w:rsidRPr="00CF7EE7" w:rsidRDefault="00DD051D" w:rsidP="00CF7EE7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</w:rPr>
      </w:pPr>
      <w:r w:rsidRPr="00CF7EE7">
        <w:rPr>
          <w:rFonts w:ascii="Arial" w:eastAsia="Calibri" w:hAnsi="Arial" w:cs="Arial"/>
          <w:b/>
          <w:iCs/>
          <w:color w:val="0070C0"/>
        </w:rPr>
        <w:t>OP Praha – Pól růstu: Podpora transferu technologií a znalostí z výzkumných organizací do praxe</w:t>
      </w:r>
    </w:p>
    <w:p w:rsidR="0092644C" w:rsidRPr="00CF7EE7" w:rsidRDefault="0092644C" w:rsidP="00CF7EE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F7EE7">
        <w:rPr>
          <w:rFonts w:ascii="Arial" w:hAnsi="Arial" w:cs="Arial"/>
          <w:sz w:val="22"/>
          <w:szCs w:val="22"/>
        </w:rPr>
        <w:t xml:space="preserve">(zdroj: web </w:t>
      </w:r>
      <w:r w:rsidR="0046734A" w:rsidRPr="00CF7EE7">
        <w:rPr>
          <w:rFonts w:ascii="Arial" w:hAnsi="Arial" w:cs="Arial"/>
          <w:sz w:val="22"/>
          <w:szCs w:val="22"/>
        </w:rPr>
        <w:t>MHMP</w:t>
      </w:r>
      <w:r w:rsidRPr="00CF7EE7">
        <w:rPr>
          <w:rFonts w:ascii="Arial" w:hAnsi="Arial" w:cs="Arial"/>
          <w:sz w:val="22"/>
          <w:szCs w:val="22"/>
        </w:rPr>
        <w:t>)</w:t>
      </w:r>
    </w:p>
    <w:p w:rsidR="00DD051D" w:rsidRPr="00CF7EE7" w:rsidRDefault="00DD051D" w:rsidP="00CF7EE7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CF7EE7">
        <w:rPr>
          <w:rFonts w:asciiTheme="minorBidi" w:hAnsiTheme="minorBidi" w:cstheme="minorBidi"/>
          <w:sz w:val="22"/>
          <w:szCs w:val="22"/>
        </w:rPr>
        <w:t xml:space="preserve">Výzva č. 24 Podpora transferu technologií a znalostí z výzkumných organizací do praxe v rámci Operačního programu Praha – pól růstu ČR byla vyhlášená </w:t>
      </w:r>
      <w:r w:rsidR="005F2FD6">
        <w:rPr>
          <w:rFonts w:asciiTheme="minorBidi" w:hAnsiTheme="minorBidi" w:cstheme="minorBidi"/>
          <w:sz w:val="22"/>
          <w:szCs w:val="22"/>
        </w:rPr>
        <w:t xml:space="preserve">dne </w:t>
      </w:r>
      <w:r w:rsidRPr="00CF7EE7">
        <w:rPr>
          <w:rFonts w:asciiTheme="minorBidi" w:hAnsiTheme="minorBidi" w:cstheme="minorBidi"/>
          <w:sz w:val="22"/>
          <w:szCs w:val="22"/>
        </w:rPr>
        <w:t xml:space="preserve">29. září 2016. Žadatelé mohou předkládat žádosti o podporu </w:t>
      </w:r>
      <w:r w:rsidRPr="00CF7EE7">
        <w:rPr>
          <w:rFonts w:asciiTheme="minorBidi" w:hAnsiTheme="minorBidi" w:cstheme="minorBidi"/>
          <w:b/>
          <w:bCs/>
          <w:sz w:val="22"/>
          <w:szCs w:val="22"/>
        </w:rPr>
        <w:t>od 31. října 2016 do 28. února 2017</w:t>
      </w:r>
      <w:r w:rsidRPr="00CF7EE7">
        <w:rPr>
          <w:rFonts w:asciiTheme="minorBidi" w:hAnsiTheme="minorBidi" w:cstheme="minorBidi"/>
          <w:sz w:val="22"/>
          <w:szCs w:val="22"/>
        </w:rPr>
        <w:t xml:space="preserve">. </w:t>
      </w:r>
      <w:r w:rsidR="00CF7EE7" w:rsidRPr="00CF7EE7">
        <w:rPr>
          <w:rFonts w:asciiTheme="minorBidi" w:hAnsiTheme="minorBidi" w:cstheme="minorBidi"/>
          <w:sz w:val="22"/>
          <w:szCs w:val="22"/>
        </w:rPr>
        <w:t xml:space="preserve">Celková alokace na výzvu je </w:t>
      </w:r>
      <w:r w:rsidR="00CF7EE7" w:rsidRPr="00CF7EE7">
        <w:rPr>
          <w:rFonts w:asciiTheme="minorBidi" w:hAnsiTheme="minorBidi" w:cstheme="minorBidi"/>
          <w:b/>
          <w:bCs/>
          <w:sz w:val="22"/>
          <w:szCs w:val="22"/>
        </w:rPr>
        <w:t>400 mil. Kč.</w:t>
      </w:r>
      <w:r w:rsidR="00CF7EE7" w:rsidRPr="00CF7EE7">
        <w:rPr>
          <w:rFonts w:asciiTheme="minorBidi" w:hAnsiTheme="minorBidi" w:cstheme="minorBidi"/>
          <w:sz w:val="22"/>
          <w:szCs w:val="22"/>
        </w:rPr>
        <w:t xml:space="preserve"> </w:t>
      </w:r>
      <w:r w:rsidRPr="00CF7EE7">
        <w:rPr>
          <w:rFonts w:asciiTheme="minorBidi" w:hAnsiTheme="minorBidi" w:cstheme="minorBidi"/>
          <w:sz w:val="22"/>
          <w:szCs w:val="22"/>
        </w:rPr>
        <w:t>Investiční priority výzvy se zaměřují zejména na</w:t>
      </w:r>
      <w:r w:rsidR="00F77440">
        <w:rPr>
          <w:rFonts w:asciiTheme="minorBidi" w:hAnsiTheme="minorBidi" w:cstheme="minorBidi"/>
          <w:sz w:val="22"/>
          <w:szCs w:val="22"/>
        </w:rPr>
        <w:t> </w:t>
      </w:r>
      <w:r w:rsidRPr="00CF7EE7">
        <w:rPr>
          <w:rStyle w:val="akcezoznamtext3"/>
          <w:rFonts w:asciiTheme="minorBidi" w:hAnsiTheme="minorBidi" w:cstheme="minorBidi"/>
          <w:sz w:val="22"/>
          <w:szCs w:val="22"/>
          <w:specVanish w:val="0"/>
        </w:rPr>
        <w:t>podporu podnikových investic do výzkumu a inovací a na vytváření vazeb a</w:t>
      </w:r>
      <w:r w:rsidR="00F77440">
        <w:rPr>
          <w:rStyle w:val="akcezoznamtext3"/>
          <w:rFonts w:asciiTheme="minorBidi" w:hAnsiTheme="minorBidi" w:cstheme="minorBidi"/>
          <w:sz w:val="22"/>
          <w:szCs w:val="22"/>
        </w:rPr>
        <w:t> </w:t>
      </w:r>
      <w:bookmarkStart w:id="0" w:name="_GoBack"/>
      <w:bookmarkEnd w:id="0"/>
      <w:r w:rsidRPr="00CF7EE7">
        <w:rPr>
          <w:rStyle w:val="akcezoznamtext3"/>
          <w:rFonts w:asciiTheme="minorBidi" w:hAnsiTheme="minorBidi" w:cstheme="minorBidi"/>
          <w:sz w:val="22"/>
          <w:szCs w:val="22"/>
          <w:specVanish w:val="0"/>
        </w:rPr>
        <w:t>součinnosti mezi podniky, středisky výzkumu a vývoje a odvětvím vysokoškolského vzdělávání.</w:t>
      </w:r>
      <w:r w:rsidRPr="00CF7EE7">
        <w:rPr>
          <w:rFonts w:asciiTheme="minorBidi" w:hAnsiTheme="minorBidi" w:cstheme="minorBidi"/>
          <w:sz w:val="22"/>
          <w:szCs w:val="22"/>
        </w:rPr>
        <w:t xml:space="preserve"> Všechny informace související s žádostí o podporu jsou dostupné na webu http://penizeproprahu.cz/vyzvy/</w:t>
      </w:r>
      <w:r w:rsidR="00CF7EE7" w:rsidRPr="00CF7EE7">
        <w:rPr>
          <w:rFonts w:asciiTheme="minorBidi" w:hAnsiTheme="minorBidi" w:cstheme="minorBidi"/>
          <w:sz w:val="22"/>
          <w:szCs w:val="22"/>
        </w:rPr>
        <w:t>.</w:t>
      </w:r>
    </w:p>
    <w:p w:rsidR="00DD051D" w:rsidRPr="00CF7EE7" w:rsidRDefault="00DD051D" w:rsidP="00CF7EE7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8B4E5D" w:rsidRPr="00493653" w:rsidRDefault="008B4E5D" w:rsidP="007926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B4E5D" w:rsidRPr="00493653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81" w:rsidRDefault="00985481">
      <w:r>
        <w:separator/>
      </w:r>
    </w:p>
  </w:endnote>
  <w:endnote w:type="continuationSeparator" w:id="0">
    <w:p w:rsidR="00985481" w:rsidRDefault="0098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77440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77440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77440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77440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81" w:rsidRDefault="00985481">
      <w:r>
        <w:separator/>
      </w:r>
    </w:p>
  </w:footnote>
  <w:footnote w:type="continuationSeparator" w:id="0">
    <w:p w:rsidR="00985481" w:rsidRDefault="0098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4E1758" wp14:editId="23E27DD6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AD3F14" wp14:editId="7459C67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0B6F17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319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47448"/>
    <w:rsid w:val="00075037"/>
    <w:rsid w:val="00086B8A"/>
    <w:rsid w:val="000B17A0"/>
    <w:rsid w:val="000B6F17"/>
    <w:rsid w:val="00103339"/>
    <w:rsid w:val="00110409"/>
    <w:rsid w:val="00125B0A"/>
    <w:rsid w:val="00146B24"/>
    <w:rsid w:val="00151CAE"/>
    <w:rsid w:val="00172C2E"/>
    <w:rsid w:val="0020502B"/>
    <w:rsid w:val="00214AF0"/>
    <w:rsid w:val="0027209D"/>
    <w:rsid w:val="00304769"/>
    <w:rsid w:val="003C0E36"/>
    <w:rsid w:val="00414F21"/>
    <w:rsid w:val="00451786"/>
    <w:rsid w:val="0046734A"/>
    <w:rsid w:val="00493653"/>
    <w:rsid w:val="004C0965"/>
    <w:rsid w:val="0052249D"/>
    <w:rsid w:val="00522FCE"/>
    <w:rsid w:val="005B444A"/>
    <w:rsid w:val="005D62BF"/>
    <w:rsid w:val="005F2FD6"/>
    <w:rsid w:val="00604DDE"/>
    <w:rsid w:val="006532AF"/>
    <w:rsid w:val="00660F71"/>
    <w:rsid w:val="006739C2"/>
    <w:rsid w:val="006E753B"/>
    <w:rsid w:val="00736308"/>
    <w:rsid w:val="007664DC"/>
    <w:rsid w:val="00770987"/>
    <w:rsid w:val="0079264B"/>
    <w:rsid w:val="007929B4"/>
    <w:rsid w:val="007A17F9"/>
    <w:rsid w:val="007B28E9"/>
    <w:rsid w:val="007D3CD7"/>
    <w:rsid w:val="007D4913"/>
    <w:rsid w:val="007D513D"/>
    <w:rsid w:val="007F4CCB"/>
    <w:rsid w:val="00800B43"/>
    <w:rsid w:val="00854163"/>
    <w:rsid w:val="008710A2"/>
    <w:rsid w:val="00894733"/>
    <w:rsid w:val="008B4E5D"/>
    <w:rsid w:val="00916E39"/>
    <w:rsid w:val="0092644C"/>
    <w:rsid w:val="00953317"/>
    <w:rsid w:val="00985481"/>
    <w:rsid w:val="009C5F5B"/>
    <w:rsid w:val="009C770A"/>
    <w:rsid w:val="00A03BAD"/>
    <w:rsid w:val="00A16F42"/>
    <w:rsid w:val="00A31ABB"/>
    <w:rsid w:val="00A56499"/>
    <w:rsid w:val="00A863BE"/>
    <w:rsid w:val="00B24B48"/>
    <w:rsid w:val="00B705E6"/>
    <w:rsid w:val="00B76D66"/>
    <w:rsid w:val="00BB1CAC"/>
    <w:rsid w:val="00BB27B1"/>
    <w:rsid w:val="00BE3825"/>
    <w:rsid w:val="00C04B87"/>
    <w:rsid w:val="00C543C8"/>
    <w:rsid w:val="00C56B46"/>
    <w:rsid w:val="00CB5F3A"/>
    <w:rsid w:val="00CD3ED2"/>
    <w:rsid w:val="00CE433A"/>
    <w:rsid w:val="00CF7EE7"/>
    <w:rsid w:val="00D54DB4"/>
    <w:rsid w:val="00D67F41"/>
    <w:rsid w:val="00D8368E"/>
    <w:rsid w:val="00DB610C"/>
    <w:rsid w:val="00DD051D"/>
    <w:rsid w:val="00DE78B7"/>
    <w:rsid w:val="00DF7525"/>
    <w:rsid w:val="00E10540"/>
    <w:rsid w:val="00E43456"/>
    <w:rsid w:val="00E56D35"/>
    <w:rsid w:val="00E94579"/>
    <w:rsid w:val="00EF3740"/>
    <w:rsid w:val="00F23145"/>
    <w:rsid w:val="00F23154"/>
    <w:rsid w:val="00F37F8C"/>
    <w:rsid w:val="00F646B5"/>
    <w:rsid w:val="00F77440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F0FB-DAAE-4DD9-B272-6B8E7F27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6</cp:revision>
  <dcterms:created xsi:type="dcterms:W3CDTF">2016-10-12T12:21:00Z</dcterms:created>
  <dcterms:modified xsi:type="dcterms:W3CDTF">2016-10-17T10:25:00Z</dcterms:modified>
</cp:coreProperties>
</file>