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footer3.xml" ContentType="application/vnd.openxmlformats-officedocument.wordprocessingml.footer+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footer4.xml" ContentType="application/vnd.openxmlformats-officedocument.wordprocessingml.footer+xml"/>
  <Override PartName="/word/charts/chart23.xml" ContentType="application/vnd.openxmlformats-officedocument.drawingml.chart+xml"/>
  <Override PartName="/word/theme/themeOverride3.xml" ContentType="application/vnd.openxmlformats-officedocument.themeOverride+xml"/>
  <Override PartName="/word/charts/chart24.xml" ContentType="application/vnd.openxmlformats-officedocument.drawingml.chart+xml"/>
  <Override PartName="/word/theme/themeOverride4.xml" ContentType="application/vnd.openxmlformats-officedocument.themeOverride+xml"/>
  <Override PartName="/word/charts/chart25.xml" ContentType="application/vnd.openxmlformats-officedocument.drawingml.chart+xml"/>
  <Override PartName="/word/theme/themeOverride5.xml" ContentType="application/vnd.openxmlformats-officedocument.themeOverride+xml"/>
  <Override PartName="/word/charts/chart26.xml" ContentType="application/vnd.openxmlformats-officedocument.drawingml.chart+xml"/>
  <Override PartName="/word/theme/themeOverride6.xml" ContentType="application/vnd.openxmlformats-officedocument.themeOverride+xml"/>
  <Override PartName="/word/charts/chart27.xml" ContentType="application/vnd.openxmlformats-officedocument.drawingml.chart+xml"/>
  <Override PartName="/word/theme/themeOverride7.xml" ContentType="application/vnd.openxmlformats-officedocument.themeOverride+xml"/>
  <Override PartName="/word/charts/chart28.xml" ContentType="application/vnd.openxmlformats-officedocument.drawingml.chart+xml"/>
  <Override PartName="/word/theme/themeOverride8.xml" ContentType="application/vnd.openxmlformats-officedocument.themeOverride+xml"/>
  <Override PartName="/word/charts/chart29.xml" ContentType="application/vnd.openxmlformats-officedocument.drawingml.chart+xml"/>
  <Override PartName="/word/theme/themeOverride9.xml" ContentType="application/vnd.openxmlformats-officedocument.themeOverride+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drawings/drawing1.xml" ContentType="application/vnd.openxmlformats-officedocument.drawingml.chartshapes+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4B3F" w:rsidRDefault="005C4B3F" w:rsidP="005C4B3F">
      <w:pPr>
        <w:jc w:val="center"/>
        <w:rPr>
          <w:rFonts w:asciiTheme="majorHAnsi" w:hAnsiTheme="majorHAnsi"/>
          <w:color w:val="365F91" w:themeColor="accent1" w:themeShade="BF"/>
          <w:sz w:val="36"/>
          <w:szCs w:val="36"/>
        </w:rPr>
      </w:pPr>
      <w:r w:rsidRPr="005C4B3F">
        <w:rPr>
          <w:rFonts w:asciiTheme="majorHAnsi" w:hAnsiTheme="majorHAnsi"/>
          <w:color w:val="365F91" w:themeColor="accent1" w:themeShade="BF"/>
          <w:sz w:val="36"/>
          <w:szCs w:val="36"/>
        </w:rPr>
        <w:t>Analýza stavu výzkumu, vývoje a inovací v České republice a</w:t>
      </w:r>
      <w:r w:rsidR="00F10606">
        <w:rPr>
          <w:rFonts w:asciiTheme="majorHAnsi" w:hAnsiTheme="majorHAnsi"/>
          <w:color w:val="365F91" w:themeColor="accent1" w:themeShade="BF"/>
          <w:sz w:val="36"/>
          <w:szCs w:val="36"/>
        </w:rPr>
        <w:t> </w:t>
      </w:r>
      <w:r w:rsidRPr="005C4B3F">
        <w:rPr>
          <w:rFonts w:asciiTheme="majorHAnsi" w:hAnsiTheme="majorHAnsi"/>
          <w:color w:val="365F91" w:themeColor="accent1" w:themeShade="BF"/>
          <w:sz w:val="36"/>
          <w:szCs w:val="36"/>
        </w:rPr>
        <w:t xml:space="preserve">jejich srovnání se zahraničím v roce </w:t>
      </w:r>
      <w:r w:rsidR="00D617E7">
        <w:rPr>
          <w:rFonts w:asciiTheme="majorHAnsi" w:hAnsiTheme="majorHAnsi"/>
          <w:color w:val="365F91" w:themeColor="accent1" w:themeShade="BF"/>
          <w:sz w:val="36"/>
          <w:szCs w:val="36"/>
        </w:rPr>
        <w:t>2015</w:t>
      </w:r>
    </w:p>
    <w:p w:rsidR="002701E4" w:rsidRDefault="002701E4" w:rsidP="005C4B3F">
      <w:pPr>
        <w:jc w:val="center"/>
        <w:rPr>
          <w:rFonts w:asciiTheme="majorHAnsi" w:hAnsiTheme="majorHAnsi"/>
          <w:color w:val="365F91" w:themeColor="accent1" w:themeShade="BF"/>
          <w:sz w:val="36"/>
          <w:szCs w:val="36"/>
        </w:rPr>
      </w:pPr>
    </w:p>
    <w:sdt>
      <w:sdtPr>
        <w:rPr>
          <w:rFonts w:asciiTheme="minorHAnsi" w:eastAsiaTheme="minorHAnsi" w:hAnsiTheme="minorHAnsi" w:cstheme="minorBidi"/>
          <w:b w:val="0"/>
          <w:bCs w:val="0"/>
          <w:color w:val="auto"/>
          <w:sz w:val="22"/>
          <w:szCs w:val="22"/>
          <w:lang w:eastAsia="en-US"/>
        </w:rPr>
        <w:id w:val="936018940"/>
        <w:docPartObj>
          <w:docPartGallery w:val="Table of Contents"/>
          <w:docPartUnique/>
        </w:docPartObj>
      </w:sdtPr>
      <w:sdtContent>
        <w:p w:rsidR="002701E4" w:rsidRDefault="002701E4">
          <w:pPr>
            <w:pStyle w:val="Nadpisobsahu"/>
          </w:pPr>
          <w:r>
            <w:t>Obsah</w:t>
          </w:r>
        </w:p>
        <w:p w:rsidR="00316A5E" w:rsidRDefault="002701E4">
          <w:pPr>
            <w:pStyle w:val="Obsah1"/>
            <w:tabs>
              <w:tab w:val="left" w:pos="440"/>
              <w:tab w:val="right" w:leader="dot" w:pos="9628"/>
            </w:tabs>
            <w:rPr>
              <w:rFonts w:asciiTheme="minorHAnsi" w:eastAsiaTheme="minorEastAsia" w:hAnsiTheme="minorHAnsi"/>
              <w:noProof/>
              <w:lang w:eastAsia="cs-CZ"/>
            </w:rPr>
          </w:pPr>
          <w:r>
            <w:fldChar w:fldCharType="begin"/>
          </w:r>
          <w:r>
            <w:instrText xml:space="preserve"> TOC \o "1-3" \h \z \u </w:instrText>
          </w:r>
          <w:r>
            <w:fldChar w:fldCharType="separate"/>
          </w:r>
          <w:hyperlink w:anchor="_Toc464461094" w:history="1">
            <w:r w:rsidR="00316A5E" w:rsidRPr="00FE14B8">
              <w:rPr>
                <w:rStyle w:val="Hypertextovodkaz"/>
                <w:noProof/>
              </w:rPr>
              <w:t>1.</w:t>
            </w:r>
            <w:r w:rsidR="00316A5E">
              <w:rPr>
                <w:rFonts w:asciiTheme="minorHAnsi" w:eastAsiaTheme="minorEastAsia" w:hAnsiTheme="minorHAnsi"/>
                <w:noProof/>
                <w:lang w:eastAsia="cs-CZ"/>
              </w:rPr>
              <w:tab/>
            </w:r>
            <w:r w:rsidR="00316A5E" w:rsidRPr="00FE14B8">
              <w:rPr>
                <w:rStyle w:val="Hypertextovodkaz"/>
                <w:noProof/>
              </w:rPr>
              <w:t>Finanční toky</w:t>
            </w:r>
            <w:r w:rsidR="00316A5E">
              <w:rPr>
                <w:noProof/>
                <w:webHidden/>
              </w:rPr>
              <w:tab/>
            </w:r>
            <w:r w:rsidR="00316A5E">
              <w:rPr>
                <w:noProof/>
                <w:webHidden/>
              </w:rPr>
              <w:fldChar w:fldCharType="begin"/>
            </w:r>
            <w:r w:rsidR="00316A5E">
              <w:rPr>
                <w:noProof/>
                <w:webHidden/>
              </w:rPr>
              <w:instrText xml:space="preserve"> PAGEREF _Toc464461094 \h </w:instrText>
            </w:r>
            <w:r w:rsidR="00316A5E">
              <w:rPr>
                <w:noProof/>
                <w:webHidden/>
              </w:rPr>
            </w:r>
            <w:r w:rsidR="00316A5E">
              <w:rPr>
                <w:noProof/>
                <w:webHidden/>
              </w:rPr>
              <w:fldChar w:fldCharType="separate"/>
            </w:r>
            <w:r w:rsidR="00316A5E">
              <w:rPr>
                <w:noProof/>
                <w:webHidden/>
              </w:rPr>
              <w:t>2</w:t>
            </w:r>
            <w:r w:rsidR="00316A5E">
              <w:rPr>
                <w:noProof/>
                <w:webHidden/>
              </w:rPr>
              <w:fldChar w:fldCharType="end"/>
            </w:r>
          </w:hyperlink>
        </w:p>
        <w:p w:rsidR="00316A5E" w:rsidRDefault="00316A5E">
          <w:pPr>
            <w:pStyle w:val="Obsah1"/>
            <w:tabs>
              <w:tab w:val="left" w:pos="440"/>
              <w:tab w:val="right" w:leader="dot" w:pos="9628"/>
            </w:tabs>
            <w:rPr>
              <w:rFonts w:asciiTheme="minorHAnsi" w:eastAsiaTheme="minorEastAsia" w:hAnsiTheme="minorHAnsi"/>
              <w:noProof/>
              <w:lang w:eastAsia="cs-CZ"/>
            </w:rPr>
          </w:pPr>
          <w:hyperlink w:anchor="_Toc464461095" w:history="1">
            <w:r w:rsidRPr="00FE14B8">
              <w:rPr>
                <w:rStyle w:val="Hypertextovodkaz"/>
                <w:noProof/>
              </w:rPr>
              <w:t>2.</w:t>
            </w:r>
            <w:r>
              <w:rPr>
                <w:rFonts w:asciiTheme="minorHAnsi" w:eastAsiaTheme="minorEastAsia" w:hAnsiTheme="minorHAnsi"/>
                <w:noProof/>
                <w:lang w:eastAsia="cs-CZ"/>
              </w:rPr>
              <w:tab/>
            </w:r>
            <w:r w:rsidRPr="00FE14B8">
              <w:rPr>
                <w:rStyle w:val="Hypertextovodkaz"/>
                <w:noProof/>
              </w:rPr>
              <w:t>Financování VaVaI ze státního rozpočtu</w:t>
            </w:r>
            <w:r>
              <w:rPr>
                <w:noProof/>
                <w:webHidden/>
              </w:rPr>
              <w:tab/>
            </w:r>
            <w:r>
              <w:rPr>
                <w:noProof/>
                <w:webHidden/>
              </w:rPr>
              <w:fldChar w:fldCharType="begin"/>
            </w:r>
            <w:r>
              <w:rPr>
                <w:noProof/>
                <w:webHidden/>
              </w:rPr>
              <w:instrText xml:space="preserve"> PAGEREF _Toc464461095 \h </w:instrText>
            </w:r>
            <w:r>
              <w:rPr>
                <w:noProof/>
                <w:webHidden/>
              </w:rPr>
            </w:r>
            <w:r>
              <w:rPr>
                <w:noProof/>
                <w:webHidden/>
              </w:rPr>
              <w:fldChar w:fldCharType="separate"/>
            </w:r>
            <w:r>
              <w:rPr>
                <w:noProof/>
                <w:webHidden/>
              </w:rPr>
              <w:t>13</w:t>
            </w:r>
            <w:r>
              <w:rPr>
                <w:noProof/>
                <w:webHidden/>
              </w:rPr>
              <w:fldChar w:fldCharType="end"/>
            </w:r>
          </w:hyperlink>
        </w:p>
        <w:p w:rsidR="00316A5E" w:rsidRDefault="00316A5E">
          <w:pPr>
            <w:pStyle w:val="Obsah1"/>
            <w:tabs>
              <w:tab w:val="left" w:pos="440"/>
              <w:tab w:val="right" w:leader="dot" w:pos="9628"/>
            </w:tabs>
            <w:rPr>
              <w:rFonts w:asciiTheme="minorHAnsi" w:eastAsiaTheme="minorEastAsia" w:hAnsiTheme="minorHAnsi"/>
              <w:noProof/>
              <w:lang w:eastAsia="cs-CZ"/>
            </w:rPr>
          </w:pPr>
          <w:hyperlink w:anchor="_Toc464461096" w:history="1">
            <w:r w:rsidRPr="00FE14B8">
              <w:rPr>
                <w:rStyle w:val="Hypertextovodkaz"/>
                <w:noProof/>
              </w:rPr>
              <w:t>3.</w:t>
            </w:r>
            <w:r>
              <w:rPr>
                <w:rFonts w:asciiTheme="minorHAnsi" w:eastAsiaTheme="minorEastAsia" w:hAnsiTheme="minorHAnsi"/>
                <w:noProof/>
                <w:lang w:eastAsia="cs-CZ"/>
              </w:rPr>
              <w:tab/>
            </w:r>
            <w:r w:rsidRPr="00FE14B8">
              <w:rPr>
                <w:rStyle w:val="Hypertextovodkaz"/>
                <w:noProof/>
              </w:rPr>
              <w:t>Podpora VaVaI V ČR z evropských prostředků</w:t>
            </w:r>
            <w:r>
              <w:rPr>
                <w:noProof/>
                <w:webHidden/>
              </w:rPr>
              <w:tab/>
            </w:r>
            <w:r>
              <w:rPr>
                <w:noProof/>
                <w:webHidden/>
              </w:rPr>
              <w:fldChar w:fldCharType="begin"/>
            </w:r>
            <w:r>
              <w:rPr>
                <w:noProof/>
                <w:webHidden/>
              </w:rPr>
              <w:instrText xml:space="preserve"> PAGEREF _Toc464461096 \h </w:instrText>
            </w:r>
            <w:r>
              <w:rPr>
                <w:noProof/>
                <w:webHidden/>
              </w:rPr>
            </w:r>
            <w:r>
              <w:rPr>
                <w:noProof/>
                <w:webHidden/>
              </w:rPr>
              <w:fldChar w:fldCharType="separate"/>
            </w:r>
            <w:r>
              <w:rPr>
                <w:noProof/>
                <w:webHidden/>
              </w:rPr>
              <w:t>17</w:t>
            </w:r>
            <w:r>
              <w:rPr>
                <w:noProof/>
                <w:webHidden/>
              </w:rPr>
              <w:fldChar w:fldCharType="end"/>
            </w:r>
          </w:hyperlink>
        </w:p>
        <w:p w:rsidR="00316A5E" w:rsidRDefault="00316A5E">
          <w:pPr>
            <w:pStyle w:val="Obsah1"/>
            <w:tabs>
              <w:tab w:val="left" w:pos="660"/>
              <w:tab w:val="right" w:leader="dot" w:pos="9628"/>
            </w:tabs>
            <w:rPr>
              <w:rFonts w:asciiTheme="minorHAnsi" w:eastAsiaTheme="minorEastAsia" w:hAnsiTheme="minorHAnsi"/>
              <w:noProof/>
              <w:lang w:eastAsia="cs-CZ"/>
            </w:rPr>
          </w:pPr>
          <w:hyperlink w:anchor="_Toc464461097" w:history="1">
            <w:r w:rsidRPr="00FE14B8">
              <w:rPr>
                <w:rStyle w:val="Hypertextovodkaz"/>
                <w:noProof/>
              </w:rPr>
              <w:t>3.1</w:t>
            </w:r>
            <w:r>
              <w:rPr>
                <w:rFonts w:asciiTheme="minorHAnsi" w:eastAsiaTheme="minorEastAsia" w:hAnsiTheme="minorHAnsi"/>
                <w:noProof/>
                <w:lang w:eastAsia="cs-CZ"/>
              </w:rPr>
              <w:tab/>
            </w:r>
            <w:r w:rsidRPr="00FE14B8">
              <w:rPr>
                <w:rStyle w:val="Hypertextovodkaz"/>
                <w:noProof/>
              </w:rPr>
              <w:t>Strategický rámec podpory VaVaI v ČR z ESI fondů</w:t>
            </w:r>
            <w:r>
              <w:rPr>
                <w:noProof/>
                <w:webHidden/>
              </w:rPr>
              <w:tab/>
            </w:r>
            <w:r>
              <w:rPr>
                <w:noProof/>
                <w:webHidden/>
              </w:rPr>
              <w:fldChar w:fldCharType="begin"/>
            </w:r>
            <w:r>
              <w:rPr>
                <w:noProof/>
                <w:webHidden/>
              </w:rPr>
              <w:instrText xml:space="preserve"> PAGEREF _Toc464461097 \h </w:instrText>
            </w:r>
            <w:r>
              <w:rPr>
                <w:noProof/>
                <w:webHidden/>
              </w:rPr>
            </w:r>
            <w:r>
              <w:rPr>
                <w:noProof/>
                <w:webHidden/>
              </w:rPr>
              <w:fldChar w:fldCharType="separate"/>
            </w:r>
            <w:r>
              <w:rPr>
                <w:noProof/>
                <w:webHidden/>
              </w:rPr>
              <w:t>25</w:t>
            </w:r>
            <w:r>
              <w:rPr>
                <w:noProof/>
                <w:webHidden/>
              </w:rPr>
              <w:fldChar w:fldCharType="end"/>
            </w:r>
          </w:hyperlink>
        </w:p>
        <w:p w:rsidR="00316A5E" w:rsidRDefault="00316A5E">
          <w:pPr>
            <w:pStyle w:val="Obsah1"/>
            <w:tabs>
              <w:tab w:val="left" w:pos="660"/>
              <w:tab w:val="right" w:leader="dot" w:pos="9628"/>
            </w:tabs>
            <w:rPr>
              <w:rFonts w:asciiTheme="minorHAnsi" w:eastAsiaTheme="minorEastAsia" w:hAnsiTheme="minorHAnsi"/>
              <w:noProof/>
              <w:lang w:eastAsia="cs-CZ"/>
            </w:rPr>
          </w:pPr>
          <w:hyperlink w:anchor="_Toc464461098" w:history="1">
            <w:r w:rsidRPr="00FE14B8">
              <w:rPr>
                <w:rStyle w:val="Hypertextovodkaz"/>
                <w:noProof/>
              </w:rPr>
              <w:t>3.2</w:t>
            </w:r>
            <w:r>
              <w:rPr>
                <w:rFonts w:asciiTheme="minorHAnsi" w:eastAsiaTheme="minorEastAsia" w:hAnsiTheme="minorHAnsi"/>
                <w:noProof/>
                <w:lang w:eastAsia="cs-CZ"/>
              </w:rPr>
              <w:tab/>
            </w:r>
            <w:r w:rsidRPr="00FE14B8">
              <w:rPr>
                <w:rStyle w:val="Hypertextovodkaz"/>
                <w:noProof/>
              </w:rPr>
              <w:t>Nový rámcový program HORIZONT 2020</w:t>
            </w:r>
            <w:r>
              <w:rPr>
                <w:noProof/>
                <w:webHidden/>
              </w:rPr>
              <w:tab/>
            </w:r>
            <w:r>
              <w:rPr>
                <w:noProof/>
                <w:webHidden/>
              </w:rPr>
              <w:fldChar w:fldCharType="begin"/>
            </w:r>
            <w:r>
              <w:rPr>
                <w:noProof/>
                <w:webHidden/>
              </w:rPr>
              <w:instrText xml:space="preserve"> PAGEREF _Toc464461098 \h </w:instrText>
            </w:r>
            <w:r>
              <w:rPr>
                <w:noProof/>
                <w:webHidden/>
              </w:rPr>
            </w:r>
            <w:r>
              <w:rPr>
                <w:noProof/>
                <w:webHidden/>
              </w:rPr>
              <w:fldChar w:fldCharType="separate"/>
            </w:r>
            <w:r>
              <w:rPr>
                <w:noProof/>
                <w:webHidden/>
              </w:rPr>
              <w:t>26</w:t>
            </w:r>
            <w:r>
              <w:rPr>
                <w:noProof/>
                <w:webHidden/>
              </w:rPr>
              <w:fldChar w:fldCharType="end"/>
            </w:r>
          </w:hyperlink>
        </w:p>
        <w:p w:rsidR="00316A5E" w:rsidRDefault="00316A5E">
          <w:pPr>
            <w:pStyle w:val="Obsah1"/>
            <w:tabs>
              <w:tab w:val="left" w:pos="440"/>
              <w:tab w:val="right" w:leader="dot" w:pos="9628"/>
            </w:tabs>
            <w:rPr>
              <w:rFonts w:asciiTheme="minorHAnsi" w:eastAsiaTheme="minorEastAsia" w:hAnsiTheme="minorHAnsi"/>
              <w:noProof/>
              <w:lang w:eastAsia="cs-CZ"/>
            </w:rPr>
          </w:pPr>
          <w:hyperlink w:anchor="_Toc464461099" w:history="1">
            <w:r w:rsidRPr="00FE14B8">
              <w:rPr>
                <w:rStyle w:val="Hypertextovodkaz"/>
                <w:noProof/>
              </w:rPr>
              <w:t>4.</w:t>
            </w:r>
            <w:r>
              <w:rPr>
                <w:rFonts w:asciiTheme="minorHAnsi" w:eastAsiaTheme="minorEastAsia" w:hAnsiTheme="minorHAnsi"/>
                <w:noProof/>
                <w:lang w:eastAsia="cs-CZ"/>
              </w:rPr>
              <w:tab/>
            </w:r>
            <w:r w:rsidRPr="00FE14B8">
              <w:rPr>
                <w:rStyle w:val="Hypertextovodkaz"/>
                <w:noProof/>
              </w:rPr>
              <w:t>Lidské zdroje ve výzkumu a vývoji</w:t>
            </w:r>
            <w:r>
              <w:rPr>
                <w:noProof/>
                <w:webHidden/>
              </w:rPr>
              <w:tab/>
            </w:r>
            <w:r>
              <w:rPr>
                <w:noProof/>
                <w:webHidden/>
              </w:rPr>
              <w:fldChar w:fldCharType="begin"/>
            </w:r>
            <w:r>
              <w:rPr>
                <w:noProof/>
                <w:webHidden/>
              </w:rPr>
              <w:instrText xml:space="preserve"> PAGEREF _Toc464461099 \h </w:instrText>
            </w:r>
            <w:r>
              <w:rPr>
                <w:noProof/>
                <w:webHidden/>
              </w:rPr>
            </w:r>
            <w:r>
              <w:rPr>
                <w:noProof/>
                <w:webHidden/>
              </w:rPr>
              <w:fldChar w:fldCharType="separate"/>
            </w:r>
            <w:r>
              <w:rPr>
                <w:noProof/>
                <w:webHidden/>
              </w:rPr>
              <w:t>34</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0" w:history="1">
            <w:r w:rsidRPr="00FE14B8">
              <w:rPr>
                <w:rStyle w:val="Hypertextovodkaz"/>
                <w:noProof/>
              </w:rPr>
              <w:t>6. Výsledky výzkumu a vývoje</w:t>
            </w:r>
            <w:r>
              <w:rPr>
                <w:noProof/>
                <w:webHidden/>
              </w:rPr>
              <w:tab/>
            </w:r>
            <w:r>
              <w:rPr>
                <w:noProof/>
                <w:webHidden/>
              </w:rPr>
              <w:fldChar w:fldCharType="begin"/>
            </w:r>
            <w:r>
              <w:rPr>
                <w:noProof/>
                <w:webHidden/>
              </w:rPr>
              <w:instrText xml:space="preserve"> PAGEREF _Toc464461100 \h </w:instrText>
            </w:r>
            <w:r>
              <w:rPr>
                <w:noProof/>
                <w:webHidden/>
              </w:rPr>
            </w:r>
            <w:r>
              <w:rPr>
                <w:noProof/>
                <w:webHidden/>
              </w:rPr>
              <w:fldChar w:fldCharType="separate"/>
            </w:r>
            <w:r>
              <w:rPr>
                <w:noProof/>
                <w:webHidden/>
              </w:rPr>
              <w:t>45</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1" w:history="1">
            <w:r w:rsidRPr="00FE14B8">
              <w:rPr>
                <w:rStyle w:val="Hypertextovodkaz"/>
                <w:noProof/>
              </w:rPr>
              <w:t xml:space="preserve">6.1. </w:t>
            </w:r>
            <w:r w:rsidRPr="00FE14B8">
              <w:rPr>
                <w:rStyle w:val="Hypertextovodkaz"/>
                <w:noProof/>
                <w:highlight w:val="yellow"/>
              </w:rPr>
              <w:t>Druhy výsledků a časový trend jejich počtů</w:t>
            </w:r>
            <w:r>
              <w:rPr>
                <w:noProof/>
                <w:webHidden/>
              </w:rPr>
              <w:tab/>
            </w:r>
            <w:r>
              <w:rPr>
                <w:noProof/>
                <w:webHidden/>
              </w:rPr>
              <w:fldChar w:fldCharType="begin"/>
            </w:r>
            <w:r>
              <w:rPr>
                <w:noProof/>
                <w:webHidden/>
              </w:rPr>
              <w:instrText xml:space="preserve"> PAGEREF _Toc464461101 \h </w:instrText>
            </w:r>
            <w:r>
              <w:rPr>
                <w:noProof/>
                <w:webHidden/>
              </w:rPr>
            </w:r>
            <w:r>
              <w:rPr>
                <w:noProof/>
                <w:webHidden/>
              </w:rPr>
              <w:fldChar w:fldCharType="separate"/>
            </w:r>
            <w:r>
              <w:rPr>
                <w:noProof/>
                <w:webHidden/>
              </w:rPr>
              <w:t>46</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2" w:history="1">
            <w:r w:rsidRPr="00FE14B8">
              <w:rPr>
                <w:rStyle w:val="Hypertextovodkaz"/>
                <w:noProof/>
                <w:highlight w:val="yellow"/>
              </w:rPr>
              <w:t>6.2. Oborová struktura výsledků a její změny v čase</w:t>
            </w:r>
            <w:r>
              <w:rPr>
                <w:noProof/>
                <w:webHidden/>
              </w:rPr>
              <w:tab/>
            </w:r>
            <w:r>
              <w:rPr>
                <w:noProof/>
                <w:webHidden/>
              </w:rPr>
              <w:fldChar w:fldCharType="begin"/>
            </w:r>
            <w:r>
              <w:rPr>
                <w:noProof/>
                <w:webHidden/>
              </w:rPr>
              <w:instrText xml:space="preserve"> PAGEREF _Toc464461102 \h </w:instrText>
            </w:r>
            <w:r>
              <w:rPr>
                <w:noProof/>
                <w:webHidden/>
              </w:rPr>
            </w:r>
            <w:r>
              <w:rPr>
                <w:noProof/>
                <w:webHidden/>
              </w:rPr>
              <w:fldChar w:fldCharType="separate"/>
            </w:r>
            <w:r>
              <w:rPr>
                <w:noProof/>
                <w:webHidden/>
              </w:rPr>
              <w:t>46</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3" w:history="1">
            <w:r w:rsidRPr="00FE14B8">
              <w:rPr>
                <w:rStyle w:val="Hypertextovodkaz"/>
                <w:noProof/>
              </w:rPr>
              <w:t>6.3. Kvalita výsledků a jejich mezinárodní srovnání</w:t>
            </w:r>
            <w:r>
              <w:rPr>
                <w:noProof/>
                <w:webHidden/>
              </w:rPr>
              <w:tab/>
            </w:r>
            <w:r>
              <w:rPr>
                <w:noProof/>
                <w:webHidden/>
              </w:rPr>
              <w:fldChar w:fldCharType="begin"/>
            </w:r>
            <w:r>
              <w:rPr>
                <w:noProof/>
                <w:webHidden/>
              </w:rPr>
              <w:instrText xml:space="preserve"> PAGEREF _Toc464461103 \h </w:instrText>
            </w:r>
            <w:r>
              <w:rPr>
                <w:noProof/>
                <w:webHidden/>
              </w:rPr>
            </w:r>
            <w:r>
              <w:rPr>
                <w:noProof/>
                <w:webHidden/>
              </w:rPr>
              <w:fldChar w:fldCharType="separate"/>
            </w:r>
            <w:r>
              <w:rPr>
                <w:noProof/>
                <w:webHidden/>
              </w:rPr>
              <w:t>46</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4" w:history="1">
            <w:r w:rsidRPr="00FE14B8">
              <w:rPr>
                <w:rStyle w:val="Hypertextovodkaz"/>
                <w:noProof/>
              </w:rPr>
              <w:t>7. Hodnocení výzkumných organizací</w:t>
            </w:r>
            <w:r>
              <w:rPr>
                <w:noProof/>
                <w:webHidden/>
              </w:rPr>
              <w:tab/>
            </w:r>
            <w:r>
              <w:rPr>
                <w:noProof/>
                <w:webHidden/>
              </w:rPr>
              <w:fldChar w:fldCharType="begin"/>
            </w:r>
            <w:r>
              <w:rPr>
                <w:noProof/>
                <w:webHidden/>
              </w:rPr>
              <w:instrText xml:space="preserve"> PAGEREF _Toc464461104 \h </w:instrText>
            </w:r>
            <w:r>
              <w:rPr>
                <w:noProof/>
                <w:webHidden/>
              </w:rPr>
            </w:r>
            <w:r>
              <w:rPr>
                <w:noProof/>
                <w:webHidden/>
              </w:rPr>
              <w:fldChar w:fldCharType="separate"/>
            </w:r>
            <w:r>
              <w:rPr>
                <w:noProof/>
                <w:webHidden/>
              </w:rPr>
              <w:t>52</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5" w:history="1">
            <w:r w:rsidRPr="00FE14B8">
              <w:rPr>
                <w:rStyle w:val="Hypertextovodkaz"/>
                <w:noProof/>
              </w:rPr>
              <w:t>7.1 Vývoj způsobu hodnocení v CR</w:t>
            </w:r>
            <w:r>
              <w:rPr>
                <w:noProof/>
                <w:webHidden/>
              </w:rPr>
              <w:tab/>
            </w:r>
            <w:r>
              <w:rPr>
                <w:noProof/>
                <w:webHidden/>
              </w:rPr>
              <w:fldChar w:fldCharType="begin"/>
            </w:r>
            <w:r>
              <w:rPr>
                <w:noProof/>
                <w:webHidden/>
              </w:rPr>
              <w:instrText xml:space="preserve"> PAGEREF _Toc464461105 \h </w:instrText>
            </w:r>
            <w:r>
              <w:rPr>
                <w:noProof/>
                <w:webHidden/>
              </w:rPr>
            </w:r>
            <w:r>
              <w:rPr>
                <w:noProof/>
                <w:webHidden/>
              </w:rPr>
              <w:fldChar w:fldCharType="separate"/>
            </w:r>
            <w:r>
              <w:rPr>
                <w:noProof/>
                <w:webHidden/>
              </w:rPr>
              <w:t>53</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6" w:history="1">
            <w:r w:rsidRPr="00FE14B8">
              <w:rPr>
                <w:rStyle w:val="Hypertextovodkaz"/>
                <w:noProof/>
              </w:rPr>
              <w:t>7.2 Současná metodika hodnocení výzkumných organizací</w:t>
            </w:r>
            <w:r>
              <w:rPr>
                <w:noProof/>
                <w:webHidden/>
              </w:rPr>
              <w:tab/>
            </w:r>
            <w:r>
              <w:rPr>
                <w:noProof/>
                <w:webHidden/>
              </w:rPr>
              <w:fldChar w:fldCharType="begin"/>
            </w:r>
            <w:r>
              <w:rPr>
                <w:noProof/>
                <w:webHidden/>
              </w:rPr>
              <w:instrText xml:space="preserve"> PAGEREF _Toc464461106 \h </w:instrText>
            </w:r>
            <w:r>
              <w:rPr>
                <w:noProof/>
                <w:webHidden/>
              </w:rPr>
            </w:r>
            <w:r>
              <w:rPr>
                <w:noProof/>
                <w:webHidden/>
              </w:rPr>
              <w:fldChar w:fldCharType="separate"/>
            </w:r>
            <w:r>
              <w:rPr>
                <w:noProof/>
                <w:webHidden/>
              </w:rPr>
              <w:t>56</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7" w:history="1">
            <w:r w:rsidRPr="00FE14B8">
              <w:rPr>
                <w:rStyle w:val="Hypertextovodkaz"/>
                <w:noProof/>
              </w:rPr>
              <w:t>7.3 Hodnocení ve vztahu k oborovému členění</w:t>
            </w:r>
            <w:r>
              <w:rPr>
                <w:noProof/>
                <w:webHidden/>
              </w:rPr>
              <w:tab/>
            </w:r>
            <w:r>
              <w:rPr>
                <w:noProof/>
                <w:webHidden/>
              </w:rPr>
              <w:fldChar w:fldCharType="begin"/>
            </w:r>
            <w:r>
              <w:rPr>
                <w:noProof/>
                <w:webHidden/>
              </w:rPr>
              <w:instrText xml:space="preserve"> PAGEREF _Toc464461107 \h </w:instrText>
            </w:r>
            <w:r>
              <w:rPr>
                <w:noProof/>
                <w:webHidden/>
              </w:rPr>
            </w:r>
            <w:r>
              <w:rPr>
                <w:noProof/>
                <w:webHidden/>
              </w:rPr>
              <w:fldChar w:fldCharType="separate"/>
            </w:r>
            <w:r>
              <w:rPr>
                <w:noProof/>
                <w:webHidden/>
              </w:rPr>
              <w:t>60</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08" w:history="1">
            <w:r w:rsidRPr="00FE14B8">
              <w:rPr>
                <w:rStyle w:val="Hypertextovodkaz"/>
                <w:noProof/>
              </w:rPr>
              <w:t>7.4 Souhrn nedostatků stávajícího systému hodnocení</w:t>
            </w:r>
            <w:r>
              <w:rPr>
                <w:noProof/>
                <w:webHidden/>
              </w:rPr>
              <w:tab/>
            </w:r>
            <w:r>
              <w:rPr>
                <w:noProof/>
                <w:webHidden/>
              </w:rPr>
              <w:fldChar w:fldCharType="begin"/>
            </w:r>
            <w:r>
              <w:rPr>
                <w:noProof/>
                <w:webHidden/>
              </w:rPr>
              <w:instrText xml:space="preserve"> PAGEREF _Toc464461108 \h </w:instrText>
            </w:r>
            <w:r>
              <w:rPr>
                <w:noProof/>
                <w:webHidden/>
              </w:rPr>
            </w:r>
            <w:r>
              <w:rPr>
                <w:noProof/>
                <w:webHidden/>
              </w:rPr>
              <w:fldChar w:fldCharType="separate"/>
            </w:r>
            <w:r>
              <w:rPr>
                <w:noProof/>
                <w:webHidden/>
              </w:rPr>
              <w:t>63</w:t>
            </w:r>
            <w:r>
              <w:rPr>
                <w:noProof/>
                <w:webHidden/>
              </w:rPr>
              <w:fldChar w:fldCharType="end"/>
            </w:r>
          </w:hyperlink>
        </w:p>
        <w:p w:rsidR="00316A5E" w:rsidRDefault="00316A5E">
          <w:pPr>
            <w:pStyle w:val="Obsah2"/>
            <w:tabs>
              <w:tab w:val="right" w:leader="dot" w:pos="9628"/>
            </w:tabs>
            <w:rPr>
              <w:rFonts w:asciiTheme="minorHAnsi" w:hAnsiTheme="minorHAnsi"/>
              <w:noProof/>
            </w:rPr>
          </w:pPr>
          <w:hyperlink w:anchor="_Toc464461109" w:history="1">
            <w:r w:rsidRPr="00FE14B8">
              <w:rPr>
                <w:rStyle w:val="Hypertextovodkaz"/>
                <w:noProof/>
              </w:rPr>
              <w:t>8. Inovační výkonnost české ekonomiky a mezinárodní srovnání</w:t>
            </w:r>
            <w:r>
              <w:rPr>
                <w:noProof/>
                <w:webHidden/>
              </w:rPr>
              <w:tab/>
            </w:r>
            <w:r>
              <w:rPr>
                <w:noProof/>
                <w:webHidden/>
              </w:rPr>
              <w:fldChar w:fldCharType="begin"/>
            </w:r>
            <w:r>
              <w:rPr>
                <w:noProof/>
                <w:webHidden/>
              </w:rPr>
              <w:instrText xml:space="preserve"> PAGEREF _Toc464461109 \h </w:instrText>
            </w:r>
            <w:r>
              <w:rPr>
                <w:noProof/>
                <w:webHidden/>
              </w:rPr>
            </w:r>
            <w:r>
              <w:rPr>
                <w:noProof/>
                <w:webHidden/>
              </w:rPr>
              <w:fldChar w:fldCharType="separate"/>
            </w:r>
            <w:r>
              <w:rPr>
                <w:noProof/>
                <w:webHidden/>
              </w:rPr>
              <w:t>64</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10" w:history="1">
            <w:r w:rsidRPr="00FE14B8">
              <w:rPr>
                <w:rStyle w:val="Hypertextovodkaz"/>
                <w:noProof/>
              </w:rPr>
              <w:t>8.1. Inovační výkon ČR na základě jednoduchých indikátorů</w:t>
            </w:r>
            <w:r>
              <w:rPr>
                <w:noProof/>
                <w:webHidden/>
              </w:rPr>
              <w:tab/>
            </w:r>
            <w:r>
              <w:rPr>
                <w:noProof/>
                <w:webHidden/>
              </w:rPr>
              <w:fldChar w:fldCharType="begin"/>
            </w:r>
            <w:r>
              <w:rPr>
                <w:noProof/>
                <w:webHidden/>
              </w:rPr>
              <w:instrText xml:space="preserve"> PAGEREF _Toc464461110 \h </w:instrText>
            </w:r>
            <w:r>
              <w:rPr>
                <w:noProof/>
                <w:webHidden/>
              </w:rPr>
            </w:r>
            <w:r>
              <w:rPr>
                <w:noProof/>
                <w:webHidden/>
              </w:rPr>
              <w:fldChar w:fldCharType="separate"/>
            </w:r>
            <w:r>
              <w:rPr>
                <w:noProof/>
                <w:webHidden/>
              </w:rPr>
              <w:t>64</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11" w:history="1">
            <w:r w:rsidRPr="00FE14B8">
              <w:rPr>
                <w:rStyle w:val="Hypertextovodkaz"/>
                <w:rFonts w:eastAsia="Times New Roman"/>
                <w:noProof/>
              </w:rPr>
              <w:t>8.2. Inovační výkon na základě kompozitních indikátorů</w:t>
            </w:r>
            <w:r>
              <w:rPr>
                <w:noProof/>
                <w:webHidden/>
              </w:rPr>
              <w:tab/>
            </w:r>
            <w:r>
              <w:rPr>
                <w:noProof/>
                <w:webHidden/>
              </w:rPr>
              <w:fldChar w:fldCharType="begin"/>
            </w:r>
            <w:r>
              <w:rPr>
                <w:noProof/>
                <w:webHidden/>
              </w:rPr>
              <w:instrText xml:space="preserve"> PAGEREF _Toc464461111 \h </w:instrText>
            </w:r>
            <w:r>
              <w:rPr>
                <w:noProof/>
                <w:webHidden/>
              </w:rPr>
            </w:r>
            <w:r>
              <w:rPr>
                <w:noProof/>
                <w:webHidden/>
              </w:rPr>
              <w:fldChar w:fldCharType="separate"/>
            </w:r>
            <w:r>
              <w:rPr>
                <w:noProof/>
                <w:webHidden/>
              </w:rPr>
              <w:t>66</w:t>
            </w:r>
            <w:r>
              <w:rPr>
                <w:noProof/>
                <w:webHidden/>
              </w:rPr>
              <w:fldChar w:fldCharType="end"/>
            </w:r>
          </w:hyperlink>
        </w:p>
        <w:p w:rsidR="00316A5E" w:rsidRDefault="00316A5E">
          <w:pPr>
            <w:pStyle w:val="Obsah1"/>
            <w:tabs>
              <w:tab w:val="right" w:leader="dot" w:pos="9628"/>
            </w:tabs>
            <w:rPr>
              <w:rFonts w:asciiTheme="minorHAnsi" w:eastAsiaTheme="minorEastAsia" w:hAnsiTheme="minorHAnsi"/>
              <w:noProof/>
              <w:lang w:eastAsia="cs-CZ"/>
            </w:rPr>
          </w:pPr>
          <w:hyperlink w:anchor="_Toc464461112" w:history="1">
            <w:r w:rsidRPr="00FE14B8">
              <w:rPr>
                <w:rStyle w:val="Hypertextovodkaz"/>
                <w:noProof/>
              </w:rPr>
              <w:t>8.3 detailní charakteristika inovujících podniků v ČR dle šetření o inovacích</w:t>
            </w:r>
            <w:r>
              <w:rPr>
                <w:noProof/>
                <w:webHidden/>
              </w:rPr>
              <w:tab/>
            </w:r>
            <w:r>
              <w:rPr>
                <w:noProof/>
                <w:webHidden/>
              </w:rPr>
              <w:fldChar w:fldCharType="begin"/>
            </w:r>
            <w:r>
              <w:rPr>
                <w:noProof/>
                <w:webHidden/>
              </w:rPr>
              <w:instrText xml:space="preserve"> PAGEREF _Toc464461112 \h </w:instrText>
            </w:r>
            <w:r>
              <w:rPr>
                <w:noProof/>
                <w:webHidden/>
              </w:rPr>
            </w:r>
            <w:r>
              <w:rPr>
                <w:noProof/>
                <w:webHidden/>
              </w:rPr>
              <w:fldChar w:fldCharType="separate"/>
            </w:r>
            <w:r>
              <w:rPr>
                <w:noProof/>
                <w:webHidden/>
              </w:rPr>
              <w:t>79</w:t>
            </w:r>
            <w:r>
              <w:rPr>
                <w:noProof/>
                <w:webHidden/>
              </w:rPr>
              <w:fldChar w:fldCharType="end"/>
            </w:r>
          </w:hyperlink>
        </w:p>
        <w:p w:rsidR="00316A5E" w:rsidRDefault="00316A5E">
          <w:pPr>
            <w:pStyle w:val="Obsah2"/>
            <w:tabs>
              <w:tab w:val="right" w:leader="dot" w:pos="9628"/>
            </w:tabs>
            <w:rPr>
              <w:rFonts w:asciiTheme="minorHAnsi" w:hAnsiTheme="minorHAnsi"/>
              <w:noProof/>
            </w:rPr>
          </w:pPr>
          <w:hyperlink w:anchor="_Toc464461113" w:history="1">
            <w:r w:rsidRPr="00FE14B8">
              <w:rPr>
                <w:rStyle w:val="Hypertextovodkaz"/>
                <w:noProof/>
              </w:rPr>
              <w:t>9. Odvětví národního hospodářství ve vazbě na VaVaI</w:t>
            </w:r>
            <w:r>
              <w:rPr>
                <w:noProof/>
                <w:webHidden/>
              </w:rPr>
              <w:tab/>
            </w:r>
            <w:r>
              <w:rPr>
                <w:noProof/>
                <w:webHidden/>
              </w:rPr>
              <w:fldChar w:fldCharType="begin"/>
            </w:r>
            <w:r>
              <w:rPr>
                <w:noProof/>
                <w:webHidden/>
              </w:rPr>
              <w:instrText xml:space="preserve"> PAGEREF _Toc464461113 \h </w:instrText>
            </w:r>
            <w:r>
              <w:rPr>
                <w:noProof/>
                <w:webHidden/>
              </w:rPr>
            </w:r>
            <w:r>
              <w:rPr>
                <w:noProof/>
                <w:webHidden/>
              </w:rPr>
              <w:fldChar w:fldCharType="separate"/>
            </w:r>
            <w:r>
              <w:rPr>
                <w:noProof/>
                <w:webHidden/>
              </w:rPr>
              <w:t>83</w:t>
            </w:r>
            <w:r>
              <w:rPr>
                <w:noProof/>
                <w:webHidden/>
              </w:rPr>
              <w:fldChar w:fldCharType="end"/>
            </w:r>
          </w:hyperlink>
        </w:p>
        <w:p w:rsidR="00316A5E" w:rsidRDefault="00316A5E">
          <w:pPr>
            <w:pStyle w:val="Obsah2"/>
            <w:tabs>
              <w:tab w:val="right" w:leader="dot" w:pos="9628"/>
            </w:tabs>
            <w:rPr>
              <w:rFonts w:asciiTheme="minorHAnsi" w:hAnsiTheme="minorHAnsi"/>
              <w:noProof/>
            </w:rPr>
          </w:pPr>
          <w:hyperlink w:anchor="_Toc464461114" w:history="1">
            <w:r w:rsidRPr="00FE14B8">
              <w:rPr>
                <w:rStyle w:val="Hypertextovodkaz"/>
                <w:noProof/>
              </w:rPr>
              <w:t>10. Datové zdroje ve VaVaI</w:t>
            </w:r>
            <w:r>
              <w:rPr>
                <w:noProof/>
                <w:webHidden/>
              </w:rPr>
              <w:tab/>
            </w:r>
            <w:r>
              <w:rPr>
                <w:noProof/>
                <w:webHidden/>
              </w:rPr>
              <w:fldChar w:fldCharType="begin"/>
            </w:r>
            <w:r>
              <w:rPr>
                <w:noProof/>
                <w:webHidden/>
              </w:rPr>
              <w:instrText xml:space="preserve"> PAGEREF _Toc464461114 \h </w:instrText>
            </w:r>
            <w:r>
              <w:rPr>
                <w:noProof/>
                <w:webHidden/>
              </w:rPr>
            </w:r>
            <w:r>
              <w:rPr>
                <w:noProof/>
                <w:webHidden/>
              </w:rPr>
              <w:fldChar w:fldCharType="separate"/>
            </w:r>
            <w:r>
              <w:rPr>
                <w:noProof/>
                <w:webHidden/>
              </w:rPr>
              <w:t>91</w:t>
            </w:r>
            <w:r>
              <w:rPr>
                <w:noProof/>
                <w:webHidden/>
              </w:rPr>
              <w:fldChar w:fldCharType="end"/>
            </w:r>
          </w:hyperlink>
        </w:p>
        <w:p w:rsidR="002701E4" w:rsidRDefault="002701E4">
          <w:r>
            <w:rPr>
              <w:b/>
              <w:bCs/>
            </w:rPr>
            <w:fldChar w:fldCharType="end"/>
          </w:r>
        </w:p>
      </w:sdtContent>
    </w:sdt>
    <w:p w:rsidR="00863581" w:rsidRDefault="00863581">
      <w:pPr>
        <w:rPr>
          <w:rFonts w:asciiTheme="majorHAnsi" w:hAnsiTheme="majorHAnsi"/>
          <w:color w:val="365F91" w:themeColor="accent1" w:themeShade="BF"/>
          <w:sz w:val="36"/>
          <w:szCs w:val="36"/>
        </w:rPr>
      </w:pPr>
      <w:r>
        <w:rPr>
          <w:rFonts w:asciiTheme="majorHAnsi" w:hAnsiTheme="majorHAnsi"/>
          <w:color w:val="365F91" w:themeColor="accent1" w:themeShade="BF"/>
          <w:sz w:val="36"/>
          <w:szCs w:val="36"/>
        </w:rPr>
        <w:br w:type="page"/>
      </w:r>
      <w:bookmarkStart w:id="0" w:name="_GoBack"/>
      <w:bookmarkEnd w:id="0"/>
    </w:p>
    <w:p w:rsidR="002B71BE" w:rsidRPr="002E2024" w:rsidRDefault="002B71BE" w:rsidP="001530DA">
      <w:pPr>
        <w:pStyle w:val="NadpisurovenI"/>
        <w:numPr>
          <w:ilvl w:val="0"/>
          <w:numId w:val="31"/>
        </w:numPr>
      </w:pPr>
      <w:bookmarkStart w:id="1" w:name="_Toc427676893"/>
      <w:bookmarkStart w:id="2" w:name="_Toc464461094"/>
      <w:r w:rsidRPr="002E2024">
        <w:lastRenderedPageBreak/>
        <w:t>Finanční toky</w:t>
      </w:r>
      <w:bookmarkEnd w:id="1"/>
      <w:bookmarkEnd w:id="2"/>
    </w:p>
    <w:p w:rsidR="000822A0" w:rsidRDefault="00F1475C" w:rsidP="00E03AF6">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Celkové výdaje na </w:t>
      </w:r>
      <w:proofErr w:type="spellStart"/>
      <w:r>
        <w:rPr>
          <w:rFonts w:ascii="Arial" w:eastAsia="Times New Roman" w:hAnsi="Arial" w:cs="Arial"/>
          <w:lang w:eastAsia="cs-CZ"/>
        </w:rPr>
        <w:t>VaVaI</w:t>
      </w:r>
      <w:proofErr w:type="spellEnd"/>
      <w:r>
        <w:rPr>
          <w:rFonts w:ascii="Arial" w:eastAsia="Times New Roman" w:hAnsi="Arial" w:cs="Arial"/>
          <w:lang w:eastAsia="cs-CZ"/>
        </w:rPr>
        <w:t xml:space="preserve"> </w:t>
      </w:r>
      <w:r w:rsidR="000822A0" w:rsidRPr="0053104B">
        <w:rPr>
          <w:rFonts w:ascii="Arial" w:eastAsia="Times New Roman" w:hAnsi="Arial" w:cs="Arial"/>
          <w:lang w:eastAsia="cs-CZ"/>
        </w:rPr>
        <w:t>v ČR v roce 201</w:t>
      </w:r>
      <w:r w:rsidR="00D617E7">
        <w:rPr>
          <w:rFonts w:ascii="Arial" w:eastAsia="Times New Roman" w:hAnsi="Arial" w:cs="Arial"/>
          <w:lang w:eastAsia="cs-CZ"/>
        </w:rPr>
        <w:t>4</w:t>
      </w:r>
      <w:r w:rsidR="000822A0" w:rsidRPr="0053104B">
        <w:rPr>
          <w:rFonts w:ascii="Arial" w:eastAsia="Times New Roman" w:hAnsi="Arial" w:cs="Arial"/>
          <w:lang w:eastAsia="cs-CZ"/>
        </w:rPr>
        <w:t xml:space="preserve"> </w:t>
      </w:r>
      <w:r w:rsidR="00D617E7">
        <w:rPr>
          <w:rFonts w:ascii="Arial" w:eastAsia="Times New Roman" w:hAnsi="Arial" w:cs="Arial"/>
          <w:lang w:eastAsia="cs-CZ"/>
        </w:rPr>
        <w:t>překročily</w:t>
      </w:r>
      <w:r w:rsidR="000822A0" w:rsidRPr="0053104B">
        <w:rPr>
          <w:rFonts w:ascii="Arial" w:eastAsia="Times New Roman" w:hAnsi="Arial" w:cs="Arial"/>
          <w:lang w:eastAsia="cs-CZ"/>
        </w:rPr>
        <w:t xml:space="preserve"> </w:t>
      </w:r>
      <w:r w:rsidR="00D617E7">
        <w:rPr>
          <w:rFonts w:ascii="Arial" w:eastAsia="Times New Roman" w:hAnsi="Arial" w:cs="Arial"/>
          <w:lang w:eastAsia="cs-CZ"/>
        </w:rPr>
        <w:t>85</w:t>
      </w:r>
      <w:r w:rsidR="000822A0" w:rsidRPr="0053104B">
        <w:rPr>
          <w:rFonts w:ascii="Arial" w:eastAsia="Times New Roman" w:hAnsi="Arial" w:cs="Arial"/>
          <w:lang w:eastAsia="cs-CZ"/>
        </w:rPr>
        <w:t xml:space="preserve"> mld. Kč (obr</w:t>
      </w:r>
      <w:r w:rsidR="00D36A6E">
        <w:rPr>
          <w:rFonts w:ascii="Arial" w:eastAsia="Times New Roman" w:hAnsi="Arial" w:cs="Arial"/>
          <w:lang w:eastAsia="cs-CZ"/>
        </w:rPr>
        <w:t>ázek</w:t>
      </w:r>
      <w:r w:rsidR="000822A0" w:rsidRPr="0053104B">
        <w:rPr>
          <w:rFonts w:ascii="Arial" w:eastAsia="Times New Roman" w:hAnsi="Arial" w:cs="Arial"/>
          <w:lang w:eastAsia="cs-CZ"/>
        </w:rPr>
        <w:t xml:space="preserve"> 1</w:t>
      </w:r>
      <w:r w:rsidR="0083134A">
        <w:rPr>
          <w:rFonts w:ascii="Arial" w:eastAsia="Times New Roman" w:hAnsi="Arial" w:cs="Arial"/>
          <w:lang w:eastAsia="cs-CZ"/>
        </w:rPr>
        <w:t>.1</w:t>
      </w:r>
      <w:r w:rsidR="000822A0" w:rsidRPr="0053104B">
        <w:rPr>
          <w:rFonts w:ascii="Arial" w:eastAsia="Times New Roman" w:hAnsi="Arial" w:cs="Arial"/>
          <w:lang w:eastAsia="cs-CZ"/>
        </w:rPr>
        <w:t>). Oproti roku 201</w:t>
      </w:r>
      <w:r w:rsidR="00D617E7">
        <w:rPr>
          <w:rFonts w:ascii="Arial" w:eastAsia="Times New Roman" w:hAnsi="Arial" w:cs="Arial"/>
          <w:lang w:eastAsia="cs-CZ"/>
        </w:rPr>
        <w:t>3</w:t>
      </w:r>
      <w:r w:rsidR="000822A0" w:rsidRPr="0053104B">
        <w:rPr>
          <w:rFonts w:ascii="Arial" w:eastAsia="Times New Roman" w:hAnsi="Arial" w:cs="Arial"/>
          <w:lang w:eastAsia="cs-CZ"/>
        </w:rPr>
        <w:t xml:space="preserve"> došlo k</w:t>
      </w:r>
      <w:r w:rsidR="00D617E7">
        <w:rPr>
          <w:rFonts w:ascii="Arial" w:eastAsia="Times New Roman" w:hAnsi="Arial" w:cs="Arial"/>
          <w:lang w:eastAsia="cs-CZ"/>
        </w:rPr>
        <w:t xml:space="preserve"> výraznému </w:t>
      </w:r>
      <w:r w:rsidR="000822A0" w:rsidRPr="0053104B">
        <w:rPr>
          <w:rFonts w:ascii="Arial" w:eastAsia="Times New Roman" w:hAnsi="Arial" w:cs="Arial"/>
          <w:lang w:eastAsia="cs-CZ"/>
        </w:rPr>
        <w:t>meziročnímu nárůstu o</w:t>
      </w:r>
      <w:r w:rsidR="002C43B6">
        <w:rPr>
          <w:rFonts w:ascii="Arial" w:eastAsia="Times New Roman" w:hAnsi="Arial" w:cs="Arial"/>
          <w:lang w:eastAsia="cs-CZ"/>
        </w:rPr>
        <w:t xml:space="preserve"> 7,3 mld. Kč</w:t>
      </w:r>
      <w:r w:rsidR="000822A0" w:rsidRPr="0053104B">
        <w:rPr>
          <w:rFonts w:ascii="Arial" w:eastAsia="Times New Roman" w:hAnsi="Arial" w:cs="Arial"/>
          <w:lang w:eastAsia="cs-CZ"/>
        </w:rPr>
        <w:t xml:space="preserve"> </w:t>
      </w:r>
      <w:r w:rsidR="002C43B6">
        <w:rPr>
          <w:rFonts w:ascii="Arial" w:eastAsia="Times New Roman" w:hAnsi="Arial" w:cs="Arial"/>
          <w:lang w:eastAsia="cs-CZ"/>
        </w:rPr>
        <w:t>(</w:t>
      </w:r>
      <w:r w:rsidR="000822A0" w:rsidRPr="0053104B">
        <w:rPr>
          <w:rFonts w:ascii="Arial" w:eastAsia="Times New Roman" w:hAnsi="Arial" w:cs="Arial"/>
          <w:lang w:eastAsia="cs-CZ"/>
        </w:rPr>
        <w:t>7,6 %</w:t>
      </w:r>
      <w:r w:rsidR="002C43B6">
        <w:rPr>
          <w:rFonts w:ascii="Arial" w:eastAsia="Times New Roman" w:hAnsi="Arial" w:cs="Arial"/>
          <w:lang w:eastAsia="cs-CZ"/>
        </w:rPr>
        <w:t>)</w:t>
      </w:r>
      <w:r w:rsidR="000822A0" w:rsidRPr="0053104B">
        <w:rPr>
          <w:rFonts w:ascii="Arial" w:eastAsia="Times New Roman" w:hAnsi="Arial" w:cs="Arial"/>
          <w:lang w:eastAsia="cs-CZ"/>
        </w:rPr>
        <w:t xml:space="preserve">. Nárůst byl zapříčiněn zejména růstem </w:t>
      </w:r>
      <w:r w:rsidR="00D617E7" w:rsidRPr="0053104B">
        <w:rPr>
          <w:rFonts w:ascii="Arial" w:eastAsia="Times New Roman" w:hAnsi="Arial" w:cs="Arial"/>
          <w:lang w:eastAsia="cs-CZ"/>
        </w:rPr>
        <w:t xml:space="preserve">podnikatelských zdrojů </w:t>
      </w:r>
      <w:r w:rsidR="000822A0" w:rsidRPr="0053104B">
        <w:rPr>
          <w:rFonts w:ascii="Arial" w:eastAsia="Times New Roman" w:hAnsi="Arial" w:cs="Arial"/>
          <w:lang w:eastAsia="cs-CZ"/>
        </w:rPr>
        <w:t>(</w:t>
      </w:r>
      <w:r w:rsidR="002C43B6">
        <w:rPr>
          <w:rFonts w:ascii="Arial" w:eastAsia="Times New Roman" w:hAnsi="Arial" w:cs="Arial"/>
          <w:lang w:eastAsia="cs-CZ"/>
        </w:rPr>
        <w:t xml:space="preserve">5,4 mld. Kč, </w:t>
      </w:r>
      <w:r w:rsidR="000822A0" w:rsidRPr="0053104B">
        <w:rPr>
          <w:rFonts w:ascii="Arial" w:eastAsia="Times New Roman" w:hAnsi="Arial" w:cs="Arial"/>
          <w:lang w:eastAsia="cs-CZ"/>
        </w:rPr>
        <w:t>1</w:t>
      </w:r>
      <w:r w:rsidR="00D617E7">
        <w:rPr>
          <w:rFonts w:ascii="Arial" w:eastAsia="Times New Roman" w:hAnsi="Arial" w:cs="Arial"/>
          <w:lang w:eastAsia="cs-CZ"/>
        </w:rPr>
        <w:t>4</w:t>
      </w:r>
      <w:r w:rsidR="000822A0" w:rsidRPr="0053104B">
        <w:rPr>
          <w:rFonts w:ascii="Arial" w:eastAsia="Times New Roman" w:hAnsi="Arial" w:cs="Arial"/>
          <w:lang w:eastAsia="cs-CZ"/>
        </w:rPr>
        <w:t>,</w:t>
      </w:r>
      <w:r w:rsidR="00D617E7">
        <w:rPr>
          <w:rFonts w:ascii="Arial" w:eastAsia="Times New Roman" w:hAnsi="Arial" w:cs="Arial"/>
          <w:lang w:eastAsia="cs-CZ"/>
        </w:rPr>
        <w:t>4</w:t>
      </w:r>
      <w:r w:rsidR="000822A0" w:rsidRPr="0053104B">
        <w:rPr>
          <w:rFonts w:ascii="Arial" w:eastAsia="Times New Roman" w:hAnsi="Arial" w:cs="Arial"/>
          <w:lang w:eastAsia="cs-CZ"/>
        </w:rPr>
        <w:t xml:space="preserve"> %)</w:t>
      </w:r>
      <w:r w:rsidR="00D617E7">
        <w:rPr>
          <w:rFonts w:ascii="Arial" w:eastAsia="Times New Roman" w:hAnsi="Arial" w:cs="Arial"/>
          <w:lang w:eastAsia="cs-CZ"/>
        </w:rPr>
        <w:t>,</w:t>
      </w:r>
      <w:r w:rsidR="000822A0" w:rsidRPr="0053104B">
        <w:rPr>
          <w:rFonts w:ascii="Arial" w:eastAsia="Times New Roman" w:hAnsi="Arial" w:cs="Arial"/>
          <w:lang w:eastAsia="cs-CZ"/>
        </w:rPr>
        <w:t xml:space="preserve"> </w:t>
      </w:r>
      <w:r w:rsidR="00204058">
        <w:rPr>
          <w:rFonts w:ascii="Arial" w:eastAsia="Times New Roman" w:hAnsi="Arial" w:cs="Arial"/>
          <w:lang w:eastAsia="cs-CZ"/>
        </w:rPr>
        <w:t xml:space="preserve">veřejné </w:t>
      </w:r>
      <w:r w:rsidR="00D617E7" w:rsidRPr="0053104B">
        <w:rPr>
          <w:rFonts w:ascii="Arial" w:eastAsia="Times New Roman" w:hAnsi="Arial" w:cs="Arial"/>
          <w:lang w:eastAsia="cs-CZ"/>
        </w:rPr>
        <w:t xml:space="preserve">zahraniční </w:t>
      </w:r>
      <w:r w:rsidR="00204058">
        <w:rPr>
          <w:rFonts w:ascii="Arial" w:eastAsia="Times New Roman" w:hAnsi="Arial" w:cs="Arial"/>
          <w:lang w:eastAsia="cs-CZ"/>
        </w:rPr>
        <w:t>i</w:t>
      </w:r>
      <w:r w:rsidR="00D617E7">
        <w:rPr>
          <w:rFonts w:ascii="Arial" w:eastAsia="Times New Roman" w:hAnsi="Arial" w:cs="Arial"/>
          <w:lang w:eastAsia="cs-CZ"/>
        </w:rPr>
        <w:t xml:space="preserve"> </w:t>
      </w:r>
      <w:r w:rsidR="000822A0" w:rsidRPr="0053104B">
        <w:rPr>
          <w:rFonts w:ascii="Arial" w:eastAsia="Times New Roman" w:hAnsi="Arial" w:cs="Arial"/>
          <w:lang w:eastAsia="cs-CZ"/>
        </w:rPr>
        <w:t xml:space="preserve">tuzemské veřejné zdroje rostly </w:t>
      </w:r>
      <w:r w:rsidR="00D617E7">
        <w:rPr>
          <w:rFonts w:ascii="Arial" w:eastAsia="Times New Roman" w:hAnsi="Arial" w:cs="Arial"/>
          <w:lang w:eastAsia="cs-CZ"/>
        </w:rPr>
        <w:t>méně</w:t>
      </w:r>
      <w:r w:rsidR="000822A0" w:rsidRPr="0053104B">
        <w:rPr>
          <w:rFonts w:ascii="Arial" w:eastAsia="Times New Roman" w:hAnsi="Arial" w:cs="Arial"/>
          <w:lang w:eastAsia="cs-CZ"/>
        </w:rPr>
        <w:t xml:space="preserve"> </w:t>
      </w:r>
      <w:r w:rsidR="00D617E7">
        <w:rPr>
          <w:rFonts w:ascii="Arial" w:eastAsia="Times New Roman" w:hAnsi="Arial" w:cs="Arial"/>
          <w:lang w:eastAsia="cs-CZ"/>
        </w:rPr>
        <w:t>intenzivně (</w:t>
      </w:r>
      <w:r w:rsidR="002C43B6">
        <w:rPr>
          <w:rFonts w:ascii="Arial" w:eastAsia="Times New Roman" w:hAnsi="Arial" w:cs="Arial"/>
          <w:lang w:eastAsia="cs-CZ"/>
        </w:rPr>
        <w:t xml:space="preserve">0,7 a 1,0 mld. Kč, </w:t>
      </w:r>
      <w:r w:rsidR="00204058">
        <w:rPr>
          <w:rFonts w:ascii="Arial" w:eastAsia="Times New Roman" w:hAnsi="Arial" w:cs="Arial"/>
          <w:lang w:eastAsia="cs-CZ"/>
        </w:rPr>
        <w:t>5,4 a 3,7 </w:t>
      </w:r>
      <w:r w:rsidR="000822A0" w:rsidRPr="0053104B">
        <w:rPr>
          <w:rFonts w:ascii="Arial" w:eastAsia="Times New Roman" w:hAnsi="Arial" w:cs="Arial"/>
          <w:lang w:eastAsia="cs-CZ"/>
        </w:rPr>
        <w:t>%</w:t>
      </w:r>
      <w:r w:rsidR="00204058">
        <w:rPr>
          <w:rFonts w:ascii="Arial" w:eastAsia="Times New Roman" w:hAnsi="Arial" w:cs="Arial"/>
          <w:lang w:eastAsia="cs-CZ"/>
        </w:rPr>
        <w:t>)</w:t>
      </w:r>
      <w:r w:rsidR="000822A0" w:rsidRPr="0053104B">
        <w:rPr>
          <w:rFonts w:ascii="Arial" w:eastAsia="Times New Roman" w:hAnsi="Arial" w:cs="Arial"/>
          <w:lang w:eastAsia="cs-CZ"/>
        </w:rPr>
        <w:t>. V poměru k</w:t>
      </w:r>
      <w:r>
        <w:rPr>
          <w:rFonts w:ascii="Arial" w:eastAsia="Times New Roman" w:hAnsi="Arial" w:cs="Arial"/>
          <w:lang w:eastAsia="cs-CZ"/>
        </w:rPr>
        <w:t> hrubému domácímu produktu</w:t>
      </w:r>
      <w:r w:rsidR="000822A0" w:rsidRPr="0053104B">
        <w:rPr>
          <w:rFonts w:ascii="Arial" w:eastAsia="Times New Roman" w:hAnsi="Arial" w:cs="Arial"/>
          <w:lang w:eastAsia="cs-CZ"/>
        </w:rPr>
        <w:t xml:space="preserve"> </w:t>
      </w:r>
      <w:r w:rsidR="00D617E7">
        <w:rPr>
          <w:rFonts w:ascii="Arial" w:eastAsia="Times New Roman" w:hAnsi="Arial" w:cs="Arial"/>
          <w:lang w:eastAsia="cs-CZ"/>
        </w:rPr>
        <w:t>došlo</w:t>
      </w:r>
      <w:r w:rsidR="00204058">
        <w:rPr>
          <w:rFonts w:ascii="Arial" w:eastAsia="Times New Roman" w:hAnsi="Arial" w:cs="Arial"/>
          <w:lang w:eastAsia="cs-CZ"/>
        </w:rPr>
        <w:t xml:space="preserve"> u celkových výdajů na </w:t>
      </w:r>
      <w:proofErr w:type="spellStart"/>
      <w:r w:rsidR="00204058">
        <w:rPr>
          <w:rFonts w:ascii="Arial" w:eastAsia="Times New Roman" w:hAnsi="Arial" w:cs="Arial"/>
          <w:lang w:eastAsia="cs-CZ"/>
        </w:rPr>
        <w:t>VaVaI</w:t>
      </w:r>
      <w:proofErr w:type="spellEnd"/>
      <w:r w:rsidR="00D617E7">
        <w:rPr>
          <w:rFonts w:ascii="Arial" w:eastAsia="Times New Roman" w:hAnsi="Arial" w:cs="Arial"/>
          <w:lang w:eastAsia="cs-CZ"/>
        </w:rPr>
        <w:t xml:space="preserve"> poprvé v historii k </w:t>
      </w:r>
      <w:r w:rsidR="00204058">
        <w:rPr>
          <w:rFonts w:ascii="Arial" w:eastAsia="Times New Roman" w:hAnsi="Arial" w:cs="Arial"/>
          <w:lang w:eastAsia="cs-CZ"/>
        </w:rPr>
        <w:t>dosažení</w:t>
      </w:r>
      <w:r w:rsidR="00D617E7">
        <w:rPr>
          <w:rFonts w:ascii="Arial" w:eastAsia="Times New Roman" w:hAnsi="Arial" w:cs="Arial"/>
          <w:lang w:eastAsia="cs-CZ"/>
        </w:rPr>
        <w:t xml:space="preserve"> hodnoty 2 %. Jedná se o značný nárůst ve srovnání s předchozím rokem</w:t>
      </w:r>
      <w:r w:rsidR="00204058">
        <w:rPr>
          <w:rFonts w:ascii="Arial" w:eastAsia="Times New Roman" w:hAnsi="Arial" w:cs="Arial"/>
          <w:lang w:eastAsia="cs-CZ"/>
        </w:rPr>
        <w:t xml:space="preserve"> (1,91 %)</w:t>
      </w:r>
      <w:r w:rsidR="00D617E7">
        <w:rPr>
          <w:rFonts w:ascii="Arial" w:eastAsia="Times New Roman" w:hAnsi="Arial" w:cs="Arial"/>
          <w:lang w:eastAsia="cs-CZ"/>
        </w:rPr>
        <w:t>, intenzita růst</w:t>
      </w:r>
      <w:r w:rsidR="00204058">
        <w:rPr>
          <w:rFonts w:ascii="Arial" w:eastAsia="Times New Roman" w:hAnsi="Arial" w:cs="Arial"/>
          <w:lang w:eastAsia="cs-CZ"/>
        </w:rPr>
        <w:t>u z </w:t>
      </w:r>
      <w:proofErr w:type="spellStart"/>
      <w:r w:rsidR="00204058">
        <w:rPr>
          <w:rFonts w:ascii="Arial" w:eastAsia="Times New Roman" w:hAnsi="Arial" w:cs="Arial"/>
          <w:lang w:eastAsia="cs-CZ"/>
        </w:rPr>
        <w:t>pokrizových</w:t>
      </w:r>
      <w:proofErr w:type="spellEnd"/>
      <w:r w:rsidR="00204058">
        <w:rPr>
          <w:rFonts w:ascii="Arial" w:eastAsia="Times New Roman" w:hAnsi="Arial" w:cs="Arial"/>
          <w:lang w:eastAsia="cs-CZ"/>
        </w:rPr>
        <w:t xml:space="preserve"> let 2010 – 2012, kdy docházelo k nárůstu o 0,2 % HDP ročně, však nebyla plně obnovena. </w:t>
      </w:r>
    </w:p>
    <w:p w:rsidR="00D80689" w:rsidRPr="000822A0" w:rsidRDefault="00D80689" w:rsidP="00D80689">
      <w:pPr>
        <w:pStyle w:val="Obrzek-nadpis"/>
      </w:pPr>
      <w:r w:rsidRPr="000822A0">
        <w:t>Obr. 1</w:t>
      </w:r>
      <w:r>
        <w:t>.1</w:t>
      </w:r>
      <w:r w:rsidR="00F1475C">
        <w:t xml:space="preserve">: Celkové výdaje na </w:t>
      </w:r>
      <w:proofErr w:type="spellStart"/>
      <w:r w:rsidR="00F1475C">
        <w:t>VaVaI</w:t>
      </w:r>
      <w:proofErr w:type="spellEnd"/>
      <w:r w:rsidR="00F1475C">
        <w:t xml:space="preserve"> (GERD)</w:t>
      </w:r>
      <w:r w:rsidRPr="000822A0">
        <w:t xml:space="preserve"> v ČR v letech 200</w:t>
      </w:r>
      <w:r w:rsidR="00204058">
        <w:t>5</w:t>
      </w:r>
      <w:r w:rsidRPr="000822A0">
        <w:t xml:space="preserve"> – 201</w:t>
      </w:r>
      <w:r w:rsidR="00204058">
        <w:t>4</w:t>
      </w:r>
      <w:r w:rsidRPr="000822A0">
        <w:t xml:space="preserve"> podle zdrojů financování (v běžných cenách)</w:t>
      </w:r>
    </w:p>
    <w:p w:rsidR="00D80689" w:rsidRPr="000822A0" w:rsidRDefault="009F10F4" w:rsidP="00D80689">
      <w:pPr>
        <w:spacing w:after="240" w:line="240" w:lineRule="auto"/>
        <w:jc w:val="center"/>
        <w:rPr>
          <w:rFonts w:ascii="Times New Roman" w:eastAsia="Times New Roman" w:hAnsi="Times New Roman" w:cs="Times New Roman"/>
          <w:b/>
          <w:sz w:val="24"/>
          <w:szCs w:val="24"/>
          <w:lang w:eastAsia="cs-CZ"/>
        </w:rPr>
      </w:pPr>
      <w:r w:rsidRPr="009F10F4">
        <w:rPr>
          <w:noProof/>
          <w:lang w:eastAsia="cs-CZ"/>
        </w:rPr>
        <w:drawing>
          <wp:inline distT="0" distB="0" distL="0" distR="0" wp14:anchorId="2CAA12A5" wp14:editId="139A1B9C">
            <wp:extent cx="4572000" cy="27432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D80689" w:rsidRPr="000822A0" w:rsidRDefault="00D80689" w:rsidP="00D80689">
      <w:pPr>
        <w:pStyle w:val="Zdroj"/>
      </w:pPr>
      <w:r w:rsidRPr="000822A0">
        <w:t>Zdroj dat: ČSÚ</w:t>
      </w:r>
    </w:p>
    <w:p w:rsidR="000822A0" w:rsidRPr="0053104B" w:rsidRDefault="000822A0" w:rsidP="008E7BFB">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Vývoj jednotlivých složek GERD podle zdrojů jejich financování v čase je patrný z obr</w:t>
      </w:r>
      <w:r w:rsidR="00D36A6E">
        <w:rPr>
          <w:rFonts w:ascii="Arial" w:eastAsia="Times New Roman" w:hAnsi="Arial" w:cs="Arial"/>
          <w:lang w:eastAsia="cs-CZ"/>
        </w:rPr>
        <w:t>ázku</w:t>
      </w:r>
      <w:r w:rsidRPr="0053104B">
        <w:rPr>
          <w:rFonts w:ascii="Arial" w:eastAsia="Times New Roman" w:hAnsi="Arial" w:cs="Arial"/>
          <w:lang w:eastAsia="cs-CZ"/>
        </w:rPr>
        <w:t xml:space="preserve"> </w:t>
      </w:r>
      <w:r w:rsidR="0083134A">
        <w:rPr>
          <w:rFonts w:ascii="Arial" w:eastAsia="Times New Roman" w:hAnsi="Arial" w:cs="Arial"/>
          <w:lang w:eastAsia="cs-CZ"/>
        </w:rPr>
        <w:t>1.</w:t>
      </w:r>
      <w:r w:rsidRPr="0053104B">
        <w:rPr>
          <w:rFonts w:ascii="Arial" w:eastAsia="Times New Roman" w:hAnsi="Arial" w:cs="Arial"/>
          <w:lang w:eastAsia="cs-CZ"/>
        </w:rPr>
        <w:t>2. Veřejné domácí zdroje vykazovaly rostoucí trend od roku 2002, kdy nabyl účinnosti zákon o</w:t>
      </w:r>
      <w:r w:rsidR="00271B9E">
        <w:rPr>
          <w:rFonts w:ascii="Arial" w:eastAsia="Times New Roman" w:hAnsi="Arial" w:cs="Arial"/>
          <w:lang w:eastAsia="cs-CZ"/>
        </w:rPr>
        <w:t> </w:t>
      </w:r>
      <w:r w:rsidRPr="0053104B">
        <w:rPr>
          <w:rFonts w:ascii="Arial" w:eastAsia="Times New Roman" w:hAnsi="Arial" w:cs="Arial"/>
          <w:lang w:eastAsia="cs-CZ"/>
        </w:rPr>
        <w:t xml:space="preserve">podpoře výzkumu, experimentálního vývoje a inovací. V posledních </w:t>
      </w:r>
      <w:r w:rsidR="00204058">
        <w:rPr>
          <w:rFonts w:ascii="Arial" w:eastAsia="Times New Roman" w:hAnsi="Arial" w:cs="Arial"/>
          <w:lang w:eastAsia="cs-CZ"/>
        </w:rPr>
        <w:t>třech</w:t>
      </w:r>
      <w:r w:rsidRPr="0053104B">
        <w:rPr>
          <w:rFonts w:ascii="Arial" w:eastAsia="Times New Roman" w:hAnsi="Arial" w:cs="Arial"/>
          <w:lang w:eastAsia="cs-CZ"/>
        </w:rPr>
        <w:t xml:space="preserve"> letech je však patrná stagnace na hodnotách kolem 0,7 % HDP. </w:t>
      </w:r>
      <w:r w:rsidR="00240D52">
        <w:rPr>
          <w:rFonts w:ascii="Arial" w:eastAsia="Times New Roman" w:hAnsi="Arial" w:cs="Arial"/>
          <w:lang w:eastAsia="cs-CZ"/>
        </w:rPr>
        <w:t>P</w:t>
      </w:r>
      <w:r w:rsidRPr="0053104B">
        <w:rPr>
          <w:rFonts w:ascii="Arial" w:eastAsia="Times New Roman" w:hAnsi="Arial" w:cs="Arial"/>
          <w:lang w:eastAsia="cs-CZ"/>
        </w:rPr>
        <w:t xml:space="preserve">odnikatelské </w:t>
      </w:r>
      <w:r w:rsidR="003A46D4">
        <w:rPr>
          <w:rFonts w:ascii="Arial" w:eastAsia="Times New Roman" w:hAnsi="Arial" w:cs="Arial"/>
          <w:lang w:eastAsia="cs-CZ"/>
        </w:rPr>
        <w:t xml:space="preserve">zdroje </w:t>
      </w:r>
      <w:r w:rsidR="00240D52">
        <w:rPr>
          <w:rFonts w:ascii="Arial" w:eastAsia="Times New Roman" w:hAnsi="Arial" w:cs="Arial"/>
          <w:lang w:eastAsia="cs-CZ"/>
        </w:rPr>
        <w:t>po počátečním mírném růstu do roku 2007 poklesly na lokální minimum v roce</w:t>
      </w:r>
      <w:r w:rsidRPr="0053104B">
        <w:rPr>
          <w:rFonts w:ascii="Arial" w:eastAsia="Times New Roman" w:hAnsi="Arial" w:cs="Arial"/>
          <w:lang w:eastAsia="cs-CZ"/>
        </w:rPr>
        <w:t xml:space="preserve"> 200</w:t>
      </w:r>
      <w:r w:rsidR="00240D52">
        <w:rPr>
          <w:rFonts w:ascii="Arial" w:eastAsia="Times New Roman" w:hAnsi="Arial" w:cs="Arial"/>
          <w:lang w:eastAsia="cs-CZ"/>
        </w:rPr>
        <w:t>9</w:t>
      </w:r>
      <w:r w:rsidRPr="0053104B">
        <w:rPr>
          <w:rFonts w:ascii="Arial" w:eastAsia="Times New Roman" w:hAnsi="Arial" w:cs="Arial"/>
          <w:lang w:eastAsia="cs-CZ"/>
        </w:rPr>
        <w:t>, pravděpodobně v reakci na globální ekonomickou krizi. Od roku 2010 je však patrný meziroční nárůst</w:t>
      </w:r>
      <w:r w:rsidR="00240D52">
        <w:rPr>
          <w:rFonts w:ascii="Arial" w:eastAsia="Times New Roman" w:hAnsi="Arial" w:cs="Arial"/>
          <w:lang w:eastAsia="cs-CZ"/>
        </w:rPr>
        <w:t xml:space="preserve"> o přibližně 0,1 procentního bodu ročně.</w:t>
      </w:r>
      <w:r w:rsidRPr="0053104B">
        <w:rPr>
          <w:rFonts w:ascii="Arial" w:eastAsia="Times New Roman" w:hAnsi="Arial" w:cs="Arial"/>
          <w:lang w:eastAsia="cs-CZ"/>
        </w:rPr>
        <w:t xml:space="preserve"> V posledních pěti letech jsou velmi významným zdrojem prostředků na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zahraniční veřejné finance, zejména z</w:t>
      </w:r>
      <w:r w:rsidR="00E54BB7">
        <w:rPr>
          <w:rFonts w:ascii="Arial" w:eastAsia="Times New Roman" w:hAnsi="Arial" w:cs="Arial"/>
          <w:lang w:eastAsia="cs-CZ"/>
        </w:rPr>
        <w:t>e</w:t>
      </w:r>
      <w:r w:rsidR="00F54E2A">
        <w:rPr>
          <w:rFonts w:ascii="Arial" w:eastAsia="Times New Roman" w:hAnsi="Arial" w:cs="Arial"/>
          <w:lang w:eastAsia="cs-CZ"/>
        </w:rPr>
        <w:t xml:space="preserve"> strukturálních fondů EU</w:t>
      </w:r>
      <w:r w:rsidRPr="0053104B">
        <w:rPr>
          <w:rFonts w:ascii="Arial" w:eastAsia="Times New Roman" w:hAnsi="Arial" w:cs="Arial"/>
          <w:lang w:eastAsia="cs-CZ"/>
        </w:rPr>
        <w:t>. Z obr</w:t>
      </w:r>
      <w:r w:rsidR="00D36A6E">
        <w:rPr>
          <w:rFonts w:ascii="Arial" w:eastAsia="Times New Roman" w:hAnsi="Arial" w:cs="Arial"/>
          <w:lang w:eastAsia="cs-CZ"/>
        </w:rPr>
        <w:t>ázku</w:t>
      </w:r>
      <w:r w:rsidRPr="0053104B">
        <w:rPr>
          <w:rFonts w:ascii="Arial" w:eastAsia="Times New Roman" w:hAnsi="Arial" w:cs="Arial"/>
          <w:lang w:eastAsia="cs-CZ"/>
        </w:rPr>
        <w:t xml:space="preserve"> </w:t>
      </w:r>
      <w:r w:rsidR="003F5D8D">
        <w:rPr>
          <w:rFonts w:ascii="Arial" w:eastAsia="Times New Roman" w:hAnsi="Arial" w:cs="Arial"/>
          <w:lang w:eastAsia="cs-CZ"/>
        </w:rPr>
        <w:t>1.</w:t>
      </w:r>
      <w:r w:rsidRPr="0053104B">
        <w:rPr>
          <w:rFonts w:ascii="Arial" w:eastAsia="Times New Roman" w:hAnsi="Arial" w:cs="Arial"/>
          <w:lang w:eastAsia="cs-CZ"/>
        </w:rPr>
        <w:t>2 je patrný jejich prudký nárůst mezi roky 2010, 2011 a 2012 až na hodnotu 0,30 % HDP</w:t>
      </w:r>
      <w:r w:rsidR="00240D52">
        <w:rPr>
          <w:rFonts w:ascii="Arial" w:eastAsia="Times New Roman" w:hAnsi="Arial" w:cs="Arial"/>
          <w:lang w:eastAsia="cs-CZ"/>
        </w:rPr>
        <w:t>, na které setrvaly i v letech 2013</w:t>
      </w:r>
      <w:r w:rsidR="003A46D4">
        <w:rPr>
          <w:rFonts w:ascii="Arial" w:eastAsia="Times New Roman" w:hAnsi="Arial" w:cs="Arial"/>
          <w:lang w:eastAsia="cs-CZ"/>
        </w:rPr>
        <w:t xml:space="preserve"> a 2014</w:t>
      </w:r>
      <w:r w:rsidRPr="0053104B">
        <w:rPr>
          <w:rFonts w:ascii="Arial" w:eastAsia="Times New Roman" w:hAnsi="Arial" w:cs="Arial"/>
          <w:lang w:eastAsia="cs-CZ"/>
        </w:rPr>
        <w:t xml:space="preserve">. ČR si ve strategii Evropa 2020 vytyčila cíl každoroční investice veřejných prostředků do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na úrovni 1</w:t>
      </w:r>
      <w:r w:rsidR="003227BD">
        <w:rPr>
          <w:rFonts w:ascii="Arial" w:eastAsia="Times New Roman" w:hAnsi="Arial" w:cs="Arial"/>
          <w:lang w:eastAsia="cs-CZ"/>
        </w:rPr>
        <w:t> </w:t>
      </w:r>
      <w:r w:rsidRPr="0053104B">
        <w:rPr>
          <w:rFonts w:ascii="Arial" w:eastAsia="Times New Roman" w:hAnsi="Arial" w:cs="Arial"/>
          <w:lang w:eastAsia="cs-CZ"/>
        </w:rPr>
        <w:t>% HDP. Tento cíl je však v současnosti plněn pouze díky zahraničním veřejným prostředkům (zejména z</w:t>
      </w:r>
      <w:r w:rsidR="00E54BB7">
        <w:rPr>
          <w:rFonts w:ascii="Arial" w:eastAsia="Times New Roman" w:hAnsi="Arial" w:cs="Arial"/>
          <w:lang w:eastAsia="cs-CZ"/>
        </w:rPr>
        <w:t>e</w:t>
      </w:r>
      <w:r w:rsidRPr="0053104B">
        <w:rPr>
          <w:rFonts w:ascii="Arial" w:eastAsia="Times New Roman" w:hAnsi="Arial" w:cs="Arial"/>
          <w:lang w:eastAsia="cs-CZ"/>
        </w:rPr>
        <w:t> SF</w:t>
      </w:r>
      <w:r w:rsidR="00E54BB7">
        <w:rPr>
          <w:rFonts w:ascii="Arial" w:eastAsia="Times New Roman" w:hAnsi="Arial" w:cs="Arial"/>
          <w:lang w:eastAsia="cs-CZ"/>
        </w:rPr>
        <w:t xml:space="preserve"> EU</w:t>
      </w:r>
      <w:r w:rsidRPr="0053104B">
        <w:rPr>
          <w:rFonts w:ascii="Arial" w:eastAsia="Times New Roman" w:hAnsi="Arial" w:cs="Arial"/>
          <w:lang w:eastAsia="cs-CZ"/>
        </w:rPr>
        <w:t xml:space="preserve">), které tvoří v současnosti 0,3 % HDP. Výdaje pocházející z veřejných rozpočtů (státní rozpočet, rozpočty územních samosprávných celků) tvoří v současnosti pouze </w:t>
      </w:r>
      <w:r w:rsidR="00240D52">
        <w:rPr>
          <w:rFonts w:ascii="Arial" w:eastAsia="Times New Roman" w:hAnsi="Arial" w:cs="Arial"/>
          <w:lang w:eastAsia="cs-CZ"/>
        </w:rPr>
        <w:t xml:space="preserve">necelých </w:t>
      </w:r>
      <w:r w:rsidRPr="0053104B">
        <w:rPr>
          <w:rFonts w:ascii="Arial" w:eastAsia="Times New Roman" w:hAnsi="Arial" w:cs="Arial"/>
          <w:lang w:eastAsia="cs-CZ"/>
        </w:rPr>
        <w:t xml:space="preserve">0,7 % HDP. Proto je třeba připravit systém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tj. zejména </w:t>
      </w:r>
      <w:r w:rsidRPr="0053104B">
        <w:rPr>
          <w:rFonts w:ascii="Arial" w:eastAsia="Times New Roman" w:hAnsi="Arial" w:cs="Arial"/>
          <w:lang w:eastAsia="cs-CZ"/>
        </w:rPr>
        <w:lastRenderedPageBreak/>
        <w:t>nastavit národní veřejné zdroje, na období po roce 2020</w:t>
      </w:r>
      <w:r w:rsidR="00240D52">
        <w:rPr>
          <w:rFonts w:ascii="Arial" w:eastAsia="Times New Roman" w:hAnsi="Arial" w:cs="Arial"/>
          <w:lang w:eastAsia="cs-CZ"/>
        </w:rPr>
        <w:t xml:space="preserve"> (resp. 2023)</w:t>
      </w:r>
      <w:r w:rsidRPr="0053104B">
        <w:rPr>
          <w:rFonts w:ascii="Arial" w:eastAsia="Times New Roman" w:hAnsi="Arial" w:cs="Arial"/>
          <w:lang w:eastAsia="cs-CZ"/>
        </w:rPr>
        <w:t>, kdy finanční prostředky z ESIF nebudou k</w:t>
      </w:r>
      <w:r w:rsidR="00240D52">
        <w:rPr>
          <w:rFonts w:ascii="Arial" w:eastAsia="Times New Roman" w:hAnsi="Arial" w:cs="Arial"/>
          <w:lang w:eastAsia="cs-CZ"/>
        </w:rPr>
        <w:t> </w:t>
      </w:r>
      <w:r w:rsidRPr="0053104B">
        <w:rPr>
          <w:rFonts w:ascii="Arial" w:eastAsia="Times New Roman" w:hAnsi="Arial" w:cs="Arial"/>
          <w:lang w:eastAsia="cs-CZ"/>
        </w:rPr>
        <w:t>dispozici</w:t>
      </w:r>
      <w:r w:rsidR="00240D52">
        <w:rPr>
          <w:rFonts w:ascii="Arial" w:eastAsia="Times New Roman" w:hAnsi="Arial" w:cs="Arial"/>
          <w:lang w:eastAsia="cs-CZ"/>
        </w:rPr>
        <w:t>, případně budou velmi omezeny</w:t>
      </w:r>
      <w:r w:rsidRPr="0053104B">
        <w:rPr>
          <w:rFonts w:ascii="Arial" w:eastAsia="Times New Roman" w:hAnsi="Arial" w:cs="Arial"/>
          <w:lang w:eastAsia="cs-CZ"/>
        </w:rPr>
        <w:t>.</w:t>
      </w:r>
    </w:p>
    <w:p w:rsidR="00D80689" w:rsidRPr="000822A0" w:rsidRDefault="00D80689" w:rsidP="00D80689">
      <w:pPr>
        <w:pStyle w:val="Obrzek-nadpis"/>
      </w:pPr>
      <w:r w:rsidRPr="000822A0">
        <w:t xml:space="preserve">Obr. </w:t>
      </w:r>
      <w:r>
        <w:t>1.</w:t>
      </w:r>
      <w:r w:rsidRPr="000822A0">
        <w:t xml:space="preserve">2: Zdroje financování celkových výdajů </w:t>
      </w:r>
      <w:proofErr w:type="spellStart"/>
      <w:r w:rsidRPr="000822A0">
        <w:t>VaV</w:t>
      </w:r>
      <w:proofErr w:type="spellEnd"/>
      <w:r w:rsidRPr="000822A0">
        <w:t xml:space="preserve"> (GERD) v běžných cenách vyjádřené </w:t>
      </w:r>
      <w:r>
        <w:br/>
      </w:r>
      <w:r w:rsidRPr="000822A0">
        <w:t>jako % HDP</w:t>
      </w:r>
    </w:p>
    <w:p w:rsidR="00D80689" w:rsidRPr="000822A0" w:rsidRDefault="00B63B09" w:rsidP="00D80689">
      <w:pPr>
        <w:spacing w:after="0" w:line="240" w:lineRule="auto"/>
        <w:jc w:val="center"/>
        <w:rPr>
          <w:rFonts w:ascii="Times New Roman" w:eastAsia="Times New Roman" w:hAnsi="Times New Roman" w:cs="Times New Roman"/>
          <w:i/>
          <w:sz w:val="24"/>
          <w:szCs w:val="24"/>
          <w:lang w:eastAsia="cs-CZ"/>
        </w:rPr>
      </w:pPr>
      <w:r w:rsidRPr="00B63B09">
        <w:rPr>
          <w:noProof/>
          <w:lang w:eastAsia="cs-CZ"/>
        </w:rPr>
        <w:drawing>
          <wp:inline distT="0" distB="0" distL="0" distR="0" wp14:anchorId="1A21F715" wp14:editId="24109814">
            <wp:extent cx="4563110" cy="2743200"/>
            <wp:effectExtent l="0" t="0" r="889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3110" cy="2743200"/>
                    </a:xfrm>
                    <a:prstGeom prst="rect">
                      <a:avLst/>
                    </a:prstGeom>
                    <a:noFill/>
                    <a:ln>
                      <a:noFill/>
                    </a:ln>
                  </pic:spPr>
                </pic:pic>
              </a:graphicData>
            </a:graphic>
          </wp:inline>
        </w:drawing>
      </w:r>
    </w:p>
    <w:p w:rsidR="00D80689" w:rsidRPr="000822A0" w:rsidRDefault="00D80689" w:rsidP="00D80689">
      <w:pPr>
        <w:pStyle w:val="Zdroj"/>
        <w:rPr>
          <w:rFonts w:ascii="Times New Roman" w:hAnsi="Times New Roman"/>
          <w:i w:val="0"/>
          <w:sz w:val="24"/>
        </w:rPr>
      </w:pPr>
      <w:r w:rsidRPr="000822A0">
        <w:t>Zdroj dat: ČSÚ</w:t>
      </w:r>
    </w:p>
    <w:p w:rsidR="000822A0" w:rsidRDefault="000822A0" w:rsidP="00FC6C7A">
      <w:pPr>
        <w:spacing w:after="0" w:line="360" w:lineRule="auto"/>
        <w:ind w:firstLine="709"/>
        <w:jc w:val="both"/>
        <w:rPr>
          <w:rFonts w:ascii="Arial" w:eastAsia="Times New Roman" w:hAnsi="Arial" w:cs="Arial"/>
          <w:lang w:eastAsia="cs-CZ"/>
        </w:rPr>
      </w:pPr>
      <w:r w:rsidRPr="0053104B">
        <w:rPr>
          <w:rFonts w:ascii="Arial" w:eastAsia="Times New Roman" w:hAnsi="Arial" w:cs="Arial"/>
          <w:lang w:eastAsia="cs-CZ"/>
        </w:rPr>
        <w:t xml:space="preserve">Ve srovnání s jinými zeměmi představuje ČR z hlediska celkových výdajů na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vyjádřených jako procento HDP evropský průměr (obr</w:t>
      </w:r>
      <w:r w:rsidR="00D36A6E">
        <w:rPr>
          <w:rFonts w:ascii="Arial" w:eastAsia="Times New Roman" w:hAnsi="Arial" w:cs="Arial"/>
          <w:lang w:eastAsia="cs-CZ"/>
        </w:rPr>
        <w:t>ázek</w:t>
      </w:r>
      <w:r w:rsidRPr="0053104B">
        <w:rPr>
          <w:rFonts w:ascii="Arial" w:eastAsia="Times New Roman" w:hAnsi="Arial" w:cs="Arial"/>
          <w:lang w:eastAsia="cs-CZ"/>
        </w:rPr>
        <w:t xml:space="preserve"> </w:t>
      </w:r>
      <w:r w:rsidR="003F5D8D">
        <w:rPr>
          <w:rFonts w:ascii="Arial" w:eastAsia="Times New Roman" w:hAnsi="Arial" w:cs="Arial"/>
          <w:lang w:eastAsia="cs-CZ"/>
        </w:rPr>
        <w:t>1.</w:t>
      </w:r>
      <w:r w:rsidRPr="0053104B">
        <w:rPr>
          <w:rFonts w:ascii="Arial" w:eastAsia="Times New Roman" w:hAnsi="Arial" w:cs="Arial"/>
          <w:lang w:eastAsia="cs-CZ"/>
        </w:rPr>
        <w:t xml:space="preserve">3). </w:t>
      </w:r>
      <w:r w:rsidR="007A5A89">
        <w:rPr>
          <w:rFonts w:ascii="Arial" w:eastAsia="Times New Roman" w:hAnsi="Arial" w:cs="Arial"/>
          <w:lang w:eastAsia="cs-CZ"/>
        </w:rPr>
        <w:t xml:space="preserve">Vzhledem k pozvolnému nárůstu oproti roku 2013 nedošlo k výraznější změně pozice ČR. </w:t>
      </w:r>
      <w:r w:rsidRPr="0053104B">
        <w:rPr>
          <w:rFonts w:ascii="Arial" w:eastAsia="Times New Roman" w:hAnsi="Arial" w:cs="Arial"/>
          <w:lang w:eastAsia="cs-CZ"/>
        </w:rPr>
        <w:t>Ve skupině srovnatelné s ČR se</w:t>
      </w:r>
      <w:r w:rsidR="00271B9E">
        <w:rPr>
          <w:rFonts w:ascii="Arial" w:eastAsia="Times New Roman" w:hAnsi="Arial" w:cs="Arial"/>
          <w:lang w:eastAsia="cs-CZ"/>
        </w:rPr>
        <w:t> </w:t>
      </w:r>
      <w:r w:rsidRPr="0053104B">
        <w:rPr>
          <w:rFonts w:ascii="Arial" w:eastAsia="Times New Roman" w:hAnsi="Arial" w:cs="Arial"/>
          <w:lang w:eastAsia="cs-CZ"/>
        </w:rPr>
        <w:t xml:space="preserve">nacházejí rovněž státy se silnou ekonomikou, jako je </w:t>
      </w:r>
      <w:r w:rsidR="00B5551C">
        <w:rPr>
          <w:rFonts w:ascii="Arial" w:eastAsia="Times New Roman" w:hAnsi="Arial" w:cs="Arial"/>
          <w:lang w:eastAsia="cs-CZ"/>
        </w:rPr>
        <w:t>Nizozemsko</w:t>
      </w:r>
      <w:r w:rsidRPr="0053104B">
        <w:rPr>
          <w:rFonts w:ascii="Arial" w:eastAsia="Times New Roman" w:hAnsi="Arial" w:cs="Arial"/>
          <w:lang w:eastAsia="cs-CZ"/>
        </w:rPr>
        <w:t xml:space="preserve"> </w:t>
      </w:r>
      <w:r w:rsidR="007A5A89">
        <w:rPr>
          <w:rFonts w:ascii="Arial" w:eastAsia="Times New Roman" w:hAnsi="Arial" w:cs="Arial"/>
          <w:lang w:eastAsia="cs-CZ"/>
        </w:rPr>
        <w:t xml:space="preserve">a </w:t>
      </w:r>
      <w:r w:rsidRPr="0053104B">
        <w:rPr>
          <w:rFonts w:ascii="Arial" w:eastAsia="Times New Roman" w:hAnsi="Arial" w:cs="Arial"/>
          <w:lang w:eastAsia="cs-CZ"/>
        </w:rPr>
        <w:t>Francie. ČR dokonce předčila Velkou Británii, Norsko či Irsko. Státy, jako je Polsko, Slovensko,</w:t>
      </w:r>
      <w:r w:rsidR="007A5A89">
        <w:rPr>
          <w:rFonts w:ascii="Arial" w:eastAsia="Times New Roman" w:hAnsi="Arial" w:cs="Arial"/>
          <w:lang w:eastAsia="cs-CZ"/>
        </w:rPr>
        <w:t xml:space="preserve"> Řecko,</w:t>
      </w:r>
      <w:r w:rsidRPr="0053104B">
        <w:rPr>
          <w:rFonts w:ascii="Arial" w:eastAsia="Times New Roman" w:hAnsi="Arial" w:cs="Arial"/>
          <w:lang w:eastAsia="cs-CZ"/>
        </w:rPr>
        <w:t xml:space="preserve"> ale také Španělsko</w:t>
      </w:r>
      <w:r w:rsidR="007A5A89">
        <w:rPr>
          <w:rFonts w:ascii="Arial" w:eastAsia="Times New Roman" w:hAnsi="Arial" w:cs="Arial"/>
          <w:lang w:eastAsia="cs-CZ"/>
        </w:rPr>
        <w:t>, Portugalsko</w:t>
      </w:r>
      <w:r w:rsidRPr="0053104B">
        <w:rPr>
          <w:rFonts w:ascii="Arial" w:eastAsia="Times New Roman" w:hAnsi="Arial" w:cs="Arial"/>
          <w:lang w:eastAsia="cs-CZ"/>
        </w:rPr>
        <w:t xml:space="preserve"> a</w:t>
      </w:r>
      <w:r w:rsidR="00271B9E">
        <w:rPr>
          <w:rFonts w:ascii="Arial" w:eastAsia="Times New Roman" w:hAnsi="Arial" w:cs="Arial"/>
          <w:lang w:eastAsia="cs-CZ"/>
        </w:rPr>
        <w:t> </w:t>
      </w:r>
      <w:r w:rsidRPr="0053104B">
        <w:rPr>
          <w:rFonts w:ascii="Arial" w:eastAsia="Times New Roman" w:hAnsi="Arial" w:cs="Arial"/>
          <w:lang w:eastAsia="cs-CZ"/>
        </w:rPr>
        <w:t xml:space="preserve">Itálie, za ČR výrazně zaostávají. Mezi evropské státy, které </w:t>
      </w:r>
      <w:r w:rsidR="003A46D4">
        <w:rPr>
          <w:rFonts w:ascii="Arial" w:eastAsia="Times New Roman" w:hAnsi="Arial" w:cs="Arial"/>
          <w:lang w:eastAsia="cs-CZ"/>
        </w:rPr>
        <w:t>vykazují</w:t>
      </w:r>
      <w:r w:rsidRPr="0053104B">
        <w:rPr>
          <w:rFonts w:ascii="Arial" w:eastAsia="Times New Roman" w:hAnsi="Arial" w:cs="Arial"/>
          <w:lang w:eastAsia="cs-CZ"/>
        </w:rPr>
        <w:t xml:space="preserve"> výrazně </w:t>
      </w:r>
      <w:r w:rsidR="003A46D4">
        <w:rPr>
          <w:rFonts w:ascii="Arial" w:eastAsia="Times New Roman" w:hAnsi="Arial" w:cs="Arial"/>
          <w:lang w:eastAsia="cs-CZ"/>
        </w:rPr>
        <w:t>vyšší výdaje</w:t>
      </w:r>
      <w:r w:rsidRPr="0053104B">
        <w:rPr>
          <w:rFonts w:ascii="Arial" w:eastAsia="Times New Roman" w:hAnsi="Arial" w:cs="Arial"/>
          <w:lang w:eastAsia="cs-CZ"/>
        </w:rPr>
        <w:t xml:space="preserve"> </w:t>
      </w:r>
      <w:r w:rsidR="003A46D4">
        <w:rPr>
          <w:rFonts w:ascii="Arial" w:eastAsia="Times New Roman" w:hAnsi="Arial" w:cs="Arial"/>
          <w:lang w:eastAsia="cs-CZ"/>
        </w:rPr>
        <w:t xml:space="preserve">na </w:t>
      </w:r>
      <w:proofErr w:type="spellStart"/>
      <w:r w:rsidR="003A46D4" w:rsidRPr="0053104B">
        <w:rPr>
          <w:rFonts w:ascii="Arial" w:eastAsia="Times New Roman" w:hAnsi="Arial" w:cs="Arial"/>
          <w:lang w:eastAsia="cs-CZ"/>
        </w:rPr>
        <w:t>VaVaI</w:t>
      </w:r>
      <w:proofErr w:type="spellEnd"/>
      <w:r w:rsidR="003A46D4">
        <w:rPr>
          <w:rFonts w:ascii="Arial" w:eastAsia="Times New Roman" w:hAnsi="Arial" w:cs="Arial"/>
          <w:lang w:eastAsia="cs-CZ"/>
        </w:rPr>
        <w:t xml:space="preserve"> </w:t>
      </w:r>
      <w:r w:rsidR="003A46D4" w:rsidRPr="0053104B">
        <w:rPr>
          <w:rFonts w:ascii="Arial" w:eastAsia="Times New Roman" w:hAnsi="Arial" w:cs="Arial"/>
          <w:lang w:eastAsia="cs-CZ"/>
        </w:rPr>
        <w:t xml:space="preserve">(kolem 3 % HDP) </w:t>
      </w:r>
      <w:r w:rsidRPr="0053104B">
        <w:rPr>
          <w:rFonts w:ascii="Arial" w:eastAsia="Times New Roman" w:hAnsi="Arial" w:cs="Arial"/>
          <w:lang w:eastAsia="cs-CZ"/>
        </w:rPr>
        <w:t>než ČR, patří Německo, Švýcarsko, Rakousko, Dánsko, Finsko a Švédsko. Podobn</w:t>
      </w:r>
      <w:r w:rsidR="007A5A89">
        <w:rPr>
          <w:rFonts w:ascii="Arial" w:eastAsia="Times New Roman" w:hAnsi="Arial" w:cs="Arial"/>
          <w:lang w:eastAsia="cs-CZ"/>
        </w:rPr>
        <w:t>ě vysokou</w:t>
      </w:r>
      <w:r w:rsidRPr="0053104B">
        <w:rPr>
          <w:rFonts w:ascii="Arial" w:eastAsia="Times New Roman" w:hAnsi="Arial" w:cs="Arial"/>
          <w:lang w:eastAsia="cs-CZ"/>
        </w:rPr>
        <w:t xml:space="preserve"> úroveň </w:t>
      </w:r>
      <w:r w:rsidR="003A46D4">
        <w:rPr>
          <w:rFonts w:ascii="Arial" w:eastAsia="Times New Roman" w:hAnsi="Arial" w:cs="Arial"/>
          <w:lang w:eastAsia="cs-CZ"/>
        </w:rPr>
        <w:t xml:space="preserve">výdajů na </w:t>
      </w:r>
      <w:proofErr w:type="spellStart"/>
      <w:r w:rsidR="003A46D4">
        <w:rPr>
          <w:rFonts w:ascii="Arial" w:eastAsia="Times New Roman" w:hAnsi="Arial" w:cs="Arial"/>
          <w:lang w:eastAsia="cs-CZ"/>
        </w:rPr>
        <w:t>VaVaI</w:t>
      </w:r>
      <w:proofErr w:type="spellEnd"/>
      <w:r w:rsidRPr="0053104B">
        <w:rPr>
          <w:rFonts w:ascii="Arial" w:eastAsia="Times New Roman" w:hAnsi="Arial" w:cs="Arial"/>
          <w:lang w:eastAsia="cs-CZ"/>
        </w:rPr>
        <w:t xml:space="preserve"> vykazují také USA</w:t>
      </w:r>
      <w:r w:rsidR="007A5A89">
        <w:rPr>
          <w:rFonts w:ascii="Arial" w:eastAsia="Times New Roman" w:hAnsi="Arial" w:cs="Arial"/>
          <w:lang w:eastAsia="cs-CZ"/>
        </w:rPr>
        <w:t>, ještě vyšší pak</w:t>
      </w:r>
      <w:r w:rsidRPr="0053104B">
        <w:rPr>
          <w:rFonts w:ascii="Arial" w:eastAsia="Times New Roman" w:hAnsi="Arial" w:cs="Arial"/>
          <w:lang w:eastAsia="cs-CZ"/>
        </w:rPr>
        <w:t xml:space="preserve"> Japonsko</w:t>
      </w:r>
      <w:r w:rsidR="007A5A89">
        <w:rPr>
          <w:rFonts w:ascii="Arial" w:eastAsia="Times New Roman" w:hAnsi="Arial" w:cs="Arial"/>
          <w:lang w:eastAsia="cs-CZ"/>
        </w:rPr>
        <w:t xml:space="preserve"> (3.6 %)</w:t>
      </w:r>
      <w:r w:rsidRPr="0053104B">
        <w:rPr>
          <w:rFonts w:ascii="Arial" w:eastAsia="Times New Roman" w:hAnsi="Arial" w:cs="Arial"/>
          <w:lang w:eastAsia="cs-CZ"/>
        </w:rPr>
        <w:t xml:space="preserve">. Pokud jde o trend celkové podpory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v zahraničí, u většiny států silně podporujících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(s výjimkou Švédska) je rostoucí.</w:t>
      </w:r>
      <w:r w:rsidR="007D6BEF">
        <w:rPr>
          <w:rFonts w:ascii="Arial" w:eastAsia="Times New Roman" w:hAnsi="Arial" w:cs="Arial"/>
          <w:lang w:eastAsia="cs-CZ"/>
        </w:rPr>
        <w:t xml:space="preserve"> Intenzita růstu v ČR je výrazně nad průměrem EU, ČR v tomto aspektu výrazně předčí např. Francii a Finsko, což dává naději na dosažení jejich úrovně v dlouhodobém časovém horizontu.</w:t>
      </w:r>
    </w:p>
    <w:p w:rsidR="00292E9D" w:rsidRPr="000822A0" w:rsidRDefault="00292E9D" w:rsidP="00292E9D">
      <w:pPr>
        <w:pStyle w:val="Obrzek-nadpis"/>
      </w:pPr>
      <w:r w:rsidRPr="000822A0">
        <w:lastRenderedPageBreak/>
        <w:t xml:space="preserve">Obr. </w:t>
      </w:r>
      <w:r>
        <w:t>1.</w:t>
      </w:r>
      <w:r w:rsidRPr="000822A0">
        <w:t xml:space="preserve">3: Celkové výdaje na </w:t>
      </w:r>
      <w:proofErr w:type="spellStart"/>
      <w:r w:rsidRPr="000822A0">
        <w:t>VaVaI</w:t>
      </w:r>
      <w:proofErr w:type="spellEnd"/>
      <w:r w:rsidRPr="000822A0">
        <w:t xml:space="preserve"> (GERD) v letech 2000 – 201</w:t>
      </w:r>
      <w:r w:rsidR="002E2024">
        <w:t>4</w:t>
      </w:r>
      <w:r w:rsidRPr="000822A0">
        <w:t xml:space="preserve"> v zemích EU a OECD</w:t>
      </w:r>
    </w:p>
    <w:p w:rsidR="00292E9D" w:rsidRPr="000822A0" w:rsidRDefault="002E2024" w:rsidP="00292E9D">
      <w:pPr>
        <w:spacing w:after="0" w:line="240" w:lineRule="auto"/>
        <w:jc w:val="center"/>
        <w:rPr>
          <w:rFonts w:ascii="Times New Roman" w:eastAsia="Times New Roman" w:hAnsi="Times New Roman" w:cs="Times New Roman"/>
          <w:i/>
          <w:sz w:val="24"/>
          <w:szCs w:val="24"/>
          <w:lang w:eastAsia="cs-CZ"/>
        </w:rPr>
      </w:pPr>
      <w:r w:rsidRPr="002E2024">
        <w:rPr>
          <w:noProof/>
          <w:lang w:eastAsia="cs-CZ"/>
        </w:rPr>
        <w:drawing>
          <wp:inline distT="0" distB="0" distL="0" distR="0" wp14:anchorId="2BA6FAA1" wp14:editId="3FE9B147">
            <wp:extent cx="4694400" cy="3229169"/>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94400" cy="3229169"/>
                    </a:xfrm>
                    <a:prstGeom prst="rect">
                      <a:avLst/>
                    </a:prstGeom>
                    <a:noFill/>
                    <a:ln>
                      <a:noFill/>
                    </a:ln>
                  </pic:spPr>
                </pic:pic>
              </a:graphicData>
            </a:graphic>
          </wp:inline>
        </w:drawing>
      </w:r>
    </w:p>
    <w:p w:rsidR="00292E9D" w:rsidRPr="000822A0" w:rsidRDefault="00292E9D" w:rsidP="00292E9D">
      <w:pPr>
        <w:pStyle w:val="Zdroj"/>
      </w:pPr>
      <w:r w:rsidRPr="000822A0">
        <w:t xml:space="preserve">Zdroj dat: OECD – </w:t>
      </w:r>
      <w:proofErr w:type="spellStart"/>
      <w:r w:rsidRPr="000822A0">
        <w:t>Main</w:t>
      </w:r>
      <w:proofErr w:type="spellEnd"/>
      <w:r w:rsidRPr="000822A0">
        <w:t xml:space="preserve"> Science and Technology </w:t>
      </w:r>
      <w:proofErr w:type="spellStart"/>
      <w:r w:rsidRPr="000822A0">
        <w:t>Indicators</w:t>
      </w:r>
      <w:proofErr w:type="spellEnd"/>
    </w:p>
    <w:p w:rsidR="00292E9D" w:rsidRPr="000822A0" w:rsidRDefault="00292E9D" w:rsidP="00292E9D">
      <w:pPr>
        <w:pStyle w:val="komentzaobrzkem"/>
      </w:pPr>
      <w:r w:rsidRPr="000822A0">
        <w:t>Horizontální osa: hodnota GERD v roce 201</w:t>
      </w:r>
      <w:r w:rsidR="002E2024">
        <w:t>4</w:t>
      </w:r>
      <w:r w:rsidRPr="000822A0">
        <w:t xml:space="preserve"> jako % HDP</w:t>
      </w:r>
    </w:p>
    <w:p w:rsidR="00292E9D" w:rsidRPr="000822A0" w:rsidRDefault="00292E9D" w:rsidP="00292E9D">
      <w:pPr>
        <w:pStyle w:val="komentzaobrzkem"/>
      </w:pPr>
      <w:r w:rsidRPr="000822A0">
        <w:t>Vertikální osa: intenzita růstu / poklesu v období let 2000 - 201</w:t>
      </w:r>
      <w:r w:rsidR="002E2024">
        <w:t>4</w:t>
      </w:r>
      <w:r w:rsidRPr="000822A0">
        <w:t xml:space="preserve"> vyjádřená jako směrnice regresní přímky (kladná hodnota značí rostoucí trend, záporná hodnota klesající)</w:t>
      </w:r>
    </w:p>
    <w:p w:rsidR="00292E9D" w:rsidRPr="000822A0" w:rsidRDefault="00292E9D" w:rsidP="00292E9D">
      <w:pPr>
        <w:pStyle w:val="komentzaobrzkem"/>
      </w:pPr>
      <w:r w:rsidRPr="000822A0">
        <w:t>Průsečík os značí teoretickou pozici EU 28</w:t>
      </w:r>
      <w:r>
        <w:t>.</w:t>
      </w:r>
    </w:p>
    <w:p w:rsidR="00292E9D" w:rsidRDefault="00292E9D" w:rsidP="00292E9D">
      <w:pPr>
        <w:pStyle w:val="komentzaobrzkem"/>
        <w:spacing w:after="240"/>
      </w:pPr>
      <w:r w:rsidRPr="000822A0">
        <w:t>Výřez vlevo dole demonstruje průběh v jednotlivých letech v</w:t>
      </w:r>
      <w:r>
        <w:t> </w:t>
      </w:r>
      <w:r w:rsidRPr="000822A0">
        <w:t>Č</w:t>
      </w:r>
      <w:r>
        <w:t>R.</w:t>
      </w:r>
    </w:p>
    <w:p w:rsidR="007A5A89" w:rsidRDefault="007A5A89" w:rsidP="00FC6C7A">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Provedeme-li mezinárodní srovnání na základě veřejných </w:t>
      </w:r>
      <w:r w:rsidR="007D6BEF">
        <w:rPr>
          <w:rFonts w:ascii="Arial" w:eastAsia="Times New Roman" w:hAnsi="Arial" w:cs="Arial"/>
          <w:lang w:eastAsia="cs-CZ"/>
        </w:rPr>
        <w:t xml:space="preserve">domácích </w:t>
      </w:r>
      <w:r>
        <w:rPr>
          <w:rFonts w:ascii="Arial" w:eastAsia="Times New Roman" w:hAnsi="Arial" w:cs="Arial"/>
          <w:lang w:eastAsia="cs-CZ"/>
        </w:rPr>
        <w:t>výdajů</w:t>
      </w:r>
      <w:r w:rsidR="007D6BEF">
        <w:rPr>
          <w:rFonts w:ascii="Arial" w:eastAsia="Times New Roman" w:hAnsi="Arial" w:cs="Arial"/>
          <w:lang w:eastAsia="cs-CZ"/>
        </w:rPr>
        <w:t xml:space="preserve"> na </w:t>
      </w:r>
      <w:proofErr w:type="spellStart"/>
      <w:r w:rsidR="007D6BEF">
        <w:rPr>
          <w:rFonts w:ascii="Arial" w:eastAsia="Times New Roman" w:hAnsi="Arial" w:cs="Arial"/>
          <w:lang w:eastAsia="cs-CZ"/>
        </w:rPr>
        <w:t>VaVaI</w:t>
      </w:r>
      <w:proofErr w:type="spellEnd"/>
      <w:r w:rsidR="007D6BEF">
        <w:rPr>
          <w:rFonts w:ascii="Arial" w:eastAsia="Times New Roman" w:hAnsi="Arial" w:cs="Arial"/>
          <w:lang w:eastAsia="cs-CZ"/>
        </w:rPr>
        <w:t xml:space="preserve"> (v relativním vyjádření jako % HDP), je situace podobná, jako v případě celkových výdajů na </w:t>
      </w:r>
      <w:proofErr w:type="spellStart"/>
      <w:r w:rsidR="007D6BEF">
        <w:rPr>
          <w:rFonts w:ascii="Arial" w:eastAsia="Times New Roman" w:hAnsi="Arial" w:cs="Arial"/>
          <w:lang w:eastAsia="cs-CZ"/>
        </w:rPr>
        <w:t>VaVaI</w:t>
      </w:r>
      <w:proofErr w:type="spellEnd"/>
      <w:r w:rsidR="007E6EC6">
        <w:rPr>
          <w:rFonts w:ascii="Arial" w:eastAsia="Times New Roman" w:hAnsi="Arial" w:cs="Arial"/>
          <w:lang w:eastAsia="cs-CZ"/>
        </w:rPr>
        <w:t xml:space="preserve"> (obr. 1.4)</w:t>
      </w:r>
      <w:r w:rsidR="007D6BEF">
        <w:rPr>
          <w:rFonts w:ascii="Arial" w:eastAsia="Times New Roman" w:hAnsi="Arial" w:cs="Arial"/>
          <w:lang w:eastAsia="cs-CZ"/>
        </w:rPr>
        <w:t>. ČR i v tomto ukazateli</w:t>
      </w:r>
      <w:r w:rsidR="00D10B03">
        <w:rPr>
          <w:rFonts w:ascii="Arial" w:eastAsia="Times New Roman" w:hAnsi="Arial" w:cs="Arial"/>
          <w:lang w:eastAsia="cs-CZ"/>
        </w:rPr>
        <w:t xml:space="preserve"> </w:t>
      </w:r>
      <w:r w:rsidR="007D6BEF">
        <w:rPr>
          <w:rFonts w:ascii="Arial" w:eastAsia="Times New Roman" w:hAnsi="Arial" w:cs="Arial"/>
          <w:lang w:eastAsia="cs-CZ"/>
        </w:rPr>
        <w:t>představuje evropský průměr</w:t>
      </w:r>
      <w:r w:rsidR="00C668F1">
        <w:rPr>
          <w:rFonts w:ascii="Arial" w:eastAsia="Times New Roman" w:hAnsi="Arial" w:cs="Arial"/>
          <w:lang w:eastAsia="cs-CZ"/>
        </w:rPr>
        <w:t xml:space="preserve"> na srovnatelné úrovni</w:t>
      </w:r>
      <w:r w:rsidR="00D10B03">
        <w:rPr>
          <w:rFonts w:ascii="Arial" w:eastAsia="Times New Roman" w:hAnsi="Arial" w:cs="Arial"/>
          <w:lang w:eastAsia="cs-CZ"/>
        </w:rPr>
        <w:t xml:space="preserve"> se státy, jako je </w:t>
      </w:r>
      <w:r w:rsidR="00B5551C">
        <w:rPr>
          <w:rFonts w:ascii="Arial" w:eastAsia="Times New Roman" w:hAnsi="Arial" w:cs="Arial"/>
          <w:lang w:eastAsia="cs-CZ"/>
        </w:rPr>
        <w:t>Nizozemsko</w:t>
      </w:r>
      <w:r w:rsidR="00D10B03">
        <w:rPr>
          <w:rFonts w:ascii="Arial" w:eastAsia="Times New Roman" w:hAnsi="Arial" w:cs="Arial"/>
          <w:lang w:eastAsia="cs-CZ"/>
        </w:rPr>
        <w:t xml:space="preserve"> nebo Belgie</w:t>
      </w:r>
      <w:r w:rsidR="00D10B03" w:rsidRPr="00D10B03">
        <w:rPr>
          <w:rFonts w:ascii="Arial" w:eastAsia="Times New Roman" w:hAnsi="Arial" w:cs="Arial"/>
          <w:lang w:eastAsia="cs-CZ"/>
        </w:rPr>
        <w:t xml:space="preserve"> </w:t>
      </w:r>
      <w:r w:rsidR="00CA2AAC">
        <w:rPr>
          <w:rFonts w:ascii="Arial" w:eastAsia="Times New Roman" w:hAnsi="Arial" w:cs="Arial"/>
          <w:lang w:eastAsia="cs-CZ"/>
        </w:rPr>
        <w:t>(s hodnotami kolem 0,</w:t>
      </w:r>
      <w:r w:rsidR="00D10B03">
        <w:rPr>
          <w:rFonts w:ascii="Arial" w:eastAsia="Times New Roman" w:hAnsi="Arial" w:cs="Arial"/>
          <w:lang w:eastAsia="cs-CZ"/>
        </w:rPr>
        <w:t>7 %), přičemž předčí Velkou Británii, Itálii, Španělsko</w:t>
      </w:r>
      <w:r w:rsidR="00CA2AAC">
        <w:rPr>
          <w:rFonts w:ascii="Arial" w:eastAsia="Times New Roman" w:hAnsi="Arial" w:cs="Arial"/>
          <w:lang w:eastAsia="cs-CZ"/>
        </w:rPr>
        <w:t>,</w:t>
      </w:r>
      <w:r w:rsidR="00D10B03">
        <w:rPr>
          <w:rFonts w:ascii="Arial" w:eastAsia="Times New Roman" w:hAnsi="Arial" w:cs="Arial"/>
          <w:lang w:eastAsia="cs-CZ"/>
        </w:rPr>
        <w:t xml:space="preserve"> Slovinsko (přibližně 0</w:t>
      </w:r>
      <w:r w:rsidR="00CA2AAC">
        <w:rPr>
          <w:rFonts w:ascii="Arial" w:eastAsia="Times New Roman" w:hAnsi="Arial" w:cs="Arial"/>
          <w:lang w:eastAsia="cs-CZ"/>
        </w:rPr>
        <w:t>,</w:t>
      </w:r>
      <w:r w:rsidR="00D10B03">
        <w:rPr>
          <w:rFonts w:ascii="Arial" w:eastAsia="Times New Roman" w:hAnsi="Arial" w:cs="Arial"/>
          <w:lang w:eastAsia="cs-CZ"/>
        </w:rPr>
        <w:t xml:space="preserve">5 %), ještě výrazněji překonává Polsko, Slovensko, Irsko Řecko (cca </w:t>
      </w:r>
      <w:r w:rsidR="00292E9D">
        <w:rPr>
          <w:rFonts w:ascii="Arial" w:eastAsia="Times New Roman" w:hAnsi="Arial" w:cs="Arial"/>
          <w:lang w:eastAsia="cs-CZ"/>
        </w:rPr>
        <w:t>0</w:t>
      </w:r>
      <w:r w:rsidR="00CA2AAC">
        <w:rPr>
          <w:rFonts w:ascii="Arial" w:eastAsia="Times New Roman" w:hAnsi="Arial" w:cs="Arial"/>
          <w:lang w:eastAsia="cs-CZ"/>
        </w:rPr>
        <w:t>,</w:t>
      </w:r>
      <w:r w:rsidR="00292E9D">
        <w:rPr>
          <w:rFonts w:ascii="Arial" w:eastAsia="Times New Roman" w:hAnsi="Arial" w:cs="Arial"/>
          <w:lang w:eastAsia="cs-CZ"/>
        </w:rPr>
        <w:t>4 %)</w:t>
      </w:r>
      <w:r w:rsidR="00D10B03">
        <w:rPr>
          <w:rFonts w:ascii="Arial" w:eastAsia="Times New Roman" w:hAnsi="Arial" w:cs="Arial"/>
          <w:lang w:eastAsia="cs-CZ"/>
        </w:rPr>
        <w:t>, nedosahuje však úrovně Norska, Šv</w:t>
      </w:r>
      <w:r w:rsidR="00292E9D">
        <w:rPr>
          <w:rFonts w:ascii="Arial" w:eastAsia="Times New Roman" w:hAnsi="Arial" w:cs="Arial"/>
          <w:lang w:eastAsia="cs-CZ"/>
        </w:rPr>
        <w:t>ýcarska</w:t>
      </w:r>
      <w:r w:rsidR="00D10B03">
        <w:rPr>
          <w:rFonts w:ascii="Arial" w:eastAsia="Times New Roman" w:hAnsi="Arial" w:cs="Arial"/>
          <w:lang w:eastAsia="cs-CZ"/>
        </w:rPr>
        <w:t>, Francie</w:t>
      </w:r>
      <w:r w:rsidR="00292E9D">
        <w:rPr>
          <w:rFonts w:ascii="Arial" w:eastAsia="Times New Roman" w:hAnsi="Arial" w:cs="Arial"/>
          <w:lang w:eastAsia="cs-CZ"/>
        </w:rPr>
        <w:t xml:space="preserve"> (0</w:t>
      </w:r>
      <w:r w:rsidR="00CA2AAC">
        <w:rPr>
          <w:rFonts w:ascii="Arial" w:eastAsia="Times New Roman" w:hAnsi="Arial" w:cs="Arial"/>
          <w:lang w:eastAsia="cs-CZ"/>
        </w:rPr>
        <w:t>,</w:t>
      </w:r>
      <w:r w:rsidR="00292E9D">
        <w:rPr>
          <w:rFonts w:ascii="Arial" w:eastAsia="Times New Roman" w:hAnsi="Arial" w:cs="Arial"/>
          <w:lang w:eastAsia="cs-CZ"/>
        </w:rPr>
        <w:t>8 %), Švédska, Dánska (0</w:t>
      </w:r>
      <w:r w:rsidR="00CA2AAC">
        <w:rPr>
          <w:rFonts w:ascii="Arial" w:eastAsia="Times New Roman" w:hAnsi="Arial" w:cs="Arial"/>
          <w:lang w:eastAsia="cs-CZ"/>
        </w:rPr>
        <w:t>,</w:t>
      </w:r>
      <w:r w:rsidR="00292E9D">
        <w:rPr>
          <w:rFonts w:ascii="Arial" w:eastAsia="Times New Roman" w:hAnsi="Arial" w:cs="Arial"/>
          <w:lang w:eastAsia="cs-CZ"/>
        </w:rPr>
        <w:t>9 %), nebo Rakouska (1</w:t>
      </w:r>
      <w:r w:rsidR="00CA2AAC">
        <w:rPr>
          <w:rFonts w:ascii="Arial" w:eastAsia="Times New Roman" w:hAnsi="Arial" w:cs="Arial"/>
          <w:lang w:eastAsia="cs-CZ"/>
        </w:rPr>
        <w:t>,</w:t>
      </w:r>
      <w:r w:rsidR="00292E9D">
        <w:rPr>
          <w:rFonts w:ascii="Arial" w:eastAsia="Times New Roman" w:hAnsi="Arial" w:cs="Arial"/>
          <w:lang w:eastAsia="cs-CZ"/>
        </w:rPr>
        <w:t>1 %)</w:t>
      </w:r>
      <w:r w:rsidR="00D10B03">
        <w:rPr>
          <w:rFonts w:ascii="Arial" w:eastAsia="Times New Roman" w:hAnsi="Arial" w:cs="Arial"/>
          <w:lang w:eastAsia="cs-CZ"/>
        </w:rPr>
        <w:t>. Rostoucí trend je</w:t>
      </w:r>
      <w:r w:rsidR="00292E9D">
        <w:rPr>
          <w:rFonts w:ascii="Arial" w:eastAsia="Times New Roman" w:hAnsi="Arial" w:cs="Arial"/>
          <w:lang w:eastAsia="cs-CZ"/>
        </w:rPr>
        <w:t>,</w:t>
      </w:r>
      <w:r w:rsidR="00D10B03">
        <w:rPr>
          <w:rFonts w:ascii="Arial" w:eastAsia="Times New Roman" w:hAnsi="Arial" w:cs="Arial"/>
          <w:lang w:eastAsia="cs-CZ"/>
        </w:rPr>
        <w:t xml:space="preserve"> podobně jako v</w:t>
      </w:r>
      <w:r w:rsidR="00292E9D">
        <w:rPr>
          <w:rFonts w:ascii="Arial" w:eastAsia="Times New Roman" w:hAnsi="Arial" w:cs="Arial"/>
          <w:lang w:eastAsia="cs-CZ"/>
        </w:rPr>
        <w:t> </w:t>
      </w:r>
      <w:r w:rsidR="00D10B03">
        <w:rPr>
          <w:rFonts w:ascii="Arial" w:eastAsia="Times New Roman" w:hAnsi="Arial" w:cs="Arial"/>
          <w:lang w:eastAsia="cs-CZ"/>
        </w:rPr>
        <w:t>ČR</w:t>
      </w:r>
      <w:r w:rsidR="00292E9D">
        <w:rPr>
          <w:rFonts w:ascii="Arial" w:eastAsia="Times New Roman" w:hAnsi="Arial" w:cs="Arial"/>
          <w:lang w:eastAsia="cs-CZ"/>
        </w:rPr>
        <w:t>,</w:t>
      </w:r>
      <w:r w:rsidR="00D10B03">
        <w:rPr>
          <w:rFonts w:ascii="Arial" w:eastAsia="Times New Roman" w:hAnsi="Arial" w:cs="Arial"/>
          <w:lang w:eastAsia="cs-CZ"/>
        </w:rPr>
        <w:t xml:space="preserve"> patrný ve většině zemí s výjimkou Velké Británie, Holandska a Francie. To umožní při zachování rostoucího trendu v ČR ve střednědobém horizontu dosažení úrovně Francie (0</w:t>
      </w:r>
      <w:r w:rsidR="00CA2AAC">
        <w:rPr>
          <w:rFonts w:ascii="Arial" w:eastAsia="Times New Roman" w:hAnsi="Arial" w:cs="Arial"/>
          <w:lang w:eastAsia="cs-CZ"/>
        </w:rPr>
        <w:t>,</w:t>
      </w:r>
      <w:r w:rsidR="00D10B03">
        <w:rPr>
          <w:rFonts w:ascii="Arial" w:eastAsia="Times New Roman" w:hAnsi="Arial" w:cs="Arial"/>
          <w:lang w:eastAsia="cs-CZ"/>
        </w:rPr>
        <w:t>8 %)</w:t>
      </w:r>
      <w:r w:rsidR="007D6BEF">
        <w:rPr>
          <w:rFonts w:ascii="Arial" w:eastAsia="Times New Roman" w:hAnsi="Arial" w:cs="Arial"/>
          <w:lang w:eastAsia="cs-CZ"/>
        </w:rPr>
        <w:t xml:space="preserve">. </w:t>
      </w:r>
    </w:p>
    <w:p w:rsidR="007E6EC6" w:rsidRPr="000822A0" w:rsidRDefault="007E6EC6" w:rsidP="007E6EC6">
      <w:pPr>
        <w:pStyle w:val="Obrzek-nadpis"/>
      </w:pPr>
      <w:r w:rsidRPr="000822A0">
        <w:lastRenderedPageBreak/>
        <w:t xml:space="preserve">Obr. </w:t>
      </w:r>
      <w:r>
        <w:t>1.4</w:t>
      </w:r>
      <w:r w:rsidRPr="000822A0">
        <w:t xml:space="preserve">: </w:t>
      </w:r>
      <w:r>
        <w:t xml:space="preserve">Veřejné domácí výdaje na </w:t>
      </w:r>
      <w:proofErr w:type="spellStart"/>
      <w:r>
        <w:t>VaVaI</w:t>
      </w:r>
      <w:proofErr w:type="spellEnd"/>
      <w:r w:rsidRPr="000822A0">
        <w:t xml:space="preserve"> v letech 2000 – 201</w:t>
      </w:r>
      <w:r>
        <w:t>4</w:t>
      </w:r>
      <w:r w:rsidRPr="000822A0">
        <w:t xml:space="preserve"> v zemích EU a OECD</w:t>
      </w:r>
    </w:p>
    <w:p w:rsidR="007E6EC6" w:rsidRPr="000822A0" w:rsidRDefault="007E6EC6" w:rsidP="007E6EC6">
      <w:pPr>
        <w:spacing w:after="0" w:line="240" w:lineRule="auto"/>
        <w:jc w:val="center"/>
        <w:rPr>
          <w:rFonts w:ascii="Times New Roman" w:eastAsia="Times New Roman" w:hAnsi="Times New Roman" w:cs="Times New Roman"/>
          <w:i/>
          <w:sz w:val="24"/>
          <w:szCs w:val="24"/>
          <w:lang w:eastAsia="cs-CZ"/>
        </w:rPr>
      </w:pPr>
      <w:r w:rsidRPr="007E6EC6">
        <w:rPr>
          <w:noProof/>
          <w:lang w:eastAsia="cs-CZ"/>
        </w:rPr>
        <w:drawing>
          <wp:inline distT="0" distB="0" distL="0" distR="0" wp14:anchorId="0342D2E1" wp14:editId="35A0AC4C">
            <wp:extent cx="4692769" cy="3228047"/>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95448" cy="3229890"/>
                    </a:xfrm>
                    <a:prstGeom prst="rect">
                      <a:avLst/>
                    </a:prstGeom>
                    <a:noFill/>
                    <a:ln>
                      <a:noFill/>
                    </a:ln>
                  </pic:spPr>
                </pic:pic>
              </a:graphicData>
            </a:graphic>
          </wp:inline>
        </w:drawing>
      </w:r>
    </w:p>
    <w:p w:rsidR="007E6EC6" w:rsidRPr="000822A0" w:rsidRDefault="007E6EC6" w:rsidP="007E6EC6">
      <w:pPr>
        <w:pStyle w:val="Zdroj"/>
      </w:pPr>
      <w:r w:rsidRPr="000822A0">
        <w:t xml:space="preserve">Zdroj dat: </w:t>
      </w:r>
      <w:r>
        <w:t>EUROSTAT</w:t>
      </w:r>
    </w:p>
    <w:p w:rsidR="007E6EC6" w:rsidRPr="000822A0" w:rsidRDefault="007E6EC6" w:rsidP="007E6EC6">
      <w:pPr>
        <w:pStyle w:val="komentzaobrzkem"/>
      </w:pPr>
      <w:r w:rsidRPr="000822A0">
        <w:t xml:space="preserve">Horizontální osa: hodnota </w:t>
      </w:r>
      <w:r>
        <w:t>ukazatele</w:t>
      </w:r>
      <w:r w:rsidRPr="000822A0">
        <w:t xml:space="preserve"> v roce 201</w:t>
      </w:r>
      <w:r>
        <w:t>4</w:t>
      </w:r>
      <w:r w:rsidRPr="000822A0">
        <w:t xml:space="preserve"> jako % HDP</w:t>
      </w:r>
    </w:p>
    <w:p w:rsidR="007E6EC6" w:rsidRPr="000822A0" w:rsidRDefault="007E6EC6" w:rsidP="007E6EC6">
      <w:pPr>
        <w:pStyle w:val="komentzaobrzkem"/>
      </w:pPr>
      <w:r w:rsidRPr="000822A0">
        <w:t>Vertikální osa: intenzita růstu / poklesu v období let 2000 - 201</w:t>
      </w:r>
      <w:r>
        <w:t>4</w:t>
      </w:r>
      <w:r w:rsidRPr="000822A0">
        <w:t xml:space="preserve"> vyjádřená jako směrnice regresní přímky (kladná hodnota značí rostoucí trend, záporná hodnota klesající)</w:t>
      </w:r>
    </w:p>
    <w:p w:rsidR="007E6EC6" w:rsidRPr="000822A0" w:rsidRDefault="007E6EC6" w:rsidP="007E6EC6">
      <w:pPr>
        <w:pStyle w:val="komentzaobrzkem"/>
      </w:pPr>
      <w:r w:rsidRPr="000822A0">
        <w:t>Průsečík os značí teoretickou pozici EU 28</w:t>
      </w:r>
      <w:r>
        <w:t>.</w:t>
      </w:r>
    </w:p>
    <w:p w:rsidR="007E6EC6" w:rsidRDefault="007E6EC6" w:rsidP="007E6EC6">
      <w:pPr>
        <w:pStyle w:val="komentzaobrzkem"/>
        <w:spacing w:after="240"/>
      </w:pPr>
      <w:r w:rsidRPr="000822A0">
        <w:t xml:space="preserve">Výřez vlevo </w:t>
      </w:r>
      <w:r>
        <w:t xml:space="preserve">nahoře </w:t>
      </w:r>
      <w:r w:rsidRPr="000822A0">
        <w:t>demonstruje průběh v jednotlivých letech v</w:t>
      </w:r>
      <w:r>
        <w:t> </w:t>
      </w:r>
      <w:r w:rsidRPr="000822A0">
        <w:t>Č</w:t>
      </w:r>
      <w:r>
        <w:t>R.</w:t>
      </w:r>
    </w:p>
    <w:p w:rsidR="00D80689" w:rsidRPr="007E6EC6" w:rsidRDefault="00D80689" w:rsidP="00FC6C7A">
      <w:pPr>
        <w:spacing w:after="0" w:line="360" w:lineRule="auto"/>
        <w:ind w:firstLine="709"/>
        <w:jc w:val="both"/>
        <w:rPr>
          <w:rFonts w:ascii="Arial" w:eastAsia="Times New Roman" w:hAnsi="Arial" w:cs="Arial"/>
          <w:highlight w:val="yellow"/>
          <w:lang w:eastAsia="cs-CZ"/>
        </w:rPr>
      </w:pPr>
      <w:r w:rsidRPr="002C43B6">
        <w:rPr>
          <w:rFonts w:ascii="Arial" w:eastAsia="Times New Roman" w:hAnsi="Arial" w:cs="Arial"/>
          <w:lang w:eastAsia="cs-CZ"/>
        </w:rPr>
        <w:t xml:space="preserve">Nejvýznamnějším zdrojem financí pro provádění </w:t>
      </w:r>
      <w:proofErr w:type="spellStart"/>
      <w:r w:rsidRPr="002C43B6">
        <w:rPr>
          <w:rFonts w:ascii="Arial" w:eastAsia="Times New Roman" w:hAnsi="Arial" w:cs="Arial"/>
          <w:lang w:eastAsia="cs-CZ"/>
        </w:rPr>
        <w:t>VaVaI</w:t>
      </w:r>
      <w:proofErr w:type="spellEnd"/>
      <w:r w:rsidRPr="002C43B6">
        <w:rPr>
          <w:rFonts w:ascii="Arial" w:eastAsia="Times New Roman" w:hAnsi="Arial" w:cs="Arial"/>
          <w:lang w:eastAsia="cs-CZ"/>
        </w:rPr>
        <w:t xml:space="preserve"> byly v roce 201</w:t>
      </w:r>
      <w:r w:rsidR="00A377E2" w:rsidRPr="002C43B6">
        <w:rPr>
          <w:rFonts w:ascii="Arial" w:eastAsia="Times New Roman" w:hAnsi="Arial" w:cs="Arial"/>
          <w:lang w:eastAsia="cs-CZ"/>
        </w:rPr>
        <w:t>4</w:t>
      </w:r>
      <w:r w:rsidRPr="002C43B6">
        <w:rPr>
          <w:rFonts w:ascii="Arial" w:eastAsia="Times New Roman" w:hAnsi="Arial" w:cs="Arial"/>
          <w:lang w:eastAsia="cs-CZ"/>
        </w:rPr>
        <w:t xml:space="preserve"> (</w:t>
      </w:r>
      <w:r w:rsidR="005030AA" w:rsidRPr="002C43B6">
        <w:rPr>
          <w:rFonts w:ascii="Arial" w:eastAsia="Times New Roman" w:hAnsi="Arial" w:cs="Arial"/>
          <w:lang w:eastAsia="cs-CZ"/>
        </w:rPr>
        <w:t>tabulka</w:t>
      </w:r>
      <w:r w:rsidRPr="002C43B6">
        <w:rPr>
          <w:rFonts w:ascii="Arial" w:eastAsia="Times New Roman" w:hAnsi="Arial" w:cs="Arial"/>
          <w:lang w:eastAsia="cs-CZ"/>
        </w:rPr>
        <w:t xml:space="preserve"> 1.</w:t>
      </w:r>
      <w:r w:rsidR="00A377E2" w:rsidRPr="002C43B6">
        <w:rPr>
          <w:rFonts w:ascii="Arial" w:eastAsia="Times New Roman" w:hAnsi="Arial" w:cs="Arial"/>
          <w:lang w:eastAsia="cs-CZ"/>
        </w:rPr>
        <w:t>5</w:t>
      </w:r>
      <w:r w:rsidRPr="002C43B6">
        <w:rPr>
          <w:rFonts w:ascii="Arial" w:eastAsia="Times New Roman" w:hAnsi="Arial" w:cs="Arial"/>
          <w:lang w:eastAsia="cs-CZ"/>
        </w:rPr>
        <w:t xml:space="preserve">) tuzemské podnikatelské zdroje ve výši přesahující </w:t>
      </w:r>
      <w:r w:rsidR="00A377E2" w:rsidRPr="002C43B6">
        <w:rPr>
          <w:rFonts w:ascii="Arial" w:eastAsia="Times New Roman" w:hAnsi="Arial" w:cs="Arial"/>
          <w:lang w:eastAsia="cs-CZ"/>
        </w:rPr>
        <w:t>30</w:t>
      </w:r>
      <w:r w:rsidRPr="002C43B6">
        <w:rPr>
          <w:rFonts w:ascii="Arial" w:eastAsia="Times New Roman" w:hAnsi="Arial" w:cs="Arial"/>
          <w:lang w:eastAsia="cs-CZ"/>
        </w:rPr>
        <w:t xml:space="preserve"> mld. Kč</w:t>
      </w:r>
      <w:r w:rsidR="00A377E2" w:rsidRPr="002C43B6">
        <w:rPr>
          <w:rFonts w:ascii="Arial" w:eastAsia="Times New Roman" w:hAnsi="Arial" w:cs="Arial"/>
          <w:lang w:eastAsia="cs-CZ"/>
        </w:rPr>
        <w:t xml:space="preserve"> (meziroční nárůst přibližně o 1 mld. Kč)</w:t>
      </w:r>
      <w:r w:rsidRPr="002C43B6">
        <w:rPr>
          <w:rFonts w:ascii="Arial" w:eastAsia="Times New Roman" w:hAnsi="Arial" w:cs="Arial"/>
          <w:lang w:eastAsia="cs-CZ"/>
        </w:rPr>
        <w:t>. Následovaly domácí veřejné zdroje, tj. zejména státní rozpočet, v celkové výši 2</w:t>
      </w:r>
      <w:r w:rsidR="00A377E2" w:rsidRPr="002C43B6">
        <w:rPr>
          <w:rFonts w:ascii="Arial" w:eastAsia="Times New Roman" w:hAnsi="Arial" w:cs="Arial"/>
          <w:lang w:eastAsia="cs-CZ"/>
        </w:rPr>
        <w:t>8</w:t>
      </w:r>
      <w:r w:rsidRPr="002C43B6">
        <w:rPr>
          <w:rFonts w:ascii="Arial" w:eastAsia="Times New Roman" w:hAnsi="Arial" w:cs="Arial"/>
          <w:lang w:eastAsia="cs-CZ"/>
        </w:rPr>
        <w:t xml:space="preserve"> mld. Kč</w:t>
      </w:r>
      <w:r w:rsidR="00A377E2" w:rsidRPr="002C43B6">
        <w:rPr>
          <w:rFonts w:ascii="Arial" w:eastAsia="Times New Roman" w:hAnsi="Arial" w:cs="Arial"/>
          <w:lang w:eastAsia="cs-CZ"/>
        </w:rPr>
        <w:t xml:space="preserve"> (meziroční nárůst 1 mld. Kč)</w:t>
      </w:r>
      <w:r w:rsidRPr="002C43B6">
        <w:rPr>
          <w:rFonts w:ascii="Arial" w:eastAsia="Times New Roman" w:hAnsi="Arial" w:cs="Arial"/>
          <w:lang w:eastAsia="cs-CZ"/>
        </w:rPr>
        <w:t>. Velmi významný byl podíl zahraničních zdrojů</w:t>
      </w:r>
      <w:r w:rsidR="002C43B6" w:rsidRPr="002C43B6">
        <w:rPr>
          <w:rFonts w:ascii="Arial" w:eastAsia="Times New Roman" w:hAnsi="Arial" w:cs="Arial"/>
          <w:lang w:eastAsia="cs-CZ"/>
        </w:rPr>
        <w:t>,</w:t>
      </w:r>
      <w:r w:rsidRPr="002C43B6">
        <w:rPr>
          <w:rFonts w:ascii="Arial" w:eastAsia="Times New Roman" w:hAnsi="Arial" w:cs="Arial"/>
          <w:lang w:eastAsia="cs-CZ"/>
        </w:rPr>
        <w:t xml:space="preserve"> a to jak veřejných (1</w:t>
      </w:r>
      <w:r w:rsidR="002C43B6" w:rsidRPr="002C43B6">
        <w:rPr>
          <w:rFonts w:ascii="Arial" w:eastAsia="Times New Roman" w:hAnsi="Arial" w:cs="Arial"/>
          <w:lang w:eastAsia="cs-CZ"/>
        </w:rPr>
        <w:t>3</w:t>
      </w:r>
      <w:r w:rsidRPr="002C43B6">
        <w:rPr>
          <w:rFonts w:ascii="Arial" w:eastAsia="Times New Roman" w:hAnsi="Arial" w:cs="Arial"/>
          <w:lang w:eastAsia="cs-CZ"/>
        </w:rPr>
        <w:t>,</w:t>
      </w:r>
      <w:r w:rsidR="002C43B6" w:rsidRPr="002C43B6">
        <w:rPr>
          <w:rFonts w:ascii="Arial" w:eastAsia="Times New Roman" w:hAnsi="Arial" w:cs="Arial"/>
          <w:lang w:eastAsia="cs-CZ"/>
        </w:rPr>
        <w:t>3</w:t>
      </w:r>
      <w:r w:rsidRPr="002C43B6">
        <w:rPr>
          <w:rFonts w:ascii="Arial" w:eastAsia="Times New Roman" w:hAnsi="Arial" w:cs="Arial"/>
          <w:lang w:eastAsia="cs-CZ"/>
        </w:rPr>
        <w:t xml:space="preserve"> mld. Kč</w:t>
      </w:r>
      <w:r w:rsidR="002C43B6" w:rsidRPr="002C43B6">
        <w:rPr>
          <w:rFonts w:ascii="Arial" w:eastAsia="Times New Roman" w:hAnsi="Arial" w:cs="Arial"/>
          <w:lang w:eastAsia="cs-CZ"/>
        </w:rPr>
        <w:t>, meziroční nárůst 0,7 mld. Kč</w:t>
      </w:r>
      <w:r w:rsidRPr="002C43B6">
        <w:rPr>
          <w:rFonts w:ascii="Arial" w:eastAsia="Times New Roman" w:hAnsi="Arial" w:cs="Arial"/>
          <w:lang w:eastAsia="cs-CZ"/>
        </w:rPr>
        <w:t>), tak soukromých</w:t>
      </w:r>
      <w:r w:rsidR="00A377E2" w:rsidRPr="002C43B6">
        <w:rPr>
          <w:rStyle w:val="Znakapoznpodarou"/>
          <w:rFonts w:ascii="Arial" w:eastAsia="Times New Roman" w:hAnsi="Arial" w:cs="Arial"/>
          <w:lang w:eastAsia="cs-CZ"/>
        </w:rPr>
        <w:footnoteReference w:id="1"/>
      </w:r>
      <w:r w:rsidRPr="002C43B6">
        <w:rPr>
          <w:rFonts w:ascii="Arial" w:eastAsia="Times New Roman" w:hAnsi="Arial" w:cs="Arial"/>
          <w:lang w:eastAsia="cs-CZ"/>
        </w:rPr>
        <w:t xml:space="preserve"> (</w:t>
      </w:r>
      <w:r w:rsidR="002C43B6" w:rsidRPr="002C43B6">
        <w:rPr>
          <w:rFonts w:ascii="Arial" w:eastAsia="Times New Roman" w:hAnsi="Arial" w:cs="Arial"/>
          <w:lang w:eastAsia="cs-CZ"/>
        </w:rPr>
        <w:t>12</w:t>
      </w:r>
      <w:r w:rsidRPr="002C43B6">
        <w:rPr>
          <w:rFonts w:ascii="Arial" w:eastAsia="Times New Roman" w:hAnsi="Arial" w:cs="Arial"/>
          <w:lang w:eastAsia="cs-CZ"/>
        </w:rPr>
        <w:t>,</w:t>
      </w:r>
      <w:r w:rsidR="002C43B6" w:rsidRPr="002C43B6">
        <w:rPr>
          <w:rFonts w:ascii="Arial" w:eastAsia="Times New Roman" w:hAnsi="Arial" w:cs="Arial"/>
          <w:lang w:eastAsia="cs-CZ"/>
        </w:rPr>
        <w:t>7</w:t>
      </w:r>
      <w:r w:rsidRPr="002C43B6">
        <w:rPr>
          <w:rFonts w:ascii="Arial" w:eastAsia="Times New Roman" w:hAnsi="Arial" w:cs="Arial"/>
          <w:lang w:eastAsia="cs-CZ"/>
        </w:rPr>
        <w:t xml:space="preserve"> mld. Kč</w:t>
      </w:r>
      <w:r w:rsidR="002C43B6" w:rsidRPr="002C43B6">
        <w:rPr>
          <w:rFonts w:ascii="Arial" w:eastAsia="Times New Roman" w:hAnsi="Arial" w:cs="Arial"/>
          <w:lang w:eastAsia="cs-CZ"/>
        </w:rPr>
        <w:t>, meziroční nárůst 4,1 mld. Kč</w:t>
      </w:r>
      <w:r w:rsidRPr="002C43B6">
        <w:rPr>
          <w:rFonts w:ascii="Arial" w:eastAsia="Times New Roman" w:hAnsi="Arial" w:cs="Arial"/>
          <w:lang w:eastAsia="cs-CZ"/>
        </w:rPr>
        <w:t>).</w:t>
      </w:r>
    </w:p>
    <w:p w:rsidR="00D80689" w:rsidRPr="004743B7" w:rsidRDefault="00D80689" w:rsidP="00FC6C7A">
      <w:pPr>
        <w:spacing w:after="0" w:line="360" w:lineRule="auto"/>
        <w:ind w:firstLine="709"/>
        <w:jc w:val="both"/>
        <w:rPr>
          <w:rFonts w:ascii="Arial" w:eastAsia="Times New Roman" w:hAnsi="Arial" w:cs="Arial"/>
          <w:lang w:eastAsia="cs-CZ"/>
        </w:rPr>
      </w:pPr>
      <w:r w:rsidRPr="004743B7">
        <w:rPr>
          <w:rFonts w:ascii="Arial" w:eastAsia="Times New Roman" w:hAnsi="Arial" w:cs="Arial"/>
          <w:lang w:eastAsia="cs-CZ"/>
        </w:rPr>
        <w:t xml:space="preserve">Byly zaznamenány velké disproporce v distribuci jednotlivých finančních zdrojů mezi sektory, které </w:t>
      </w:r>
      <w:proofErr w:type="spellStart"/>
      <w:r w:rsidRPr="004743B7">
        <w:rPr>
          <w:rFonts w:ascii="Arial" w:eastAsia="Times New Roman" w:hAnsi="Arial" w:cs="Arial"/>
          <w:lang w:eastAsia="cs-CZ"/>
        </w:rPr>
        <w:t>VaVaI</w:t>
      </w:r>
      <w:proofErr w:type="spellEnd"/>
      <w:r w:rsidRPr="004743B7">
        <w:rPr>
          <w:rFonts w:ascii="Arial" w:eastAsia="Times New Roman" w:hAnsi="Arial" w:cs="Arial"/>
          <w:lang w:eastAsia="cs-CZ"/>
        </w:rPr>
        <w:t xml:space="preserve"> provádějí. Podnikatelské zdroje byly</w:t>
      </w:r>
      <w:r w:rsidR="004743B7" w:rsidRPr="004743B7">
        <w:rPr>
          <w:rFonts w:ascii="Arial" w:eastAsia="Times New Roman" w:hAnsi="Arial" w:cs="Arial"/>
          <w:lang w:eastAsia="cs-CZ"/>
        </w:rPr>
        <w:t>, podobně jako v předchozích letech,</w:t>
      </w:r>
      <w:r w:rsidRPr="004743B7">
        <w:rPr>
          <w:rFonts w:ascii="Arial" w:eastAsia="Times New Roman" w:hAnsi="Arial" w:cs="Arial"/>
          <w:lang w:eastAsia="cs-CZ"/>
        </w:rPr>
        <w:t xml:space="preserve"> téměř výhradně využity v podnikatelském sektoru, podpora veřejného </w:t>
      </w:r>
      <w:proofErr w:type="spellStart"/>
      <w:r w:rsidRPr="004743B7">
        <w:rPr>
          <w:rFonts w:ascii="Arial" w:eastAsia="Times New Roman" w:hAnsi="Arial" w:cs="Arial"/>
          <w:lang w:eastAsia="cs-CZ"/>
        </w:rPr>
        <w:t>VaVaI</w:t>
      </w:r>
      <w:proofErr w:type="spellEnd"/>
      <w:r w:rsidRPr="004743B7">
        <w:rPr>
          <w:rFonts w:ascii="Arial" w:eastAsia="Times New Roman" w:hAnsi="Arial" w:cs="Arial"/>
          <w:lang w:eastAsia="cs-CZ"/>
        </w:rPr>
        <w:t xml:space="preserve"> </w:t>
      </w:r>
      <w:r w:rsidR="004743B7" w:rsidRPr="004743B7">
        <w:rPr>
          <w:rFonts w:ascii="Arial" w:eastAsia="Times New Roman" w:hAnsi="Arial" w:cs="Arial"/>
          <w:lang w:eastAsia="cs-CZ"/>
        </w:rPr>
        <w:t>byla</w:t>
      </w:r>
      <w:r w:rsidRPr="004743B7">
        <w:rPr>
          <w:rFonts w:ascii="Arial" w:eastAsia="Times New Roman" w:hAnsi="Arial" w:cs="Arial"/>
          <w:lang w:eastAsia="cs-CZ"/>
        </w:rPr>
        <w:t xml:space="preserve"> velmi malá, v součtu za vysokoškolský a vládní sektor </w:t>
      </w:r>
      <w:r w:rsidR="004743B7" w:rsidRPr="004743B7">
        <w:rPr>
          <w:rFonts w:ascii="Arial" w:eastAsia="Times New Roman" w:hAnsi="Arial" w:cs="Arial"/>
          <w:lang w:eastAsia="cs-CZ"/>
        </w:rPr>
        <w:t>nepatrně překročila</w:t>
      </w:r>
      <w:r w:rsidRPr="004743B7">
        <w:rPr>
          <w:rFonts w:ascii="Arial" w:eastAsia="Times New Roman" w:hAnsi="Arial" w:cs="Arial"/>
          <w:lang w:eastAsia="cs-CZ"/>
        </w:rPr>
        <w:t xml:space="preserve"> 1 mld. Kč. Naproti tomu u zdrojů</w:t>
      </w:r>
      <w:r w:rsidR="004743B7" w:rsidRPr="004743B7">
        <w:rPr>
          <w:rFonts w:ascii="Arial" w:eastAsia="Times New Roman" w:hAnsi="Arial" w:cs="Arial"/>
          <w:lang w:eastAsia="cs-CZ"/>
        </w:rPr>
        <w:t xml:space="preserve"> z veřejných rozpočtů ČR</w:t>
      </w:r>
      <w:r w:rsidRPr="004743B7">
        <w:rPr>
          <w:rFonts w:ascii="Arial" w:eastAsia="Times New Roman" w:hAnsi="Arial" w:cs="Arial"/>
          <w:lang w:eastAsia="cs-CZ"/>
        </w:rPr>
        <w:t>, přestože směřovaly především do veřejn</w:t>
      </w:r>
      <w:r w:rsidR="004743B7" w:rsidRPr="004743B7">
        <w:rPr>
          <w:rFonts w:ascii="Arial" w:eastAsia="Times New Roman" w:hAnsi="Arial" w:cs="Arial"/>
          <w:lang w:eastAsia="cs-CZ"/>
        </w:rPr>
        <w:t>ých</w:t>
      </w:r>
      <w:r w:rsidRPr="004743B7">
        <w:rPr>
          <w:rFonts w:ascii="Arial" w:eastAsia="Times New Roman" w:hAnsi="Arial" w:cs="Arial"/>
          <w:lang w:eastAsia="cs-CZ"/>
        </w:rPr>
        <w:t xml:space="preserve"> sektor</w:t>
      </w:r>
      <w:r w:rsidR="004743B7" w:rsidRPr="004743B7">
        <w:rPr>
          <w:rFonts w:ascii="Arial" w:eastAsia="Times New Roman" w:hAnsi="Arial" w:cs="Arial"/>
          <w:lang w:eastAsia="cs-CZ"/>
        </w:rPr>
        <w:t>ů</w:t>
      </w:r>
      <w:r w:rsidRPr="004743B7">
        <w:rPr>
          <w:rFonts w:ascii="Arial" w:eastAsia="Times New Roman" w:hAnsi="Arial" w:cs="Arial"/>
          <w:lang w:eastAsia="cs-CZ"/>
        </w:rPr>
        <w:t xml:space="preserve"> (1</w:t>
      </w:r>
      <w:r w:rsidR="004743B7" w:rsidRPr="004743B7">
        <w:rPr>
          <w:rFonts w:ascii="Arial" w:eastAsia="Times New Roman" w:hAnsi="Arial" w:cs="Arial"/>
          <w:lang w:eastAsia="cs-CZ"/>
        </w:rPr>
        <w:t>3</w:t>
      </w:r>
      <w:r w:rsidRPr="004743B7">
        <w:rPr>
          <w:rFonts w:ascii="Arial" w:eastAsia="Times New Roman" w:hAnsi="Arial" w:cs="Arial"/>
          <w:lang w:eastAsia="cs-CZ"/>
        </w:rPr>
        <w:t>,</w:t>
      </w:r>
      <w:r w:rsidR="004743B7" w:rsidRPr="004743B7">
        <w:rPr>
          <w:rFonts w:ascii="Arial" w:eastAsia="Times New Roman" w:hAnsi="Arial" w:cs="Arial"/>
          <w:lang w:eastAsia="cs-CZ"/>
        </w:rPr>
        <w:t>4</w:t>
      </w:r>
      <w:r w:rsidRPr="004743B7">
        <w:rPr>
          <w:rFonts w:ascii="Arial" w:eastAsia="Times New Roman" w:hAnsi="Arial" w:cs="Arial"/>
          <w:lang w:eastAsia="cs-CZ"/>
        </w:rPr>
        <w:t xml:space="preserve"> mld. Kč do vysokoškolského a 9,</w:t>
      </w:r>
      <w:r w:rsidR="004743B7" w:rsidRPr="004743B7">
        <w:rPr>
          <w:rFonts w:ascii="Arial" w:eastAsia="Times New Roman" w:hAnsi="Arial" w:cs="Arial"/>
          <w:lang w:eastAsia="cs-CZ"/>
        </w:rPr>
        <w:t>8</w:t>
      </w:r>
      <w:r w:rsidRPr="004743B7">
        <w:rPr>
          <w:rFonts w:ascii="Arial" w:eastAsia="Times New Roman" w:hAnsi="Arial" w:cs="Arial"/>
          <w:lang w:eastAsia="cs-CZ"/>
        </w:rPr>
        <w:t xml:space="preserve"> mld. Kč do vládního), bylo alokováno </w:t>
      </w:r>
      <w:r w:rsidR="004743B7" w:rsidRPr="004743B7">
        <w:rPr>
          <w:rFonts w:ascii="Arial" w:eastAsia="Times New Roman" w:hAnsi="Arial" w:cs="Arial"/>
          <w:lang w:eastAsia="cs-CZ"/>
        </w:rPr>
        <w:t>4,8</w:t>
      </w:r>
      <w:r w:rsidRPr="004743B7">
        <w:rPr>
          <w:rFonts w:ascii="Arial" w:eastAsia="Times New Roman" w:hAnsi="Arial" w:cs="Arial"/>
          <w:lang w:eastAsia="cs-CZ"/>
        </w:rPr>
        <w:t xml:space="preserve"> mld. Kč podnikatelskému sektoru.</w:t>
      </w:r>
    </w:p>
    <w:p w:rsidR="00E2654D" w:rsidRPr="004743B7" w:rsidRDefault="000822A0" w:rsidP="004743B7">
      <w:pPr>
        <w:spacing w:after="0" w:line="360" w:lineRule="auto"/>
        <w:ind w:firstLine="708"/>
        <w:jc w:val="both"/>
        <w:rPr>
          <w:rFonts w:ascii="Arial" w:eastAsia="Times New Roman" w:hAnsi="Arial" w:cs="Arial"/>
          <w:lang w:eastAsia="cs-CZ"/>
        </w:rPr>
      </w:pPr>
      <w:r w:rsidRPr="004743B7">
        <w:rPr>
          <w:rFonts w:ascii="Arial" w:eastAsia="Times New Roman" w:hAnsi="Arial" w:cs="Arial"/>
          <w:lang w:eastAsia="cs-CZ"/>
        </w:rPr>
        <w:t>Uveden</w:t>
      </w:r>
      <w:r w:rsidR="00040353" w:rsidRPr="004743B7">
        <w:rPr>
          <w:rFonts w:ascii="Arial" w:eastAsia="Times New Roman" w:hAnsi="Arial" w:cs="Arial"/>
          <w:lang w:eastAsia="cs-CZ"/>
        </w:rPr>
        <w:t>ých</w:t>
      </w:r>
      <w:r w:rsidRPr="004743B7">
        <w:rPr>
          <w:rFonts w:ascii="Arial" w:eastAsia="Times New Roman" w:hAnsi="Arial" w:cs="Arial"/>
          <w:lang w:eastAsia="cs-CZ"/>
        </w:rPr>
        <w:t xml:space="preserve"> </w:t>
      </w:r>
      <w:r w:rsidR="004743B7" w:rsidRPr="004743B7">
        <w:rPr>
          <w:rFonts w:ascii="Arial" w:eastAsia="Times New Roman" w:hAnsi="Arial" w:cs="Arial"/>
          <w:lang w:eastAsia="cs-CZ"/>
        </w:rPr>
        <w:t>4,8</w:t>
      </w:r>
      <w:r w:rsidRPr="004743B7">
        <w:rPr>
          <w:rFonts w:ascii="Arial" w:eastAsia="Times New Roman" w:hAnsi="Arial" w:cs="Arial"/>
          <w:lang w:eastAsia="cs-CZ"/>
        </w:rPr>
        <w:t xml:space="preserve"> mld. Kč </w:t>
      </w:r>
      <w:r w:rsidR="004743B7" w:rsidRPr="004743B7">
        <w:rPr>
          <w:rFonts w:ascii="Arial" w:eastAsia="Times New Roman" w:hAnsi="Arial" w:cs="Arial"/>
          <w:lang w:eastAsia="cs-CZ"/>
        </w:rPr>
        <w:t>za rok 2014</w:t>
      </w:r>
      <w:r w:rsidR="003E60D8" w:rsidRPr="004743B7">
        <w:rPr>
          <w:rFonts w:ascii="Arial" w:eastAsia="Times New Roman" w:hAnsi="Arial" w:cs="Arial"/>
          <w:lang w:eastAsia="cs-CZ"/>
        </w:rPr>
        <w:t xml:space="preserve"> </w:t>
      </w:r>
      <w:r w:rsidRPr="004743B7">
        <w:rPr>
          <w:rFonts w:ascii="Arial" w:eastAsia="Times New Roman" w:hAnsi="Arial" w:cs="Arial"/>
          <w:lang w:eastAsia="cs-CZ"/>
        </w:rPr>
        <w:t>však nevyjadřuje výdaje skutečných výrobních podniků. Do podnikatelského sektoru jsou řazeny rovněž veřejné podniky</w:t>
      </w:r>
      <w:r w:rsidRPr="004743B7">
        <w:rPr>
          <w:rFonts w:ascii="Arial" w:eastAsia="Times New Roman" w:hAnsi="Arial" w:cs="Arial"/>
          <w:vertAlign w:val="superscript"/>
          <w:lang w:eastAsia="cs-CZ"/>
        </w:rPr>
        <w:footnoteReference w:id="2"/>
      </w:r>
      <w:r w:rsidRPr="004743B7">
        <w:rPr>
          <w:rFonts w:ascii="Arial" w:eastAsia="Times New Roman" w:hAnsi="Arial" w:cs="Arial"/>
          <w:lang w:eastAsia="cs-CZ"/>
        </w:rPr>
        <w:t xml:space="preserve"> (např. zdravotnická zařízení</w:t>
      </w:r>
      <w:r w:rsidR="00040353" w:rsidRPr="004743B7">
        <w:rPr>
          <w:rFonts w:ascii="Arial" w:eastAsia="Times New Roman" w:hAnsi="Arial" w:cs="Arial"/>
          <w:lang w:eastAsia="cs-CZ"/>
        </w:rPr>
        <w:t>,</w:t>
      </w:r>
      <w:r w:rsidRPr="004743B7">
        <w:rPr>
          <w:rFonts w:ascii="Arial" w:eastAsia="Times New Roman" w:hAnsi="Arial" w:cs="Arial"/>
          <w:lang w:eastAsia="cs-CZ"/>
        </w:rPr>
        <w:t xml:space="preserve"> kromě fakultních nemocnic</w:t>
      </w:r>
      <w:r w:rsidR="004743B7" w:rsidRPr="004743B7">
        <w:rPr>
          <w:rFonts w:ascii="Arial" w:eastAsia="Times New Roman" w:hAnsi="Arial" w:cs="Arial"/>
          <w:lang w:eastAsia="cs-CZ"/>
        </w:rPr>
        <w:t>,</w:t>
      </w:r>
      <w:r w:rsidR="00040353" w:rsidRPr="004743B7">
        <w:rPr>
          <w:rFonts w:ascii="Arial" w:eastAsia="Times New Roman" w:hAnsi="Arial" w:cs="Arial"/>
          <w:lang w:eastAsia="cs-CZ"/>
        </w:rPr>
        <w:t xml:space="preserve"> nebo</w:t>
      </w:r>
      <w:r w:rsidRPr="004743B7">
        <w:rPr>
          <w:rFonts w:ascii="Arial" w:eastAsia="Times New Roman" w:hAnsi="Arial" w:cs="Arial"/>
          <w:lang w:eastAsia="cs-CZ"/>
        </w:rPr>
        <w:t xml:space="preserve"> státní podniky), a jeho součástí jsou také některé </w:t>
      </w:r>
      <w:r w:rsidRPr="004743B7">
        <w:rPr>
          <w:rFonts w:ascii="Arial" w:eastAsia="Times New Roman" w:hAnsi="Arial" w:cs="Arial"/>
          <w:lang w:eastAsia="cs-CZ"/>
        </w:rPr>
        <w:lastRenderedPageBreak/>
        <w:t>subjekty splňující definici výzkumných organizací, které nespadají do vysokoškolského či vládního sektoru, ale mohou být v souladu se zákonem o podpoře výzkumu, experimentálního vývoje a inovací institucionálně podporovány (např. Institut klinické a experimentální medicíny, Výzkumný a</w:t>
      </w:r>
      <w:r w:rsidR="00271B9E" w:rsidRPr="004743B7">
        <w:rPr>
          <w:rFonts w:ascii="Arial" w:eastAsia="Times New Roman" w:hAnsi="Arial" w:cs="Arial"/>
          <w:lang w:eastAsia="cs-CZ"/>
        </w:rPr>
        <w:t> </w:t>
      </w:r>
      <w:r w:rsidRPr="004743B7">
        <w:rPr>
          <w:rFonts w:ascii="Arial" w:eastAsia="Times New Roman" w:hAnsi="Arial" w:cs="Arial"/>
          <w:lang w:eastAsia="cs-CZ"/>
        </w:rPr>
        <w:t xml:space="preserve">zkušební letecký ústav, a.s.). Uvedené subjekty </w:t>
      </w:r>
      <w:r w:rsidR="00040353" w:rsidRPr="004743B7">
        <w:rPr>
          <w:rFonts w:ascii="Arial" w:eastAsia="Times New Roman" w:hAnsi="Arial" w:cs="Arial"/>
          <w:lang w:eastAsia="cs-CZ"/>
        </w:rPr>
        <w:t xml:space="preserve">tak </w:t>
      </w:r>
      <w:r w:rsidR="007E740F" w:rsidRPr="004743B7">
        <w:rPr>
          <w:rFonts w:ascii="Arial" w:eastAsia="Times New Roman" w:hAnsi="Arial" w:cs="Arial"/>
          <w:lang w:eastAsia="cs-CZ"/>
        </w:rPr>
        <w:t xml:space="preserve">značně </w:t>
      </w:r>
      <w:r w:rsidRPr="004743B7">
        <w:rPr>
          <w:rFonts w:ascii="Arial" w:eastAsia="Times New Roman" w:hAnsi="Arial" w:cs="Arial"/>
          <w:lang w:eastAsia="cs-CZ"/>
        </w:rPr>
        <w:t xml:space="preserve">zkreslují obraz o podpoře </w:t>
      </w:r>
      <w:proofErr w:type="spellStart"/>
      <w:r w:rsidRPr="004743B7">
        <w:rPr>
          <w:rFonts w:ascii="Arial" w:eastAsia="Times New Roman" w:hAnsi="Arial" w:cs="Arial"/>
          <w:lang w:eastAsia="cs-CZ"/>
        </w:rPr>
        <w:t>VaVaI</w:t>
      </w:r>
      <w:proofErr w:type="spellEnd"/>
      <w:r w:rsidRPr="004743B7">
        <w:rPr>
          <w:rFonts w:ascii="Arial" w:eastAsia="Times New Roman" w:hAnsi="Arial" w:cs="Arial"/>
          <w:lang w:eastAsia="cs-CZ"/>
        </w:rPr>
        <w:t xml:space="preserve"> v podnicích.</w:t>
      </w:r>
    </w:p>
    <w:p w:rsidR="00E2654D" w:rsidRPr="00735C8E" w:rsidRDefault="00E2654D" w:rsidP="00E2654D">
      <w:pPr>
        <w:pStyle w:val="Obrzek-nadpis"/>
      </w:pPr>
      <w:r w:rsidRPr="00735C8E">
        <w:t>Tab. 1.</w:t>
      </w:r>
      <w:r w:rsidR="004743B7" w:rsidRPr="00735C8E">
        <w:t>5</w:t>
      </w:r>
      <w:r w:rsidRPr="00735C8E">
        <w:t xml:space="preserve">: Finanční toky ve </w:t>
      </w:r>
      <w:proofErr w:type="spellStart"/>
      <w:r w:rsidRPr="00735C8E">
        <w:t>VaVaI</w:t>
      </w:r>
      <w:proofErr w:type="spellEnd"/>
      <w:r w:rsidRPr="00735C8E">
        <w:t xml:space="preserve"> v roce 201</w:t>
      </w:r>
      <w:r w:rsidR="004743B7" w:rsidRPr="00735C8E">
        <w:t>4</w:t>
      </w:r>
      <w:r w:rsidRPr="00735C8E">
        <w:t xml:space="preserve"> (v mil. Kč)</w:t>
      </w:r>
    </w:p>
    <w:tbl>
      <w:tblPr>
        <w:tblW w:w="9791" w:type="dxa"/>
        <w:tblInd w:w="60" w:type="dxa"/>
        <w:tblLayout w:type="fixed"/>
        <w:tblCellMar>
          <w:left w:w="70" w:type="dxa"/>
          <w:right w:w="70" w:type="dxa"/>
        </w:tblCellMar>
        <w:tblLook w:val="04A0" w:firstRow="1" w:lastRow="0" w:firstColumn="1" w:lastColumn="0" w:noHBand="0" w:noVBand="1"/>
      </w:tblPr>
      <w:tblGrid>
        <w:gridCol w:w="422"/>
        <w:gridCol w:w="1861"/>
        <w:gridCol w:w="862"/>
        <w:gridCol w:w="1332"/>
        <w:gridCol w:w="1332"/>
        <w:gridCol w:w="1332"/>
        <w:gridCol w:w="1332"/>
        <w:gridCol w:w="1318"/>
      </w:tblGrid>
      <w:tr w:rsidR="000D3A18" w:rsidRPr="000D3A18" w:rsidTr="000D3A18">
        <w:trPr>
          <w:trHeight w:val="300"/>
        </w:trPr>
        <w:tc>
          <w:tcPr>
            <w:tcW w:w="9791" w:type="dxa"/>
            <w:gridSpan w:val="8"/>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b/>
                <w:bCs/>
                <w:color w:val="000000"/>
                <w:lang w:eastAsia="cs-CZ"/>
              </w:rPr>
            </w:pPr>
            <w:r w:rsidRPr="000D3A18">
              <w:rPr>
                <w:rFonts w:ascii="Calibri" w:eastAsia="Times New Roman" w:hAnsi="Calibri" w:cs="Times New Roman"/>
                <w:b/>
                <w:bCs/>
                <w:color w:val="000000"/>
                <w:lang w:eastAsia="cs-CZ"/>
              </w:rPr>
              <w:t>rok 2014 - mil. Kč</w:t>
            </w:r>
          </w:p>
        </w:tc>
      </w:tr>
      <w:tr w:rsidR="000D3A18" w:rsidRPr="000D3A18" w:rsidTr="000D3A18">
        <w:trPr>
          <w:trHeight w:val="600"/>
        </w:trPr>
        <w:tc>
          <w:tcPr>
            <w:tcW w:w="422" w:type="dxa"/>
            <w:vMerge w:val="restart"/>
            <w:tcBorders>
              <w:left w:val="single" w:sz="12" w:space="0" w:color="auto"/>
              <w:bottom w:val="single" w:sz="4" w:space="0" w:color="auto"/>
              <w:right w:val="single" w:sz="4" w:space="0" w:color="auto"/>
            </w:tcBorders>
            <w:shd w:val="clear" w:color="auto" w:fill="auto"/>
            <w:noWrap/>
            <w:textDirection w:val="btLr"/>
            <w:vAlign w:val="center"/>
            <w:hideMark/>
          </w:tcPr>
          <w:p w:rsidR="000D3A18" w:rsidRPr="000D3A18" w:rsidRDefault="000D3A18" w:rsidP="000D3A18">
            <w:pPr>
              <w:spacing w:after="0" w:line="240" w:lineRule="auto"/>
              <w:jc w:val="center"/>
              <w:rPr>
                <w:rFonts w:ascii="Calibri" w:eastAsia="Times New Roman" w:hAnsi="Calibri" w:cs="Times New Roman"/>
                <w:b/>
                <w:bCs/>
                <w:color w:val="000000"/>
                <w:lang w:eastAsia="cs-CZ"/>
              </w:rPr>
            </w:pPr>
            <w:r w:rsidRPr="000D3A18">
              <w:rPr>
                <w:rFonts w:ascii="Calibri" w:eastAsia="Times New Roman" w:hAnsi="Calibri" w:cs="Times New Roman"/>
                <w:b/>
                <w:bCs/>
                <w:color w:val="000000"/>
                <w:lang w:eastAsia="cs-CZ"/>
              </w:rPr>
              <w:t xml:space="preserve">subjekty provádějící </w:t>
            </w:r>
            <w:proofErr w:type="spellStart"/>
            <w:r w:rsidRPr="000D3A18">
              <w:rPr>
                <w:rFonts w:ascii="Calibri" w:eastAsia="Times New Roman" w:hAnsi="Calibri" w:cs="Times New Roman"/>
                <w:b/>
                <w:bCs/>
                <w:color w:val="000000"/>
                <w:lang w:eastAsia="cs-CZ"/>
              </w:rPr>
              <w:t>VaVaI</w:t>
            </w:r>
            <w:proofErr w:type="spellEnd"/>
          </w:p>
        </w:tc>
        <w:tc>
          <w:tcPr>
            <w:tcW w:w="18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neziskové organizace</w:t>
            </w:r>
          </w:p>
        </w:tc>
        <w:tc>
          <w:tcPr>
            <w:tcW w:w="862"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350</w:t>
            </w:r>
          </w:p>
        </w:tc>
        <w:tc>
          <w:tcPr>
            <w:tcW w:w="1332"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124</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136</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88</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0</w:t>
            </w:r>
          </w:p>
        </w:tc>
        <w:tc>
          <w:tcPr>
            <w:tcW w:w="1318"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2</w:t>
            </w:r>
          </w:p>
        </w:tc>
      </w:tr>
      <w:tr w:rsidR="000D3A18" w:rsidRPr="000D3A18" w:rsidTr="000D3A18">
        <w:trPr>
          <w:trHeight w:val="900"/>
        </w:trPr>
        <w:tc>
          <w:tcPr>
            <w:tcW w:w="422" w:type="dxa"/>
            <w:vMerge/>
            <w:tcBorders>
              <w:left w:val="single" w:sz="12" w:space="0" w:color="auto"/>
              <w:bottom w:val="single" w:sz="4" w:space="0" w:color="auto"/>
              <w:right w:val="single" w:sz="4" w:space="0" w:color="auto"/>
            </w:tcBorders>
            <w:vAlign w:val="center"/>
            <w:hideMark/>
          </w:tcPr>
          <w:p w:rsidR="000D3A18" w:rsidRPr="000D3A18" w:rsidRDefault="000D3A18" w:rsidP="000D3A18">
            <w:pPr>
              <w:spacing w:after="0" w:line="240" w:lineRule="auto"/>
              <w:rPr>
                <w:rFonts w:ascii="Calibri" w:eastAsia="Times New Roman" w:hAnsi="Calibri" w:cs="Times New Roman"/>
                <w:b/>
                <w:bCs/>
                <w:color w:val="000000"/>
                <w:lang w:eastAsia="cs-CZ"/>
              </w:rPr>
            </w:pPr>
          </w:p>
        </w:tc>
        <w:tc>
          <w:tcPr>
            <w:tcW w:w="18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vysoké školy, fakultní nemocnice</w:t>
            </w:r>
          </w:p>
        </w:tc>
        <w:tc>
          <w:tcPr>
            <w:tcW w:w="862"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21 628</w:t>
            </w:r>
          </w:p>
        </w:tc>
        <w:tc>
          <w:tcPr>
            <w:tcW w:w="1332"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519</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13 358</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7 225</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22</w:t>
            </w:r>
          </w:p>
        </w:tc>
        <w:tc>
          <w:tcPr>
            <w:tcW w:w="1318"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504</w:t>
            </w:r>
          </w:p>
        </w:tc>
      </w:tr>
      <w:tr w:rsidR="000D3A18" w:rsidRPr="000D3A18" w:rsidTr="000D3A18">
        <w:trPr>
          <w:trHeight w:val="600"/>
        </w:trPr>
        <w:tc>
          <w:tcPr>
            <w:tcW w:w="422" w:type="dxa"/>
            <w:vMerge/>
            <w:tcBorders>
              <w:left w:val="single" w:sz="12" w:space="0" w:color="auto"/>
              <w:bottom w:val="single" w:sz="4" w:space="0" w:color="auto"/>
              <w:right w:val="single" w:sz="4" w:space="0" w:color="auto"/>
            </w:tcBorders>
            <w:vAlign w:val="center"/>
            <w:hideMark/>
          </w:tcPr>
          <w:p w:rsidR="000D3A18" w:rsidRPr="000D3A18" w:rsidRDefault="000D3A18" w:rsidP="000D3A18">
            <w:pPr>
              <w:spacing w:after="0" w:line="240" w:lineRule="auto"/>
              <w:rPr>
                <w:rFonts w:ascii="Calibri" w:eastAsia="Times New Roman" w:hAnsi="Calibri" w:cs="Times New Roman"/>
                <w:b/>
                <w:bCs/>
                <w:color w:val="000000"/>
                <w:lang w:eastAsia="cs-CZ"/>
              </w:rPr>
            </w:pPr>
          </w:p>
        </w:tc>
        <w:tc>
          <w:tcPr>
            <w:tcW w:w="18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ústavy AV ČR, resortní VO</w:t>
            </w:r>
          </w:p>
        </w:tc>
        <w:tc>
          <w:tcPr>
            <w:tcW w:w="862"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15 497</w:t>
            </w:r>
          </w:p>
        </w:tc>
        <w:tc>
          <w:tcPr>
            <w:tcW w:w="1332"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536</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9 769</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3 794</w:t>
            </w:r>
          </w:p>
        </w:tc>
        <w:tc>
          <w:tcPr>
            <w:tcW w:w="1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1 368</w:t>
            </w:r>
          </w:p>
        </w:tc>
        <w:tc>
          <w:tcPr>
            <w:tcW w:w="1318"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30</w:t>
            </w:r>
          </w:p>
        </w:tc>
      </w:tr>
      <w:tr w:rsidR="000D3A18" w:rsidRPr="000D3A18" w:rsidTr="000D3A18">
        <w:trPr>
          <w:trHeight w:val="600"/>
        </w:trPr>
        <w:tc>
          <w:tcPr>
            <w:tcW w:w="422" w:type="dxa"/>
            <w:vMerge/>
            <w:tcBorders>
              <w:left w:val="single" w:sz="12" w:space="0" w:color="auto"/>
              <w:bottom w:val="single" w:sz="4" w:space="0" w:color="auto"/>
              <w:right w:val="single" w:sz="4" w:space="0" w:color="auto"/>
            </w:tcBorders>
            <w:vAlign w:val="center"/>
            <w:hideMark/>
          </w:tcPr>
          <w:p w:rsidR="000D3A18" w:rsidRPr="000D3A18" w:rsidRDefault="000D3A18" w:rsidP="000D3A18">
            <w:pPr>
              <w:spacing w:after="0" w:line="240" w:lineRule="auto"/>
              <w:rPr>
                <w:rFonts w:ascii="Calibri" w:eastAsia="Times New Roman" w:hAnsi="Calibri" w:cs="Times New Roman"/>
                <w:b/>
                <w:bCs/>
                <w:color w:val="000000"/>
                <w:lang w:eastAsia="cs-CZ"/>
              </w:rPr>
            </w:pPr>
          </w:p>
        </w:tc>
        <w:tc>
          <w:tcPr>
            <w:tcW w:w="18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podniky, soukromé VO</w:t>
            </w:r>
          </w:p>
        </w:tc>
        <w:tc>
          <w:tcPr>
            <w:tcW w:w="862"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47 629</w:t>
            </w:r>
          </w:p>
        </w:tc>
        <w:tc>
          <w:tcPr>
            <w:tcW w:w="1332"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29 397</w:t>
            </w:r>
          </w:p>
        </w:tc>
        <w:tc>
          <w:tcPr>
            <w:tcW w:w="1332"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4 772</w:t>
            </w:r>
          </w:p>
        </w:tc>
        <w:tc>
          <w:tcPr>
            <w:tcW w:w="1332"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2 145</w:t>
            </w:r>
          </w:p>
        </w:tc>
        <w:tc>
          <w:tcPr>
            <w:tcW w:w="1332"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11 295</w:t>
            </w:r>
          </w:p>
        </w:tc>
        <w:tc>
          <w:tcPr>
            <w:tcW w:w="1318" w:type="dxa"/>
            <w:tcBorders>
              <w:top w:val="single" w:sz="4" w:space="0" w:color="auto"/>
              <w:left w:val="single" w:sz="4" w:space="0" w:color="auto"/>
              <w:bottom w:val="single" w:sz="12"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20</w:t>
            </w:r>
          </w:p>
        </w:tc>
      </w:tr>
      <w:tr w:rsidR="000D3A18" w:rsidRPr="000D3A18" w:rsidTr="000D3A18">
        <w:trPr>
          <w:trHeight w:val="315"/>
        </w:trPr>
        <w:tc>
          <w:tcPr>
            <w:tcW w:w="422" w:type="dxa"/>
            <w:tcBorders>
              <w:top w:val="single" w:sz="4" w:space="0" w:color="auto"/>
              <w:left w:val="single" w:sz="12" w:space="0" w:color="auto"/>
            </w:tcBorders>
            <w:shd w:val="clear" w:color="auto" w:fill="auto"/>
            <w:noWrap/>
            <w:vAlign w:val="bottom"/>
            <w:hideMark/>
          </w:tcPr>
          <w:p w:rsidR="000D3A18" w:rsidRPr="000D3A18" w:rsidRDefault="000D3A18" w:rsidP="000D3A18">
            <w:pPr>
              <w:spacing w:after="0" w:line="240" w:lineRule="auto"/>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 </w:t>
            </w:r>
          </w:p>
        </w:tc>
        <w:tc>
          <w:tcPr>
            <w:tcW w:w="1861" w:type="dxa"/>
            <w:tcBorders>
              <w:top w:val="single" w:sz="4" w:space="0" w:color="auto"/>
              <w:right w:val="single" w:sz="4" w:space="0" w:color="auto"/>
            </w:tcBorders>
            <w:shd w:val="clear" w:color="auto" w:fill="auto"/>
            <w:noWrap/>
            <w:vAlign w:val="bottom"/>
            <w:hideMark/>
          </w:tcPr>
          <w:p w:rsidR="000D3A18" w:rsidRPr="000D3A18" w:rsidRDefault="000D3A18" w:rsidP="000D3A18">
            <w:pPr>
              <w:spacing w:after="0" w:line="240" w:lineRule="auto"/>
              <w:rPr>
                <w:rFonts w:ascii="Calibri" w:eastAsia="Times New Roman" w:hAnsi="Calibri" w:cs="Times New Roman"/>
                <w:color w:val="000000"/>
                <w:lang w:eastAsia="cs-CZ"/>
              </w:rPr>
            </w:pP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85 104</w:t>
            </w:r>
          </w:p>
        </w:tc>
        <w:tc>
          <w:tcPr>
            <w:tcW w:w="133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30 576</w:t>
            </w:r>
          </w:p>
        </w:tc>
        <w:tc>
          <w:tcPr>
            <w:tcW w:w="133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28 035</w:t>
            </w:r>
          </w:p>
        </w:tc>
        <w:tc>
          <w:tcPr>
            <w:tcW w:w="133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13 252</w:t>
            </w:r>
          </w:p>
        </w:tc>
        <w:tc>
          <w:tcPr>
            <w:tcW w:w="133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12 685</w:t>
            </w:r>
          </w:p>
        </w:tc>
        <w:tc>
          <w:tcPr>
            <w:tcW w:w="1318"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556</w:t>
            </w:r>
          </w:p>
        </w:tc>
      </w:tr>
      <w:tr w:rsidR="000D3A18" w:rsidRPr="000D3A18" w:rsidTr="000D3A18">
        <w:trPr>
          <w:trHeight w:val="600"/>
        </w:trPr>
        <w:tc>
          <w:tcPr>
            <w:tcW w:w="422" w:type="dxa"/>
            <w:tcBorders>
              <w:top w:val="nil"/>
              <w:left w:val="single" w:sz="12" w:space="0" w:color="auto"/>
            </w:tcBorders>
            <w:shd w:val="clear" w:color="auto" w:fill="auto"/>
            <w:noWrap/>
            <w:vAlign w:val="bottom"/>
            <w:hideMark/>
          </w:tcPr>
          <w:p w:rsidR="000D3A18" w:rsidRPr="000D3A18" w:rsidRDefault="000D3A18" w:rsidP="000D3A18">
            <w:pPr>
              <w:spacing w:after="0" w:line="240" w:lineRule="auto"/>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 </w:t>
            </w:r>
          </w:p>
        </w:tc>
        <w:tc>
          <w:tcPr>
            <w:tcW w:w="1861" w:type="dxa"/>
            <w:shd w:val="clear" w:color="auto" w:fill="auto"/>
            <w:noWrap/>
            <w:vAlign w:val="bottom"/>
            <w:hideMark/>
          </w:tcPr>
          <w:p w:rsidR="000D3A18" w:rsidRPr="000D3A18" w:rsidRDefault="000D3A18" w:rsidP="000D3A18">
            <w:pPr>
              <w:spacing w:after="0" w:line="240" w:lineRule="auto"/>
              <w:rPr>
                <w:rFonts w:ascii="Calibri" w:eastAsia="Times New Roman" w:hAnsi="Calibri" w:cs="Times New Roman"/>
                <w:color w:val="000000"/>
                <w:lang w:eastAsia="cs-CZ"/>
              </w:rPr>
            </w:pPr>
          </w:p>
        </w:tc>
        <w:tc>
          <w:tcPr>
            <w:tcW w:w="862" w:type="dxa"/>
            <w:tcBorders>
              <w:top w:val="single" w:sz="4" w:space="0" w:color="auto"/>
              <w:right w:val="single" w:sz="4" w:space="0" w:color="auto"/>
            </w:tcBorders>
            <w:shd w:val="clear" w:color="auto" w:fill="auto"/>
            <w:noWrap/>
            <w:vAlign w:val="bottom"/>
            <w:hideMark/>
          </w:tcPr>
          <w:p w:rsidR="000D3A18" w:rsidRPr="000D3A18" w:rsidRDefault="000D3A18" w:rsidP="000D3A18">
            <w:pPr>
              <w:spacing w:after="0" w:line="240" w:lineRule="auto"/>
              <w:rPr>
                <w:rFonts w:ascii="Calibri" w:eastAsia="Times New Roman" w:hAnsi="Calibri" w:cs="Times New Roman"/>
                <w:color w:val="000000"/>
                <w:lang w:eastAsia="cs-CZ"/>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domácí soukromé</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veřejné rozpočty ČR</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veřejné zahraniční</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soukromé zahraniční</w:t>
            </w:r>
          </w:p>
        </w:tc>
        <w:tc>
          <w:tcPr>
            <w:tcW w:w="1318"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0D3A18" w:rsidRPr="000D3A18" w:rsidRDefault="000D3A18" w:rsidP="000D3A18">
            <w:pPr>
              <w:spacing w:after="0" w:line="240" w:lineRule="auto"/>
              <w:jc w:val="center"/>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ostatní</w:t>
            </w:r>
          </w:p>
        </w:tc>
      </w:tr>
      <w:tr w:rsidR="000D3A18" w:rsidRPr="000D3A18" w:rsidTr="000D3A18">
        <w:trPr>
          <w:trHeight w:val="315"/>
        </w:trPr>
        <w:tc>
          <w:tcPr>
            <w:tcW w:w="422" w:type="dxa"/>
            <w:tcBorders>
              <w:top w:val="nil"/>
              <w:left w:val="single" w:sz="12" w:space="0" w:color="auto"/>
              <w:bottom w:val="single" w:sz="12" w:space="0" w:color="auto"/>
            </w:tcBorders>
            <w:shd w:val="clear" w:color="auto" w:fill="auto"/>
            <w:noWrap/>
            <w:vAlign w:val="bottom"/>
            <w:hideMark/>
          </w:tcPr>
          <w:p w:rsidR="000D3A18" w:rsidRPr="000D3A18" w:rsidRDefault="000D3A18" w:rsidP="000D3A18">
            <w:pPr>
              <w:spacing w:after="0" w:line="240" w:lineRule="auto"/>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 </w:t>
            </w:r>
          </w:p>
        </w:tc>
        <w:tc>
          <w:tcPr>
            <w:tcW w:w="1861" w:type="dxa"/>
            <w:tcBorders>
              <w:top w:val="nil"/>
              <w:bottom w:val="single" w:sz="12" w:space="0" w:color="auto"/>
            </w:tcBorders>
            <w:shd w:val="clear" w:color="auto" w:fill="auto"/>
            <w:noWrap/>
            <w:vAlign w:val="bottom"/>
            <w:hideMark/>
          </w:tcPr>
          <w:p w:rsidR="000D3A18" w:rsidRPr="000D3A18" w:rsidRDefault="000D3A18" w:rsidP="000D3A18">
            <w:pPr>
              <w:spacing w:after="0" w:line="240" w:lineRule="auto"/>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 </w:t>
            </w:r>
          </w:p>
        </w:tc>
        <w:tc>
          <w:tcPr>
            <w:tcW w:w="862" w:type="dxa"/>
            <w:tcBorders>
              <w:top w:val="nil"/>
              <w:bottom w:val="single" w:sz="12" w:space="0" w:color="auto"/>
              <w:right w:val="single" w:sz="4" w:space="0" w:color="auto"/>
            </w:tcBorders>
            <w:shd w:val="clear" w:color="auto" w:fill="auto"/>
            <w:noWrap/>
            <w:vAlign w:val="bottom"/>
            <w:hideMark/>
          </w:tcPr>
          <w:p w:rsidR="000D3A18" w:rsidRPr="000D3A18" w:rsidRDefault="000D3A18" w:rsidP="000D3A18">
            <w:pPr>
              <w:spacing w:after="0" w:line="240" w:lineRule="auto"/>
              <w:rPr>
                <w:rFonts w:ascii="Calibri" w:eastAsia="Times New Roman" w:hAnsi="Calibri" w:cs="Times New Roman"/>
                <w:color w:val="000000"/>
                <w:lang w:eastAsia="cs-CZ"/>
              </w:rPr>
            </w:pPr>
            <w:r w:rsidRPr="000D3A18">
              <w:rPr>
                <w:rFonts w:ascii="Calibri" w:eastAsia="Times New Roman" w:hAnsi="Calibri" w:cs="Times New Roman"/>
                <w:color w:val="000000"/>
                <w:lang w:eastAsia="cs-CZ"/>
              </w:rPr>
              <w:t> </w:t>
            </w:r>
          </w:p>
        </w:tc>
        <w:tc>
          <w:tcPr>
            <w:tcW w:w="6646" w:type="dxa"/>
            <w:gridSpan w:val="5"/>
            <w:tcBorders>
              <w:top w:val="single" w:sz="4" w:space="0" w:color="auto"/>
              <w:left w:val="single" w:sz="4" w:space="0" w:color="auto"/>
              <w:bottom w:val="single" w:sz="12" w:space="0" w:color="auto"/>
              <w:right w:val="single" w:sz="12" w:space="0" w:color="auto"/>
            </w:tcBorders>
            <w:shd w:val="clear" w:color="auto" w:fill="auto"/>
            <w:noWrap/>
            <w:vAlign w:val="center"/>
            <w:hideMark/>
          </w:tcPr>
          <w:p w:rsidR="000D3A18" w:rsidRPr="000D3A18" w:rsidRDefault="000D3A18" w:rsidP="000D3A18">
            <w:pPr>
              <w:spacing w:after="0" w:line="240" w:lineRule="auto"/>
              <w:jc w:val="center"/>
              <w:rPr>
                <w:rFonts w:ascii="Calibri" w:eastAsia="Times New Roman" w:hAnsi="Calibri" w:cs="Times New Roman"/>
                <w:b/>
                <w:bCs/>
                <w:color w:val="000000"/>
                <w:lang w:eastAsia="cs-CZ"/>
              </w:rPr>
            </w:pPr>
            <w:r w:rsidRPr="000D3A18">
              <w:rPr>
                <w:rFonts w:ascii="Calibri" w:eastAsia="Times New Roman" w:hAnsi="Calibri" w:cs="Times New Roman"/>
                <w:b/>
                <w:bCs/>
                <w:color w:val="000000"/>
                <w:lang w:eastAsia="cs-CZ"/>
              </w:rPr>
              <w:t xml:space="preserve">zdroje finančních prostředků na </w:t>
            </w:r>
            <w:proofErr w:type="spellStart"/>
            <w:r w:rsidRPr="000D3A18">
              <w:rPr>
                <w:rFonts w:ascii="Calibri" w:eastAsia="Times New Roman" w:hAnsi="Calibri" w:cs="Times New Roman"/>
                <w:b/>
                <w:bCs/>
                <w:color w:val="000000"/>
                <w:lang w:eastAsia="cs-CZ"/>
              </w:rPr>
              <w:t>VaVaI</w:t>
            </w:r>
            <w:proofErr w:type="spellEnd"/>
          </w:p>
        </w:tc>
      </w:tr>
    </w:tbl>
    <w:p w:rsidR="00E2654D" w:rsidRPr="00735C8E" w:rsidRDefault="00E2654D" w:rsidP="00E2654D">
      <w:pPr>
        <w:pStyle w:val="Zdroj"/>
      </w:pPr>
      <w:r w:rsidRPr="00735C8E">
        <w:t>Zdroj dat: ČSÚ</w:t>
      </w:r>
      <w:r w:rsidR="004743B7" w:rsidRPr="00735C8E">
        <w:t>, EUROSTAT</w:t>
      </w:r>
    </w:p>
    <w:p w:rsidR="00E2654D" w:rsidRPr="007E6EC6" w:rsidRDefault="004743B7" w:rsidP="00E2654D">
      <w:pPr>
        <w:pStyle w:val="komentzaobrzkem"/>
        <w:spacing w:after="240"/>
        <w:rPr>
          <w:highlight w:val="yellow"/>
        </w:rPr>
      </w:pPr>
      <w:r w:rsidRPr="00735C8E">
        <w:t>Jako ostatní zdroje</w:t>
      </w:r>
      <w:r w:rsidR="00E2654D" w:rsidRPr="00735C8E">
        <w:t xml:space="preserve"> finančních prostředků na </w:t>
      </w:r>
      <w:proofErr w:type="spellStart"/>
      <w:r w:rsidR="00E2654D" w:rsidRPr="00735C8E">
        <w:t>VaVaI</w:t>
      </w:r>
      <w:proofErr w:type="spellEnd"/>
      <w:r w:rsidR="00E2654D" w:rsidRPr="00735C8E">
        <w:t xml:space="preserve"> jsou </w:t>
      </w:r>
      <w:r w:rsidRPr="00735C8E">
        <w:t xml:space="preserve">souhrnně uvedeny </w:t>
      </w:r>
      <w:r w:rsidR="00E2654D" w:rsidRPr="00735C8E">
        <w:t>např. příjmy za poplatky studentů, předplatné časopisů, publikační činnosti</w:t>
      </w:r>
    </w:p>
    <w:p w:rsidR="000822A0" w:rsidRPr="007E6EC6" w:rsidRDefault="000822A0" w:rsidP="008E7BFB">
      <w:pPr>
        <w:spacing w:after="0" w:line="360" w:lineRule="auto"/>
        <w:ind w:firstLine="708"/>
        <w:jc w:val="both"/>
        <w:rPr>
          <w:rFonts w:ascii="Arial" w:eastAsia="Times New Roman" w:hAnsi="Arial" w:cs="Arial"/>
          <w:highlight w:val="yellow"/>
          <w:lang w:eastAsia="cs-CZ"/>
        </w:rPr>
      </w:pPr>
      <w:r w:rsidRPr="007E6EC6">
        <w:rPr>
          <w:rFonts w:ascii="Arial" w:eastAsia="Times New Roman" w:hAnsi="Arial" w:cs="Arial"/>
          <w:highlight w:val="yellow"/>
          <w:lang w:eastAsia="cs-CZ"/>
        </w:rPr>
        <w:t xml:space="preserve">Při podrobném rozboru přímé podpory podnikatelského sektoru na základě dat z IS </w:t>
      </w:r>
      <w:proofErr w:type="spellStart"/>
      <w:r w:rsidRPr="007E6EC6">
        <w:rPr>
          <w:rFonts w:ascii="Arial" w:eastAsia="Times New Roman" w:hAnsi="Arial" w:cs="Arial"/>
          <w:highlight w:val="yellow"/>
          <w:lang w:eastAsia="cs-CZ"/>
        </w:rPr>
        <w:t>VaVaI</w:t>
      </w:r>
      <w:proofErr w:type="spellEnd"/>
      <w:r w:rsidRPr="007E6EC6">
        <w:rPr>
          <w:rFonts w:ascii="Arial" w:eastAsia="Times New Roman" w:hAnsi="Arial" w:cs="Arial"/>
          <w:highlight w:val="yellow"/>
          <w:lang w:eastAsia="cs-CZ"/>
        </w:rPr>
        <w:t xml:space="preserve"> (po provedení harmonizace dat</w:t>
      </w:r>
      <w:r w:rsidRPr="007E6EC6">
        <w:rPr>
          <w:rFonts w:ascii="Arial" w:eastAsia="Times New Roman" w:hAnsi="Arial" w:cs="Arial"/>
          <w:highlight w:val="yellow"/>
          <w:vertAlign w:val="superscript"/>
          <w:lang w:eastAsia="cs-CZ"/>
        </w:rPr>
        <w:footnoteReference w:id="3"/>
      </w:r>
      <w:r w:rsidRPr="007E6EC6">
        <w:rPr>
          <w:rFonts w:ascii="Arial" w:eastAsia="Times New Roman" w:hAnsi="Arial" w:cs="Arial"/>
          <w:highlight w:val="yellow"/>
          <w:lang w:eastAsia="cs-CZ"/>
        </w:rPr>
        <w:t>) pro rok 2014 (obr</w:t>
      </w:r>
      <w:r w:rsidR="00D36A6E" w:rsidRPr="007E6EC6">
        <w:rPr>
          <w:rFonts w:ascii="Arial" w:eastAsia="Times New Roman" w:hAnsi="Arial" w:cs="Arial"/>
          <w:highlight w:val="yellow"/>
          <w:lang w:eastAsia="cs-CZ"/>
        </w:rPr>
        <w:t>ázek</w:t>
      </w:r>
      <w:r w:rsidRPr="007E6EC6">
        <w:rPr>
          <w:rFonts w:ascii="Arial" w:eastAsia="Times New Roman" w:hAnsi="Arial" w:cs="Arial"/>
          <w:highlight w:val="yellow"/>
          <w:lang w:eastAsia="cs-CZ"/>
        </w:rPr>
        <w:t xml:space="preserve"> </w:t>
      </w:r>
      <w:r w:rsidR="003F5D8D" w:rsidRPr="007E6EC6">
        <w:rPr>
          <w:rFonts w:ascii="Arial" w:eastAsia="Times New Roman" w:hAnsi="Arial" w:cs="Arial"/>
          <w:highlight w:val="yellow"/>
          <w:lang w:eastAsia="cs-CZ"/>
        </w:rPr>
        <w:t>1.</w:t>
      </w:r>
      <w:r w:rsidRPr="007E6EC6">
        <w:rPr>
          <w:rFonts w:ascii="Arial" w:eastAsia="Times New Roman" w:hAnsi="Arial" w:cs="Arial"/>
          <w:highlight w:val="yellow"/>
          <w:lang w:eastAsia="cs-CZ"/>
        </w:rPr>
        <w:t>5) platí, že z celkové podpory podnikatelskému sektoru ve výši 4,03 mld. Kč bylo 369 mil. Kč (9 %) vynaloženo na podporu dlouhodobého koncepčního rozvoje 27 subjektů splňujících definici výzkumné organizace</w:t>
      </w:r>
      <w:r w:rsidRPr="007E6EC6">
        <w:rPr>
          <w:rFonts w:ascii="Arial" w:eastAsia="Times New Roman" w:hAnsi="Arial" w:cs="Arial"/>
          <w:highlight w:val="yellow"/>
          <w:vertAlign w:val="superscript"/>
          <w:lang w:eastAsia="cs-CZ"/>
        </w:rPr>
        <w:footnoteReference w:id="4"/>
      </w:r>
      <w:r w:rsidRPr="007E6EC6">
        <w:rPr>
          <w:rFonts w:ascii="Arial" w:eastAsia="Times New Roman" w:hAnsi="Arial" w:cs="Arial"/>
          <w:highlight w:val="yellow"/>
          <w:lang w:eastAsia="cs-CZ"/>
        </w:rPr>
        <w:t xml:space="preserve">. Zbylých 3,66 mld. Kč bylo využito na podporu projektů ve </w:t>
      </w:r>
      <w:proofErr w:type="spellStart"/>
      <w:r w:rsidRPr="007E6EC6">
        <w:rPr>
          <w:rFonts w:ascii="Arial" w:eastAsia="Times New Roman" w:hAnsi="Arial" w:cs="Arial"/>
          <w:highlight w:val="yellow"/>
          <w:lang w:eastAsia="cs-CZ"/>
        </w:rPr>
        <w:t>VaVaI</w:t>
      </w:r>
      <w:proofErr w:type="spellEnd"/>
      <w:r w:rsidRPr="007E6EC6">
        <w:rPr>
          <w:rFonts w:ascii="Arial" w:eastAsia="Times New Roman" w:hAnsi="Arial" w:cs="Arial"/>
          <w:highlight w:val="yellow"/>
          <w:lang w:eastAsia="cs-CZ"/>
        </w:rPr>
        <w:t>, přičemž částkou 933 mil. Kč (23 % celkové podpory podnikatelského sektoru) byly podpořeny veřejné podniky v počtu 140</w:t>
      </w:r>
      <w:r w:rsidR="00133488" w:rsidRPr="007E6EC6">
        <w:rPr>
          <w:rFonts w:ascii="Arial" w:eastAsia="Times New Roman" w:hAnsi="Arial" w:cs="Arial"/>
          <w:highlight w:val="yellow"/>
          <w:lang w:eastAsia="cs-CZ"/>
        </w:rPr>
        <w:t xml:space="preserve"> subjektů</w:t>
      </w:r>
      <w:r w:rsidRPr="007E6EC6">
        <w:rPr>
          <w:rFonts w:ascii="Arial" w:eastAsia="Times New Roman" w:hAnsi="Arial" w:cs="Arial"/>
          <w:highlight w:val="yellow"/>
          <w:lang w:eastAsia="cs-CZ"/>
        </w:rPr>
        <w:t>, 54 velkých podniků disponovalo částkou 518 mil. Kč (13 %) a 957 malých a středních podniků (MSP) získalo prostředky v celkové výši 2,21 mld. Kč (55 %).</w:t>
      </w:r>
    </w:p>
    <w:p w:rsidR="000822A0" w:rsidRPr="00B63B09" w:rsidRDefault="000822A0" w:rsidP="00E2654D">
      <w:pPr>
        <w:spacing w:after="0" w:line="360" w:lineRule="auto"/>
        <w:ind w:firstLine="708"/>
        <w:jc w:val="both"/>
        <w:rPr>
          <w:rFonts w:ascii="Arial" w:eastAsia="Times New Roman" w:hAnsi="Arial" w:cs="Arial"/>
          <w:lang w:eastAsia="cs-CZ"/>
        </w:rPr>
      </w:pPr>
      <w:r w:rsidRPr="00B63B09">
        <w:rPr>
          <w:rFonts w:ascii="Arial" w:eastAsia="Times New Roman" w:hAnsi="Arial" w:cs="Arial"/>
          <w:lang w:eastAsia="cs-CZ"/>
        </w:rPr>
        <w:t>Veřejné zahraniční zdroje byly směřovány hlavně do vysokoškolského sektoru (</w:t>
      </w:r>
      <w:r w:rsidR="00B63B09" w:rsidRPr="00B63B09">
        <w:rPr>
          <w:rFonts w:ascii="Arial" w:eastAsia="Times New Roman" w:hAnsi="Arial" w:cs="Arial"/>
          <w:lang w:eastAsia="cs-CZ"/>
        </w:rPr>
        <w:t>více než</w:t>
      </w:r>
      <w:r w:rsidRPr="00B63B09">
        <w:rPr>
          <w:rFonts w:ascii="Arial" w:eastAsia="Times New Roman" w:hAnsi="Arial" w:cs="Arial"/>
          <w:lang w:eastAsia="cs-CZ"/>
        </w:rPr>
        <w:t xml:space="preserve"> </w:t>
      </w:r>
      <w:r w:rsidR="00B63B09" w:rsidRPr="00B63B09">
        <w:rPr>
          <w:rFonts w:ascii="Arial" w:eastAsia="Times New Roman" w:hAnsi="Arial" w:cs="Arial"/>
          <w:lang w:eastAsia="cs-CZ"/>
        </w:rPr>
        <w:t>7</w:t>
      </w:r>
      <w:r w:rsidRPr="00B63B09">
        <w:rPr>
          <w:rFonts w:ascii="Arial" w:eastAsia="Times New Roman" w:hAnsi="Arial" w:cs="Arial"/>
          <w:lang w:eastAsia="cs-CZ"/>
        </w:rPr>
        <w:t xml:space="preserve"> mld. Kč). Vládní sektor čerpal necelé 3 mld. Kč, podnikatelský </w:t>
      </w:r>
      <w:r w:rsidR="00B63B09" w:rsidRPr="00B63B09">
        <w:rPr>
          <w:rFonts w:ascii="Arial" w:eastAsia="Times New Roman" w:hAnsi="Arial" w:cs="Arial"/>
          <w:lang w:eastAsia="cs-CZ"/>
        </w:rPr>
        <w:t>přes</w:t>
      </w:r>
      <w:r w:rsidRPr="00B63B09">
        <w:rPr>
          <w:rFonts w:ascii="Arial" w:eastAsia="Times New Roman" w:hAnsi="Arial" w:cs="Arial"/>
          <w:lang w:eastAsia="cs-CZ"/>
        </w:rPr>
        <w:t xml:space="preserve"> 2 mld. Kč. </w:t>
      </w:r>
      <w:r w:rsidR="008A6D1D" w:rsidRPr="00B63B09">
        <w:rPr>
          <w:rFonts w:ascii="Arial" w:eastAsia="Times New Roman" w:hAnsi="Arial" w:cs="Arial"/>
          <w:lang w:eastAsia="cs-CZ"/>
        </w:rPr>
        <w:t>Tato podpora s</w:t>
      </w:r>
      <w:r w:rsidRPr="00B63B09">
        <w:rPr>
          <w:rFonts w:ascii="Arial" w:eastAsia="Times New Roman" w:hAnsi="Arial" w:cs="Arial"/>
          <w:lang w:eastAsia="cs-CZ"/>
        </w:rPr>
        <w:t xml:space="preserve">ouvisí zejména s čerpáním Operačních programů, </w:t>
      </w:r>
      <w:r w:rsidR="00DD6F06" w:rsidRPr="00B63B09">
        <w:rPr>
          <w:rFonts w:ascii="Arial" w:eastAsia="Times New Roman" w:hAnsi="Arial" w:cs="Arial"/>
          <w:lang w:eastAsia="cs-CZ"/>
        </w:rPr>
        <w:t>především</w:t>
      </w:r>
      <w:r w:rsidRPr="00B63B09">
        <w:rPr>
          <w:rFonts w:ascii="Arial" w:eastAsia="Times New Roman" w:hAnsi="Arial" w:cs="Arial"/>
          <w:lang w:eastAsia="cs-CZ"/>
        </w:rPr>
        <w:t xml:space="preserve"> OP </w:t>
      </w:r>
      <w:proofErr w:type="spellStart"/>
      <w:r w:rsidRPr="00B63B09">
        <w:rPr>
          <w:rFonts w:ascii="Arial" w:eastAsia="Times New Roman" w:hAnsi="Arial" w:cs="Arial"/>
          <w:lang w:eastAsia="cs-CZ"/>
        </w:rPr>
        <w:t>VaVpI</w:t>
      </w:r>
      <w:proofErr w:type="spellEnd"/>
      <w:r w:rsidRPr="00B63B09">
        <w:rPr>
          <w:rFonts w:ascii="Arial" w:eastAsia="Times New Roman" w:hAnsi="Arial" w:cs="Arial"/>
          <w:lang w:eastAsia="cs-CZ"/>
        </w:rPr>
        <w:t xml:space="preserve"> a OP PI. </w:t>
      </w:r>
    </w:p>
    <w:p w:rsidR="000822A0" w:rsidRPr="007E6EC6" w:rsidRDefault="000822A0" w:rsidP="00E2654D">
      <w:pPr>
        <w:spacing w:after="0" w:line="360" w:lineRule="auto"/>
        <w:ind w:firstLine="708"/>
        <w:jc w:val="both"/>
        <w:rPr>
          <w:rFonts w:ascii="Arial" w:eastAsia="Times New Roman" w:hAnsi="Arial" w:cs="Arial"/>
          <w:highlight w:val="yellow"/>
          <w:lang w:eastAsia="cs-CZ"/>
        </w:rPr>
      </w:pPr>
      <w:r w:rsidRPr="00B63B09">
        <w:rPr>
          <w:rFonts w:ascii="Arial" w:eastAsia="Times New Roman" w:hAnsi="Arial" w:cs="Arial"/>
          <w:lang w:eastAsia="cs-CZ"/>
        </w:rPr>
        <w:lastRenderedPageBreak/>
        <w:t>Soukromé zahraniční zdroje směřovaly především do podniků (</w:t>
      </w:r>
      <w:r w:rsidR="00B63B09" w:rsidRPr="00B63B09">
        <w:rPr>
          <w:rFonts w:ascii="Arial" w:eastAsia="Times New Roman" w:hAnsi="Arial" w:cs="Arial"/>
          <w:lang w:eastAsia="cs-CZ"/>
        </w:rPr>
        <w:t>více než 11</w:t>
      </w:r>
      <w:r w:rsidRPr="00B63B09">
        <w:rPr>
          <w:rFonts w:ascii="Arial" w:eastAsia="Times New Roman" w:hAnsi="Arial" w:cs="Arial"/>
          <w:lang w:eastAsia="cs-CZ"/>
        </w:rPr>
        <w:t xml:space="preserve"> mld. Kč) a také do</w:t>
      </w:r>
      <w:r w:rsidR="00BF5EAF" w:rsidRPr="00B63B09">
        <w:rPr>
          <w:rFonts w:ascii="Arial" w:eastAsia="Times New Roman" w:hAnsi="Arial" w:cs="Arial"/>
          <w:lang w:eastAsia="cs-CZ"/>
        </w:rPr>
        <w:t> </w:t>
      </w:r>
      <w:r w:rsidRPr="00B63B09">
        <w:rPr>
          <w:rFonts w:ascii="Arial" w:eastAsia="Times New Roman" w:hAnsi="Arial" w:cs="Arial"/>
          <w:lang w:eastAsia="cs-CZ"/>
        </w:rPr>
        <w:t>vládního sektoru (1,</w:t>
      </w:r>
      <w:r w:rsidR="00B63B09" w:rsidRPr="00B63B09">
        <w:rPr>
          <w:rFonts w:ascii="Arial" w:eastAsia="Times New Roman" w:hAnsi="Arial" w:cs="Arial"/>
          <w:lang w:eastAsia="cs-CZ"/>
        </w:rPr>
        <w:t>4</w:t>
      </w:r>
      <w:r w:rsidRPr="00B63B09">
        <w:rPr>
          <w:rFonts w:ascii="Arial" w:eastAsia="Times New Roman" w:hAnsi="Arial" w:cs="Arial"/>
          <w:lang w:eastAsia="cs-CZ"/>
        </w:rPr>
        <w:t xml:space="preserve"> mld. Kč). </w:t>
      </w:r>
      <w:r w:rsidR="008A6D1D" w:rsidRPr="00B63B09">
        <w:rPr>
          <w:rFonts w:ascii="Arial" w:eastAsia="Times New Roman" w:hAnsi="Arial" w:cs="Arial"/>
          <w:lang w:eastAsia="cs-CZ"/>
        </w:rPr>
        <w:t>V největší míře jimi byly uhrazeny</w:t>
      </w:r>
      <w:r w:rsidRPr="00B63B09">
        <w:rPr>
          <w:rFonts w:ascii="Arial" w:eastAsia="Times New Roman" w:hAnsi="Arial" w:cs="Arial"/>
          <w:lang w:eastAsia="cs-CZ"/>
        </w:rPr>
        <w:t xml:space="preserve"> licenční poplatky Ústavu organické chemie a biochemie AV ČR, </w:t>
      </w:r>
      <w:proofErr w:type="spellStart"/>
      <w:proofErr w:type="gramStart"/>
      <w:r w:rsidRPr="00B63B09">
        <w:rPr>
          <w:rFonts w:ascii="Arial" w:eastAsia="Times New Roman" w:hAnsi="Arial" w:cs="Arial"/>
          <w:lang w:eastAsia="cs-CZ"/>
        </w:rPr>
        <w:t>v.v.</w:t>
      </w:r>
      <w:proofErr w:type="gramEnd"/>
      <w:r w:rsidRPr="00B63B09">
        <w:rPr>
          <w:rFonts w:ascii="Arial" w:eastAsia="Times New Roman" w:hAnsi="Arial" w:cs="Arial"/>
          <w:lang w:eastAsia="cs-CZ"/>
        </w:rPr>
        <w:t>i</w:t>
      </w:r>
      <w:proofErr w:type="spellEnd"/>
      <w:r w:rsidRPr="00B63B09">
        <w:rPr>
          <w:rFonts w:ascii="Arial" w:eastAsia="Times New Roman" w:hAnsi="Arial" w:cs="Arial"/>
          <w:lang w:eastAsia="cs-CZ"/>
        </w:rPr>
        <w:t>.</w:t>
      </w:r>
      <w:r w:rsidR="00092146">
        <w:rPr>
          <w:rStyle w:val="Znakapoznpodarou"/>
          <w:rFonts w:ascii="Arial" w:eastAsia="Times New Roman" w:hAnsi="Arial" w:cs="Arial"/>
          <w:lang w:eastAsia="cs-CZ"/>
        </w:rPr>
        <w:footnoteReference w:id="5"/>
      </w:r>
      <w:r w:rsidRPr="007E6EC6">
        <w:rPr>
          <w:rFonts w:ascii="Arial" w:eastAsia="Times New Roman" w:hAnsi="Arial" w:cs="Arial"/>
          <w:highlight w:val="yellow"/>
          <w:lang w:eastAsia="cs-CZ"/>
        </w:rPr>
        <w:t xml:space="preserve"> </w:t>
      </w:r>
    </w:p>
    <w:p w:rsidR="00E2654D" w:rsidRPr="007E6EC6" w:rsidRDefault="00E2654D" w:rsidP="00E2654D">
      <w:pPr>
        <w:pStyle w:val="Obrzek-nadpis"/>
        <w:rPr>
          <w:highlight w:val="yellow"/>
        </w:rPr>
      </w:pPr>
      <w:r w:rsidRPr="007E6EC6">
        <w:rPr>
          <w:highlight w:val="yellow"/>
        </w:rPr>
        <w:t xml:space="preserve">Obr. 1.5: Přímá podpora </w:t>
      </w:r>
      <w:proofErr w:type="spellStart"/>
      <w:r w:rsidRPr="007E6EC6">
        <w:rPr>
          <w:highlight w:val="yellow"/>
        </w:rPr>
        <w:t>VaVaI</w:t>
      </w:r>
      <w:proofErr w:type="spellEnd"/>
      <w:r w:rsidRPr="007E6EC6">
        <w:rPr>
          <w:highlight w:val="yellow"/>
        </w:rPr>
        <w:t xml:space="preserve"> v podnikatelském sektoru ze SR v roce 2014</w:t>
      </w:r>
    </w:p>
    <w:p w:rsidR="00E2654D" w:rsidRPr="007E6EC6" w:rsidRDefault="00E2654D" w:rsidP="00E2654D">
      <w:pPr>
        <w:spacing w:after="0" w:line="240" w:lineRule="auto"/>
        <w:jc w:val="center"/>
        <w:rPr>
          <w:rFonts w:ascii="Times New Roman" w:eastAsia="Times New Roman" w:hAnsi="Times New Roman" w:cs="Times New Roman"/>
          <w:i/>
          <w:sz w:val="24"/>
          <w:szCs w:val="24"/>
          <w:highlight w:val="yellow"/>
          <w:lang w:eastAsia="cs-CZ"/>
        </w:rPr>
      </w:pPr>
      <w:r w:rsidRPr="007E6EC6">
        <w:rPr>
          <w:rFonts w:ascii="Times New Roman" w:eastAsia="Times New Roman" w:hAnsi="Times New Roman" w:cs="Times New Roman"/>
          <w:noProof/>
          <w:sz w:val="24"/>
          <w:szCs w:val="24"/>
          <w:highlight w:val="yellow"/>
          <w:lang w:eastAsia="cs-CZ"/>
        </w:rPr>
        <w:drawing>
          <wp:inline distT="0" distB="0" distL="0" distR="0" wp14:anchorId="6FFEC00B" wp14:editId="1B1A4E13">
            <wp:extent cx="4010400" cy="28800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10400" cy="2880000"/>
                    </a:xfrm>
                    <a:prstGeom prst="rect">
                      <a:avLst/>
                    </a:prstGeom>
                    <a:noFill/>
                    <a:ln>
                      <a:noFill/>
                    </a:ln>
                  </pic:spPr>
                </pic:pic>
              </a:graphicData>
            </a:graphic>
          </wp:inline>
        </w:drawing>
      </w:r>
    </w:p>
    <w:p w:rsidR="00E2654D" w:rsidRPr="007E6EC6" w:rsidRDefault="00E2654D" w:rsidP="00E2654D">
      <w:pPr>
        <w:pStyle w:val="Zdroj"/>
        <w:spacing w:after="240"/>
        <w:rPr>
          <w:highlight w:val="yellow"/>
        </w:rPr>
      </w:pPr>
      <w:r w:rsidRPr="007E6EC6">
        <w:rPr>
          <w:highlight w:val="yellow"/>
        </w:rPr>
        <w:t xml:space="preserve">Zdroj dat: IS </w:t>
      </w:r>
      <w:proofErr w:type="spellStart"/>
      <w:r w:rsidRPr="007E6EC6">
        <w:rPr>
          <w:highlight w:val="yellow"/>
        </w:rPr>
        <w:t>VaVaI</w:t>
      </w:r>
      <w:proofErr w:type="spellEnd"/>
      <w:r w:rsidRPr="007E6EC6">
        <w:rPr>
          <w:highlight w:val="yellow"/>
        </w:rPr>
        <w:t xml:space="preserve"> po úpravě kategorií subjektů dle metodiky pro statistická zjišťování ČSÚ</w:t>
      </w:r>
    </w:p>
    <w:p w:rsidR="000822A0" w:rsidRPr="007E6EC6" w:rsidRDefault="000822A0" w:rsidP="008E7BFB">
      <w:pPr>
        <w:spacing w:after="0" w:line="360" w:lineRule="auto"/>
        <w:ind w:firstLine="708"/>
        <w:jc w:val="both"/>
        <w:rPr>
          <w:rFonts w:ascii="Arial" w:eastAsia="Times New Roman" w:hAnsi="Arial" w:cs="Arial"/>
          <w:highlight w:val="yellow"/>
          <w:lang w:eastAsia="cs-CZ"/>
        </w:rPr>
      </w:pPr>
      <w:r w:rsidRPr="00396B00">
        <w:rPr>
          <w:rFonts w:ascii="Arial" w:eastAsia="Times New Roman" w:hAnsi="Arial" w:cs="Arial"/>
          <w:lang w:eastAsia="cs-CZ"/>
        </w:rPr>
        <w:t>Jak je dále patrné z </w:t>
      </w:r>
      <w:r w:rsidR="005030AA" w:rsidRPr="00396B00">
        <w:rPr>
          <w:rFonts w:ascii="Arial" w:eastAsia="Times New Roman" w:hAnsi="Arial" w:cs="Arial"/>
          <w:lang w:eastAsia="cs-CZ"/>
        </w:rPr>
        <w:t>tabulky</w:t>
      </w:r>
      <w:r w:rsidRPr="00396B00">
        <w:rPr>
          <w:rFonts w:ascii="Arial" w:eastAsia="Times New Roman" w:hAnsi="Arial" w:cs="Arial"/>
          <w:lang w:eastAsia="cs-CZ"/>
        </w:rPr>
        <w:t xml:space="preserve"> </w:t>
      </w:r>
      <w:r w:rsidR="003F5D8D" w:rsidRPr="00396B00">
        <w:rPr>
          <w:rFonts w:ascii="Arial" w:eastAsia="Times New Roman" w:hAnsi="Arial" w:cs="Arial"/>
          <w:lang w:eastAsia="cs-CZ"/>
        </w:rPr>
        <w:t>1.</w:t>
      </w:r>
      <w:r w:rsidR="004743B7" w:rsidRPr="00396B00">
        <w:rPr>
          <w:rFonts w:ascii="Arial" w:eastAsia="Times New Roman" w:hAnsi="Arial" w:cs="Arial"/>
          <w:lang w:eastAsia="cs-CZ"/>
        </w:rPr>
        <w:t>5</w:t>
      </w:r>
      <w:r w:rsidRPr="00396B00">
        <w:rPr>
          <w:rFonts w:ascii="Arial" w:eastAsia="Times New Roman" w:hAnsi="Arial" w:cs="Arial"/>
          <w:lang w:eastAsia="cs-CZ"/>
        </w:rPr>
        <w:t>, podnikatelský sektor měl v roce 201</w:t>
      </w:r>
      <w:r w:rsidR="0007004F">
        <w:rPr>
          <w:rFonts w:ascii="Arial" w:eastAsia="Times New Roman" w:hAnsi="Arial" w:cs="Arial"/>
          <w:lang w:eastAsia="cs-CZ"/>
        </w:rPr>
        <w:t>4</w:t>
      </w:r>
      <w:r w:rsidRPr="00396B00">
        <w:rPr>
          <w:rFonts w:ascii="Arial" w:eastAsia="Times New Roman" w:hAnsi="Arial" w:cs="Arial"/>
          <w:lang w:eastAsia="cs-CZ"/>
        </w:rPr>
        <w:t xml:space="preserve"> k dispozici největší objem finančních prostředků</w:t>
      </w:r>
      <w:r w:rsidR="008A6D1D" w:rsidRPr="00396B00">
        <w:rPr>
          <w:rFonts w:ascii="Arial" w:eastAsia="Times New Roman" w:hAnsi="Arial" w:cs="Arial"/>
          <w:lang w:eastAsia="cs-CZ"/>
        </w:rPr>
        <w:t xml:space="preserve">, sumu </w:t>
      </w:r>
      <w:r w:rsidRPr="00396B00">
        <w:rPr>
          <w:rFonts w:ascii="Arial" w:eastAsia="Times New Roman" w:hAnsi="Arial" w:cs="Arial"/>
          <w:lang w:eastAsia="cs-CZ"/>
        </w:rPr>
        <w:t>přesahující 4</w:t>
      </w:r>
      <w:r w:rsidR="004743B7" w:rsidRPr="00396B00">
        <w:rPr>
          <w:rFonts w:ascii="Arial" w:eastAsia="Times New Roman" w:hAnsi="Arial" w:cs="Arial"/>
          <w:lang w:eastAsia="cs-CZ"/>
        </w:rPr>
        <w:t>7,6</w:t>
      </w:r>
      <w:r w:rsidRPr="00396B00">
        <w:rPr>
          <w:rFonts w:ascii="Arial" w:eastAsia="Times New Roman" w:hAnsi="Arial" w:cs="Arial"/>
          <w:lang w:eastAsia="cs-CZ"/>
        </w:rPr>
        <w:t xml:space="preserve"> mld. Kč, </w:t>
      </w:r>
      <w:r w:rsidR="004743B7" w:rsidRPr="00396B00">
        <w:rPr>
          <w:rFonts w:ascii="Arial" w:eastAsia="Times New Roman" w:hAnsi="Arial" w:cs="Arial"/>
          <w:lang w:eastAsia="cs-CZ"/>
        </w:rPr>
        <w:t>v rozhodující</w:t>
      </w:r>
      <w:r w:rsidR="008A6D1D" w:rsidRPr="00396B00">
        <w:rPr>
          <w:rFonts w:ascii="Arial" w:eastAsia="Times New Roman" w:hAnsi="Arial" w:cs="Arial"/>
          <w:lang w:eastAsia="cs-CZ"/>
        </w:rPr>
        <w:t xml:space="preserve"> míře</w:t>
      </w:r>
      <w:r w:rsidRPr="00396B00">
        <w:rPr>
          <w:rFonts w:ascii="Arial" w:eastAsia="Times New Roman" w:hAnsi="Arial" w:cs="Arial"/>
          <w:lang w:eastAsia="cs-CZ"/>
        </w:rPr>
        <w:t xml:space="preserve"> z vlastních </w:t>
      </w:r>
      <w:r w:rsidR="00396B00" w:rsidRPr="00396B00">
        <w:rPr>
          <w:rFonts w:ascii="Arial" w:eastAsia="Times New Roman" w:hAnsi="Arial" w:cs="Arial"/>
          <w:lang w:eastAsia="cs-CZ"/>
        </w:rPr>
        <w:t xml:space="preserve">zdrojů </w:t>
      </w:r>
      <w:r w:rsidRPr="00396B00">
        <w:rPr>
          <w:rFonts w:ascii="Arial" w:eastAsia="Times New Roman" w:hAnsi="Arial" w:cs="Arial"/>
          <w:lang w:eastAsia="cs-CZ"/>
        </w:rPr>
        <w:t>(</w:t>
      </w:r>
      <w:r w:rsidR="00396B00" w:rsidRPr="00396B00">
        <w:rPr>
          <w:rFonts w:ascii="Arial" w:eastAsia="Times New Roman" w:hAnsi="Arial" w:cs="Arial"/>
          <w:lang w:eastAsia="cs-CZ"/>
        </w:rPr>
        <w:t>85,4% ze soukromých zdrojů, z toho 61,7 % připadá na domácí soukromé zdroje a 23,7 % na soukromé zahraniční zdroje</w:t>
      </w:r>
      <w:r w:rsidRPr="00396B00">
        <w:rPr>
          <w:rFonts w:ascii="Arial" w:eastAsia="Times New Roman" w:hAnsi="Arial" w:cs="Arial"/>
          <w:lang w:eastAsia="cs-CZ"/>
        </w:rPr>
        <w:t>). Celých 1</w:t>
      </w:r>
      <w:r w:rsidR="00396B00" w:rsidRPr="00396B00">
        <w:rPr>
          <w:rFonts w:ascii="Arial" w:eastAsia="Times New Roman" w:hAnsi="Arial" w:cs="Arial"/>
          <w:lang w:eastAsia="cs-CZ"/>
        </w:rPr>
        <w:t>0</w:t>
      </w:r>
      <w:r w:rsidRPr="00396B00">
        <w:rPr>
          <w:rFonts w:ascii="Arial" w:eastAsia="Times New Roman" w:hAnsi="Arial" w:cs="Arial"/>
          <w:lang w:eastAsia="cs-CZ"/>
        </w:rPr>
        <w:t xml:space="preserve"> % financí navíc obdržely subjekty podnikatelského sektoru ze státního rozpočtu a 4</w:t>
      </w:r>
      <w:r w:rsidR="00396B00" w:rsidRPr="00396B00">
        <w:rPr>
          <w:rFonts w:ascii="Arial" w:eastAsia="Times New Roman" w:hAnsi="Arial" w:cs="Arial"/>
          <w:lang w:eastAsia="cs-CZ"/>
        </w:rPr>
        <w:t>,5</w:t>
      </w:r>
      <w:r w:rsidRPr="00396B00">
        <w:rPr>
          <w:rFonts w:ascii="Arial" w:eastAsia="Times New Roman" w:hAnsi="Arial" w:cs="Arial"/>
          <w:lang w:eastAsia="cs-CZ"/>
        </w:rPr>
        <w:t xml:space="preserve"> % z</w:t>
      </w:r>
      <w:r w:rsidR="008A6D1D" w:rsidRPr="00396B00">
        <w:rPr>
          <w:rFonts w:ascii="Arial" w:eastAsia="Times New Roman" w:hAnsi="Arial" w:cs="Arial"/>
          <w:lang w:eastAsia="cs-CZ"/>
        </w:rPr>
        <w:t>e</w:t>
      </w:r>
      <w:r w:rsidRPr="00396B00">
        <w:rPr>
          <w:rFonts w:ascii="Arial" w:eastAsia="Times New Roman" w:hAnsi="Arial" w:cs="Arial"/>
          <w:lang w:eastAsia="cs-CZ"/>
        </w:rPr>
        <w:t> </w:t>
      </w:r>
      <w:r w:rsidR="008A6D1D" w:rsidRPr="00396B00">
        <w:rPr>
          <w:rFonts w:ascii="Arial" w:eastAsia="Times New Roman" w:hAnsi="Arial" w:cs="Arial"/>
          <w:lang w:eastAsia="cs-CZ"/>
        </w:rPr>
        <w:t xml:space="preserve">zahraničních </w:t>
      </w:r>
      <w:r w:rsidRPr="00396B00">
        <w:rPr>
          <w:rFonts w:ascii="Arial" w:eastAsia="Times New Roman" w:hAnsi="Arial" w:cs="Arial"/>
          <w:lang w:eastAsia="cs-CZ"/>
        </w:rPr>
        <w:t>veřejných zdrojů.</w:t>
      </w:r>
      <w:r w:rsidRPr="007E6EC6">
        <w:rPr>
          <w:rFonts w:ascii="Arial" w:eastAsia="Times New Roman" w:hAnsi="Arial" w:cs="Arial"/>
          <w:highlight w:val="yellow"/>
          <w:lang w:eastAsia="cs-CZ"/>
        </w:rPr>
        <w:t xml:space="preserve"> </w:t>
      </w:r>
    </w:p>
    <w:p w:rsidR="000822A0" w:rsidRPr="007E6EC6" w:rsidRDefault="000822A0" w:rsidP="00AA4A0F">
      <w:pPr>
        <w:spacing w:after="0" w:line="360" w:lineRule="auto"/>
        <w:ind w:firstLine="708"/>
        <w:jc w:val="both"/>
        <w:rPr>
          <w:rFonts w:ascii="Arial" w:eastAsia="Times New Roman" w:hAnsi="Arial" w:cs="Arial"/>
          <w:highlight w:val="yellow"/>
          <w:lang w:eastAsia="cs-CZ"/>
        </w:rPr>
      </w:pPr>
      <w:r w:rsidRPr="00AA4A0F">
        <w:rPr>
          <w:rFonts w:ascii="Arial" w:eastAsia="Times New Roman" w:hAnsi="Arial" w:cs="Arial"/>
          <w:lang w:eastAsia="cs-CZ"/>
        </w:rPr>
        <w:t xml:space="preserve">Vysokoškolský sektor vynaložil na </w:t>
      </w:r>
      <w:proofErr w:type="spellStart"/>
      <w:r w:rsidRPr="00AA4A0F">
        <w:rPr>
          <w:rFonts w:ascii="Arial" w:eastAsia="Times New Roman" w:hAnsi="Arial" w:cs="Arial"/>
          <w:lang w:eastAsia="cs-CZ"/>
        </w:rPr>
        <w:t>VaVaI</w:t>
      </w:r>
      <w:proofErr w:type="spellEnd"/>
      <w:r w:rsidRPr="00AA4A0F">
        <w:rPr>
          <w:rFonts w:ascii="Arial" w:eastAsia="Times New Roman" w:hAnsi="Arial" w:cs="Arial"/>
          <w:lang w:eastAsia="cs-CZ"/>
        </w:rPr>
        <w:t xml:space="preserve"> </w:t>
      </w:r>
      <w:r w:rsidR="00B20909" w:rsidRPr="00AA4A0F">
        <w:rPr>
          <w:rFonts w:ascii="Arial" w:eastAsia="Times New Roman" w:hAnsi="Arial" w:cs="Arial"/>
          <w:lang w:eastAsia="cs-CZ"/>
        </w:rPr>
        <w:t xml:space="preserve">přibližně </w:t>
      </w:r>
      <w:r w:rsidRPr="00AA4A0F">
        <w:rPr>
          <w:rFonts w:ascii="Arial" w:eastAsia="Times New Roman" w:hAnsi="Arial" w:cs="Arial"/>
          <w:lang w:eastAsia="cs-CZ"/>
        </w:rPr>
        <w:t>21</w:t>
      </w:r>
      <w:r w:rsidR="00396B00" w:rsidRPr="00AA4A0F">
        <w:rPr>
          <w:rFonts w:ascii="Arial" w:eastAsia="Times New Roman" w:hAnsi="Arial" w:cs="Arial"/>
          <w:lang w:eastAsia="cs-CZ"/>
        </w:rPr>
        <w:t>,5</w:t>
      </w:r>
      <w:r w:rsidRPr="00AA4A0F">
        <w:rPr>
          <w:rFonts w:ascii="Arial" w:eastAsia="Times New Roman" w:hAnsi="Arial" w:cs="Arial"/>
          <w:lang w:eastAsia="cs-CZ"/>
        </w:rPr>
        <w:t xml:space="preserve"> mld. Kč, přičemž</w:t>
      </w:r>
      <w:r w:rsidR="00396B00" w:rsidRPr="00AA4A0F">
        <w:rPr>
          <w:rFonts w:ascii="Arial" w:eastAsia="Times New Roman" w:hAnsi="Arial" w:cs="Arial"/>
          <w:lang w:eastAsia="cs-CZ"/>
        </w:rPr>
        <w:t xml:space="preserve"> téměř</w:t>
      </w:r>
      <w:r w:rsidRPr="00AA4A0F">
        <w:rPr>
          <w:rFonts w:ascii="Arial" w:eastAsia="Times New Roman" w:hAnsi="Arial" w:cs="Arial"/>
          <w:lang w:eastAsia="cs-CZ"/>
        </w:rPr>
        <w:t xml:space="preserve"> 6</w:t>
      </w:r>
      <w:r w:rsidR="00396B00" w:rsidRPr="00AA4A0F">
        <w:rPr>
          <w:rFonts w:ascii="Arial" w:eastAsia="Times New Roman" w:hAnsi="Arial" w:cs="Arial"/>
          <w:lang w:eastAsia="cs-CZ"/>
        </w:rPr>
        <w:t>2</w:t>
      </w:r>
      <w:r w:rsidRPr="00AA4A0F">
        <w:rPr>
          <w:rFonts w:ascii="Arial" w:eastAsia="Times New Roman" w:hAnsi="Arial" w:cs="Arial"/>
          <w:lang w:eastAsia="cs-CZ"/>
        </w:rPr>
        <w:t xml:space="preserve"> % tvořily </w:t>
      </w:r>
      <w:r w:rsidR="008A6D1D" w:rsidRPr="00AA4A0F">
        <w:rPr>
          <w:rFonts w:ascii="Arial" w:eastAsia="Times New Roman" w:hAnsi="Arial" w:cs="Arial"/>
          <w:lang w:eastAsia="cs-CZ"/>
        </w:rPr>
        <w:t xml:space="preserve">domácí </w:t>
      </w:r>
      <w:r w:rsidRPr="00AA4A0F">
        <w:rPr>
          <w:rFonts w:ascii="Arial" w:eastAsia="Times New Roman" w:hAnsi="Arial" w:cs="Arial"/>
          <w:lang w:eastAsia="cs-CZ"/>
        </w:rPr>
        <w:t xml:space="preserve">veřejné zdroje, </w:t>
      </w:r>
      <w:r w:rsidR="00396B00" w:rsidRPr="00AA4A0F">
        <w:rPr>
          <w:rFonts w:ascii="Arial" w:eastAsia="Times New Roman" w:hAnsi="Arial" w:cs="Arial"/>
          <w:lang w:eastAsia="cs-CZ"/>
        </w:rPr>
        <w:t xml:space="preserve">přes </w:t>
      </w:r>
      <w:r w:rsidRPr="00AA4A0F">
        <w:rPr>
          <w:rFonts w:ascii="Arial" w:eastAsia="Times New Roman" w:hAnsi="Arial" w:cs="Arial"/>
          <w:lang w:eastAsia="cs-CZ"/>
        </w:rPr>
        <w:t>3</w:t>
      </w:r>
      <w:r w:rsidR="00396B00" w:rsidRPr="00AA4A0F">
        <w:rPr>
          <w:rFonts w:ascii="Arial" w:eastAsia="Times New Roman" w:hAnsi="Arial" w:cs="Arial"/>
          <w:lang w:eastAsia="cs-CZ"/>
        </w:rPr>
        <w:t>3</w:t>
      </w:r>
      <w:r w:rsidRPr="00AA4A0F">
        <w:rPr>
          <w:rFonts w:ascii="Arial" w:eastAsia="Times New Roman" w:hAnsi="Arial" w:cs="Arial"/>
          <w:lang w:eastAsia="cs-CZ"/>
        </w:rPr>
        <w:t xml:space="preserve"> % </w:t>
      </w:r>
      <w:r w:rsidR="008A6D1D" w:rsidRPr="00AA4A0F">
        <w:rPr>
          <w:rFonts w:ascii="Arial" w:eastAsia="Times New Roman" w:hAnsi="Arial" w:cs="Arial"/>
          <w:lang w:eastAsia="cs-CZ"/>
        </w:rPr>
        <w:t xml:space="preserve">zahraniční </w:t>
      </w:r>
      <w:r w:rsidRPr="00AA4A0F">
        <w:rPr>
          <w:rFonts w:ascii="Arial" w:eastAsia="Times New Roman" w:hAnsi="Arial" w:cs="Arial"/>
          <w:lang w:eastAsia="cs-CZ"/>
        </w:rPr>
        <w:t>veřejné zdroje a pouh</w:t>
      </w:r>
      <w:r w:rsidR="00396B00" w:rsidRPr="00AA4A0F">
        <w:rPr>
          <w:rFonts w:ascii="Arial" w:eastAsia="Times New Roman" w:hAnsi="Arial" w:cs="Arial"/>
          <w:lang w:eastAsia="cs-CZ"/>
        </w:rPr>
        <w:t>ých</w:t>
      </w:r>
      <w:r w:rsidRPr="00AA4A0F">
        <w:rPr>
          <w:rFonts w:ascii="Arial" w:eastAsia="Times New Roman" w:hAnsi="Arial" w:cs="Arial"/>
          <w:lang w:eastAsia="cs-CZ"/>
        </w:rPr>
        <w:t xml:space="preserve"> 2</w:t>
      </w:r>
      <w:r w:rsidR="00396B00" w:rsidRPr="00AA4A0F">
        <w:rPr>
          <w:rFonts w:ascii="Arial" w:eastAsia="Times New Roman" w:hAnsi="Arial" w:cs="Arial"/>
          <w:lang w:eastAsia="cs-CZ"/>
        </w:rPr>
        <w:t>,5</w:t>
      </w:r>
      <w:r w:rsidRPr="00AA4A0F">
        <w:rPr>
          <w:rFonts w:ascii="Arial" w:eastAsia="Times New Roman" w:hAnsi="Arial" w:cs="Arial"/>
          <w:lang w:eastAsia="cs-CZ"/>
        </w:rPr>
        <w:t xml:space="preserve"> % podnikatelské zdroje.</w:t>
      </w:r>
      <w:r w:rsidR="00396B00" w:rsidRPr="00AA4A0F">
        <w:rPr>
          <w:rFonts w:ascii="Arial" w:eastAsia="Times New Roman" w:hAnsi="Arial" w:cs="Arial"/>
          <w:lang w:eastAsia="cs-CZ"/>
        </w:rPr>
        <w:t xml:space="preserve"> Přestože se v případě podnikatelských zdrojů jedná o malý podíl</w:t>
      </w:r>
      <w:r w:rsidR="00AA4A0F" w:rsidRPr="00AA4A0F">
        <w:rPr>
          <w:rFonts w:ascii="Arial" w:eastAsia="Times New Roman" w:hAnsi="Arial" w:cs="Arial"/>
          <w:lang w:eastAsia="cs-CZ"/>
        </w:rPr>
        <w:t>, za významný lze považovat jeho meziroční nárůst přibližně o pětinu (v roce 2013</w:t>
      </w:r>
      <w:r w:rsidR="00CA2AAC">
        <w:rPr>
          <w:rFonts w:ascii="Arial" w:eastAsia="Times New Roman" w:hAnsi="Arial" w:cs="Arial"/>
          <w:lang w:eastAsia="cs-CZ"/>
        </w:rPr>
        <w:t xml:space="preserve"> tvořily podnikatelské zdroje 2,0 %</w:t>
      </w:r>
      <w:r w:rsidR="00AA4A0F" w:rsidRPr="00AA4A0F">
        <w:rPr>
          <w:rFonts w:ascii="Arial" w:eastAsia="Times New Roman" w:hAnsi="Arial" w:cs="Arial"/>
          <w:lang w:eastAsia="cs-CZ"/>
        </w:rPr>
        <w:t>).</w:t>
      </w:r>
      <w:r w:rsidRPr="00AA4A0F">
        <w:rPr>
          <w:rFonts w:ascii="Arial" w:eastAsia="Times New Roman" w:hAnsi="Arial" w:cs="Arial"/>
          <w:lang w:eastAsia="cs-CZ"/>
        </w:rPr>
        <w:t xml:space="preserve"> Z</w:t>
      </w:r>
      <w:r w:rsidR="00AA4A0F" w:rsidRPr="00AA4A0F">
        <w:rPr>
          <w:rFonts w:ascii="Arial" w:eastAsia="Times New Roman" w:hAnsi="Arial" w:cs="Arial"/>
          <w:lang w:eastAsia="cs-CZ"/>
        </w:rPr>
        <w:t> </w:t>
      </w:r>
      <w:r w:rsidRPr="00AA4A0F">
        <w:rPr>
          <w:rFonts w:ascii="Arial" w:eastAsia="Times New Roman" w:hAnsi="Arial" w:cs="Arial"/>
          <w:lang w:eastAsia="cs-CZ"/>
        </w:rPr>
        <w:t>1</w:t>
      </w:r>
      <w:r w:rsidR="00AA4A0F" w:rsidRPr="00AA4A0F">
        <w:rPr>
          <w:rFonts w:ascii="Arial" w:eastAsia="Times New Roman" w:hAnsi="Arial" w:cs="Arial"/>
          <w:lang w:eastAsia="cs-CZ"/>
        </w:rPr>
        <w:t>5,5</w:t>
      </w:r>
      <w:r w:rsidRPr="00AA4A0F">
        <w:rPr>
          <w:rFonts w:ascii="Arial" w:eastAsia="Times New Roman" w:hAnsi="Arial" w:cs="Arial"/>
          <w:lang w:eastAsia="cs-CZ"/>
        </w:rPr>
        <w:t xml:space="preserve"> mld. Kč vynaložených vládním sektorem tvořily 6</w:t>
      </w:r>
      <w:r w:rsidR="00AA4A0F" w:rsidRPr="00AA4A0F">
        <w:rPr>
          <w:rFonts w:ascii="Arial" w:eastAsia="Times New Roman" w:hAnsi="Arial" w:cs="Arial"/>
          <w:lang w:eastAsia="cs-CZ"/>
        </w:rPr>
        <w:t>3</w:t>
      </w:r>
      <w:r w:rsidRPr="00AA4A0F">
        <w:rPr>
          <w:rFonts w:ascii="Arial" w:eastAsia="Times New Roman" w:hAnsi="Arial" w:cs="Arial"/>
          <w:lang w:eastAsia="cs-CZ"/>
        </w:rPr>
        <w:t xml:space="preserve"> % tuzemské veřejné zdroje, 2</w:t>
      </w:r>
      <w:r w:rsidR="00AA4A0F" w:rsidRPr="00AA4A0F">
        <w:rPr>
          <w:rFonts w:ascii="Arial" w:eastAsia="Times New Roman" w:hAnsi="Arial" w:cs="Arial"/>
          <w:lang w:eastAsia="cs-CZ"/>
        </w:rPr>
        <w:t>4,5</w:t>
      </w:r>
      <w:r w:rsidRPr="00AA4A0F">
        <w:rPr>
          <w:rFonts w:ascii="Arial" w:eastAsia="Times New Roman" w:hAnsi="Arial" w:cs="Arial"/>
          <w:lang w:eastAsia="cs-CZ"/>
        </w:rPr>
        <w:t xml:space="preserve"> % veřejné zahraniční zdroje, </w:t>
      </w:r>
      <w:r w:rsidR="00AA4A0F" w:rsidRPr="00AA4A0F">
        <w:rPr>
          <w:rFonts w:ascii="Arial" w:eastAsia="Times New Roman" w:hAnsi="Arial" w:cs="Arial"/>
          <w:lang w:eastAsia="cs-CZ"/>
        </w:rPr>
        <w:t>necelých 9</w:t>
      </w:r>
      <w:r w:rsidRPr="00AA4A0F">
        <w:rPr>
          <w:rFonts w:ascii="Arial" w:eastAsia="Times New Roman" w:hAnsi="Arial" w:cs="Arial"/>
          <w:lang w:eastAsia="cs-CZ"/>
        </w:rPr>
        <w:t xml:space="preserve"> % zahraniční podnikatelské</w:t>
      </w:r>
      <w:r w:rsidR="00AA4A0F" w:rsidRPr="00AA4A0F">
        <w:rPr>
          <w:rFonts w:ascii="Arial" w:eastAsia="Times New Roman" w:hAnsi="Arial" w:cs="Arial"/>
          <w:lang w:eastAsia="cs-CZ"/>
        </w:rPr>
        <w:t xml:space="preserve"> zdroje a pouhých</w:t>
      </w:r>
      <w:r w:rsidRPr="00AA4A0F">
        <w:rPr>
          <w:rFonts w:ascii="Arial" w:eastAsia="Times New Roman" w:hAnsi="Arial" w:cs="Arial"/>
          <w:lang w:eastAsia="cs-CZ"/>
        </w:rPr>
        <w:t xml:space="preserve"> 3</w:t>
      </w:r>
      <w:r w:rsidR="00AA4A0F" w:rsidRPr="00AA4A0F">
        <w:rPr>
          <w:rFonts w:ascii="Arial" w:eastAsia="Times New Roman" w:hAnsi="Arial" w:cs="Arial"/>
          <w:lang w:eastAsia="cs-CZ"/>
        </w:rPr>
        <w:t>,5</w:t>
      </w:r>
      <w:r w:rsidRPr="00AA4A0F">
        <w:rPr>
          <w:rFonts w:ascii="Arial" w:eastAsia="Times New Roman" w:hAnsi="Arial" w:cs="Arial"/>
          <w:lang w:eastAsia="cs-CZ"/>
        </w:rPr>
        <w:t xml:space="preserve"> % domácí podnikatelské zdroje.</w:t>
      </w:r>
      <w:r w:rsidR="00AA4A0F" w:rsidRPr="00AA4A0F">
        <w:rPr>
          <w:rFonts w:ascii="Arial" w:eastAsia="Times New Roman" w:hAnsi="Arial" w:cs="Arial"/>
          <w:lang w:eastAsia="cs-CZ"/>
        </w:rPr>
        <w:t xml:space="preserve"> I v případě vládního sektoru, podobně jako u vysokoškolského, došlo meziročně k nárůstu podílu podnikatelských zdrojů přibližně o 0,5 %.</w:t>
      </w:r>
      <w:r w:rsidR="00AA4A0F">
        <w:rPr>
          <w:rFonts w:ascii="Arial" w:eastAsia="Times New Roman" w:hAnsi="Arial" w:cs="Arial"/>
          <w:highlight w:val="yellow"/>
          <w:lang w:eastAsia="cs-CZ"/>
        </w:rPr>
        <w:t xml:space="preserve"> </w:t>
      </w:r>
    </w:p>
    <w:p w:rsidR="000822A0" w:rsidRPr="007E6EC6" w:rsidRDefault="000822A0" w:rsidP="008E7BFB">
      <w:pPr>
        <w:spacing w:after="0" w:line="360" w:lineRule="auto"/>
        <w:ind w:firstLine="708"/>
        <w:jc w:val="both"/>
        <w:rPr>
          <w:rFonts w:ascii="Arial" w:eastAsia="Times New Roman" w:hAnsi="Arial" w:cs="Arial"/>
          <w:highlight w:val="yellow"/>
          <w:lang w:eastAsia="cs-CZ"/>
        </w:rPr>
      </w:pPr>
      <w:r w:rsidRPr="00735C8E">
        <w:rPr>
          <w:rFonts w:ascii="Arial" w:eastAsia="Times New Roman" w:hAnsi="Arial" w:cs="Arial"/>
          <w:lang w:eastAsia="cs-CZ"/>
        </w:rPr>
        <w:t>V mezinárodním srovnání je patrná nevyváženost mezi prostředky směřujícími od podniků k veřejným subjektům a financemi poskytovanými podnikům ze státního rozpočtu</w:t>
      </w:r>
      <w:r w:rsidR="000B10EB" w:rsidRPr="00735C8E">
        <w:rPr>
          <w:rFonts w:ascii="Arial" w:eastAsia="Times New Roman" w:hAnsi="Arial" w:cs="Arial"/>
          <w:lang w:eastAsia="cs-CZ"/>
        </w:rPr>
        <w:t>. Nízký podíl soukromých prostředků pro veřejný (vysokoškolský a vládní) sektor pravděpodobně svědčí o</w:t>
      </w:r>
      <w:r w:rsidR="00271B9E" w:rsidRPr="00735C8E">
        <w:rPr>
          <w:rFonts w:ascii="Arial" w:eastAsia="Times New Roman" w:hAnsi="Arial" w:cs="Arial"/>
          <w:lang w:eastAsia="cs-CZ"/>
        </w:rPr>
        <w:t> </w:t>
      </w:r>
      <w:r w:rsidRPr="00735C8E">
        <w:rPr>
          <w:rFonts w:ascii="Arial" w:eastAsia="Times New Roman" w:hAnsi="Arial" w:cs="Arial"/>
          <w:lang w:eastAsia="cs-CZ"/>
        </w:rPr>
        <w:t xml:space="preserve">nedostatečně fungující spolupráci mezi podnikatelským a veřejným sektorem při provádění </w:t>
      </w:r>
      <w:proofErr w:type="spellStart"/>
      <w:r w:rsidRPr="00735C8E">
        <w:rPr>
          <w:rFonts w:ascii="Arial" w:eastAsia="Times New Roman" w:hAnsi="Arial" w:cs="Arial"/>
          <w:lang w:eastAsia="cs-CZ"/>
        </w:rPr>
        <w:t>VaVaI</w:t>
      </w:r>
      <w:proofErr w:type="spellEnd"/>
      <w:r w:rsidRPr="00735C8E">
        <w:rPr>
          <w:rFonts w:ascii="Arial" w:eastAsia="Times New Roman" w:hAnsi="Arial" w:cs="Arial"/>
          <w:lang w:eastAsia="cs-CZ"/>
        </w:rPr>
        <w:t>.</w:t>
      </w:r>
      <w:r w:rsidR="000B10EB" w:rsidRPr="00735C8E">
        <w:rPr>
          <w:rFonts w:ascii="Arial" w:eastAsia="Times New Roman" w:hAnsi="Arial" w:cs="Arial"/>
          <w:lang w:eastAsia="cs-CZ"/>
        </w:rPr>
        <w:t xml:space="preserve"> Oba sektory mají výrazně odlišné představy o spoluprác</w:t>
      </w:r>
      <w:r w:rsidR="00FA686C" w:rsidRPr="00735C8E">
        <w:rPr>
          <w:rFonts w:ascii="Arial" w:eastAsia="Times New Roman" w:hAnsi="Arial" w:cs="Arial"/>
          <w:lang w:eastAsia="cs-CZ"/>
        </w:rPr>
        <w:t>i</w:t>
      </w:r>
      <w:r w:rsidR="000B10EB" w:rsidRPr="00735C8E">
        <w:rPr>
          <w:rFonts w:ascii="Arial" w:eastAsia="Times New Roman" w:hAnsi="Arial" w:cs="Arial"/>
          <w:lang w:eastAsia="cs-CZ"/>
        </w:rPr>
        <w:t xml:space="preserve">. Veřejný sektor </w:t>
      </w:r>
      <w:r w:rsidR="00FA686C" w:rsidRPr="00735C8E">
        <w:rPr>
          <w:rFonts w:ascii="Arial" w:eastAsia="Times New Roman" w:hAnsi="Arial" w:cs="Arial"/>
          <w:lang w:eastAsia="cs-CZ"/>
        </w:rPr>
        <w:t xml:space="preserve">má snahu sám </w:t>
      </w:r>
      <w:r w:rsidR="00FA686C" w:rsidRPr="00735C8E">
        <w:rPr>
          <w:rFonts w:ascii="Arial" w:eastAsia="Times New Roman" w:hAnsi="Arial" w:cs="Arial"/>
          <w:lang w:eastAsia="cs-CZ"/>
        </w:rPr>
        <w:lastRenderedPageBreak/>
        <w:t>definovat cíle a výsledky spolupráce</w:t>
      </w:r>
      <w:r w:rsidR="000B10EB" w:rsidRPr="00735C8E">
        <w:rPr>
          <w:rFonts w:ascii="Arial" w:eastAsia="Times New Roman" w:hAnsi="Arial" w:cs="Arial"/>
          <w:lang w:eastAsia="cs-CZ"/>
        </w:rPr>
        <w:t xml:space="preserve"> </w:t>
      </w:r>
      <w:r w:rsidR="00FA686C" w:rsidRPr="00735C8E">
        <w:rPr>
          <w:rFonts w:ascii="Arial" w:eastAsia="Times New Roman" w:hAnsi="Arial" w:cs="Arial"/>
          <w:lang w:eastAsia="cs-CZ"/>
        </w:rPr>
        <w:t>s ohledem na rozvoj vědního oboru</w:t>
      </w:r>
      <w:r w:rsidR="000B10EB" w:rsidRPr="00735C8E">
        <w:rPr>
          <w:rFonts w:ascii="Arial" w:eastAsia="Times New Roman" w:hAnsi="Arial" w:cs="Arial"/>
          <w:lang w:eastAsia="cs-CZ"/>
        </w:rPr>
        <w:t xml:space="preserve">, zatímco podnikatelský sektor cílí spíše na </w:t>
      </w:r>
      <w:r w:rsidR="00FA686C" w:rsidRPr="00735C8E">
        <w:rPr>
          <w:rFonts w:ascii="Arial" w:eastAsia="Times New Roman" w:hAnsi="Arial" w:cs="Arial"/>
          <w:lang w:eastAsia="cs-CZ"/>
        </w:rPr>
        <w:t xml:space="preserve">konkrétní ekonomický efekt a </w:t>
      </w:r>
      <w:r w:rsidR="000B10EB" w:rsidRPr="00735C8E">
        <w:rPr>
          <w:rFonts w:ascii="Arial" w:eastAsia="Times New Roman" w:hAnsi="Arial" w:cs="Arial"/>
          <w:lang w:eastAsia="cs-CZ"/>
        </w:rPr>
        <w:t xml:space="preserve">rychlost </w:t>
      </w:r>
      <w:r w:rsidR="00FA686C" w:rsidRPr="00735C8E">
        <w:rPr>
          <w:rFonts w:ascii="Arial" w:eastAsia="Times New Roman" w:hAnsi="Arial" w:cs="Arial"/>
          <w:lang w:eastAsia="cs-CZ"/>
        </w:rPr>
        <w:t>jeho dosažení</w:t>
      </w:r>
      <w:r w:rsidR="000B10EB" w:rsidRPr="00735C8E">
        <w:rPr>
          <w:rFonts w:ascii="Arial" w:eastAsia="Times New Roman" w:hAnsi="Arial" w:cs="Arial"/>
          <w:lang w:eastAsia="cs-CZ"/>
        </w:rPr>
        <w:t>. Příčinou neúčinné spolupráce může být také skutečnost, že podnikatelský sektor je ve svých výzkumných potřebách saturován z veřejných zdrojů.</w:t>
      </w:r>
      <w:r w:rsidR="000B10EB" w:rsidRPr="007E6EC6">
        <w:rPr>
          <w:rFonts w:ascii="Arial" w:eastAsia="Times New Roman" w:hAnsi="Arial" w:cs="Arial"/>
          <w:highlight w:val="yellow"/>
          <w:lang w:eastAsia="cs-CZ"/>
        </w:rPr>
        <w:t xml:space="preserve"> </w:t>
      </w:r>
    </w:p>
    <w:p w:rsidR="000822A0" w:rsidRPr="007E6EC6" w:rsidRDefault="000822A0" w:rsidP="00D72475">
      <w:pPr>
        <w:spacing w:after="0" w:line="360" w:lineRule="auto"/>
        <w:ind w:firstLine="709"/>
        <w:jc w:val="both"/>
        <w:rPr>
          <w:rFonts w:ascii="Arial" w:eastAsia="Times New Roman" w:hAnsi="Arial" w:cs="Arial"/>
          <w:highlight w:val="yellow"/>
          <w:lang w:eastAsia="cs-CZ"/>
        </w:rPr>
      </w:pPr>
      <w:r w:rsidRPr="00465F3A">
        <w:rPr>
          <w:rFonts w:ascii="Arial" w:eastAsia="Times New Roman" w:hAnsi="Arial" w:cs="Arial"/>
          <w:lang w:eastAsia="cs-CZ"/>
        </w:rPr>
        <w:t>Pokud jde o podíl domácích podnikatelských zdrojů poskytnutých veřejnému vysokoškolskému sektoru (obr</w:t>
      </w:r>
      <w:r w:rsidR="00D36A6E" w:rsidRPr="00465F3A">
        <w:rPr>
          <w:rFonts w:ascii="Arial" w:eastAsia="Times New Roman" w:hAnsi="Arial" w:cs="Arial"/>
          <w:lang w:eastAsia="cs-CZ"/>
        </w:rPr>
        <w:t>ázek</w:t>
      </w:r>
      <w:r w:rsidRPr="00465F3A">
        <w:rPr>
          <w:rFonts w:ascii="Arial" w:eastAsia="Times New Roman" w:hAnsi="Arial" w:cs="Arial"/>
          <w:lang w:eastAsia="cs-CZ"/>
        </w:rPr>
        <w:t xml:space="preserve"> </w:t>
      </w:r>
      <w:r w:rsidR="003F5D8D" w:rsidRPr="00465F3A">
        <w:rPr>
          <w:rFonts w:ascii="Arial" w:eastAsia="Times New Roman" w:hAnsi="Arial" w:cs="Arial"/>
          <w:lang w:eastAsia="cs-CZ"/>
        </w:rPr>
        <w:t>1.</w:t>
      </w:r>
      <w:r w:rsidR="00735C8E" w:rsidRPr="00465F3A">
        <w:rPr>
          <w:rFonts w:ascii="Arial" w:eastAsia="Times New Roman" w:hAnsi="Arial" w:cs="Arial"/>
          <w:lang w:eastAsia="cs-CZ"/>
        </w:rPr>
        <w:t>7</w:t>
      </w:r>
      <w:r w:rsidRPr="00465F3A">
        <w:rPr>
          <w:rFonts w:ascii="Arial" w:eastAsia="Times New Roman" w:hAnsi="Arial" w:cs="Arial"/>
          <w:lang w:eastAsia="cs-CZ"/>
        </w:rPr>
        <w:t xml:space="preserve">), je v ČR </w:t>
      </w:r>
      <w:r w:rsidR="00735C8E" w:rsidRPr="00465F3A">
        <w:rPr>
          <w:rFonts w:ascii="Arial" w:eastAsia="Times New Roman" w:hAnsi="Arial" w:cs="Arial"/>
          <w:lang w:eastAsia="cs-CZ"/>
        </w:rPr>
        <w:t xml:space="preserve">z dlouhodobého pohledu </w:t>
      </w:r>
      <w:r w:rsidRPr="00465F3A">
        <w:rPr>
          <w:rFonts w:ascii="Arial" w:eastAsia="Times New Roman" w:hAnsi="Arial" w:cs="Arial"/>
          <w:lang w:eastAsia="cs-CZ"/>
        </w:rPr>
        <w:t>nejmenší ze všech zemí EU. Trend tohot</w:t>
      </w:r>
      <w:r w:rsidR="00735C8E" w:rsidRPr="00465F3A">
        <w:rPr>
          <w:rFonts w:ascii="Arial" w:eastAsia="Times New Roman" w:hAnsi="Arial" w:cs="Arial"/>
          <w:lang w:eastAsia="cs-CZ"/>
        </w:rPr>
        <w:t>o ukazatele v období 2000 – 2014</w:t>
      </w:r>
      <w:r w:rsidRPr="00465F3A">
        <w:rPr>
          <w:rFonts w:ascii="Arial" w:eastAsia="Times New Roman" w:hAnsi="Arial" w:cs="Arial"/>
          <w:lang w:eastAsia="cs-CZ"/>
        </w:rPr>
        <w:t xml:space="preserve"> je v ČR setrvalý s mírnými výkyvy v rozmezí 0,6 – 1,1 %, </w:t>
      </w:r>
      <w:r w:rsidR="004E69B8" w:rsidRPr="00465F3A">
        <w:rPr>
          <w:rFonts w:ascii="Arial" w:eastAsia="Times New Roman" w:hAnsi="Arial" w:cs="Arial"/>
          <w:lang w:eastAsia="cs-CZ"/>
        </w:rPr>
        <w:t xml:space="preserve">teprve v posledních dvou letech je patrný </w:t>
      </w:r>
      <w:r w:rsidRPr="00465F3A">
        <w:rPr>
          <w:rFonts w:ascii="Arial" w:eastAsia="Times New Roman" w:hAnsi="Arial" w:cs="Arial"/>
          <w:lang w:eastAsia="cs-CZ"/>
        </w:rPr>
        <w:t>nárůst</w:t>
      </w:r>
      <w:r w:rsidR="004E69B8" w:rsidRPr="00465F3A">
        <w:rPr>
          <w:rFonts w:ascii="Arial" w:eastAsia="Times New Roman" w:hAnsi="Arial" w:cs="Arial"/>
          <w:lang w:eastAsia="cs-CZ"/>
        </w:rPr>
        <w:t xml:space="preserve"> až na</w:t>
      </w:r>
      <w:r w:rsidRPr="00465F3A">
        <w:rPr>
          <w:rFonts w:ascii="Arial" w:eastAsia="Times New Roman" w:hAnsi="Arial" w:cs="Arial"/>
          <w:lang w:eastAsia="cs-CZ"/>
        </w:rPr>
        <w:t xml:space="preserve"> hodnotu </w:t>
      </w:r>
      <w:r w:rsidR="004E69B8" w:rsidRPr="00465F3A">
        <w:rPr>
          <w:rFonts w:ascii="Arial" w:eastAsia="Times New Roman" w:hAnsi="Arial" w:cs="Arial"/>
          <w:lang w:eastAsia="cs-CZ"/>
        </w:rPr>
        <w:t xml:space="preserve">2,5 % </w:t>
      </w:r>
      <w:r w:rsidRPr="00465F3A">
        <w:rPr>
          <w:rFonts w:ascii="Arial" w:eastAsia="Times New Roman" w:hAnsi="Arial" w:cs="Arial"/>
          <w:lang w:eastAsia="cs-CZ"/>
        </w:rPr>
        <w:t>v roce 201</w:t>
      </w:r>
      <w:r w:rsidR="004E69B8" w:rsidRPr="00465F3A">
        <w:rPr>
          <w:rFonts w:ascii="Arial" w:eastAsia="Times New Roman" w:hAnsi="Arial" w:cs="Arial"/>
          <w:lang w:eastAsia="cs-CZ"/>
        </w:rPr>
        <w:t>4</w:t>
      </w:r>
      <w:r w:rsidRPr="00465F3A">
        <w:rPr>
          <w:rFonts w:ascii="Arial" w:eastAsia="Times New Roman" w:hAnsi="Arial" w:cs="Arial"/>
          <w:lang w:eastAsia="cs-CZ"/>
        </w:rPr>
        <w:t xml:space="preserve">. I tento </w:t>
      </w:r>
      <w:r w:rsidR="004E69B8" w:rsidRPr="00465F3A">
        <w:rPr>
          <w:rFonts w:ascii="Arial" w:eastAsia="Times New Roman" w:hAnsi="Arial" w:cs="Arial"/>
          <w:lang w:eastAsia="cs-CZ"/>
        </w:rPr>
        <w:t>podíl</w:t>
      </w:r>
      <w:r w:rsidRPr="00465F3A">
        <w:rPr>
          <w:rFonts w:ascii="Arial" w:eastAsia="Times New Roman" w:hAnsi="Arial" w:cs="Arial"/>
          <w:lang w:eastAsia="cs-CZ"/>
        </w:rPr>
        <w:t xml:space="preserve"> je však velmi nízký ve srovnání s ostatními státy EU (střední hodnota EU je nad 6 %). </w:t>
      </w:r>
      <w:r w:rsidR="004E69B8" w:rsidRPr="00465F3A">
        <w:rPr>
          <w:rFonts w:ascii="Arial" w:eastAsia="Times New Roman" w:hAnsi="Arial" w:cs="Arial"/>
          <w:lang w:eastAsia="cs-CZ"/>
        </w:rPr>
        <w:t xml:space="preserve">Přestože na základě </w:t>
      </w:r>
      <w:r w:rsidR="00D6317B" w:rsidRPr="00465F3A">
        <w:rPr>
          <w:rFonts w:ascii="Arial" w:eastAsia="Times New Roman" w:hAnsi="Arial" w:cs="Arial"/>
          <w:lang w:eastAsia="cs-CZ"/>
        </w:rPr>
        <w:t xml:space="preserve">trendu </w:t>
      </w:r>
      <w:r w:rsidR="004E69B8" w:rsidRPr="00465F3A">
        <w:rPr>
          <w:rFonts w:ascii="Arial" w:eastAsia="Times New Roman" w:hAnsi="Arial" w:cs="Arial"/>
          <w:lang w:eastAsia="cs-CZ"/>
        </w:rPr>
        <w:t xml:space="preserve">nelze </w:t>
      </w:r>
      <w:r w:rsidRPr="00465F3A">
        <w:rPr>
          <w:rFonts w:ascii="Arial" w:eastAsia="Times New Roman" w:hAnsi="Arial" w:cs="Arial"/>
          <w:lang w:eastAsia="cs-CZ"/>
        </w:rPr>
        <w:t>předpokládat výrazné zlepšení po</w:t>
      </w:r>
      <w:r w:rsidR="0053104B" w:rsidRPr="00465F3A">
        <w:rPr>
          <w:rFonts w:ascii="Arial" w:eastAsia="Times New Roman" w:hAnsi="Arial" w:cs="Arial"/>
          <w:lang w:eastAsia="cs-CZ"/>
        </w:rPr>
        <w:t>zice ČR v následujících letech</w:t>
      </w:r>
      <w:r w:rsidR="004E69B8" w:rsidRPr="00465F3A">
        <w:rPr>
          <w:rFonts w:ascii="Arial" w:eastAsia="Times New Roman" w:hAnsi="Arial" w:cs="Arial"/>
          <w:lang w:eastAsia="cs-CZ"/>
        </w:rPr>
        <w:t>, je možné na základě podrobnějšího rozboru vazeb vzniklých v posledních dvou sledovaných letech iniciovat zlepšení v dlouhodobém horizontu</w:t>
      </w:r>
      <w:r w:rsidR="0053104B" w:rsidRPr="00465F3A">
        <w:rPr>
          <w:rFonts w:ascii="Arial" w:eastAsia="Times New Roman" w:hAnsi="Arial" w:cs="Arial"/>
          <w:lang w:eastAsia="cs-CZ"/>
        </w:rPr>
        <w:t>.</w:t>
      </w:r>
    </w:p>
    <w:p w:rsidR="00D23EB5" w:rsidRPr="007E6EC6" w:rsidRDefault="00D23EB5" w:rsidP="00D23EB5">
      <w:pPr>
        <w:pStyle w:val="Obrzek-nadpis"/>
        <w:rPr>
          <w:highlight w:val="yellow"/>
        </w:rPr>
      </w:pPr>
      <w:r w:rsidRPr="00465F3A">
        <w:t>Obr. 1.</w:t>
      </w:r>
      <w:r w:rsidR="00735C8E" w:rsidRPr="00465F3A">
        <w:t>7</w:t>
      </w:r>
      <w:r w:rsidRPr="00465F3A">
        <w:t xml:space="preserve">: Podíl podnikatelských zdrojů na výdajích na </w:t>
      </w:r>
      <w:proofErr w:type="spellStart"/>
      <w:r w:rsidRPr="00465F3A">
        <w:t>VaVaI</w:t>
      </w:r>
      <w:proofErr w:type="spellEnd"/>
      <w:r w:rsidRPr="00465F3A">
        <w:t xml:space="preserve"> ve vysokoškolském sektoru (HERD) </w:t>
      </w:r>
      <w:r w:rsidR="00465F3A" w:rsidRPr="00465F3A">
        <w:t xml:space="preserve">v letech 200 – 2014 </w:t>
      </w:r>
      <w:r w:rsidRPr="00465F3A">
        <w:t>v zemích EU a OECD (v %)</w:t>
      </w:r>
    </w:p>
    <w:p w:rsidR="00D23EB5" w:rsidRPr="007E6EC6" w:rsidRDefault="00465F3A" w:rsidP="00D23EB5">
      <w:pPr>
        <w:spacing w:after="0" w:line="240" w:lineRule="auto"/>
        <w:jc w:val="center"/>
        <w:rPr>
          <w:rFonts w:ascii="Times New Roman" w:eastAsia="Times New Roman" w:hAnsi="Times New Roman" w:cs="Times New Roman"/>
          <w:i/>
          <w:sz w:val="24"/>
          <w:szCs w:val="24"/>
          <w:highlight w:val="yellow"/>
          <w:lang w:eastAsia="cs-CZ"/>
        </w:rPr>
      </w:pPr>
      <w:r w:rsidRPr="00465F3A">
        <w:rPr>
          <w:noProof/>
          <w:lang w:eastAsia="cs-CZ"/>
        </w:rPr>
        <w:drawing>
          <wp:inline distT="0" distB="0" distL="0" distR="0" wp14:anchorId="5B31EDEA" wp14:editId="258120FF">
            <wp:extent cx="4899804" cy="3522785"/>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00005" cy="3522929"/>
                    </a:xfrm>
                    <a:prstGeom prst="rect">
                      <a:avLst/>
                    </a:prstGeom>
                    <a:noFill/>
                    <a:ln>
                      <a:noFill/>
                    </a:ln>
                  </pic:spPr>
                </pic:pic>
              </a:graphicData>
            </a:graphic>
          </wp:inline>
        </w:drawing>
      </w:r>
    </w:p>
    <w:p w:rsidR="00D23EB5" w:rsidRPr="00B930C2" w:rsidRDefault="00D23EB5" w:rsidP="005F1913">
      <w:pPr>
        <w:pStyle w:val="Zdroj"/>
        <w:spacing w:before="0"/>
      </w:pPr>
      <w:r w:rsidRPr="00B930C2">
        <w:t xml:space="preserve">Zdroj dat: OECD – </w:t>
      </w:r>
      <w:proofErr w:type="spellStart"/>
      <w:r w:rsidRPr="00B930C2">
        <w:t>Main</w:t>
      </w:r>
      <w:proofErr w:type="spellEnd"/>
      <w:r w:rsidRPr="00B930C2">
        <w:t xml:space="preserve"> Science and Technology </w:t>
      </w:r>
      <w:proofErr w:type="spellStart"/>
      <w:r w:rsidRPr="00B930C2">
        <w:t>Indicators</w:t>
      </w:r>
      <w:proofErr w:type="spellEnd"/>
    </w:p>
    <w:p w:rsidR="00D23EB5" w:rsidRPr="00B930C2" w:rsidRDefault="00D23EB5" w:rsidP="00D23EB5">
      <w:pPr>
        <w:pStyle w:val="komentzaobrzkem"/>
      </w:pPr>
      <w:r w:rsidRPr="00B930C2">
        <w:t>Horizontální osa: střední hodnota (medián) za období 2000 – 201</w:t>
      </w:r>
      <w:r w:rsidR="00B930C2" w:rsidRPr="00B930C2">
        <w:t>4</w:t>
      </w:r>
      <w:r w:rsidRPr="00B930C2">
        <w:t xml:space="preserve"> v %</w:t>
      </w:r>
    </w:p>
    <w:p w:rsidR="00D23EB5" w:rsidRPr="00B930C2" w:rsidRDefault="00D23EB5" w:rsidP="00D23EB5">
      <w:pPr>
        <w:pStyle w:val="komentzaobrzkem"/>
      </w:pPr>
      <w:r w:rsidRPr="00B930C2">
        <w:t>Vertikální osa: intenzita růstu / poklesu v období let 2000 - 201</w:t>
      </w:r>
      <w:r w:rsidR="00B930C2" w:rsidRPr="00B930C2">
        <w:t>4</w:t>
      </w:r>
      <w:r w:rsidRPr="00B930C2">
        <w:t xml:space="preserve"> vyjádřená jako směrnice regresní přímky (kladná hodnota značí rostoucí trend, záporná hodnota klesající)</w:t>
      </w:r>
    </w:p>
    <w:p w:rsidR="00D23EB5" w:rsidRPr="00B930C2" w:rsidRDefault="00D23EB5" w:rsidP="00D23EB5">
      <w:pPr>
        <w:pStyle w:val="komentzaobrzkem"/>
      </w:pPr>
      <w:r w:rsidRPr="00B930C2">
        <w:t>Průsečík os značí teoretickou pozici EU 28.</w:t>
      </w:r>
    </w:p>
    <w:p w:rsidR="00D23EB5" w:rsidRPr="00B930C2" w:rsidRDefault="00D23EB5" w:rsidP="00D23EB5">
      <w:pPr>
        <w:pStyle w:val="komentzaobrzkem"/>
      </w:pPr>
      <w:r w:rsidRPr="00B930C2">
        <w:t>Výřez vpravo dole demonstruje průběh v jednotlivých letech v ČR.</w:t>
      </w:r>
    </w:p>
    <w:p w:rsidR="00D23EB5" w:rsidRPr="00B930C2" w:rsidRDefault="00D23EB5" w:rsidP="00D23EB5">
      <w:pPr>
        <w:pStyle w:val="komentzaobrzkem"/>
      </w:pPr>
      <w:r w:rsidRPr="00B930C2">
        <w:t xml:space="preserve">Součástí podnikatelských zdrojů jsou následující finanční prostředky: </w:t>
      </w:r>
    </w:p>
    <w:p w:rsidR="00D23EB5" w:rsidRPr="00B930C2" w:rsidRDefault="00D23EB5" w:rsidP="00D23EB5">
      <w:pPr>
        <w:pStyle w:val="komentzaobrzkem-odrky"/>
      </w:pPr>
      <w:r w:rsidRPr="00B930C2">
        <w:t>příjmy z prodeje služeb výzkumu a vývoje (výzkum pro potřeby podniků),</w:t>
      </w:r>
    </w:p>
    <w:p w:rsidR="00D23EB5" w:rsidRPr="00B930C2" w:rsidRDefault="00D23EB5" w:rsidP="00D23EB5">
      <w:pPr>
        <w:pStyle w:val="komentzaobrzkem-odrky"/>
      </w:pPr>
      <w:r w:rsidRPr="00B930C2">
        <w:t>příjmy z licenčních poplatků (např. za patenty, know-how),</w:t>
      </w:r>
    </w:p>
    <w:p w:rsidR="00D23EB5" w:rsidRPr="00B930C2" w:rsidRDefault="00D23EB5" w:rsidP="00BF5EAF">
      <w:pPr>
        <w:pStyle w:val="komentzaobrzkem-odrky"/>
        <w:spacing w:after="240"/>
      </w:pPr>
      <w:r w:rsidRPr="00B930C2">
        <w:t>ostatní příjmy (např. pronájem budov a zařízení, tržby z prodeje majetku, placené kurzy, konzultace a</w:t>
      </w:r>
      <w:r w:rsidR="00BF5EAF" w:rsidRPr="00B930C2">
        <w:t> </w:t>
      </w:r>
      <w:r w:rsidRPr="00B930C2">
        <w:t>poradenství, finanční dary).</w:t>
      </w:r>
    </w:p>
    <w:p w:rsidR="00604316" w:rsidRDefault="000822A0" w:rsidP="006B4254">
      <w:pPr>
        <w:spacing w:after="0" w:line="360" w:lineRule="auto"/>
        <w:ind w:firstLine="708"/>
        <w:jc w:val="both"/>
        <w:rPr>
          <w:rFonts w:ascii="Arial" w:eastAsia="Times New Roman" w:hAnsi="Arial" w:cs="Arial"/>
          <w:lang w:eastAsia="cs-CZ"/>
        </w:rPr>
      </w:pPr>
      <w:r w:rsidRPr="00B930C2">
        <w:rPr>
          <w:rFonts w:ascii="Arial" w:eastAsia="Times New Roman" w:hAnsi="Arial" w:cs="Arial"/>
          <w:lang w:eastAsia="cs-CZ"/>
        </w:rPr>
        <w:lastRenderedPageBreak/>
        <w:t>Podíl domácích podnikatelských zdrojů poskytnutých vládnímu sektoru není tak kriticky nízký, jako v případě vysokoškolského sektoru (obr</w:t>
      </w:r>
      <w:r w:rsidR="00D36A6E" w:rsidRPr="00B930C2">
        <w:rPr>
          <w:rFonts w:ascii="Arial" w:eastAsia="Times New Roman" w:hAnsi="Arial" w:cs="Arial"/>
          <w:lang w:eastAsia="cs-CZ"/>
        </w:rPr>
        <w:t>ázek</w:t>
      </w:r>
      <w:r w:rsidRPr="00B930C2">
        <w:rPr>
          <w:rFonts w:ascii="Arial" w:eastAsia="Times New Roman" w:hAnsi="Arial" w:cs="Arial"/>
          <w:lang w:eastAsia="cs-CZ"/>
        </w:rPr>
        <w:t xml:space="preserve"> </w:t>
      </w:r>
      <w:r w:rsidR="003F5D8D" w:rsidRPr="00B930C2">
        <w:rPr>
          <w:rFonts w:ascii="Arial" w:eastAsia="Times New Roman" w:hAnsi="Arial" w:cs="Arial"/>
          <w:lang w:eastAsia="cs-CZ"/>
        </w:rPr>
        <w:t>1.</w:t>
      </w:r>
      <w:r w:rsidR="00B930C2" w:rsidRPr="00B930C2">
        <w:rPr>
          <w:rFonts w:ascii="Arial" w:eastAsia="Times New Roman" w:hAnsi="Arial" w:cs="Arial"/>
          <w:lang w:eastAsia="cs-CZ"/>
        </w:rPr>
        <w:t>8</w:t>
      </w:r>
      <w:r w:rsidRPr="00B930C2">
        <w:rPr>
          <w:rFonts w:ascii="Arial" w:eastAsia="Times New Roman" w:hAnsi="Arial" w:cs="Arial"/>
          <w:lang w:eastAsia="cs-CZ"/>
        </w:rPr>
        <w:t>). I v tomto ukazateli však ČR s hodnotou 6,5 % dlouhodobě zaostává za střední hodnotou členských států EU (8 %).</w:t>
      </w:r>
      <w:r w:rsidRPr="007E6EC6">
        <w:rPr>
          <w:rFonts w:ascii="Arial" w:eastAsia="Times New Roman" w:hAnsi="Arial" w:cs="Arial"/>
          <w:highlight w:val="yellow"/>
          <w:lang w:eastAsia="cs-CZ"/>
        </w:rPr>
        <w:t xml:space="preserve"> </w:t>
      </w:r>
      <w:r w:rsidRPr="00604316">
        <w:rPr>
          <w:rFonts w:ascii="Arial" w:eastAsia="Times New Roman" w:hAnsi="Arial" w:cs="Arial"/>
          <w:lang w:eastAsia="cs-CZ"/>
        </w:rPr>
        <w:t>Na</w:t>
      </w:r>
      <w:r w:rsidR="00271B9E" w:rsidRPr="00604316">
        <w:rPr>
          <w:rFonts w:ascii="Arial" w:eastAsia="Times New Roman" w:hAnsi="Arial" w:cs="Arial"/>
          <w:lang w:eastAsia="cs-CZ"/>
        </w:rPr>
        <w:t> </w:t>
      </w:r>
      <w:r w:rsidRPr="00604316">
        <w:rPr>
          <w:rFonts w:ascii="Arial" w:eastAsia="Times New Roman" w:hAnsi="Arial" w:cs="Arial"/>
          <w:lang w:eastAsia="cs-CZ"/>
        </w:rPr>
        <w:t>srovnatelné úrovni jako v ČR se nachází podpora vládního sektoru z podnikatelských zdrojů ve</w:t>
      </w:r>
      <w:r w:rsidR="00271B9E" w:rsidRPr="00604316">
        <w:rPr>
          <w:rFonts w:ascii="Arial" w:eastAsia="Times New Roman" w:hAnsi="Arial" w:cs="Arial"/>
          <w:lang w:eastAsia="cs-CZ"/>
        </w:rPr>
        <w:t> </w:t>
      </w:r>
      <w:r w:rsidRPr="00604316">
        <w:rPr>
          <w:rFonts w:ascii="Arial" w:eastAsia="Times New Roman" w:hAnsi="Arial" w:cs="Arial"/>
          <w:lang w:eastAsia="cs-CZ"/>
        </w:rPr>
        <w:t>Francii, Rakousku a Španělsku. Na rozdíl od uvedených zemí</w:t>
      </w:r>
      <w:r w:rsidR="00271B9E" w:rsidRPr="00604316">
        <w:rPr>
          <w:rFonts w:ascii="Arial" w:eastAsia="Times New Roman" w:hAnsi="Arial" w:cs="Arial"/>
          <w:lang w:eastAsia="cs-CZ"/>
        </w:rPr>
        <w:t xml:space="preserve"> však ČR vykázala v období 200</w:t>
      </w:r>
      <w:r w:rsidR="00B930C2" w:rsidRPr="00604316">
        <w:rPr>
          <w:rFonts w:ascii="Arial" w:eastAsia="Times New Roman" w:hAnsi="Arial" w:cs="Arial"/>
          <w:lang w:eastAsia="cs-CZ"/>
        </w:rPr>
        <w:t>0</w:t>
      </w:r>
      <w:r w:rsidR="00271B9E" w:rsidRPr="00604316">
        <w:rPr>
          <w:rFonts w:ascii="Arial" w:eastAsia="Times New Roman" w:hAnsi="Arial" w:cs="Arial"/>
          <w:lang w:eastAsia="cs-CZ"/>
        </w:rPr>
        <w:t> </w:t>
      </w:r>
      <w:r w:rsidRPr="00604316">
        <w:rPr>
          <w:rFonts w:ascii="Arial" w:eastAsia="Times New Roman" w:hAnsi="Arial" w:cs="Arial"/>
          <w:lang w:eastAsia="cs-CZ"/>
        </w:rPr>
        <w:t>–</w:t>
      </w:r>
      <w:r w:rsidR="00271B9E" w:rsidRPr="00604316">
        <w:rPr>
          <w:rFonts w:ascii="Arial" w:eastAsia="Times New Roman" w:hAnsi="Arial" w:cs="Arial"/>
          <w:lang w:eastAsia="cs-CZ"/>
        </w:rPr>
        <w:t> </w:t>
      </w:r>
      <w:r w:rsidRPr="00604316">
        <w:rPr>
          <w:rFonts w:ascii="Arial" w:eastAsia="Times New Roman" w:hAnsi="Arial" w:cs="Arial"/>
          <w:lang w:eastAsia="cs-CZ"/>
        </w:rPr>
        <w:t>201</w:t>
      </w:r>
      <w:r w:rsidR="00B930C2" w:rsidRPr="00604316">
        <w:rPr>
          <w:rFonts w:ascii="Arial" w:eastAsia="Times New Roman" w:hAnsi="Arial" w:cs="Arial"/>
          <w:lang w:eastAsia="cs-CZ"/>
        </w:rPr>
        <w:t>4</w:t>
      </w:r>
      <w:r w:rsidRPr="00604316">
        <w:rPr>
          <w:rFonts w:ascii="Arial" w:eastAsia="Times New Roman" w:hAnsi="Arial" w:cs="Arial"/>
          <w:lang w:eastAsia="cs-CZ"/>
        </w:rPr>
        <w:t xml:space="preserve"> klesající trend (z </w:t>
      </w:r>
      <w:r w:rsidR="00B930C2" w:rsidRPr="00604316">
        <w:rPr>
          <w:rFonts w:ascii="Arial" w:eastAsia="Times New Roman" w:hAnsi="Arial" w:cs="Arial"/>
          <w:lang w:eastAsia="cs-CZ"/>
        </w:rPr>
        <w:t>9,5</w:t>
      </w:r>
      <w:r w:rsidRPr="00604316">
        <w:rPr>
          <w:rFonts w:ascii="Arial" w:eastAsia="Times New Roman" w:hAnsi="Arial" w:cs="Arial"/>
          <w:lang w:eastAsia="cs-CZ"/>
        </w:rPr>
        <w:t xml:space="preserve"> % na 3</w:t>
      </w:r>
      <w:r w:rsidR="00B930C2" w:rsidRPr="00604316">
        <w:rPr>
          <w:rFonts w:ascii="Arial" w:eastAsia="Times New Roman" w:hAnsi="Arial" w:cs="Arial"/>
          <w:lang w:eastAsia="cs-CZ"/>
        </w:rPr>
        <w:t>,5</w:t>
      </w:r>
      <w:r w:rsidRPr="00604316">
        <w:rPr>
          <w:rFonts w:ascii="Arial" w:eastAsia="Times New Roman" w:hAnsi="Arial" w:cs="Arial"/>
          <w:lang w:eastAsia="cs-CZ"/>
        </w:rPr>
        <w:t xml:space="preserve"> %), jehož intenzita je třetí nejvýraznější v EU. Bez strategického zásahu na národní úrovni nelze v nejbližších letech očekávat zlepšení situace.</w:t>
      </w:r>
    </w:p>
    <w:p w:rsidR="00604316" w:rsidRPr="007E6EC6" w:rsidRDefault="00604316" w:rsidP="00604316">
      <w:pPr>
        <w:pStyle w:val="Obrzek-nadpis"/>
        <w:rPr>
          <w:highlight w:val="yellow"/>
        </w:rPr>
      </w:pPr>
      <w:r w:rsidRPr="00604316">
        <w:t xml:space="preserve">Obr. 1.8: Podíl podnikatelských zdrojů na výdajích na </w:t>
      </w:r>
      <w:proofErr w:type="spellStart"/>
      <w:r w:rsidRPr="00604316">
        <w:t>VaVaI</w:t>
      </w:r>
      <w:proofErr w:type="spellEnd"/>
      <w:r w:rsidRPr="00604316">
        <w:t xml:space="preserve"> ve vládním sektoru (GOVERD) v letech 2000 – 2014 v zemích EU a OECD (v %)</w:t>
      </w:r>
    </w:p>
    <w:p w:rsidR="00604316" w:rsidRPr="007E6EC6" w:rsidRDefault="00604316" w:rsidP="00604316">
      <w:pPr>
        <w:spacing w:after="0" w:line="240" w:lineRule="auto"/>
        <w:ind w:left="1410" w:hanging="1410"/>
        <w:jc w:val="center"/>
        <w:rPr>
          <w:rFonts w:ascii="Times New Roman" w:eastAsia="Times New Roman" w:hAnsi="Times New Roman" w:cs="Times New Roman"/>
          <w:b/>
          <w:sz w:val="24"/>
          <w:szCs w:val="24"/>
          <w:highlight w:val="yellow"/>
          <w:lang w:eastAsia="cs-CZ"/>
        </w:rPr>
      </w:pPr>
      <w:r w:rsidRPr="00604316">
        <w:rPr>
          <w:noProof/>
          <w:lang w:eastAsia="cs-CZ"/>
        </w:rPr>
        <w:drawing>
          <wp:inline distT="0" distB="0" distL="0" distR="0" wp14:anchorId="65DB9B32" wp14:editId="34DDAEB9">
            <wp:extent cx="4572000" cy="3144973"/>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104" cy="3145045"/>
                    </a:xfrm>
                    <a:prstGeom prst="rect">
                      <a:avLst/>
                    </a:prstGeom>
                    <a:noFill/>
                    <a:ln>
                      <a:noFill/>
                    </a:ln>
                  </pic:spPr>
                </pic:pic>
              </a:graphicData>
            </a:graphic>
          </wp:inline>
        </w:drawing>
      </w:r>
    </w:p>
    <w:p w:rsidR="00604316" w:rsidRPr="00604316" w:rsidRDefault="00604316" w:rsidP="00604316">
      <w:pPr>
        <w:pStyle w:val="Zdroj"/>
      </w:pPr>
      <w:r w:rsidRPr="00604316">
        <w:t xml:space="preserve">Zdroj dat: OECD – </w:t>
      </w:r>
      <w:proofErr w:type="spellStart"/>
      <w:r w:rsidRPr="00604316">
        <w:t>Main</w:t>
      </w:r>
      <w:proofErr w:type="spellEnd"/>
      <w:r w:rsidRPr="00604316">
        <w:t xml:space="preserve"> Science and Technology </w:t>
      </w:r>
      <w:proofErr w:type="spellStart"/>
      <w:r w:rsidRPr="00604316">
        <w:t>Indicators</w:t>
      </w:r>
      <w:proofErr w:type="spellEnd"/>
    </w:p>
    <w:p w:rsidR="00604316" w:rsidRPr="00604316" w:rsidRDefault="00604316" w:rsidP="00604316">
      <w:pPr>
        <w:pStyle w:val="komentzaobrzkem"/>
      </w:pPr>
      <w:r w:rsidRPr="00604316">
        <w:t>Horizontální osa: střední hodnota (medián) za období 2000 – 2014 v %</w:t>
      </w:r>
    </w:p>
    <w:p w:rsidR="00604316" w:rsidRPr="00604316" w:rsidRDefault="00604316" w:rsidP="00604316">
      <w:pPr>
        <w:pStyle w:val="komentzaobrzkem"/>
      </w:pPr>
      <w:r w:rsidRPr="00604316">
        <w:t>Vertikální osa: intenzita růstu / poklesu v období let 2000 - 2014 vyjádřená jako směrnice regresní přímky (kladná hodnota značí rostoucí trend, záporná hodnota klesající)</w:t>
      </w:r>
    </w:p>
    <w:p w:rsidR="00604316" w:rsidRPr="00604316" w:rsidRDefault="00604316" w:rsidP="00604316">
      <w:pPr>
        <w:pStyle w:val="komentzaobrzkem"/>
      </w:pPr>
      <w:r w:rsidRPr="00604316">
        <w:t>Průsečík os značí teoretickou pozici EU 28.</w:t>
      </w:r>
    </w:p>
    <w:p w:rsidR="00604316" w:rsidRPr="00604316" w:rsidRDefault="00604316" w:rsidP="00604316">
      <w:pPr>
        <w:pStyle w:val="komentzaobrzkem"/>
      </w:pPr>
      <w:r w:rsidRPr="00604316">
        <w:t>Výřez vpravo nahoře demonstruje průběh v jednotlivých letech v ČR.</w:t>
      </w:r>
    </w:p>
    <w:p w:rsidR="00604316" w:rsidRPr="00604316" w:rsidRDefault="00604316" w:rsidP="00604316">
      <w:pPr>
        <w:pStyle w:val="komentzaobrzkem"/>
      </w:pPr>
      <w:r w:rsidRPr="00604316">
        <w:t xml:space="preserve">Součástí podnikatelských zdrojů jsou následující finanční prostředky: </w:t>
      </w:r>
    </w:p>
    <w:p w:rsidR="00604316" w:rsidRPr="00604316" w:rsidRDefault="00604316" w:rsidP="00604316">
      <w:pPr>
        <w:pStyle w:val="komentzaobrzkem-odrky"/>
      </w:pPr>
      <w:r w:rsidRPr="00604316">
        <w:t>příjmy z prodeje služeb výzkumu a vývoje (výzkum pro potřeby podniků),</w:t>
      </w:r>
    </w:p>
    <w:p w:rsidR="00604316" w:rsidRPr="00604316" w:rsidRDefault="00604316" w:rsidP="00604316">
      <w:pPr>
        <w:pStyle w:val="komentzaobrzkem-odrky"/>
      </w:pPr>
      <w:r w:rsidRPr="00604316">
        <w:t>příjmy z licenčních poplatků (např. za patenty, know-how),</w:t>
      </w:r>
    </w:p>
    <w:p w:rsidR="00604316" w:rsidRPr="00604316" w:rsidRDefault="00604316" w:rsidP="00604316">
      <w:pPr>
        <w:pStyle w:val="komentzaobrzkem-odrky"/>
      </w:pPr>
      <w:r w:rsidRPr="00604316">
        <w:t>ostatní příjmy (např. pronájem budov a zařízení, tržby z prodeje majetku, placené kurzy, konzultace a poradenství, finanční dary).</w:t>
      </w:r>
    </w:p>
    <w:p w:rsidR="00604316" w:rsidRPr="00604316" w:rsidRDefault="00604316" w:rsidP="00604316">
      <w:pPr>
        <w:pStyle w:val="komentzaobrzkem-odrky"/>
        <w:numPr>
          <w:ilvl w:val="0"/>
          <w:numId w:val="0"/>
        </w:numPr>
        <w:ind w:left="1980"/>
      </w:pPr>
    </w:p>
    <w:p w:rsidR="00BF5EAF" w:rsidRPr="007E6EC6" w:rsidRDefault="00257DF1" w:rsidP="006B4254">
      <w:pPr>
        <w:spacing w:after="0" w:line="360" w:lineRule="auto"/>
        <w:ind w:firstLine="708"/>
        <w:jc w:val="both"/>
        <w:rPr>
          <w:rFonts w:ascii="Arial" w:eastAsia="Times New Roman" w:hAnsi="Arial" w:cs="Arial"/>
          <w:highlight w:val="yellow"/>
          <w:lang w:eastAsia="cs-CZ"/>
        </w:rPr>
      </w:pPr>
      <w:r w:rsidRPr="00A07D1D">
        <w:rPr>
          <w:rFonts w:ascii="Arial" w:eastAsia="Times New Roman" w:hAnsi="Arial" w:cs="Arial"/>
          <w:lang w:eastAsia="cs-CZ"/>
        </w:rPr>
        <w:t>P</w:t>
      </w:r>
      <w:r w:rsidR="000822A0" w:rsidRPr="00A07D1D">
        <w:rPr>
          <w:rFonts w:ascii="Arial" w:eastAsia="Times New Roman" w:hAnsi="Arial" w:cs="Arial"/>
          <w:lang w:eastAsia="cs-CZ"/>
        </w:rPr>
        <w:t>odíl financí podnikatelského sektoru pocházejících ze státního rozpočtu (obr</w:t>
      </w:r>
      <w:r w:rsidR="00D36A6E" w:rsidRPr="00A07D1D">
        <w:rPr>
          <w:rFonts w:ascii="Arial" w:eastAsia="Times New Roman" w:hAnsi="Arial" w:cs="Arial"/>
          <w:lang w:eastAsia="cs-CZ"/>
        </w:rPr>
        <w:t>ázek</w:t>
      </w:r>
      <w:r w:rsidR="000822A0" w:rsidRPr="00A07D1D">
        <w:rPr>
          <w:rFonts w:ascii="Arial" w:eastAsia="Times New Roman" w:hAnsi="Arial" w:cs="Arial"/>
          <w:lang w:eastAsia="cs-CZ"/>
        </w:rPr>
        <w:t xml:space="preserve"> </w:t>
      </w:r>
      <w:r w:rsidR="003F5D8D" w:rsidRPr="00A07D1D">
        <w:rPr>
          <w:rFonts w:ascii="Arial" w:eastAsia="Times New Roman" w:hAnsi="Arial" w:cs="Arial"/>
          <w:lang w:eastAsia="cs-CZ"/>
        </w:rPr>
        <w:t>1.</w:t>
      </w:r>
      <w:r w:rsidR="00A07D1D" w:rsidRPr="00A07D1D">
        <w:rPr>
          <w:rFonts w:ascii="Arial" w:eastAsia="Times New Roman" w:hAnsi="Arial" w:cs="Arial"/>
          <w:lang w:eastAsia="cs-CZ"/>
        </w:rPr>
        <w:t>9</w:t>
      </w:r>
      <w:r w:rsidR="000822A0" w:rsidRPr="00A07D1D">
        <w:rPr>
          <w:rFonts w:ascii="Arial" w:eastAsia="Times New Roman" w:hAnsi="Arial" w:cs="Arial"/>
          <w:lang w:eastAsia="cs-CZ"/>
        </w:rPr>
        <w:t xml:space="preserve">) je </w:t>
      </w:r>
      <w:r w:rsidR="00210083" w:rsidRPr="00A07D1D">
        <w:rPr>
          <w:rFonts w:ascii="Arial" w:eastAsia="Times New Roman" w:hAnsi="Arial" w:cs="Arial"/>
          <w:lang w:eastAsia="cs-CZ"/>
        </w:rPr>
        <w:t xml:space="preserve">z dlouhodobého pohledu </w:t>
      </w:r>
      <w:r w:rsidR="000822A0" w:rsidRPr="00A07D1D">
        <w:rPr>
          <w:rFonts w:ascii="Arial" w:eastAsia="Times New Roman" w:hAnsi="Arial" w:cs="Arial"/>
          <w:lang w:eastAsia="cs-CZ"/>
        </w:rPr>
        <w:t xml:space="preserve">v ČR </w:t>
      </w:r>
      <w:r w:rsidRPr="00A07D1D">
        <w:rPr>
          <w:rFonts w:ascii="Arial" w:eastAsia="Times New Roman" w:hAnsi="Arial" w:cs="Arial"/>
          <w:lang w:eastAsia="cs-CZ"/>
        </w:rPr>
        <w:t xml:space="preserve">naopak </w:t>
      </w:r>
      <w:r w:rsidR="000822A0" w:rsidRPr="00A07D1D">
        <w:rPr>
          <w:rFonts w:ascii="Arial" w:eastAsia="Times New Roman" w:hAnsi="Arial" w:cs="Arial"/>
          <w:lang w:eastAsia="cs-CZ"/>
        </w:rPr>
        <w:t xml:space="preserve">nejvyšší </w:t>
      </w:r>
      <w:r w:rsidR="00210083" w:rsidRPr="00A07D1D">
        <w:rPr>
          <w:rFonts w:ascii="Arial" w:eastAsia="Times New Roman" w:hAnsi="Arial" w:cs="Arial"/>
          <w:lang w:eastAsia="cs-CZ"/>
        </w:rPr>
        <w:t>v zemích EU</w:t>
      </w:r>
      <w:r w:rsidR="000822A0" w:rsidRPr="00A07D1D">
        <w:rPr>
          <w:rFonts w:ascii="Arial" w:eastAsia="Times New Roman" w:hAnsi="Arial" w:cs="Arial"/>
          <w:lang w:eastAsia="cs-CZ"/>
        </w:rPr>
        <w:t>. Na rozdíl od Slovenska, Francie, Itálie nebo Polska, což jsou země přesahující v horizontu let 2000 – 201</w:t>
      </w:r>
      <w:r w:rsidR="00A07D1D" w:rsidRPr="00A07D1D">
        <w:rPr>
          <w:rFonts w:ascii="Arial" w:eastAsia="Times New Roman" w:hAnsi="Arial" w:cs="Arial"/>
          <w:lang w:eastAsia="cs-CZ"/>
        </w:rPr>
        <w:t>4</w:t>
      </w:r>
      <w:r w:rsidR="000822A0" w:rsidRPr="00A07D1D">
        <w:rPr>
          <w:rFonts w:ascii="Arial" w:eastAsia="Times New Roman" w:hAnsi="Arial" w:cs="Arial"/>
          <w:lang w:eastAsia="cs-CZ"/>
        </w:rPr>
        <w:t xml:space="preserve"> hodnotu 10 %, </w:t>
      </w:r>
      <w:r w:rsidRPr="00A07D1D">
        <w:rPr>
          <w:rFonts w:ascii="Arial" w:eastAsia="Times New Roman" w:hAnsi="Arial" w:cs="Arial"/>
          <w:lang w:eastAsia="cs-CZ"/>
        </w:rPr>
        <w:t xml:space="preserve">přestože u nich </w:t>
      </w:r>
      <w:r w:rsidR="000822A0" w:rsidRPr="00A07D1D">
        <w:rPr>
          <w:rFonts w:ascii="Arial" w:eastAsia="Times New Roman" w:hAnsi="Arial" w:cs="Arial"/>
          <w:lang w:eastAsia="cs-CZ"/>
        </w:rPr>
        <w:t xml:space="preserve">dochází k výraznému poklesu, </w:t>
      </w:r>
      <w:r w:rsidRPr="00A07D1D">
        <w:rPr>
          <w:rFonts w:ascii="Arial" w:eastAsia="Times New Roman" w:hAnsi="Arial" w:cs="Arial"/>
          <w:lang w:eastAsia="cs-CZ"/>
        </w:rPr>
        <w:t xml:space="preserve">vykazoval </w:t>
      </w:r>
      <w:r w:rsidR="000822A0" w:rsidRPr="00A07D1D">
        <w:rPr>
          <w:rFonts w:ascii="Arial" w:eastAsia="Times New Roman" w:hAnsi="Arial" w:cs="Arial"/>
          <w:lang w:eastAsia="cs-CZ"/>
        </w:rPr>
        <w:t xml:space="preserve">v ČR uvedený podíl vyrovnaný trend. Podrobnější pohled na průběh </w:t>
      </w:r>
      <w:r w:rsidRPr="00A07D1D">
        <w:rPr>
          <w:rFonts w:ascii="Arial" w:eastAsia="Times New Roman" w:hAnsi="Arial" w:cs="Arial"/>
          <w:lang w:eastAsia="cs-CZ"/>
        </w:rPr>
        <w:t xml:space="preserve">vývoje </w:t>
      </w:r>
      <w:r w:rsidR="000822A0" w:rsidRPr="00A07D1D">
        <w:rPr>
          <w:rFonts w:ascii="Arial" w:eastAsia="Times New Roman" w:hAnsi="Arial" w:cs="Arial"/>
          <w:lang w:eastAsia="cs-CZ"/>
        </w:rPr>
        <w:t>v ČR indikuje od počátku období mírný nárůst</w:t>
      </w:r>
      <w:r w:rsidR="00A07D1D" w:rsidRPr="00A07D1D">
        <w:rPr>
          <w:rFonts w:ascii="Arial" w:eastAsia="Times New Roman" w:hAnsi="Arial" w:cs="Arial"/>
          <w:lang w:eastAsia="cs-CZ"/>
        </w:rPr>
        <w:t>,</w:t>
      </w:r>
      <w:r w:rsidR="000822A0" w:rsidRPr="00A07D1D">
        <w:rPr>
          <w:rFonts w:ascii="Arial" w:eastAsia="Times New Roman" w:hAnsi="Arial" w:cs="Arial"/>
          <w:lang w:eastAsia="cs-CZ"/>
        </w:rPr>
        <w:t xml:space="preserve"> s maximem na úrovni 17 % v roce 2009. </w:t>
      </w:r>
      <w:r w:rsidR="00A07D1D" w:rsidRPr="00A07D1D">
        <w:rPr>
          <w:rFonts w:ascii="Arial" w:eastAsia="Times New Roman" w:hAnsi="Arial" w:cs="Arial"/>
          <w:lang w:eastAsia="cs-CZ"/>
        </w:rPr>
        <w:t>V</w:t>
      </w:r>
      <w:r w:rsidR="000822A0" w:rsidRPr="00A07D1D">
        <w:rPr>
          <w:rFonts w:ascii="Arial" w:eastAsia="Times New Roman" w:hAnsi="Arial" w:cs="Arial"/>
          <w:lang w:eastAsia="cs-CZ"/>
        </w:rPr>
        <w:t xml:space="preserve"> posledních čtyřech letech uvedeného období došlo k mírnému poklesu </w:t>
      </w:r>
      <w:r w:rsidR="00A07D1D" w:rsidRPr="00A07D1D">
        <w:rPr>
          <w:rFonts w:ascii="Arial" w:eastAsia="Times New Roman" w:hAnsi="Arial" w:cs="Arial"/>
          <w:lang w:eastAsia="cs-CZ"/>
        </w:rPr>
        <w:t xml:space="preserve">na současných </w:t>
      </w:r>
      <w:r w:rsidR="000822A0" w:rsidRPr="00A07D1D">
        <w:rPr>
          <w:rFonts w:ascii="Arial" w:eastAsia="Times New Roman" w:hAnsi="Arial" w:cs="Arial"/>
          <w:lang w:eastAsia="cs-CZ"/>
        </w:rPr>
        <w:t>1</w:t>
      </w:r>
      <w:r w:rsidR="00A07D1D" w:rsidRPr="00A07D1D">
        <w:rPr>
          <w:rFonts w:ascii="Arial" w:eastAsia="Times New Roman" w:hAnsi="Arial" w:cs="Arial"/>
          <w:lang w:eastAsia="cs-CZ"/>
        </w:rPr>
        <w:t>0</w:t>
      </w:r>
      <w:r w:rsidR="000822A0" w:rsidRPr="00A07D1D">
        <w:rPr>
          <w:rFonts w:ascii="Arial" w:eastAsia="Times New Roman" w:hAnsi="Arial" w:cs="Arial"/>
          <w:lang w:eastAsia="cs-CZ"/>
        </w:rPr>
        <w:t xml:space="preserve"> %. Výše uvedené parametry v ČR indikují </w:t>
      </w:r>
      <w:r w:rsidR="00A07D1D" w:rsidRPr="00A07D1D">
        <w:rPr>
          <w:rFonts w:ascii="Arial" w:eastAsia="Times New Roman" w:hAnsi="Arial" w:cs="Arial"/>
          <w:lang w:eastAsia="cs-CZ"/>
        </w:rPr>
        <w:t>ne</w:t>
      </w:r>
      <w:r w:rsidR="000822A0" w:rsidRPr="00A07D1D">
        <w:rPr>
          <w:rFonts w:ascii="Arial" w:eastAsia="Times New Roman" w:hAnsi="Arial" w:cs="Arial"/>
          <w:lang w:eastAsia="cs-CZ"/>
        </w:rPr>
        <w:t xml:space="preserve">ochotu podniků spolupracovat ve </w:t>
      </w:r>
      <w:proofErr w:type="spellStart"/>
      <w:r w:rsidR="000822A0" w:rsidRPr="00A07D1D">
        <w:rPr>
          <w:rFonts w:ascii="Arial" w:eastAsia="Times New Roman" w:hAnsi="Arial" w:cs="Arial"/>
          <w:lang w:eastAsia="cs-CZ"/>
        </w:rPr>
        <w:t>VaVaI</w:t>
      </w:r>
      <w:proofErr w:type="spellEnd"/>
      <w:r w:rsidR="000822A0" w:rsidRPr="00A07D1D">
        <w:rPr>
          <w:rFonts w:ascii="Arial" w:eastAsia="Times New Roman" w:hAnsi="Arial" w:cs="Arial"/>
          <w:lang w:eastAsia="cs-CZ"/>
        </w:rPr>
        <w:t xml:space="preserve"> s veřejným sektorem, přestože je tato spolupráce podporována ze státního rozpočtu. </w:t>
      </w:r>
      <w:r w:rsidR="000822A0" w:rsidRPr="00A07D1D">
        <w:rPr>
          <w:rFonts w:ascii="Arial" w:eastAsia="Times New Roman" w:hAnsi="Arial" w:cs="Arial"/>
          <w:lang w:eastAsia="cs-CZ"/>
        </w:rPr>
        <w:lastRenderedPageBreak/>
        <w:t>Zatímco podpora podnikatelského sektoru ze</w:t>
      </w:r>
      <w:r w:rsidR="00271B9E" w:rsidRPr="00A07D1D">
        <w:rPr>
          <w:rFonts w:ascii="Arial" w:eastAsia="Times New Roman" w:hAnsi="Arial" w:cs="Arial"/>
          <w:lang w:eastAsia="cs-CZ"/>
        </w:rPr>
        <w:t> </w:t>
      </w:r>
      <w:r w:rsidR="000822A0" w:rsidRPr="00A07D1D">
        <w:rPr>
          <w:rFonts w:ascii="Arial" w:eastAsia="Times New Roman" w:hAnsi="Arial" w:cs="Arial"/>
          <w:lang w:eastAsia="cs-CZ"/>
        </w:rPr>
        <w:t>státního rozpočtu činila v období 2000 – 201</w:t>
      </w:r>
      <w:r w:rsidR="00A07D1D" w:rsidRPr="00A07D1D">
        <w:rPr>
          <w:rFonts w:ascii="Arial" w:eastAsia="Times New Roman" w:hAnsi="Arial" w:cs="Arial"/>
          <w:lang w:eastAsia="cs-CZ"/>
        </w:rPr>
        <w:t>4</w:t>
      </w:r>
      <w:r w:rsidR="000822A0" w:rsidRPr="00A07D1D">
        <w:rPr>
          <w:rFonts w:ascii="Arial" w:eastAsia="Times New Roman" w:hAnsi="Arial" w:cs="Arial"/>
          <w:lang w:eastAsia="cs-CZ"/>
        </w:rPr>
        <w:t xml:space="preserve"> přibližně 15 % objemu prostředků vynaložených podnikatelským sektorem na </w:t>
      </w:r>
      <w:proofErr w:type="spellStart"/>
      <w:r w:rsidR="000822A0" w:rsidRPr="00A07D1D">
        <w:rPr>
          <w:rFonts w:ascii="Arial" w:eastAsia="Times New Roman" w:hAnsi="Arial" w:cs="Arial"/>
          <w:lang w:eastAsia="cs-CZ"/>
        </w:rPr>
        <w:t>VaVaI</w:t>
      </w:r>
      <w:proofErr w:type="spellEnd"/>
      <w:r w:rsidR="000822A0" w:rsidRPr="00A07D1D">
        <w:rPr>
          <w:rFonts w:ascii="Arial" w:eastAsia="Times New Roman" w:hAnsi="Arial" w:cs="Arial"/>
          <w:lang w:eastAsia="cs-CZ"/>
        </w:rPr>
        <w:t xml:space="preserve"> (obr</w:t>
      </w:r>
      <w:r w:rsidR="00D36A6E" w:rsidRPr="00A07D1D">
        <w:rPr>
          <w:rFonts w:ascii="Arial" w:eastAsia="Times New Roman" w:hAnsi="Arial" w:cs="Arial"/>
          <w:lang w:eastAsia="cs-CZ"/>
        </w:rPr>
        <w:t>ázek</w:t>
      </w:r>
      <w:r w:rsidR="000822A0" w:rsidRPr="00A07D1D">
        <w:rPr>
          <w:rFonts w:ascii="Arial" w:eastAsia="Times New Roman" w:hAnsi="Arial" w:cs="Arial"/>
          <w:lang w:eastAsia="cs-CZ"/>
        </w:rPr>
        <w:t xml:space="preserve"> </w:t>
      </w:r>
      <w:r w:rsidR="003F5D8D" w:rsidRPr="00A07D1D">
        <w:rPr>
          <w:rFonts w:ascii="Arial" w:eastAsia="Times New Roman" w:hAnsi="Arial" w:cs="Arial"/>
          <w:lang w:eastAsia="cs-CZ"/>
        </w:rPr>
        <w:t>1.</w:t>
      </w:r>
      <w:r w:rsidR="00A07D1D" w:rsidRPr="00A07D1D">
        <w:rPr>
          <w:rFonts w:ascii="Arial" w:eastAsia="Times New Roman" w:hAnsi="Arial" w:cs="Arial"/>
          <w:lang w:eastAsia="cs-CZ"/>
        </w:rPr>
        <w:t>9</w:t>
      </w:r>
      <w:r w:rsidR="000822A0" w:rsidRPr="00A07D1D">
        <w:rPr>
          <w:rFonts w:ascii="Arial" w:eastAsia="Times New Roman" w:hAnsi="Arial" w:cs="Arial"/>
          <w:lang w:eastAsia="cs-CZ"/>
        </w:rPr>
        <w:t xml:space="preserve">), podniky podpořily veřejný sektor částkou tvořící pouze 1 % </w:t>
      </w:r>
      <w:r w:rsidR="00612C45" w:rsidRPr="00A07D1D">
        <w:rPr>
          <w:rFonts w:ascii="Arial" w:eastAsia="Times New Roman" w:hAnsi="Arial" w:cs="Arial"/>
          <w:lang w:eastAsia="cs-CZ"/>
        </w:rPr>
        <w:t xml:space="preserve">financí </w:t>
      </w:r>
      <w:r w:rsidR="000822A0" w:rsidRPr="00A07D1D">
        <w:rPr>
          <w:rFonts w:ascii="Arial" w:eastAsia="Times New Roman" w:hAnsi="Arial" w:cs="Arial"/>
          <w:lang w:eastAsia="cs-CZ"/>
        </w:rPr>
        <w:t>(u vysokoškolského, obr</w:t>
      </w:r>
      <w:r w:rsidR="00D36A6E" w:rsidRPr="00A07D1D">
        <w:rPr>
          <w:rFonts w:ascii="Arial" w:eastAsia="Times New Roman" w:hAnsi="Arial" w:cs="Arial"/>
          <w:lang w:eastAsia="cs-CZ"/>
        </w:rPr>
        <w:t>ázek</w:t>
      </w:r>
      <w:r w:rsidR="000822A0" w:rsidRPr="00A07D1D">
        <w:rPr>
          <w:rFonts w:ascii="Arial" w:eastAsia="Times New Roman" w:hAnsi="Arial" w:cs="Arial"/>
          <w:lang w:eastAsia="cs-CZ"/>
        </w:rPr>
        <w:t xml:space="preserve"> </w:t>
      </w:r>
      <w:r w:rsidR="003F5D8D" w:rsidRPr="00A07D1D">
        <w:rPr>
          <w:rFonts w:ascii="Arial" w:eastAsia="Times New Roman" w:hAnsi="Arial" w:cs="Arial"/>
          <w:lang w:eastAsia="cs-CZ"/>
        </w:rPr>
        <w:t>1.</w:t>
      </w:r>
      <w:r w:rsidR="00A07D1D" w:rsidRPr="00A07D1D">
        <w:rPr>
          <w:rFonts w:ascii="Arial" w:eastAsia="Times New Roman" w:hAnsi="Arial" w:cs="Arial"/>
          <w:lang w:eastAsia="cs-CZ"/>
        </w:rPr>
        <w:t>7</w:t>
      </w:r>
      <w:r w:rsidR="000822A0" w:rsidRPr="00A07D1D">
        <w:rPr>
          <w:rFonts w:ascii="Arial" w:eastAsia="Times New Roman" w:hAnsi="Arial" w:cs="Arial"/>
          <w:lang w:eastAsia="cs-CZ"/>
        </w:rPr>
        <w:t>) a 6 % (u vládního</w:t>
      </w:r>
      <w:r w:rsidR="00F45410" w:rsidRPr="00A07D1D">
        <w:rPr>
          <w:rStyle w:val="Znakapoznpodarou"/>
          <w:rFonts w:ascii="Arial" w:eastAsia="Times New Roman" w:hAnsi="Arial" w:cs="Arial"/>
          <w:lang w:eastAsia="cs-CZ"/>
        </w:rPr>
        <w:footnoteReference w:id="6"/>
      </w:r>
      <w:r w:rsidR="000822A0" w:rsidRPr="00A07D1D">
        <w:rPr>
          <w:rFonts w:ascii="Arial" w:eastAsia="Times New Roman" w:hAnsi="Arial" w:cs="Arial"/>
          <w:lang w:eastAsia="cs-CZ"/>
        </w:rPr>
        <w:t xml:space="preserve"> sektoru, obr</w:t>
      </w:r>
      <w:r w:rsidR="00D36A6E" w:rsidRPr="00A07D1D">
        <w:rPr>
          <w:rFonts w:ascii="Arial" w:eastAsia="Times New Roman" w:hAnsi="Arial" w:cs="Arial"/>
          <w:lang w:eastAsia="cs-CZ"/>
        </w:rPr>
        <w:t>ázek</w:t>
      </w:r>
      <w:r w:rsidR="000822A0" w:rsidRPr="00A07D1D">
        <w:rPr>
          <w:rFonts w:ascii="Arial" w:eastAsia="Times New Roman" w:hAnsi="Arial" w:cs="Arial"/>
          <w:lang w:eastAsia="cs-CZ"/>
        </w:rPr>
        <w:t xml:space="preserve"> </w:t>
      </w:r>
      <w:r w:rsidR="003F5D8D" w:rsidRPr="00A07D1D">
        <w:rPr>
          <w:rFonts w:ascii="Arial" w:eastAsia="Times New Roman" w:hAnsi="Arial" w:cs="Arial"/>
          <w:lang w:eastAsia="cs-CZ"/>
        </w:rPr>
        <w:t>1.</w:t>
      </w:r>
      <w:r w:rsidR="00A07D1D" w:rsidRPr="00A07D1D">
        <w:rPr>
          <w:rFonts w:ascii="Arial" w:eastAsia="Times New Roman" w:hAnsi="Arial" w:cs="Arial"/>
          <w:lang w:eastAsia="cs-CZ"/>
        </w:rPr>
        <w:t>8</w:t>
      </w:r>
      <w:r w:rsidR="000822A0" w:rsidRPr="00A07D1D">
        <w:rPr>
          <w:rFonts w:ascii="Arial" w:eastAsia="Times New Roman" w:hAnsi="Arial" w:cs="Arial"/>
          <w:lang w:eastAsia="cs-CZ"/>
        </w:rPr>
        <w:t xml:space="preserve">) vynaložených na </w:t>
      </w:r>
      <w:proofErr w:type="spellStart"/>
      <w:r w:rsidR="000822A0" w:rsidRPr="00A07D1D">
        <w:rPr>
          <w:rFonts w:ascii="Arial" w:eastAsia="Times New Roman" w:hAnsi="Arial" w:cs="Arial"/>
          <w:lang w:eastAsia="cs-CZ"/>
        </w:rPr>
        <w:t>VaVaI</w:t>
      </w:r>
      <w:proofErr w:type="spellEnd"/>
      <w:r w:rsidR="000822A0" w:rsidRPr="00A07D1D">
        <w:rPr>
          <w:rFonts w:ascii="Arial" w:eastAsia="Times New Roman" w:hAnsi="Arial" w:cs="Arial"/>
          <w:lang w:eastAsia="cs-CZ"/>
        </w:rPr>
        <w:t xml:space="preserve"> ve veřejném sektoru. Naproti tomu např. v Německu přímá podpora podniků ze státního rozpočtu činila pouze 4,5 % (obr</w:t>
      </w:r>
      <w:r w:rsidR="002122C6" w:rsidRPr="00A07D1D">
        <w:rPr>
          <w:rFonts w:ascii="Arial" w:eastAsia="Times New Roman" w:hAnsi="Arial" w:cs="Arial"/>
          <w:lang w:eastAsia="cs-CZ"/>
        </w:rPr>
        <w:t>ázek</w:t>
      </w:r>
      <w:r w:rsidR="000822A0" w:rsidRPr="00A07D1D">
        <w:rPr>
          <w:rFonts w:ascii="Arial" w:eastAsia="Times New Roman" w:hAnsi="Arial" w:cs="Arial"/>
          <w:lang w:eastAsia="cs-CZ"/>
        </w:rPr>
        <w:t xml:space="preserve"> </w:t>
      </w:r>
      <w:r w:rsidR="002122C6" w:rsidRPr="00A07D1D">
        <w:rPr>
          <w:rFonts w:ascii="Arial" w:eastAsia="Times New Roman" w:hAnsi="Arial" w:cs="Arial"/>
          <w:lang w:eastAsia="cs-CZ"/>
        </w:rPr>
        <w:t>1.</w:t>
      </w:r>
      <w:r w:rsidR="00A07D1D" w:rsidRPr="00A07D1D">
        <w:rPr>
          <w:rFonts w:ascii="Arial" w:eastAsia="Times New Roman" w:hAnsi="Arial" w:cs="Arial"/>
          <w:lang w:eastAsia="cs-CZ"/>
        </w:rPr>
        <w:t>9</w:t>
      </w:r>
      <w:r w:rsidR="000822A0" w:rsidRPr="00A07D1D">
        <w:rPr>
          <w:rFonts w:ascii="Arial" w:eastAsia="Times New Roman" w:hAnsi="Arial" w:cs="Arial"/>
          <w:lang w:eastAsia="cs-CZ"/>
        </w:rPr>
        <w:t>), přičemž podniky podpořily 14 % vysokoškolský sektor (obr</w:t>
      </w:r>
      <w:r w:rsidR="00D36A6E" w:rsidRPr="00A07D1D">
        <w:rPr>
          <w:rFonts w:ascii="Arial" w:eastAsia="Times New Roman" w:hAnsi="Arial" w:cs="Arial"/>
          <w:lang w:eastAsia="cs-CZ"/>
        </w:rPr>
        <w:t>ázek</w:t>
      </w:r>
      <w:r w:rsidR="000822A0" w:rsidRPr="00A07D1D">
        <w:rPr>
          <w:rFonts w:ascii="Arial" w:eastAsia="Times New Roman" w:hAnsi="Arial" w:cs="Arial"/>
          <w:lang w:eastAsia="cs-CZ"/>
        </w:rPr>
        <w:t xml:space="preserve"> </w:t>
      </w:r>
      <w:r w:rsidR="003F5D8D" w:rsidRPr="00A07D1D">
        <w:rPr>
          <w:rFonts w:ascii="Arial" w:eastAsia="Times New Roman" w:hAnsi="Arial" w:cs="Arial"/>
          <w:lang w:eastAsia="cs-CZ"/>
        </w:rPr>
        <w:t>1.</w:t>
      </w:r>
      <w:r w:rsidR="00A07D1D" w:rsidRPr="00A07D1D">
        <w:rPr>
          <w:rFonts w:ascii="Arial" w:eastAsia="Times New Roman" w:hAnsi="Arial" w:cs="Arial"/>
          <w:lang w:eastAsia="cs-CZ"/>
        </w:rPr>
        <w:t>7</w:t>
      </w:r>
      <w:r w:rsidR="000822A0" w:rsidRPr="00A07D1D">
        <w:rPr>
          <w:rFonts w:ascii="Arial" w:eastAsia="Times New Roman" w:hAnsi="Arial" w:cs="Arial"/>
          <w:lang w:eastAsia="cs-CZ"/>
        </w:rPr>
        <w:t>) a 9 % vládní sektor (obr</w:t>
      </w:r>
      <w:r w:rsidR="00D36A6E" w:rsidRPr="00A07D1D">
        <w:rPr>
          <w:rFonts w:ascii="Arial" w:eastAsia="Times New Roman" w:hAnsi="Arial" w:cs="Arial"/>
          <w:lang w:eastAsia="cs-CZ"/>
        </w:rPr>
        <w:t>ázek</w:t>
      </w:r>
      <w:r w:rsidR="000822A0" w:rsidRPr="00A07D1D">
        <w:rPr>
          <w:rFonts w:ascii="Arial" w:eastAsia="Times New Roman" w:hAnsi="Arial" w:cs="Arial"/>
          <w:lang w:eastAsia="cs-CZ"/>
        </w:rPr>
        <w:t xml:space="preserve"> </w:t>
      </w:r>
      <w:r w:rsidR="003F5D8D" w:rsidRPr="00A07D1D">
        <w:rPr>
          <w:rFonts w:ascii="Arial" w:eastAsia="Times New Roman" w:hAnsi="Arial" w:cs="Arial"/>
          <w:lang w:eastAsia="cs-CZ"/>
        </w:rPr>
        <w:t>1.</w:t>
      </w:r>
      <w:r w:rsidR="00A07D1D" w:rsidRPr="00A07D1D">
        <w:rPr>
          <w:rFonts w:ascii="Arial" w:eastAsia="Times New Roman" w:hAnsi="Arial" w:cs="Arial"/>
          <w:lang w:eastAsia="cs-CZ"/>
        </w:rPr>
        <w:t>8</w:t>
      </w:r>
      <w:r w:rsidR="000822A0" w:rsidRPr="00A07D1D">
        <w:rPr>
          <w:rFonts w:ascii="Arial" w:eastAsia="Times New Roman" w:hAnsi="Arial" w:cs="Arial"/>
          <w:lang w:eastAsia="cs-CZ"/>
        </w:rPr>
        <w:t xml:space="preserve">). Efekt motivace není v ČR zjevně naplněn, protože iniciační fáze spolupráce financovaná ze státního rozpočtu </w:t>
      </w:r>
      <w:r w:rsidR="009E6F86">
        <w:rPr>
          <w:rFonts w:ascii="Arial" w:eastAsia="Times New Roman" w:hAnsi="Arial" w:cs="Arial"/>
          <w:lang w:eastAsia="cs-CZ"/>
        </w:rPr>
        <w:t xml:space="preserve">dosud dostatečně </w:t>
      </w:r>
      <w:r w:rsidR="000822A0" w:rsidRPr="00A07D1D">
        <w:rPr>
          <w:rFonts w:ascii="Arial" w:eastAsia="Times New Roman" w:hAnsi="Arial" w:cs="Arial"/>
          <w:lang w:eastAsia="cs-CZ"/>
        </w:rPr>
        <w:t xml:space="preserve">nezvýšila důvěru podnikatelského sektoru vůči veřejnému, </w:t>
      </w:r>
      <w:r w:rsidR="00612C45" w:rsidRPr="00A07D1D">
        <w:rPr>
          <w:rFonts w:ascii="Arial" w:eastAsia="Times New Roman" w:hAnsi="Arial" w:cs="Arial"/>
          <w:lang w:eastAsia="cs-CZ"/>
        </w:rPr>
        <w:t xml:space="preserve">jež </w:t>
      </w:r>
      <w:r w:rsidR="000822A0" w:rsidRPr="00A07D1D">
        <w:rPr>
          <w:rFonts w:ascii="Arial" w:eastAsia="Times New Roman" w:hAnsi="Arial" w:cs="Arial"/>
          <w:lang w:eastAsia="cs-CZ"/>
        </w:rPr>
        <w:t xml:space="preserve">by se projevila </w:t>
      </w:r>
      <w:r w:rsidR="009E6F86">
        <w:rPr>
          <w:rFonts w:ascii="Arial" w:eastAsia="Times New Roman" w:hAnsi="Arial" w:cs="Arial"/>
          <w:lang w:eastAsia="cs-CZ"/>
        </w:rPr>
        <w:t xml:space="preserve">zásadním </w:t>
      </w:r>
      <w:r w:rsidR="000822A0" w:rsidRPr="00A07D1D">
        <w:rPr>
          <w:rFonts w:ascii="Arial" w:eastAsia="Times New Roman" w:hAnsi="Arial" w:cs="Arial"/>
          <w:lang w:eastAsia="cs-CZ"/>
        </w:rPr>
        <w:t>navýšením podnikatelského kapitálu ve veřejném výzkumu.</w:t>
      </w:r>
      <w:r w:rsidR="00612C45" w:rsidRPr="007E6EC6">
        <w:rPr>
          <w:rFonts w:ascii="Arial" w:eastAsia="Times New Roman" w:hAnsi="Arial" w:cs="Arial"/>
          <w:highlight w:val="yellow"/>
          <w:lang w:eastAsia="cs-CZ"/>
        </w:rPr>
        <w:t xml:space="preserve"> </w:t>
      </w:r>
    </w:p>
    <w:p w:rsidR="00BF5EAF" w:rsidRPr="007E6EC6" w:rsidRDefault="00BF5EAF" w:rsidP="00BF5EAF">
      <w:pPr>
        <w:pStyle w:val="Obrzek-nadpis"/>
        <w:rPr>
          <w:highlight w:val="yellow"/>
        </w:rPr>
      </w:pPr>
      <w:r w:rsidRPr="00A07D1D">
        <w:t>Obr. 1.</w:t>
      </w:r>
      <w:r w:rsidR="009E6F86">
        <w:t>9</w:t>
      </w:r>
      <w:r w:rsidRPr="00A07D1D">
        <w:t xml:space="preserve">: Podíl finančních prostředků ze SR na celkových výdajích na </w:t>
      </w:r>
      <w:proofErr w:type="spellStart"/>
      <w:r w:rsidRPr="00A07D1D">
        <w:t>VaVaI</w:t>
      </w:r>
      <w:proofErr w:type="spellEnd"/>
      <w:r w:rsidRPr="00A07D1D">
        <w:t xml:space="preserve"> v podnikatelském sektoru (BERD) </w:t>
      </w:r>
      <w:r w:rsidR="00A07D1D" w:rsidRPr="00A07D1D">
        <w:t xml:space="preserve">v letech 2000 – 2014 </w:t>
      </w:r>
      <w:r w:rsidRPr="00A07D1D">
        <w:t>v zemích EU a OECD (v %)</w:t>
      </w:r>
    </w:p>
    <w:p w:rsidR="00BF5EAF" w:rsidRPr="007E6EC6" w:rsidRDefault="00A07D1D" w:rsidP="00BF5EAF">
      <w:pPr>
        <w:spacing w:after="240" w:line="240" w:lineRule="auto"/>
        <w:jc w:val="center"/>
        <w:rPr>
          <w:rFonts w:ascii="Times New Roman" w:eastAsia="Times New Roman" w:hAnsi="Times New Roman" w:cs="Times New Roman"/>
          <w:b/>
          <w:sz w:val="24"/>
          <w:szCs w:val="24"/>
          <w:highlight w:val="yellow"/>
          <w:lang w:eastAsia="cs-CZ"/>
        </w:rPr>
      </w:pPr>
      <w:r w:rsidRPr="00A07D1D">
        <w:rPr>
          <w:noProof/>
          <w:lang w:eastAsia="cs-CZ"/>
        </w:rPr>
        <w:drawing>
          <wp:inline distT="0" distB="0" distL="0" distR="0" wp14:anchorId="3784B5B7" wp14:editId="793C0465">
            <wp:extent cx="4514629" cy="3105509"/>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18746" cy="3108341"/>
                    </a:xfrm>
                    <a:prstGeom prst="rect">
                      <a:avLst/>
                    </a:prstGeom>
                    <a:noFill/>
                    <a:ln>
                      <a:noFill/>
                    </a:ln>
                  </pic:spPr>
                </pic:pic>
              </a:graphicData>
            </a:graphic>
          </wp:inline>
        </w:drawing>
      </w:r>
    </w:p>
    <w:p w:rsidR="00BF5EAF" w:rsidRPr="00A07D1D" w:rsidRDefault="00BF5EAF" w:rsidP="00AC4AFF">
      <w:pPr>
        <w:pStyle w:val="Zdroj"/>
        <w:spacing w:before="0"/>
      </w:pPr>
      <w:r w:rsidRPr="00A07D1D">
        <w:t xml:space="preserve">Zdroj dat: OECD – </w:t>
      </w:r>
      <w:proofErr w:type="spellStart"/>
      <w:r w:rsidRPr="00A07D1D">
        <w:t>Main</w:t>
      </w:r>
      <w:proofErr w:type="spellEnd"/>
      <w:r w:rsidRPr="00A07D1D">
        <w:t xml:space="preserve"> Science and Technology </w:t>
      </w:r>
      <w:proofErr w:type="spellStart"/>
      <w:r w:rsidRPr="00A07D1D">
        <w:t>Indicators</w:t>
      </w:r>
      <w:proofErr w:type="spellEnd"/>
    </w:p>
    <w:p w:rsidR="00BF5EAF" w:rsidRPr="00A07D1D" w:rsidRDefault="00BF5EAF" w:rsidP="00BF5EAF">
      <w:pPr>
        <w:pStyle w:val="komentzaobrzkem"/>
      </w:pPr>
      <w:r w:rsidRPr="00A07D1D">
        <w:t>Horizontální osa: střední hodnota (medián) za období 2000 - 201</w:t>
      </w:r>
      <w:r w:rsidR="00A07D1D" w:rsidRPr="00A07D1D">
        <w:t>4</w:t>
      </w:r>
    </w:p>
    <w:p w:rsidR="00BF5EAF" w:rsidRPr="00A07D1D" w:rsidRDefault="00BF5EAF" w:rsidP="00BF5EAF">
      <w:pPr>
        <w:pStyle w:val="komentzaobrzkem"/>
      </w:pPr>
      <w:r w:rsidRPr="00A07D1D">
        <w:t>Vertikální osa: intenzita růstu / poklesu v období let 2000 - 201</w:t>
      </w:r>
      <w:r w:rsidR="00A07D1D" w:rsidRPr="00A07D1D">
        <w:t>4</w:t>
      </w:r>
      <w:r w:rsidRPr="00A07D1D">
        <w:t xml:space="preserve"> vyjádřená jako směrnice regresní přímky (kladná hodnota značí rostoucí trend, záporná hodnota klesající)</w:t>
      </w:r>
    </w:p>
    <w:p w:rsidR="00BF5EAF" w:rsidRPr="00A07D1D" w:rsidRDefault="00BF5EAF" w:rsidP="00BF5EAF">
      <w:pPr>
        <w:pStyle w:val="komentzaobrzkem"/>
      </w:pPr>
      <w:r w:rsidRPr="00A07D1D">
        <w:t>Průsečík os značí teoretickou pozici EU 28.</w:t>
      </w:r>
    </w:p>
    <w:p w:rsidR="00BF5EAF" w:rsidRPr="00A07D1D" w:rsidRDefault="00BF5EAF" w:rsidP="00BF5EAF">
      <w:pPr>
        <w:pStyle w:val="komentzaobrzkem"/>
      </w:pPr>
      <w:r w:rsidRPr="00A07D1D">
        <w:t>Výřez vpravo nahoře demonstruje průběh v jednotlivých letech v ČR.</w:t>
      </w:r>
    </w:p>
    <w:p w:rsidR="00BF5EAF" w:rsidRPr="007E6EC6" w:rsidRDefault="00BF5EAF" w:rsidP="00BF5EAF">
      <w:pPr>
        <w:pStyle w:val="komentzaobrzkem"/>
        <w:spacing w:after="240"/>
        <w:rPr>
          <w:highlight w:val="yellow"/>
        </w:rPr>
      </w:pPr>
      <w:r w:rsidRPr="00A07D1D">
        <w:t>Součástí finančních prostředků ze SR jsou prostředky vynaložené na spolufinancování operačních a rámcových programů EU.</w:t>
      </w:r>
    </w:p>
    <w:p w:rsidR="00A07D1D" w:rsidRDefault="000822A0" w:rsidP="006B4254">
      <w:pPr>
        <w:spacing w:after="0" w:line="360" w:lineRule="auto"/>
        <w:ind w:firstLine="708"/>
        <w:jc w:val="both"/>
        <w:rPr>
          <w:rFonts w:ascii="Arial" w:eastAsia="Times New Roman" w:hAnsi="Arial" w:cs="Arial"/>
          <w:lang w:eastAsia="cs-CZ"/>
        </w:rPr>
      </w:pPr>
      <w:r w:rsidRPr="00A07D1D">
        <w:rPr>
          <w:rFonts w:ascii="Arial" w:eastAsia="Times New Roman" w:hAnsi="Arial" w:cs="Arial"/>
          <w:lang w:eastAsia="cs-CZ"/>
        </w:rPr>
        <w:t xml:space="preserve">Výdaje na </w:t>
      </w:r>
      <w:proofErr w:type="spellStart"/>
      <w:r w:rsidRPr="00A07D1D">
        <w:rPr>
          <w:rFonts w:ascii="Arial" w:eastAsia="Times New Roman" w:hAnsi="Arial" w:cs="Arial"/>
          <w:lang w:eastAsia="cs-CZ"/>
        </w:rPr>
        <w:t>VaVaI</w:t>
      </w:r>
      <w:proofErr w:type="spellEnd"/>
      <w:r w:rsidRPr="00A07D1D">
        <w:rPr>
          <w:rFonts w:ascii="Arial" w:eastAsia="Times New Roman" w:hAnsi="Arial" w:cs="Arial"/>
          <w:lang w:eastAsia="cs-CZ"/>
        </w:rPr>
        <w:t xml:space="preserve"> v podnikatelském sektoru, které jsou prezentovány v obr</w:t>
      </w:r>
      <w:r w:rsidR="00D36A6E" w:rsidRPr="00A07D1D">
        <w:rPr>
          <w:rFonts w:ascii="Arial" w:eastAsia="Times New Roman" w:hAnsi="Arial" w:cs="Arial"/>
          <w:lang w:eastAsia="cs-CZ"/>
        </w:rPr>
        <w:t>ázku</w:t>
      </w:r>
      <w:r w:rsidRPr="00A07D1D">
        <w:rPr>
          <w:rFonts w:ascii="Arial" w:eastAsia="Times New Roman" w:hAnsi="Arial" w:cs="Arial"/>
          <w:lang w:eastAsia="cs-CZ"/>
        </w:rPr>
        <w:t xml:space="preserve"> </w:t>
      </w:r>
      <w:r w:rsidR="003F5D8D" w:rsidRPr="00A07D1D">
        <w:rPr>
          <w:rFonts w:ascii="Arial" w:eastAsia="Times New Roman" w:hAnsi="Arial" w:cs="Arial"/>
          <w:lang w:eastAsia="cs-CZ"/>
        </w:rPr>
        <w:t>1.</w:t>
      </w:r>
      <w:r w:rsidRPr="00A07D1D">
        <w:rPr>
          <w:rFonts w:ascii="Arial" w:eastAsia="Times New Roman" w:hAnsi="Arial" w:cs="Arial"/>
          <w:lang w:eastAsia="cs-CZ"/>
        </w:rPr>
        <w:t>7, vycházejí z přímé podpory podnikatelského sektoru, navíc jsou značn</w:t>
      </w:r>
      <w:r w:rsidR="00612C45" w:rsidRPr="00A07D1D">
        <w:rPr>
          <w:rFonts w:ascii="Arial" w:eastAsia="Times New Roman" w:hAnsi="Arial" w:cs="Arial"/>
          <w:lang w:eastAsia="cs-CZ"/>
        </w:rPr>
        <w:t>ě</w:t>
      </w:r>
      <w:r w:rsidRPr="00A07D1D">
        <w:rPr>
          <w:rFonts w:ascii="Arial" w:eastAsia="Times New Roman" w:hAnsi="Arial" w:cs="Arial"/>
          <w:lang w:eastAsia="cs-CZ"/>
        </w:rPr>
        <w:t xml:space="preserve"> zkreslen</w:t>
      </w:r>
      <w:r w:rsidR="00612C45" w:rsidRPr="00A07D1D">
        <w:rPr>
          <w:rFonts w:ascii="Arial" w:eastAsia="Times New Roman" w:hAnsi="Arial" w:cs="Arial"/>
          <w:lang w:eastAsia="cs-CZ"/>
        </w:rPr>
        <w:t>y</w:t>
      </w:r>
      <w:r w:rsidRPr="00A07D1D">
        <w:rPr>
          <w:rFonts w:ascii="Arial" w:eastAsia="Times New Roman" w:hAnsi="Arial" w:cs="Arial"/>
          <w:lang w:eastAsia="cs-CZ"/>
        </w:rPr>
        <w:t xml:space="preserve"> </w:t>
      </w:r>
      <w:r w:rsidR="00A07D1D" w:rsidRPr="00A07D1D">
        <w:rPr>
          <w:rFonts w:ascii="Arial" w:eastAsia="Times New Roman" w:hAnsi="Arial" w:cs="Arial"/>
          <w:lang w:eastAsia="cs-CZ"/>
        </w:rPr>
        <w:t>různorodostí subjektů</w:t>
      </w:r>
      <w:r w:rsidRPr="00A07D1D">
        <w:rPr>
          <w:rFonts w:ascii="Arial" w:eastAsia="Times New Roman" w:hAnsi="Arial" w:cs="Arial"/>
          <w:lang w:eastAsia="cs-CZ"/>
        </w:rPr>
        <w:t xml:space="preserve"> náležející</w:t>
      </w:r>
      <w:r w:rsidR="00A07D1D" w:rsidRPr="00A07D1D">
        <w:rPr>
          <w:rFonts w:ascii="Arial" w:eastAsia="Times New Roman" w:hAnsi="Arial" w:cs="Arial"/>
          <w:lang w:eastAsia="cs-CZ"/>
        </w:rPr>
        <w:t xml:space="preserve">ch </w:t>
      </w:r>
      <w:r w:rsidRPr="00A07D1D">
        <w:rPr>
          <w:rFonts w:ascii="Arial" w:eastAsia="Times New Roman" w:hAnsi="Arial" w:cs="Arial"/>
          <w:lang w:eastAsia="cs-CZ"/>
        </w:rPr>
        <w:t xml:space="preserve">k podnikatelskému sektoru. Výdaje na </w:t>
      </w:r>
      <w:proofErr w:type="spellStart"/>
      <w:r w:rsidRPr="00A07D1D">
        <w:rPr>
          <w:rFonts w:ascii="Arial" w:eastAsia="Times New Roman" w:hAnsi="Arial" w:cs="Arial"/>
          <w:lang w:eastAsia="cs-CZ"/>
        </w:rPr>
        <w:t>VaVaI</w:t>
      </w:r>
      <w:proofErr w:type="spellEnd"/>
      <w:r w:rsidRPr="00A07D1D">
        <w:rPr>
          <w:rFonts w:ascii="Arial" w:eastAsia="Times New Roman" w:hAnsi="Arial" w:cs="Arial"/>
          <w:lang w:eastAsia="cs-CZ"/>
        </w:rPr>
        <w:t xml:space="preserve"> vykázané výrobními podniky, po očištění o veřejné podniky a </w:t>
      </w:r>
      <w:r w:rsidR="009E6F86">
        <w:rPr>
          <w:rFonts w:ascii="Arial" w:eastAsia="Times New Roman" w:hAnsi="Arial" w:cs="Arial"/>
          <w:lang w:eastAsia="cs-CZ"/>
        </w:rPr>
        <w:t xml:space="preserve">podniky působící jako </w:t>
      </w:r>
      <w:r w:rsidRPr="00A07D1D">
        <w:rPr>
          <w:rFonts w:ascii="Arial" w:eastAsia="Times New Roman" w:hAnsi="Arial" w:cs="Arial"/>
          <w:lang w:eastAsia="cs-CZ"/>
        </w:rPr>
        <w:t>výzkumné organizace, jsou ve skutečnosti přibližně o třetinu nižší (viz podrobný rozbor výše).</w:t>
      </w:r>
    </w:p>
    <w:p w:rsidR="000822A0" w:rsidRPr="007E6EC6" w:rsidRDefault="000822A0" w:rsidP="006B4254">
      <w:pPr>
        <w:spacing w:after="0" w:line="360" w:lineRule="auto"/>
        <w:ind w:firstLine="708"/>
        <w:jc w:val="both"/>
        <w:rPr>
          <w:rFonts w:ascii="Arial" w:eastAsia="Times New Roman" w:hAnsi="Arial" w:cs="Arial"/>
          <w:highlight w:val="yellow"/>
          <w:lang w:eastAsia="cs-CZ"/>
        </w:rPr>
      </w:pPr>
      <w:r w:rsidRPr="00A07D1D">
        <w:rPr>
          <w:rFonts w:ascii="Arial" w:eastAsia="Times New Roman" w:hAnsi="Arial" w:cs="Arial"/>
          <w:lang w:eastAsia="cs-CZ"/>
        </w:rPr>
        <w:lastRenderedPageBreak/>
        <w:t xml:space="preserve">Kromě přímé podpory </w:t>
      </w:r>
      <w:proofErr w:type="spellStart"/>
      <w:r w:rsidRPr="00A07D1D">
        <w:rPr>
          <w:rFonts w:ascii="Arial" w:eastAsia="Times New Roman" w:hAnsi="Arial" w:cs="Arial"/>
          <w:lang w:eastAsia="cs-CZ"/>
        </w:rPr>
        <w:t>VaVaI</w:t>
      </w:r>
      <w:proofErr w:type="spellEnd"/>
      <w:r w:rsidRPr="00A07D1D">
        <w:rPr>
          <w:rFonts w:ascii="Arial" w:eastAsia="Times New Roman" w:hAnsi="Arial" w:cs="Arial"/>
          <w:lang w:eastAsia="cs-CZ"/>
        </w:rPr>
        <w:t xml:space="preserve"> ze státního rozpočtu jsou podniky podporovány také nepřímo formou</w:t>
      </w:r>
      <w:r w:rsidR="00612C45" w:rsidRPr="00A07D1D">
        <w:rPr>
          <w:rFonts w:ascii="Arial" w:eastAsia="Times New Roman" w:hAnsi="Arial" w:cs="Arial"/>
          <w:lang w:eastAsia="cs-CZ"/>
        </w:rPr>
        <w:t xml:space="preserve"> položek </w:t>
      </w:r>
      <w:r w:rsidRPr="00A07D1D">
        <w:rPr>
          <w:rFonts w:ascii="Arial" w:eastAsia="Times New Roman" w:hAnsi="Arial" w:cs="Arial"/>
          <w:lang w:eastAsia="cs-CZ"/>
        </w:rPr>
        <w:t>odčitatelných od základu daně z</w:t>
      </w:r>
      <w:r w:rsidR="00271B9E" w:rsidRPr="00A07D1D">
        <w:rPr>
          <w:rFonts w:ascii="Arial" w:eastAsia="Times New Roman" w:hAnsi="Arial" w:cs="Arial"/>
          <w:lang w:eastAsia="cs-CZ"/>
        </w:rPr>
        <w:t> </w:t>
      </w:r>
      <w:r w:rsidRPr="00A07D1D">
        <w:rPr>
          <w:rFonts w:ascii="Arial" w:eastAsia="Times New Roman" w:hAnsi="Arial" w:cs="Arial"/>
          <w:lang w:eastAsia="cs-CZ"/>
        </w:rPr>
        <w:t>příjmů právnických osob</w:t>
      </w:r>
      <w:r w:rsidRPr="00A07D1D">
        <w:rPr>
          <w:rFonts w:ascii="Arial" w:eastAsia="Times New Roman" w:hAnsi="Arial" w:cs="Arial"/>
          <w:vertAlign w:val="superscript"/>
          <w:lang w:eastAsia="cs-CZ"/>
        </w:rPr>
        <w:footnoteReference w:id="7"/>
      </w:r>
      <w:r w:rsidRPr="00A07D1D">
        <w:rPr>
          <w:rFonts w:ascii="Arial" w:eastAsia="Times New Roman" w:hAnsi="Arial" w:cs="Arial"/>
          <w:lang w:eastAsia="cs-CZ"/>
        </w:rPr>
        <w:t xml:space="preserve">. Nepřímá podpora se však nemůže projevit ve výdajích </w:t>
      </w:r>
      <w:r w:rsidR="00A138F2">
        <w:rPr>
          <w:rFonts w:ascii="Arial" w:eastAsia="Times New Roman" w:hAnsi="Arial" w:cs="Arial"/>
          <w:lang w:eastAsia="cs-CZ"/>
        </w:rPr>
        <w:t>v roce vzniku nákladů</w:t>
      </w:r>
      <w:r w:rsidRPr="00A07D1D">
        <w:rPr>
          <w:rFonts w:ascii="Arial" w:eastAsia="Times New Roman" w:hAnsi="Arial" w:cs="Arial"/>
          <w:lang w:eastAsia="cs-CZ"/>
        </w:rPr>
        <w:t>, ale v roce následujícím, kdy se úspora na dani projeví v rozpočtu</w:t>
      </w:r>
      <w:r w:rsidRPr="00527788">
        <w:rPr>
          <w:rFonts w:ascii="Arial" w:eastAsia="Times New Roman" w:hAnsi="Arial" w:cs="Arial"/>
          <w:lang w:eastAsia="cs-CZ"/>
        </w:rPr>
        <w:t xml:space="preserve">. Nepřímá podpora </w:t>
      </w:r>
      <w:proofErr w:type="spellStart"/>
      <w:r w:rsidRPr="00527788">
        <w:rPr>
          <w:rFonts w:ascii="Arial" w:eastAsia="Times New Roman" w:hAnsi="Arial" w:cs="Arial"/>
          <w:lang w:eastAsia="cs-CZ"/>
        </w:rPr>
        <w:t>VaVaI</w:t>
      </w:r>
      <w:proofErr w:type="spellEnd"/>
      <w:r w:rsidR="00612C45" w:rsidRPr="00527788">
        <w:rPr>
          <w:rFonts w:ascii="Arial" w:eastAsia="Times New Roman" w:hAnsi="Arial" w:cs="Arial"/>
          <w:lang w:eastAsia="cs-CZ"/>
        </w:rPr>
        <w:t xml:space="preserve"> </w:t>
      </w:r>
      <w:r w:rsidRPr="00527788">
        <w:rPr>
          <w:rFonts w:ascii="Arial" w:eastAsia="Times New Roman" w:hAnsi="Arial" w:cs="Arial"/>
          <w:lang w:eastAsia="cs-CZ"/>
        </w:rPr>
        <w:t xml:space="preserve">v podnikatelském sektoru v ČR </w:t>
      </w:r>
      <w:r w:rsidR="00612C45" w:rsidRPr="00527788">
        <w:rPr>
          <w:rFonts w:ascii="Arial" w:eastAsia="Times New Roman" w:hAnsi="Arial" w:cs="Arial"/>
          <w:lang w:eastAsia="cs-CZ"/>
        </w:rPr>
        <w:t xml:space="preserve">dosáhla </w:t>
      </w:r>
      <w:r w:rsidR="00A07D1D" w:rsidRPr="00527788">
        <w:rPr>
          <w:rFonts w:ascii="Arial" w:eastAsia="Times New Roman" w:hAnsi="Arial" w:cs="Arial"/>
          <w:lang w:eastAsia="cs-CZ"/>
        </w:rPr>
        <w:t>v roce 2014</w:t>
      </w:r>
      <w:r w:rsidRPr="00527788">
        <w:rPr>
          <w:rFonts w:ascii="Arial" w:eastAsia="Times New Roman" w:hAnsi="Arial" w:cs="Arial"/>
          <w:lang w:eastAsia="cs-CZ"/>
        </w:rPr>
        <w:t xml:space="preserve"> </w:t>
      </w:r>
      <w:r w:rsidR="00612C45" w:rsidRPr="00527788">
        <w:rPr>
          <w:rFonts w:ascii="Arial" w:eastAsia="Times New Roman" w:hAnsi="Arial" w:cs="Arial"/>
          <w:lang w:eastAsia="cs-CZ"/>
        </w:rPr>
        <w:t xml:space="preserve">výše </w:t>
      </w:r>
      <w:r w:rsidRPr="00527788">
        <w:rPr>
          <w:rFonts w:ascii="Arial" w:eastAsia="Times New Roman" w:hAnsi="Arial" w:cs="Arial"/>
          <w:lang w:eastAsia="cs-CZ"/>
        </w:rPr>
        <w:t>2,</w:t>
      </w:r>
      <w:r w:rsidR="00F55574" w:rsidRPr="00527788">
        <w:rPr>
          <w:rFonts w:ascii="Arial" w:eastAsia="Times New Roman" w:hAnsi="Arial" w:cs="Arial"/>
          <w:lang w:eastAsia="cs-CZ"/>
        </w:rPr>
        <w:t>26</w:t>
      </w:r>
      <w:r w:rsidRPr="00527788">
        <w:rPr>
          <w:rFonts w:ascii="Arial" w:eastAsia="Times New Roman" w:hAnsi="Arial" w:cs="Arial"/>
          <w:lang w:eastAsia="cs-CZ"/>
        </w:rPr>
        <w:t xml:space="preserve"> mld. Kč (obr</w:t>
      </w:r>
      <w:r w:rsidR="002122C6" w:rsidRPr="00527788">
        <w:rPr>
          <w:rFonts w:ascii="Arial" w:eastAsia="Times New Roman" w:hAnsi="Arial" w:cs="Arial"/>
          <w:lang w:eastAsia="cs-CZ"/>
        </w:rPr>
        <w:t>ázek</w:t>
      </w:r>
      <w:r w:rsidRPr="00527788">
        <w:rPr>
          <w:rFonts w:ascii="Arial" w:eastAsia="Times New Roman" w:hAnsi="Arial" w:cs="Arial"/>
          <w:lang w:eastAsia="cs-CZ"/>
        </w:rPr>
        <w:t xml:space="preserve"> </w:t>
      </w:r>
      <w:r w:rsidR="003F5D8D" w:rsidRPr="00527788">
        <w:rPr>
          <w:rFonts w:ascii="Arial" w:eastAsia="Times New Roman" w:hAnsi="Arial" w:cs="Arial"/>
          <w:lang w:eastAsia="cs-CZ"/>
        </w:rPr>
        <w:t>1.</w:t>
      </w:r>
      <w:r w:rsidR="00A07D1D" w:rsidRPr="00527788">
        <w:rPr>
          <w:rFonts w:ascii="Arial" w:eastAsia="Times New Roman" w:hAnsi="Arial" w:cs="Arial"/>
          <w:lang w:eastAsia="cs-CZ"/>
        </w:rPr>
        <w:t>10</w:t>
      </w:r>
      <w:r w:rsidRPr="00527788">
        <w:rPr>
          <w:rFonts w:ascii="Arial" w:eastAsia="Times New Roman" w:hAnsi="Arial" w:cs="Arial"/>
          <w:lang w:eastAsia="cs-CZ"/>
        </w:rPr>
        <w:t>)</w:t>
      </w:r>
      <w:r w:rsidR="00C87292" w:rsidRPr="00527788">
        <w:rPr>
          <w:rFonts w:ascii="Arial" w:eastAsia="Times New Roman" w:hAnsi="Arial" w:cs="Arial"/>
          <w:lang w:eastAsia="cs-CZ"/>
        </w:rPr>
        <w:t>, v součtu obou podpor získaly podniky přibližně 5 mld. Kč (po očištění přímé podpory podnikatelského sektoru o</w:t>
      </w:r>
      <w:r w:rsidR="00271B9E" w:rsidRPr="00527788">
        <w:rPr>
          <w:rFonts w:ascii="Arial" w:eastAsia="Times New Roman" w:hAnsi="Arial" w:cs="Arial"/>
          <w:lang w:eastAsia="cs-CZ"/>
        </w:rPr>
        <w:t> </w:t>
      </w:r>
      <w:r w:rsidR="00C87292" w:rsidRPr="00527788">
        <w:rPr>
          <w:rFonts w:ascii="Arial" w:eastAsia="Times New Roman" w:hAnsi="Arial" w:cs="Arial"/>
          <w:lang w:eastAsia="cs-CZ"/>
        </w:rPr>
        <w:t>veřejné podniky a výzkumné organizace)</w:t>
      </w:r>
      <w:r w:rsidRPr="00527788">
        <w:rPr>
          <w:rFonts w:ascii="Arial" w:eastAsia="Times New Roman" w:hAnsi="Arial" w:cs="Arial"/>
          <w:lang w:eastAsia="cs-CZ"/>
        </w:rPr>
        <w:t>. V meziročním srovnání (</w:t>
      </w:r>
      <w:r w:rsidR="00612C45" w:rsidRPr="00527788">
        <w:rPr>
          <w:rFonts w:ascii="Arial" w:eastAsia="Times New Roman" w:hAnsi="Arial" w:cs="Arial"/>
          <w:lang w:eastAsia="cs-CZ"/>
        </w:rPr>
        <w:t xml:space="preserve">data jsou </w:t>
      </w:r>
      <w:r w:rsidRPr="00527788">
        <w:rPr>
          <w:rFonts w:ascii="Arial" w:eastAsia="Times New Roman" w:hAnsi="Arial" w:cs="Arial"/>
          <w:lang w:eastAsia="cs-CZ"/>
        </w:rPr>
        <w:t>dostupná od roku 2007) je patrný rostoucí trend v počtu subjektů, které nepřímou podporu využily</w:t>
      </w:r>
      <w:r w:rsidR="00F55574" w:rsidRPr="00527788">
        <w:rPr>
          <w:rFonts w:ascii="Arial" w:eastAsia="Times New Roman" w:hAnsi="Arial" w:cs="Arial"/>
          <w:lang w:eastAsia="cs-CZ"/>
        </w:rPr>
        <w:t>. Pokud jde o celkovou uspořenou částku, v roce 2014 byl poprvé od zavedení tohoto nástroje zaznamenán meziroční pokles (o 34 mil. Kč). Nelze prokázat, zda se jedná o náhodný výkyv</w:t>
      </w:r>
      <w:r w:rsidRPr="00527788">
        <w:rPr>
          <w:rFonts w:ascii="Arial" w:eastAsia="Times New Roman" w:hAnsi="Arial" w:cs="Arial"/>
          <w:lang w:eastAsia="cs-CZ"/>
        </w:rPr>
        <w:t xml:space="preserve">, </w:t>
      </w:r>
      <w:r w:rsidR="00F55574" w:rsidRPr="00527788">
        <w:rPr>
          <w:rFonts w:ascii="Arial" w:eastAsia="Times New Roman" w:hAnsi="Arial" w:cs="Arial"/>
          <w:lang w:eastAsia="cs-CZ"/>
        </w:rPr>
        <w:t>nebo jde o projev nedůvěry podniků v souvislosti s nejednoznačným a nepředvídatelným přístupem místně příslušných finančních úřadů k posuzování uplatněných nákladů.</w:t>
      </w:r>
      <w:r w:rsidRPr="00527788">
        <w:rPr>
          <w:rFonts w:ascii="Arial" w:eastAsia="Times New Roman" w:hAnsi="Arial" w:cs="Arial"/>
          <w:lang w:eastAsia="cs-CZ"/>
        </w:rPr>
        <w:t xml:space="preserve"> </w:t>
      </w:r>
      <w:r w:rsidR="00845A88">
        <w:rPr>
          <w:rFonts w:ascii="Arial" w:eastAsia="Times New Roman" w:hAnsi="Arial" w:cs="Arial"/>
          <w:lang w:eastAsia="cs-CZ"/>
        </w:rPr>
        <w:t xml:space="preserve">Skutečnost, že není </w:t>
      </w:r>
      <w:r w:rsidR="00845A88" w:rsidRPr="00527788">
        <w:rPr>
          <w:rFonts w:ascii="Arial" w:eastAsia="Times New Roman" w:hAnsi="Arial" w:cs="Arial"/>
          <w:lang w:eastAsia="cs-CZ"/>
        </w:rPr>
        <w:t>zaveden jednotný metodologický rámec pro uznávání nákladů pro odpočet</w:t>
      </w:r>
      <w:r w:rsidR="00845A88">
        <w:rPr>
          <w:rFonts w:ascii="Arial" w:eastAsia="Times New Roman" w:hAnsi="Arial" w:cs="Arial"/>
          <w:lang w:eastAsia="cs-CZ"/>
        </w:rPr>
        <w:t>, zvyšuje</w:t>
      </w:r>
      <w:r w:rsidR="00845A88" w:rsidRPr="00527788">
        <w:rPr>
          <w:rFonts w:ascii="Arial" w:eastAsia="Times New Roman" w:hAnsi="Arial" w:cs="Arial"/>
          <w:lang w:eastAsia="cs-CZ"/>
        </w:rPr>
        <w:t xml:space="preserve"> rizik</w:t>
      </w:r>
      <w:r w:rsidR="00845A88">
        <w:rPr>
          <w:rFonts w:ascii="Arial" w:eastAsia="Times New Roman" w:hAnsi="Arial" w:cs="Arial"/>
          <w:lang w:eastAsia="cs-CZ"/>
        </w:rPr>
        <w:t>o</w:t>
      </w:r>
      <w:r w:rsidR="00845A88" w:rsidRPr="00527788">
        <w:rPr>
          <w:rFonts w:ascii="Arial" w:eastAsia="Times New Roman" w:hAnsi="Arial" w:cs="Arial"/>
          <w:lang w:eastAsia="cs-CZ"/>
        </w:rPr>
        <w:t xml:space="preserve"> zneužití</w:t>
      </w:r>
      <w:r w:rsidR="00845A88">
        <w:rPr>
          <w:rFonts w:ascii="Arial" w:eastAsia="Times New Roman" w:hAnsi="Arial" w:cs="Arial"/>
          <w:lang w:eastAsia="cs-CZ"/>
        </w:rPr>
        <w:t xml:space="preserve"> tohoto druhu podpory</w:t>
      </w:r>
      <w:r w:rsidR="00845A88" w:rsidRPr="00527788">
        <w:rPr>
          <w:rFonts w:ascii="Arial" w:eastAsia="Times New Roman" w:hAnsi="Arial" w:cs="Arial"/>
          <w:lang w:eastAsia="cs-CZ"/>
        </w:rPr>
        <w:t>.</w:t>
      </w:r>
      <w:r w:rsidR="00845A88">
        <w:rPr>
          <w:rFonts w:ascii="Arial" w:eastAsia="Times New Roman" w:hAnsi="Arial" w:cs="Arial"/>
          <w:lang w:eastAsia="cs-CZ"/>
        </w:rPr>
        <w:t xml:space="preserve"> </w:t>
      </w:r>
      <w:r w:rsidR="00F55574" w:rsidRPr="00527788">
        <w:rPr>
          <w:rFonts w:ascii="Arial" w:eastAsia="Times New Roman" w:hAnsi="Arial" w:cs="Arial"/>
          <w:lang w:eastAsia="cs-CZ"/>
        </w:rPr>
        <w:t>Z obrázku 1.10 je dále patrné, že nepřímé</w:t>
      </w:r>
      <w:r w:rsidRPr="00527788">
        <w:rPr>
          <w:rFonts w:ascii="Arial" w:eastAsia="Times New Roman" w:hAnsi="Arial" w:cs="Arial"/>
          <w:lang w:eastAsia="cs-CZ"/>
        </w:rPr>
        <w:t xml:space="preserve"> podpory využívají především velké podniky (</w:t>
      </w:r>
      <w:r w:rsidR="00527788" w:rsidRPr="00527788">
        <w:rPr>
          <w:rFonts w:ascii="Arial" w:eastAsia="Times New Roman" w:hAnsi="Arial" w:cs="Arial"/>
          <w:lang w:eastAsia="cs-CZ"/>
        </w:rPr>
        <w:t>67</w:t>
      </w:r>
      <w:r w:rsidRPr="00527788">
        <w:rPr>
          <w:rFonts w:ascii="Arial" w:eastAsia="Times New Roman" w:hAnsi="Arial" w:cs="Arial"/>
          <w:lang w:eastAsia="cs-CZ"/>
        </w:rPr>
        <w:t xml:space="preserve"> % </w:t>
      </w:r>
      <w:r w:rsidR="00527788" w:rsidRPr="00527788">
        <w:rPr>
          <w:rFonts w:ascii="Arial" w:eastAsia="Times New Roman" w:hAnsi="Arial" w:cs="Arial"/>
          <w:lang w:eastAsia="cs-CZ"/>
        </w:rPr>
        <w:t xml:space="preserve">celkové uspořené částky </w:t>
      </w:r>
      <w:r w:rsidRPr="00527788">
        <w:rPr>
          <w:rFonts w:ascii="Arial" w:eastAsia="Times New Roman" w:hAnsi="Arial" w:cs="Arial"/>
          <w:lang w:eastAsia="cs-CZ"/>
        </w:rPr>
        <w:t>v roce 201</w:t>
      </w:r>
      <w:r w:rsidR="00527788" w:rsidRPr="00527788">
        <w:rPr>
          <w:rFonts w:ascii="Arial" w:eastAsia="Times New Roman" w:hAnsi="Arial" w:cs="Arial"/>
          <w:lang w:eastAsia="cs-CZ"/>
        </w:rPr>
        <w:t>4</w:t>
      </w:r>
      <w:r w:rsidRPr="00527788">
        <w:rPr>
          <w:rFonts w:ascii="Arial" w:eastAsia="Times New Roman" w:hAnsi="Arial" w:cs="Arial"/>
          <w:lang w:eastAsia="cs-CZ"/>
        </w:rPr>
        <w:t>).</w:t>
      </w:r>
      <w:r w:rsidR="00A404BD" w:rsidRPr="00527788">
        <w:rPr>
          <w:rFonts w:ascii="Arial" w:eastAsia="Times New Roman" w:hAnsi="Arial" w:cs="Arial"/>
          <w:lang w:eastAsia="cs-CZ"/>
        </w:rPr>
        <w:t xml:space="preserve"> </w:t>
      </w:r>
    </w:p>
    <w:p w:rsidR="00BF5EAF" w:rsidRPr="007E6EC6" w:rsidRDefault="00BF5EAF" w:rsidP="00BF5EAF">
      <w:pPr>
        <w:pStyle w:val="Obrzek-nadpis"/>
        <w:rPr>
          <w:highlight w:val="yellow"/>
        </w:rPr>
      </w:pPr>
      <w:r w:rsidRPr="00527788">
        <w:t>Obr. 1.</w:t>
      </w:r>
      <w:r w:rsidR="00A07D1D" w:rsidRPr="00527788">
        <w:t>10</w:t>
      </w:r>
      <w:r w:rsidRPr="00527788">
        <w:t xml:space="preserve">: Nepřímá podpora </w:t>
      </w:r>
      <w:proofErr w:type="spellStart"/>
      <w:r w:rsidRPr="00527788">
        <w:t>VaVaI</w:t>
      </w:r>
      <w:proofErr w:type="spellEnd"/>
      <w:r w:rsidRPr="00527788">
        <w:t xml:space="preserve"> v podnikatelském sektoru v ČR v letech 2007 - 201</w:t>
      </w:r>
      <w:r w:rsidR="00845A88">
        <w:t>4</w:t>
      </w:r>
    </w:p>
    <w:p w:rsidR="00BF5EAF" w:rsidRPr="007E6EC6" w:rsidRDefault="00527788" w:rsidP="00BF5EAF">
      <w:pPr>
        <w:spacing w:after="0" w:line="240" w:lineRule="auto"/>
        <w:jc w:val="center"/>
        <w:rPr>
          <w:rFonts w:ascii="Times New Roman" w:eastAsia="Times New Roman" w:hAnsi="Times New Roman" w:cs="Times New Roman"/>
          <w:i/>
          <w:sz w:val="24"/>
          <w:szCs w:val="24"/>
          <w:highlight w:val="yellow"/>
          <w:lang w:eastAsia="cs-CZ"/>
        </w:rPr>
      </w:pPr>
      <w:r w:rsidRPr="00527788">
        <w:rPr>
          <w:noProof/>
          <w:lang w:eastAsia="cs-CZ"/>
        </w:rPr>
        <w:drawing>
          <wp:inline distT="0" distB="0" distL="0" distR="0" wp14:anchorId="0E818B82" wp14:editId="1AD1B499">
            <wp:extent cx="4658265" cy="3200310"/>
            <wp:effectExtent l="0" t="0" r="0" b="63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58442" cy="3200432"/>
                    </a:xfrm>
                    <a:prstGeom prst="rect">
                      <a:avLst/>
                    </a:prstGeom>
                    <a:noFill/>
                    <a:ln>
                      <a:noFill/>
                    </a:ln>
                  </pic:spPr>
                </pic:pic>
              </a:graphicData>
            </a:graphic>
          </wp:inline>
        </w:drawing>
      </w:r>
    </w:p>
    <w:p w:rsidR="00BF5EAF" w:rsidRPr="00527788" w:rsidRDefault="00BF5EAF" w:rsidP="00BF5EAF">
      <w:pPr>
        <w:pStyle w:val="Zdroj"/>
      </w:pPr>
      <w:r w:rsidRPr="00527788">
        <w:t>Zdroj dat: ČSÚ podle administrativních dat GFŘ</w:t>
      </w:r>
    </w:p>
    <w:p w:rsidR="00845A88" w:rsidRDefault="00845A88" w:rsidP="00BF5EAF">
      <w:pPr>
        <w:pStyle w:val="komentzaobrzkem"/>
      </w:pPr>
      <w:r>
        <w:t xml:space="preserve">Horizontální osa: rok uplatnění odečtu výdajů na </w:t>
      </w:r>
      <w:proofErr w:type="spellStart"/>
      <w:r>
        <w:t>VaVaI</w:t>
      </w:r>
      <w:proofErr w:type="spellEnd"/>
    </w:p>
    <w:p w:rsidR="00BF5EAF" w:rsidRPr="00527788" w:rsidRDefault="00BF5EAF" w:rsidP="00BF5EAF">
      <w:pPr>
        <w:pStyle w:val="komentzaobrzkem"/>
      </w:pPr>
      <w:r w:rsidRPr="00527788">
        <w:t xml:space="preserve">Levá vertikální osa: snížení daně z příjmu právnických za osob za prováděný </w:t>
      </w:r>
      <w:proofErr w:type="spellStart"/>
      <w:r w:rsidRPr="00527788">
        <w:t>VaVaI</w:t>
      </w:r>
      <w:proofErr w:type="spellEnd"/>
      <w:r w:rsidRPr="00527788">
        <w:t xml:space="preserve"> v mil. Kč</w:t>
      </w:r>
    </w:p>
    <w:p w:rsidR="00BF5EAF" w:rsidRDefault="00BF5EAF" w:rsidP="00A138F2">
      <w:pPr>
        <w:pStyle w:val="komentzaobrzkem"/>
      </w:pPr>
      <w:r w:rsidRPr="00527788">
        <w:t xml:space="preserve">Pravá </w:t>
      </w:r>
      <w:r w:rsidR="00845A88">
        <w:t>vertikální</w:t>
      </w:r>
      <w:r w:rsidRPr="00527788">
        <w:t xml:space="preserve"> osa: počet subjektů, které uplatnily odečet výdajů na </w:t>
      </w:r>
      <w:proofErr w:type="spellStart"/>
      <w:r w:rsidRPr="00527788">
        <w:t>VaVaI</w:t>
      </w:r>
      <w:proofErr w:type="spellEnd"/>
    </w:p>
    <w:p w:rsidR="00A138F2" w:rsidRDefault="00A138F2" w:rsidP="00A138F2">
      <w:pPr>
        <w:pStyle w:val="komentzaobrzkem"/>
      </w:pPr>
      <w:r>
        <w:t>Časová osa odpovídá rokům uplatnění daňového odpočtu v daňovém přiznání</w:t>
      </w:r>
    </w:p>
    <w:p w:rsidR="00271B9E" w:rsidRPr="007E6EC6" w:rsidRDefault="00271B9E" w:rsidP="00E2654D">
      <w:pPr>
        <w:spacing w:after="0" w:line="360" w:lineRule="auto"/>
        <w:ind w:firstLine="708"/>
        <w:jc w:val="both"/>
        <w:rPr>
          <w:highlight w:val="yellow"/>
        </w:rPr>
      </w:pPr>
      <w:r w:rsidRPr="00527788">
        <w:rPr>
          <w:rFonts w:ascii="Arial" w:eastAsia="Times New Roman" w:hAnsi="Arial" w:cs="Arial"/>
          <w:lang w:eastAsia="cs-CZ"/>
        </w:rPr>
        <w:t xml:space="preserve">Pokud budeme sledovat výdaje </w:t>
      </w:r>
      <w:r w:rsidR="00527788" w:rsidRPr="00527788">
        <w:rPr>
          <w:rFonts w:ascii="Arial" w:eastAsia="Times New Roman" w:hAnsi="Arial" w:cs="Arial"/>
          <w:lang w:eastAsia="cs-CZ"/>
        </w:rPr>
        <w:t xml:space="preserve">podnikatelského sektoru </w:t>
      </w:r>
      <w:r w:rsidRPr="00527788">
        <w:rPr>
          <w:rFonts w:ascii="Arial" w:eastAsia="Times New Roman" w:hAnsi="Arial" w:cs="Arial"/>
          <w:lang w:eastAsia="cs-CZ"/>
        </w:rPr>
        <w:t xml:space="preserve">na </w:t>
      </w:r>
      <w:proofErr w:type="spellStart"/>
      <w:r w:rsidRPr="00527788">
        <w:rPr>
          <w:rFonts w:ascii="Arial" w:eastAsia="Times New Roman" w:hAnsi="Arial" w:cs="Arial"/>
          <w:lang w:eastAsia="cs-CZ"/>
        </w:rPr>
        <w:t>VaVaI</w:t>
      </w:r>
      <w:proofErr w:type="spellEnd"/>
      <w:r w:rsidRPr="00527788">
        <w:rPr>
          <w:rFonts w:ascii="Arial" w:eastAsia="Times New Roman" w:hAnsi="Arial" w:cs="Arial"/>
          <w:lang w:eastAsia="cs-CZ"/>
        </w:rPr>
        <w:t xml:space="preserve"> pocházející přímo ze státního rozpočtu a zároveň tzv. nepřímou podporou </w:t>
      </w:r>
      <w:proofErr w:type="spellStart"/>
      <w:r w:rsidRPr="00527788">
        <w:rPr>
          <w:rFonts w:ascii="Arial" w:eastAsia="Times New Roman" w:hAnsi="Arial" w:cs="Arial"/>
          <w:lang w:eastAsia="cs-CZ"/>
        </w:rPr>
        <w:t>VaVaI</w:t>
      </w:r>
      <w:proofErr w:type="spellEnd"/>
      <w:r w:rsidRPr="00527788">
        <w:rPr>
          <w:rFonts w:ascii="Arial" w:eastAsia="Times New Roman" w:hAnsi="Arial" w:cs="Arial"/>
          <w:lang w:eastAsia="cs-CZ"/>
        </w:rPr>
        <w:t xml:space="preserve"> v podnikatelském sektoru, bude srovnání v mezinárodním měřítku odlišné, než v případě zohlednění jen výdajů pocházejících </w:t>
      </w:r>
      <w:r w:rsidRPr="00527788">
        <w:rPr>
          <w:rFonts w:ascii="Arial" w:eastAsia="Times New Roman" w:hAnsi="Arial" w:cs="Arial"/>
          <w:lang w:eastAsia="cs-CZ"/>
        </w:rPr>
        <w:lastRenderedPageBreak/>
        <w:t>z přímé podpory (obrázek 1.</w:t>
      </w:r>
      <w:r w:rsidR="00527788">
        <w:rPr>
          <w:rFonts w:ascii="Arial" w:eastAsia="Times New Roman" w:hAnsi="Arial" w:cs="Arial"/>
          <w:lang w:eastAsia="cs-CZ"/>
        </w:rPr>
        <w:t>11</w:t>
      </w:r>
      <w:r w:rsidRPr="00527788">
        <w:rPr>
          <w:rFonts w:ascii="Arial" w:eastAsia="Times New Roman" w:hAnsi="Arial" w:cs="Arial"/>
          <w:lang w:eastAsia="cs-CZ"/>
        </w:rPr>
        <w:t xml:space="preserve">). Pro mezinárodní srovnání lze využít pouze omezený počet zemí, které nepřímou podporu </w:t>
      </w:r>
      <w:proofErr w:type="spellStart"/>
      <w:r w:rsidRPr="00527788">
        <w:rPr>
          <w:rFonts w:ascii="Arial" w:eastAsia="Times New Roman" w:hAnsi="Arial" w:cs="Arial"/>
          <w:lang w:eastAsia="cs-CZ"/>
        </w:rPr>
        <w:t>VaVaI</w:t>
      </w:r>
      <w:proofErr w:type="spellEnd"/>
      <w:r w:rsidRPr="00527788">
        <w:rPr>
          <w:rFonts w:ascii="Arial" w:eastAsia="Times New Roman" w:hAnsi="Arial" w:cs="Arial"/>
          <w:lang w:eastAsia="cs-CZ"/>
        </w:rPr>
        <w:t xml:space="preserve"> v podnikatelském sektoru evidují a předávají do mezinárodních databází. Navíc nejsou k dispozici delší časové řady, proto je srovnání provedeno pouze za jeden </w:t>
      </w:r>
      <w:r w:rsidRPr="00420ADA">
        <w:rPr>
          <w:rFonts w:ascii="Arial" w:eastAsia="Times New Roman" w:hAnsi="Arial" w:cs="Arial"/>
          <w:lang w:eastAsia="cs-CZ"/>
        </w:rPr>
        <w:t>rok (201</w:t>
      </w:r>
      <w:r w:rsidR="00527788" w:rsidRPr="00420ADA">
        <w:rPr>
          <w:rFonts w:ascii="Arial" w:eastAsia="Times New Roman" w:hAnsi="Arial" w:cs="Arial"/>
          <w:lang w:eastAsia="cs-CZ"/>
        </w:rPr>
        <w:t>3</w:t>
      </w:r>
      <w:r w:rsidRPr="00420ADA">
        <w:rPr>
          <w:rFonts w:ascii="Arial" w:eastAsia="Times New Roman" w:hAnsi="Arial" w:cs="Arial"/>
          <w:lang w:eastAsia="cs-CZ"/>
        </w:rPr>
        <w:t>, resp. 201</w:t>
      </w:r>
      <w:r w:rsidR="00527788" w:rsidRPr="00420ADA">
        <w:rPr>
          <w:rFonts w:ascii="Arial" w:eastAsia="Times New Roman" w:hAnsi="Arial" w:cs="Arial"/>
          <w:lang w:eastAsia="cs-CZ"/>
        </w:rPr>
        <w:t>2</w:t>
      </w:r>
      <w:r w:rsidRPr="00420ADA">
        <w:rPr>
          <w:rFonts w:ascii="Arial" w:eastAsia="Times New Roman" w:hAnsi="Arial" w:cs="Arial"/>
          <w:lang w:eastAsia="cs-CZ"/>
        </w:rPr>
        <w:t>). Z obrázku 1.1</w:t>
      </w:r>
      <w:r w:rsidR="00527788" w:rsidRPr="00420ADA">
        <w:rPr>
          <w:rFonts w:ascii="Arial" w:eastAsia="Times New Roman" w:hAnsi="Arial" w:cs="Arial"/>
          <w:lang w:eastAsia="cs-CZ"/>
        </w:rPr>
        <w:t>1</w:t>
      </w:r>
      <w:r w:rsidRPr="00420ADA">
        <w:rPr>
          <w:rFonts w:ascii="Arial" w:eastAsia="Times New Roman" w:hAnsi="Arial" w:cs="Arial"/>
          <w:lang w:eastAsia="cs-CZ"/>
        </w:rPr>
        <w:t xml:space="preserve"> je </w:t>
      </w:r>
      <w:r w:rsidR="00527788" w:rsidRPr="00420ADA">
        <w:rPr>
          <w:rFonts w:ascii="Arial" w:eastAsia="Times New Roman" w:hAnsi="Arial" w:cs="Arial"/>
          <w:lang w:eastAsia="cs-CZ"/>
        </w:rPr>
        <w:t>zřejmé</w:t>
      </w:r>
      <w:r w:rsidRPr="00420ADA">
        <w:rPr>
          <w:rFonts w:ascii="Arial" w:eastAsia="Times New Roman" w:hAnsi="Arial" w:cs="Arial"/>
          <w:lang w:eastAsia="cs-CZ"/>
        </w:rPr>
        <w:t xml:space="preserve">, že státy, jako jsou Francie, ale také Belgie, Irsko nebo </w:t>
      </w:r>
      <w:r w:rsidR="00B5551C">
        <w:rPr>
          <w:rFonts w:ascii="Arial" w:eastAsia="Times New Roman" w:hAnsi="Arial" w:cs="Arial"/>
          <w:lang w:eastAsia="cs-CZ"/>
        </w:rPr>
        <w:t>Nizozemsko</w:t>
      </w:r>
      <w:r w:rsidRPr="00420ADA">
        <w:rPr>
          <w:rFonts w:ascii="Arial" w:eastAsia="Times New Roman" w:hAnsi="Arial" w:cs="Arial"/>
          <w:lang w:eastAsia="cs-CZ"/>
        </w:rPr>
        <w:t>, využívají především nepřímou podporu</w:t>
      </w:r>
      <w:r w:rsidR="00845A88">
        <w:rPr>
          <w:rFonts w:ascii="Arial" w:eastAsia="Times New Roman" w:hAnsi="Arial" w:cs="Arial"/>
          <w:lang w:eastAsia="cs-CZ"/>
        </w:rPr>
        <w:t>,</w:t>
      </w:r>
      <w:r w:rsidRPr="00420ADA">
        <w:rPr>
          <w:rFonts w:ascii="Arial" w:eastAsia="Times New Roman" w:hAnsi="Arial" w:cs="Arial"/>
          <w:lang w:eastAsia="cs-CZ"/>
        </w:rPr>
        <w:t xml:space="preserve"> a to ve výrazně větším podílu než ČR. Přímá podpora je v těchto zemích naopak nižší ve srovnání s ČR. Naproti tomu </w:t>
      </w:r>
      <w:r w:rsidR="00527788" w:rsidRPr="00420ADA">
        <w:rPr>
          <w:rFonts w:ascii="Arial" w:eastAsia="Times New Roman" w:hAnsi="Arial" w:cs="Arial"/>
          <w:lang w:eastAsia="cs-CZ"/>
        </w:rPr>
        <w:t xml:space="preserve">ve Spojených státech Amerických, </w:t>
      </w:r>
      <w:r w:rsidRPr="00420ADA">
        <w:rPr>
          <w:rFonts w:ascii="Arial" w:eastAsia="Times New Roman" w:hAnsi="Arial" w:cs="Arial"/>
          <w:lang w:eastAsia="cs-CZ"/>
        </w:rPr>
        <w:t>Slovinsku</w:t>
      </w:r>
      <w:r w:rsidR="00527788" w:rsidRPr="00420ADA">
        <w:rPr>
          <w:rFonts w:ascii="Arial" w:eastAsia="Times New Roman" w:hAnsi="Arial" w:cs="Arial"/>
          <w:lang w:eastAsia="cs-CZ"/>
        </w:rPr>
        <w:t xml:space="preserve"> nebo Maďarsku</w:t>
      </w:r>
      <w:r w:rsidRPr="00420ADA">
        <w:rPr>
          <w:rFonts w:ascii="Arial" w:eastAsia="Times New Roman" w:hAnsi="Arial" w:cs="Arial"/>
          <w:lang w:eastAsia="cs-CZ"/>
        </w:rPr>
        <w:t xml:space="preserve"> je poměrně vysoká přímá podpora a zároveň je využívána i nepřímá podpora. ČR zaujímá pozici srovnatelnou z hlediska přímé podpory s Rakouskem, </w:t>
      </w:r>
      <w:r w:rsidR="00527788" w:rsidRPr="00420ADA">
        <w:rPr>
          <w:rFonts w:ascii="Arial" w:eastAsia="Times New Roman" w:hAnsi="Arial" w:cs="Arial"/>
          <w:lang w:eastAsia="cs-CZ"/>
        </w:rPr>
        <w:t>kde</w:t>
      </w:r>
      <w:r w:rsidRPr="00420ADA">
        <w:rPr>
          <w:rFonts w:ascii="Arial" w:eastAsia="Times New Roman" w:hAnsi="Arial" w:cs="Arial"/>
          <w:lang w:eastAsia="cs-CZ"/>
        </w:rPr>
        <w:t xml:space="preserve"> je však nepřímá podpora vyšší než v ČR. Podobnou úroveň nepřímé podpory jako ČR vykazuje Norsko, </w:t>
      </w:r>
      <w:r w:rsidR="00420ADA" w:rsidRPr="00420ADA">
        <w:rPr>
          <w:rFonts w:ascii="Arial" w:eastAsia="Times New Roman" w:hAnsi="Arial" w:cs="Arial"/>
          <w:lang w:eastAsia="cs-CZ"/>
        </w:rPr>
        <w:t xml:space="preserve">Velká Británie nebo Dánsko, </w:t>
      </w:r>
      <w:r w:rsidRPr="00420ADA">
        <w:rPr>
          <w:rFonts w:ascii="Arial" w:eastAsia="Times New Roman" w:hAnsi="Arial" w:cs="Arial"/>
          <w:lang w:eastAsia="cs-CZ"/>
        </w:rPr>
        <w:t>avšak s asi o třetinu nižší přím</w:t>
      </w:r>
      <w:r w:rsidR="00420ADA" w:rsidRPr="00420ADA">
        <w:rPr>
          <w:rFonts w:ascii="Arial" w:eastAsia="Times New Roman" w:hAnsi="Arial" w:cs="Arial"/>
          <w:lang w:eastAsia="cs-CZ"/>
        </w:rPr>
        <w:t>ou podporou. V Německu, Finsku,</w:t>
      </w:r>
      <w:r w:rsidRPr="00420ADA">
        <w:rPr>
          <w:rFonts w:ascii="Arial" w:eastAsia="Times New Roman" w:hAnsi="Arial" w:cs="Arial"/>
          <w:lang w:eastAsia="cs-CZ"/>
        </w:rPr>
        <w:t xml:space="preserve"> Švýcarsku, ale také na Slovensku, v Polsku, Itálii nebo Španělsku, je přímá podpora nižší než v ČR a nepřímá podpora není využívána vůbec, nebo jen velmi omezeně. V součtu přímé a nepřímé podpory vykazuje ČR 0,1</w:t>
      </w:r>
      <w:r w:rsidR="00420ADA" w:rsidRPr="00420ADA">
        <w:rPr>
          <w:rFonts w:ascii="Arial" w:eastAsia="Times New Roman" w:hAnsi="Arial" w:cs="Arial"/>
          <w:lang w:eastAsia="cs-CZ"/>
        </w:rPr>
        <w:t>8</w:t>
      </w:r>
      <w:r w:rsidRPr="00420ADA">
        <w:rPr>
          <w:rFonts w:ascii="Arial" w:eastAsia="Times New Roman" w:hAnsi="Arial" w:cs="Arial"/>
          <w:lang w:eastAsia="cs-CZ"/>
        </w:rPr>
        <w:t> %</w:t>
      </w:r>
      <w:r w:rsidR="00845A88">
        <w:rPr>
          <w:rFonts w:ascii="Arial" w:eastAsia="Times New Roman" w:hAnsi="Arial" w:cs="Arial"/>
          <w:lang w:eastAsia="cs-CZ"/>
        </w:rPr>
        <w:t xml:space="preserve"> </w:t>
      </w:r>
      <w:r w:rsidRPr="00420ADA">
        <w:rPr>
          <w:rFonts w:ascii="Arial" w:eastAsia="Times New Roman" w:hAnsi="Arial" w:cs="Arial"/>
          <w:lang w:eastAsia="cs-CZ"/>
        </w:rPr>
        <w:t xml:space="preserve">HDP, což je přibližně desetkrát nad úrovní </w:t>
      </w:r>
      <w:r w:rsidR="00420ADA" w:rsidRPr="00420ADA">
        <w:rPr>
          <w:rFonts w:ascii="Arial" w:eastAsia="Times New Roman" w:hAnsi="Arial" w:cs="Arial"/>
          <w:lang w:eastAsia="cs-CZ"/>
        </w:rPr>
        <w:t>Švýcarska nebo Slovenska</w:t>
      </w:r>
      <w:r w:rsidRPr="00420ADA">
        <w:rPr>
          <w:rFonts w:ascii="Arial" w:eastAsia="Times New Roman" w:hAnsi="Arial" w:cs="Arial"/>
          <w:lang w:eastAsia="cs-CZ"/>
        </w:rPr>
        <w:t xml:space="preserve">, ale jen o </w:t>
      </w:r>
      <w:r w:rsidR="00420ADA" w:rsidRPr="00420ADA">
        <w:rPr>
          <w:rFonts w:ascii="Arial" w:eastAsia="Times New Roman" w:hAnsi="Arial" w:cs="Arial"/>
          <w:lang w:eastAsia="cs-CZ"/>
        </w:rPr>
        <w:t>třetinu</w:t>
      </w:r>
      <w:r w:rsidRPr="00420ADA">
        <w:rPr>
          <w:rFonts w:ascii="Arial" w:eastAsia="Times New Roman" w:hAnsi="Arial" w:cs="Arial"/>
          <w:lang w:eastAsia="cs-CZ"/>
        </w:rPr>
        <w:t xml:space="preserve"> méně než v Rakousku či </w:t>
      </w:r>
      <w:r w:rsidR="00420ADA" w:rsidRPr="00420ADA">
        <w:rPr>
          <w:rFonts w:ascii="Arial" w:eastAsia="Times New Roman" w:hAnsi="Arial" w:cs="Arial"/>
          <w:lang w:eastAsia="cs-CZ"/>
        </w:rPr>
        <w:t>Belgii</w:t>
      </w:r>
      <w:r w:rsidRPr="00420ADA">
        <w:rPr>
          <w:rFonts w:ascii="Arial" w:eastAsia="Times New Roman" w:hAnsi="Arial" w:cs="Arial"/>
          <w:lang w:eastAsia="cs-CZ"/>
        </w:rPr>
        <w:t>.</w:t>
      </w:r>
    </w:p>
    <w:p w:rsidR="000822A0" w:rsidRPr="007E6EC6" w:rsidRDefault="000822A0" w:rsidP="00D25C7B">
      <w:pPr>
        <w:pStyle w:val="Obrzek-nadpis"/>
        <w:rPr>
          <w:highlight w:val="yellow"/>
        </w:rPr>
      </w:pPr>
      <w:r w:rsidRPr="00420ADA">
        <w:t xml:space="preserve">Obr. </w:t>
      </w:r>
      <w:r w:rsidR="0083134A" w:rsidRPr="00420ADA">
        <w:t>1.</w:t>
      </w:r>
      <w:r w:rsidRPr="00420ADA">
        <w:t>1</w:t>
      </w:r>
      <w:r w:rsidR="00420ADA" w:rsidRPr="00420ADA">
        <w:t>1</w:t>
      </w:r>
      <w:r w:rsidRPr="00420ADA">
        <w:t xml:space="preserve">: Přímá a nepřímá podpora </w:t>
      </w:r>
      <w:proofErr w:type="spellStart"/>
      <w:r w:rsidRPr="00420ADA">
        <w:t>VaVaI</w:t>
      </w:r>
      <w:proofErr w:type="spellEnd"/>
      <w:r w:rsidRPr="00420ADA">
        <w:t xml:space="preserve"> v podnikatelském sektoru jako % HDP v mezinárodním srovnání (referenční rok 201</w:t>
      </w:r>
      <w:r w:rsidR="009F10F4" w:rsidRPr="00420ADA">
        <w:t>3</w:t>
      </w:r>
      <w:r w:rsidRPr="00420ADA">
        <w:t>)</w:t>
      </w:r>
    </w:p>
    <w:p w:rsidR="000822A0" w:rsidRPr="007E6EC6" w:rsidRDefault="00420ADA" w:rsidP="00D25C7B">
      <w:pPr>
        <w:spacing w:after="0" w:line="240" w:lineRule="auto"/>
        <w:jc w:val="center"/>
        <w:rPr>
          <w:rFonts w:ascii="Times New Roman" w:eastAsia="Times New Roman" w:hAnsi="Times New Roman" w:cs="Times New Roman"/>
          <w:sz w:val="24"/>
          <w:szCs w:val="24"/>
          <w:highlight w:val="yellow"/>
          <w:lang w:eastAsia="cs-CZ"/>
        </w:rPr>
      </w:pPr>
      <w:r w:rsidRPr="00420ADA">
        <w:rPr>
          <w:noProof/>
          <w:lang w:eastAsia="cs-CZ"/>
        </w:rPr>
        <w:drawing>
          <wp:inline distT="0" distB="0" distL="0" distR="0" wp14:anchorId="7A0A1829" wp14:editId="704DE124">
            <wp:extent cx="4580627" cy="3258681"/>
            <wp:effectExtent l="0" t="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0970" cy="3258925"/>
                    </a:xfrm>
                    <a:prstGeom prst="rect">
                      <a:avLst/>
                    </a:prstGeom>
                    <a:noFill/>
                    <a:ln>
                      <a:noFill/>
                    </a:ln>
                  </pic:spPr>
                </pic:pic>
              </a:graphicData>
            </a:graphic>
          </wp:inline>
        </w:drawing>
      </w:r>
    </w:p>
    <w:p w:rsidR="000822A0" w:rsidRPr="00420ADA" w:rsidRDefault="000822A0" w:rsidP="00E15D9A">
      <w:pPr>
        <w:pStyle w:val="Zdroj"/>
      </w:pPr>
      <w:r w:rsidRPr="00420ADA">
        <w:t>Zdroj dat: OECD (</w:t>
      </w:r>
      <w:proofErr w:type="spellStart"/>
      <w:r w:rsidRPr="00420ADA">
        <w:t>Main</w:t>
      </w:r>
      <w:proofErr w:type="spellEnd"/>
      <w:r w:rsidRPr="00420ADA">
        <w:t xml:space="preserve"> science and technology </w:t>
      </w:r>
      <w:proofErr w:type="spellStart"/>
      <w:r w:rsidRPr="00420ADA">
        <w:t>indicators</w:t>
      </w:r>
      <w:proofErr w:type="spellEnd"/>
      <w:r w:rsidRPr="00420ADA">
        <w:t xml:space="preserve">, R&amp;D Tax </w:t>
      </w:r>
      <w:proofErr w:type="spellStart"/>
      <w:r w:rsidRPr="00420ADA">
        <w:t>Incentive</w:t>
      </w:r>
      <w:proofErr w:type="spellEnd"/>
      <w:r w:rsidRPr="00420ADA">
        <w:t xml:space="preserve"> </w:t>
      </w:r>
      <w:proofErr w:type="spellStart"/>
      <w:r w:rsidRPr="00420ADA">
        <w:t>Indicators</w:t>
      </w:r>
      <w:proofErr w:type="spellEnd"/>
      <w:r w:rsidRPr="00420ADA">
        <w:t>)</w:t>
      </w:r>
    </w:p>
    <w:p w:rsidR="006338C7" w:rsidRDefault="000178D6" w:rsidP="00055617">
      <w:pPr>
        <w:pStyle w:val="komentzaobrzkem"/>
      </w:pPr>
      <w:r w:rsidRPr="00420ADA">
        <w:t>Na místo</w:t>
      </w:r>
      <w:r w:rsidR="000822A0" w:rsidRPr="00420ADA">
        <w:t xml:space="preserve"> chybějících dat za rok 201</w:t>
      </w:r>
      <w:r w:rsidR="00420ADA">
        <w:t>3</w:t>
      </w:r>
      <w:r w:rsidR="000822A0" w:rsidRPr="00420ADA">
        <w:t xml:space="preserve"> byla </w:t>
      </w:r>
      <w:r w:rsidR="00BF5EAF" w:rsidRPr="00420ADA">
        <w:t xml:space="preserve">u některých států </w:t>
      </w:r>
      <w:r w:rsidR="000822A0" w:rsidRPr="00420ADA">
        <w:t>použita data za rok 201</w:t>
      </w:r>
      <w:r w:rsidR="009F10F4" w:rsidRPr="00420ADA">
        <w:t>2</w:t>
      </w:r>
      <w:r w:rsidRPr="00420ADA">
        <w:t>.</w:t>
      </w:r>
    </w:p>
    <w:p w:rsidR="006338C7" w:rsidRDefault="006338C7">
      <w:r>
        <w:br w:type="page"/>
      </w:r>
    </w:p>
    <w:p w:rsidR="009B21E1" w:rsidRPr="00321A9B" w:rsidRDefault="009B21E1" w:rsidP="001530DA">
      <w:pPr>
        <w:pStyle w:val="NadpisurovenI"/>
        <w:numPr>
          <w:ilvl w:val="0"/>
          <w:numId w:val="31"/>
        </w:numPr>
      </w:pPr>
      <w:bookmarkStart w:id="3" w:name="_Toc427676894"/>
      <w:bookmarkStart w:id="4" w:name="_Toc464461095"/>
      <w:r w:rsidRPr="00321A9B">
        <w:lastRenderedPageBreak/>
        <w:t xml:space="preserve">Financování </w:t>
      </w:r>
      <w:proofErr w:type="spellStart"/>
      <w:r w:rsidRPr="00321A9B">
        <w:t>VaVaI</w:t>
      </w:r>
      <w:proofErr w:type="spellEnd"/>
      <w:r w:rsidRPr="00321A9B">
        <w:t xml:space="preserve"> ze státního rozpočtu</w:t>
      </w:r>
      <w:bookmarkEnd w:id="3"/>
      <w:bookmarkEnd w:id="4"/>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 xml:space="preserve">Veřejné tuzemské zdroje určené k provádění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tvoří především státní rozpočet na</w:t>
      </w:r>
      <w:r>
        <w:rPr>
          <w:rFonts w:ascii="Arial" w:eastAsia="Times New Roman" w:hAnsi="Arial" w:cs="Arial"/>
          <w:lang w:eastAsia="cs-CZ"/>
        </w:rPr>
        <w:t> </w:t>
      </w:r>
      <w:r w:rsidRPr="0053104B">
        <w:rPr>
          <w:rFonts w:ascii="Arial" w:eastAsia="Times New Roman" w:hAnsi="Arial" w:cs="Arial"/>
          <w:lang w:eastAsia="cs-CZ"/>
        </w:rPr>
        <w:t>výzkum, vývoj a inovace, jehož návrh každoročně schvaluje vláda způsobem definovaným zákonem 130/2002 Sb. o podpoře výzkumu, experimentálního vývoje a inovací z veřejných prostředků a o změně některých souvisejících zákonů (zákon o podpoře výzkumu, experimentálního vývoje a inovací), ve znění pozdějších předpisů. Výše podpory je každoročně stanovena zákonem o státním rozpočtu, např. pro rok 201</w:t>
      </w:r>
      <w:r>
        <w:rPr>
          <w:rFonts w:ascii="Arial" w:eastAsia="Times New Roman" w:hAnsi="Arial" w:cs="Arial"/>
          <w:lang w:eastAsia="cs-CZ"/>
        </w:rPr>
        <w:t>5</w:t>
      </w:r>
      <w:r w:rsidRPr="0053104B">
        <w:rPr>
          <w:rFonts w:ascii="Arial" w:eastAsia="Times New Roman" w:hAnsi="Arial" w:cs="Arial"/>
          <w:lang w:eastAsia="cs-CZ"/>
        </w:rPr>
        <w:t xml:space="preserve"> zákonem č. </w:t>
      </w:r>
      <w:r>
        <w:rPr>
          <w:rFonts w:ascii="Arial" w:eastAsia="Times New Roman" w:hAnsi="Arial" w:cs="Arial"/>
          <w:lang w:eastAsia="cs-CZ"/>
        </w:rPr>
        <w:t>345/2014 Sb.</w:t>
      </w:r>
      <w:r w:rsidRPr="0053104B">
        <w:rPr>
          <w:rFonts w:ascii="Arial" w:eastAsia="Times New Roman" w:hAnsi="Arial" w:cs="Arial"/>
          <w:lang w:eastAsia="cs-CZ"/>
        </w:rPr>
        <w:t xml:space="preserve"> ze dne 1</w:t>
      </w:r>
      <w:r>
        <w:rPr>
          <w:rFonts w:ascii="Arial" w:eastAsia="Times New Roman" w:hAnsi="Arial" w:cs="Arial"/>
          <w:lang w:eastAsia="cs-CZ"/>
        </w:rPr>
        <w:t>0</w:t>
      </w:r>
      <w:r w:rsidRPr="0053104B">
        <w:rPr>
          <w:rFonts w:ascii="Arial" w:eastAsia="Times New Roman" w:hAnsi="Arial" w:cs="Arial"/>
          <w:lang w:eastAsia="cs-CZ"/>
        </w:rPr>
        <w:t>.</w:t>
      </w:r>
      <w:r>
        <w:rPr>
          <w:rFonts w:ascii="Arial" w:eastAsia="Times New Roman" w:hAnsi="Arial" w:cs="Arial"/>
          <w:lang w:eastAsia="cs-CZ"/>
        </w:rPr>
        <w:t> </w:t>
      </w:r>
      <w:r w:rsidRPr="0053104B">
        <w:rPr>
          <w:rFonts w:ascii="Arial" w:eastAsia="Times New Roman" w:hAnsi="Arial" w:cs="Arial"/>
          <w:lang w:eastAsia="cs-CZ"/>
        </w:rPr>
        <w:t>prosince 201</w:t>
      </w:r>
      <w:r>
        <w:rPr>
          <w:rFonts w:ascii="Arial" w:eastAsia="Times New Roman" w:hAnsi="Arial" w:cs="Arial"/>
          <w:lang w:eastAsia="cs-CZ"/>
        </w:rPr>
        <w:t>4</w:t>
      </w:r>
      <w:r w:rsidRPr="0053104B">
        <w:rPr>
          <w:rFonts w:ascii="Arial" w:eastAsia="Times New Roman" w:hAnsi="Arial" w:cs="Arial"/>
          <w:lang w:eastAsia="cs-CZ"/>
        </w:rPr>
        <w:t xml:space="preserve"> o státním rozpočtu České republiky na rok 201</w:t>
      </w:r>
      <w:r>
        <w:rPr>
          <w:rFonts w:ascii="Arial" w:eastAsia="Times New Roman" w:hAnsi="Arial" w:cs="Arial"/>
          <w:lang w:eastAsia="cs-CZ"/>
        </w:rPr>
        <w:t>5</w:t>
      </w:r>
      <w:r w:rsidRPr="0053104B">
        <w:rPr>
          <w:rFonts w:ascii="Arial" w:eastAsia="Times New Roman" w:hAnsi="Arial" w:cs="Arial"/>
          <w:lang w:eastAsia="cs-CZ"/>
        </w:rPr>
        <w:t>.</w:t>
      </w:r>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 xml:space="preserve">Příprava návrhu výdajů státního rozpočtu je kontinuální a komplexní proces ilustrativně popsaný na </w:t>
      </w:r>
      <w:r>
        <w:rPr>
          <w:rFonts w:ascii="Arial" w:eastAsia="Times New Roman" w:hAnsi="Arial" w:cs="Arial"/>
          <w:lang w:eastAsia="cs-CZ"/>
        </w:rPr>
        <w:t>schématu níže</w:t>
      </w:r>
      <w:r w:rsidRPr="0053104B">
        <w:rPr>
          <w:rFonts w:ascii="Arial" w:eastAsia="Times New Roman" w:hAnsi="Arial" w:cs="Arial"/>
          <w:lang w:eastAsia="cs-CZ"/>
        </w:rPr>
        <w:t xml:space="preserve">. Podle § 35 odst. 2 písm. k) a l) zákona o podpoře výzkumu, experimentálního vývoje a inovací </w:t>
      </w:r>
      <w:r>
        <w:rPr>
          <w:rFonts w:ascii="Arial" w:eastAsia="Times New Roman" w:hAnsi="Arial" w:cs="Arial"/>
          <w:lang w:eastAsia="cs-CZ"/>
        </w:rPr>
        <w:t xml:space="preserve">RVVI zabezpečuje zpracování </w:t>
      </w:r>
      <w:r w:rsidRPr="0053104B">
        <w:rPr>
          <w:rFonts w:ascii="Arial" w:eastAsia="Times New Roman" w:hAnsi="Arial" w:cs="Arial"/>
          <w:lang w:eastAsia="cs-CZ"/>
        </w:rPr>
        <w:t>návrh</w:t>
      </w:r>
      <w:r>
        <w:rPr>
          <w:rFonts w:ascii="Arial" w:eastAsia="Times New Roman" w:hAnsi="Arial" w:cs="Arial"/>
          <w:lang w:eastAsia="cs-CZ"/>
        </w:rPr>
        <w:t>u</w:t>
      </w:r>
      <w:r w:rsidRPr="0053104B">
        <w:rPr>
          <w:rFonts w:ascii="Arial" w:eastAsia="Times New Roman" w:hAnsi="Arial" w:cs="Arial"/>
          <w:lang w:eastAsia="cs-CZ"/>
        </w:rPr>
        <w:t xml:space="preserve"> výdajů státního rozpočtu na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a jejich střednědobý výhled. Návrh je strukturován do 11 rozpočtových kapitol. Kapitola Úřadu vlády ČR zahrnuje náklady na činnost RVV</w:t>
      </w:r>
      <w:r>
        <w:rPr>
          <w:rFonts w:ascii="Arial" w:eastAsia="Times New Roman" w:hAnsi="Arial" w:cs="Arial"/>
          <w:lang w:eastAsia="cs-CZ"/>
        </w:rPr>
        <w:t>I</w:t>
      </w:r>
      <w:r w:rsidRPr="0053104B">
        <w:rPr>
          <w:rFonts w:ascii="Arial" w:eastAsia="Times New Roman" w:hAnsi="Arial" w:cs="Arial"/>
          <w:lang w:eastAsia="cs-CZ"/>
        </w:rPr>
        <w:t xml:space="preserve"> a prostředky na věcné nebo finanční ocenění mimořádných výsledků. Ostatní rozpočtové kapitoly obsahují kromě nákladů na činnost, prostředků na pořádání veřejných soutěží a hodnocení projektů a výdajů na věcné nebo finanční ocenění mimořádných výsledků především výdaje určené k rozdělení jednotlivým subjektům provádějícím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w:t>
      </w:r>
    </w:p>
    <w:p w:rsidR="009B21E1" w:rsidRPr="0053104B" w:rsidRDefault="009B21E1" w:rsidP="009B21E1">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P</w:t>
      </w:r>
      <w:r w:rsidRPr="0053104B">
        <w:rPr>
          <w:rFonts w:ascii="Arial" w:eastAsia="Times New Roman" w:hAnsi="Arial" w:cs="Arial"/>
          <w:lang w:eastAsia="cs-CZ"/>
        </w:rPr>
        <w:t xml:space="preserve">ro zpřesnění komunikace s jednotlivými rozpočtovými kapitolami </w:t>
      </w:r>
      <w:r>
        <w:rPr>
          <w:rFonts w:ascii="Arial" w:eastAsia="Times New Roman" w:hAnsi="Arial" w:cs="Arial"/>
          <w:lang w:eastAsia="cs-CZ"/>
        </w:rPr>
        <w:t xml:space="preserve">byly od roku 2014 postupně zřizovány </w:t>
      </w:r>
      <w:r w:rsidRPr="0053104B">
        <w:rPr>
          <w:rFonts w:ascii="Arial" w:eastAsia="Times New Roman" w:hAnsi="Arial" w:cs="Arial"/>
          <w:lang w:eastAsia="cs-CZ"/>
        </w:rPr>
        <w:t xml:space="preserve">pracovní skupiny (PS rozpočet I </w:t>
      </w:r>
      <w:r>
        <w:rPr>
          <w:rFonts w:ascii="Arial" w:eastAsia="Times New Roman" w:hAnsi="Arial" w:cs="Arial"/>
          <w:lang w:eastAsia="cs-CZ"/>
        </w:rPr>
        <w:t xml:space="preserve">- </w:t>
      </w:r>
      <w:r w:rsidRPr="0053104B">
        <w:rPr>
          <w:rFonts w:ascii="Arial" w:eastAsia="Times New Roman" w:hAnsi="Arial" w:cs="Arial"/>
          <w:lang w:eastAsia="cs-CZ"/>
        </w:rPr>
        <w:t>I</w:t>
      </w:r>
      <w:r>
        <w:rPr>
          <w:rFonts w:ascii="Arial" w:eastAsia="Times New Roman" w:hAnsi="Arial" w:cs="Arial"/>
          <w:lang w:eastAsia="cs-CZ"/>
        </w:rPr>
        <w:t>V</w:t>
      </w:r>
      <w:r w:rsidRPr="0053104B">
        <w:rPr>
          <w:rFonts w:ascii="Arial" w:eastAsia="Times New Roman" w:hAnsi="Arial" w:cs="Arial"/>
          <w:lang w:eastAsia="cs-CZ"/>
        </w:rPr>
        <w:t xml:space="preserve">) koordinované Sekcí pro vědu, výzkum a inovace Úřadu vlády ČR. </w:t>
      </w:r>
      <w:r>
        <w:rPr>
          <w:rFonts w:ascii="Arial" w:eastAsia="Times New Roman" w:hAnsi="Arial" w:cs="Arial"/>
          <w:lang w:eastAsia="cs-CZ"/>
        </w:rPr>
        <w:t>Na</w:t>
      </w:r>
      <w:r w:rsidRPr="0053104B">
        <w:rPr>
          <w:rFonts w:ascii="Arial" w:eastAsia="Times New Roman" w:hAnsi="Arial" w:cs="Arial"/>
          <w:lang w:eastAsia="cs-CZ"/>
        </w:rPr>
        <w:t xml:space="preserve"> tvorbě návrhu rozpočtu pro rok 2015</w:t>
      </w:r>
      <w:r>
        <w:rPr>
          <w:rFonts w:ascii="Arial" w:eastAsia="Times New Roman" w:hAnsi="Arial" w:cs="Arial"/>
          <w:lang w:eastAsia="cs-CZ"/>
        </w:rPr>
        <w:t xml:space="preserve"> se podílely dvě pracovní skupiny tvořené zástupci tehdejších poskytovatelů, při přípravě návrhu rozpočtu na rok 2016 byla vzhledem ke specifikům financování výzkumných center ustavena PS rozpočet III</w:t>
      </w:r>
      <w:r w:rsidRPr="0053104B">
        <w:rPr>
          <w:rFonts w:ascii="Arial" w:eastAsia="Times New Roman" w:hAnsi="Arial" w:cs="Arial"/>
          <w:lang w:eastAsia="cs-CZ"/>
        </w:rPr>
        <w:t xml:space="preserve">. </w:t>
      </w:r>
      <w:r>
        <w:rPr>
          <w:rFonts w:ascii="Arial" w:eastAsia="Times New Roman" w:hAnsi="Arial" w:cs="Arial"/>
          <w:lang w:eastAsia="cs-CZ"/>
        </w:rPr>
        <w:t xml:space="preserve">S ohledem na důsledky reformy systému financování </w:t>
      </w:r>
      <w:proofErr w:type="spellStart"/>
      <w:r>
        <w:rPr>
          <w:rFonts w:ascii="Arial" w:eastAsia="Times New Roman" w:hAnsi="Arial" w:cs="Arial"/>
          <w:lang w:eastAsia="cs-CZ"/>
        </w:rPr>
        <w:t>VaVaI</w:t>
      </w:r>
      <w:proofErr w:type="spellEnd"/>
      <w:r>
        <w:rPr>
          <w:rFonts w:ascii="Arial" w:eastAsia="Times New Roman" w:hAnsi="Arial" w:cs="Arial"/>
          <w:lang w:eastAsia="cs-CZ"/>
        </w:rPr>
        <w:t xml:space="preserve"> z roku 2008, kdy některé resorty přišly o rozpočtovou kapitolu, nastala nutnost detailnější spolupráce s těmito resorty. Proto byla při přípravě návrhu rozpočtu zřízena PS IV (členy jsou zástupci MŽP, MD, MPSV, MSP, SÚJB a ČÚZAK), jejímž úkolem je především řešit potřeby uvedených resortů v oblasti managementu jimi zřízených výzkumných subjektů (aktuálně financovaných zejména prostřednictvím MŠMT) a financování výzkumných potřeb těchto resortů. </w:t>
      </w:r>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 xml:space="preserve">Prostředky státního rozpočtu </w:t>
      </w:r>
      <w:r>
        <w:rPr>
          <w:rFonts w:ascii="Arial" w:eastAsia="Times New Roman" w:hAnsi="Arial" w:cs="Arial"/>
          <w:lang w:eastAsia="cs-CZ"/>
        </w:rPr>
        <w:t>byly v roce 2015, stejně jako v minulých letech,</w:t>
      </w:r>
      <w:r w:rsidRPr="0053104B">
        <w:rPr>
          <w:rFonts w:ascii="Arial" w:eastAsia="Times New Roman" w:hAnsi="Arial" w:cs="Arial"/>
          <w:lang w:eastAsia="cs-CZ"/>
        </w:rPr>
        <w:t xml:space="preserve"> distribuovány subjektům provádějícím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prostřednictvím 10 poskytovatelů (obr</w:t>
      </w:r>
      <w:r>
        <w:rPr>
          <w:rFonts w:ascii="Arial" w:eastAsia="Times New Roman" w:hAnsi="Arial" w:cs="Arial"/>
          <w:lang w:eastAsia="cs-CZ"/>
        </w:rPr>
        <w:t>ázek</w:t>
      </w:r>
      <w:r w:rsidRPr="0053104B">
        <w:rPr>
          <w:rFonts w:ascii="Arial" w:eastAsia="Times New Roman" w:hAnsi="Arial" w:cs="Arial"/>
          <w:lang w:eastAsia="cs-CZ"/>
        </w:rPr>
        <w:t xml:space="preserve"> </w:t>
      </w:r>
      <w:r>
        <w:rPr>
          <w:rFonts w:ascii="Arial" w:eastAsia="Times New Roman" w:hAnsi="Arial" w:cs="Arial"/>
          <w:lang w:eastAsia="cs-CZ"/>
        </w:rPr>
        <w:t>2.1</w:t>
      </w:r>
      <w:r w:rsidRPr="0053104B">
        <w:rPr>
          <w:rFonts w:ascii="Arial" w:eastAsia="Times New Roman" w:hAnsi="Arial" w:cs="Arial"/>
          <w:lang w:eastAsia="cs-CZ"/>
        </w:rPr>
        <w:t>). Poskytovatelé k distribuci používají nástroje vymezené zákonem o podpoře výzkumu, experimentálního vývoje a inovací. Většina poskytovatelů využívá projekty (</w:t>
      </w:r>
      <w:r w:rsidRPr="00D72475">
        <w:rPr>
          <w:rFonts w:ascii="Arial" w:eastAsia="Times New Roman" w:hAnsi="Arial" w:cs="Arial"/>
          <w:lang w:eastAsia="cs-CZ"/>
        </w:rPr>
        <w:t>programové nebo grantové v závislosti na tom, zda jsou směřovány do</w:t>
      </w:r>
      <w:r>
        <w:rPr>
          <w:rFonts w:ascii="Arial" w:eastAsia="Times New Roman" w:hAnsi="Arial" w:cs="Arial"/>
          <w:lang w:eastAsia="cs-CZ"/>
        </w:rPr>
        <w:t> </w:t>
      </w:r>
      <w:r w:rsidRPr="00D72475">
        <w:rPr>
          <w:rFonts w:ascii="Arial" w:eastAsia="Times New Roman" w:hAnsi="Arial" w:cs="Arial"/>
          <w:lang w:eastAsia="cs-CZ"/>
        </w:rPr>
        <w:t>základního nebo aplikovaného výzkumu</w:t>
      </w:r>
      <w:r w:rsidRPr="0053104B">
        <w:rPr>
          <w:rFonts w:ascii="Arial" w:eastAsia="Times New Roman" w:hAnsi="Arial" w:cs="Arial"/>
          <w:lang w:eastAsia="cs-CZ"/>
        </w:rPr>
        <w:t>) jako hlavní nástroje účelové podpory a prostředky na</w:t>
      </w:r>
      <w:r>
        <w:rPr>
          <w:rFonts w:ascii="Arial" w:eastAsia="Times New Roman" w:hAnsi="Arial" w:cs="Arial"/>
          <w:lang w:eastAsia="cs-CZ"/>
        </w:rPr>
        <w:t> </w:t>
      </w:r>
      <w:r w:rsidRPr="0053104B">
        <w:rPr>
          <w:rFonts w:ascii="Arial" w:eastAsia="Times New Roman" w:hAnsi="Arial" w:cs="Arial"/>
          <w:lang w:eastAsia="cs-CZ"/>
        </w:rPr>
        <w:t xml:space="preserve">dlouhodobý koncepční rozvoj výzkumných organizací jako hlavní nástroj institucionální podpory. Nástroj spolufinancování operačních programů ve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ze státního rozpočtu je vázán na strukturální fondy v oblasti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proto s ním nakládají MŠMT a MPO. MŠMT navíc odpovídá za zbylé nástroje vymezené zákonem o podpoře výzkumu, experimentálního vývoje a inovací. Jedná se o podporu velkým infrastrukturám</w:t>
      </w:r>
      <w:r>
        <w:rPr>
          <w:rFonts w:ascii="Arial" w:eastAsia="Times New Roman" w:hAnsi="Arial" w:cs="Arial"/>
          <w:lang w:eastAsia="cs-CZ"/>
        </w:rPr>
        <w:t>,</w:t>
      </w:r>
      <w:r w:rsidRPr="0053104B">
        <w:rPr>
          <w:rFonts w:ascii="Arial" w:eastAsia="Times New Roman" w:hAnsi="Arial" w:cs="Arial"/>
          <w:lang w:eastAsia="cs-CZ"/>
        </w:rPr>
        <w:t xml:space="preserve"> mezinárodní </w:t>
      </w:r>
      <w:r w:rsidRPr="0053104B">
        <w:rPr>
          <w:rFonts w:ascii="Arial" w:eastAsia="Times New Roman" w:hAnsi="Arial" w:cs="Arial"/>
          <w:lang w:eastAsia="cs-CZ"/>
        </w:rPr>
        <w:lastRenderedPageBreak/>
        <w:t>spolupráci ČR ve výzkumu a vývoji realizovanou na základě mezinárodních smluv a podporu na specifický vysokoškolský výzkum</w:t>
      </w:r>
      <w:r>
        <w:rPr>
          <w:rFonts w:ascii="Arial" w:eastAsia="Times New Roman" w:hAnsi="Arial" w:cs="Arial"/>
          <w:lang w:eastAsia="cs-CZ"/>
        </w:rPr>
        <w:t>.</w:t>
      </w:r>
      <w:r w:rsidRPr="0053104B">
        <w:rPr>
          <w:rFonts w:ascii="Arial" w:eastAsia="Times New Roman" w:hAnsi="Arial" w:cs="Arial"/>
          <w:lang w:eastAsia="cs-CZ"/>
        </w:rPr>
        <w:t xml:space="preserve"> Zvláštní význam mají národní programy udržitelnosti I a II</w:t>
      </w:r>
      <w:r>
        <w:rPr>
          <w:rFonts w:ascii="Arial" w:eastAsia="Times New Roman" w:hAnsi="Arial" w:cs="Arial"/>
          <w:lang w:eastAsia="cs-CZ"/>
        </w:rPr>
        <w:t>,</w:t>
      </w:r>
      <w:r w:rsidRPr="0053104B">
        <w:rPr>
          <w:rFonts w:ascii="Arial" w:eastAsia="Times New Roman" w:hAnsi="Arial" w:cs="Arial"/>
          <w:lang w:eastAsia="cs-CZ"/>
        </w:rPr>
        <w:t xml:space="preserve"> které jsou ve smyslu zákona o podpoře výzkumu, vývoje a inovací programem účelové podpory, avšak mají pomoci zajistit udržitelnost </w:t>
      </w:r>
      <w:r>
        <w:rPr>
          <w:rFonts w:ascii="Arial" w:eastAsia="Times New Roman" w:hAnsi="Arial" w:cs="Arial"/>
          <w:lang w:eastAsia="cs-CZ"/>
        </w:rPr>
        <w:t>projektů financovaných z </w:t>
      </w:r>
      <w:r w:rsidRPr="0053104B">
        <w:rPr>
          <w:rFonts w:ascii="Arial" w:eastAsia="Times New Roman" w:hAnsi="Arial" w:cs="Arial"/>
          <w:lang w:eastAsia="cs-CZ"/>
        </w:rPr>
        <w:t>prioritní</w:t>
      </w:r>
      <w:r>
        <w:rPr>
          <w:rFonts w:ascii="Arial" w:eastAsia="Times New Roman" w:hAnsi="Arial" w:cs="Arial"/>
          <w:lang w:eastAsia="cs-CZ"/>
        </w:rPr>
        <w:t>ch</w:t>
      </w:r>
      <w:r w:rsidRPr="0053104B">
        <w:rPr>
          <w:rFonts w:ascii="Arial" w:eastAsia="Times New Roman" w:hAnsi="Arial" w:cs="Arial"/>
          <w:lang w:eastAsia="cs-CZ"/>
        </w:rPr>
        <w:t xml:space="preserve"> os 1 a 2 Operačního programu výzkum</w:t>
      </w:r>
      <w:r>
        <w:rPr>
          <w:rFonts w:ascii="Arial" w:eastAsia="Times New Roman" w:hAnsi="Arial" w:cs="Arial"/>
          <w:lang w:eastAsia="cs-CZ"/>
        </w:rPr>
        <w:t xml:space="preserve"> a</w:t>
      </w:r>
      <w:r w:rsidRPr="0053104B">
        <w:rPr>
          <w:rFonts w:ascii="Arial" w:eastAsia="Times New Roman" w:hAnsi="Arial" w:cs="Arial"/>
          <w:lang w:eastAsia="cs-CZ"/>
        </w:rPr>
        <w:t xml:space="preserve"> vývoj </w:t>
      </w:r>
      <w:r>
        <w:rPr>
          <w:rFonts w:ascii="Arial" w:eastAsia="Times New Roman" w:hAnsi="Arial" w:cs="Arial"/>
          <w:lang w:eastAsia="cs-CZ"/>
        </w:rPr>
        <w:t>pro</w:t>
      </w:r>
      <w:r w:rsidRPr="0053104B">
        <w:rPr>
          <w:rFonts w:ascii="Arial" w:eastAsia="Times New Roman" w:hAnsi="Arial" w:cs="Arial"/>
          <w:lang w:eastAsia="cs-CZ"/>
        </w:rPr>
        <w:t xml:space="preserve"> inovace</w:t>
      </w:r>
      <w:r>
        <w:rPr>
          <w:rFonts w:ascii="Arial" w:eastAsia="Times New Roman" w:hAnsi="Arial" w:cs="Arial"/>
          <w:lang w:eastAsia="cs-CZ"/>
        </w:rPr>
        <w:t xml:space="preserve"> (Evropská centra excelence, Regionální centra výzkumu a vývoje)</w:t>
      </w:r>
      <w:r w:rsidRPr="0053104B">
        <w:rPr>
          <w:rFonts w:ascii="Arial" w:eastAsia="Times New Roman" w:hAnsi="Arial" w:cs="Arial"/>
          <w:lang w:eastAsia="cs-CZ"/>
        </w:rPr>
        <w:t>, čímž se od jiných program</w:t>
      </w:r>
      <w:r>
        <w:rPr>
          <w:rFonts w:ascii="Arial" w:eastAsia="Times New Roman" w:hAnsi="Arial" w:cs="Arial"/>
          <w:lang w:eastAsia="cs-CZ"/>
        </w:rPr>
        <w:t>ů výrazně liší.</w:t>
      </w:r>
    </w:p>
    <w:p w:rsidR="009B21E1" w:rsidRPr="0053104B" w:rsidRDefault="009B21E1" w:rsidP="009B21E1">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Obrázek 2.1</w:t>
      </w:r>
      <w:r w:rsidRPr="0053104B">
        <w:rPr>
          <w:rFonts w:ascii="Arial" w:eastAsia="Times New Roman" w:hAnsi="Arial" w:cs="Arial"/>
          <w:lang w:eastAsia="cs-CZ"/>
        </w:rPr>
        <w:t xml:space="preserve"> znázorňuje, že jednotlivé skupiny příjemců mohou využívat všech nástrojů podpory ze SR s výjimkou SVV, který je určen vysokým školám</w:t>
      </w:r>
      <w:r w:rsidRPr="00076B14">
        <w:rPr>
          <w:rFonts w:ascii="Arial" w:eastAsia="Times New Roman" w:hAnsi="Arial" w:cs="Arial"/>
          <w:vertAlign w:val="superscript"/>
          <w:lang w:eastAsia="cs-CZ"/>
        </w:rPr>
        <w:footnoteReference w:id="8"/>
      </w:r>
      <w:r w:rsidRPr="0053104B">
        <w:rPr>
          <w:rFonts w:ascii="Arial" w:eastAsia="Times New Roman" w:hAnsi="Arial" w:cs="Arial"/>
          <w:lang w:eastAsia="cs-CZ"/>
        </w:rPr>
        <w:t>. Vícezdrojové financování od</w:t>
      </w:r>
      <w:r>
        <w:rPr>
          <w:rFonts w:ascii="Arial" w:eastAsia="Times New Roman" w:hAnsi="Arial" w:cs="Arial"/>
          <w:lang w:eastAsia="cs-CZ"/>
        </w:rPr>
        <w:t> </w:t>
      </w:r>
      <w:r w:rsidRPr="0053104B">
        <w:rPr>
          <w:rFonts w:ascii="Arial" w:eastAsia="Times New Roman" w:hAnsi="Arial" w:cs="Arial"/>
          <w:lang w:eastAsia="cs-CZ"/>
        </w:rPr>
        <w:t xml:space="preserve">několika poskytovatelů pomocí různých nástrojů má pro příjemce výhody v možnosti kombinování dle potřeb subjektu v souladu s jeho strategií provádění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Avšak situace, kdy vysoký podíl finančních prostředků činí velké množství časově nesouběžných účelových podpor, způsobuje finanční nestabilitu subjektů a brání dlouhodobému strategickému plánování v oblasti lidských zdrojů i výzkumných cílů. Navíc je při kombinaci mnoha nástrojů a různých poskytovatelů komplikované předch</w:t>
      </w:r>
      <w:r>
        <w:rPr>
          <w:rFonts w:ascii="Arial" w:eastAsia="Times New Roman" w:hAnsi="Arial" w:cs="Arial"/>
          <w:lang w:eastAsia="cs-CZ"/>
        </w:rPr>
        <w:t>ázet duplicitám či multiplicitám ve financování.</w:t>
      </w:r>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 xml:space="preserve">Pro strategické plánování rozpočtových výdajů na </w:t>
      </w:r>
      <w:proofErr w:type="spellStart"/>
      <w:r w:rsidRPr="0053104B">
        <w:rPr>
          <w:rFonts w:ascii="Arial" w:eastAsia="Times New Roman" w:hAnsi="Arial" w:cs="Arial"/>
          <w:lang w:eastAsia="cs-CZ"/>
        </w:rPr>
        <w:t>VaVaI</w:t>
      </w:r>
      <w:proofErr w:type="spellEnd"/>
      <w:r w:rsidRPr="0053104B">
        <w:rPr>
          <w:rFonts w:ascii="Arial" w:eastAsia="Times New Roman" w:hAnsi="Arial" w:cs="Arial"/>
          <w:lang w:eastAsia="cs-CZ"/>
        </w:rPr>
        <w:t xml:space="preserve"> na národní úrovni je mimo jiné zásadní rozlišovat jednotlivé nástroje ve smyslu jejich potenciálního přínosu. Přínosy jednotlivých nástrojů je vhodné analyzovat a výstupy analýz používat k jejich optimalizaci. </w:t>
      </w:r>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 xml:space="preserve">Zákon o podpoře výzkumu, vývoje a inovací striktně odděluje účelové a institucionální financování, avšak některé nástroje jsou řazeny do účelového financování, přestože svým charakterem odpovídají spíše institucionálnímu. Z analytického pohledu by bylo vhodnější řadit nástroje, jako jsou SVV, INFRA a rovněž NPU, k nástrojům institucionálního charakteru. Naopak nástroj SPOLUFIN a částečně také MEZINAR má spíše účelový charakter, protože jsou spolufinancovány projekty vybrané na základě soutěže. </w:t>
      </w:r>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Nástroje SPECIF, INFRA a NPU mají podobné efekty jako RVO, tj. podporují stabilitu a</w:t>
      </w:r>
      <w:r>
        <w:rPr>
          <w:rFonts w:ascii="Arial" w:eastAsia="Times New Roman" w:hAnsi="Arial" w:cs="Arial"/>
          <w:lang w:eastAsia="cs-CZ"/>
        </w:rPr>
        <w:t> </w:t>
      </w:r>
      <w:r w:rsidRPr="0053104B">
        <w:rPr>
          <w:rFonts w:ascii="Arial" w:eastAsia="Times New Roman" w:hAnsi="Arial" w:cs="Arial"/>
          <w:lang w:eastAsia="cs-CZ"/>
        </w:rPr>
        <w:t>rozvoj výzkumné základny</w:t>
      </w:r>
      <w:r w:rsidRPr="00076B14">
        <w:rPr>
          <w:rFonts w:ascii="Arial" w:eastAsia="Times New Roman" w:hAnsi="Arial" w:cs="Arial"/>
          <w:vertAlign w:val="superscript"/>
          <w:lang w:eastAsia="cs-CZ"/>
        </w:rPr>
        <w:footnoteReference w:id="9"/>
      </w:r>
      <w:r w:rsidRPr="0053104B">
        <w:rPr>
          <w:rFonts w:ascii="Arial" w:eastAsia="Times New Roman" w:hAnsi="Arial" w:cs="Arial"/>
          <w:lang w:eastAsia="cs-CZ"/>
        </w:rPr>
        <w:t>. Pro jejich distribuci je zásadní, který subjekt zmíněnou podporu získá. Naproti tomu projekty mají konkrétní cíle, obvykle oborově specifické a předem vymezené ve strategických dokumentech na národní či resortní úrovni</w:t>
      </w:r>
      <w:r w:rsidRPr="00076B14">
        <w:rPr>
          <w:rFonts w:ascii="Arial" w:eastAsia="Times New Roman" w:hAnsi="Arial" w:cs="Arial"/>
          <w:vertAlign w:val="superscript"/>
          <w:lang w:eastAsia="cs-CZ"/>
        </w:rPr>
        <w:footnoteReference w:id="10"/>
      </w:r>
      <w:r w:rsidRPr="0053104B">
        <w:rPr>
          <w:rFonts w:ascii="Arial" w:eastAsia="Times New Roman" w:hAnsi="Arial" w:cs="Arial"/>
          <w:lang w:eastAsia="cs-CZ"/>
        </w:rPr>
        <w:t xml:space="preserve"> (výjimku tvoří projekty zaměřené na</w:t>
      </w:r>
      <w:r>
        <w:rPr>
          <w:rFonts w:ascii="Arial" w:eastAsia="Times New Roman" w:hAnsi="Arial" w:cs="Arial"/>
          <w:lang w:eastAsia="cs-CZ"/>
        </w:rPr>
        <w:t> </w:t>
      </w:r>
      <w:r w:rsidRPr="0053104B">
        <w:rPr>
          <w:rFonts w:ascii="Arial" w:eastAsia="Times New Roman" w:hAnsi="Arial" w:cs="Arial"/>
          <w:lang w:eastAsia="cs-CZ"/>
        </w:rPr>
        <w:t>podporu tzv. horizontálních aktivit, např. mezinárodní spolupráce, excelence, konkurenceschopnost, apod.). Pro úspěch projektu není rozhodující, kdo je příjemcem podpory, ale zda je generován cílový výstup a je-li výstup přínosný pro konkrétní odvětví hospodářské</w:t>
      </w:r>
      <w:r>
        <w:rPr>
          <w:rFonts w:ascii="Arial" w:eastAsia="Times New Roman" w:hAnsi="Arial" w:cs="Arial"/>
          <w:lang w:eastAsia="cs-CZ"/>
        </w:rPr>
        <w:t xml:space="preserve"> činnosti nebo celou společnost.</w:t>
      </w:r>
    </w:p>
    <w:p w:rsidR="009B21E1" w:rsidRPr="000822A0" w:rsidRDefault="009B21E1" w:rsidP="009B21E1">
      <w:pPr>
        <w:spacing w:after="0" w:line="240" w:lineRule="auto"/>
        <w:rPr>
          <w:rFonts w:ascii="Times New Roman" w:eastAsia="Times New Roman" w:hAnsi="Times New Roman" w:cs="Times New Roman"/>
          <w:sz w:val="24"/>
          <w:szCs w:val="24"/>
          <w:lang w:eastAsia="cs-CZ"/>
        </w:rPr>
        <w:sectPr w:rsidR="009B21E1" w:rsidRPr="000822A0" w:rsidSect="007C5BE3">
          <w:headerReference w:type="default" r:id="rId19"/>
          <w:footerReference w:type="default" r:id="rId20"/>
          <w:pgSz w:w="11906" w:h="16838"/>
          <w:pgMar w:top="1134" w:right="1134" w:bottom="1134" w:left="1134" w:header="709" w:footer="709" w:gutter="0"/>
          <w:cols w:space="708"/>
          <w:titlePg/>
          <w:docGrid w:linePitch="360"/>
        </w:sectPr>
      </w:pPr>
    </w:p>
    <w:p w:rsidR="009B21E1" w:rsidRPr="000822A0" w:rsidRDefault="00FC0B1B" w:rsidP="009B21E1">
      <w:pPr>
        <w:spacing w:after="0" w:line="240" w:lineRule="auto"/>
        <w:jc w:val="center"/>
        <w:rPr>
          <w:rFonts w:ascii="Times New Roman" w:eastAsia="Times New Roman" w:hAnsi="Times New Roman" w:cs="Times New Roman"/>
          <w:sz w:val="24"/>
          <w:szCs w:val="24"/>
          <w:lang w:eastAsia="cs-CZ"/>
        </w:rPr>
        <w:sectPr w:rsidR="009B21E1" w:rsidRPr="000822A0" w:rsidSect="00E540D1">
          <w:pgSz w:w="16838" w:h="11906" w:orient="landscape"/>
          <w:pgMar w:top="1134" w:right="1134" w:bottom="1134" w:left="1134" w:header="709" w:footer="709" w:gutter="0"/>
          <w:cols w:space="708"/>
          <w:docGrid w:linePitch="360"/>
        </w:sectPr>
      </w:pPr>
      <w:r w:rsidRPr="00FC0B1B">
        <w:rPr>
          <w:noProof/>
          <w:lang w:eastAsia="cs-CZ"/>
        </w:rPr>
        <w:lastRenderedPageBreak/>
        <w:drawing>
          <wp:inline distT="0" distB="0" distL="0" distR="0" wp14:anchorId="76C312D8" wp14:editId="34B6D08C">
            <wp:extent cx="8880539" cy="6029865"/>
            <wp:effectExtent l="0" t="0" r="0" b="9525"/>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21842"/>
                    <a:stretch/>
                  </pic:blipFill>
                  <pic:spPr bwMode="auto">
                    <a:xfrm>
                      <a:off x="0" y="0"/>
                      <a:ext cx="8883778" cy="6032064"/>
                    </a:xfrm>
                    <a:prstGeom prst="rect">
                      <a:avLst/>
                    </a:prstGeom>
                    <a:noFill/>
                    <a:ln>
                      <a:noFill/>
                    </a:ln>
                    <a:extLst>
                      <a:ext uri="{53640926-AAD7-44D8-BBD7-CCE9431645EC}">
                        <a14:shadowObscured xmlns:a14="http://schemas.microsoft.com/office/drawing/2010/main"/>
                      </a:ext>
                    </a:extLst>
                  </pic:spPr>
                </pic:pic>
              </a:graphicData>
            </a:graphic>
          </wp:inline>
        </w:drawing>
      </w:r>
    </w:p>
    <w:p w:rsidR="009B21E1" w:rsidRPr="000822A0" w:rsidRDefault="009B21E1" w:rsidP="009B21E1">
      <w:pPr>
        <w:pStyle w:val="Obrzek-nadpis"/>
      </w:pPr>
      <w:r w:rsidRPr="000822A0">
        <w:lastRenderedPageBreak/>
        <w:t xml:space="preserve">Obr. </w:t>
      </w:r>
      <w:r>
        <w:t>2.1</w:t>
      </w:r>
      <w:r w:rsidRPr="00E63598">
        <w:t xml:space="preserve">: Schéma způsobu financování </w:t>
      </w:r>
      <w:proofErr w:type="spellStart"/>
      <w:r w:rsidRPr="00E63598">
        <w:t>VaVaI</w:t>
      </w:r>
      <w:proofErr w:type="spellEnd"/>
      <w:r w:rsidRPr="00E63598">
        <w:t xml:space="preserve"> ze státního rozpočtu (</w:t>
      </w:r>
      <w:r w:rsidRPr="009B21E1">
        <w:rPr>
          <w:highlight w:val="yellow"/>
        </w:rPr>
        <w:t>Jsou uvedeny konkrétní výše objemu vynaložených prostředků v roce 2015.</w:t>
      </w:r>
      <w:r w:rsidRPr="00E63598">
        <w:t>)</w:t>
      </w:r>
    </w:p>
    <w:p w:rsidR="009B21E1" w:rsidRPr="000822A0" w:rsidRDefault="009B21E1" w:rsidP="009B21E1">
      <w:pPr>
        <w:spacing w:after="0" w:line="240" w:lineRule="auto"/>
        <w:jc w:val="center"/>
        <w:rPr>
          <w:rFonts w:ascii="Times New Roman" w:eastAsia="Times New Roman" w:hAnsi="Times New Roman" w:cs="Times New Roman"/>
          <w:sz w:val="24"/>
          <w:szCs w:val="24"/>
          <w:lang w:eastAsia="cs-CZ"/>
        </w:rPr>
      </w:pPr>
      <w:r w:rsidRPr="00C115C3">
        <w:rPr>
          <w:noProof/>
          <w:lang w:eastAsia="cs-CZ"/>
        </w:rPr>
        <w:drawing>
          <wp:inline distT="0" distB="0" distL="0" distR="0" wp14:anchorId="646B49DF" wp14:editId="02FDE700">
            <wp:extent cx="5253486" cy="6376923"/>
            <wp:effectExtent l="0" t="0" r="444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55874" cy="6379821"/>
                    </a:xfrm>
                    <a:prstGeom prst="rect">
                      <a:avLst/>
                    </a:prstGeom>
                    <a:noFill/>
                    <a:ln>
                      <a:noFill/>
                    </a:ln>
                  </pic:spPr>
                </pic:pic>
              </a:graphicData>
            </a:graphic>
          </wp:inline>
        </w:drawing>
      </w:r>
    </w:p>
    <w:p w:rsidR="009B21E1" w:rsidRPr="000822A0" w:rsidRDefault="009B21E1" w:rsidP="009B21E1">
      <w:pPr>
        <w:pStyle w:val="komentzaobrzkem"/>
      </w:pPr>
      <w:r w:rsidRPr="00845AD8">
        <w:t>Finance jsou uváděny v mil. Kč, bez kapitoly ÚV ČR.</w:t>
      </w:r>
    </w:p>
    <w:p w:rsidR="009B21E1" w:rsidRPr="000822A0" w:rsidRDefault="009B21E1" w:rsidP="009B21E1">
      <w:pPr>
        <w:pStyle w:val="komentzaobrzkem"/>
      </w:pPr>
      <w:r w:rsidRPr="000822A0">
        <w:t>Velikosti polí ve schématu neodpovídají přesně finančním objemům</w:t>
      </w:r>
      <w:r>
        <w:t>.</w:t>
      </w:r>
    </w:p>
    <w:p w:rsidR="009B21E1" w:rsidRPr="00D55CFD" w:rsidRDefault="009B21E1" w:rsidP="009B21E1">
      <w:pPr>
        <w:pStyle w:val="komentzaobrzkem"/>
      </w:pPr>
      <w:r w:rsidRPr="000822A0">
        <w:t>Finanční prostředky v pravém sloupci (subjekt</w:t>
      </w:r>
      <w:r>
        <w:t>y</w:t>
      </w:r>
      <w:r w:rsidRPr="000822A0">
        <w:t xml:space="preserve"> provádějící </w:t>
      </w:r>
      <w:proofErr w:type="spellStart"/>
      <w:r w:rsidRPr="000822A0">
        <w:t>VaVaI</w:t>
      </w:r>
      <w:proofErr w:type="spellEnd"/>
      <w:r w:rsidRPr="000822A0">
        <w:t>) neobsahují</w:t>
      </w:r>
      <w:r>
        <w:t xml:space="preserve"> f</w:t>
      </w:r>
      <w:r w:rsidRPr="00D55CFD">
        <w:t>inance určené na spolufinancování projektů SF</w:t>
      </w:r>
      <w:r>
        <w:t xml:space="preserve"> EU</w:t>
      </w:r>
      <w:r w:rsidRPr="00D55CFD">
        <w:t xml:space="preserve"> poskytovatele MPO (schváleny v celkové výši 350 mil Kč), neboť údaje nebyly ze strany MPO předány</w:t>
      </w:r>
      <w:r>
        <w:t xml:space="preserve"> do IS </w:t>
      </w:r>
      <w:proofErr w:type="spellStart"/>
      <w:r>
        <w:t>VaVaI</w:t>
      </w:r>
      <w:proofErr w:type="spellEnd"/>
      <w:r>
        <w:t>, přestože se dle § </w:t>
      </w:r>
      <w:r w:rsidRPr="00D55CFD">
        <w:t>31 zákona o podpoře výzkumu, vývoje a inovací jedná o povinnost poskytovatele</w:t>
      </w:r>
      <w:r>
        <w:t>.</w:t>
      </w:r>
    </w:p>
    <w:p w:rsidR="009B21E1" w:rsidRPr="00D55CFD" w:rsidRDefault="009B21E1" w:rsidP="009B21E1">
      <w:pPr>
        <w:pStyle w:val="komentzaobrzkem"/>
      </w:pPr>
      <w:r w:rsidRPr="00D55CFD">
        <w:t>SP - stá</w:t>
      </w:r>
      <w:r>
        <w:t>tní příspěvkové organizace</w:t>
      </w:r>
      <w:r w:rsidRPr="00D55CFD">
        <w:t>,</w:t>
      </w:r>
      <w:r>
        <w:t xml:space="preserve"> organizační složky státu </w:t>
      </w:r>
      <w:r w:rsidRPr="00D55CFD">
        <w:t xml:space="preserve">a </w:t>
      </w:r>
      <w:r>
        <w:t>veřejné výzkumné instituce mimo ústavů AV ČR</w:t>
      </w:r>
    </w:p>
    <w:p w:rsidR="009B21E1" w:rsidRDefault="009B21E1" w:rsidP="009B21E1">
      <w:pPr>
        <w:pStyle w:val="komentzaobrzkem"/>
      </w:pPr>
      <w:r w:rsidRPr="00D55CFD">
        <w:t>PF – právnické a fyzické osoby mimo vysoké školy, SP a ústavy AV ČR</w:t>
      </w:r>
    </w:p>
    <w:p w:rsidR="009B21E1" w:rsidRPr="0053104B" w:rsidRDefault="009B21E1" w:rsidP="009B21E1">
      <w:pPr>
        <w:spacing w:after="0" w:line="360" w:lineRule="auto"/>
        <w:ind w:firstLine="708"/>
        <w:jc w:val="both"/>
        <w:rPr>
          <w:rFonts w:ascii="Arial" w:eastAsia="Times New Roman" w:hAnsi="Arial" w:cs="Arial"/>
          <w:lang w:eastAsia="cs-CZ"/>
        </w:rPr>
      </w:pPr>
    </w:p>
    <w:p w:rsidR="009B21E1" w:rsidRDefault="009B21E1">
      <w:pPr>
        <w:rPr>
          <w:rFonts w:ascii="Arial" w:eastAsia="Times New Roman" w:hAnsi="Arial" w:cs="Times New Roman"/>
          <w:i/>
          <w:sz w:val="18"/>
          <w:szCs w:val="24"/>
          <w:lang w:eastAsia="cs-CZ"/>
        </w:rPr>
      </w:pPr>
      <w:r>
        <w:rPr>
          <w:rFonts w:ascii="Arial" w:eastAsia="Times New Roman" w:hAnsi="Arial" w:cs="Times New Roman"/>
          <w:i/>
          <w:sz w:val="18"/>
          <w:szCs w:val="24"/>
          <w:lang w:eastAsia="cs-CZ"/>
        </w:rPr>
        <w:br w:type="page"/>
      </w:r>
    </w:p>
    <w:p w:rsidR="006338C7" w:rsidRPr="006338C7" w:rsidRDefault="006338C7" w:rsidP="001530DA">
      <w:pPr>
        <w:pStyle w:val="NadpisurovenI"/>
        <w:numPr>
          <w:ilvl w:val="0"/>
          <w:numId w:val="31"/>
        </w:numPr>
      </w:pPr>
      <w:bookmarkStart w:id="5" w:name="_Toc464461096"/>
      <w:r w:rsidRPr="006338C7">
        <w:lastRenderedPageBreak/>
        <w:t>P</w:t>
      </w:r>
      <w:r w:rsidR="00321A9B">
        <w:t>odpora</w:t>
      </w:r>
      <w:r w:rsidRPr="006338C7">
        <w:t xml:space="preserve"> </w:t>
      </w:r>
      <w:proofErr w:type="spellStart"/>
      <w:r w:rsidRPr="006338C7">
        <w:t>VaVaI</w:t>
      </w:r>
      <w:proofErr w:type="spellEnd"/>
      <w:r w:rsidRPr="006338C7">
        <w:t xml:space="preserve"> V ČR </w:t>
      </w:r>
      <w:r w:rsidR="00321A9B">
        <w:t>z evropských prostředků</w:t>
      </w:r>
      <w:bookmarkEnd w:id="5"/>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 xml:space="preserve">Jednou z nejvýznamnějších položek evropského rozpočtu tvoří politika hospodářské, sociální a územní soudržnosti EU, jejíž cíle jsou naplňovány v sedmiletých cyklech za pomoci k tomu zřízených fondů. Hlavními nástroji podpory projektů investičního charakteru, sociálních programů nebo projektů rozvoje lidských zdrojů jsou Evropský fond pro regionální rozvoj a Evropský sociální fond. Vedle nich existují další instrumenty podpory, které však ovlivňují oblast </w:t>
      </w:r>
      <w:proofErr w:type="spellStart"/>
      <w:r w:rsidRPr="001530DA">
        <w:rPr>
          <w:rFonts w:ascii="Arial" w:eastAsia="Times New Roman" w:hAnsi="Arial" w:cs="Arial"/>
          <w:lang w:eastAsia="cs-CZ"/>
        </w:rPr>
        <w:t>VaVaI</w:t>
      </w:r>
      <w:proofErr w:type="spellEnd"/>
      <w:r w:rsidRPr="001530DA">
        <w:rPr>
          <w:rFonts w:ascii="Arial" w:eastAsia="Times New Roman" w:hAnsi="Arial" w:cs="Arial"/>
          <w:lang w:eastAsia="cs-CZ"/>
        </w:rPr>
        <w:t xml:space="preserve"> pouze v omezeném měřítku. </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V programovém období 2007 – 2013 bylo pro Česko alokováno v rámci ERDF, ESF a Fondu soudržnosti 676 257,1 ml. Kč (zdroj: Čtvrtletní monitorovací zpráva o průběhu čerpání strukturálních fondů, Fondu soudržnosti v programovém období 2007 – 2013, MMR), v</w:t>
      </w:r>
      <w:r w:rsidR="001530DA">
        <w:rPr>
          <w:rFonts w:ascii="Arial" w:eastAsia="Times New Roman" w:hAnsi="Arial" w:cs="Arial"/>
          <w:lang w:eastAsia="cs-CZ"/>
        </w:rPr>
        <w:t> </w:t>
      </w:r>
      <w:r w:rsidRPr="001530DA">
        <w:rPr>
          <w:rFonts w:ascii="Arial" w:eastAsia="Times New Roman" w:hAnsi="Arial" w:cs="Arial"/>
          <w:lang w:eastAsia="cs-CZ"/>
        </w:rPr>
        <w:t>programovém období 2014-2020 jde o částku 643 438,6 ml. Kč</w:t>
      </w:r>
      <w:r w:rsidRPr="001530DA">
        <w:rPr>
          <w:rFonts w:eastAsia="Times New Roman"/>
          <w:vertAlign w:val="superscript"/>
          <w:lang w:eastAsia="cs-CZ"/>
        </w:rPr>
        <w:footnoteReference w:id="11"/>
      </w:r>
      <w:r w:rsidRPr="001530DA">
        <w:rPr>
          <w:rFonts w:ascii="Arial" w:eastAsia="Times New Roman" w:hAnsi="Arial" w:cs="Arial"/>
          <w:lang w:eastAsia="cs-CZ"/>
        </w:rPr>
        <w:t xml:space="preserve"> na 5 Evropských strukturálních a investičních fondů (ESI fondy, ESIF), kam kromě ERDF, ESF a Fondu soudržnosti náleží i Evropský zemědělský fond pro rozvoj venkova a Evropský námořní a rybářský fond.</w:t>
      </w:r>
      <w:r w:rsidRPr="001530DA">
        <w:rPr>
          <w:rFonts w:eastAsia="Times New Roman"/>
          <w:vertAlign w:val="superscript"/>
          <w:lang w:eastAsia="cs-CZ"/>
        </w:rPr>
        <w:footnoteReference w:id="12"/>
      </w:r>
      <w:r w:rsidRPr="001530DA">
        <w:rPr>
          <w:rFonts w:ascii="Arial" w:eastAsia="Times New Roman" w:hAnsi="Arial" w:cs="Arial"/>
          <w:lang w:eastAsia="cs-CZ"/>
        </w:rPr>
        <w:t xml:space="preserve"> Poslední část prostředků programového období 2007 – 2013 je nutno využít do konce roku 2015, konečným termínem pro využití prostředků programového období 2014 – 2020 je závěr roku 2023.</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Pro využití evropských fondů v každém programovém období připravily členské země národní strategický dokument a na něj navazující programové dokumenty; Národní strategický referenční rámec a operační programy pro období 2007 – 2013 a Dohodu o</w:t>
      </w:r>
      <w:r w:rsidR="001530DA">
        <w:rPr>
          <w:rFonts w:ascii="Arial" w:eastAsia="Times New Roman" w:hAnsi="Arial" w:cs="Arial"/>
          <w:lang w:eastAsia="cs-CZ"/>
        </w:rPr>
        <w:t> </w:t>
      </w:r>
      <w:r w:rsidRPr="001530DA">
        <w:rPr>
          <w:rFonts w:ascii="Arial" w:eastAsia="Times New Roman" w:hAnsi="Arial" w:cs="Arial"/>
          <w:lang w:eastAsia="cs-CZ"/>
        </w:rPr>
        <w:t>partnerství pro programové období 2014 – 2020. Vyjma odlišného legislativního základu pro obě sledovaná programová období je nutné v analýzách reflektovat i drobné odlišnosti v na sebe navazujících programech v gesci jedné instituce. Do nastavení operačních programů 2014 – 2020 byly promítnuty zkušenosti z předcházejícího programového období, zejména z pohledu koncentrace priorit, snížení počtu operačních programů a jasného nastavení rolí a řídících mechanismů v implementační struktuře operačních programů. Zaměření jednotlivých OP je dále blíže specifikováno strukturou prioritních os, oblastí podpory a dílčích programů nebo aktivit. Vedle věcných vymezení hranic se jmenované programy odlišují zejména ve zdrojích podpory (OP VK - ESF, OP VVV ESF / EFRR a</w:t>
      </w:r>
      <w:r w:rsidR="001530DA">
        <w:rPr>
          <w:rFonts w:ascii="Arial" w:eastAsia="Times New Roman" w:hAnsi="Arial" w:cs="Arial"/>
          <w:lang w:eastAsia="cs-CZ"/>
        </w:rPr>
        <w:t> </w:t>
      </w:r>
      <w:r w:rsidRPr="001530DA">
        <w:rPr>
          <w:rFonts w:ascii="Arial" w:eastAsia="Times New Roman" w:hAnsi="Arial" w:cs="Arial"/>
          <w:lang w:eastAsia="cs-CZ"/>
        </w:rPr>
        <w:t>OP</w:t>
      </w:r>
      <w:r w:rsidR="001530DA">
        <w:rPr>
          <w:rFonts w:ascii="Arial" w:eastAsia="Times New Roman" w:hAnsi="Arial" w:cs="Arial"/>
          <w:lang w:eastAsia="cs-CZ"/>
        </w:rPr>
        <w:t> </w:t>
      </w:r>
      <w:proofErr w:type="spellStart"/>
      <w:r w:rsidRPr="001530DA">
        <w:rPr>
          <w:rFonts w:ascii="Arial" w:eastAsia="Times New Roman" w:hAnsi="Arial" w:cs="Arial"/>
          <w:lang w:eastAsia="cs-CZ"/>
        </w:rPr>
        <w:t>VaVpI</w:t>
      </w:r>
      <w:proofErr w:type="spellEnd"/>
      <w:r w:rsidRPr="001530DA">
        <w:rPr>
          <w:rFonts w:ascii="Arial" w:eastAsia="Times New Roman" w:hAnsi="Arial" w:cs="Arial"/>
          <w:lang w:eastAsia="cs-CZ"/>
        </w:rPr>
        <w:t>, OP PI – ERDF, OP PIK - EFRR/ERDF) nebo pravidly pro veřejnou podporu stanovenými evropskou legislativou.</w:t>
      </w:r>
    </w:p>
    <w:p w:rsidR="006338C7" w:rsidRPr="00C27B9A" w:rsidRDefault="006338C7" w:rsidP="001530DA">
      <w:pPr>
        <w:spacing w:after="0" w:line="360" w:lineRule="auto"/>
        <w:ind w:firstLine="708"/>
        <w:jc w:val="both"/>
        <w:rPr>
          <w:rFonts w:ascii="Arial" w:hAnsi="Arial" w:cs="Arial"/>
        </w:rPr>
      </w:pPr>
      <w:r w:rsidRPr="001530DA">
        <w:rPr>
          <w:rFonts w:ascii="Arial" w:eastAsia="Times New Roman" w:hAnsi="Arial" w:cs="Arial"/>
          <w:lang w:eastAsia="cs-CZ"/>
        </w:rPr>
        <w:t xml:space="preserve">Dohoda o partnerství stanovuje základní východiska, jejichž respektováním lze docílit maximální komplementarity a synergie (věcný, finanční a časový soulad) nejen mezi programy ESIF, ale také mezi programy ESIF a EU programy/nástroji a tím větší efektivity podpory. Zajištění provázanosti intervencí mnohdy vychází z kompetence dané instituce </w:t>
      </w:r>
      <w:r w:rsidRPr="001530DA">
        <w:rPr>
          <w:rFonts w:ascii="Arial" w:eastAsia="Times New Roman" w:hAnsi="Arial" w:cs="Arial"/>
          <w:lang w:eastAsia="cs-CZ"/>
        </w:rPr>
        <w:lastRenderedPageBreak/>
        <w:t>spravující jak ESIF, tak i národní či EU program, jež vede k vyloučení duplicit i ke vhodnému nastavení doplňkových intervencí. U synergických a komplementárních intervencí jsou intervence průběžně plánovány (např. spolupráce na plánování výzev), následně koordinovány (např. účast na řídících platformách) a vyhodnocovány (např. společné evaluační aktivity). Mechanismy koordinace ESIF a programů na národní úrovni tak jsou propojovány, přičemž v některých případech je možné využít více zdrojů pro jednu operaci.</w:t>
      </w:r>
      <w:r w:rsidRPr="00C27B9A">
        <w:rPr>
          <w:rFonts w:ascii="Arial" w:hAnsi="Arial" w:cs="Arial"/>
        </w:rPr>
        <w:t xml:space="preserve"> Významné zlepšení právě v oblasti řídících a kontrolních systémů se očekává také od účinné implementace služebního zákona.</w:t>
      </w:r>
    </w:p>
    <w:p w:rsidR="006338C7" w:rsidRPr="00C27B9A" w:rsidRDefault="006338C7" w:rsidP="006338C7">
      <w:pPr>
        <w:jc w:val="both"/>
        <w:rPr>
          <w:rFonts w:ascii="Arial" w:eastAsia="Times New Roman" w:hAnsi="Arial" w:cs="Arial"/>
          <w:b/>
          <w:szCs w:val="24"/>
          <w:lang w:eastAsia="cs-CZ"/>
        </w:rPr>
      </w:pPr>
      <w:r w:rsidRPr="00C27B9A">
        <w:rPr>
          <w:rFonts w:ascii="Arial" w:eastAsia="Times New Roman" w:hAnsi="Arial" w:cs="Arial"/>
          <w:b/>
          <w:szCs w:val="24"/>
          <w:lang w:eastAsia="cs-CZ"/>
        </w:rPr>
        <w:t xml:space="preserve">Graf 3.1: Výdaje na </w:t>
      </w:r>
      <w:proofErr w:type="spellStart"/>
      <w:r w:rsidRPr="00C27B9A">
        <w:rPr>
          <w:rFonts w:ascii="Arial" w:eastAsia="Times New Roman" w:hAnsi="Arial" w:cs="Arial"/>
          <w:b/>
          <w:szCs w:val="24"/>
          <w:lang w:eastAsia="cs-CZ"/>
        </w:rPr>
        <w:t>VaV</w:t>
      </w:r>
      <w:proofErr w:type="spellEnd"/>
      <w:r w:rsidRPr="00C27B9A">
        <w:rPr>
          <w:rFonts w:ascii="Arial" w:eastAsia="Times New Roman" w:hAnsi="Arial" w:cs="Arial"/>
          <w:b/>
          <w:szCs w:val="24"/>
          <w:lang w:eastAsia="cs-CZ"/>
        </w:rPr>
        <w:t xml:space="preserve"> ze zahraničních zdrojů v ČR mezi lety 2007 - 2014 (v mld. Kč)</w:t>
      </w:r>
    </w:p>
    <w:p w:rsidR="006338C7" w:rsidRPr="00C27B9A" w:rsidRDefault="006338C7" w:rsidP="006338C7">
      <w:pPr>
        <w:jc w:val="both"/>
        <w:rPr>
          <w:rFonts w:ascii="Arial" w:hAnsi="Arial" w:cs="Arial"/>
        </w:rPr>
      </w:pPr>
      <w:r w:rsidRPr="00C27B9A">
        <w:rPr>
          <w:rFonts w:ascii="Arial" w:hAnsi="Arial" w:cs="Arial"/>
          <w:noProof/>
          <w:lang w:eastAsia="cs-CZ"/>
        </w:rPr>
        <w:drawing>
          <wp:inline distT="0" distB="0" distL="0" distR="0" wp14:anchorId="6193AF8F" wp14:editId="79C2E281">
            <wp:extent cx="5760720" cy="3298664"/>
            <wp:effectExtent l="0" t="0" r="11430" b="16510"/>
            <wp:docPr id="2"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6338C7" w:rsidRPr="00C27B9A" w:rsidRDefault="006338C7" w:rsidP="006338C7">
      <w:pPr>
        <w:jc w:val="both"/>
        <w:rPr>
          <w:rFonts w:ascii="Arial" w:hAnsi="Arial" w:cs="Arial"/>
          <w:i/>
          <w:sz w:val="18"/>
          <w:szCs w:val="18"/>
        </w:rPr>
      </w:pPr>
      <w:r w:rsidRPr="00C27B9A">
        <w:rPr>
          <w:rFonts w:ascii="Arial" w:hAnsi="Arial" w:cs="Arial"/>
          <w:i/>
          <w:sz w:val="18"/>
          <w:szCs w:val="18"/>
        </w:rPr>
        <w:t>Zdroj dat: Ukazatele výzkumu a vývoje za rok 2014, ČSÚ, Kód: 211002-15</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 xml:space="preserve">Z grafu 3.1 je patrné, že podíl celkových výdajů ze zahraničních zdrojů mezi lety 2007 a 2014 rostl. Celková výše zahraničních výdajů na podporu </w:t>
      </w:r>
      <w:proofErr w:type="spellStart"/>
      <w:r w:rsidRPr="001530DA">
        <w:rPr>
          <w:rFonts w:ascii="Arial" w:eastAsia="Times New Roman" w:hAnsi="Arial" w:cs="Arial"/>
          <w:lang w:eastAsia="cs-CZ"/>
        </w:rPr>
        <w:t>VaV</w:t>
      </w:r>
      <w:proofErr w:type="spellEnd"/>
      <w:r w:rsidRPr="001530DA">
        <w:rPr>
          <w:rFonts w:ascii="Arial" w:eastAsia="Times New Roman" w:hAnsi="Arial" w:cs="Arial"/>
          <w:lang w:eastAsia="cs-CZ"/>
        </w:rPr>
        <w:t xml:space="preserve"> v roce 2014, včetně prostředků krytých příjmy z EU a norských fondů, dosáhla 24,55 mld. Kč. To znamená nárůst oproti roku 2013 o 3,41 mld. Kč, tedy o 16,1 %. Celkové čerpání finančních prostředků ze strukturálních fondů v programovém období 2007 - 2013 v oblasti </w:t>
      </w:r>
      <w:proofErr w:type="spellStart"/>
      <w:r w:rsidRPr="001530DA">
        <w:rPr>
          <w:rFonts w:ascii="Arial" w:eastAsia="Times New Roman" w:hAnsi="Arial" w:cs="Arial"/>
          <w:lang w:eastAsia="cs-CZ"/>
        </w:rPr>
        <w:t>VaV</w:t>
      </w:r>
      <w:proofErr w:type="spellEnd"/>
      <w:r w:rsidRPr="001530DA">
        <w:rPr>
          <w:rFonts w:ascii="Arial" w:eastAsia="Times New Roman" w:hAnsi="Arial" w:cs="Arial"/>
          <w:lang w:eastAsia="cs-CZ"/>
        </w:rPr>
        <w:t xml:space="preserve"> významně přispělo k celkovému navýšení výdajů na </w:t>
      </w:r>
      <w:proofErr w:type="spellStart"/>
      <w:r w:rsidRPr="001530DA">
        <w:rPr>
          <w:rFonts w:ascii="Arial" w:eastAsia="Times New Roman" w:hAnsi="Arial" w:cs="Arial"/>
          <w:lang w:eastAsia="cs-CZ"/>
        </w:rPr>
        <w:t>VaV</w:t>
      </w:r>
      <w:proofErr w:type="spellEnd"/>
      <w:r w:rsidRPr="001530DA">
        <w:rPr>
          <w:rFonts w:ascii="Arial" w:eastAsia="Times New Roman" w:hAnsi="Arial" w:cs="Arial"/>
          <w:lang w:eastAsia="cs-CZ"/>
        </w:rPr>
        <w:t xml:space="preserve"> v ČR. Ve stejném období jsou patrné odlišnosti v míře růstu soukromých a veřejných zahraničních zdrojů. Meziroční růst soukromých zahraničních zdrojů byl relativně konstantní, oproti tomu meziroční míra růstu veřejných zdrojů ze zahraničí se po roce 2010 výrazně zvýšila. V roce 2014 došlo k mírnému nárůstu veřejných zahraničních výdajů na </w:t>
      </w:r>
      <w:proofErr w:type="spellStart"/>
      <w:r w:rsidRPr="001530DA">
        <w:rPr>
          <w:rFonts w:ascii="Arial" w:eastAsia="Times New Roman" w:hAnsi="Arial" w:cs="Arial"/>
          <w:lang w:eastAsia="cs-CZ"/>
        </w:rPr>
        <w:t>VaV</w:t>
      </w:r>
      <w:proofErr w:type="spellEnd"/>
      <w:r w:rsidRPr="001530DA">
        <w:rPr>
          <w:rFonts w:ascii="Arial" w:eastAsia="Times New Roman" w:hAnsi="Arial" w:cs="Arial"/>
          <w:lang w:eastAsia="cs-CZ"/>
        </w:rPr>
        <w:t xml:space="preserve">, soukromé zahraniční výdaje však rostly výrazněji oproti předcházejícím letům. Lze očekávat, že po roce 2015, kdy skončilo čerpání prostředků v rámci 7. programového období, dojde k meziročnímu mírnému zvolnění růstového trendu </w:t>
      </w:r>
      <w:r w:rsidRPr="001530DA">
        <w:rPr>
          <w:rFonts w:ascii="Arial" w:eastAsia="Times New Roman" w:hAnsi="Arial" w:cs="Arial"/>
          <w:lang w:eastAsia="cs-CZ"/>
        </w:rPr>
        <w:lastRenderedPageBreak/>
        <w:t>veřejných výdajů ze zahraničí. Je ale pravděpodobné, že v letech následujících bude průběžně docházet k jejich opětovnému nárůstu nastartováním čerpání finančních prostředků v rámci programového období 2014 - 2020.</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 xml:space="preserve">Prostředky z evropských fondů alokované v programovém období 2007 - 2013 poskytly významnou příležitost k modernizaci vzdělávacího systému a rozvoji lidských zdrojů ve </w:t>
      </w:r>
      <w:proofErr w:type="spellStart"/>
      <w:r w:rsidRPr="001530DA">
        <w:rPr>
          <w:rFonts w:ascii="Arial" w:eastAsia="Times New Roman" w:hAnsi="Arial" w:cs="Arial"/>
          <w:lang w:eastAsia="cs-CZ"/>
        </w:rPr>
        <w:t>VaV</w:t>
      </w:r>
      <w:proofErr w:type="spellEnd"/>
      <w:r w:rsidRPr="001530DA">
        <w:rPr>
          <w:rFonts w:ascii="Arial" w:eastAsia="Times New Roman" w:hAnsi="Arial" w:cs="Arial"/>
          <w:lang w:eastAsia="cs-CZ"/>
        </w:rPr>
        <w:t>, ke zlepšení kvality vědecko-výzkumné infrastruktury v ČR a k prohloubení mezinárodní spolupráce i podpoře inovačních aktivit v podnikatelském sektoru. Programové období 2014 - 2020 vychází z pozitivních trendů období předcházejícího (viz tabulka 3.2 a</w:t>
      </w:r>
      <w:r w:rsidR="00995ED6">
        <w:rPr>
          <w:rFonts w:ascii="Arial" w:eastAsia="Times New Roman" w:hAnsi="Arial" w:cs="Arial"/>
          <w:lang w:eastAsia="cs-CZ"/>
        </w:rPr>
        <w:t> </w:t>
      </w:r>
      <w:r w:rsidRPr="001530DA">
        <w:rPr>
          <w:rFonts w:ascii="Arial" w:eastAsia="Times New Roman" w:hAnsi="Arial" w:cs="Arial"/>
          <w:lang w:eastAsia="cs-CZ"/>
        </w:rPr>
        <w:t>3.3), přičemž prozatím činí celková alokace v rámci Dohody o partnerství k 31. 12. 2015 včetně výkonnostní rezervy 648,0 mld. Kč.</w:t>
      </w:r>
      <w:r w:rsidRPr="001530DA">
        <w:rPr>
          <w:rFonts w:eastAsia="Times New Roman"/>
          <w:vertAlign w:val="superscript"/>
          <w:lang w:eastAsia="cs-CZ"/>
        </w:rPr>
        <w:footnoteReference w:id="13"/>
      </w:r>
      <w:r w:rsidRPr="001530DA">
        <w:rPr>
          <w:rFonts w:ascii="Arial" w:eastAsia="Times New Roman" w:hAnsi="Arial" w:cs="Arial"/>
          <w:lang w:eastAsia="cs-CZ"/>
        </w:rPr>
        <w:t xml:space="preserve"> </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 xml:space="preserve">Řídicími orgány OP se zaměřením na </w:t>
      </w:r>
      <w:proofErr w:type="spellStart"/>
      <w:r w:rsidRPr="001530DA">
        <w:rPr>
          <w:rFonts w:ascii="Arial" w:eastAsia="Times New Roman" w:hAnsi="Arial" w:cs="Arial"/>
          <w:lang w:eastAsia="cs-CZ"/>
        </w:rPr>
        <w:t>VaVaI</w:t>
      </w:r>
      <w:proofErr w:type="spellEnd"/>
      <w:r w:rsidRPr="001530DA">
        <w:rPr>
          <w:rFonts w:ascii="Arial" w:eastAsia="Times New Roman" w:hAnsi="Arial" w:cs="Arial"/>
          <w:lang w:eastAsia="cs-CZ"/>
        </w:rPr>
        <w:t xml:space="preserve"> zůstávají i pro programové období 2014 – 2020 MŠMT, MPO a Hl. město Praha. OP VVV tematicky navazuje na </w:t>
      </w:r>
      <w:proofErr w:type="gramStart"/>
      <w:r w:rsidRPr="001530DA">
        <w:rPr>
          <w:rFonts w:ascii="Arial" w:eastAsia="Times New Roman" w:hAnsi="Arial" w:cs="Arial"/>
          <w:lang w:eastAsia="cs-CZ"/>
        </w:rPr>
        <w:t>OP</w:t>
      </w:r>
      <w:proofErr w:type="gramEnd"/>
      <w:r w:rsidRPr="001530DA">
        <w:rPr>
          <w:rFonts w:ascii="Arial" w:eastAsia="Times New Roman" w:hAnsi="Arial" w:cs="Arial"/>
          <w:lang w:eastAsia="cs-CZ"/>
        </w:rPr>
        <w:t xml:space="preserve"> </w:t>
      </w:r>
      <w:proofErr w:type="spellStart"/>
      <w:r w:rsidRPr="001530DA">
        <w:rPr>
          <w:rFonts w:ascii="Arial" w:eastAsia="Times New Roman" w:hAnsi="Arial" w:cs="Arial"/>
          <w:lang w:eastAsia="cs-CZ"/>
        </w:rPr>
        <w:t>VaVpI</w:t>
      </w:r>
      <w:proofErr w:type="spellEnd"/>
      <w:r w:rsidRPr="001530DA">
        <w:rPr>
          <w:rFonts w:ascii="Arial" w:eastAsia="Times New Roman" w:hAnsi="Arial" w:cs="Arial"/>
          <w:lang w:eastAsia="cs-CZ"/>
        </w:rPr>
        <w:t xml:space="preserve"> a OP VK. Na rozdíl od </w:t>
      </w:r>
      <w:proofErr w:type="gramStart"/>
      <w:r w:rsidRPr="001530DA">
        <w:rPr>
          <w:rFonts w:ascii="Arial" w:eastAsia="Times New Roman" w:hAnsi="Arial" w:cs="Arial"/>
          <w:lang w:eastAsia="cs-CZ"/>
        </w:rPr>
        <w:t>OP</w:t>
      </w:r>
      <w:proofErr w:type="gramEnd"/>
      <w:r w:rsidRPr="001530DA">
        <w:rPr>
          <w:rFonts w:ascii="Arial" w:eastAsia="Times New Roman" w:hAnsi="Arial" w:cs="Arial"/>
          <w:lang w:eastAsia="cs-CZ"/>
        </w:rPr>
        <w:t xml:space="preserve"> </w:t>
      </w:r>
      <w:proofErr w:type="spellStart"/>
      <w:r w:rsidRPr="001530DA">
        <w:rPr>
          <w:rFonts w:ascii="Arial" w:eastAsia="Times New Roman" w:hAnsi="Arial" w:cs="Arial"/>
          <w:lang w:eastAsia="cs-CZ"/>
        </w:rPr>
        <w:t>VaVpI</w:t>
      </w:r>
      <w:proofErr w:type="spellEnd"/>
      <w:r w:rsidRPr="001530DA">
        <w:rPr>
          <w:rFonts w:ascii="Arial" w:eastAsia="Times New Roman" w:hAnsi="Arial" w:cs="Arial"/>
          <w:lang w:eastAsia="cs-CZ"/>
        </w:rPr>
        <w:t xml:space="preserve"> však OP VVV omezuje dřívější masivní podporu investic do </w:t>
      </w:r>
      <w:proofErr w:type="spellStart"/>
      <w:r w:rsidRPr="001530DA">
        <w:rPr>
          <w:rFonts w:ascii="Arial" w:eastAsia="Times New Roman" w:hAnsi="Arial" w:cs="Arial"/>
          <w:lang w:eastAsia="cs-CZ"/>
        </w:rPr>
        <w:t>VaV</w:t>
      </w:r>
      <w:proofErr w:type="spellEnd"/>
      <w:r w:rsidRPr="001530DA">
        <w:rPr>
          <w:rFonts w:ascii="Arial" w:eastAsia="Times New Roman" w:hAnsi="Arial" w:cs="Arial"/>
          <w:lang w:eastAsia="cs-CZ"/>
        </w:rPr>
        <w:t xml:space="preserve"> a</w:t>
      </w:r>
      <w:r w:rsidR="001530DA">
        <w:rPr>
          <w:rFonts w:ascii="Arial" w:eastAsia="Times New Roman" w:hAnsi="Arial" w:cs="Arial"/>
          <w:lang w:eastAsia="cs-CZ"/>
        </w:rPr>
        <w:t> </w:t>
      </w:r>
      <w:r w:rsidRPr="001530DA">
        <w:rPr>
          <w:rFonts w:ascii="Arial" w:eastAsia="Times New Roman" w:hAnsi="Arial" w:cs="Arial"/>
          <w:lang w:eastAsia="cs-CZ"/>
        </w:rPr>
        <w:t>soustředí se na investice do zkvalitnění infrastruktury pro výzkumně vzdělávací účely. Klíčovými tématy v této oblasti jsou zvyšování mezinárodní kvality výzkumu, jeho větší orientace na přínosy pro praxi a společnost, včetně zvýšení mezinárodní otevřenosti veřejného výzkumu. Podobně OP PIK navazuje na své předešlé aktivity s důrazem na</w:t>
      </w:r>
      <w:r w:rsidR="001530DA">
        <w:rPr>
          <w:rFonts w:ascii="Arial" w:eastAsia="Times New Roman" w:hAnsi="Arial" w:cs="Arial"/>
          <w:lang w:eastAsia="cs-CZ"/>
        </w:rPr>
        <w:t> </w:t>
      </w:r>
      <w:r w:rsidRPr="001530DA">
        <w:rPr>
          <w:rFonts w:ascii="Arial" w:eastAsia="Times New Roman" w:hAnsi="Arial" w:cs="Arial"/>
          <w:lang w:eastAsia="cs-CZ"/>
        </w:rPr>
        <w:t>posílení mezinárodní technologické konkurenceschopnosti malých a středních podniků v oborech jejich podnikání, podporu spolupráce podnikatelské a vědecko-výzkumné sféry. OP Praha Konkurenceschopnost a OP Praha Adaptabilita získaly svého následovníka v</w:t>
      </w:r>
      <w:r w:rsidR="001530DA">
        <w:rPr>
          <w:rFonts w:ascii="Arial" w:eastAsia="Times New Roman" w:hAnsi="Arial" w:cs="Arial"/>
          <w:lang w:eastAsia="cs-CZ"/>
        </w:rPr>
        <w:t> </w:t>
      </w:r>
      <w:proofErr w:type="gramStart"/>
      <w:r w:rsidRPr="001530DA">
        <w:rPr>
          <w:rFonts w:ascii="Arial" w:eastAsia="Times New Roman" w:hAnsi="Arial" w:cs="Arial"/>
          <w:lang w:eastAsia="cs-CZ"/>
        </w:rPr>
        <w:t>OP</w:t>
      </w:r>
      <w:proofErr w:type="gramEnd"/>
      <w:r w:rsidR="001530DA">
        <w:rPr>
          <w:rFonts w:ascii="Arial" w:eastAsia="Times New Roman" w:hAnsi="Arial" w:cs="Arial"/>
          <w:lang w:eastAsia="cs-CZ"/>
        </w:rPr>
        <w:t> </w:t>
      </w:r>
      <w:r w:rsidRPr="001530DA">
        <w:rPr>
          <w:rFonts w:ascii="Arial" w:eastAsia="Times New Roman" w:hAnsi="Arial" w:cs="Arial"/>
          <w:lang w:eastAsia="cs-CZ"/>
        </w:rPr>
        <w:t>Praha – Pól růstu ČR, jež se nadále soustředí na mezisektorovou spolupráci a rozvoj znalostně intenzivní ekonomiky.</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O stavu a průběhu čerpání finančních prostředků ze strukturálních fondů a Fondu soudržnosti informuje Ministerstvo pro místní rozvoj ve Čtvrtletních monitorovacích zprávách (ČMZ).</w:t>
      </w:r>
      <w:r w:rsidRPr="001530DA">
        <w:rPr>
          <w:rFonts w:eastAsia="Times New Roman"/>
          <w:vertAlign w:val="superscript"/>
          <w:lang w:eastAsia="cs-CZ"/>
        </w:rPr>
        <w:footnoteReference w:id="14"/>
      </w:r>
      <w:r w:rsidRPr="001530DA">
        <w:rPr>
          <w:rFonts w:ascii="Arial" w:eastAsia="Times New Roman" w:hAnsi="Arial" w:cs="Arial"/>
          <w:lang w:eastAsia="cs-CZ"/>
        </w:rPr>
        <w:t xml:space="preserve"> Zdrojem dalších informací o čerpání ESI fondů je Čtvrtletní zpráva o implementaci ESI fondů v ČR v programovém období 2014 – 2020, která doposud poskytuje data za I. čtvrtletí 2016. Stav čerpání tří klíčových podpůrných programů </w:t>
      </w:r>
      <w:proofErr w:type="spellStart"/>
      <w:r w:rsidRPr="001530DA">
        <w:rPr>
          <w:rFonts w:ascii="Arial" w:eastAsia="Times New Roman" w:hAnsi="Arial" w:cs="Arial"/>
          <w:lang w:eastAsia="cs-CZ"/>
        </w:rPr>
        <w:t>VaV</w:t>
      </w:r>
      <w:proofErr w:type="spellEnd"/>
      <w:r w:rsidRPr="001530DA">
        <w:rPr>
          <w:rFonts w:ascii="Arial" w:eastAsia="Times New Roman" w:hAnsi="Arial" w:cs="Arial"/>
          <w:lang w:eastAsia="cs-CZ"/>
        </w:rPr>
        <w:t>; OP VVV vykázal k 31. 12. 2015 částku 74,8 mld. Kč včetně výkonnostní rezervy, OP PIK 117,0 mld. Kč</w:t>
      </w:r>
      <w:r w:rsidRPr="001530DA">
        <w:rPr>
          <w:rFonts w:eastAsia="Times New Roman"/>
          <w:vertAlign w:val="superscript"/>
          <w:lang w:eastAsia="cs-CZ"/>
        </w:rPr>
        <w:footnoteReference w:id="15"/>
      </w:r>
      <w:r w:rsidRPr="001530DA">
        <w:rPr>
          <w:rFonts w:ascii="Arial" w:eastAsia="Times New Roman" w:hAnsi="Arial" w:cs="Arial"/>
          <w:lang w:eastAsia="cs-CZ"/>
        </w:rPr>
        <w:t xml:space="preserve"> a</w:t>
      </w:r>
      <w:r w:rsidR="001530DA">
        <w:rPr>
          <w:rFonts w:ascii="Arial" w:eastAsia="Times New Roman" w:hAnsi="Arial" w:cs="Arial"/>
          <w:lang w:eastAsia="cs-CZ"/>
        </w:rPr>
        <w:t> </w:t>
      </w:r>
      <w:r w:rsidRPr="001530DA">
        <w:rPr>
          <w:rFonts w:ascii="Arial" w:eastAsia="Times New Roman" w:hAnsi="Arial" w:cs="Arial"/>
          <w:lang w:eastAsia="cs-CZ"/>
        </w:rPr>
        <w:t>OP</w:t>
      </w:r>
      <w:r w:rsidR="001530DA">
        <w:rPr>
          <w:rFonts w:ascii="Arial" w:eastAsia="Times New Roman" w:hAnsi="Arial" w:cs="Arial"/>
          <w:lang w:eastAsia="cs-CZ"/>
        </w:rPr>
        <w:t> </w:t>
      </w:r>
      <w:r w:rsidRPr="001530DA">
        <w:rPr>
          <w:rFonts w:ascii="Arial" w:eastAsia="Times New Roman" w:hAnsi="Arial" w:cs="Arial"/>
          <w:lang w:eastAsia="cs-CZ"/>
        </w:rPr>
        <w:t>Praha Pól růstu, který byl schválen v červnu 2015, počítá se spolufinancováním ze strany EU v objemu 1,7 mld. Kč.</w:t>
      </w:r>
      <w:r w:rsidRPr="001530DA">
        <w:rPr>
          <w:rFonts w:eastAsia="Times New Roman"/>
          <w:vertAlign w:val="superscript"/>
          <w:lang w:eastAsia="cs-CZ"/>
        </w:rPr>
        <w:footnoteReference w:id="16"/>
      </w:r>
      <w:bookmarkStart w:id="6" w:name="RANGE!A1:P14"/>
    </w:p>
    <w:p w:rsidR="006338C7" w:rsidRPr="00C27B9A" w:rsidRDefault="006338C7" w:rsidP="006338C7">
      <w:pPr>
        <w:spacing w:after="0" w:line="240" w:lineRule="auto"/>
        <w:jc w:val="center"/>
        <w:rPr>
          <w:rFonts w:ascii="Arial" w:hAnsi="Arial" w:cs="Arial"/>
        </w:rPr>
        <w:sectPr w:rsidR="006338C7" w:rsidRPr="00C27B9A" w:rsidSect="006338C7">
          <w:footerReference w:type="default" r:id="rId24"/>
          <w:pgSz w:w="11906" w:h="16838"/>
          <w:pgMar w:top="1417" w:right="1417" w:bottom="1417" w:left="1417" w:header="708" w:footer="708" w:gutter="0"/>
          <w:cols w:space="708"/>
          <w:docGrid w:linePitch="360"/>
        </w:sectPr>
      </w:pPr>
    </w:p>
    <w:bookmarkEnd w:id="6"/>
    <w:p w:rsidR="006338C7" w:rsidRPr="00C27B9A" w:rsidRDefault="006338C7" w:rsidP="006338C7">
      <w:pPr>
        <w:rPr>
          <w:rFonts w:ascii="Arial" w:eastAsia="Times New Roman" w:hAnsi="Arial" w:cs="Arial"/>
          <w:b/>
          <w:szCs w:val="24"/>
          <w:lang w:eastAsia="cs-CZ"/>
        </w:rPr>
      </w:pPr>
      <w:r w:rsidRPr="00C27B9A">
        <w:rPr>
          <w:rFonts w:ascii="Arial" w:eastAsia="Times New Roman" w:hAnsi="Arial" w:cs="Arial"/>
          <w:b/>
          <w:szCs w:val="24"/>
          <w:lang w:eastAsia="cs-CZ"/>
        </w:rPr>
        <w:lastRenderedPageBreak/>
        <w:t xml:space="preserve">Tab. 3.2: Operační programy podporující </w:t>
      </w:r>
      <w:proofErr w:type="spellStart"/>
      <w:r w:rsidRPr="00C27B9A">
        <w:rPr>
          <w:rFonts w:ascii="Arial" w:eastAsia="Times New Roman" w:hAnsi="Arial" w:cs="Arial"/>
          <w:b/>
          <w:szCs w:val="24"/>
          <w:lang w:eastAsia="cs-CZ"/>
        </w:rPr>
        <w:t>VaVaI</w:t>
      </w:r>
      <w:proofErr w:type="spellEnd"/>
      <w:r w:rsidRPr="00C27B9A">
        <w:rPr>
          <w:rFonts w:ascii="Arial" w:eastAsia="Times New Roman" w:hAnsi="Arial" w:cs="Arial"/>
          <w:b/>
          <w:szCs w:val="24"/>
          <w:lang w:eastAsia="cs-CZ"/>
        </w:rPr>
        <w:t xml:space="preserve"> a jejich struktura – programové období 2007 - 2013</w:t>
      </w:r>
    </w:p>
    <w:p w:rsidR="006338C7" w:rsidRPr="00C27B9A" w:rsidRDefault="006338C7" w:rsidP="006338C7">
      <w:pPr>
        <w:rPr>
          <w:rFonts w:ascii="Arial" w:hAnsi="Arial" w:cs="Arial"/>
        </w:rPr>
        <w:sectPr w:rsidR="006338C7" w:rsidRPr="00C27B9A" w:rsidSect="006338C7">
          <w:pgSz w:w="16838" w:h="11906" w:orient="landscape"/>
          <w:pgMar w:top="1418" w:right="1418" w:bottom="1418" w:left="1418" w:header="709" w:footer="709" w:gutter="0"/>
          <w:cols w:space="708"/>
          <w:docGrid w:linePitch="360"/>
        </w:sectPr>
      </w:pPr>
      <w:r w:rsidRPr="00D46485">
        <w:rPr>
          <w:noProof/>
          <w:lang w:eastAsia="cs-CZ"/>
        </w:rPr>
        <w:drawing>
          <wp:inline distT="0" distB="0" distL="0" distR="0" wp14:anchorId="447872BD" wp14:editId="5BD68A82">
            <wp:extent cx="8891270" cy="3776890"/>
            <wp:effectExtent l="0" t="0" r="508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91270" cy="3776890"/>
                    </a:xfrm>
                    <a:prstGeom prst="rect">
                      <a:avLst/>
                    </a:prstGeom>
                    <a:noFill/>
                    <a:ln>
                      <a:noFill/>
                    </a:ln>
                  </pic:spPr>
                </pic:pic>
              </a:graphicData>
            </a:graphic>
          </wp:inline>
        </w:drawing>
      </w:r>
      <w:r w:rsidRPr="00C27B9A">
        <w:rPr>
          <w:rFonts w:ascii="Arial" w:hAnsi="Arial" w:cs="Arial"/>
          <w:sz w:val="18"/>
          <w:szCs w:val="18"/>
          <w:lang w:eastAsia="cs-CZ"/>
        </w:rPr>
        <w:t>Zdroj: Proplacené prostředky příjemcům ČMZ I.Q 2016</w:t>
      </w:r>
    </w:p>
    <w:tbl>
      <w:tblPr>
        <w:tblpPr w:leftFromText="141" w:rightFromText="141" w:vertAnchor="text" w:tblpY="1"/>
        <w:tblOverlap w:val="never"/>
        <w:tblW w:w="7525" w:type="pct"/>
        <w:tblLayout w:type="fixed"/>
        <w:tblCellMar>
          <w:left w:w="70" w:type="dxa"/>
          <w:right w:w="70" w:type="dxa"/>
        </w:tblCellMar>
        <w:tblLook w:val="04A0" w:firstRow="1" w:lastRow="0" w:firstColumn="1" w:lastColumn="0" w:noHBand="0" w:noVBand="1"/>
      </w:tblPr>
      <w:tblGrid>
        <w:gridCol w:w="1210"/>
        <w:gridCol w:w="847"/>
        <w:gridCol w:w="2337"/>
        <w:gridCol w:w="1375"/>
        <w:gridCol w:w="1085"/>
        <w:gridCol w:w="2345"/>
        <w:gridCol w:w="1375"/>
        <w:gridCol w:w="728"/>
        <w:gridCol w:w="1856"/>
        <w:gridCol w:w="983"/>
        <w:gridCol w:w="7143"/>
      </w:tblGrid>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Poznámka:</w:t>
            </w: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OP VVV</w:t>
            </w:r>
          </w:p>
        </w:tc>
        <w:tc>
          <w:tcPr>
            <w:tcW w:w="549" w:type="pct"/>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323" w:type="pct"/>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255"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551"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323"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171"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436"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231"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r>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2.1</w:t>
            </w:r>
          </w:p>
        </w:tc>
        <w:tc>
          <w:tcPr>
            <w:tcW w:w="2839" w:type="pct"/>
            <w:gridSpan w:val="8"/>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Zvýšení kvality vzdělávání na vysokých školách a jeho relevance pro potřeby trhu práce</w:t>
            </w:r>
          </w:p>
        </w:tc>
      </w:tr>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2.2</w:t>
            </w:r>
          </w:p>
        </w:tc>
        <w:tc>
          <w:tcPr>
            <w:tcW w:w="2839" w:type="pct"/>
            <w:gridSpan w:val="8"/>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 xml:space="preserve">Zvýšení účasti studentů se specifickými potřebami, ze </w:t>
            </w:r>
            <w:proofErr w:type="spellStart"/>
            <w:r w:rsidRPr="00197EDF">
              <w:rPr>
                <w:rFonts w:ascii="Arial" w:eastAsia="Times New Roman" w:hAnsi="Arial" w:cs="Arial"/>
                <w:color w:val="000000"/>
                <w:sz w:val="18"/>
                <w:szCs w:val="18"/>
                <w:lang w:eastAsia="cs-CZ"/>
              </w:rPr>
              <w:t>socio</w:t>
            </w:r>
            <w:proofErr w:type="spellEnd"/>
            <w:r w:rsidRPr="00197EDF">
              <w:rPr>
                <w:rFonts w:ascii="Arial" w:eastAsia="Times New Roman" w:hAnsi="Arial" w:cs="Arial"/>
                <w:color w:val="000000"/>
                <w:sz w:val="18"/>
                <w:szCs w:val="18"/>
                <w:lang w:eastAsia="cs-CZ"/>
              </w:rPr>
              <w:t>-ekonomicky znevýhodněných skupin a z etnických minorit na vysokoškolském vzdělávání, a snížení studijní neúspěšnosti studentů</w:t>
            </w:r>
          </w:p>
        </w:tc>
      </w:tr>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2.3</w:t>
            </w:r>
          </w:p>
        </w:tc>
        <w:tc>
          <w:tcPr>
            <w:tcW w:w="1678" w:type="pct"/>
            <w:gridSpan w:val="4"/>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Zkvalitnění podmínek pro celoživotní vzdělávání na vysokých školách</w:t>
            </w:r>
          </w:p>
        </w:tc>
        <w:tc>
          <w:tcPr>
            <w:tcW w:w="323"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171"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436"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231"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r>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2.4</w:t>
            </w:r>
          </w:p>
        </w:tc>
        <w:tc>
          <w:tcPr>
            <w:tcW w:w="2001" w:type="pct"/>
            <w:gridSpan w:val="5"/>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Nastavení a rozvoj systému hodnocení a zabezpečení kvality a strategického řízení vysokých škol</w:t>
            </w:r>
          </w:p>
        </w:tc>
        <w:tc>
          <w:tcPr>
            <w:tcW w:w="171"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436"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231"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r>
      <w:tr w:rsidR="006338C7" w:rsidRPr="00197EDF" w:rsidTr="006338C7">
        <w:trPr>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OP PIK</w:t>
            </w: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2.4</w:t>
            </w:r>
          </w:p>
        </w:tc>
        <w:tc>
          <w:tcPr>
            <w:tcW w:w="2839" w:type="pct"/>
            <w:gridSpan w:val="8"/>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D46485">
              <w:rPr>
                <w:rFonts w:ascii="Arial" w:eastAsia="Times New Roman" w:hAnsi="Arial" w:cs="Arial"/>
                <w:color w:val="000000"/>
                <w:sz w:val="18"/>
                <w:szCs w:val="18"/>
                <w:lang w:eastAsia="cs-CZ"/>
              </w:rPr>
              <w:t>Zvýšit kapacitu pro odborné vzdělávání v MSP - tento SC byl vypuštěn</w:t>
            </w:r>
          </w:p>
        </w:tc>
        <w:tc>
          <w:tcPr>
            <w:tcW w:w="1678" w:type="pct"/>
            <w:vAlign w:val="center"/>
          </w:tcPr>
          <w:p w:rsidR="006338C7" w:rsidRPr="00197EDF" w:rsidRDefault="006338C7" w:rsidP="006338C7">
            <w:pPr>
              <w:spacing w:after="0" w:line="240" w:lineRule="auto"/>
              <w:rPr>
                <w:rFonts w:ascii="Arial" w:eastAsia="Times New Roman" w:hAnsi="Arial" w:cs="Arial"/>
                <w:color w:val="000000"/>
                <w:sz w:val="18"/>
                <w:szCs w:val="18"/>
                <w:lang w:eastAsia="cs-CZ"/>
              </w:rPr>
            </w:pPr>
          </w:p>
        </w:tc>
      </w:tr>
    </w:tbl>
    <w:p w:rsidR="006338C7" w:rsidRDefault="006338C7" w:rsidP="006338C7">
      <w:pPr>
        <w:jc w:val="both"/>
        <w:rPr>
          <w:rFonts w:ascii="Arial" w:eastAsia="Times New Roman" w:hAnsi="Arial" w:cs="Arial"/>
          <w:b/>
          <w:szCs w:val="24"/>
          <w:lang w:eastAsia="cs-CZ"/>
        </w:rPr>
      </w:pPr>
      <w:r w:rsidRPr="009A020A">
        <w:rPr>
          <w:rFonts w:ascii="Arial" w:eastAsia="Times New Roman" w:hAnsi="Arial" w:cs="Arial"/>
          <w:b/>
          <w:szCs w:val="24"/>
          <w:lang w:eastAsia="cs-CZ"/>
        </w:rPr>
        <w:lastRenderedPageBreak/>
        <w:t xml:space="preserve">Tab. 3.3: Operační programy podporující </w:t>
      </w:r>
      <w:proofErr w:type="spellStart"/>
      <w:r w:rsidRPr="009A020A">
        <w:rPr>
          <w:rFonts w:ascii="Arial" w:eastAsia="Times New Roman" w:hAnsi="Arial" w:cs="Arial"/>
          <w:b/>
          <w:szCs w:val="24"/>
          <w:lang w:eastAsia="cs-CZ"/>
        </w:rPr>
        <w:t>VaVaI</w:t>
      </w:r>
      <w:proofErr w:type="spellEnd"/>
      <w:r w:rsidRPr="009A020A">
        <w:rPr>
          <w:rFonts w:ascii="Arial" w:eastAsia="Times New Roman" w:hAnsi="Arial" w:cs="Arial"/>
          <w:b/>
          <w:szCs w:val="24"/>
          <w:lang w:eastAsia="cs-CZ"/>
        </w:rPr>
        <w:t xml:space="preserve"> a jejich struktura – programové období 2014 </w:t>
      </w:r>
      <w:r>
        <w:rPr>
          <w:rFonts w:ascii="Arial" w:eastAsia="Times New Roman" w:hAnsi="Arial" w:cs="Arial"/>
          <w:b/>
          <w:szCs w:val="24"/>
          <w:lang w:eastAsia="cs-CZ"/>
        </w:rPr>
        <w:t>–</w:t>
      </w:r>
      <w:r w:rsidRPr="009A020A">
        <w:rPr>
          <w:rFonts w:ascii="Arial" w:eastAsia="Times New Roman" w:hAnsi="Arial" w:cs="Arial"/>
          <w:b/>
          <w:szCs w:val="24"/>
          <w:lang w:eastAsia="cs-CZ"/>
        </w:rPr>
        <w:t xml:space="preserve"> 2020</w:t>
      </w:r>
    </w:p>
    <w:p w:rsidR="001530DA" w:rsidRDefault="001530DA" w:rsidP="001530DA">
      <w:pPr>
        <w:rPr>
          <w:rFonts w:ascii="Arial" w:eastAsiaTheme="majorEastAsia" w:hAnsi="Arial" w:cs="Arial"/>
          <w:bCs/>
          <w:sz w:val="18"/>
          <w:szCs w:val="18"/>
        </w:rPr>
      </w:pPr>
      <w:r w:rsidRPr="00B24BFC">
        <w:rPr>
          <w:noProof/>
          <w:lang w:eastAsia="cs-CZ"/>
        </w:rPr>
        <w:drawing>
          <wp:inline distT="0" distB="0" distL="0" distR="0" wp14:anchorId="508C92DD" wp14:editId="3BEB08DE">
            <wp:extent cx="8891270" cy="4378115"/>
            <wp:effectExtent l="0" t="0" r="5080" b="381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91270" cy="4378115"/>
                    </a:xfrm>
                    <a:prstGeom prst="rect">
                      <a:avLst/>
                    </a:prstGeom>
                    <a:noFill/>
                    <a:ln>
                      <a:noFill/>
                    </a:ln>
                  </pic:spPr>
                </pic:pic>
              </a:graphicData>
            </a:graphic>
          </wp:inline>
        </w:drawing>
      </w:r>
    </w:p>
    <w:p w:rsidR="001530DA" w:rsidRDefault="001530DA" w:rsidP="001530DA">
      <w:pPr>
        <w:rPr>
          <w:rFonts w:ascii="Arial" w:eastAsiaTheme="majorEastAsia" w:hAnsi="Arial" w:cs="Arial"/>
          <w:bCs/>
          <w:sz w:val="18"/>
          <w:szCs w:val="18"/>
        </w:rPr>
      </w:pPr>
    </w:p>
    <w:p w:rsidR="001530DA" w:rsidRDefault="001530DA" w:rsidP="001530DA">
      <w:pPr>
        <w:rPr>
          <w:rFonts w:ascii="Arial" w:eastAsiaTheme="majorEastAsia" w:hAnsi="Arial" w:cs="Arial"/>
          <w:bCs/>
          <w:sz w:val="18"/>
          <w:szCs w:val="18"/>
        </w:rPr>
      </w:pPr>
    </w:p>
    <w:p w:rsidR="001530DA" w:rsidRDefault="001530DA" w:rsidP="001530DA">
      <w:pPr>
        <w:rPr>
          <w:rFonts w:ascii="Arial" w:eastAsiaTheme="majorEastAsia" w:hAnsi="Arial" w:cs="Arial"/>
          <w:bCs/>
          <w:sz w:val="18"/>
          <w:szCs w:val="18"/>
        </w:rPr>
      </w:pPr>
    </w:p>
    <w:p w:rsidR="001530DA" w:rsidRDefault="001530DA" w:rsidP="001530DA">
      <w:pPr>
        <w:rPr>
          <w:rFonts w:ascii="Arial" w:eastAsiaTheme="majorEastAsia" w:hAnsi="Arial" w:cs="Arial"/>
          <w:bCs/>
          <w:sz w:val="18"/>
          <w:szCs w:val="18"/>
        </w:rPr>
      </w:pPr>
      <w:r w:rsidRPr="00B24BFC">
        <w:rPr>
          <w:noProof/>
          <w:lang w:eastAsia="cs-CZ"/>
        </w:rPr>
        <w:lastRenderedPageBreak/>
        <w:drawing>
          <wp:inline distT="0" distB="0" distL="0" distR="0" wp14:anchorId="42C00BA8" wp14:editId="5C8C1228">
            <wp:extent cx="8891270" cy="2210380"/>
            <wp:effectExtent l="0" t="0" r="508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91270" cy="2210380"/>
                    </a:xfrm>
                    <a:prstGeom prst="rect">
                      <a:avLst/>
                    </a:prstGeom>
                    <a:noFill/>
                    <a:ln>
                      <a:noFill/>
                    </a:ln>
                  </pic:spPr>
                </pic:pic>
              </a:graphicData>
            </a:graphic>
          </wp:inline>
        </w:drawing>
      </w:r>
    </w:p>
    <w:tbl>
      <w:tblPr>
        <w:tblW w:w="14087" w:type="dxa"/>
        <w:tblInd w:w="55" w:type="dxa"/>
        <w:tblLayout w:type="fixed"/>
        <w:tblCellMar>
          <w:left w:w="70" w:type="dxa"/>
          <w:right w:w="70" w:type="dxa"/>
        </w:tblCellMar>
        <w:tblLook w:val="04A0" w:firstRow="1" w:lastRow="0" w:firstColumn="1" w:lastColumn="0" w:noHBand="0" w:noVBand="1"/>
      </w:tblPr>
      <w:tblGrid>
        <w:gridCol w:w="1118"/>
        <w:gridCol w:w="1024"/>
        <w:gridCol w:w="1423"/>
        <w:gridCol w:w="1326"/>
        <w:gridCol w:w="1068"/>
        <w:gridCol w:w="2204"/>
        <w:gridCol w:w="1326"/>
        <w:gridCol w:w="1068"/>
        <w:gridCol w:w="2204"/>
        <w:gridCol w:w="1326"/>
      </w:tblGrid>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Poznámka:</w:t>
            </w: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b/>
                <w:bCs/>
                <w:color w:val="000000"/>
                <w:sz w:val="18"/>
                <w:szCs w:val="18"/>
                <w:lang w:eastAsia="cs-CZ"/>
              </w:rPr>
            </w:pPr>
            <w:r w:rsidRPr="00B24BFC">
              <w:rPr>
                <w:rFonts w:ascii="Calibri" w:eastAsia="Times New Roman" w:hAnsi="Calibri" w:cs="Times New Roman"/>
                <w:b/>
                <w:bCs/>
                <w:color w:val="000000"/>
                <w:sz w:val="18"/>
                <w:szCs w:val="18"/>
                <w:lang w:eastAsia="cs-CZ"/>
              </w:rPr>
              <w:t>OP VVV</w:t>
            </w:r>
          </w:p>
        </w:tc>
        <w:tc>
          <w:tcPr>
            <w:tcW w:w="1423"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2.1</w:t>
            </w:r>
          </w:p>
        </w:tc>
        <w:tc>
          <w:tcPr>
            <w:tcW w:w="11945" w:type="dxa"/>
            <w:gridSpan w:val="8"/>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Zvýšení kvality vzdělávání na vysokých školách a jeho relevance pro potřeby trhu práce</w:t>
            </w: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2.2</w:t>
            </w:r>
          </w:p>
        </w:tc>
        <w:tc>
          <w:tcPr>
            <w:tcW w:w="11945" w:type="dxa"/>
            <w:gridSpan w:val="8"/>
            <w:tcBorders>
              <w:top w:val="nil"/>
              <w:left w:val="nil"/>
              <w:bottom w:val="nil"/>
              <w:right w:val="nil"/>
            </w:tcBorders>
            <w:shd w:val="clear" w:color="auto" w:fill="auto"/>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 xml:space="preserve">Zvýšení účasti studentů se specifickými potřebami, ze </w:t>
            </w:r>
            <w:proofErr w:type="spellStart"/>
            <w:r w:rsidRPr="00B24BFC">
              <w:rPr>
                <w:rFonts w:ascii="Calibri" w:eastAsia="Times New Roman" w:hAnsi="Calibri" w:cs="Times New Roman"/>
                <w:color w:val="000000"/>
                <w:sz w:val="18"/>
                <w:szCs w:val="18"/>
                <w:lang w:eastAsia="cs-CZ"/>
              </w:rPr>
              <w:t>socio</w:t>
            </w:r>
            <w:proofErr w:type="spellEnd"/>
            <w:r w:rsidRPr="00B24BFC">
              <w:rPr>
                <w:rFonts w:ascii="Calibri" w:eastAsia="Times New Roman" w:hAnsi="Calibri" w:cs="Times New Roman"/>
                <w:color w:val="000000"/>
                <w:sz w:val="18"/>
                <w:szCs w:val="18"/>
                <w:lang w:eastAsia="cs-CZ"/>
              </w:rPr>
              <w:t>-ekonomicky znevýhodněných skupin a z etnických minorit na vysokoškolském vzdělávání, a snížení studijní neúspěšnosti studentů</w:t>
            </w: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2.3</w:t>
            </w:r>
          </w:p>
        </w:tc>
        <w:tc>
          <w:tcPr>
            <w:tcW w:w="6021" w:type="dxa"/>
            <w:gridSpan w:val="4"/>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Zkvalitnění podmínek pro celoživotní vzdělávání na vysokých školách</w:t>
            </w: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2.4</w:t>
            </w:r>
          </w:p>
        </w:tc>
        <w:tc>
          <w:tcPr>
            <w:tcW w:w="7347" w:type="dxa"/>
            <w:gridSpan w:val="5"/>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Nastavení a rozvoj systému hodnocení a zabezpečení kvality a strategického řízení vysokých škol</w:t>
            </w: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PO3</w:t>
            </w:r>
          </w:p>
        </w:tc>
        <w:tc>
          <w:tcPr>
            <w:tcW w:w="11945" w:type="dxa"/>
            <w:gridSpan w:val="8"/>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Konkrétní alokace přispívající k naplňování cílů RIS3 v PO3 se bude odvíjet od výsledků šetření Krajských akčních plánů (KAP) a Místních akčních plánů (MAP) a od související míry využívání šablon na podporu určitých pro RIS3 relevantních typových aktivit. Výsledky šetření KAP/MAP však budou k dispozici až v r. 2017/2018. Dlouhodobý harmonogram výzev v PO3 ze stejného důvodu v daný moment také není prozatím dostupný.</w:t>
            </w: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b/>
                <w:bCs/>
                <w:color w:val="000000"/>
                <w:sz w:val="18"/>
                <w:szCs w:val="18"/>
                <w:lang w:eastAsia="cs-CZ"/>
              </w:rPr>
            </w:pPr>
            <w:r w:rsidRPr="00B24BFC">
              <w:rPr>
                <w:rFonts w:ascii="Calibri" w:eastAsia="Times New Roman" w:hAnsi="Calibri" w:cs="Times New Roman"/>
                <w:b/>
                <w:bCs/>
                <w:color w:val="000000"/>
                <w:sz w:val="18"/>
                <w:szCs w:val="18"/>
                <w:lang w:eastAsia="cs-CZ"/>
              </w:rPr>
              <w:t>OP PIK</w:t>
            </w:r>
          </w:p>
        </w:tc>
        <w:tc>
          <w:tcPr>
            <w:tcW w:w="1423"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1.2</w:t>
            </w:r>
          </w:p>
        </w:tc>
        <w:tc>
          <w:tcPr>
            <w:tcW w:w="11945" w:type="dxa"/>
            <w:gridSpan w:val="8"/>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z toho 339 783 790 EUR připadá na Klíčovou oblast změn A: Vyšší inovační výkonnost firem a 37 763 754 na klíčovou oblast změn C: Zvýšení ekonomických přínosů veřejného výzkumu</w:t>
            </w: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2.4</w:t>
            </w:r>
          </w:p>
        </w:tc>
        <w:tc>
          <w:tcPr>
            <w:tcW w:w="6021" w:type="dxa"/>
            <w:gridSpan w:val="4"/>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Zvýšit kapacitu pro odborné vzdělávání v MSP - tento SC byl vypuštěn</w:t>
            </w: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2.1</w:t>
            </w:r>
          </w:p>
        </w:tc>
        <w:tc>
          <w:tcPr>
            <w:tcW w:w="10619" w:type="dxa"/>
            <w:gridSpan w:val="7"/>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 xml:space="preserve">K Národní RIS3 strategii se vztahují pouze programy finančních nástrojů „Rizikový kapitál“, „Expanze“ a dotační program podpory „Poradenství“. </w:t>
            </w: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bl>
    <w:p w:rsidR="006338C7" w:rsidRDefault="001530DA" w:rsidP="006338C7">
      <w:pPr>
        <w:rPr>
          <w:rFonts w:ascii="Arial" w:eastAsiaTheme="majorEastAsia" w:hAnsi="Arial" w:cs="Arial"/>
          <w:bCs/>
          <w:sz w:val="18"/>
          <w:szCs w:val="18"/>
        </w:rPr>
      </w:pPr>
      <w:r w:rsidRPr="00197EDF">
        <w:rPr>
          <w:rFonts w:ascii="Arial" w:eastAsiaTheme="majorEastAsia" w:hAnsi="Arial" w:cs="Arial"/>
          <w:bCs/>
          <w:sz w:val="18"/>
          <w:szCs w:val="18"/>
        </w:rPr>
        <w:t xml:space="preserve">Zdroj: RIS3 </w:t>
      </w:r>
      <w:r>
        <w:rPr>
          <w:rFonts w:ascii="Arial" w:eastAsiaTheme="majorEastAsia" w:hAnsi="Arial" w:cs="Arial"/>
          <w:bCs/>
          <w:sz w:val="18"/>
          <w:szCs w:val="18"/>
        </w:rPr>
        <w:t>–</w:t>
      </w:r>
      <w:r w:rsidRPr="00197EDF">
        <w:rPr>
          <w:rFonts w:ascii="Arial" w:eastAsiaTheme="majorEastAsia" w:hAnsi="Arial" w:cs="Arial"/>
          <w:bCs/>
          <w:sz w:val="18"/>
          <w:szCs w:val="18"/>
        </w:rPr>
        <w:t xml:space="preserve"> aktualizace</w:t>
      </w:r>
      <w:r>
        <w:rPr>
          <w:rFonts w:ascii="Arial" w:eastAsiaTheme="majorEastAsia" w:hAnsi="Arial" w:cs="Arial"/>
          <w:bCs/>
          <w:sz w:val="18"/>
          <w:szCs w:val="18"/>
        </w:rPr>
        <w:t xml:space="preserve"> </w:t>
      </w:r>
      <w:r w:rsidRPr="00197EDF">
        <w:rPr>
          <w:rFonts w:ascii="Arial" w:eastAsiaTheme="majorEastAsia" w:hAnsi="Arial" w:cs="Arial"/>
          <w:bCs/>
          <w:sz w:val="18"/>
          <w:szCs w:val="18"/>
        </w:rPr>
        <w:t xml:space="preserve">Indikativní přičlenění finančních prostředků OP ke klíčovým oblastem </w:t>
      </w:r>
      <w:proofErr w:type="spellStart"/>
      <w:r w:rsidRPr="00197EDF">
        <w:rPr>
          <w:rFonts w:ascii="Arial" w:eastAsiaTheme="majorEastAsia" w:hAnsi="Arial" w:cs="Arial"/>
          <w:bCs/>
          <w:sz w:val="18"/>
          <w:szCs w:val="18"/>
        </w:rPr>
        <w:t>VaV</w:t>
      </w:r>
      <w:proofErr w:type="spellEnd"/>
      <w:r w:rsidRPr="00197EDF">
        <w:rPr>
          <w:rFonts w:ascii="Arial" w:eastAsiaTheme="majorEastAsia" w:hAnsi="Arial" w:cs="Arial"/>
          <w:bCs/>
          <w:sz w:val="18"/>
          <w:szCs w:val="18"/>
        </w:rPr>
        <w:t xml:space="preserve"> (Národní spolufinancování)</w:t>
      </w:r>
    </w:p>
    <w:p w:rsidR="006338C7" w:rsidRDefault="006338C7" w:rsidP="006338C7">
      <w:pPr>
        <w:pStyle w:val="Obrzek-nadpis"/>
        <w:sectPr w:rsidR="006338C7" w:rsidSect="006338C7">
          <w:type w:val="continuous"/>
          <w:pgSz w:w="16838" w:h="11906" w:orient="landscape"/>
          <w:pgMar w:top="1418" w:right="1418" w:bottom="1418" w:left="1418" w:header="709" w:footer="709" w:gutter="0"/>
          <w:cols w:space="708"/>
          <w:docGrid w:linePitch="360"/>
        </w:sectPr>
      </w:pPr>
    </w:p>
    <w:p w:rsidR="006338C7" w:rsidRPr="00631566" w:rsidRDefault="006338C7" w:rsidP="006338C7">
      <w:pPr>
        <w:spacing w:after="120"/>
        <w:rPr>
          <w:rFonts w:ascii="Arial" w:hAnsi="Arial" w:cs="Arial"/>
          <w:b/>
        </w:rPr>
      </w:pPr>
      <w:r w:rsidRPr="00631566">
        <w:rPr>
          <w:rFonts w:ascii="Arial" w:hAnsi="Arial" w:cs="Arial"/>
          <w:b/>
        </w:rPr>
        <w:lastRenderedPageBreak/>
        <w:t>Tab. 3.4: Stav čerpání finančních prostředků – MŠMT</w:t>
      </w:r>
    </w:p>
    <w:tbl>
      <w:tblPr>
        <w:tblW w:w="5000" w:type="pct"/>
        <w:tblCellMar>
          <w:left w:w="70" w:type="dxa"/>
          <w:right w:w="70" w:type="dxa"/>
        </w:tblCellMar>
        <w:tblLook w:val="04A0" w:firstRow="1" w:lastRow="0" w:firstColumn="1" w:lastColumn="0" w:noHBand="0" w:noVBand="1"/>
      </w:tblPr>
      <w:tblGrid>
        <w:gridCol w:w="1318"/>
        <w:gridCol w:w="1110"/>
        <w:gridCol w:w="1111"/>
        <w:gridCol w:w="1111"/>
        <w:gridCol w:w="1111"/>
        <w:gridCol w:w="1111"/>
        <w:gridCol w:w="1227"/>
        <w:gridCol w:w="1111"/>
      </w:tblGrid>
      <w:tr w:rsidR="006338C7" w:rsidRPr="00662750"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b/>
                <w:bCs/>
                <w:color w:val="008CCD"/>
                <w:sz w:val="24"/>
                <w:szCs w:val="24"/>
                <w:lang w:eastAsia="cs-CZ"/>
              </w:rPr>
            </w:pPr>
            <w:r w:rsidRPr="00662750">
              <w:rPr>
                <w:rFonts w:ascii="Tahoma" w:eastAsia="Times New Roman" w:hAnsi="Tahoma" w:cs="Tahoma"/>
                <w:b/>
                <w:bCs/>
                <w:color w:val="008CCD"/>
                <w:sz w:val="24"/>
                <w:szCs w:val="24"/>
                <w:lang w:eastAsia="cs-CZ"/>
              </w:rPr>
              <w:t xml:space="preserve">OP </w:t>
            </w:r>
            <w:proofErr w:type="spellStart"/>
            <w:r w:rsidRPr="00662750">
              <w:rPr>
                <w:rFonts w:ascii="Tahoma" w:eastAsia="Times New Roman" w:hAnsi="Tahoma" w:cs="Tahoma"/>
                <w:b/>
                <w:bCs/>
                <w:color w:val="008CCD"/>
                <w:sz w:val="24"/>
                <w:szCs w:val="24"/>
                <w:lang w:eastAsia="cs-CZ"/>
              </w:rPr>
              <w:t>VaVpI</w:t>
            </w:r>
            <w:proofErr w:type="spellEnd"/>
          </w:p>
        </w:tc>
      </w:tr>
      <w:tr w:rsidR="006338C7" w:rsidRPr="00662750"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Projekty s vydaným rozhodnutím</w:t>
            </w:r>
          </w:p>
        </w:tc>
      </w:tr>
      <w:tr w:rsidR="006338C7" w:rsidRPr="00662750"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r>
      <w:tr w:rsidR="006338C7" w:rsidRPr="00662750"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rPr>
                <w:rFonts w:ascii="Calibri" w:eastAsia="Times New Roman" w:hAnsi="Calibri" w:cs="Times New Roman"/>
                <w:color w:val="000000"/>
                <w:lang w:eastAsia="cs-CZ"/>
              </w:rPr>
            </w:pPr>
            <w:r w:rsidRPr="00662750">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alokace)</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 xml:space="preserve">PO1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15 663,20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33</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21 424,60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136,8</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8</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15 474,40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98,8</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 xml:space="preserve">PO2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16 868,80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135</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44 006,40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260,9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66</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17 379,70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103</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 xml:space="preserve">PO3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4 432,20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141</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9 035,30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203,9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67</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4 475,20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101</w:t>
            </w:r>
          </w:p>
        </w:tc>
      </w:tr>
      <w:tr w:rsidR="006338C7" w:rsidRPr="00662750"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 xml:space="preserve">PO4 </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9 964,40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82</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15 641,20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157</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65</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10 514,60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105,5</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48 562,40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411</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91 770,50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189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223</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49 090,50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101,1</w:t>
            </w:r>
          </w:p>
        </w:tc>
      </w:tr>
      <w:tr w:rsidR="006338C7" w:rsidRPr="00662750" w:rsidTr="006338C7">
        <w:trPr>
          <w:trHeight w:val="315"/>
        </w:trPr>
        <w:tc>
          <w:tcPr>
            <w:tcW w:w="716"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66"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r>
      <w:tr w:rsidR="006338C7" w:rsidRPr="00662750"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b/>
                <w:bCs/>
                <w:color w:val="008CCD"/>
                <w:sz w:val="24"/>
                <w:szCs w:val="24"/>
                <w:lang w:eastAsia="cs-CZ"/>
              </w:rPr>
            </w:pPr>
            <w:r w:rsidRPr="00662750">
              <w:rPr>
                <w:rFonts w:ascii="Tahoma" w:eastAsia="Times New Roman" w:hAnsi="Tahoma" w:cs="Tahoma"/>
                <w:b/>
                <w:bCs/>
                <w:color w:val="008CCD"/>
                <w:sz w:val="24"/>
                <w:szCs w:val="24"/>
                <w:lang w:eastAsia="cs-CZ"/>
              </w:rPr>
              <w:t>OP VK</w:t>
            </w:r>
          </w:p>
        </w:tc>
      </w:tr>
      <w:tr w:rsidR="006338C7" w:rsidRPr="00662750"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Projekty s vydaným rozhodnutím</w:t>
            </w:r>
          </w:p>
        </w:tc>
      </w:tr>
      <w:tr w:rsidR="006338C7" w:rsidRPr="00662750"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r>
      <w:tr w:rsidR="006338C7" w:rsidRPr="00662750"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rPr>
                <w:rFonts w:ascii="Calibri" w:eastAsia="Times New Roman" w:hAnsi="Calibri" w:cs="Times New Roman"/>
                <w:color w:val="000000"/>
                <w:lang w:eastAsia="cs-CZ"/>
              </w:rPr>
            </w:pPr>
            <w:r w:rsidRPr="00662750">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alokace)</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xml:space="preserve">PO2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16 623,60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2 730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46 147,40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276,6</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1 067</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16 976,60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102,1</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PO2 - OP 2.3</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7 046,50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715</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15 026,40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213,2</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339</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7 500,70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106,4</w:t>
            </w:r>
          </w:p>
        </w:tc>
      </w:tr>
      <w:tr w:rsidR="006338C7" w:rsidRPr="00662750"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PO2 - OP 2.4</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2 939,30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538</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12 056,40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410,2</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176</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2 919,40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99,3</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43 565,10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27 678</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129 665,50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297,6</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14 754</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47 784,40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109,7</w:t>
            </w:r>
          </w:p>
        </w:tc>
      </w:tr>
    </w:tbl>
    <w:p w:rsidR="006338C7" w:rsidRPr="00631566" w:rsidRDefault="006338C7" w:rsidP="006338C7">
      <w:pPr>
        <w:spacing w:after="120"/>
        <w:rPr>
          <w:rFonts w:ascii="Arial" w:hAnsi="Arial" w:cs="Arial"/>
          <w:b/>
        </w:rPr>
      </w:pPr>
      <w:r w:rsidRPr="00631566">
        <w:rPr>
          <w:rFonts w:ascii="Arial" w:hAnsi="Arial" w:cs="Arial"/>
          <w:b/>
        </w:rPr>
        <w:t>Tab. 3.5: Stav čerpání finančních prostředků – MPO</w:t>
      </w:r>
    </w:p>
    <w:tbl>
      <w:tblPr>
        <w:tblW w:w="5000" w:type="pct"/>
        <w:tblCellMar>
          <w:left w:w="70" w:type="dxa"/>
          <w:right w:w="70" w:type="dxa"/>
        </w:tblCellMar>
        <w:tblLook w:val="04A0" w:firstRow="1" w:lastRow="0" w:firstColumn="1" w:lastColumn="0" w:noHBand="0" w:noVBand="1"/>
      </w:tblPr>
      <w:tblGrid>
        <w:gridCol w:w="1318"/>
        <w:gridCol w:w="1110"/>
        <w:gridCol w:w="1111"/>
        <w:gridCol w:w="1111"/>
        <w:gridCol w:w="1111"/>
        <w:gridCol w:w="1111"/>
        <w:gridCol w:w="1227"/>
        <w:gridCol w:w="1111"/>
      </w:tblGrid>
      <w:tr w:rsidR="006338C7" w:rsidRPr="00631566"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b/>
                <w:bCs/>
                <w:color w:val="008CCD"/>
                <w:sz w:val="24"/>
                <w:szCs w:val="24"/>
                <w:lang w:eastAsia="cs-CZ"/>
              </w:rPr>
            </w:pPr>
            <w:r w:rsidRPr="00631566">
              <w:rPr>
                <w:rFonts w:ascii="Tahoma" w:eastAsia="Times New Roman" w:hAnsi="Tahoma" w:cs="Tahoma"/>
                <w:b/>
                <w:bCs/>
                <w:color w:val="008CCD"/>
                <w:sz w:val="24"/>
                <w:szCs w:val="24"/>
                <w:lang w:eastAsia="cs-CZ"/>
              </w:rPr>
              <w:t>OP PI</w:t>
            </w:r>
          </w:p>
        </w:tc>
      </w:tr>
      <w:tr w:rsidR="006338C7" w:rsidRPr="00631566"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Projekty s vydaným rozhodnutím</w:t>
            </w:r>
          </w:p>
        </w:tc>
      </w:tr>
      <w:tr w:rsidR="006338C7" w:rsidRPr="00631566"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r>
      <w:tr w:rsidR="006338C7" w:rsidRPr="00631566"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Calibri" w:eastAsia="Times New Roman" w:hAnsi="Calibri" w:cs="Times New Roman"/>
                <w:color w:val="000000"/>
                <w:lang w:eastAsia="cs-CZ"/>
              </w:rPr>
            </w:pPr>
            <w:r w:rsidRPr="00631566">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PO4</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24 441,50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4 386</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64 528,50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264</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2 200</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26 793,50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109,6</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PO4 - OP 4.1</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17 755,60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3 076</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44 123,60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248,5</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1 575</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19 388,00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109,2</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PO4 - OP 4.2</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6 685,80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1 310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20 404,90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305,2</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625</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7 405,50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110,8</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xml:space="preserve">PO5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19 608,90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2 377</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38 194,20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194,8</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1 600</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20 675,50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105,4</w:t>
            </w:r>
          </w:p>
        </w:tc>
      </w:tr>
      <w:tr w:rsidR="006338C7" w:rsidRPr="00631566"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PO5 - OP 5.1</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6 598,00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292</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17 352,90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263</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145</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7 192,00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109</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81 805,60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20 473</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180 260,60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220,4</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12 955</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95 627,50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116,9</w:t>
            </w:r>
          </w:p>
        </w:tc>
      </w:tr>
    </w:tbl>
    <w:p w:rsidR="006338C7" w:rsidRDefault="006338C7" w:rsidP="006338C7">
      <w:pPr>
        <w:spacing w:after="120"/>
        <w:rPr>
          <w:rFonts w:ascii="Arial" w:hAnsi="Arial" w:cs="Arial"/>
          <w:b/>
        </w:rPr>
      </w:pPr>
    </w:p>
    <w:p w:rsidR="006338C7" w:rsidRDefault="006338C7" w:rsidP="006338C7">
      <w:pPr>
        <w:spacing w:after="120"/>
        <w:rPr>
          <w:rFonts w:ascii="Arial" w:hAnsi="Arial" w:cs="Arial"/>
          <w:b/>
        </w:rPr>
      </w:pPr>
    </w:p>
    <w:p w:rsidR="006338C7" w:rsidRDefault="006338C7" w:rsidP="006338C7">
      <w:pPr>
        <w:spacing w:after="120"/>
        <w:rPr>
          <w:rFonts w:ascii="Arial" w:hAnsi="Arial" w:cs="Arial"/>
          <w:b/>
        </w:rPr>
      </w:pPr>
    </w:p>
    <w:p w:rsidR="006338C7" w:rsidRDefault="006338C7" w:rsidP="006338C7">
      <w:pPr>
        <w:spacing w:after="120"/>
        <w:rPr>
          <w:rFonts w:ascii="Arial" w:hAnsi="Arial" w:cs="Arial"/>
          <w:b/>
        </w:rPr>
      </w:pPr>
    </w:p>
    <w:p w:rsidR="006338C7" w:rsidRDefault="006338C7" w:rsidP="006338C7">
      <w:pPr>
        <w:spacing w:after="120"/>
        <w:rPr>
          <w:rFonts w:ascii="Arial" w:hAnsi="Arial" w:cs="Arial"/>
          <w:b/>
        </w:rPr>
      </w:pPr>
    </w:p>
    <w:p w:rsidR="006338C7" w:rsidRDefault="006338C7" w:rsidP="006338C7">
      <w:pPr>
        <w:spacing w:after="120"/>
        <w:rPr>
          <w:rFonts w:ascii="Arial" w:hAnsi="Arial" w:cs="Arial"/>
          <w:b/>
        </w:rPr>
      </w:pPr>
    </w:p>
    <w:p w:rsidR="006338C7" w:rsidRDefault="006338C7" w:rsidP="006338C7">
      <w:pPr>
        <w:spacing w:after="120"/>
        <w:rPr>
          <w:rFonts w:ascii="Arial" w:hAnsi="Arial" w:cs="Arial"/>
          <w:b/>
        </w:rPr>
      </w:pPr>
    </w:p>
    <w:p w:rsidR="006338C7" w:rsidRDefault="006338C7" w:rsidP="006338C7">
      <w:pPr>
        <w:spacing w:after="120"/>
        <w:rPr>
          <w:rFonts w:ascii="Arial" w:hAnsi="Arial" w:cs="Arial"/>
          <w:b/>
        </w:rPr>
      </w:pPr>
      <w:r w:rsidRPr="00631566">
        <w:rPr>
          <w:rFonts w:ascii="Arial" w:hAnsi="Arial" w:cs="Arial"/>
          <w:b/>
        </w:rPr>
        <w:lastRenderedPageBreak/>
        <w:t>Tab. 3.6: Stav čerpání finančních prostředků – Hl. město Praha</w:t>
      </w:r>
    </w:p>
    <w:tbl>
      <w:tblPr>
        <w:tblW w:w="5000" w:type="pct"/>
        <w:tblCellMar>
          <w:left w:w="70" w:type="dxa"/>
          <w:right w:w="70" w:type="dxa"/>
        </w:tblCellMar>
        <w:tblLook w:val="04A0" w:firstRow="1" w:lastRow="0" w:firstColumn="1" w:lastColumn="0" w:noHBand="0" w:noVBand="1"/>
      </w:tblPr>
      <w:tblGrid>
        <w:gridCol w:w="1318"/>
        <w:gridCol w:w="1110"/>
        <w:gridCol w:w="1111"/>
        <w:gridCol w:w="1111"/>
        <w:gridCol w:w="1111"/>
        <w:gridCol w:w="1111"/>
        <w:gridCol w:w="1227"/>
        <w:gridCol w:w="1111"/>
      </w:tblGrid>
      <w:tr w:rsidR="006338C7" w:rsidRPr="00631566"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b/>
                <w:bCs/>
                <w:color w:val="008CCD"/>
                <w:sz w:val="24"/>
                <w:szCs w:val="24"/>
                <w:lang w:eastAsia="cs-CZ"/>
              </w:rPr>
            </w:pPr>
            <w:r w:rsidRPr="00631566">
              <w:rPr>
                <w:rFonts w:ascii="Tahoma" w:eastAsia="Times New Roman" w:hAnsi="Tahoma" w:cs="Tahoma"/>
                <w:b/>
                <w:bCs/>
                <w:color w:val="008CCD"/>
                <w:sz w:val="24"/>
                <w:szCs w:val="24"/>
                <w:lang w:eastAsia="cs-CZ"/>
              </w:rPr>
              <w:t>OP PK</w:t>
            </w:r>
          </w:p>
        </w:tc>
      </w:tr>
      <w:tr w:rsidR="006338C7" w:rsidRPr="00631566"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Projekty s vydaným rozhodnutím</w:t>
            </w:r>
          </w:p>
        </w:tc>
      </w:tr>
      <w:tr w:rsidR="006338C7" w:rsidRPr="00631566"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r>
      <w:tr w:rsidR="006338C7" w:rsidRPr="00631566"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Calibri" w:eastAsia="Times New Roman" w:hAnsi="Calibri" w:cs="Times New Roman"/>
                <w:color w:val="000000"/>
                <w:lang w:eastAsia="cs-CZ"/>
              </w:rPr>
            </w:pPr>
            <w:r w:rsidRPr="00631566">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PO3</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2 368,70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761</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7 320,50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309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238</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2 580,70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108,9</w:t>
            </w:r>
          </w:p>
        </w:tc>
      </w:tr>
      <w:tr w:rsidR="006338C7" w:rsidRPr="00631566"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PO3 - OP 3.1</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1 779,20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201</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5 227,80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293,8</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76</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1 935,80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108,8</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6 330,00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1089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15 853,10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250,4</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376</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7 361,40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116,3</w:t>
            </w:r>
          </w:p>
        </w:tc>
      </w:tr>
      <w:tr w:rsidR="006338C7" w:rsidRPr="00631566" w:rsidTr="006338C7">
        <w:trPr>
          <w:trHeight w:val="315"/>
        </w:trPr>
        <w:tc>
          <w:tcPr>
            <w:tcW w:w="716"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66"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r>
      <w:tr w:rsidR="006338C7" w:rsidRPr="00631566"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b/>
                <w:bCs/>
                <w:color w:val="008CCD"/>
                <w:sz w:val="24"/>
                <w:szCs w:val="24"/>
                <w:lang w:eastAsia="cs-CZ"/>
              </w:rPr>
            </w:pPr>
            <w:r w:rsidRPr="00631566">
              <w:rPr>
                <w:rFonts w:ascii="Tahoma" w:eastAsia="Times New Roman" w:hAnsi="Tahoma" w:cs="Tahoma"/>
                <w:b/>
                <w:bCs/>
                <w:color w:val="008CCD"/>
                <w:sz w:val="24"/>
                <w:szCs w:val="24"/>
                <w:lang w:eastAsia="cs-CZ"/>
              </w:rPr>
              <w:t>OP PA</w:t>
            </w:r>
          </w:p>
        </w:tc>
      </w:tr>
      <w:tr w:rsidR="006338C7" w:rsidRPr="00631566"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Projekty s vydaným rozhodnutím</w:t>
            </w:r>
          </w:p>
        </w:tc>
      </w:tr>
      <w:tr w:rsidR="006338C7" w:rsidRPr="00631566"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r>
      <w:tr w:rsidR="006338C7" w:rsidRPr="00631566"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Calibri" w:eastAsia="Times New Roman" w:hAnsi="Calibri" w:cs="Times New Roman"/>
                <w:color w:val="000000"/>
                <w:lang w:eastAsia="cs-CZ"/>
              </w:rPr>
            </w:pPr>
            <w:r w:rsidRPr="00631566">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r>
      <w:tr w:rsidR="006338C7" w:rsidRPr="00631566"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PO1</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1 057,50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1 599</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5 561,00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526,9</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404</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995,40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94,1</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2 982,80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3 712</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14 452,70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484,5</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1031</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3 028,30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101,5</w:t>
            </w:r>
          </w:p>
        </w:tc>
      </w:tr>
    </w:tbl>
    <w:p w:rsidR="006338C7" w:rsidRDefault="006338C7" w:rsidP="006338C7">
      <w:pPr>
        <w:jc w:val="both"/>
        <w:rPr>
          <w:rFonts w:ascii="Arial" w:eastAsia="Times New Roman" w:hAnsi="Arial" w:cs="Arial"/>
          <w:sz w:val="18"/>
          <w:szCs w:val="18"/>
          <w:lang w:eastAsia="cs-CZ"/>
        </w:rPr>
      </w:pPr>
    </w:p>
    <w:p w:rsidR="006338C7" w:rsidRDefault="006338C7" w:rsidP="006338C7">
      <w:pPr>
        <w:jc w:val="both"/>
        <w:rPr>
          <w:rFonts w:ascii="Arial" w:eastAsia="Times New Roman" w:hAnsi="Arial" w:cs="Arial"/>
          <w:sz w:val="18"/>
          <w:szCs w:val="18"/>
          <w:lang w:eastAsia="cs-CZ"/>
        </w:rPr>
      </w:pPr>
      <w:r w:rsidRPr="00BE18A9">
        <w:rPr>
          <w:rFonts w:ascii="Arial" w:eastAsia="Times New Roman" w:hAnsi="Arial" w:cs="Arial"/>
          <w:sz w:val="18"/>
          <w:szCs w:val="18"/>
          <w:lang w:eastAsia="cs-CZ"/>
        </w:rPr>
        <w:t xml:space="preserve">Zdroj: Čtvrtletní monitorovací </w:t>
      </w:r>
      <w:proofErr w:type="gramStart"/>
      <w:r w:rsidRPr="00BE18A9">
        <w:rPr>
          <w:rFonts w:ascii="Arial" w:eastAsia="Times New Roman" w:hAnsi="Arial" w:cs="Arial"/>
          <w:sz w:val="18"/>
          <w:szCs w:val="18"/>
          <w:lang w:eastAsia="cs-CZ"/>
        </w:rPr>
        <w:t>zpráva - I.Q 2016</w:t>
      </w:r>
      <w:proofErr w:type="gramEnd"/>
      <w:r w:rsidRPr="00BE18A9">
        <w:rPr>
          <w:rFonts w:ascii="Arial" w:eastAsia="Times New Roman" w:hAnsi="Arial" w:cs="Arial"/>
          <w:sz w:val="18"/>
          <w:szCs w:val="18"/>
          <w:lang w:eastAsia="cs-CZ"/>
        </w:rPr>
        <w:t xml:space="preserve"> </w:t>
      </w:r>
    </w:p>
    <w:p w:rsidR="006338C7" w:rsidRPr="00BE18A9" w:rsidRDefault="006338C7" w:rsidP="006338C7">
      <w:pPr>
        <w:jc w:val="both"/>
        <w:rPr>
          <w:rFonts w:ascii="Arial" w:eastAsia="Times New Roman" w:hAnsi="Arial" w:cs="Arial"/>
          <w:sz w:val="18"/>
          <w:szCs w:val="18"/>
          <w:lang w:eastAsia="cs-CZ"/>
        </w:rPr>
        <w:sectPr w:rsidR="006338C7" w:rsidRPr="00BE18A9" w:rsidSect="006338C7">
          <w:type w:val="continuous"/>
          <w:pgSz w:w="11906" w:h="16838"/>
          <w:pgMar w:top="1418" w:right="1418" w:bottom="1418" w:left="1418" w:header="709" w:footer="709" w:gutter="0"/>
          <w:cols w:space="708"/>
          <w:docGrid w:linePitch="360"/>
        </w:sectPr>
      </w:pPr>
    </w:p>
    <w:p w:rsidR="006338C7" w:rsidRPr="00C27B9A" w:rsidRDefault="006338C7" w:rsidP="001530DA">
      <w:pPr>
        <w:pStyle w:val="NadpisurovemII"/>
        <w:numPr>
          <w:ilvl w:val="1"/>
          <w:numId w:val="32"/>
        </w:numPr>
      </w:pPr>
      <w:bookmarkStart w:id="7" w:name="_Toc464461097"/>
      <w:r w:rsidRPr="00C27B9A">
        <w:lastRenderedPageBreak/>
        <w:t>S</w:t>
      </w:r>
      <w:r w:rsidR="001530DA">
        <w:t xml:space="preserve">trategický rámec podpory </w:t>
      </w:r>
      <w:proofErr w:type="spellStart"/>
      <w:r w:rsidRPr="00C27B9A">
        <w:t>VaVaI</w:t>
      </w:r>
      <w:proofErr w:type="spellEnd"/>
      <w:r w:rsidRPr="00C27B9A">
        <w:t xml:space="preserve"> </w:t>
      </w:r>
      <w:r w:rsidR="001530DA">
        <w:t>v</w:t>
      </w:r>
      <w:r>
        <w:t xml:space="preserve"> </w:t>
      </w:r>
      <w:r w:rsidRPr="00C27B9A">
        <w:t xml:space="preserve">ČR </w:t>
      </w:r>
      <w:r w:rsidR="001530DA">
        <w:t>z</w:t>
      </w:r>
      <w:r w:rsidRPr="00C27B9A">
        <w:t xml:space="preserve"> ESI </w:t>
      </w:r>
      <w:r w:rsidR="001530DA">
        <w:t>fondů</w:t>
      </w:r>
      <w:bookmarkEnd w:id="7"/>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 xml:space="preserve">Národní strategie inteligentní specializace (dále jen „RIS3“) je určena pro efektivní zacílení veškerých disponibilních finančních prostředků pro oblast </w:t>
      </w:r>
      <w:proofErr w:type="spellStart"/>
      <w:r w:rsidRPr="001530DA">
        <w:rPr>
          <w:rFonts w:ascii="Arial" w:eastAsia="Times New Roman" w:hAnsi="Arial" w:cs="Arial"/>
          <w:lang w:eastAsia="cs-CZ"/>
        </w:rPr>
        <w:t>VaVaI</w:t>
      </w:r>
      <w:proofErr w:type="spellEnd"/>
      <w:r w:rsidRPr="001530DA">
        <w:rPr>
          <w:rFonts w:ascii="Arial" w:eastAsia="Times New Roman" w:hAnsi="Arial" w:cs="Arial"/>
          <w:lang w:eastAsia="cs-CZ"/>
        </w:rPr>
        <w:t xml:space="preserve"> a jejím cílem je efektivní alokace těchto zdrojů do oblastí, jež budou identifikovány jako nejperspektivnější pro využití znalostního a inovačního potenciálu ČR. Fungování RIS3 má spolu s dalšími aktivitami přispívat k naplňování cílů strategie Evropa 2020, zejména k podpoře konkurenceschopnosti národní ekonomiky a snižování míry nezaměstnanosti. </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 xml:space="preserve">RIS3 představuje předběžnou podmínku pro využití ESI fondů na podporu </w:t>
      </w:r>
      <w:proofErr w:type="spellStart"/>
      <w:r w:rsidRPr="001530DA">
        <w:rPr>
          <w:rFonts w:ascii="Arial" w:eastAsia="Times New Roman" w:hAnsi="Arial" w:cs="Arial"/>
          <w:lang w:eastAsia="cs-CZ"/>
        </w:rPr>
        <w:t>VaVaI</w:t>
      </w:r>
      <w:proofErr w:type="spellEnd"/>
      <w:r w:rsidRPr="001530DA">
        <w:rPr>
          <w:rFonts w:ascii="Arial" w:eastAsia="Times New Roman" w:hAnsi="Arial" w:cs="Arial"/>
          <w:lang w:eastAsia="cs-CZ"/>
        </w:rPr>
        <w:t>. Proces přípravy Národní RIS3 byl zahájen v roce 2013 a probíhal v gesci Ministerstva školství, mládeže a tělovýchovy. Usnesením vlády ze dne 8. prosince 2014 č. 1028/2014 přešlo řízení RIS3 od 1. ledna 2015 do kompetence Úřadu vlády ČR, Sekce pro vědu, výzkum a inovace. Znění RIS3 schválené vládou ČR na konci roku 2014, bylo Evropskou komisí posouzeno jako nezpůsobilé. EK deklarovala vůči Národní RIS3 strategii především výtky k monitorování cílů, provázanosti s veřejnými rozpočty a nastavení institucionálního uspořádání. ČR proto v souladu s nařízením č. 1303/2013 předložila spolu s těmito programy také Akční plán splnění předběžné podmínky Národní RIS3, v němž je popsáno postupné dopracování nevyhovujících pasáží dokumentu a nastavení implementace tak, aby mohla být RIS3 shledána způsobilou. Akční plán byl završen v září 2015 přiřazením finančních zdrojů k</w:t>
      </w:r>
      <w:r w:rsidR="00AF50F1">
        <w:rPr>
          <w:rFonts w:ascii="Arial" w:eastAsia="Times New Roman" w:hAnsi="Arial" w:cs="Arial"/>
          <w:lang w:eastAsia="cs-CZ"/>
        </w:rPr>
        <w:t> </w:t>
      </w:r>
      <w:r w:rsidRPr="001530DA">
        <w:rPr>
          <w:rFonts w:ascii="Arial" w:eastAsia="Times New Roman" w:hAnsi="Arial" w:cs="Arial"/>
          <w:lang w:eastAsia="cs-CZ"/>
        </w:rPr>
        <w:t>prioritám RIS3 a následnou aktualizací Národní RIS3 strategie.</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Aktualizovaná verze Národní RIS3 strategie byla odeslána v říjnu 2015 EK, která odpověděla návrhy k zapracování v prosinci 2015. Vypořádané připomínky zpracované ÚV</w:t>
      </w:r>
      <w:r w:rsidR="00AF50F1">
        <w:rPr>
          <w:rFonts w:ascii="Arial" w:eastAsia="Times New Roman" w:hAnsi="Arial" w:cs="Arial"/>
          <w:lang w:eastAsia="cs-CZ"/>
        </w:rPr>
        <w:t> </w:t>
      </w:r>
      <w:r w:rsidRPr="001530DA">
        <w:rPr>
          <w:rFonts w:ascii="Arial" w:eastAsia="Times New Roman" w:hAnsi="Arial" w:cs="Arial"/>
          <w:lang w:eastAsia="cs-CZ"/>
        </w:rPr>
        <w:t>ČR a příslušnými řídicími orgány byly zaslány zpět EK na konci ledna 2016. Česká strana obdržela zpětnou reakci ze strany Evropské Komise v únoru 2016 a její vypořádání je předmětem zpracování aktualizace Národní RIS3 strategie, která má být předložena vládě ke schválení v termínu červen – září 2016, a Implementačního plánu Národní RIS3 strategie.</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 xml:space="preserve">Pro zajištění správné implementace RIS3 byl zahájen </w:t>
      </w:r>
      <w:proofErr w:type="spellStart"/>
      <w:r w:rsidRPr="001530DA">
        <w:rPr>
          <w:rFonts w:ascii="Arial" w:eastAsia="Times New Roman" w:hAnsi="Arial" w:cs="Arial"/>
          <w:lang w:eastAsia="cs-CZ"/>
        </w:rPr>
        <w:t>Entrepreneurial</w:t>
      </w:r>
      <w:proofErr w:type="spellEnd"/>
      <w:r w:rsidRPr="001530DA">
        <w:rPr>
          <w:rFonts w:ascii="Arial" w:eastAsia="Times New Roman" w:hAnsi="Arial" w:cs="Arial"/>
          <w:lang w:eastAsia="cs-CZ"/>
        </w:rPr>
        <w:t xml:space="preserve"> </w:t>
      </w:r>
      <w:proofErr w:type="spellStart"/>
      <w:r w:rsidRPr="001530DA">
        <w:rPr>
          <w:rFonts w:ascii="Arial" w:eastAsia="Times New Roman" w:hAnsi="Arial" w:cs="Arial"/>
          <w:lang w:eastAsia="cs-CZ"/>
        </w:rPr>
        <w:t>Discovery</w:t>
      </w:r>
      <w:proofErr w:type="spellEnd"/>
      <w:r w:rsidRPr="001530DA">
        <w:rPr>
          <w:rFonts w:ascii="Arial" w:eastAsia="Times New Roman" w:hAnsi="Arial" w:cs="Arial"/>
          <w:lang w:eastAsia="cs-CZ"/>
        </w:rPr>
        <w:t xml:space="preserve"> </w:t>
      </w:r>
      <w:proofErr w:type="spellStart"/>
      <w:r w:rsidRPr="001530DA">
        <w:rPr>
          <w:rFonts w:ascii="Arial" w:eastAsia="Times New Roman" w:hAnsi="Arial" w:cs="Arial"/>
          <w:lang w:eastAsia="cs-CZ"/>
        </w:rPr>
        <w:t>Process</w:t>
      </w:r>
      <w:proofErr w:type="spellEnd"/>
      <w:r w:rsidRPr="001530DA">
        <w:rPr>
          <w:rFonts w:ascii="Arial" w:eastAsia="Times New Roman" w:hAnsi="Arial" w:cs="Arial"/>
          <w:lang w:eastAsia="cs-CZ"/>
        </w:rPr>
        <w:t xml:space="preserve"> (dále jen „EDP“),</w:t>
      </w:r>
      <w:r w:rsidRPr="00AF50F1">
        <w:rPr>
          <w:rFonts w:eastAsia="Times New Roman"/>
          <w:vertAlign w:val="superscript"/>
          <w:lang w:eastAsia="cs-CZ"/>
        </w:rPr>
        <w:footnoteReference w:id="17"/>
      </w:r>
      <w:r w:rsidRPr="001530DA">
        <w:rPr>
          <w:rFonts w:ascii="Arial" w:eastAsia="Times New Roman" w:hAnsi="Arial" w:cs="Arial"/>
          <w:lang w:eastAsia="cs-CZ"/>
        </w:rPr>
        <w:t xml:space="preserve"> cílící k navázání konkrétních témat na prostředky ze státního rozpočtu a evropských fondů. Ještě v gesci MŠMT byly vytvořeny Národní inovační platformy (dále jen „NIP“). Členy těchto platforem jsou zástupci podniků, institucí veřejného charakteru provádějících výzkum a vývoj a poskytovatelé podpory. Cílem existence platforem je zprostředkování debaty mezi zástupci podnikatelského a veřejného (vysokoškolského i</w:t>
      </w:r>
      <w:r w:rsidR="00AF50F1">
        <w:rPr>
          <w:rFonts w:ascii="Arial" w:eastAsia="Times New Roman" w:hAnsi="Arial" w:cs="Arial"/>
          <w:lang w:eastAsia="cs-CZ"/>
        </w:rPr>
        <w:t> </w:t>
      </w:r>
      <w:r w:rsidRPr="001530DA">
        <w:rPr>
          <w:rFonts w:ascii="Arial" w:eastAsia="Times New Roman" w:hAnsi="Arial" w:cs="Arial"/>
          <w:lang w:eastAsia="cs-CZ"/>
        </w:rPr>
        <w:t>vládního) sektoru za moderace veřejných institucí. Vzájemná diskuse má vést k vytvoření zadání pro poskytovatele podpory, aby mohlo dojít k jejich zaměření směrem k RIS3, tedy na</w:t>
      </w:r>
      <w:r w:rsidR="00AF50F1">
        <w:rPr>
          <w:rFonts w:ascii="Arial" w:eastAsia="Times New Roman" w:hAnsi="Arial" w:cs="Arial"/>
          <w:lang w:eastAsia="cs-CZ"/>
        </w:rPr>
        <w:t> </w:t>
      </w:r>
      <w:r w:rsidRPr="001530DA">
        <w:rPr>
          <w:rFonts w:ascii="Arial" w:eastAsia="Times New Roman" w:hAnsi="Arial" w:cs="Arial"/>
          <w:lang w:eastAsia="cs-CZ"/>
        </w:rPr>
        <w:t xml:space="preserve">konkrétní odvětvově specifická témata. V průběhu prosince 2015 a ledna 2016 proběhla reorganizace a restrukturalizace účastníků Národních inovačních platforem, zejména NIP I. – </w:t>
      </w:r>
      <w:r w:rsidRPr="001530DA">
        <w:rPr>
          <w:rFonts w:ascii="Arial" w:eastAsia="Times New Roman" w:hAnsi="Arial" w:cs="Arial"/>
          <w:lang w:eastAsia="cs-CZ"/>
        </w:rPr>
        <w:lastRenderedPageBreak/>
        <w:t>NIP IV. Na přelomu února a března 2016 se uskutečnilo třetí jednání reorganizovaných NIP</w:t>
      </w:r>
      <w:r w:rsidR="00AF50F1">
        <w:rPr>
          <w:rFonts w:ascii="Arial" w:eastAsia="Times New Roman" w:hAnsi="Arial" w:cs="Arial"/>
          <w:lang w:eastAsia="cs-CZ"/>
        </w:rPr>
        <w:t> </w:t>
      </w:r>
      <w:r w:rsidRPr="001530DA">
        <w:rPr>
          <w:rFonts w:ascii="Arial" w:eastAsia="Times New Roman" w:hAnsi="Arial" w:cs="Arial"/>
          <w:lang w:eastAsia="cs-CZ"/>
        </w:rPr>
        <w:t xml:space="preserve">I. – NIP IV., v rámci kterých došlo k pokroku v oblasti EDP (včlenění NRIS3 do NP </w:t>
      </w:r>
      <w:proofErr w:type="spellStart"/>
      <w:r w:rsidRPr="001530DA">
        <w:rPr>
          <w:rFonts w:ascii="Arial" w:eastAsia="Times New Roman" w:hAnsi="Arial" w:cs="Arial"/>
          <w:lang w:eastAsia="cs-CZ"/>
        </w:rPr>
        <w:t>VaVaI</w:t>
      </w:r>
      <w:proofErr w:type="spellEnd"/>
      <w:r w:rsidRPr="001530DA">
        <w:rPr>
          <w:rFonts w:ascii="Arial" w:eastAsia="Times New Roman" w:hAnsi="Arial" w:cs="Arial"/>
          <w:lang w:eastAsia="cs-CZ"/>
        </w:rPr>
        <w:t>, restrukturalizace NIP – sloučení členů sektorových (</w:t>
      </w:r>
      <w:proofErr w:type="spellStart"/>
      <w:r w:rsidRPr="001530DA">
        <w:rPr>
          <w:rFonts w:ascii="Arial" w:eastAsia="Times New Roman" w:hAnsi="Arial" w:cs="Arial"/>
          <w:lang w:eastAsia="cs-CZ"/>
        </w:rPr>
        <w:t>pracovných</w:t>
      </w:r>
      <w:proofErr w:type="spellEnd"/>
      <w:r w:rsidRPr="001530DA">
        <w:rPr>
          <w:rFonts w:ascii="Arial" w:eastAsia="Times New Roman" w:hAnsi="Arial" w:cs="Arial"/>
          <w:lang w:eastAsia="cs-CZ"/>
        </w:rPr>
        <w:t xml:space="preserve">) skupin s NIP platformami a pro posun EDP byla použito jako východisko výzkumná témata z NP </w:t>
      </w:r>
      <w:proofErr w:type="spellStart"/>
      <w:r w:rsidRPr="001530DA">
        <w:rPr>
          <w:rFonts w:ascii="Arial" w:eastAsia="Times New Roman" w:hAnsi="Arial" w:cs="Arial"/>
          <w:lang w:eastAsia="cs-CZ"/>
        </w:rPr>
        <w:t>VaVaI</w:t>
      </w:r>
      <w:proofErr w:type="spellEnd"/>
      <w:r w:rsidRPr="001530DA">
        <w:rPr>
          <w:rFonts w:ascii="Arial" w:eastAsia="Times New Roman" w:hAnsi="Arial" w:cs="Arial"/>
          <w:lang w:eastAsia="cs-CZ"/>
        </w:rPr>
        <w:t>). Doposud proběhla 4. kola setkání Národních inovačních platforem.</w:t>
      </w:r>
      <w:r w:rsidRPr="00AF50F1">
        <w:rPr>
          <w:rFonts w:eastAsia="Times New Roman"/>
          <w:vertAlign w:val="superscript"/>
          <w:lang w:eastAsia="cs-CZ"/>
        </w:rPr>
        <w:footnoteReference w:id="18"/>
      </w:r>
      <w:r w:rsidRPr="001530DA">
        <w:rPr>
          <w:rFonts w:ascii="Arial" w:eastAsia="Times New Roman" w:hAnsi="Arial" w:cs="Arial"/>
          <w:lang w:eastAsia="cs-CZ"/>
        </w:rPr>
        <w:t xml:space="preserve"> Konkrétní výsledky setkávání jsou průběžně zapracovávány do aktualizace dokumentu Národní RIS3. Seznam členů Národních inovačních platforem není definitivně stanoven. Lze očekávat změny, které zajistí lepší pokrytí odvětvové a regionální struktury. </w:t>
      </w:r>
    </w:p>
    <w:p w:rsidR="006338C7" w:rsidRPr="00AF50F1" w:rsidRDefault="006338C7" w:rsidP="00AF50F1">
      <w:pPr>
        <w:pStyle w:val="NadpisurovemII"/>
        <w:numPr>
          <w:ilvl w:val="1"/>
          <w:numId w:val="32"/>
        </w:numPr>
      </w:pPr>
      <w:bookmarkStart w:id="8" w:name="_Toc451245385"/>
      <w:r w:rsidRPr="00AF50F1">
        <w:t xml:space="preserve"> </w:t>
      </w:r>
      <w:bookmarkStart w:id="9" w:name="_Toc464461098"/>
      <w:r w:rsidRPr="00AF50F1">
        <w:t>N</w:t>
      </w:r>
      <w:r w:rsidR="00AF50F1">
        <w:t xml:space="preserve">ový rámcový program </w:t>
      </w:r>
      <w:r w:rsidRPr="00AF50F1">
        <w:t>HORIZONT 202</w:t>
      </w:r>
      <w:bookmarkEnd w:id="8"/>
      <w:r w:rsidRPr="00AF50F1">
        <w:t>0</w:t>
      </w:r>
      <w:bookmarkEnd w:id="9"/>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Rozpočet největšího a nejvýznamnějšího programu pro financování evropského výzkumu, vývoje a inovací pro období mezi lety 2014 až 2020 nazvaný Horizont 2020 (dále jen „H2020“) byl schválen Evropským parlamentem a Radou ministrů v polovině roku 2013. H2020 s rozpočtem více než 77,028 mld. Eur plynule navazuje na předchozí rámcové programy pro výzkum, vývoj a inovace (zejména na 7. Rámcový program).</w:t>
      </w:r>
      <w:r w:rsidRPr="00AF50F1">
        <w:rPr>
          <w:rFonts w:ascii="Arial" w:eastAsia="Times New Roman" w:hAnsi="Arial" w:cs="Arial"/>
          <w:vertAlign w:val="superscript"/>
          <w:lang w:eastAsia="cs-CZ"/>
        </w:rPr>
        <w:footnoteReference w:id="19"/>
      </w:r>
      <w:r w:rsidRPr="00AF50F1">
        <w:rPr>
          <w:rFonts w:ascii="Arial" w:eastAsia="Times New Roman" w:hAnsi="Arial" w:cs="Arial"/>
          <w:lang w:eastAsia="cs-CZ"/>
        </w:rPr>
        <w:t xml:space="preserve"> Zaměřuje se především na vědeckou excelenci a masivnější podporu inovací, klade důraz na propojení výzkumu a inovací v návaznosti na trh, vytváření podnikatelských příležitostí, společenské dopady a rovněž spolupráci mezi týmy v rámci EU i mimo ni. Podporována je taktéž návaznost na strukturální fondy a na jiné programy EU.</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 xml:space="preserve">Program sleduje tři hlavní priority, tzv. </w:t>
      </w:r>
      <w:proofErr w:type="spellStart"/>
      <w:r w:rsidRPr="00AF50F1">
        <w:rPr>
          <w:rFonts w:ascii="Arial" w:eastAsia="Times New Roman" w:hAnsi="Arial" w:cs="Arial"/>
          <w:lang w:eastAsia="cs-CZ"/>
        </w:rPr>
        <w:t>focus</w:t>
      </w:r>
      <w:proofErr w:type="spellEnd"/>
      <w:r w:rsidRPr="00AF50F1">
        <w:rPr>
          <w:rFonts w:ascii="Arial" w:eastAsia="Times New Roman" w:hAnsi="Arial" w:cs="Arial"/>
          <w:lang w:eastAsia="cs-CZ"/>
        </w:rPr>
        <w:t xml:space="preserve"> </w:t>
      </w:r>
      <w:proofErr w:type="spellStart"/>
      <w:r w:rsidRPr="00AF50F1">
        <w:rPr>
          <w:rFonts w:ascii="Arial" w:eastAsia="Times New Roman" w:hAnsi="Arial" w:cs="Arial"/>
          <w:lang w:eastAsia="cs-CZ"/>
        </w:rPr>
        <w:t>areas</w:t>
      </w:r>
      <w:proofErr w:type="spellEnd"/>
      <w:r w:rsidRPr="00AF50F1">
        <w:rPr>
          <w:rFonts w:ascii="Arial" w:eastAsia="Times New Roman" w:hAnsi="Arial" w:cs="Arial"/>
          <w:lang w:eastAsia="cs-CZ"/>
        </w:rPr>
        <w:t xml:space="preserve">. Na rozdíl od 7. RP se však počítá s větší podporou tzv. </w:t>
      </w:r>
      <w:proofErr w:type="spellStart"/>
      <w:r w:rsidRPr="00AF50F1">
        <w:rPr>
          <w:rFonts w:ascii="Arial" w:eastAsia="Times New Roman" w:hAnsi="Arial" w:cs="Arial"/>
          <w:lang w:eastAsia="cs-CZ"/>
        </w:rPr>
        <w:t>bottom</w:t>
      </w:r>
      <w:proofErr w:type="spellEnd"/>
      <w:r w:rsidRPr="00AF50F1">
        <w:rPr>
          <w:rFonts w:ascii="Arial" w:eastAsia="Times New Roman" w:hAnsi="Arial" w:cs="Arial"/>
          <w:lang w:eastAsia="cs-CZ"/>
        </w:rPr>
        <w:t xml:space="preserve">-up (zdola-nahoru) přístupu při formulaci výzkumných témat, rozšířenými možnostmi pro mladé vědce, užším propojením výzkumu a inovací s tržními principy a s větším důrazem na vytváření podnikatelských a pracovních příležitostí. Soustředí se také na podporu inovací, a to zejména na podporu inovací v malých středních podnicích, rovněž se počítá se zavedením nových úvěrových nástrojů. Program H2020  v sobě také integruje dřívější Rámcový program pro konkurenceschopnost a inovace a Evropský inovační a technologický institut. </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Struktura H2020 je tvořena třemi hlavními, vzájemně se posilujícími prioritami:</w:t>
      </w:r>
    </w:p>
    <w:p w:rsidR="006338C7" w:rsidRPr="00C27B9A" w:rsidRDefault="006338C7" w:rsidP="006338C7">
      <w:pPr>
        <w:numPr>
          <w:ilvl w:val="0"/>
          <w:numId w:val="19"/>
        </w:numPr>
        <w:spacing w:after="0"/>
        <w:jc w:val="both"/>
        <w:rPr>
          <w:rFonts w:ascii="Arial" w:hAnsi="Arial" w:cs="Arial"/>
        </w:rPr>
      </w:pPr>
      <w:r w:rsidRPr="00C27B9A">
        <w:rPr>
          <w:rFonts w:ascii="Arial" w:hAnsi="Arial" w:cs="Arial"/>
        </w:rPr>
        <w:t>Vynikající věda,</w:t>
      </w:r>
    </w:p>
    <w:p w:rsidR="006338C7" w:rsidRPr="00C27B9A" w:rsidRDefault="006338C7" w:rsidP="006338C7">
      <w:pPr>
        <w:numPr>
          <w:ilvl w:val="0"/>
          <w:numId w:val="19"/>
        </w:numPr>
        <w:spacing w:after="0"/>
        <w:jc w:val="both"/>
        <w:rPr>
          <w:rFonts w:ascii="Arial" w:hAnsi="Arial" w:cs="Arial"/>
        </w:rPr>
      </w:pPr>
      <w:r w:rsidRPr="00C27B9A">
        <w:rPr>
          <w:rFonts w:ascii="Arial" w:hAnsi="Arial" w:cs="Arial"/>
        </w:rPr>
        <w:t>Vedoucí postavení evropského průmyslu,</w:t>
      </w:r>
    </w:p>
    <w:p w:rsidR="006338C7" w:rsidRPr="00C27B9A" w:rsidRDefault="006338C7" w:rsidP="006338C7">
      <w:pPr>
        <w:numPr>
          <w:ilvl w:val="0"/>
          <w:numId w:val="19"/>
        </w:numPr>
        <w:spacing w:after="0"/>
        <w:jc w:val="both"/>
        <w:rPr>
          <w:rFonts w:ascii="Arial" w:hAnsi="Arial" w:cs="Arial"/>
        </w:rPr>
      </w:pPr>
      <w:r w:rsidRPr="00C27B9A">
        <w:rPr>
          <w:rFonts w:ascii="Arial" w:hAnsi="Arial" w:cs="Arial"/>
        </w:rPr>
        <w:t>Společenské výzvy.</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Dále jsou podpořeny také tzv. horizontální oblasti:</w:t>
      </w:r>
    </w:p>
    <w:p w:rsidR="006338C7" w:rsidRPr="00C27B9A" w:rsidRDefault="006338C7" w:rsidP="006338C7">
      <w:pPr>
        <w:numPr>
          <w:ilvl w:val="0"/>
          <w:numId w:val="20"/>
        </w:numPr>
        <w:spacing w:after="0"/>
        <w:jc w:val="both"/>
        <w:rPr>
          <w:rFonts w:ascii="Arial" w:hAnsi="Arial" w:cs="Arial"/>
        </w:rPr>
      </w:pPr>
      <w:r w:rsidRPr="00C27B9A">
        <w:rPr>
          <w:rFonts w:ascii="Arial" w:hAnsi="Arial" w:cs="Arial"/>
        </w:rPr>
        <w:t>Šíření excelence a podpora účasti,</w:t>
      </w:r>
    </w:p>
    <w:p w:rsidR="006338C7" w:rsidRPr="00C27B9A" w:rsidRDefault="006338C7" w:rsidP="006338C7">
      <w:pPr>
        <w:numPr>
          <w:ilvl w:val="0"/>
          <w:numId w:val="20"/>
        </w:numPr>
        <w:spacing w:after="0"/>
        <w:jc w:val="both"/>
        <w:rPr>
          <w:rFonts w:ascii="Arial" w:hAnsi="Arial" w:cs="Arial"/>
        </w:rPr>
      </w:pPr>
      <w:r w:rsidRPr="00C27B9A">
        <w:rPr>
          <w:rFonts w:ascii="Arial" w:hAnsi="Arial" w:cs="Arial"/>
        </w:rPr>
        <w:t>Věda se společností a pro společnost.</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Rozpočet H2020 pokryje také:</w:t>
      </w:r>
    </w:p>
    <w:p w:rsidR="006338C7" w:rsidRPr="00C27B9A" w:rsidRDefault="006338C7" w:rsidP="006338C7">
      <w:pPr>
        <w:numPr>
          <w:ilvl w:val="0"/>
          <w:numId w:val="20"/>
        </w:numPr>
        <w:spacing w:after="0"/>
        <w:jc w:val="both"/>
        <w:rPr>
          <w:rFonts w:ascii="Arial" w:hAnsi="Arial" w:cs="Arial"/>
        </w:rPr>
      </w:pPr>
      <w:r w:rsidRPr="00C27B9A">
        <w:rPr>
          <w:rFonts w:ascii="Arial" w:hAnsi="Arial" w:cs="Arial"/>
        </w:rPr>
        <w:t>nejaderné přímé akce Společného výzkumného centra,</w:t>
      </w:r>
    </w:p>
    <w:p w:rsidR="006338C7" w:rsidRPr="00C27B9A" w:rsidRDefault="006338C7" w:rsidP="006338C7">
      <w:pPr>
        <w:numPr>
          <w:ilvl w:val="0"/>
          <w:numId w:val="20"/>
        </w:numPr>
        <w:spacing w:after="0"/>
        <w:jc w:val="both"/>
        <w:rPr>
          <w:rFonts w:ascii="Arial" w:hAnsi="Arial" w:cs="Arial"/>
        </w:rPr>
      </w:pPr>
      <w:r w:rsidRPr="00C27B9A">
        <w:rPr>
          <w:rFonts w:ascii="Arial" w:hAnsi="Arial" w:cs="Arial"/>
        </w:rPr>
        <w:lastRenderedPageBreak/>
        <w:t>aktivity Evropského inovačního a technologického institutu.</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Priorita Vynikající věda podporuje excelentní výzkum a vytváří podmínky pro jeho provozování, zejména vynikající projekty hraničního výzkumu, vývoj nových a ambiciózních technologií, mobilitu vynikajících výzkumných pracovníků a špičkové infrastruktury. Cílem priority Vedoucí postavení evropského průmyslu je zlepšení konkurenceschopnosti evropského průmyslu prostřednictvím průmyslových a průlomových technologií, snazšího přístupu k rizikovému financování a inovací v malých a středních podnicích (MSP). V prioritě Společenské výzvy bude podporován výzkum, který směřuje k řešení zásadních otázek a problémů, s nimiž se potýká evropská společnost, a to v následujících oblastech: Zdraví, demografické změny a životní pohoda (</w:t>
      </w:r>
      <w:proofErr w:type="spellStart"/>
      <w:r w:rsidRPr="00AF50F1">
        <w:rPr>
          <w:rFonts w:ascii="Arial" w:eastAsia="Times New Roman" w:hAnsi="Arial" w:cs="Arial"/>
          <w:lang w:eastAsia="cs-CZ"/>
        </w:rPr>
        <w:t>wellbeing</w:t>
      </w:r>
      <w:proofErr w:type="spellEnd"/>
      <w:r w:rsidRPr="00AF50F1">
        <w:rPr>
          <w:rFonts w:ascii="Arial" w:eastAsia="Times New Roman" w:hAnsi="Arial" w:cs="Arial"/>
          <w:lang w:eastAsia="cs-CZ"/>
        </w:rPr>
        <w:t>); Potravinová bezpečnost, udržitelné zemědělství a lesní hospodářství, mořský a námořní výzkum a výzkum vnitrozemských vod a biohospodářství; Zajištěná, čistá a účinná energie, Inteligentní, ekologická a integrovaná doprava; Ochrana klimatu, životní prostředí, účinné využívání zdrojů, suroviny; Evropa v měnícím se světě: inkluzivní, inovativní a reflektivní společnosti; Bezpečné společnosti: ochrana svobody a bezpečnost Evropy a jejích občanů.</w:t>
      </w:r>
      <w:r w:rsidRPr="00AF50F1">
        <w:rPr>
          <w:rFonts w:eastAsia="Times New Roman"/>
          <w:vertAlign w:val="superscript"/>
          <w:lang w:eastAsia="cs-CZ"/>
        </w:rPr>
        <w:footnoteReference w:id="20"/>
      </w:r>
    </w:p>
    <w:p w:rsidR="006338C7" w:rsidRDefault="006338C7" w:rsidP="00AF50F1">
      <w:pPr>
        <w:spacing w:after="0" w:line="360" w:lineRule="auto"/>
        <w:ind w:firstLine="708"/>
        <w:jc w:val="both"/>
        <w:rPr>
          <w:rFonts w:ascii="Arial" w:hAnsi="Arial" w:cs="Arial"/>
        </w:rPr>
      </w:pPr>
      <w:r w:rsidRPr="00AF50F1">
        <w:rPr>
          <w:rFonts w:ascii="Arial" w:eastAsia="Times New Roman" w:hAnsi="Arial" w:cs="Arial"/>
          <w:lang w:eastAsia="cs-CZ"/>
        </w:rPr>
        <w:t>V tabulce 3.7 je uveden přehled rozpočtu H2020, tabulka 3.8 pak nabízí souhrn úspěšnosti návrhů projektů v jeho prioritních oblastech týkající se České republiky.</w:t>
      </w:r>
    </w:p>
    <w:p w:rsidR="006338C7" w:rsidRPr="00EB6C91" w:rsidRDefault="006338C7" w:rsidP="006338C7">
      <w:pPr>
        <w:pStyle w:val="Obrzek-nadpis"/>
      </w:pPr>
      <w:r>
        <w:t>Tab. 3.7: Rozpočet H2020</w:t>
      </w:r>
    </w:p>
    <w:tbl>
      <w:tblPr>
        <w:tblW w:w="5000" w:type="pct"/>
        <w:tblCellMar>
          <w:left w:w="70" w:type="dxa"/>
          <w:right w:w="70" w:type="dxa"/>
        </w:tblCellMar>
        <w:tblLook w:val="04A0" w:firstRow="1" w:lastRow="0" w:firstColumn="1" w:lastColumn="0" w:noHBand="0" w:noVBand="1"/>
      </w:tblPr>
      <w:tblGrid>
        <w:gridCol w:w="5842"/>
        <w:gridCol w:w="1944"/>
        <w:gridCol w:w="1426"/>
      </w:tblGrid>
      <w:tr w:rsidR="006338C7" w:rsidRPr="004B564E" w:rsidTr="006338C7">
        <w:trPr>
          <w:trHeight w:val="588"/>
        </w:trPr>
        <w:tc>
          <w:tcPr>
            <w:tcW w:w="3171" w:type="pct"/>
            <w:tcBorders>
              <w:top w:val="nil"/>
              <w:left w:val="nil"/>
              <w:bottom w:val="nil"/>
              <w:right w:val="nil"/>
            </w:tcBorders>
            <w:shd w:val="clear" w:color="auto" w:fill="auto"/>
            <w:noWrap/>
            <w:vAlign w:val="bottom"/>
            <w:hideMark/>
          </w:tcPr>
          <w:p w:rsidR="006338C7" w:rsidRPr="004B564E" w:rsidRDefault="006338C7" w:rsidP="006338C7">
            <w:pPr>
              <w:spacing w:after="0" w:line="240" w:lineRule="auto"/>
              <w:rPr>
                <w:rFonts w:ascii="Arial" w:eastAsia="Times New Roman" w:hAnsi="Arial" w:cs="Arial"/>
                <w:color w:val="000000"/>
                <w:sz w:val="18"/>
                <w:szCs w:val="18"/>
                <w:lang w:eastAsia="cs-CZ"/>
              </w:rPr>
            </w:pPr>
          </w:p>
        </w:tc>
        <w:tc>
          <w:tcPr>
            <w:tcW w:w="1055" w:type="pct"/>
            <w:tcBorders>
              <w:top w:val="dashed" w:sz="8" w:space="0" w:color="31869B"/>
              <w:left w:val="dashed" w:sz="8" w:space="0" w:color="31869B"/>
              <w:bottom w:val="dashed" w:sz="8" w:space="0" w:color="31869B"/>
              <w:right w:val="dashed" w:sz="8" w:space="0" w:color="31869B"/>
            </w:tcBorders>
            <w:shd w:val="clear" w:color="000000" w:fill="B7DEE8"/>
            <w:vAlign w:val="center"/>
            <w:hideMark/>
          </w:tcPr>
          <w:p w:rsidR="006338C7" w:rsidRPr="004B564E" w:rsidRDefault="006338C7" w:rsidP="006338C7">
            <w:pPr>
              <w:spacing w:after="0" w:line="240" w:lineRule="auto"/>
              <w:jc w:val="center"/>
              <w:rPr>
                <w:rFonts w:ascii="Arial" w:eastAsia="Times New Roman" w:hAnsi="Arial" w:cs="Arial"/>
                <w:b/>
                <w:bCs/>
                <w:color w:val="FFFFFF"/>
                <w:sz w:val="18"/>
                <w:szCs w:val="18"/>
                <w:lang w:eastAsia="cs-CZ"/>
              </w:rPr>
            </w:pPr>
            <w:r w:rsidRPr="004B564E">
              <w:rPr>
                <w:rFonts w:ascii="Arial" w:eastAsia="Times New Roman" w:hAnsi="Arial" w:cs="Arial"/>
                <w:b/>
                <w:bCs/>
                <w:color w:val="FFFFFF"/>
                <w:sz w:val="18"/>
                <w:szCs w:val="18"/>
                <w:lang w:eastAsia="cs-CZ"/>
              </w:rPr>
              <w:t>% z celkového rozpočtu</w:t>
            </w:r>
          </w:p>
        </w:tc>
        <w:tc>
          <w:tcPr>
            <w:tcW w:w="774" w:type="pct"/>
            <w:tcBorders>
              <w:top w:val="dashed" w:sz="8" w:space="0" w:color="31869B"/>
              <w:left w:val="nil"/>
              <w:bottom w:val="dashed" w:sz="8" w:space="0" w:color="31869B"/>
              <w:right w:val="dashed" w:sz="8" w:space="0" w:color="31869B"/>
            </w:tcBorders>
            <w:shd w:val="clear" w:color="000000" w:fill="B7DEE8"/>
            <w:vAlign w:val="center"/>
            <w:hideMark/>
          </w:tcPr>
          <w:p w:rsidR="006338C7" w:rsidRPr="004B564E" w:rsidRDefault="006338C7" w:rsidP="006338C7">
            <w:pPr>
              <w:spacing w:after="0" w:line="240" w:lineRule="auto"/>
              <w:jc w:val="center"/>
              <w:rPr>
                <w:rFonts w:ascii="Arial" w:eastAsia="Times New Roman" w:hAnsi="Arial" w:cs="Arial"/>
                <w:b/>
                <w:bCs/>
                <w:color w:val="FFFFFF"/>
                <w:sz w:val="18"/>
                <w:szCs w:val="18"/>
                <w:lang w:eastAsia="cs-CZ"/>
              </w:rPr>
            </w:pPr>
            <w:r w:rsidRPr="004B564E">
              <w:rPr>
                <w:rFonts w:ascii="Arial" w:eastAsia="Times New Roman" w:hAnsi="Arial" w:cs="Arial"/>
                <w:b/>
                <w:bCs/>
                <w:color w:val="FFFFFF"/>
                <w:sz w:val="18"/>
                <w:szCs w:val="18"/>
                <w:lang w:eastAsia="cs-CZ"/>
              </w:rPr>
              <w:t>mil. EUR</w:t>
            </w:r>
          </w:p>
        </w:tc>
      </w:tr>
      <w:tr w:rsidR="006338C7" w:rsidRPr="004B564E" w:rsidTr="006338C7">
        <w:trPr>
          <w:trHeight w:val="300"/>
        </w:trPr>
        <w:tc>
          <w:tcPr>
            <w:tcW w:w="3171" w:type="pct"/>
            <w:tcBorders>
              <w:top w:val="dashed" w:sz="8" w:space="0" w:color="31869B"/>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 xml:space="preserve">Vynikající věda </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31,73</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24 441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 xml:space="preserve">Evropská výzkumná rada </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17</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13 095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 xml:space="preserve">Budoucí a vznikající technologie </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3,5</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2 696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 xml:space="preserve">Akce Marie </w:t>
            </w:r>
            <w:proofErr w:type="spellStart"/>
            <w:r w:rsidRPr="004B564E">
              <w:rPr>
                <w:rFonts w:ascii="Arial" w:eastAsia="Times New Roman" w:hAnsi="Arial" w:cs="Arial"/>
                <w:color w:val="215967"/>
                <w:sz w:val="18"/>
                <w:szCs w:val="18"/>
                <w:lang w:eastAsia="cs-CZ"/>
              </w:rPr>
              <w:t>Skłodowska</w:t>
            </w:r>
            <w:proofErr w:type="spellEnd"/>
            <w:r w:rsidRPr="004B564E">
              <w:rPr>
                <w:rFonts w:ascii="Arial" w:eastAsia="Times New Roman" w:hAnsi="Arial" w:cs="Arial"/>
                <w:color w:val="215967"/>
                <w:sz w:val="18"/>
                <w:szCs w:val="18"/>
                <w:lang w:eastAsia="cs-CZ"/>
              </w:rPr>
              <w:t>-Curie</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8</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6 162 </w:t>
            </w:r>
          </w:p>
        </w:tc>
      </w:tr>
      <w:tr w:rsidR="006338C7" w:rsidRPr="004B564E" w:rsidTr="006338C7">
        <w:trPr>
          <w:trHeight w:val="300"/>
        </w:trPr>
        <w:tc>
          <w:tcPr>
            <w:tcW w:w="3171" w:type="pct"/>
            <w:tcBorders>
              <w:top w:val="nil"/>
              <w:left w:val="dashed" w:sz="8" w:space="0" w:color="31869B"/>
              <w:bottom w:val="nil"/>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Pr>
                <w:rFonts w:ascii="Arial" w:eastAsia="Times New Roman" w:hAnsi="Arial" w:cs="Arial"/>
                <w:color w:val="215967"/>
                <w:sz w:val="18"/>
                <w:szCs w:val="18"/>
                <w:lang w:eastAsia="cs-CZ"/>
              </w:rPr>
              <w:t>V</w:t>
            </w:r>
            <w:r w:rsidRPr="004B564E">
              <w:rPr>
                <w:rFonts w:ascii="Arial" w:eastAsia="Times New Roman" w:hAnsi="Arial" w:cs="Arial"/>
                <w:color w:val="215967"/>
                <w:sz w:val="18"/>
                <w:szCs w:val="18"/>
                <w:lang w:eastAsia="cs-CZ"/>
              </w:rPr>
              <w:t>ýzkumné infrastruktury</w:t>
            </w:r>
          </w:p>
        </w:tc>
        <w:tc>
          <w:tcPr>
            <w:tcW w:w="1055" w:type="pct"/>
            <w:tcBorders>
              <w:top w:val="nil"/>
              <w:left w:val="nil"/>
              <w:bottom w:val="nil"/>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3,23</w:t>
            </w:r>
          </w:p>
        </w:tc>
        <w:tc>
          <w:tcPr>
            <w:tcW w:w="774" w:type="pct"/>
            <w:tcBorders>
              <w:top w:val="nil"/>
              <w:left w:val="nil"/>
              <w:bottom w:val="nil"/>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2 488 </w:t>
            </w:r>
          </w:p>
        </w:tc>
      </w:tr>
      <w:tr w:rsidR="006338C7" w:rsidRPr="004B564E" w:rsidTr="006338C7">
        <w:trPr>
          <w:trHeight w:val="300"/>
        </w:trPr>
        <w:tc>
          <w:tcPr>
            <w:tcW w:w="3171" w:type="pct"/>
            <w:tcBorders>
              <w:top w:val="dashed" w:sz="4" w:space="0" w:color="31869B"/>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Vedoucí postavení průmyslu</w:t>
            </w:r>
          </w:p>
        </w:tc>
        <w:tc>
          <w:tcPr>
            <w:tcW w:w="1055" w:type="pct"/>
            <w:tcBorders>
              <w:top w:val="dashed" w:sz="4" w:space="0" w:color="31869B"/>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22,09</w:t>
            </w:r>
          </w:p>
        </w:tc>
        <w:tc>
          <w:tcPr>
            <w:tcW w:w="774" w:type="pct"/>
            <w:tcBorders>
              <w:top w:val="dashed" w:sz="4" w:space="0" w:color="31869B"/>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17 016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Průlomové a průmyslové technologie</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17,6</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13 557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Přístup k rizikovému financování</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3,69</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2 842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Inovace v malých a středních podnicích</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0,8</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616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Společenské výzvy</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38,53</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29 679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Zdraví, demografické změny a životní pohoda</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9,7</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7 472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2D3445">
              <w:rPr>
                <w:rFonts w:ascii="Arial" w:eastAsia="Times New Roman" w:hAnsi="Arial" w:cs="Arial"/>
                <w:color w:val="215967"/>
                <w:sz w:val="18"/>
                <w:szCs w:val="18"/>
                <w:lang w:eastAsia="cs-CZ"/>
              </w:rPr>
              <w:t>Potravinové bezpečnost, udržitelné zemědělství a lesní hospodářství, mořský a námořní výzkum a výzkum vnitrozemských vod a biohospodářství</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5</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3 851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Zajištěná, čistá a účinná energie</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7,7</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5 931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Inteligentní, ekologická a integrovaná doprava</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8,23</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6 339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Ochrana klimatu, životní prostředí, účinné využívání zdrojů a suroviny</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4</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3 081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Evropa v měnícím se světě – inkluzivní, inovativní a reflektivní společnosti</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1,7</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1 309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 xml:space="preserve">Bezpečné společnosti: ochrana svobody a bezpečnosti Evropy a </w:t>
            </w:r>
            <w:r w:rsidRPr="004B564E">
              <w:rPr>
                <w:rFonts w:ascii="Arial" w:eastAsia="Times New Roman" w:hAnsi="Arial" w:cs="Arial"/>
                <w:color w:val="215967"/>
                <w:sz w:val="18"/>
                <w:szCs w:val="18"/>
                <w:lang w:eastAsia="cs-CZ"/>
              </w:rPr>
              <w:lastRenderedPageBreak/>
              <w:t>jejích občanů</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lastRenderedPageBreak/>
              <w:t>2,2</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1 695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lastRenderedPageBreak/>
              <w:t>Věda se společností a pro společnost</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0,6</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462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Šíření excelence a podpora účasti</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1,06</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816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Evropský inovační a technologický institut (EIT)</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3,52</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2 711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Nejaderné přímé akce Společného výzkumného centra (JRC)</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2,47</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1 903 </w:t>
            </w:r>
          </w:p>
        </w:tc>
      </w:tr>
      <w:tr w:rsidR="006338C7" w:rsidRPr="00D46485" w:rsidTr="006338C7">
        <w:trPr>
          <w:trHeight w:val="283"/>
        </w:trPr>
        <w:tc>
          <w:tcPr>
            <w:tcW w:w="3171" w:type="pct"/>
            <w:tcBorders>
              <w:top w:val="nil"/>
              <w:left w:val="dashed" w:sz="8" w:space="0" w:color="31869B"/>
              <w:bottom w:val="dashed" w:sz="8" w:space="0" w:color="31869B"/>
              <w:right w:val="dashed" w:sz="4" w:space="0" w:color="31869B"/>
            </w:tcBorders>
            <w:shd w:val="clear" w:color="000000" w:fill="DAEEF3"/>
            <w:vAlign w:val="center"/>
            <w:hideMark/>
          </w:tcPr>
          <w:p w:rsidR="006338C7" w:rsidRPr="00D46485"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D46485">
              <w:rPr>
                <w:rFonts w:ascii="Arial" w:eastAsia="Times New Roman" w:hAnsi="Arial" w:cs="Arial"/>
                <w:b/>
                <w:bCs/>
                <w:color w:val="1F497D"/>
                <w:sz w:val="18"/>
                <w:szCs w:val="18"/>
                <w:lang w:eastAsia="cs-CZ"/>
              </w:rPr>
              <w:t>CELKOVÝ PŘÍSPĚVEK EU</w:t>
            </w:r>
          </w:p>
        </w:tc>
        <w:tc>
          <w:tcPr>
            <w:tcW w:w="1055" w:type="pct"/>
            <w:tcBorders>
              <w:top w:val="nil"/>
              <w:left w:val="nil"/>
              <w:bottom w:val="dashed" w:sz="8" w:space="0" w:color="31869B"/>
              <w:right w:val="dashed" w:sz="4"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215967"/>
                <w:sz w:val="18"/>
                <w:szCs w:val="18"/>
                <w:lang w:eastAsia="cs-CZ"/>
              </w:rPr>
            </w:pPr>
            <w:r w:rsidRPr="00D46485">
              <w:rPr>
                <w:rFonts w:ascii="Arial" w:eastAsia="Times New Roman" w:hAnsi="Arial" w:cs="Arial"/>
                <w:b/>
                <w:bCs/>
                <w:color w:val="215967"/>
                <w:sz w:val="18"/>
                <w:szCs w:val="18"/>
                <w:lang w:eastAsia="cs-CZ"/>
              </w:rPr>
              <w:t>100</w:t>
            </w:r>
          </w:p>
        </w:tc>
        <w:tc>
          <w:tcPr>
            <w:tcW w:w="774" w:type="pct"/>
            <w:tcBorders>
              <w:top w:val="nil"/>
              <w:left w:val="nil"/>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215967"/>
                <w:sz w:val="18"/>
                <w:szCs w:val="18"/>
                <w:lang w:eastAsia="cs-CZ"/>
              </w:rPr>
            </w:pPr>
            <w:r w:rsidRPr="00D46485">
              <w:rPr>
                <w:rFonts w:ascii="Arial" w:eastAsia="Times New Roman" w:hAnsi="Arial" w:cs="Arial"/>
                <w:b/>
                <w:bCs/>
                <w:color w:val="215967"/>
                <w:sz w:val="18"/>
                <w:szCs w:val="18"/>
                <w:lang w:eastAsia="cs-CZ"/>
              </w:rPr>
              <w:t xml:space="preserve">77 028 </w:t>
            </w:r>
          </w:p>
        </w:tc>
      </w:tr>
    </w:tbl>
    <w:p w:rsidR="006338C7" w:rsidRPr="004B564E" w:rsidRDefault="006338C7" w:rsidP="006338C7">
      <w:pPr>
        <w:spacing w:before="120"/>
        <w:jc w:val="both"/>
        <w:rPr>
          <w:rFonts w:ascii="Arial" w:hAnsi="Arial" w:cs="Arial"/>
          <w:sz w:val="18"/>
          <w:szCs w:val="18"/>
        </w:rPr>
      </w:pPr>
      <w:r w:rsidRPr="00D46485">
        <w:rPr>
          <w:rFonts w:ascii="Arial" w:hAnsi="Arial" w:cs="Arial"/>
          <w:sz w:val="18"/>
          <w:szCs w:val="18"/>
        </w:rPr>
        <w:t>Zdroj: Horizont 2020 Stručně o programu, TC AV ČR</w:t>
      </w:r>
    </w:p>
    <w:p w:rsidR="006338C7" w:rsidRDefault="006338C7" w:rsidP="006338C7">
      <w:pPr>
        <w:spacing w:before="240" w:after="0"/>
        <w:ind w:firstLine="709"/>
        <w:jc w:val="both"/>
        <w:rPr>
          <w:rFonts w:ascii="Arial" w:hAnsi="Arial" w:cs="Arial"/>
        </w:rPr>
      </w:pPr>
    </w:p>
    <w:p w:rsidR="006338C7" w:rsidRDefault="006338C7" w:rsidP="006338C7">
      <w:pPr>
        <w:spacing w:before="240" w:after="0"/>
        <w:ind w:firstLine="709"/>
        <w:jc w:val="both"/>
        <w:rPr>
          <w:rFonts w:ascii="Arial" w:hAnsi="Arial" w:cs="Arial"/>
        </w:rPr>
      </w:pPr>
    </w:p>
    <w:p w:rsidR="006338C7" w:rsidRDefault="006338C7" w:rsidP="006338C7">
      <w:pPr>
        <w:spacing w:before="240" w:after="0"/>
        <w:jc w:val="both"/>
        <w:rPr>
          <w:rFonts w:ascii="Arial" w:eastAsia="Times New Roman" w:hAnsi="Arial" w:cs="Times New Roman"/>
          <w:b/>
          <w:szCs w:val="24"/>
          <w:lang w:eastAsia="cs-CZ"/>
        </w:rPr>
        <w:sectPr w:rsidR="006338C7" w:rsidSect="006338C7">
          <w:pgSz w:w="11906" w:h="16838"/>
          <w:pgMar w:top="1417" w:right="1417" w:bottom="1417" w:left="1417" w:header="708" w:footer="708" w:gutter="0"/>
          <w:cols w:space="708"/>
          <w:docGrid w:linePitch="360"/>
        </w:sectPr>
      </w:pPr>
    </w:p>
    <w:p w:rsidR="006338C7" w:rsidRDefault="006338C7" w:rsidP="006338C7">
      <w:pPr>
        <w:spacing w:before="240" w:after="0"/>
        <w:jc w:val="both"/>
        <w:rPr>
          <w:rFonts w:ascii="Arial" w:eastAsia="Times New Roman" w:hAnsi="Arial" w:cs="Times New Roman"/>
          <w:b/>
          <w:szCs w:val="24"/>
          <w:lang w:eastAsia="cs-CZ"/>
        </w:rPr>
      </w:pPr>
      <w:r w:rsidRPr="004414E8">
        <w:rPr>
          <w:rFonts w:ascii="Arial" w:eastAsia="Times New Roman" w:hAnsi="Arial" w:cs="Times New Roman"/>
          <w:b/>
          <w:szCs w:val="24"/>
          <w:lang w:eastAsia="cs-CZ"/>
        </w:rPr>
        <w:lastRenderedPageBreak/>
        <w:t>Tab. 3.8: H2020 – úspěšnost ČR: Návrhy projektů v prioritních oblastech H2020</w:t>
      </w:r>
    </w:p>
    <w:tbl>
      <w:tblPr>
        <w:tblpPr w:leftFromText="142" w:rightFromText="142" w:vertAnchor="text" w:tblpY="1"/>
        <w:tblW w:w="0" w:type="auto"/>
        <w:tblCellMar>
          <w:left w:w="70" w:type="dxa"/>
          <w:right w:w="70" w:type="dxa"/>
        </w:tblCellMar>
        <w:tblLook w:val="04A0" w:firstRow="1" w:lastRow="0" w:firstColumn="1" w:lastColumn="0" w:noHBand="0" w:noVBand="1"/>
      </w:tblPr>
      <w:tblGrid>
        <w:gridCol w:w="1322"/>
        <w:gridCol w:w="3533"/>
        <w:gridCol w:w="1240"/>
        <w:gridCol w:w="1134"/>
        <w:gridCol w:w="1243"/>
        <w:gridCol w:w="1134"/>
        <w:gridCol w:w="1701"/>
        <w:gridCol w:w="1701"/>
        <w:gridCol w:w="1134"/>
      </w:tblGrid>
      <w:tr w:rsidR="006338C7" w:rsidRPr="00931F43" w:rsidTr="006338C7">
        <w:trPr>
          <w:trHeight w:val="405"/>
        </w:trPr>
        <w:tc>
          <w:tcPr>
            <w:tcW w:w="1134" w:type="dxa"/>
            <w:gridSpan w:val="9"/>
            <w:tcBorders>
              <w:top w:val="nil"/>
              <w:left w:val="nil"/>
              <w:bottom w:val="nil"/>
              <w:right w:val="nil"/>
            </w:tcBorders>
            <w:shd w:val="clear" w:color="auto" w:fill="auto"/>
            <w:noWrap/>
            <w:vAlign w:val="center"/>
            <w:hideMark/>
          </w:tcPr>
          <w:p w:rsidR="006338C7" w:rsidRPr="00931F43" w:rsidRDefault="006338C7" w:rsidP="006338C7">
            <w:pPr>
              <w:spacing w:after="0" w:line="240" w:lineRule="auto"/>
              <w:jc w:val="center"/>
              <w:rPr>
                <w:rFonts w:ascii="Arial" w:eastAsia="Times New Roman" w:hAnsi="Arial" w:cs="Arial"/>
                <w:b/>
                <w:bCs/>
                <w:color w:val="000000"/>
                <w:sz w:val="18"/>
                <w:szCs w:val="18"/>
                <w:lang w:eastAsia="cs-CZ"/>
              </w:rPr>
            </w:pPr>
            <w:r w:rsidRPr="00931F43">
              <w:rPr>
                <w:rFonts w:ascii="Arial" w:eastAsia="Times New Roman" w:hAnsi="Arial" w:cs="Arial"/>
                <w:b/>
                <w:bCs/>
                <w:color w:val="000000"/>
                <w:sz w:val="18"/>
                <w:szCs w:val="18"/>
                <w:lang w:eastAsia="cs-CZ"/>
              </w:rPr>
              <w:t>H2020 - úspěšnost: Návrhy projektů v prioritních oblastech H2020</w:t>
            </w:r>
          </w:p>
        </w:tc>
      </w:tr>
      <w:tr w:rsidR="006338C7" w:rsidRPr="00931F43" w:rsidTr="006338C7">
        <w:trPr>
          <w:trHeight w:val="1425"/>
        </w:trPr>
        <w:tc>
          <w:tcPr>
            <w:tcW w:w="0" w:type="auto"/>
            <w:tcBorders>
              <w:top w:val="dashed" w:sz="8" w:space="0" w:color="31869B"/>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Pilíř</w:t>
            </w:r>
          </w:p>
        </w:tc>
        <w:tc>
          <w:tcPr>
            <w:tcW w:w="0" w:type="auto"/>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Prioritní oblast</w:t>
            </w:r>
          </w:p>
        </w:tc>
        <w:tc>
          <w:tcPr>
            <w:tcW w:w="0" w:type="auto"/>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zkratka</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počet způsobilých návrhů projektů</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počet způsobilých návrhů projektů doporučených k financování</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 xml:space="preserve">projektová úspěšnost </w:t>
            </w:r>
            <w:r w:rsidRPr="00D46485">
              <w:rPr>
                <w:rFonts w:ascii="Arial" w:eastAsia="Times New Roman" w:hAnsi="Arial" w:cs="Arial"/>
                <w:b/>
                <w:bCs/>
                <w:color w:val="FFFFFF"/>
                <w:sz w:val="16"/>
                <w:szCs w:val="16"/>
                <w:lang w:eastAsia="cs-CZ"/>
              </w:rPr>
              <w:br/>
              <w:t>(%)</w:t>
            </w:r>
          </w:p>
        </w:tc>
        <w:tc>
          <w:tcPr>
            <w:tcW w:w="1701"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finanční podpora (€) -</w:t>
            </w:r>
            <w:r w:rsidRPr="00D46485">
              <w:rPr>
                <w:rFonts w:ascii="Arial" w:eastAsia="Times New Roman" w:hAnsi="Arial" w:cs="Arial"/>
                <w:b/>
                <w:bCs/>
                <w:color w:val="FFFFFF"/>
                <w:sz w:val="16"/>
                <w:szCs w:val="16"/>
                <w:lang w:eastAsia="cs-CZ"/>
              </w:rPr>
              <w:br/>
              <w:t>způsobilé návrhy projektů</w:t>
            </w:r>
          </w:p>
        </w:tc>
        <w:tc>
          <w:tcPr>
            <w:tcW w:w="1701"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finanční podpora (€) -</w:t>
            </w:r>
            <w:r w:rsidRPr="00D46485">
              <w:rPr>
                <w:rFonts w:ascii="Arial" w:eastAsia="Times New Roman" w:hAnsi="Arial" w:cs="Arial"/>
                <w:b/>
                <w:bCs/>
                <w:color w:val="FFFFFF"/>
                <w:sz w:val="16"/>
                <w:szCs w:val="16"/>
                <w:lang w:eastAsia="cs-CZ"/>
              </w:rPr>
              <w:br/>
              <w:t>návrhy projektů</w:t>
            </w:r>
            <w:r w:rsidRPr="00D46485">
              <w:rPr>
                <w:rFonts w:ascii="Arial" w:eastAsia="Times New Roman" w:hAnsi="Arial" w:cs="Arial"/>
                <w:b/>
                <w:bCs/>
                <w:color w:val="FFFFFF"/>
                <w:sz w:val="16"/>
                <w:szCs w:val="16"/>
                <w:lang w:eastAsia="cs-CZ"/>
              </w:rPr>
              <w:br/>
              <w:t>doporučené k financování</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finanční</w:t>
            </w:r>
            <w:r w:rsidRPr="00D46485">
              <w:rPr>
                <w:rFonts w:ascii="Arial" w:eastAsia="Times New Roman" w:hAnsi="Arial" w:cs="Arial"/>
                <w:b/>
                <w:bCs/>
                <w:color w:val="FFFFFF"/>
                <w:sz w:val="16"/>
                <w:szCs w:val="16"/>
                <w:lang w:eastAsia="cs-CZ"/>
              </w:rPr>
              <w:br/>
              <w:t>úspěšnost</w:t>
            </w:r>
            <w:r w:rsidRPr="00D46485">
              <w:rPr>
                <w:rFonts w:ascii="Arial" w:eastAsia="Times New Roman" w:hAnsi="Arial" w:cs="Arial"/>
                <w:b/>
                <w:bCs/>
                <w:color w:val="FFFFFF"/>
                <w:sz w:val="16"/>
                <w:szCs w:val="16"/>
                <w:lang w:eastAsia="cs-CZ"/>
              </w:rPr>
              <w:br/>
              <w:t>(%)</w:t>
            </w:r>
          </w:p>
        </w:tc>
      </w:tr>
      <w:tr w:rsidR="006338C7" w:rsidRPr="00931F43" w:rsidTr="006338C7">
        <w:trPr>
          <w:trHeight w:val="315"/>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Vynikající věda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Evropská výzkumná rada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ERC</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9,43</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142 667 719,0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16 861 138,0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11,82</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Budoucí a vznikající technologie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FER</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6,45</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40 339 855,0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1 926 250,0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4,78</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Akce Marie </w:t>
            </w:r>
            <w:proofErr w:type="spellStart"/>
            <w:r w:rsidRPr="00D46485">
              <w:rPr>
                <w:rFonts w:ascii="Arial" w:eastAsia="Times New Roman" w:hAnsi="Arial" w:cs="Arial"/>
                <w:color w:val="215967"/>
                <w:sz w:val="16"/>
                <w:szCs w:val="16"/>
                <w:lang w:eastAsia="cs-CZ"/>
              </w:rPr>
              <w:t>Sklodowska</w:t>
            </w:r>
            <w:proofErr w:type="spellEnd"/>
            <w:r w:rsidRPr="00D46485">
              <w:rPr>
                <w:rFonts w:ascii="Arial" w:eastAsia="Times New Roman" w:hAnsi="Arial" w:cs="Arial"/>
                <w:color w:val="215967"/>
                <w:sz w:val="16"/>
                <w:szCs w:val="16"/>
                <w:lang w:eastAsia="cs-CZ"/>
              </w:rPr>
              <w:t>-Curie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MSCA</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360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10,28</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109 488 391,0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10 721 090,0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9,79</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Výzkumné infrastruktury (včetně </w:t>
            </w:r>
            <w:r w:rsidRPr="00D46485">
              <w:rPr>
                <w:rFonts w:ascii="Arial" w:eastAsia="Times New Roman" w:hAnsi="Arial" w:cs="Arial"/>
                <w:color w:val="215967"/>
                <w:sz w:val="16"/>
                <w:szCs w:val="16"/>
                <w:lang w:eastAsia="cs-CZ"/>
              </w:rPr>
              <w:br/>
              <w:t>e-infrastruktur)</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INFRA</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60</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24</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40,00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18 195 026,0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4 881 595,0</w:t>
            </w:r>
          </w:p>
        </w:tc>
        <w:tc>
          <w:tcPr>
            <w:tcW w:w="1134" w:type="dxa"/>
            <w:tcBorders>
              <w:top w:val="nil"/>
              <w:left w:val="nil"/>
              <w:bottom w:val="dashed" w:sz="8"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26,83</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nil"/>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Vynikající věda</w:t>
            </w:r>
          </w:p>
        </w:tc>
        <w:tc>
          <w:tcPr>
            <w:tcW w:w="0" w:type="auto"/>
            <w:tcBorders>
              <w:top w:val="nil"/>
              <w:left w:val="nil"/>
              <w:bottom w:val="nil"/>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619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77</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12,44</w:t>
            </w:r>
          </w:p>
        </w:tc>
        <w:tc>
          <w:tcPr>
            <w:tcW w:w="1701" w:type="dxa"/>
            <w:tcBorders>
              <w:top w:val="nil"/>
              <w:left w:val="nil"/>
              <w:bottom w:val="nil"/>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310 690 991,0</w:t>
            </w:r>
          </w:p>
        </w:tc>
        <w:tc>
          <w:tcPr>
            <w:tcW w:w="1701" w:type="dxa"/>
            <w:tcBorders>
              <w:top w:val="nil"/>
              <w:left w:val="nil"/>
              <w:bottom w:val="nil"/>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34 390 073,0</w:t>
            </w:r>
          </w:p>
        </w:tc>
        <w:tc>
          <w:tcPr>
            <w:tcW w:w="1134" w:type="dxa"/>
            <w:tcBorders>
              <w:top w:val="nil"/>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11,07</w:t>
            </w:r>
          </w:p>
        </w:tc>
      </w:tr>
      <w:tr w:rsidR="006338C7" w:rsidRPr="00931F43" w:rsidTr="006338C7">
        <w:trPr>
          <w:trHeight w:val="315"/>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Vedoucí postavení</w:t>
            </w:r>
            <w:r w:rsidRPr="00D46485">
              <w:rPr>
                <w:rFonts w:ascii="Arial" w:eastAsia="Times New Roman" w:hAnsi="Arial" w:cs="Arial"/>
                <w:b/>
                <w:bCs/>
                <w:color w:val="1F497D"/>
                <w:sz w:val="16"/>
                <w:szCs w:val="16"/>
                <w:lang w:eastAsia="cs-CZ"/>
              </w:rPr>
              <w:br/>
              <w:t xml:space="preserve"> průmyslu</w:t>
            </w:r>
          </w:p>
        </w:tc>
        <w:tc>
          <w:tcPr>
            <w:tcW w:w="0" w:type="auto"/>
            <w:tcBorders>
              <w:top w:val="dashed" w:sz="8"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Průlomové a průmyslové technologie</w:t>
            </w:r>
          </w:p>
        </w:tc>
        <w:tc>
          <w:tcPr>
            <w:tcW w:w="0" w:type="auto"/>
            <w:tcBorders>
              <w:top w:val="dashed" w:sz="8"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LEIT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701" w:type="dxa"/>
            <w:tcBorders>
              <w:top w:val="dashed" w:sz="8"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701" w:type="dxa"/>
            <w:tcBorders>
              <w:top w:val="dashed" w:sz="8"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ICT</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ICT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240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10,83</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112 878 238,0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8 477 333,0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7,51</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Nanotechnologie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NMP</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72</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4,17</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17 049 365,0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804 750,0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4,72</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Pokročilé materiály</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ADVMAT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18</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16,67</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8 140 083,0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1 029 375,0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12,65</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Biotechnologie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BIOTECH</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8,70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2 075 440,0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198 274,0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9,55</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Pokročilé výrobní systémy</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ADVMANU</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13,04</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31 911 966,0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2 589 333,0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8,11</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Vesmírné aplikace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SPA</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16,67</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12 404 491,0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1 862 479,0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15,01</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Přístup k rizikovému financování výzkumu a inovací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RISKFINANCE</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307 019,0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Inovace v MSP</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SME</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667 911,0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388 630,0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58,19</w:t>
            </w:r>
          </w:p>
        </w:tc>
      </w:tr>
      <w:tr w:rsidR="006338C7" w:rsidRPr="00931F43" w:rsidTr="006338C7">
        <w:trPr>
          <w:trHeight w:val="52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44062"/>
                <w:sz w:val="16"/>
                <w:szCs w:val="16"/>
                <w:lang w:eastAsia="cs-CZ"/>
              </w:rPr>
            </w:pPr>
            <w:r w:rsidRPr="00D46485">
              <w:rPr>
                <w:rFonts w:ascii="Arial" w:eastAsia="Times New Roman" w:hAnsi="Arial" w:cs="Arial"/>
                <w:color w:val="215967"/>
                <w:sz w:val="16"/>
                <w:szCs w:val="16"/>
                <w:lang w:eastAsia="cs-CZ"/>
              </w:rPr>
              <w:t xml:space="preserve">Vedoucí postavení v průmyslu - </w:t>
            </w:r>
            <w:r w:rsidRPr="00D46485">
              <w:rPr>
                <w:rFonts w:ascii="Arial" w:eastAsia="Times New Roman" w:hAnsi="Arial" w:cs="Arial"/>
                <w:color w:val="215967"/>
                <w:sz w:val="16"/>
                <w:szCs w:val="16"/>
                <w:lang w:eastAsia="cs-CZ"/>
              </w:rPr>
              <w:br/>
              <w:t>průřezové téma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INLEAD-CROSST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7,69</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7 893 996,0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567 375,0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7,19</w:t>
            </w:r>
          </w:p>
        </w:tc>
      </w:tr>
      <w:tr w:rsidR="006338C7" w:rsidRPr="00931F43" w:rsidTr="006338C7">
        <w:trPr>
          <w:trHeight w:val="315"/>
        </w:trPr>
        <w:tc>
          <w:tcPr>
            <w:tcW w:w="0" w:type="auto"/>
            <w:tcBorders>
              <w:top w:val="nil"/>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Vedoucí postavení průmyslu</w:t>
            </w:r>
          </w:p>
        </w:tc>
        <w:tc>
          <w:tcPr>
            <w:tcW w:w="0" w:type="auto"/>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501</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57</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11,38</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193 328 509,0</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15 917 549,0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8,23</w:t>
            </w:r>
          </w:p>
        </w:tc>
      </w:tr>
      <w:tr w:rsidR="006338C7" w:rsidRPr="00931F43" w:rsidTr="006338C7">
        <w:trPr>
          <w:trHeight w:val="315"/>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Společenské výzvy</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Zdraví, demografická změna a životní pohoda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HEALTH</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200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10,50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84 486 873,0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3 702 572,0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4,38</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Potravinové bezpečnost, udržitelné zemědělství a lesní hospodářství, mořský a námořní výzkum </w:t>
            </w:r>
            <w:r w:rsidRPr="00D46485">
              <w:rPr>
                <w:rFonts w:ascii="Arial" w:eastAsia="Times New Roman" w:hAnsi="Arial" w:cs="Arial"/>
                <w:color w:val="215967"/>
                <w:sz w:val="16"/>
                <w:szCs w:val="16"/>
                <w:lang w:eastAsia="cs-CZ"/>
              </w:rPr>
              <w:lastRenderedPageBreak/>
              <w:t>a výzkum vnitrozemských vod a biohospodářství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lastRenderedPageBreak/>
              <w:t>FOOD</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19,28</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26 809 274,0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1 995 185,0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7,44</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Bezpečné, čisté a účinné energie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EN</w:t>
            </w:r>
            <w:r>
              <w:rPr>
                <w:rFonts w:ascii="Arial" w:eastAsia="Times New Roman" w:hAnsi="Arial" w:cs="Arial"/>
                <w:i/>
                <w:iCs/>
                <w:color w:val="215967"/>
                <w:sz w:val="16"/>
                <w:szCs w:val="16"/>
                <w:lang w:eastAsia="cs-CZ"/>
              </w:rPr>
              <w:t>E</w:t>
            </w:r>
            <w:r w:rsidRPr="00D46485">
              <w:rPr>
                <w:rFonts w:ascii="Arial" w:eastAsia="Times New Roman" w:hAnsi="Arial" w:cs="Arial"/>
                <w:i/>
                <w:iCs/>
                <w:color w:val="215967"/>
                <w:sz w:val="16"/>
                <w:szCs w:val="16"/>
                <w:lang w:eastAsia="cs-CZ"/>
              </w:rPr>
              <w:t>RGY</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196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15,31</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94 981 956,0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6 219 512,0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6,55</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Inteligentní, ekologická a integrovaná doprava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TPT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18,28</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29 836 881,0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4 228 427,0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14,17</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Klimatická změna, účinné využívání zdrojů a surovin</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ENV</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15</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16,85</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28 726 642,0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5 066 742,0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17,64</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Evropa v měnícím se světě - inkluzivní, inovativní a reflexivní společnosti</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SOCIETY</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180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40 017 203,0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1 483 750,0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3,71</w:t>
            </w:r>
          </w:p>
        </w:tc>
      </w:tr>
      <w:tr w:rsidR="006338C7" w:rsidRPr="00931F43" w:rsidTr="006338C7">
        <w:trPr>
          <w:trHeight w:val="3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Ochrana svobody a bezpečnosti v Evropě</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SEC</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5,98</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51 322 069,0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1 955 755,0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3,81</w:t>
            </w:r>
          </w:p>
        </w:tc>
      </w:tr>
      <w:tr w:rsidR="006338C7" w:rsidRPr="00931F43" w:rsidTr="006338C7">
        <w:trPr>
          <w:trHeight w:val="52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44062"/>
                <w:sz w:val="16"/>
                <w:szCs w:val="16"/>
                <w:lang w:eastAsia="cs-CZ"/>
              </w:rPr>
            </w:pPr>
            <w:r w:rsidRPr="00D46485">
              <w:rPr>
                <w:rFonts w:ascii="Arial" w:eastAsia="Times New Roman" w:hAnsi="Arial" w:cs="Arial"/>
                <w:color w:val="215967"/>
                <w:sz w:val="16"/>
                <w:szCs w:val="16"/>
                <w:lang w:eastAsia="cs-CZ"/>
              </w:rPr>
              <w:t>Společenské výzvy - Průřezové téma</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SC-CROSST</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352 645,0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8"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r>
      <w:tr w:rsidR="006338C7" w:rsidRPr="00931F43" w:rsidTr="006338C7">
        <w:trPr>
          <w:trHeight w:val="315"/>
        </w:trPr>
        <w:tc>
          <w:tcPr>
            <w:tcW w:w="0" w:type="auto"/>
            <w:tcBorders>
              <w:top w:val="nil"/>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Společenské výzvy</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959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115</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11,99</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356 533 543,0</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24 651 943,0</w:t>
            </w:r>
          </w:p>
        </w:tc>
        <w:tc>
          <w:tcPr>
            <w:tcW w:w="1134" w:type="dxa"/>
            <w:tcBorders>
              <w:top w:val="nil"/>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6,91</w:t>
            </w:r>
          </w:p>
        </w:tc>
      </w:tr>
      <w:tr w:rsidR="006338C7" w:rsidRPr="00931F43" w:rsidTr="006338C7">
        <w:trPr>
          <w:trHeight w:val="600"/>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Šíření excelence a podpora účasti</w:t>
            </w:r>
          </w:p>
        </w:tc>
        <w:tc>
          <w:tcPr>
            <w:tcW w:w="0" w:type="auto"/>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proofErr w:type="spellStart"/>
            <w:r w:rsidRPr="00D46485">
              <w:rPr>
                <w:rFonts w:ascii="Arial" w:eastAsia="Times New Roman" w:hAnsi="Arial" w:cs="Arial"/>
                <w:color w:val="215967"/>
                <w:sz w:val="16"/>
                <w:szCs w:val="16"/>
                <w:lang w:eastAsia="cs-CZ"/>
              </w:rPr>
              <w:t>Teaming</w:t>
            </w:r>
            <w:proofErr w:type="spellEnd"/>
            <w:r w:rsidRPr="00D46485">
              <w:rPr>
                <w:rFonts w:ascii="Arial" w:eastAsia="Times New Roman" w:hAnsi="Arial" w:cs="Arial"/>
                <w:color w:val="215967"/>
                <w:sz w:val="16"/>
                <w:szCs w:val="16"/>
                <w:lang w:eastAsia="cs-CZ"/>
              </w:rPr>
              <w:t xml:space="preserve"> mezi excelentními výzkumnými organizacemi a regiony, které vykazují nižší efektivitu v oblasti výzkumu a vývoje</w:t>
            </w:r>
          </w:p>
        </w:tc>
        <w:tc>
          <w:tcPr>
            <w:tcW w:w="0" w:type="auto"/>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WIDSPREAD</w:t>
            </w:r>
          </w:p>
        </w:tc>
        <w:tc>
          <w:tcPr>
            <w:tcW w:w="1134"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w:t>
            </w:r>
          </w:p>
        </w:tc>
        <w:tc>
          <w:tcPr>
            <w:tcW w:w="1134"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23,08</w:t>
            </w:r>
          </w:p>
        </w:tc>
        <w:tc>
          <w:tcPr>
            <w:tcW w:w="1701"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2 435 310,0</w:t>
            </w:r>
          </w:p>
        </w:tc>
        <w:tc>
          <w:tcPr>
            <w:tcW w:w="1701"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641 412,0</w:t>
            </w:r>
          </w:p>
        </w:tc>
        <w:tc>
          <w:tcPr>
            <w:tcW w:w="1134" w:type="dxa"/>
            <w:tcBorders>
              <w:top w:val="dashed" w:sz="4" w:space="0" w:color="31869B"/>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26,34</w:t>
            </w:r>
          </w:p>
        </w:tc>
      </w:tr>
      <w:tr w:rsidR="006338C7" w:rsidRPr="00931F43" w:rsidTr="006338C7">
        <w:trPr>
          <w:trHeight w:val="3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Partnerství výzkumných institucí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TWINING</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7,94</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28 207 402,0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2 621 165,0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9,29</w:t>
            </w:r>
          </w:p>
        </w:tc>
      </w:tr>
      <w:tr w:rsidR="006338C7" w:rsidRPr="00931F43" w:rsidTr="006338C7">
        <w:trPr>
          <w:trHeight w:val="3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ERA </w:t>
            </w:r>
            <w:proofErr w:type="spellStart"/>
            <w:r w:rsidRPr="00D46485">
              <w:rPr>
                <w:rFonts w:ascii="Arial" w:eastAsia="Times New Roman" w:hAnsi="Arial" w:cs="Arial"/>
                <w:color w:val="215967"/>
                <w:sz w:val="16"/>
                <w:szCs w:val="16"/>
                <w:lang w:eastAsia="cs-CZ"/>
              </w:rPr>
              <w:t>chairs</w:t>
            </w:r>
            <w:proofErr w:type="spellEnd"/>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7 226 238,0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r>
      <w:tr w:rsidR="006338C7" w:rsidRPr="00931F43" w:rsidTr="006338C7">
        <w:trPr>
          <w:trHeight w:val="3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Nástroj pro podporu politiky</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PSF</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r>
      <w:tr w:rsidR="006338C7" w:rsidRPr="00931F43" w:rsidTr="006338C7">
        <w:trPr>
          <w:trHeight w:val="6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Posilování administrativní a provozní kapacity nadnárodní sítě Národních kontaktních míst </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NCPNET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47 500,0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47 500,0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100,00</w:t>
            </w:r>
          </w:p>
        </w:tc>
      </w:tr>
      <w:tr w:rsidR="006338C7" w:rsidRPr="00931F43" w:rsidTr="006338C7">
        <w:trPr>
          <w:trHeight w:val="52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44062"/>
                <w:sz w:val="16"/>
                <w:szCs w:val="16"/>
                <w:lang w:eastAsia="cs-CZ"/>
              </w:rPr>
            </w:pPr>
            <w:r w:rsidRPr="00D46485">
              <w:rPr>
                <w:rFonts w:ascii="Arial" w:eastAsia="Times New Roman" w:hAnsi="Arial" w:cs="Arial"/>
                <w:color w:val="215967"/>
                <w:sz w:val="16"/>
                <w:szCs w:val="16"/>
                <w:lang w:eastAsia="cs-CZ"/>
              </w:rPr>
              <w:t>Šíření excelence a rozšíření účasti- průřezové téma</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SEAWP-CROSST</w:t>
            </w:r>
          </w:p>
        </w:tc>
        <w:tc>
          <w:tcPr>
            <w:tcW w:w="1134" w:type="dxa"/>
            <w:tcBorders>
              <w:top w:val="nil"/>
              <w:left w:val="nil"/>
              <w:bottom w:val="nil"/>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134" w:type="dxa"/>
            <w:tcBorders>
              <w:top w:val="nil"/>
              <w:left w:val="nil"/>
              <w:bottom w:val="nil"/>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134" w:type="dxa"/>
            <w:tcBorders>
              <w:top w:val="nil"/>
              <w:left w:val="nil"/>
              <w:bottom w:val="dashed" w:sz="8" w:space="0" w:color="31869B"/>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701" w:type="dxa"/>
            <w:tcBorders>
              <w:top w:val="nil"/>
              <w:left w:val="nil"/>
              <w:bottom w:val="nil"/>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701" w:type="dxa"/>
            <w:tcBorders>
              <w:top w:val="nil"/>
              <w:left w:val="nil"/>
              <w:bottom w:val="nil"/>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134" w:type="dxa"/>
            <w:tcBorders>
              <w:top w:val="nil"/>
              <w:left w:val="nil"/>
              <w:bottom w:val="nil"/>
              <w:right w:val="dashed" w:sz="8" w:space="0" w:color="31869B"/>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r>
      <w:tr w:rsidR="006338C7" w:rsidRPr="00931F43" w:rsidTr="006338C7">
        <w:trPr>
          <w:trHeight w:val="360"/>
        </w:trPr>
        <w:tc>
          <w:tcPr>
            <w:tcW w:w="0" w:type="auto"/>
            <w:tcBorders>
              <w:top w:val="nil"/>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Šíření excelence a podpora účasti</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81</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11,11</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37 916 450,0</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3 310 077,0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8,73</w:t>
            </w:r>
          </w:p>
        </w:tc>
      </w:tr>
      <w:tr w:rsidR="006338C7" w:rsidRPr="00931F43" w:rsidTr="006338C7">
        <w:trPr>
          <w:trHeight w:val="900"/>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Věda se společností a pro společnost</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Zatraktivnit vědecké a technické profese pro mladé studenty a podporovat udržitelnou spolupráci mezi školami, výzkumnými institucemi, průmyslem a organizacemi občanské společnosti</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CAREER</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8,16</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9 078 089,0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383 288,0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4,22</w:t>
            </w:r>
          </w:p>
        </w:tc>
      </w:tr>
      <w:tr w:rsidR="006338C7" w:rsidRPr="00931F43" w:rsidTr="006338C7">
        <w:trPr>
          <w:trHeight w:val="9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Prosazovat rovnost žen a mužů, zejména</w:t>
            </w:r>
            <w:r w:rsidRPr="00D46485">
              <w:rPr>
                <w:rFonts w:ascii="Arial" w:eastAsia="Times New Roman" w:hAnsi="Arial" w:cs="Arial"/>
                <w:color w:val="215967"/>
                <w:sz w:val="16"/>
                <w:szCs w:val="16"/>
                <w:lang w:eastAsia="cs-CZ"/>
              </w:rPr>
              <w:br/>
              <w:t xml:space="preserve">a prostřednictvím podpory strukturálních změn v organizaci výzkumných institucí </w:t>
            </w:r>
            <w:r w:rsidRPr="00D46485">
              <w:rPr>
                <w:rFonts w:ascii="Arial" w:eastAsia="Times New Roman" w:hAnsi="Arial" w:cs="Arial"/>
                <w:color w:val="215967"/>
                <w:sz w:val="16"/>
                <w:szCs w:val="16"/>
                <w:lang w:eastAsia="cs-CZ"/>
              </w:rPr>
              <w:br/>
              <w:t>a v obsahu a návrhu výzkumných činností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GENDEREQ</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6,25</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3 433 607,0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133 750,0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3,90</w:t>
            </w:r>
          </w:p>
        </w:tc>
      </w:tr>
      <w:tr w:rsidR="006338C7" w:rsidRPr="00931F43" w:rsidTr="006338C7">
        <w:trPr>
          <w:trHeight w:val="12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Zapojit společnost do problematiky, politiky a činností vědy a inovací s cílem začlenit zájmy a hodnoty občanů a zvýšit kvalitu, relevantnost, společenskou přijatelnost a udržitelnost výsledků výzkumu a inovací v různých oblastech činnosti jako např. sociální inovace nebo biotechnologie a nanotechnologie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INEGSOC</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4,76</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3 039 887,0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128 625,0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4,23</w:t>
            </w:r>
          </w:p>
        </w:tc>
      </w:tr>
      <w:tr w:rsidR="006338C7" w:rsidRPr="00931F43" w:rsidTr="006338C7">
        <w:trPr>
          <w:trHeight w:val="12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Rozvíjet správu, citlivou k potřebám </w:t>
            </w:r>
            <w:r w:rsidRPr="00D46485">
              <w:rPr>
                <w:rFonts w:ascii="Arial" w:eastAsia="Times New Roman" w:hAnsi="Arial" w:cs="Arial"/>
                <w:color w:val="215967"/>
                <w:sz w:val="16"/>
                <w:szCs w:val="16"/>
                <w:lang w:eastAsia="cs-CZ"/>
              </w:rPr>
              <w:br/>
              <w:t xml:space="preserve">a požadavkům společnosti, směrem </w:t>
            </w:r>
            <w:r w:rsidRPr="00D46485">
              <w:rPr>
                <w:rFonts w:ascii="Arial" w:eastAsia="Times New Roman" w:hAnsi="Arial" w:cs="Arial"/>
                <w:color w:val="215967"/>
                <w:sz w:val="16"/>
                <w:szCs w:val="16"/>
                <w:lang w:eastAsia="cs-CZ"/>
              </w:rPr>
              <w:br/>
              <w:t xml:space="preserve">ke zlepšení odpovědného výzkumu </w:t>
            </w:r>
            <w:r w:rsidRPr="00D46485">
              <w:rPr>
                <w:rFonts w:ascii="Arial" w:eastAsia="Times New Roman" w:hAnsi="Arial" w:cs="Arial"/>
                <w:color w:val="215967"/>
                <w:sz w:val="16"/>
                <w:szCs w:val="16"/>
                <w:lang w:eastAsia="cs-CZ"/>
              </w:rPr>
              <w:br/>
              <w:t xml:space="preserve">a inovací ze strany všech zúčastněných; a podporovat etický rámec výzkumu </w:t>
            </w:r>
            <w:r w:rsidRPr="00D46485">
              <w:rPr>
                <w:rFonts w:ascii="Arial" w:eastAsia="Times New Roman" w:hAnsi="Arial" w:cs="Arial"/>
                <w:color w:val="215967"/>
                <w:sz w:val="16"/>
                <w:szCs w:val="16"/>
                <w:lang w:eastAsia="cs-CZ"/>
              </w:rPr>
              <w:br/>
              <w:t>a inovací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GOV</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703 204,0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284 063,0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40,40</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Věda se společností a pro společnost – průřezové téma</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113 518,0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Věda se společností a pro společnost</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91</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8,79</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16 368 305,0</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929 726,0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5,68</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proofErr w:type="spellStart"/>
            <w:r w:rsidRPr="00D46485">
              <w:rPr>
                <w:rFonts w:ascii="Arial" w:eastAsia="Times New Roman" w:hAnsi="Arial" w:cs="Arial"/>
                <w:b/>
                <w:bCs/>
                <w:color w:val="1F497D"/>
                <w:sz w:val="16"/>
                <w:szCs w:val="16"/>
                <w:lang w:eastAsia="cs-CZ"/>
              </w:rPr>
              <w:t>Cross</w:t>
            </w:r>
            <w:proofErr w:type="spellEnd"/>
            <w:r w:rsidRPr="00D46485">
              <w:rPr>
                <w:rFonts w:ascii="Arial" w:eastAsia="Times New Roman" w:hAnsi="Arial" w:cs="Arial"/>
                <w:b/>
                <w:bCs/>
                <w:color w:val="1F497D"/>
                <w:sz w:val="16"/>
                <w:szCs w:val="16"/>
                <w:lang w:eastAsia="cs-CZ"/>
              </w:rPr>
              <w:t xml:space="preserve"> -</w:t>
            </w:r>
            <w:proofErr w:type="spellStart"/>
            <w:r w:rsidRPr="00D46485">
              <w:rPr>
                <w:rFonts w:ascii="Arial" w:eastAsia="Times New Roman" w:hAnsi="Arial" w:cs="Arial"/>
                <w:b/>
                <w:bCs/>
                <w:color w:val="1F497D"/>
                <w:sz w:val="16"/>
                <w:szCs w:val="16"/>
                <w:lang w:eastAsia="cs-CZ"/>
              </w:rPr>
              <w:t>theme</w:t>
            </w:r>
            <w:proofErr w:type="spellEnd"/>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Průřezové téma</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CROSST</w:t>
            </w:r>
          </w:p>
        </w:tc>
        <w:tc>
          <w:tcPr>
            <w:tcW w:w="1134"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29</w:t>
            </w:r>
          </w:p>
        </w:tc>
        <w:tc>
          <w:tcPr>
            <w:tcW w:w="1134"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10,34</w:t>
            </w:r>
          </w:p>
        </w:tc>
        <w:tc>
          <w:tcPr>
            <w:tcW w:w="1701"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17 478 548,0</w:t>
            </w:r>
          </w:p>
        </w:tc>
        <w:tc>
          <w:tcPr>
            <w:tcW w:w="1701"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1 084 902,0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6,21</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Průřezové téma</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10,34</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17 478 548,0</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1 084 902,0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6,21</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proofErr w:type="spellStart"/>
            <w:r w:rsidRPr="00D46485">
              <w:rPr>
                <w:rFonts w:ascii="Arial" w:eastAsia="Times New Roman" w:hAnsi="Arial" w:cs="Arial"/>
                <w:b/>
                <w:bCs/>
                <w:color w:val="1F497D"/>
                <w:sz w:val="16"/>
                <w:szCs w:val="16"/>
                <w:lang w:eastAsia="cs-CZ"/>
              </w:rPr>
              <w:t>Euroatom</w:t>
            </w:r>
            <w:proofErr w:type="spellEnd"/>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Program EURATOM 2014 - 2018</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39</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43,59</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13 244 057,0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3 674 758,0</w:t>
            </w:r>
          </w:p>
        </w:tc>
        <w:tc>
          <w:tcPr>
            <w:tcW w:w="1134" w:type="dxa"/>
            <w:tcBorders>
              <w:top w:val="nil"/>
              <w:left w:val="nil"/>
              <w:bottom w:val="dashed" w:sz="8"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27,75</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Celkem: </w:t>
            </w:r>
            <w:proofErr w:type="spellStart"/>
            <w:r w:rsidRPr="00D46485">
              <w:rPr>
                <w:rFonts w:ascii="Arial" w:eastAsia="Times New Roman" w:hAnsi="Arial" w:cs="Arial"/>
                <w:b/>
                <w:bCs/>
                <w:color w:val="215967"/>
                <w:sz w:val="16"/>
                <w:szCs w:val="16"/>
                <w:lang w:eastAsia="cs-CZ"/>
              </w:rPr>
              <w:t>Euroatom</w:t>
            </w:r>
            <w:proofErr w:type="spellEnd"/>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43,59</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13 244 057,0</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3 674 758,0</w:t>
            </w:r>
          </w:p>
        </w:tc>
        <w:tc>
          <w:tcPr>
            <w:tcW w:w="1134" w:type="dxa"/>
            <w:tcBorders>
              <w:top w:val="nil"/>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27,75</w:t>
            </w:r>
          </w:p>
        </w:tc>
      </w:tr>
      <w:tr w:rsidR="006338C7" w:rsidRPr="00931F43" w:rsidTr="006338C7">
        <w:trPr>
          <w:trHeight w:val="315"/>
        </w:trPr>
        <w:tc>
          <w:tcPr>
            <w:tcW w:w="0" w:type="auto"/>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0" w:type="auto"/>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0" w:type="auto"/>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134"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134"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134"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701"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701"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134"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r>
      <w:tr w:rsidR="006338C7" w:rsidRPr="00931F43" w:rsidTr="006338C7">
        <w:trPr>
          <w:trHeight w:val="360"/>
        </w:trPr>
        <w:tc>
          <w:tcPr>
            <w:tcW w:w="0" w:type="auto"/>
            <w:tcBorders>
              <w:top w:val="dashed" w:sz="8" w:space="0" w:color="31869B"/>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dashed" w:sz="8" w:space="0" w:color="31869B"/>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w:t>
            </w:r>
          </w:p>
        </w:tc>
        <w:tc>
          <w:tcPr>
            <w:tcW w:w="0" w:type="auto"/>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2 319</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286</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12,33</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945 560 403,0</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83 959 028,0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8,88</w:t>
            </w:r>
          </w:p>
        </w:tc>
      </w:tr>
    </w:tbl>
    <w:p w:rsidR="006338C7" w:rsidRDefault="006338C7" w:rsidP="006338C7">
      <w:pPr>
        <w:spacing w:after="0"/>
        <w:jc w:val="both"/>
        <w:rPr>
          <w:rFonts w:ascii="Arial" w:eastAsia="Times New Roman" w:hAnsi="Arial" w:cs="Times New Roman"/>
          <w:sz w:val="18"/>
          <w:szCs w:val="18"/>
          <w:lang w:eastAsia="cs-CZ"/>
        </w:rPr>
      </w:pPr>
    </w:p>
    <w:p w:rsidR="006338C7" w:rsidRDefault="006338C7" w:rsidP="006338C7">
      <w:pPr>
        <w:spacing w:after="0"/>
        <w:rPr>
          <w:rFonts w:ascii="Arial" w:eastAsia="Times New Roman" w:hAnsi="Arial" w:cs="Times New Roman"/>
          <w:sz w:val="18"/>
          <w:szCs w:val="18"/>
          <w:lang w:eastAsia="cs-CZ"/>
        </w:rPr>
      </w:pPr>
      <w:r w:rsidRPr="00931F43">
        <w:rPr>
          <w:rFonts w:ascii="Arial" w:eastAsia="Times New Roman" w:hAnsi="Arial" w:cs="Times New Roman"/>
          <w:sz w:val="18"/>
          <w:szCs w:val="18"/>
          <w:lang w:eastAsia="cs-CZ"/>
        </w:rPr>
        <w:t xml:space="preserve">Zdroj: E-CORDA </w:t>
      </w:r>
      <w:proofErr w:type="spellStart"/>
      <w:r w:rsidRPr="00931F43">
        <w:rPr>
          <w:rFonts w:ascii="Arial" w:eastAsia="Times New Roman" w:hAnsi="Arial" w:cs="Times New Roman"/>
          <w:sz w:val="18"/>
          <w:szCs w:val="18"/>
          <w:lang w:eastAsia="cs-CZ"/>
        </w:rPr>
        <w:t>extraction</w:t>
      </w:r>
      <w:proofErr w:type="spellEnd"/>
      <w:r w:rsidRPr="00931F43">
        <w:rPr>
          <w:rFonts w:ascii="Arial" w:eastAsia="Times New Roman" w:hAnsi="Arial" w:cs="Times New Roman"/>
          <w:sz w:val="18"/>
          <w:szCs w:val="18"/>
          <w:lang w:eastAsia="cs-CZ"/>
        </w:rPr>
        <w:t xml:space="preserve"> </w:t>
      </w:r>
      <w:proofErr w:type="spellStart"/>
      <w:r w:rsidRPr="00931F43">
        <w:rPr>
          <w:rFonts w:ascii="Arial" w:eastAsia="Times New Roman" w:hAnsi="Arial" w:cs="Times New Roman"/>
          <w:sz w:val="18"/>
          <w:szCs w:val="18"/>
          <w:lang w:eastAsia="cs-CZ"/>
        </w:rPr>
        <w:t>date</w:t>
      </w:r>
      <w:proofErr w:type="spellEnd"/>
      <w:r w:rsidRPr="00931F43">
        <w:rPr>
          <w:rFonts w:ascii="Arial" w:eastAsia="Times New Roman" w:hAnsi="Arial" w:cs="Times New Roman"/>
          <w:sz w:val="18"/>
          <w:szCs w:val="18"/>
          <w:lang w:eastAsia="cs-CZ"/>
        </w:rPr>
        <w:t>: 2016/02/23</w:t>
      </w:r>
    </w:p>
    <w:p w:rsidR="006338C7" w:rsidRPr="00931F43" w:rsidRDefault="006338C7" w:rsidP="006338C7">
      <w:pPr>
        <w:spacing w:after="0"/>
        <w:rPr>
          <w:rFonts w:ascii="Arial" w:eastAsia="Times New Roman" w:hAnsi="Arial" w:cs="Times New Roman"/>
          <w:sz w:val="18"/>
          <w:szCs w:val="18"/>
          <w:lang w:eastAsia="cs-CZ"/>
        </w:rPr>
        <w:sectPr w:rsidR="006338C7" w:rsidRPr="00931F43" w:rsidSect="006338C7">
          <w:pgSz w:w="16838" w:h="11906" w:orient="landscape"/>
          <w:pgMar w:top="1418" w:right="1418" w:bottom="1418" w:left="1418" w:header="709" w:footer="709" w:gutter="0"/>
          <w:cols w:space="708"/>
          <w:docGrid w:linePitch="360"/>
        </w:sectPr>
      </w:pPr>
      <w:r>
        <w:rPr>
          <w:rFonts w:ascii="Arial" w:eastAsia="Times New Roman" w:hAnsi="Arial" w:cs="Times New Roman"/>
          <w:sz w:val="18"/>
          <w:szCs w:val="18"/>
          <w:lang w:eastAsia="cs-CZ"/>
        </w:rPr>
        <w:t xml:space="preserve">Poznámka: údaje jsou uváděny za celou dobu </w:t>
      </w:r>
      <w:proofErr w:type="gramStart"/>
      <w:r>
        <w:rPr>
          <w:rFonts w:ascii="Arial" w:eastAsia="Times New Roman" w:hAnsi="Arial" w:cs="Times New Roman"/>
          <w:sz w:val="18"/>
          <w:szCs w:val="18"/>
          <w:lang w:eastAsia="cs-CZ"/>
        </w:rPr>
        <w:t>realizace..</w:t>
      </w:r>
      <w:proofErr w:type="gramEnd"/>
    </w:p>
    <w:p w:rsidR="006338C7" w:rsidRPr="00983218" w:rsidRDefault="006338C7" w:rsidP="006338C7">
      <w:pPr>
        <w:spacing w:after="0" w:line="240" w:lineRule="auto"/>
        <w:jc w:val="both"/>
        <w:rPr>
          <w:rFonts w:ascii="Arial" w:eastAsia="Times New Roman" w:hAnsi="Arial" w:cs="Times New Roman"/>
          <w:b/>
          <w:szCs w:val="24"/>
          <w:lang w:eastAsia="cs-CZ"/>
        </w:rPr>
      </w:pPr>
      <w:r w:rsidRPr="00983218">
        <w:rPr>
          <w:rFonts w:ascii="Arial" w:eastAsia="Times New Roman" w:hAnsi="Arial" w:cs="Times New Roman"/>
          <w:b/>
          <w:szCs w:val="24"/>
          <w:lang w:eastAsia="cs-CZ"/>
        </w:rPr>
        <w:lastRenderedPageBreak/>
        <w:t xml:space="preserve">Obr. 3.1: Úspěšnost ČR v programu </w:t>
      </w:r>
      <w:r>
        <w:rPr>
          <w:rFonts w:ascii="Arial" w:eastAsia="Times New Roman" w:hAnsi="Arial" w:cs="Times New Roman"/>
          <w:b/>
          <w:szCs w:val="24"/>
          <w:lang w:eastAsia="cs-CZ"/>
        </w:rPr>
        <w:t>H2020</w:t>
      </w:r>
      <w:r w:rsidRPr="00983218">
        <w:rPr>
          <w:rFonts w:ascii="Arial" w:eastAsia="Times New Roman" w:hAnsi="Arial" w:cs="Times New Roman"/>
          <w:b/>
          <w:szCs w:val="24"/>
          <w:lang w:eastAsia="cs-CZ"/>
        </w:rPr>
        <w:t xml:space="preserve"> v mezinárodním srovnání</w:t>
      </w:r>
    </w:p>
    <w:p w:rsidR="006338C7" w:rsidRDefault="006338C7" w:rsidP="006338C7">
      <w:pPr>
        <w:spacing w:before="240" w:after="0"/>
        <w:ind w:firstLine="709"/>
        <w:rPr>
          <w:rFonts w:ascii="Arial" w:hAnsi="Arial" w:cs="Arial"/>
        </w:rPr>
      </w:pPr>
      <w:r>
        <w:rPr>
          <w:noProof/>
          <w:lang w:eastAsia="cs-CZ"/>
        </w:rPr>
        <w:drawing>
          <wp:inline distT="0" distB="0" distL="0" distR="0" wp14:anchorId="04A1787A" wp14:editId="4197A208">
            <wp:extent cx="5391150" cy="4181475"/>
            <wp:effectExtent l="0" t="0" r="19050" b="9525"/>
            <wp:docPr id="3"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338C7" w:rsidRDefault="006338C7" w:rsidP="006338C7">
      <w:pPr>
        <w:spacing w:before="240" w:after="0"/>
        <w:ind w:firstLine="709"/>
        <w:jc w:val="both"/>
        <w:rPr>
          <w:rFonts w:ascii="Arial" w:hAnsi="Arial" w:cs="Arial"/>
        </w:rPr>
      </w:pPr>
      <w:r>
        <w:rPr>
          <w:noProof/>
          <w:lang w:eastAsia="cs-CZ"/>
        </w:rPr>
        <w:drawing>
          <wp:inline distT="0" distB="0" distL="0" distR="0" wp14:anchorId="712FF235" wp14:editId="576BCB45">
            <wp:extent cx="5372100" cy="3838575"/>
            <wp:effectExtent l="0" t="0" r="19050" b="9525"/>
            <wp:docPr id="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338C7" w:rsidRPr="00A844E8" w:rsidRDefault="006338C7" w:rsidP="00A844E8">
      <w:pPr>
        <w:spacing w:after="0" w:line="360" w:lineRule="auto"/>
        <w:ind w:firstLine="708"/>
        <w:jc w:val="both"/>
        <w:rPr>
          <w:rFonts w:ascii="Arial" w:eastAsia="Times New Roman" w:hAnsi="Arial" w:cs="Arial"/>
          <w:lang w:eastAsia="cs-CZ"/>
        </w:rPr>
      </w:pPr>
      <w:r w:rsidRPr="00A844E8">
        <w:rPr>
          <w:rFonts w:ascii="Arial" w:eastAsia="Times New Roman" w:hAnsi="Arial" w:cs="Arial"/>
          <w:lang w:eastAsia="cs-CZ"/>
        </w:rPr>
        <w:lastRenderedPageBreak/>
        <w:t xml:space="preserve">V obr. 3.1 je formou paprskových grafů porovnána projektová úspěšnost a objem finanční podpory v České republice s Rakouskem (AT) a průměrem států (ALL), které se dosud zapojily do programu H2020. </w:t>
      </w:r>
    </w:p>
    <w:p w:rsidR="006338C7" w:rsidRPr="00A844E8" w:rsidRDefault="006338C7" w:rsidP="00A844E8">
      <w:pPr>
        <w:spacing w:after="0" w:line="360" w:lineRule="auto"/>
        <w:ind w:firstLine="708"/>
        <w:jc w:val="both"/>
        <w:rPr>
          <w:rFonts w:ascii="Arial" w:eastAsia="Times New Roman" w:hAnsi="Arial" w:cs="Arial"/>
          <w:lang w:eastAsia="cs-CZ"/>
        </w:rPr>
      </w:pPr>
      <w:r w:rsidRPr="00A844E8">
        <w:rPr>
          <w:rFonts w:ascii="Arial" w:eastAsia="Times New Roman" w:hAnsi="Arial" w:cs="Arial"/>
          <w:lang w:eastAsia="cs-CZ"/>
        </w:rPr>
        <w:t>V alokačně nejvýznamnějších aktivitách všech tří hlavních prioritních oblastí tj. „Vynikající věda“, „Vedoucí postavení průmyslu“ a „Společenské výzvy“, ČR vykázala menší projektovou úspěšnost než Rakousko, rovněž získané finanční prostředky pro ČR byly nižší. Zároveň však platí, že Rakousko, pokud jde o projektovou úspěšnost, ve většině aktivit výrazně převyšuje průměr všech zúčastněných zemí.</w:t>
      </w:r>
    </w:p>
    <w:p w:rsidR="006338C7" w:rsidRPr="00A844E8" w:rsidRDefault="006338C7" w:rsidP="00A844E8">
      <w:pPr>
        <w:spacing w:after="0" w:line="360" w:lineRule="auto"/>
        <w:ind w:firstLine="708"/>
        <w:jc w:val="both"/>
        <w:rPr>
          <w:rFonts w:ascii="Arial" w:eastAsia="Times New Roman" w:hAnsi="Arial" w:cs="Arial"/>
          <w:lang w:eastAsia="cs-CZ"/>
        </w:rPr>
      </w:pPr>
      <w:r w:rsidRPr="00A844E8">
        <w:rPr>
          <w:rFonts w:ascii="Arial" w:eastAsia="Times New Roman" w:hAnsi="Arial" w:cs="Arial"/>
          <w:lang w:eastAsia="cs-CZ"/>
        </w:rPr>
        <w:t>V prioritní oblasti „Vynikající věda“ dosáhla ČR ve srovnání s Rakouskem nižší úspěšnosti v ERC grantech (ČR 9,4 %, Rakousko 12,6 %) a také v aktivitách zaměřených na lidské zdroje („Akce Marie-</w:t>
      </w:r>
      <w:proofErr w:type="spellStart"/>
      <w:r w:rsidRPr="00A844E8">
        <w:rPr>
          <w:rFonts w:ascii="Arial" w:eastAsia="Times New Roman" w:hAnsi="Arial" w:cs="Arial"/>
          <w:lang w:eastAsia="cs-CZ"/>
        </w:rPr>
        <w:t>Sklodowska</w:t>
      </w:r>
      <w:proofErr w:type="spellEnd"/>
      <w:r w:rsidRPr="00A844E8">
        <w:rPr>
          <w:rFonts w:ascii="Arial" w:eastAsia="Times New Roman" w:hAnsi="Arial" w:cs="Arial"/>
          <w:lang w:eastAsia="cs-CZ"/>
        </w:rPr>
        <w:t xml:space="preserve">-Curie“ - MSCA), zatímco v případě projektů zaměřených na evropské výzkumné infrastruktury (INFRA) byla úspěšnost českých návrhů vyšší. </w:t>
      </w:r>
    </w:p>
    <w:p w:rsidR="006338C7" w:rsidRPr="00A844E8" w:rsidRDefault="006338C7" w:rsidP="00A844E8">
      <w:pPr>
        <w:spacing w:after="0" w:line="360" w:lineRule="auto"/>
        <w:ind w:firstLine="708"/>
        <w:jc w:val="both"/>
        <w:rPr>
          <w:rFonts w:ascii="Arial" w:eastAsia="Times New Roman" w:hAnsi="Arial" w:cs="Arial"/>
          <w:lang w:eastAsia="cs-CZ"/>
        </w:rPr>
      </w:pPr>
      <w:r w:rsidRPr="00A844E8">
        <w:rPr>
          <w:rFonts w:ascii="Arial" w:eastAsia="Times New Roman" w:hAnsi="Arial" w:cs="Arial"/>
          <w:lang w:eastAsia="cs-CZ"/>
        </w:rPr>
        <w:t>V prioritní oblasti „Vedoucí postavení průmyslu“ je nejvíce prostředků alokováno na „Průlomové a průmyslové technologie“. Z těchto technologií byly pro ČR finančně nejvýznamnější „Informační a komunikační technologie“ (ICT), u kterých se projektová úspěšnost ČR pohybuje nad evropským průměrem. V „Pokročilých výrobních systémech“ (ADVMANU) a „Vesmírných aplikacích“ (SPA) dokonce ČR dosahuje relativně vyšší projektové úspěšnosti ve srovnání s AT, Rakousko však získalo vyšší absolutní finanční podporu projektů doporučených k financování. V „Pokročilých materiálech“ (ADVMAT), „Nanotechnologiích“ (NMP) a „Biotechnologiích“ (BIOTECH) naopak ČR za Rakouskem zaostává.</w:t>
      </w:r>
    </w:p>
    <w:p w:rsidR="006338C7" w:rsidRPr="00A844E8" w:rsidRDefault="006338C7" w:rsidP="00A844E8">
      <w:pPr>
        <w:spacing w:after="0" w:line="360" w:lineRule="auto"/>
        <w:ind w:firstLine="708"/>
        <w:jc w:val="both"/>
        <w:rPr>
          <w:rFonts w:ascii="Arial" w:eastAsia="Times New Roman" w:hAnsi="Arial" w:cs="Arial"/>
          <w:lang w:eastAsia="cs-CZ"/>
        </w:rPr>
      </w:pPr>
      <w:r w:rsidRPr="00A844E8">
        <w:rPr>
          <w:rFonts w:ascii="Arial" w:eastAsia="Times New Roman" w:hAnsi="Arial" w:cs="Arial"/>
          <w:lang w:eastAsia="cs-CZ"/>
        </w:rPr>
        <w:t>Pokud jde o prioritní oblast „Společenské výzvy“, ČR dosahuje nižší relativní úspěšnosti projektů než Rakousko v aktivitách zaměřených na „Zdraví, demografickou změnu a životní pohodu“ (HEALTH), „Bezpečné, čisté a účinné energie“ (ENERGY), „Inteligentní, ekologickou a integrovanou dopravu“ (TPT), a „Klimatickou změnu, účinné využívání zdrojů surovin“ (ENV), úspěšnější je naopak v případě projektů v oblasti „Potravinové bezpečnosti, udržitelného zemědělství a lesního hospodářství, mořského a námořního výzkumu a výzkumu vnitrozemských vod a biohospodářství“ (FOOD)., „</w:t>
      </w:r>
    </w:p>
    <w:p w:rsidR="00A844E8" w:rsidRDefault="006338C7" w:rsidP="00A844E8">
      <w:pPr>
        <w:spacing w:after="0" w:line="360" w:lineRule="auto"/>
        <w:ind w:firstLine="708"/>
        <w:jc w:val="both"/>
        <w:rPr>
          <w:rFonts w:ascii="Arial" w:eastAsia="Times New Roman" w:hAnsi="Arial" w:cs="Arial"/>
          <w:lang w:eastAsia="cs-CZ"/>
        </w:rPr>
      </w:pPr>
      <w:r w:rsidRPr="00A844E8">
        <w:rPr>
          <w:rFonts w:ascii="Arial" w:eastAsia="Times New Roman" w:hAnsi="Arial" w:cs="Arial"/>
          <w:lang w:eastAsia="cs-CZ"/>
        </w:rPr>
        <w:t xml:space="preserve">Z ostatních součástí H2020 byla ČR ve srovnání s Rakouskem úspěšnější v oblasti „Program </w:t>
      </w:r>
      <w:proofErr w:type="spellStart"/>
      <w:r w:rsidRPr="00A844E8">
        <w:rPr>
          <w:rFonts w:ascii="Arial" w:eastAsia="Times New Roman" w:hAnsi="Arial" w:cs="Arial"/>
          <w:lang w:eastAsia="cs-CZ"/>
        </w:rPr>
        <w:t>Euroatom</w:t>
      </w:r>
      <w:proofErr w:type="spellEnd"/>
      <w:r w:rsidRPr="00A844E8">
        <w:rPr>
          <w:rFonts w:ascii="Arial" w:eastAsia="Times New Roman" w:hAnsi="Arial" w:cs="Arial"/>
          <w:lang w:eastAsia="cs-CZ"/>
        </w:rPr>
        <w:t xml:space="preserve"> 2014 - 2018“ (EUROATOM), kde bylo doporučeno k financování 17 projektů z 39 podaných, a ČR získala podporu 3 675 tis. EUR. Rakousko podalo v této oblasti pouze 7 projektů, 2 byly uznány jako způsobilé k financování a celková částka činila 139 tis. EUR. Podobně tomu bylo s projekty podanými v pilíři „Průřezové téma“ (CROSST), ve kterém byla co do počtu schválených projektů ČR téměř dvakrát úspěšnější než Rakousko a získala vyšší finanční podporu. Rovněž v oblasti „Rozvíjet správu, citlivou k potřebám a požadavkům společnosti, směrem ke zlepšení odpovědného výzkumu a inovací ze strany všech zúčastněných; a podporovat etický rámec výzkumu a inovací“ (GOV), „</w:t>
      </w:r>
      <w:proofErr w:type="spellStart"/>
      <w:r w:rsidRPr="00A844E8">
        <w:rPr>
          <w:rFonts w:ascii="Arial" w:eastAsia="Times New Roman" w:hAnsi="Arial" w:cs="Arial"/>
          <w:lang w:eastAsia="cs-CZ"/>
        </w:rPr>
        <w:t>Teaming</w:t>
      </w:r>
      <w:proofErr w:type="spellEnd"/>
      <w:r w:rsidRPr="00A844E8">
        <w:rPr>
          <w:rFonts w:ascii="Arial" w:eastAsia="Times New Roman" w:hAnsi="Arial" w:cs="Arial"/>
          <w:lang w:eastAsia="cs-CZ"/>
        </w:rPr>
        <w:t xml:space="preserve"> mezi excelentními výzkumnými organizacemi a regiony, které vykazují nižší efektivitu v oblasti výzkumu a vývoje“ (WIDSPREAD) a „Partnerství výzkumných organizací“ (TWINING), se ČR podařilo získat vyšší finanční podporu. V oblasti </w:t>
      </w:r>
      <w:r w:rsidRPr="00A844E8">
        <w:rPr>
          <w:rFonts w:ascii="Arial" w:eastAsia="Times New Roman" w:hAnsi="Arial" w:cs="Arial"/>
          <w:lang w:eastAsia="cs-CZ"/>
        </w:rPr>
        <w:lastRenderedPageBreak/>
        <w:t>„Posilování administrativní a provozní kapacity nadnárodní sítě Národních kontaktních míst“ (NPCNET) Rakousko zatím nepodalo žádný projekt, naopak ČR v této oblasti měla 50 % úspěšnost.</w:t>
      </w:r>
      <w:bookmarkStart w:id="10" w:name="_Toc427676898"/>
    </w:p>
    <w:p w:rsidR="006338C7" w:rsidRPr="00DA3248" w:rsidRDefault="006338C7" w:rsidP="00A844E8">
      <w:pPr>
        <w:pStyle w:val="NadpisurovenI"/>
        <w:numPr>
          <w:ilvl w:val="0"/>
          <w:numId w:val="31"/>
        </w:numPr>
      </w:pPr>
      <w:bookmarkStart w:id="11" w:name="_Toc464461099"/>
      <w:r w:rsidRPr="00DA3248">
        <w:t>Lidské zdroje ve výzkumu a vývoji</w:t>
      </w:r>
      <w:bookmarkEnd w:id="10"/>
      <w:bookmarkEnd w:id="11"/>
    </w:p>
    <w:p w:rsidR="006338C7" w:rsidRPr="00060D84" w:rsidRDefault="006338C7" w:rsidP="006338C7">
      <w:pPr>
        <w:spacing w:after="0" w:line="360" w:lineRule="auto"/>
        <w:ind w:firstLine="709"/>
        <w:jc w:val="both"/>
        <w:rPr>
          <w:rFonts w:ascii="Arial" w:hAnsi="Arial" w:cs="Arial"/>
        </w:rPr>
      </w:pPr>
      <w:r w:rsidRPr="00060D84">
        <w:rPr>
          <w:rFonts w:ascii="Arial" w:hAnsi="Arial" w:cs="Arial"/>
        </w:rPr>
        <w:t xml:space="preserve">Lidské zdroje představují v systému </w:t>
      </w:r>
      <w:proofErr w:type="spellStart"/>
      <w:r w:rsidRPr="00060D84">
        <w:rPr>
          <w:rFonts w:ascii="Arial" w:hAnsi="Arial" w:cs="Arial"/>
        </w:rPr>
        <w:t>VaVaI</w:t>
      </w:r>
      <w:proofErr w:type="spellEnd"/>
      <w:r w:rsidRPr="00060D84">
        <w:rPr>
          <w:rFonts w:ascii="Arial" w:hAnsi="Arial" w:cs="Arial"/>
        </w:rPr>
        <w:t xml:space="preserve"> klíčový parametr základny </w:t>
      </w:r>
      <w:proofErr w:type="spellStart"/>
      <w:r w:rsidRPr="00060D84">
        <w:rPr>
          <w:rFonts w:ascii="Arial" w:hAnsi="Arial" w:cs="Arial"/>
        </w:rPr>
        <w:t>VaVaI</w:t>
      </w:r>
      <w:proofErr w:type="spellEnd"/>
      <w:r w:rsidRPr="00060D84">
        <w:rPr>
          <w:rFonts w:ascii="Arial" w:hAnsi="Arial" w:cs="Arial"/>
        </w:rPr>
        <w:t xml:space="preserve">. Lidé, a to nejen samotní výzkumníci, ale také techničtí a odborní pracovníci ve </w:t>
      </w:r>
      <w:proofErr w:type="spellStart"/>
      <w:r w:rsidRPr="00060D84">
        <w:rPr>
          <w:rFonts w:ascii="Arial" w:hAnsi="Arial" w:cs="Arial"/>
        </w:rPr>
        <w:t>VaVaI</w:t>
      </w:r>
      <w:proofErr w:type="spellEnd"/>
      <w:r w:rsidRPr="00060D84">
        <w:rPr>
          <w:rFonts w:ascii="Arial" w:hAnsi="Arial" w:cs="Arial"/>
        </w:rPr>
        <w:t xml:space="preserve"> a ostatní podpůrný personál, jako např. manažeři, administrativní pracovníci</w:t>
      </w:r>
      <w:r>
        <w:rPr>
          <w:rFonts w:ascii="Arial" w:hAnsi="Arial" w:cs="Arial"/>
        </w:rPr>
        <w:t xml:space="preserve"> nebo</w:t>
      </w:r>
      <w:r w:rsidRPr="00060D84">
        <w:rPr>
          <w:rFonts w:ascii="Arial" w:hAnsi="Arial" w:cs="Arial"/>
        </w:rPr>
        <w:t xml:space="preserve"> řemeslníci</w:t>
      </w:r>
      <w:r>
        <w:rPr>
          <w:rFonts w:ascii="Arial" w:hAnsi="Arial" w:cs="Arial"/>
        </w:rPr>
        <w:t>,</w:t>
      </w:r>
      <w:r w:rsidRPr="00060D84">
        <w:rPr>
          <w:rFonts w:ascii="Arial" w:hAnsi="Arial" w:cs="Arial"/>
        </w:rPr>
        <w:t xml:space="preserve"> vytvářejí kompaktní tým, který může být původcem nových poznatků. Na množství a odborných i osobnostních kvalitách lidských zdrojů závisí intenzita i kvalita provádění </w:t>
      </w:r>
      <w:proofErr w:type="spellStart"/>
      <w:r w:rsidRPr="00060D84">
        <w:rPr>
          <w:rFonts w:ascii="Arial" w:hAnsi="Arial" w:cs="Arial"/>
        </w:rPr>
        <w:t>VaVaI</w:t>
      </w:r>
      <w:proofErr w:type="spellEnd"/>
      <w:r w:rsidRPr="00060D84">
        <w:rPr>
          <w:rFonts w:ascii="Arial" w:hAnsi="Arial" w:cs="Arial"/>
        </w:rPr>
        <w:t xml:space="preserve">, a také úspěšnost při transferu nových poznatků z vědeckého prostředí do výrobní praxe, kde mohou být zhodnoceny ve skutečné přínosy. Zejména proto je nezbytné při řízení </w:t>
      </w:r>
      <w:proofErr w:type="spellStart"/>
      <w:r w:rsidRPr="00060D84">
        <w:rPr>
          <w:rFonts w:ascii="Arial" w:hAnsi="Arial" w:cs="Arial"/>
        </w:rPr>
        <w:t>VaVaI</w:t>
      </w:r>
      <w:proofErr w:type="spellEnd"/>
      <w:r w:rsidRPr="00060D84">
        <w:rPr>
          <w:rFonts w:ascii="Arial" w:hAnsi="Arial" w:cs="Arial"/>
        </w:rPr>
        <w:t xml:space="preserve"> dbát na formování, motivaci a stabilizaci výzkumných a vývojových týmů, podporu spolupráce výzkumných entit s výrobními, a to i</w:t>
      </w:r>
      <w:r>
        <w:rPr>
          <w:rFonts w:ascii="Arial" w:hAnsi="Arial" w:cs="Arial"/>
        </w:rPr>
        <w:t> </w:t>
      </w:r>
      <w:r w:rsidRPr="00060D84">
        <w:rPr>
          <w:rFonts w:ascii="Arial" w:hAnsi="Arial" w:cs="Arial"/>
        </w:rPr>
        <w:t>v mezinárodním kontextu.</w:t>
      </w:r>
    </w:p>
    <w:p w:rsidR="006338C7" w:rsidRPr="00DA3248" w:rsidRDefault="006338C7" w:rsidP="006338C7">
      <w:pPr>
        <w:spacing w:after="0" w:line="360" w:lineRule="auto"/>
        <w:ind w:firstLine="709"/>
        <w:jc w:val="both"/>
        <w:rPr>
          <w:rFonts w:ascii="Arial" w:eastAsia="Times New Roman" w:hAnsi="Arial" w:cs="Arial"/>
          <w:lang w:eastAsia="cs-CZ"/>
        </w:rPr>
      </w:pPr>
      <w:r w:rsidRPr="00DA3248">
        <w:rPr>
          <w:rFonts w:ascii="Arial" w:eastAsia="Times New Roman" w:hAnsi="Arial" w:cs="Arial"/>
          <w:lang w:eastAsia="cs-CZ"/>
        </w:rPr>
        <w:t>Lidské zdroje je vhodné analyzovat ve vazbě na jejich odbornost, způsob práce i motivace (obr</w:t>
      </w:r>
      <w:r>
        <w:rPr>
          <w:rFonts w:ascii="Arial" w:eastAsia="Times New Roman" w:hAnsi="Arial" w:cs="Arial"/>
          <w:lang w:eastAsia="cs-CZ"/>
        </w:rPr>
        <w:t>ázek</w:t>
      </w:r>
      <w:r w:rsidRPr="00DA3248">
        <w:rPr>
          <w:rFonts w:ascii="Arial" w:eastAsia="Times New Roman" w:hAnsi="Arial" w:cs="Arial"/>
          <w:lang w:eastAsia="cs-CZ"/>
        </w:rPr>
        <w:t xml:space="preserve"> 4.1). Základem by měla být odbornost pracovníka vymezená vědní oblastí. Způsob a</w:t>
      </w:r>
      <w:r>
        <w:rPr>
          <w:rFonts w:ascii="Arial" w:eastAsia="Times New Roman" w:hAnsi="Arial" w:cs="Arial"/>
          <w:lang w:eastAsia="cs-CZ"/>
        </w:rPr>
        <w:t> </w:t>
      </w:r>
      <w:r w:rsidRPr="00DA3248">
        <w:rPr>
          <w:rFonts w:ascii="Arial" w:eastAsia="Times New Roman" w:hAnsi="Arial" w:cs="Arial"/>
          <w:lang w:eastAsia="cs-CZ"/>
        </w:rPr>
        <w:t>podmínky práce do značné míry ovlivňuje účel výzkumné nebo vývojové činnosti. Účel výzkumu a vývoje ve většině případů koresponduje s typem zaměstnavatele. Ekonomický účel většinou sleduje podniková sféra, politický účel odpovídá spíše rezortům a jimi zřízeným výzkumným pracovištím a občansko-kulturnímu účelu slouží především vysoké školy a ústavy Akademie věd. Jelikož se ale uvedené kategorie mohou na úrovni těchto institucí mísit, je vhodnější rozlišovat kategorie, které přímo odpovídají účelu výzkumu a vývoje. Zatímco občansko-kulturní účel je více spojen s rozvojem znalostní základny pro společenské využití, ekonomický účel výzkumu a vývoje se orientuje především na dosažení cílů výrobních nebo poskytování služeb pro zákazníky. V</w:t>
      </w:r>
      <w:r>
        <w:rPr>
          <w:rFonts w:ascii="Arial" w:eastAsia="Times New Roman" w:hAnsi="Arial" w:cs="Arial"/>
          <w:lang w:eastAsia="cs-CZ"/>
        </w:rPr>
        <w:t> </w:t>
      </w:r>
      <w:r w:rsidRPr="00DA3248">
        <w:rPr>
          <w:rFonts w:ascii="Arial" w:eastAsia="Times New Roman" w:hAnsi="Arial" w:cs="Arial"/>
          <w:lang w:eastAsia="cs-CZ"/>
        </w:rPr>
        <w:t xml:space="preserve">případě politického účelu je cílem uspokojit především potřeby tzv. evidence </w:t>
      </w:r>
      <w:proofErr w:type="spellStart"/>
      <w:r w:rsidRPr="00DA3248">
        <w:rPr>
          <w:rFonts w:ascii="Arial" w:eastAsia="Times New Roman" w:hAnsi="Arial" w:cs="Arial"/>
          <w:lang w:eastAsia="cs-CZ"/>
        </w:rPr>
        <w:t>based</w:t>
      </w:r>
      <w:proofErr w:type="spellEnd"/>
      <w:r w:rsidRPr="00DA3248">
        <w:rPr>
          <w:rFonts w:ascii="Arial" w:eastAsia="Times New Roman" w:hAnsi="Arial" w:cs="Arial"/>
          <w:lang w:eastAsia="cs-CZ"/>
        </w:rPr>
        <w:t xml:space="preserve"> </w:t>
      </w:r>
      <w:proofErr w:type="spellStart"/>
      <w:r w:rsidRPr="00DA3248">
        <w:rPr>
          <w:rFonts w:ascii="Arial" w:eastAsia="Times New Roman" w:hAnsi="Arial" w:cs="Arial"/>
          <w:lang w:eastAsia="cs-CZ"/>
        </w:rPr>
        <w:t>policy</w:t>
      </w:r>
      <w:proofErr w:type="spellEnd"/>
      <w:r>
        <w:rPr>
          <w:rFonts w:ascii="Arial" w:eastAsia="Times New Roman" w:hAnsi="Arial" w:cs="Arial"/>
          <w:lang w:eastAsia="cs-CZ"/>
        </w:rPr>
        <w:t>, tj. řízení založeného na faktech</w:t>
      </w:r>
      <w:r w:rsidRPr="00DA3248">
        <w:rPr>
          <w:rFonts w:ascii="Arial" w:eastAsia="Times New Roman" w:hAnsi="Arial" w:cs="Arial"/>
          <w:lang w:eastAsia="cs-CZ"/>
        </w:rPr>
        <w:t xml:space="preserve">. Díky odlišnému účelu se v jednotlivých oblastech liší také požadavky zaměstnavatelů na kompetence výzkumných pracovníků, což může být spojené s jinou organizací práce a kulturou v dané společnosti či jejích útvarech. </w:t>
      </w:r>
      <w:r w:rsidRPr="009B2333">
        <w:rPr>
          <w:rFonts w:ascii="Arial" w:eastAsia="Times New Roman" w:hAnsi="Arial" w:cs="Arial"/>
          <w:lang w:eastAsia="cs-CZ"/>
        </w:rPr>
        <w:t xml:space="preserve">Kromě účelu mají vliv na lidské zdroje také formy </w:t>
      </w:r>
      <w:proofErr w:type="spellStart"/>
      <w:r w:rsidRPr="009B2333">
        <w:rPr>
          <w:rFonts w:ascii="Arial" w:eastAsia="Times New Roman" w:hAnsi="Arial" w:cs="Arial"/>
          <w:lang w:eastAsia="cs-CZ"/>
        </w:rPr>
        <w:t>VaVaI</w:t>
      </w:r>
      <w:proofErr w:type="spellEnd"/>
      <w:r w:rsidRPr="009B2333">
        <w:rPr>
          <w:rFonts w:ascii="Arial" w:eastAsia="Times New Roman" w:hAnsi="Arial" w:cs="Arial"/>
          <w:lang w:eastAsia="cs-CZ"/>
        </w:rPr>
        <w:t xml:space="preserve"> (základní výzkum, aplikovaný výzkum, </w:t>
      </w:r>
      <w:r>
        <w:rPr>
          <w:rFonts w:ascii="Arial" w:eastAsia="Times New Roman" w:hAnsi="Arial" w:cs="Arial"/>
          <w:lang w:eastAsia="cs-CZ"/>
        </w:rPr>
        <w:t xml:space="preserve">tj. průmyslový výzkum a </w:t>
      </w:r>
      <w:r w:rsidRPr="009B2333">
        <w:rPr>
          <w:rFonts w:ascii="Arial" w:eastAsia="Times New Roman" w:hAnsi="Arial" w:cs="Arial"/>
          <w:lang w:eastAsia="cs-CZ"/>
        </w:rPr>
        <w:t xml:space="preserve">experimentální vývoj, inovační činnosti), které však mohou být do určité míry provázány s účelem. Forma </w:t>
      </w:r>
      <w:proofErr w:type="spellStart"/>
      <w:r w:rsidRPr="009B2333">
        <w:rPr>
          <w:rFonts w:ascii="Arial" w:eastAsia="Times New Roman" w:hAnsi="Arial" w:cs="Arial"/>
          <w:lang w:eastAsia="cs-CZ"/>
        </w:rPr>
        <w:t>VaVaI</w:t>
      </w:r>
      <w:proofErr w:type="spellEnd"/>
      <w:r w:rsidRPr="009B2333">
        <w:rPr>
          <w:rFonts w:ascii="Arial" w:eastAsia="Times New Roman" w:hAnsi="Arial" w:cs="Arial"/>
          <w:lang w:eastAsia="cs-CZ"/>
        </w:rPr>
        <w:t xml:space="preserve"> má primární význam z hlediska způsobu financování, v oblasti lidských zdrojů lze sledovat její vliv na motivaci výzkumných pracovníků.</w:t>
      </w:r>
    </w:p>
    <w:p w:rsidR="006338C7" w:rsidRPr="00DA3248" w:rsidRDefault="006338C7" w:rsidP="006338C7">
      <w:pPr>
        <w:spacing w:after="0" w:line="360" w:lineRule="auto"/>
        <w:ind w:firstLine="709"/>
        <w:jc w:val="both"/>
        <w:rPr>
          <w:rFonts w:ascii="Arial" w:eastAsia="Times New Roman" w:hAnsi="Arial" w:cs="Arial"/>
          <w:lang w:eastAsia="cs-CZ"/>
        </w:rPr>
      </w:pPr>
      <w:r w:rsidRPr="00DA3248">
        <w:rPr>
          <w:rFonts w:ascii="Arial" w:eastAsia="Times New Roman" w:hAnsi="Arial" w:cs="Arial"/>
          <w:lang w:eastAsia="cs-CZ"/>
        </w:rPr>
        <w:t>Klíčový význam lidských zdrojů je patrný i z množství statistických dat, která jsou o nich shromažďována. V ČR věnuje lidským zdrojům velkou pozornost ČSÚ. V každoročně vydávané publikaci „Ukazatele výzkumu a vývoje“, vytvořené především na základě šetření o výzkumu a</w:t>
      </w:r>
      <w:r>
        <w:rPr>
          <w:rFonts w:ascii="Arial" w:eastAsia="Times New Roman" w:hAnsi="Arial" w:cs="Arial"/>
          <w:lang w:eastAsia="cs-CZ"/>
        </w:rPr>
        <w:t> </w:t>
      </w:r>
      <w:r w:rsidRPr="00DA3248">
        <w:rPr>
          <w:rFonts w:ascii="Arial" w:eastAsia="Times New Roman" w:hAnsi="Arial" w:cs="Arial"/>
          <w:lang w:eastAsia="cs-CZ"/>
        </w:rPr>
        <w:t xml:space="preserve">vývoji VTR 5-01, jsou výstupy o lidských zdrojích prezentovány v mnoha tříděních a členěních. K tomu ČSÚ rovněž klade důraz na lidské zdroje ve </w:t>
      </w:r>
      <w:proofErr w:type="spellStart"/>
      <w:r w:rsidRPr="00DA3248">
        <w:rPr>
          <w:rFonts w:ascii="Arial" w:eastAsia="Times New Roman" w:hAnsi="Arial" w:cs="Arial"/>
          <w:lang w:eastAsia="cs-CZ"/>
        </w:rPr>
        <w:t>VaVaI</w:t>
      </w:r>
      <w:proofErr w:type="spellEnd"/>
      <w:r w:rsidRPr="00DA3248">
        <w:rPr>
          <w:rFonts w:ascii="Arial" w:eastAsia="Times New Roman" w:hAnsi="Arial" w:cs="Arial"/>
          <w:lang w:eastAsia="cs-CZ"/>
        </w:rPr>
        <w:t xml:space="preserve"> při vyhodnocení výběrového šetření pracovních sil. V této analýze jsou proto uvedeny pouze nejvýznamnější ukazatele, trendy </w:t>
      </w:r>
      <w:r w:rsidRPr="00DA3248">
        <w:rPr>
          <w:rFonts w:ascii="Arial" w:eastAsia="Times New Roman" w:hAnsi="Arial" w:cs="Arial"/>
          <w:lang w:eastAsia="cs-CZ"/>
        </w:rPr>
        <w:lastRenderedPageBreak/>
        <w:t>a</w:t>
      </w:r>
      <w:r>
        <w:rPr>
          <w:rFonts w:ascii="Arial" w:eastAsia="Times New Roman" w:hAnsi="Arial" w:cs="Arial"/>
          <w:lang w:eastAsia="cs-CZ"/>
        </w:rPr>
        <w:t> </w:t>
      </w:r>
      <w:r w:rsidRPr="00DA3248">
        <w:rPr>
          <w:rFonts w:ascii="Arial" w:eastAsia="Times New Roman" w:hAnsi="Arial" w:cs="Arial"/>
          <w:lang w:eastAsia="cs-CZ"/>
        </w:rPr>
        <w:t xml:space="preserve">mezinárodní srovnání. Analýza se dále zaměřuje na oblasti, které zatím nejsou dostatečně zmapovány, přestože jsou pro řízení systému </w:t>
      </w:r>
      <w:proofErr w:type="spellStart"/>
      <w:r w:rsidRPr="00DA3248">
        <w:rPr>
          <w:rFonts w:ascii="Arial" w:eastAsia="Times New Roman" w:hAnsi="Arial" w:cs="Arial"/>
          <w:lang w:eastAsia="cs-CZ"/>
        </w:rPr>
        <w:t>VaVaI</w:t>
      </w:r>
      <w:proofErr w:type="spellEnd"/>
      <w:r w:rsidRPr="00DA3248">
        <w:rPr>
          <w:rFonts w:ascii="Arial" w:eastAsia="Times New Roman" w:hAnsi="Arial" w:cs="Arial"/>
          <w:lang w:eastAsia="cs-CZ"/>
        </w:rPr>
        <w:t xml:space="preserve"> velmi významné.</w:t>
      </w:r>
    </w:p>
    <w:p w:rsidR="006338C7" w:rsidRPr="00F20FDE" w:rsidRDefault="006338C7" w:rsidP="006338C7">
      <w:pPr>
        <w:pStyle w:val="Obrzek-nadpis"/>
      </w:pPr>
      <w:r w:rsidRPr="00F20FDE">
        <w:t xml:space="preserve">Obr. </w:t>
      </w:r>
      <w:r>
        <w:t>4</w:t>
      </w:r>
      <w:r w:rsidRPr="00F20FDE">
        <w:t>.1: Pohled na lidské zdroje z hlediska jejich odbornosti, vykonávané činnosti a</w:t>
      </w:r>
      <w:r>
        <w:t> </w:t>
      </w:r>
      <w:r w:rsidRPr="00F20FDE">
        <w:t>motivace</w:t>
      </w:r>
    </w:p>
    <w:p w:rsidR="006338C7" w:rsidRDefault="006338C7" w:rsidP="006338C7">
      <w:pPr>
        <w:jc w:val="center"/>
      </w:pPr>
      <w:r>
        <w:rPr>
          <w:noProof/>
          <w:lang w:eastAsia="cs-CZ"/>
        </w:rPr>
        <w:drawing>
          <wp:inline distT="0" distB="0" distL="0" distR="0" wp14:anchorId="5D62052F" wp14:editId="146DC43A">
            <wp:extent cx="5760720" cy="3818255"/>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_6.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3818255"/>
                    </a:xfrm>
                    <a:prstGeom prst="rect">
                      <a:avLst/>
                    </a:prstGeom>
                  </pic:spPr>
                </pic:pic>
              </a:graphicData>
            </a:graphic>
          </wp:inline>
        </w:drawing>
      </w:r>
    </w:p>
    <w:p w:rsidR="006338C7" w:rsidRDefault="006338C7" w:rsidP="006338C7">
      <w:pPr>
        <w:pStyle w:val="komentzaobrzkem"/>
        <w:spacing w:after="240"/>
      </w:pPr>
      <w:r w:rsidRPr="009B2333">
        <w:t xml:space="preserve">Pozn.: Pro členění vědních oblastí/oborů lze využít klasifikaci OECD </w:t>
      </w:r>
      <w:proofErr w:type="spellStart"/>
      <w:r w:rsidRPr="009B2333">
        <w:t>Fields</w:t>
      </w:r>
      <w:proofErr w:type="spellEnd"/>
      <w:r w:rsidRPr="009B2333">
        <w:t xml:space="preserve"> </w:t>
      </w:r>
      <w:proofErr w:type="spellStart"/>
      <w:r w:rsidRPr="009B2333">
        <w:t>of</w:t>
      </w:r>
      <w:proofErr w:type="spellEnd"/>
      <w:r w:rsidRPr="009B2333">
        <w:t xml:space="preserve"> </w:t>
      </w:r>
      <w:proofErr w:type="spellStart"/>
      <w:r>
        <w:t>Research</w:t>
      </w:r>
      <w:proofErr w:type="spellEnd"/>
      <w:r>
        <w:t xml:space="preserve"> and </w:t>
      </w:r>
      <w:proofErr w:type="spellStart"/>
      <w:r>
        <w:t>Development</w:t>
      </w:r>
      <w:proofErr w:type="spellEnd"/>
      <w:r w:rsidRPr="009B2333">
        <w:t xml:space="preserve"> (FRASCATI manu</w:t>
      </w:r>
      <w:r>
        <w:t>á</w:t>
      </w:r>
      <w:r w:rsidRPr="009B2333">
        <w:t>l</w:t>
      </w:r>
      <w:r>
        <w:t xml:space="preserve"> 2015</w:t>
      </w:r>
      <w:r w:rsidRPr="009B2333">
        <w:t xml:space="preserve">), v případě ekonomického účelu je vhodná </w:t>
      </w:r>
      <w:r>
        <w:t xml:space="preserve">rovněž </w:t>
      </w:r>
      <w:r w:rsidRPr="009B2333">
        <w:t>odvětvová klasifikace NACE.</w:t>
      </w:r>
    </w:p>
    <w:p w:rsidR="006338C7" w:rsidRPr="00272ED4"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Pokud jde o celkové počty zaměstnanců ve výzkumu a vývoji, celkový počet fyzických osob (HC) evidovaný k 31. 12. 201</w:t>
      </w:r>
      <w:r>
        <w:rPr>
          <w:rFonts w:ascii="Arial" w:eastAsia="Times New Roman" w:hAnsi="Arial" w:cs="Arial"/>
          <w:lang w:eastAsia="cs-CZ"/>
        </w:rPr>
        <w:t>4</w:t>
      </w:r>
      <w:r w:rsidRPr="00272ED4">
        <w:rPr>
          <w:rFonts w:ascii="Arial" w:eastAsia="Times New Roman" w:hAnsi="Arial" w:cs="Arial"/>
          <w:lang w:eastAsia="cs-CZ"/>
        </w:rPr>
        <w:t xml:space="preserve"> činil </w:t>
      </w:r>
      <w:r>
        <w:rPr>
          <w:rFonts w:ascii="Arial" w:eastAsia="Times New Roman" w:hAnsi="Arial" w:cs="Arial"/>
          <w:lang w:eastAsia="cs-CZ"/>
        </w:rPr>
        <w:t>97 353</w:t>
      </w:r>
      <w:r w:rsidRPr="00272ED4">
        <w:rPr>
          <w:rFonts w:ascii="Arial" w:eastAsia="Times New Roman" w:hAnsi="Arial" w:cs="Arial"/>
          <w:lang w:eastAsia="cs-CZ"/>
        </w:rPr>
        <w:t>. Ve srovnání s předchozím rokem se jedná o nárůst o</w:t>
      </w:r>
      <w:r>
        <w:rPr>
          <w:rFonts w:ascii="Arial" w:eastAsia="Times New Roman" w:hAnsi="Arial" w:cs="Arial"/>
          <w:lang w:eastAsia="cs-CZ"/>
        </w:rPr>
        <w:t> </w:t>
      </w:r>
      <w:r w:rsidRPr="00272ED4">
        <w:rPr>
          <w:rFonts w:ascii="Arial" w:eastAsia="Times New Roman" w:hAnsi="Arial" w:cs="Arial"/>
          <w:lang w:eastAsia="cs-CZ"/>
        </w:rPr>
        <w:t>5,</w:t>
      </w:r>
      <w:r>
        <w:rPr>
          <w:rFonts w:ascii="Arial" w:eastAsia="Times New Roman" w:hAnsi="Arial" w:cs="Arial"/>
          <w:lang w:eastAsia="cs-CZ"/>
        </w:rPr>
        <w:t>0</w:t>
      </w:r>
      <w:r w:rsidRPr="00272ED4">
        <w:rPr>
          <w:rFonts w:ascii="Arial" w:eastAsia="Times New Roman" w:hAnsi="Arial" w:cs="Arial"/>
          <w:lang w:eastAsia="cs-CZ"/>
        </w:rPr>
        <w:t xml:space="preserve"> %. Při přepočtu na plný pracovní úvazek (ukazatel FTE) byl nárůst </w:t>
      </w:r>
      <w:r>
        <w:rPr>
          <w:rFonts w:ascii="Arial" w:eastAsia="Times New Roman" w:hAnsi="Arial" w:cs="Arial"/>
          <w:lang w:eastAsia="cs-CZ"/>
        </w:rPr>
        <w:t xml:space="preserve">o pětinu </w:t>
      </w:r>
      <w:r w:rsidRPr="00272ED4">
        <w:rPr>
          <w:rFonts w:ascii="Arial" w:eastAsia="Times New Roman" w:hAnsi="Arial" w:cs="Arial"/>
          <w:lang w:eastAsia="cs-CZ"/>
        </w:rPr>
        <w:t xml:space="preserve">nižší, a sice </w:t>
      </w:r>
      <w:r>
        <w:rPr>
          <w:rFonts w:ascii="Arial" w:eastAsia="Times New Roman" w:hAnsi="Arial" w:cs="Arial"/>
          <w:lang w:eastAsia="cs-CZ"/>
        </w:rPr>
        <w:t>4</w:t>
      </w:r>
      <w:r w:rsidRPr="00272ED4">
        <w:rPr>
          <w:rFonts w:ascii="Arial" w:eastAsia="Times New Roman" w:hAnsi="Arial" w:cs="Arial"/>
          <w:lang w:eastAsia="cs-CZ"/>
        </w:rPr>
        <w:t>,</w:t>
      </w:r>
      <w:r>
        <w:rPr>
          <w:rFonts w:ascii="Arial" w:eastAsia="Times New Roman" w:hAnsi="Arial" w:cs="Arial"/>
          <w:lang w:eastAsia="cs-CZ"/>
        </w:rPr>
        <w:t>0</w:t>
      </w:r>
      <w:r w:rsidRPr="00272ED4">
        <w:rPr>
          <w:rFonts w:ascii="Arial" w:eastAsia="Times New Roman" w:hAnsi="Arial" w:cs="Arial"/>
          <w:lang w:eastAsia="cs-CZ"/>
        </w:rPr>
        <w:t> %</w:t>
      </w:r>
      <w:r>
        <w:rPr>
          <w:rFonts w:ascii="Arial" w:eastAsia="Times New Roman" w:hAnsi="Arial" w:cs="Arial"/>
          <w:lang w:eastAsia="cs-CZ"/>
        </w:rPr>
        <w:t>,</w:t>
      </w:r>
      <w:r w:rsidRPr="00272ED4">
        <w:rPr>
          <w:rFonts w:ascii="Arial" w:eastAsia="Times New Roman" w:hAnsi="Arial" w:cs="Arial"/>
          <w:lang w:eastAsia="cs-CZ"/>
        </w:rPr>
        <w:t xml:space="preserve"> na hodnotu </w:t>
      </w:r>
      <w:r>
        <w:rPr>
          <w:rFonts w:ascii="Arial" w:eastAsia="Times New Roman" w:hAnsi="Arial" w:cs="Arial"/>
          <w:lang w:eastAsia="cs-CZ"/>
        </w:rPr>
        <w:t xml:space="preserve">64 443 </w:t>
      </w:r>
      <w:r w:rsidRPr="00272ED4">
        <w:rPr>
          <w:rFonts w:ascii="Arial" w:eastAsia="Times New Roman" w:hAnsi="Arial" w:cs="Arial"/>
          <w:lang w:eastAsia="cs-CZ"/>
        </w:rPr>
        <w:t>v roce 201</w:t>
      </w:r>
      <w:r>
        <w:rPr>
          <w:rFonts w:ascii="Arial" w:eastAsia="Times New Roman" w:hAnsi="Arial" w:cs="Arial"/>
          <w:lang w:eastAsia="cs-CZ"/>
        </w:rPr>
        <w:t>4</w:t>
      </w:r>
      <w:r w:rsidRPr="00272ED4">
        <w:rPr>
          <w:rFonts w:ascii="Arial" w:eastAsia="Times New Roman" w:hAnsi="Arial" w:cs="Arial"/>
          <w:lang w:eastAsia="cs-CZ"/>
        </w:rPr>
        <w:t>. Většinu zaměstnanců tvoří výzkumníci (přibližně 55 %), následují techničtí pracovníci (cca 30 %) a ostatní pracovníci (15 %). Toto rozložení pracovních sil nevykazuje výraznější změny ani při přepočtu na FTE a je rovněž meziročně stabilní.</w:t>
      </w:r>
    </w:p>
    <w:p w:rsidR="006338C7" w:rsidRPr="00272ED4"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Zastoupení zaměstnanců výzkumu a vývoje v jednotlivých sektorech je zobrazeno v obr</w:t>
      </w:r>
      <w:r>
        <w:rPr>
          <w:rFonts w:ascii="Arial" w:eastAsia="Times New Roman" w:hAnsi="Arial" w:cs="Arial"/>
          <w:lang w:eastAsia="cs-CZ"/>
        </w:rPr>
        <w:t>ázku</w:t>
      </w:r>
      <w:r w:rsidRPr="00272ED4">
        <w:rPr>
          <w:rFonts w:ascii="Arial" w:eastAsia="Times New Roman" w:hAnsi="Arial" w:cs="Arial"/>
          <w:lang w:eastAsia="cs-CZ"/>
        </w:rPr>
        <w:t xml:space="preserve"> 4.2. Nejvýznamnějším sektorem z hlediska celkového počtu zaměstnanců ve výzkumu a</w:t>
      </w:r>
      <w:r>
        <w:rPr>
          <w:rFonts w:ascii="Arial" w:eastAsia="Times New Roman" w:hAnsi="Arial" w:cs="Arial"/>
          <w:lang w:eastAsia="cs-CZ"/>
        </w:rPr>
        <w:t> </w:t>
      </w:r>
      <w:r w:rsidRPr="00272ED4">
        <w:rPr>
          <w:rFonts w:ascii="Arial" w:eastAsia="Times New Roman" w:hAnsi="Arial" w:cs="Arial"/>
          <w:lang w:eastAsia="cs-CZ"/>
        </w:rPr>
        <w:t>vývoji je podnikatelský sektor (4</w:t>
      </w:r>
      <w:r>
        <w:rPr>
          <w:rFonts w:ascii="Arial" w:eastAsia="Times New Roman" w:hAnsi="Arial" w:cs="Arial"/>
          <w:lang w:eastAsia="cs-CZ"/>
        </w:rPr>
        <w:t>9</w:t>
      </w:r>
      <w:r w:rsidRPr="00272ED4">
        <w:rPr>
          <w:rFonts w:ascii="Arial" w:eastAsia="Times New Roman" w:hAnsi="Arial" w:cs="Arial"/>
          <w:lang w:eastAsia="cs-CZ"/>
        </w:rPr>
        <w:t xml:space="preserve"> tis. zaměstnanců v roce 201</w:t>
      </w:r>
      <w:r>
        <w:rPr>
          <w:rFonts w:ascii="Arial" w:eastAsia="Times New Roman" w:hAnsi="Arial" w:cs="Arial"/>
          <w:lang w:eastAsia="cs-CZ"/>
        </w:rPr>
        <w:t>4</w:t>
      </w:r>
      <w:r w:rsidRPr="00272ED4">
        <w:rPr>
          <w:rFonts w:ascii="Arial" w:eastAsia="Times New Roman" w:hAnsi="Arial" w:cs="Arial"/>
          <w:lang w:eastAsia="cs-CZ"/>
        </w:rPr>
        <w:t xml:space="preserve">), jehož podíl na celkové zaměstnanosti </w:t>
      </w:r>
      <w:r>
        <w:rPr>
          <w:rFonts w:ascii="Arial" w:eastAsia="Times New Roman" w:hAnsi="Arial" w:cs="Arial"/>
          <w:lang w:eastAsia="cs-CZ"/>
        </w:rPr>
        <w:t xml:space="preserve">ve výzkumu a vývoji </w:t>
      </w:r>
      <w:r w:rsidRPr="00272ED4">
        <w:rPr>
          <w:rFonts w:ascii="Arial" w:eastAsia="Times New Roman" w:hAnsi="Arial" w:cs="Arial"/>
          <w:lang w:eastAsia="cs-CZ"/>
        </w:rPr>
        <w:t xml:space="preserve">každoročně roste a </w:t>
      </w:r>
      <w:r>
        <w:rPr>
          <w:rFonts w:ascii="Arial" w:eastAsia="Times New Roman" w:hAnsi="Arial" w:cs="Arial"/>
          <w:lang w:eastAsia="cs-CZ"/>
        </w:rPr>
        <w:t xml:space="preserve">v roce 2014 poprvé překonal hranici </w:t>
      </w:r>
      <w:r w:rsidRPr="00272ED4">
        <w:rPr>
          <w:rFonts w:ascii="Arial" w:eastAsia="Times New Roman" w:hAnsi="Arial" w:cs="Arial"/>
          <w:lang w:eastAsia="cs-CZ"/>
        </w:rPr>
        <w:t xml:space="preserve">50 %. Ve vysokoškolském sektoru pracuje </w:t>
      </w:r>
      <w:r>
        <w:rPr>
          <w:rFonts w:ascii="Arial" w:eastAsia="Times New Roman" w:hAnsi="Arial" w:cs="Arial"/>
          <w:lang w:eastAsia="cs-CZ"/>
        </w:rPr>
        <w:t>necelých</w:t>
      </w:r>
      <w:r w:rsidRPr="00272ED4">
        <w:rPr>
          <w:rFonts w:ascii="Arial" w:eastAsia="Times New Roman" w:hAnsi="Arial" w:cs="Arial"/>
          <w:lang w:eastAsia="cs-CZ"/>
        </w:rPr>
        <w:t xml:space="preserve"> 35 % </w:t>
      </w:r>
      <w:r>
        <w:rPr>
          <w:rFonts w:ascii="Arial" w:eastAsia="Times New Roman" w:hAnsi="Arial" w:cs="Arial"/>
          <w:lang w:eastAsia="cs-CZ"/>
        </w:rPr>
        <w:t>z</w:t>
      </w:r>
      <w:r w:rsidRPr="00272ED4">
        <w:rPr>
          <w:rFonts w:ascii="Arial" w:eastAsia="Times New Roman" w:hAnsi="Arial" w:cs="Arial"/>
          <w:lang w:eastAsia="cs-CZ"/>
        </w:rPr>
        <w:t>aměstnanců výzkumu a vývoje a jejich počet rovněž meziročně roste (3</w:t>
      </w:r>
      <w:r>
        <w:rPr>
          <w:rFonts w:ascii="Arial" w:eastAsia="Times New Roman" w:hAnsi="Arial" w:cs="Arial"/>
          <w:lang w:eastAsia="cs-CZ"/>
        </w:rPr>
        <w:t>3 tis. v roce 2014</w:t>
      </w:r>
      <w:r w:rsidRPr="00272ED4">
        <w:rPr>
          <w:rFonts w:ascii="Arial" w:eastAsia="Times New Roman" w:hAnsi="Arial" w:cs="Arial"/>
          <w:lang w:eastAsia="cs-CZ"/>
        </w:rPr>
        <w:t>)</w:t>
      </w:r>
      <w:r>
        <w:rPr>
          <w:rFonts w:ascii="Arial" w:eastAsia="Times New Roman" w:hAnsi="Arial" w:cs="Arial"/>
          <w:lang w:eastAsia="cs-CZ"/>
        </w:rPr>
        <w:t>, i když výrazně pomaleji, než v případě podnikatelského sektoru. Při přepočtu na plný pracovní úvazek je nárůst ve vysokoškolském sektoru nepatrný, ke stagnaci dochází od roku 2012</w:t>
      </w:r>
      <w:r w:rsidRPr="00272ED4">
        <w:rPr>
          <w:rFonts w:ascii="Arial" w:eastAsia="Times New Roman" w:hAnsi="Arial" w:cs="Arial"/>
          <w:lang w:eastAsia="cs-CZ"/>
        </w:rPr>
        <w:t>. Počet zaměstnanců ve vládním sektoru je méně než poloviční ve</w:t>
      </w:r>
      <w:r>
        <w:rPr>
          <w:rFonts w:ascii="Arial" w:eastAsia="Times New Roman" w:hAnsi="Arial" w:cs="Arial"/>
          <w:lang w:eastAsia="cs-CZ"/>
        </w:rPr>
        <w:t> </w:t>
      </w:r>
      <w:r w:rsidRPr="00272ED4">
        <w:rPr>
          <w:rFonts w:ascii="Arial" w:eastAsia="Times New Roman" w:hAnsi="Arial" w:cs="Arial"/>
          <w:lang w:eastAsia="cs-CZ"/>
        </w:rPr>
        <w:t>srovnání s vysokoškolským sektorem (15 tis. v roce 201</w:t>
      </w:r>
      <w:r>
        <w:rPr>
          <w:rFonts w:ascii="Arial" w:eastAsia="Times New Roman" w:hAnsi="Arial" w:cs="Arial"/>
          <w:lang w:eastAsia="cs-CZ"/>
        </w:rPr>
        <w:t>4</w:t>
      </w:r>
      <w:r w:rsidRPr="00272ED4">
        <w:rPr>
          <w:rFonts w:ascii="Arial" w:eastAsia="Times New Roman" w:hAnsi="Arial" w:cs="Arial"/>
          <w:lang w:eastAsia="cs-CZ"/>
        </w:rPr>
        <w:t xml:space="preserve">) a meziročně </w:t>
      </w:r>
      <w:r w:rsidRPr="00272ED4">
        <w:rPr>
          <w:rFonts w:ascii="Arial" w:eastAsia="Times New Roman" w:hAnsi="Arial" w:cs="Arial"/>
          <w:lang w:eastAsia="cs-CZ"/>
        </w:rPr>
        <w:lastRenderedPageBreak/>
        <w:t>stagnuje. Při přepočtu na plný pracovní úvazek je dominance podnikatelského sektoru ještě výraznější (55</w:t>
      </w:r>
      <w:r>
        <w:rPr>
          <w:rFonts w:ascii="Arial" w:eastAsia="Times New Roman" w:hAnsi="Arial" w:cs="Arial"/>
          <w:lang w:eastAsia="cs-CZ"/>
        </w:rPr>
        <w:t>,5</w:t>
      </w:r>
      <w:r w:rsidRPr="00272ED4">
        <w:rPr>
          <w:rFonts w:ascii="Arial" w:eastAsia="Times New Roman" w:hAnsi="Arial" w:cs="Arial"/>
          <w:lang w:eastAsia="cs-CZ"/>
        </w:rPr>
        <w:t> % oproti 2</w:t>
      </w:r>
      <w:r>
        <w:rPr>
          <w:rFonts w:ascii="Arial" w:eastAsia="Times New Roman" w:hAnsi="Arial" w:cs="Arial"/>
          <w:lang w:eastAsia="cs-CZ"/>
        </w:rPr>
        <w:t>5,5</w:t>
      </w:r>
      <w:r w:rsidRPr="00272ED4">
        <w:rPr>
          <w:rFonts w:ascii="Arial" w:eastAsia="Times New Roman" w:hAnsi="Arial" w:cs="Arial"/>
          <w:lang w:eastAsia="cs-CZ"/>
        </w:rPr>
        <w:t> % vysokoškolského sektoru a 1</w:t>
      </w:r>
      <w:r>
        <w:rPr>
          <w:rFonts w:ascii="Arial" w:eastAsia="Times New Roman" w:hAnsi="Arial" w:cs="Arial"/>
          <w:lang w:eastAsia="cs-CZ"/>
        </w:rPr>
        <w:t>8,5</w:t>
      </w:r>
      <w:r w:rsidRPr="00272ED4">
        <w:rPr>
          <w:rFonts w:ascii="Arial" w:eastAsia="Times New Roman" w:hAnsi="Arial" w:cs="Arial"/>
          <w:lang w:eastAsia="cs-CZ"/>
        </w:rPr>
        <w:t> %</w:t>
      </w:r>
      <w:r>
        <w:rPr>
          <w:rFonts w:ascii="Arial" w:eastAsia="Times New Roman" w:hAnsi="Arial" w:cs="Arial"/>
          <w:lang w:eastAsia="cs-CZ"/>
        </w:rPr>
        <w:t xml:space="preserve"> </w:t>
      </w:r>
      <w:r w:rsidRPr="00272ED4">
        <w:rPr>
          <w:rFonts w:ascii="Arial" w:eastAsia="Times New Roman" w:hAnsi="Arial" w:cs="Arial"/>
          <w:lang w:eastAsia="cs-CZ"/>
        </w:rPr>
        <w:t>vládního). To je způsobeno velkým rozdílem mezi počtem evidovaných pracovníků (HC) a počtem plných pracovních úvazků (FTE)</w:t>
      </w:r>
      <w:r>
        <w:rPr>
          <w:rFonts w:ascii="Arial" w:eastAsia="Times New Roman" w:hAnsi="Arial" w:cs="Arial"/>
          <w:lang w:eastAsia="cs-CZ"/>
        </w:rPr>
        <w:t xml:space="preserve"> napříč sektory</w:t>
      </w:r>
      <w:r w:rsidRPr="00272ED4">
        <w:rPr>
          <w:rFonts w:ascii="Arial" w:eastAsia="Times New Roman" w:hAnsi="Arial" w:cs="Arial"/>
          <w:lang w:eastAsia="cs-CZ"/>
        </w:rPr>
        <w:t>. Zatímco u</w:t>
      </w:r>
      <w:r>
        <w:rPr>
          <w:rFonts w:ascii="Arial" w:eastAsia="Times New Roman" w:hAnsi="Arial" w:cs="Arial"/>
          <w:lang w:eastAsia="cs-CZ"/>
        </w:rPr>
        <w:t> </w:t>
      </w:r>
      <w:r w:rsidRPr="00272ED4">
        <w:rPr>
          <w:rFonts w:ascii="Arial" w:eastAsia="Times New Roman" w:hAnsi="Arial" w:cs="Arial"/>
          <w:lang w:eastAsia="cs-CZ"/>
        </w:rPr>
        <w:t>podnikatelského a vládního sektoru činí rozdíl po přepočtu zhruba 20 – 25 %, u sektoru vysokoškolského je to celá polovina (3</w:t>
      </w:r>
      <w:r>
        <w:rPr>
          <w:rFonts w:ascii="Arial" w:eastAsia="Times New Roman" w:hAnsi="Arial" w:cs="Arial"/>
          <w:lang w:eastAsia="cs-CZ"/>
        </w:rPr>
        <w:t>3</w:t>
      </w:r>
      <w:r w:rsidRPr="00272ED4">
        <w:rPr>
          <w:rFonts w:ascii="Arial" w:eastAsia="Times New Roman" w:hAnsi="Arial" w:cs="Arial"/>
          <w:lang w:eastAsia="cs-CZ"/>
        </w:rPr>
        <w:t xml:space="preserve"> tis zaměstnanců, 16</w:t>
      </w:r>
      <w:r>
        <w:rPr>
          <w:rFonts w:ascii="Arial" w:eastAsia="Times New Roman" w:hAnsi="Arial" w:cs="Arial"/>
          <w:lang w:eastAsia="cs-CZ"/>
        </w:rPr>
        <w:t>,5</w:t>
      </w:r>
      <w:r w:rsidRPr="00272ED4">
        <w:rPr>
          <w:rFonts w:ascii="Arial" w:eastAsia="Times New Roman" w:hAnsi="Arial" w:cs="Arial"/>
          <w:lang w:eastAsia="cs-CZ"/>
        </w:rPr>
        <w:t xml:space="preserve"> tis. FTE). Uvedený rozdíl je ovlivněn metodikou přepočtu</w:t>
      </w:r>
      <w:r w:rsidRPr="00613032">
        <w:rPr>
          <w:rFonts w:ascii="Arial" w:eastAsia="Times New Roman" w:hAnsi="Arial" w:cs="Arial"/>
          <w:vertAlign w:val="superscript"/>
          <w:lang w:eastAsia="cs-CZ"/>
        </w:rPr>
        <w:footnoteReference w:id="21"/>
      </w:r>
      <w:r w:rsidRPr="00272ED4">
        <w:rPr>
          <w:rFonts w:ascii="Arial" w:eastAsia="Times New Roman" w:hAnsi="Arial" w:cs="Arial"/>
          <w:lang w:eastAsia="cs-CZ"/>
        </w:rPr>
        <w:t>, může však indikovat vyšší výskyt částečných pracovních úvazků ve</w:t>
      </w:r>
      <w:r>
        <w:rPr>
          <w:rFonts w:ascii="Arial" w:eastAsia="Times New Roman" w:hAnsi="Arial" w:cs="Arial"/>
          <w:lang w:eastAsia="cs-CZ"/>
        </w:rPr>
        <w:t> </w:t>
      </w:r>
      <w:r w:rsidRPr="00272ED4">
        <w:rPr>
          <w:rFonts w:ascii="Arial" w:eastAsia="Times New Roman" w:hAnsi="Arial" w:cs="Arial"/>
          <w:lang w:eastAsia="cs-CZ"/>
        </w:rPr>
        <w:t>vysokoškolském sektoru.</w:t>
      </w:r>
    </w:p>
    <w:p w:rsidR="006338C7" w:rsidRPr="00CA3F24" w:rsidRDefault="006338C7" w:rsidP="006338C7">
      <w:pPr>
        <w:pStyle w:val="Obrzek-nadpis"/>
      </w:pPr>
      <w:r w:rsidRPr="00CA3F24">
        <w:t>Obr. 4.</w:t>
      </w:r>
      <w:r>
        <w:t>2:</w:t>
      </w:r>
      <w:r w:rsidRPr="00CA3F24">
        <w:t xml:space="preserve"> Počet zaměstnanců ve výzkumu a vývoji v ČR podle sektorů v letech 2008 – 201</w:t>
      </w:r>
      <w:r>
        <w:t>4</w:t>
      </w:r>
    </w:p>
    <w:p w:rsidR="006338C7" w:rsidRDefault="006338C7" w:rsidP="006338C7">
      <w:pPr>
        <w:jc w:val="center"/>
      </w:pPr>
      <w:r w:rsidRPr="00774FCC">
        <w:rPr>
          <w:noProof/>
          <w:lang w:eastAsia="cs-CZ"/>
        </w:rPr>
        <w:drawing>
          <wp:inline distT="0" distB="0" distL="0" distR="0" wp14:anchorId="520DAAFA" wp14:editId="716524B7">
            <wp:extent cx="5356860" cy="27432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56860" cy="2743200"/>
                    </a:xfrm>
                    <a:prstGeom prst="rect">
                      <a:avLst/>
                    </a:prstGeom>
                    <a:noFill/>
                    <a:ln>
                      <a:noFill/>
                    </a:ln>
                  </pic:spPr>
                </pic:pic>
              </a:graphicData>
            </a:graphic>
          </wp:inline>
        </w:drawing>
      </w:r>
    </w:p>
    <w:p w:rsidR="006338C7" w:rsidRPr="00CA3F24" w:rsidRDefault="006338C7" w:rsidP="006338C7">
      <w:pPr>
        <w:pStyle w:val="Zdroj"/>
      </w:pPr>
      <w:r w:rsidRPr="00CA3F24">
        <w:t xml:space="preserve">Zdroj </w:t>
      </w:r>
      <w:r w:rsidRPr="00F224E6">
        <w:t>dat</w:t>
      </w:r>
      <w:r w:rsidRPr="00CA3F24">
        <w:t>: ČSÚ</w:t>
      </w:r>
    </w:p>
    <w:p w:rsidR="006338C7" w:rsidRDefault="006338C7" w:rsidP="006338C7">
      <w:pPr>
        <w:pStyle w:val="komentzaobrzkem"/>
        <w:spacing w:after="240"/>
      </w:pPr>
      <w:r w:rsidRPr="00CA3F24">
        <w:t xml:space="preserve">Je uveden evidenční </w:t>
      </w:r>
      <w:r w:rsidRPr="00E540D1">
        <w:t>počet</w:t>
      </w:r>
      <w:r w:rsidRPr="00CA3F24">
        <w:t xml:space="preserve"> zaměstnanců (HC) i přepočet na plný pracovní úvazek (FTE)</w:t>
      </w:r>
      <w:r>
        <w:t>.</w:t>
      </w:r>
    </w:p>
    <w:p w:rsidR="006338C7" w:rsidRDefault="006338C7" w:rsidP="006338C7">
      <w:pPr>
        <w:spacing w:after="0" w:line="360" w:lineRule="auto"/>
        <w:ind w:firstLine="709"/>
        <w:jc w:val="both"/>
        <w:rPr>
          <w:rFonts w:ascii="Arial" w:eastAsia="Times New Roman" w:hAnsi="Arial" w:cs="Arial"/>
          <w:lang w:eastAsia="cs-CZ"/>
        </w:rPr>
      </w:pPr>
      <w:r w:rsidRPr="00B64CD6">
        <w:rPr>
          <w:rFonts w:ascii="Arial" w:eastAsia="Times New Roman" w:hAnsi="Arial" w:cs="Arial"/>
          <w:lang w:eastAsia="cs-CZ"/>
        </w:rPr>
        <w:t xml:space="preserve">Mezinárodní srovnání počtu zaměstnanců ve výzkumu a vývoji s ohledem na sektor, ve kterém zaměstnanci působí, uvádí obrázek 4.3 (uvedeny jsou údaje přepočtené na plný pracovní úvazek v relativním vyjádření na 1 000 obyvatel). Podobná situace jako v ČR, tj. mírná převaha zaměstnanců v podnikatelském sektoru nad veřejným sektorem po přepočtu na plný pracovní úvazek, je např. v Belgii nebo ve Francii. </w:t>
      </w:r>
      <w:r w:rsidRPr="00627DED">
        <w:rPr>
          <w:rFonts w:ascii="Arial" w:eastAsia="Times New Roman" w:hAnsi="Arial" w:cs="Arial"/>
          <w:lang w:eastAsia="cs-CZ"/>
        </w:rPr>
        <w:t>Mírnou převahu zaměstnanců v podnikatelském sektoru nad veřejným vykazují rovněž Maďarsko či Itálie, ve výzkumu a vývoji tam však pracuje výrazně méně zaměstnanců, než je tomu v ČR. V zemích, jako je Německo, Rakousko, Nizozemsko nebo Švédsko, je převaha zaměstnanců v podnikatelském sektoru ještě výraznější. Tyto</w:t>
      </w:r>
      <w:r>
        <w:rPr>
          <w:rFonts w:ascii="Arial" w:eastAsia="Times New Roman" w:hAnsi="Arial" w:cs="Arial"/>
          <w:lang w:eastAsia="cs-CZ"/>
        </w:rPr>
        <w:t xml:space="preserve"> </w:t>
      </w:r>
      <w:r w:rsidRPr="00627DED">
        <w:rPr>
          <w:rFonts w:ascii="Arial" w:eastAsia="Times New Roman" w:hAnsi="Arial" w:cs="Arial"/>
          <w:lang w:eastAsia="cs-CZ"/>
        </w:rPr>
        <w:t xml:space="preserve">země jsou v počtu zaměstnanců ve veřejném sektoru srovnatelné s ČR, avšak v počtech zaměstnanců v podnikatelském sektoru ČR výrazně překonávají. To částečně koresponduje s rozložením výdajů na </w:t>
      </w:r>
      <w:proofErr w:type="spellStart"/>
      <w:r w:rsidRPr="00627DED">
        <w:rPr>
          <w:rFonts w:ascii="Arial" w:eastAsia="Times New Roman" w:hAnsi="Arial" w:cs="Arial"/>
          <w:lang w:eastAsia="cs-CZ"/>
        </w:rPr>
        <w:t>VaVaI</w:t>
      </w:r>
      <w:proofErr w:type="spellEnd"/>
      <w:r w:rsidRPr="00627DED">
        <w:rPr>
          <w:rFonts w:ascii="Arial" w:eastAsia="Times New Roman" w:hAnsi="Arial" w:cs="Arial"/>
          <w:lang w:eastAsia="cs-CZ"/>
        </w:rPr>
        <w:t xml:space="preserve"> mezi sektory. V Německu, Švédsku, ale také např. v Dánsku či Finsku v celkovém objemu výdajů na </w:t>
      </w:r>
      <w:proofErr w:type="spellStart"/>
      <w:r w:rsidRPr="00627DED">
        <w:rPr>
          <w:rFonts w:ascii="Arial" w:eastAsia="Times New Roman" w:hAnsi="Arial" w:cs="Arial"/>
          <w:lang w:eastAsia="cs-CZ"/>
        </w:rPr>
        <w:t>VaVaI</w:t>
      </w:r>
      <w:proofErr w:type="spellEnd"/>
      <w:r w:rsidRPr="00627DED">
        <w:rPr>
          <w:rFonts w:ascii="Arial" w:eastAsia="Times New Roman" w:hAnsi="Arial" w:cs="Arial"/>
          <w:lang w:eastAsia="cs-CZ"/>
        </w:rPr>
        <w:t xml:space="preserve"> převažují podnikatelské zdroje nad veřejnými. V</w:t>
      </w:r>
      <w:r>
        <w:rPr>
          <w:rFonts w:ascii="Arial" w:eastAsia="Times New Roman" w:hAnsi="Arial" w:cs="Arial"/>
          <w:lang w:eastAsia="cs-CZ"/>
        </w:rPr>
        <w:t> </w:t>
      </w:r>
      <w:r w:rsidRPr="00627DED">
        <w:rPr>
          <w:rFonts w:ascii="Arial" w:eastAsia="Times New Roman" w:hAnsi="Arial" w:cs="Arial"/>
          <w:lang w:eastAsia="cs-CZ"/>
        </w:rPr>
        <w:t xml:space="preserve">Německu tvoří přes 65 % GERD, ve Švédsku přes 60 %, v Nizozemsku a Rakousku přibližně </w:t>
      </w:r>
      <w:r w:rsidRPr="00627DED">
        <w:rPr>
          <w:rFonts w:ascii="Arial" w:eastAsia="Times New Roman" w:hAnsi="Arial" w:cs="Arial"/>
          <w:lang w:eastAsia="cs-CZ"/>
        </w:rPr>
        <w:lastRenderedPageBreak/>
        <w:t>50 %, zatímco v ČR pouze 37 %</w:t>
      </w:r>
      <w:r w:rsidRPr="00627DED">
        <w:rPr>
          <w:rStyle w:val="Znakapoznpodarou"/>
          <w:rFonts w:ascii="Arial" w:eastAsia="Times New Roman" w:hAnsi="Arial" w:cs="Arial"/>
          <w:lang w:eastAsia="cs-CZ"/>
        </w:rPr>
        <w:footnoteReference w:id="22"/>
      </w:r>
      <w:r w:rsidRPr="00627DED">
        <w:rPr>
          <w:rFonts w:ascii="Arial" w:eastAsia="Times New Roman" w:hAnsi="Arial" w:cs="Arial"/>
          <w:i/>
          <w:lang w:eastAsia="cs-CZ"/>
        </w:rPr>
        <w:t xml:space="preserve">. </w:t>
      </w:r>
      <w:r w:rsidRPr="00627DED">
        <w:rPr>
          <w:rFonts w:ascii="Arial" w:eastAsia="Times New Roman" w:hAnsi="Arial" w:cs="Arial"/>
          <w:lang w:eastAsia="cs-CZ"/>
        </w:rPr>
        <w:t>Výrazně nižší zastoupení zaměstnanců v podnikatelském sektoru při srovnatelných počtech zaměstnanců ve veřejném sektoru vykazují např. Španělsko, Portugalsko, nebo Slovensko.</w:t>
      </w:r>
    </w:p>
    <w:p w:rsidR="006338C7" w:rsidRPr="00774FCC" w:rsidRDefault="006338C7" w:rsidP="006338C7">
      <w:pPr>
        <w:pStyle w:val="Obrzek-nadpis"/>
        <w:rPr>
          <w:highlight w:val="yellow"/>
        </w:rPr>
      </w:pPr>
      <w:r w:rsidRPr="00627DED">
        <w:t>Obr. 4.3: Počet zaměstnanců ve výzkumu a vývoji v ČR a ve vybraných zemích podle sektoru v roce 2014 (FTE na 1 000 obyvatel)</w:t>
      </w:r>
    </w:p>
    <w:p w:rsidR="006338C7" w:rsidRPr="00774FCC" w:rsidRDefault="006338C7" w:rsidP="006338C7">
      <w:pPr>
        <w:pStyle w:val="Zdroj"/>
        <w:jc w:val="center"/>
        <w:rPr>
          <w:highlight w:val="yellow"/>
        </w:rPr>
      </w:pPr>
      <w:r w:rsidRPr="00FA33F2">
        <w:rPr>
          <w:noProof/>
        </w:rPr>
        <w:drawing>
          <wp:inline distT="0" distB="0" distL="0" distR="0" wp14:anchorId="503E6FE6" wp14:editId="0657A84B">
            <wp:extent cx="6120130" cy="5883999"/>
            <wp:effectExtent l="0" t="0" r="0" b="254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130" cy="5883999"/>
                    </a:xfrm>
                    <a:prstGeom prst="rect">
                      <a:avLst/>
                    </a:prstGeom>
                    <a:noFill/>
                    <a:ln>
                      <a:noFill/>
                    </a:ln>
                  </pic:spPr>
                </pic:pic>
              </a:graphicData>
            </a:graphic>
          </wp:inline>
        </w:drawing>
      </w:r>
    </w:p>
    <w:p w:rsidR="006338C7" w:rsidRPr="00DE3C1E" w:rsidRDefault="006338C7" w:rsidP="006338C7">
      <w:pPr>
        <w:pStyle w:val="Zdroj"/>
      </w:pPr>
      <w:r w:rsidRPr="00DE3C1E">
        <w:t xml:space="preserve">Zdroj dat: </w:t>
      </w:r>
      <w:proofErr w:type="spellStart"/>
      <w:r w:rsidRPr="00DE3C1E">
        <w:t>Eurostat</w:t>
      </w:r>
      <w:proofErr w:type="spellEnd"/>
      <w:r w:rsidRPr="00DE3C1E">
        <w:t xml:space="preserve"> (</w:t>
      </w:r>
      <w:proofErr w:type="spellStart"/>
      <w:r w:rsidRPr="00DE3C1E">
        <w:t>Population</w:t>
      </w:r>
      <w:proofErr w:type="spellEnd"/>
      <w:r w:rsidRPr="00DE3C1E">
        <w:t xml:space="preserve"> and </w:t>
      </w:r>
      <w:proofErr w:type="spellStart"/>
      <w:r w:rsidRPr="00DE3C1E">
        <w:t>employment</w:t>
      </w:r>
      <w:proofErr w:type="spellEnd"/>
      <w:r w:rsidRPr="00DE3C1E">
        <w:t>, R</w:t>
      </w:r>
      <w:r w:rsidRPr="00DE3C1E">
        <w:rPr>
          <w:rFonts w:cs="Arial"/>
        </w:rPr>
        <w:t>&amp;</w:t>
      </w:r>
      <w:r w:rsidRPr="00DE3C1E">
        <w:t xml:space="preserve">D </w:t>
      </w:r>
      <w:proofErr w:type="spellStart"/>
      <w:r w:rsidRPr="00DE3C1E">
        <w:t>personnel</w:t>
      </w:r>
      <w:proofErr w:type="spellEnd"/>
      <w:r w:rsidRPr="00DE3C1E">
        <w:t>), OECD (</w:t>
      </w:r>
      <w:proofErr w:type="spellStart"/>
      <w:r w:rsidRPr="00DE3C1E">
        <w:t>Population</w:t>
      </w:r>
      <w:proofErr w:type="spellEnd"/>
      <w:r w:rsidRPr="00DE3C1E">
        <w:t xml:space="preserve"> </w:t>
      </w:r>
      <w:proofErr w:type="spellStart"/>
      <w:r w:rsidRPr="00DE3C1E">
        <w:t>statistics</w:t>
      </w:r>
      <w:proofErr w:type="spellEnd"/>
      <w:r w:rsidRPr="00DE3C1E">
        <w:t>, R</w:t>
      </w:r>
      <w:r w:rsidRPr="00DE3C1E">
        <w:rPr>
          <w:rFonts w:cs="Arial"/>
        </w:rPr>
        <w:t>&amp;</w:t>
      </w:r>
      <w:r w:rsidRPr="00DE3C1E">
        <w:t xml:space="preserve">D </w:t>
      </w:r>
      <w:proofErr w:type="spellStart"/>
      <w:r w:rsidRPr="00DE3C1E">
        <w:t>statistics</w:t>
      </w:r>
      <w:proofErr w:type="spellEnd"/>
      <w:r w:rsidRPr="00DE3C1E">
        <w:t>); Pro RUS, TUR JPN, KOR a CHN byly využity údaje za rok 2013, pro CHE za rok 2012.</w:t>
      </w:r>
    </w:p>
    <w:p w:rsidR="006338C7" w:rsidRPr="00DE3C1E" w:rsidRDefault="006338C7" w:rsidP="006338C7">
      <w:pPr>
        <w:pStyle w:val="komentzaobrzkem"/>
      </w:pPr>
      <w:r w:rsidRPr="00DE3C1E">
        <w:t>Horizontální osa: počet zaměstnanců ve výzkumu a vývoji ve veřejném (vysokoškolském a vládním) sektoru (FTE na 1 000 obyv.) v roce 2014.</w:t>
      </w:r>
    </w:p>
    <w:p w:rsidR="006338C7" w:rsidRPr="00DE3C1E" w:rsidRDefault="006338C7" w:rsidP="006338C7">
      <w:pPr>
        <w:pStyle w:val="komentzaobrzkem"/>
      </w:pPr>
      <w:r w:rsidRPr="00DE3C1E">
        <w:t>Vertikální osa: počet zaměstnanců ve výzkumu a vývoji v podnikatelském sektoru (FTE na 1 000 obyv.) v roce 2014.</w:t>
      </w:r>
    </w:p>
    <w:p w:rsidR="006338C7" w:rsidRPr="00DE3C1E" w:rsidRDefault="006338C7" w:rsidP="006338C7">
      <w:pPr>
        <w:pStyle w:val="komentzaobrzkem"/>
      </w:pPr>
      <w:r w:rsidRPr="00DE3C1E">
        <w:t>Průsečík os značí teoretickou pozici EU 28</w:t>
      </w:r>
    </w:p>
    <w:p w:rsidR="006338C7" w:rsidRPr="004D7263" w:rsidRDefault="006338C7" w:rsidP="006338C7">
      <w:pPr>
        <w:pStyle w:val="komentzaobrzkem"/>
        <w:spacing w:after="240"/>
      </w:pPr>
      <w:r w:rsidRPr="00DE3C1E">
        <w:t>Černá diagonální přímka vyjadřuje vyrovnaný poměr počtu zaměstnanců ve veřejném (vysokoškolském a vládním) a podnikatelském sektoru.</w:t>
      </w:r>
    </w:p>
    <w:p w:rsidR="006338C7"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lastRenderedPageBreak/>
        <w:t>Počty výzkumných pracovníků v jednotlivých sektorech</w:t>
      </w:r>
      <w:r>
        <w:rPr>
          <w:rFonts w:ascii="Arial" w:eastAsia="Times New Roman" w:hAnsi="Arial" w:cs="Arial"/>
          <w:lang w:eastAsia="cs-CZ"/>
        </w:rPr>
        <w:t xml:space="preserve"> </w:t>
      </w:r>
      <w:r w:rsidRPr="00272ED4">
        <w:rPr>
          <w:rFonts w:ascii="Arial" w:eastAsia="Times New Roman" w:hAnsi="Arial" w:cs="Arial"/>
          <w:lang w:eastAsia="cs-CZ"/>
        </w:rPr>
        <w:t>a</w:t>
      </w:r>
      <w:r>
        <w:rPr>
          <w:rFonts w:ascii="Arial" w:eastAsia="Times New Roman" w:hAnsi="Arial" w:cs="Arial"/>
          <w:lang w:eastAsia="cs-CZ"/>
        </w:rPr>
        <w:t> </w:t>
      </w:r>
      <w:r w:rsidRPr="00272ED4">
        <w:rPr>
          <w:rFonts w:ascii="Arial" w:eastAsia="Times New Roman" w:hAnsi="Arial" w:cs="Arial"/>
          <w:lang w:eastAsia="cs-CZ"/>
        </w:rPr>
        <w:t>skupinách vědních oborů jsou uvedeny v obr</w:t>
      </w:r>
      <w:r>
        <w:rPr>
          <w:rFonts w:ascii="Arial" w:eastAsia="Times New Roman" w:hAnsi="Arial" w:cs="Arial"/>
          <w:lang w:eastAsia="cs-CZ"/>
        </w:rPr>
        <w:t>ázku</w:t>
      </w:r>
      <w:r w:rsidRPr="00272ED4">
        <w:rPr>
          <w:rFonts w:ascii="Arial" w:eastAsia="Times New Roman" w:hAnsi="Arial" w:cs="Arial"/>
          <w:lang w:eastAsia="cs-CZ"/>
        </w:rPr>
        <w:t xml:space="preserve"> 4.4. Zároveň jsou z obr</w:t>
      </w:r>
      <w:r>
        <w:rPr>
          <w:rFonts w:ascii="Arial" w:eastAsia="Times New Roman" w:hAnsi="Arial" w:cs="Arial"/>
          <w:lang w:eastAsia="cs-CZ"/>
        </w:rPr>
        <w:t>ázku</w:t>
      </w:r>
      <w:r w:rsidRPr="00272ED4">
        <w:rPr>
          <w:rFonts w:ascii="Arial" w:eastAsia="Times New Roman" w:hAnsi="Arial" w:cs="Arial"/>
          <w:lang w:eastAsia="cs-CZ"/>
        </w:rPr>
        <w:t xml:space="preserve"> 4.4 patrné trendy vývoje počtů v posledních letech. Nejvýznamnějším sektorem z hlediska počtu výzkumných pracovníků je sektor vysokoškolský, následovaný sektorem podnikatelským</w:t>
      </w:r>
      <w:r>
        <w:rPr>
          <w:rFonts w:ascii="Arial" w:eastAsia="Times New Roman" w:hAnsi="Arial" w:cs="Arial"/>
          <w:lang w:eastAsia="cs-CZ"/>
        </w:rPr>
        <w:t>. V každém z uvedených sektorů překračuje počet výzkumníků 20 tisíc evidovaných osob</w:t>
      </w:r>
      <w:r w:rsidRPr="00272ED4">
        <w:rPr>
          <w:rFonts w:ascii="Arial" w:eastAsia="Times New Roman" w:hAnsi="Arial" w:cs="Arial"/>
          <w:lang w:eastAsia="cs-CZ"/>
        </w:rPr>
        <w:t>. Počet výzkumných pracovníků ve vládním sektoru je méně než poloviční</w:t>
      </w:r>
      <w:r>
        <w:rPr>
          <w:rFonts w:ascii="Arial" w:eastAsia="Times New Roman" w:hAnsi="Arial" w:cs="Arial"/>
          <w:lang w:eastAsia="cs-CZ"/>
        </w:rPr>
        <w:t xml:space="preserve"> ve srovnání s vysokoškolským nebo podnikatelským sektorem</w:t>
      </w:r>
      <w:r w:rsidRPr="00272ED4">
        <w:rPr>
          <w:rFonts w:ascii="Arial" w:eastAsia="Times New Roman" w:hAnsi="Arial" w:cs="Arial"/>
          <w:lang w:eastAsia="cs-CZ"/>
        </w:rPr>
        <w:t xml:space="preserve">, podobně jako v případě všech zaměstnanců ve výzkumu a vývoji. </w:t>
      </w:r>
      <w:r>
        <w:rPr>
          <w:rFonts w:ascii="Arial" w:eastAsia="Times New Roman" w:hAnsi="Arial" w:cs="Arial"/>
          <w:lang w:eastAsia="cs-CZ"/>
        </w:rPr>
        <w:t>Navíc se jejich podíl každoročně snižuje z důvodu stagnace jejich počtu při současném nárůstu p</w:t>
      </w:r>
      <w:r w:rsidRPr="00272ED4">
        <w:rPr>
          <w:rFonts w:ascii="Arial" w:eastAsia="Times New Roman" w:hAnsi="Arial" w:cs="Arial"/>
          <w:lang w:eastAsia="cs-CZ"/>
        </w:rPr>
        <w:t>očt</w:t>
      </w:r>
      <w:r>
        <w:rPr>
          <w:rFonts w:ascii="Arial" w:eastAsia="Times New Roman" w:hAnsi="Arial" w:cs="Arial"/>
          <w:lang w:eastAsia="cs-CZ"/>
        </w:rPr>
        <w:t>u</w:t>
      </w:r>
      <w:r w:rsidRPr="00272ED4">
        <w:rPr>
          <w:rFonts w:ascii="Arial" w:eastAsia="Times New Roman" w:hAnsi="Arial" w:cs="Arial"/>
          <w:lang w:eastAsia="cs-CZ"/>
        </w:rPr>
        <w:t xml:space="preserve"> výzkumných pracovníků ve vysokoškolském i podnikatelském sektoru (obr</w:t>
      </w:r>
      <w:r>
        <w:rPr>
          <w:rFonts w:ascii="Arial" w:eastAsia="Times New Roman" w:hAnsi="Arial" w:cs="Arial"/>
          <w:lang w:eastAsia="cs-CZ"/>
        </w:rPr>
        <w:t>ázek</w:t>
      </w:r>
      <w:r w:rsidRPr="00272ED4">
        <w:rPr>
          <w:rFonts w:ascii="Arial" w:eastAsia="Times New Roman" w:hAnsi="Arial" w:cs="Arial"/>
          <w:lang w:eastAsia="cs-CZ"/>
        </w:rPr>
        <w:t xml:space="preserve"> 4.5). Ve vysokoškolském sektoru došlo ke zvýšení na 23 tis. v roce 201</w:t>
      </w:r>
      <w:r>
        <w:rPr>
          <w:rFonts w:ascii="Arial" w:eastAsia="Times New Roman" w:hAnsi="Arial" w:cs="Arial"/>
          <w:lang w:eastAsia="cs-CZ"/>
        </w:rPr>
        <w:t>4</w:t>
      </w:r>
      <w:r w:rsidRPr="00272ED4">
        <w:rPr>
          <w:rFonts w:ascii="Arial" w:eastAsia="Times New Roman" w:hAnsi="Arial" w:cs="Arial"/>
          <w:lang w:eastAsia="cs-CZ"/>
        </w:rPr>
        <w:t xml:space="preserve"> z 19 tis. v roce 200</w:t>
      </w:r>
      <w:r>
        <w:rPr>
          <w:rFonts w:ascii="Arial" w:eastAsia="Times New Roman" w:hAnsi="Arial" w:cs="Arial"/>
          <w:lang w:eastAsia="cs-CZ"/>
        </w:rPr>
        <w:t>9</w:t>
      </w:r>
      <w:r w:rsidRPr="00272ED4">
        <w:rPr>
          <w:rFonts w:ascii="Arial" w:eastAsia="Times New Roman" w:hAnsi="Arial" w:cs="Arial"/>
          <w:lang w:eastAsia="cs-CZ"/>
        </w:rPr>
        <w:t xml:space="preserve">. Podnikatelský sektor se díky výraznému růstu v posledních </w:t>
      </w:r>
      <w:r>
        <w:rPr>
          <w:rFonts w:ascii="Arial" w:eastAsia="Times New Roman" w:hAnsi="Arial" w:cs="Arial"/>
          <w:lang w:eastAsia="cs-CZ"/>
        </w:rPr>
        <w:t>čtyřech</w:t>
      </w:r>
      <w:r w:rsidRPr="00272ED4">
        <w:rPr>
          <w:rFonts w:ascii="Arial" w:eastAsia="Times New Roman" w:hAnsi="Arial" w:cs="Arial"/>
          <w:lang w:eastAsia="cs-CZ"/>
        </w:rPr>
        <w:t xml:space="preserve"> letech dostal téměř na úroveň vysokoškolského sektoru (nárůst z 15 tis. v roce 2010 na 2</w:t>
      </w:r>
      <w:r>
        <w:rPr>
          <w:rFonts w:ascii="Arial" w:eastAsia="Times New Roman" w:hAnsi="Arial" w:cs="Arial"/>
          <w:lang w:eastAsia="cs-CZ"/>
        </w:rPr>
        <w:t>2</w:t>
      </w:r>
      <w:r w:rsidRPr="00272ED4">
        <w:rPr>
          <w:rFonts w:ascii="Arial" w:eastAsia="Times New Roman" w:hAnsi="Arial" w:cs="Arial"/>
          <w:lang w:eastAsia="cs-CZ"/>
        </w:rPr>
        <w:t xml:space="preserve"> tis. </w:t>
      </w:r>
      <w:r>
        <w:rPr>
          <w:rFonts w:ascii="Arial" w:eastAsia="Times New Roman" w:hAnsi="Arial" w:cs="Arial"/>
          <w:lang w:eastAsia="cs-CZ"/>
        </w:rPr>
        <w:t>v</w:t>
      </w:r>
      <w:r w:rsidRPr="00272ED4">
        <w:rPr>
          <w:rFonts w:ascii="Arial" w:eastAsia="Times New Roman" w:hAnsi="Arial" w:cs="Arial"/>
          <w:lang w:eastAsia="cs-CZ"/>
        </w:rPr>
        <w:t> roce 201</w:t>
      </w:r>
      <w:r>
        <w:rPr>
          <w:rFonts w:ascii="Arial" w:eastAsia="Times New Roman" w:hAnsi="Arial" w:cs="Arial"/>
          <w:lang w:eastAsia="cs-CZ"/>
        </w:rPr>
        <w:t>4</w:t>
      </w:r>
      <w:r w:rsidRPr="00272ED4">
        <w:rPr>
          <w:rFonts w:ascii="Arial" w:eastAsia="Times New Roman" w:hAnsi="Arial" w:cs="Arial"/>
          <w:lang w:eastAsia="cs-CZ"/>
        </w:rPr>
        <w:t xml:space="preserve">). Počet výzkumníků ve vládním sektoru stagnuje na hodnotách kolem 8,5 tis. </w:t>
      </w:r>
    </w:p>
    <w:p w:rsidR="006338C7"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 xml:space="preserve">Ve vysokoškolském sektoru </w:t>
      </w:r>
      <w:r>
        <w:rPr>
          <w:rFonts w:ascii="Arial" w:eastAsia="Times New Roman" w:hAnsi="Arial" w:cs="Arial"/>
          <w:lang w:eastAsia="cs-CZ"/>
        </w:rPr>
        <w:t xml:space="preserve">mírně </w:t>
      </w:r>
      <w:r w:rsidRPr="00272ED4">
        <w:rPr>
          <w:rFonts w:ascii="Arial" w:eastAsia="Times New Roman" w:hAnsi="Arial" w:cs="Arial"/>
          <w:lang w:eastAsia="cs-CZ"/>
        </w:rPr>
        <w:t>roste počet výzkumných pracovníků ve všech typech subjektů (veřejných VŠ, fakultních nemocnicích i soukromých VŠ), avšak při přepočtu na FTE je trend počtu výzkumných pracovníků veřejných vysokých škol v poslední</w:t>
      </w:r>
      <w:r>
        <w:rPr>
          <w:rFonts w:ascii="Arial" w:eastAsia="Times New Roman" w:hAnsi="Arial" w:cs="Arial"/>
          <w:lang w:eastAsia="cs-CZ"/>
        </w:rPr>
        <w:t>ch dvou letech spíše</w:t>
      </w:r>
      <w:r w:rsidRPr="00272ED4">
        <w:rPr>
          <w:rFonts w:ascii="Arial" w:eastAsia="Times New Roman" w:hAnsi="Arial" w:cs="Arial"/>
          <w:lang w:eastAsia="cs-CZ"/>
        </w:rPr>
        <w:t xml:space="preserve"> klesající, což způsobuje mírný pokles </w:t>
      </w:r>
      <w:r>
        <w:rPr>
          <w:rFonts w:ascii="Arial" w:eastAsia="Times New Roman" w:hAnsi="Arial" w:cs="Arial"/>
          <w:lang w:eastAsia="cs-CZ"/>
        </w:rPr>
        <w:t xml:space="preserve">FTE </w:t>
      </w:r>
      <w:r w:rsidRPr="00272ED4">
        <w:rPr>
          <w:rFonts w:ascii="Arial" w:eastAsia="Times New Roman" w:hAnsi="Arial" w:cs="Arial"/>
          <w:lang w:eastAsia="cs-CZ"/>
        </w:rPr>
        <w:t xml:space="preserve">v celém vysokoškolském sektoru. </w:t>
      </w:r>
      <w:r>
        <w:rPr>
          <w:rFonts w:ascii="Arial" w:eastAsia="Times New Roman" w:hAnsi="Arial" w:cs="Arial"/>
          <w:lang w:eastAsia="cs-CZ"/>
        </w:rPr>
        <w:t xml:space="preserve">V případě soukromých vysokých škol a vyšších odborných škol došlo mezi léty 2013 a 2014 k poklesu evidenčního počtu výzkumníků, narostl však FTE. </w:t>
      </w:r>
      <w:r w:rsidRPr="00272ED4">
        <w:rPr>
          <w:rFonts w:ascii="Arial" w:eastAsia="Times New Roman" w:hAnsi="Arial" w:cs="Arial"/>
          <w:lang w:eastAsia="cs-CZ"/>
        </w:rPr>
        <w:t xml:space="preserve">V podnikatelském sektoru roste počet výzkumných pracovníků </w:t>
      </w:r>
      <w:r>
        <w:rPr>
          <w:rFonts w:ascii="Arial" w:eastAsia="Times New Roman" w:hAnsi="Arial" w:cs="Arial"/>
          <w:lang w:eastAsia="cs-CZ"/>
        </w:rPr>
        <w:t>v soukromých domácích podnicích, v podnicích pod zahraniční kontrolou i ve veřejných podnicích.</w:t>
      </w:r>
      <w:r w:rsidRPr="00DE3C1E">
        <w:rPr>
          <w:rFonts w:ascii="Arial" w:eastAsia="Times New Roman" w:hAnsi="Arial" w:cs="Arial"/>
          <w:lang w:eastAsia="cs-CZ"/>
        </w:rPr>
        <w:t xml:space="preserve"> </w:t>
      </w:r>
    </w:p>
    <w:p w:rsidR="006338C7" w:rsidRDefault="006338C7" w:rsidP="006338C7">
      <w:pPr>
        <w:spacing w:after="0" w:line="360" w:lineRule="auto"/>
        <w:ind w:firstLine="709"/>
        <w:jc w:val="both"/>
      </w:pPr>
      <w:r w:rsidRPr="00272ED4">
        <w:rPr>
          <w:rFonts w:ascii="Arial" w:eastAsia="Times New Roman" w:hAnsi="Arial" w:cs="Arial"/>
          <w:lang w:eastAsia="cs-CZ"/>
        </w:rPr>
        <w:t xml:space="preserve">Z pohledu </w:t>
      </w:r>
      <w:r>
        <w:rPr>
          <w:rFonts w:ascii="Arial" w:eastAsia="Times New Roman" w:hAnsi="Arial" w:cs="Arial"/>
          <w:lang w:eastAsia="cs-CZ"/>
        </w:rPr>
        <w:t>oborového</w:t>
      </w:r>
      <w:r w:rsidRPr="00272ED4">
        <w:rPr>
          <w:rFonts w:ascii="Arial" w:eastAsia="Times New Roman" w:hAnsi="Arial" w:cs="Arial"/>
          <w:lang w:eastAsia="cs-CZ"/>
        </w:rPr>
        <w:t xml:space="preserve"> zaměření</w:t>
      </w:r>
      <w:r w:rsidRPr="00613032">
        <w:rPr>
          <w:rFonts w:ascii="Arial" w:eastAsia="Times New Roman" w:hAnsi="Arial" w:cs="Arial"/>
          <w:vertAlign w:val="superscript"/>
          <w:lang w:eastAsia="cs-CZ"/>
        </w:rPr>
        <w:footnoteReference w:id="23"/>
      </w:r>
      <w:r w:rsidRPr="00272ED4">
        <w:rPr>
          <w:rFonts w:ascii="Arial" w:eastAsia="Times New Roman" w:hAnsi="Arial" w:cs="Arial"/>
          <w:lang w:eastAsia="cs-CZ"/>
        </w:rPr>
        <w:t xml:space="preserve"> jsou patrné velké diference mezi vysokoškolským a vládním sektorem (obr</w:t>
      </w:r>
      <w:r>
        <w:rPr>
          <w:rFonts w:ascii="Arial" w:eastAsia="Times New Roman" w:hAnsi="Arial" w:cs="Arial"/>
          <w:lang w:eastAsia="cs-CZ"/>
        </w:rPr>
        <w:t>ázek</w:t>
      </w:r>
      <w:r w:rsidRPr="00272ED4">
        <w:rPr>
          <w:rFonts w:ascii="Arial" w:eastAsia="Times New Roman" w:hAnsi="Arial" w:cs="Arial"/>
          <w:lang w:eastAsia="cs-CZ"/>
        </w:rPr>
        <w:t xml:space="preserve"> 4.4). Zatímco ve vysokoškolském sektoru působí nejvíce výzkumných pracovníků v technických vědách a dále v lékařských vědách (zřejmě díky fakultním nemocnicím), ve vládním sektoru jednoznačně převládají přírodní vědy, druhé nejvýznamnější jsou se značným odstupem humanitní obory (pravděpodobně z důvodu zařazení knihoven, archivů a muzeí). </w:t>
      </w:r>
      <w:r>
        <w:rPr>
          <w:rFonts w:ascii="Arial" w:eastAsia="Times New Roman" w:hAnsi="Arial" w:cs="Arial"/>
          <w:lang w:eastAsia="cs-CZ"/>
        </w:rPr>
        <w:t xml:space="preserve">U lékařských věd navíc došlo ve vládním sektoru mezi léty 2013 a 2014 k markantnímu poklesu. </w:t>
      </w:r>
      <w:r w:rsidRPr="00272ED4">
        <w:rPr>
          <w:rFonts w:ascii="Arial" w:eastAsia="Times New Roman" w:hAnsi="Arial" w:cs="Arial"/>
          <w:lang w:eastAsia="cs-CZ"/>
        </w:rPr>
        <w:t xml:space="preserve">Rozdílné je rovněž postavení společenských věd. Ve vysokoškolském sektoru je jejich význam dle počtu výzkumných pracovníků srovnatelný s lékařskými či přírodními vědami a počet zaměstnanců </w:t>
      </w:r>
      <w:r>
        <w:rPr>
          <w:rFonts w:ascii="Arial" w:eastAsia="Times New Roman" w:hAnsi="Arial" w:cs="Arial"/>
          <w:lang w:eastAsia="cs-CZ"/>
        </w:rPr>
        <w:t xml:space="preserve">spíše </w:t>
      </w:r>
      <w:r w:rsidRPr="00272ED4">
        <w:rPr>
          <w:rFonts w:ascii="Arial" w:eastAsia="Times New Roman" w:hAnsi="Arial" w:cs="Arial"/>
          <w:lang w:eastAsia="cs-CZ"/>
        </w:rPr>
        <w:t xml:space="preserve">roste, zatímco ve vládním sektoru </w:t>
      </w:r>
      <w:r>
        <w:rPr>
          <w:rFonts w:ascii="Arial" w:eastAsia="Times New Roman" w:hAnsi="Arial" w:cs="Arial"/>
          <w:lang w:eastAsia="cs-CZ"/>
        </w:rPr>
        <w:t xml:space="preserve">počet </w:t>
      </w:r>
      <w:r w:rsidRPr="00272ED4">
        <w:rPr>
          <w:rFonts w:ascii="Arial" w:eastAsia="Times New Roman" w:hAnsi="Arial" w:cs="Arial"/>
          <w:lang w:eastAsia="cs-CZ"/>
        </w:rPr>
        <w:t>zaměstnanc</w:t>
      </w:r>
      <w:r>
        <w:rPr>
          <w:rFonts w:ascii="Arial" w:eastAsia="Times New Roman" w:hAnsi="Arial" w:cs="Arial"/>
          <w:lang w:eastAsia="cs-CZ"/>
        </w:rPr>
        <w:t>ů</w:t>
      </w:r>
      <w:r w:rsidRPr="00272ED4">
        <w:rPr>
          <w:rFonts w:ascii="Arial" w:eastAsia="Times New Roman" w:hAnsi="Arial" w:cs="Arial"/>
          <w:lang w:eastAsia="cs-CZ"/>
        </w:rPr>
        <w:t xml:space="preserve"> ve</w:t>
      </w:r>
      <w:r>
        <w:rPr>
          <w:rFonts w:ascii="Arial" w:eastAsia="Times New Roman" w:hAnsi="Arial" w:cs="Arial"/>
          <w:lang w:eastAsia="cs-CZ"/>
        </w:rPr>
        <w:t> </w:t>
      </w:r>
      <w:r w:rsidRPr="00272ED4">
        <w:rPr>
          <w:rFonts w:ascii="Arial" w:eastAsia="Times New Roman" w:hAnsi="Arial" w:cs="Arial"/>
          <w:lang w:eastAsia="cs-CZ"/>
        </w:rPr>
        <w:t xml:space="preserve">společenských vědách </w:t>
      </w:r>
      <w:r>
        <w:rPr>
          <w:rFonts w:ascii="Arial" w:eastAsia="Times New Roman" w:hAnsi="Arial" w:cs="Arial"/>
          <w:lang w:eastAsia="cs-CZ"/>
        </w:rPr>
        <w:t xml:space="preserve">tvoří </w:t>
      </w:r>
      <w:r w:rsidRPr="00272ED4">
        <w:rPr>
          <w:rFonts w:ascii="Arial" w:eastAsia="Times New Roman" w:hAnsi="Arial" w:cs="Arial"/>
          <w:lang w:eastAsia="cs-CZ"/>
        </w:rPr>
        <w:t xml:space="preserve">pouhých 10 % </w:t>
      </w:r>
      <w:r>
        <w:rPr>
          <w:rFonts w:ascii="Arial" w:eastAsia="Times New Roman" w:hAnsi="Arial" w:cs="Arial"/>
          <w:lang w:eastAsia="cs-CZ"/>
        </w:rPr>
        <w:t xml:space="preserve">počtu </w:t>
      </w:r>
      <w:r w:rsidRPr="00272ED4">
        <w:rPr>
          <w:rFonts w:ascii="Arial" w:eastAsia="Times New Roman" w:hAnsi="Arial" w:cs="Arial"/>
          <w:lang w:eastAsia="cs-CZ"/>
        </w:rPr>
        <w:t>zaměstnanců v přírodních vědách</w:t>
      </w:r>
      <w:r>
        <w:rPr>
          <w:rFonts w:ascii="Arial" w:eastAsia="Times New Roman" w:hAnsi="Arial" w:cs="Arial"/>
          <w:lang w:eastAsia="cs-CZ"/>
        </w:rPr>
        <w:t>, navíc se spíše klesajícím trendem</w:t>
      </w:r>
      <w:r w:rsidRPr="00272ED4">
        <w:rPr>
          <w:rFonts w:ascii="Arial" w:eastAsia="Times New Roman" w:hAnsi="Arial" w:cs="Arial"/>
          <w:lang w:eastAsia="cs-CZ"/>
        </w:rPr>
        <w:t xml:space="preserve">. Rozdílné postavení společenských věd je ještě markantnější ve srovnání s humanitními obory. Ve vládním sektoru mají sociální obory méně než poloviční počet zaměstnanců vůči humanitním, v sektoru vysokoškolském naopak sociální obory </w:t>
      </w:r>
      <w:r>
        <w:rPr>
          <w:rFonts w:ascii="Arial" w:eastAsia="Times New Roman" w:hAnsi="Arial" w:cs="Arial"/>
          <w:lang w:eastAsia="cs-CZ"/>
        </w:rPr>
        <w:t>více než dvojnásobně</w:t>
      </w:r>
      <w:r w:rsidRPr="00272ED4">
        <w:rPr>
          <w:rFonts w:ascii="Arial" w:eastAsia="Times New Roman" w:hAnsi="Arial" w:cs="Arial"/>
          <w:lang w:eastAsia="cs-CZ"/>
        </w:rPr>
        <w:t xml:space="preserve"> převyšují humanitní. </w:t>
      </w:r>
      <w:r>
        <w:rPr>
          <w:rFonts w:ascii="Arial" w:eastAsia="Times New Roman" w:hAnsi="Arial" w:cs="Arial"/>
          <w:lang w:eastAsia="cs-CZ"/>
        </w:rPr>
        <w:t>Stagnace až p</w:t>
      </w:r>
      <w:r w:rsidRPr="00272ED4">
        <w:rPr>
          <w:rFonts w:ascii="Arial" w:eastAsia="Times New Roman" w:hAnsi="Arial" w:cs="Arial"/>
          <w:lang w:eastAsia="cs-CZ"/>
        </w:rPr>
        <w:t xml:space="preserve">okles počtu </w:t>
      </w:r>
      <w:r>
        <w:rPr>
          <w:rFonts w:ascii="Arial" w:eastAsia="Times New Roman" w:hAnsi="Arial" w:cs="Arial"/>
          <w:lang w:eastAsia="cs-CZ"/>
        </w:rPr>
        <w:t>výzkumných pracovníků</w:t>
      </w:r>
      <w:r w:rsidRPr="00272ED4">
        <w:rPr>
          <w:rFonts w:ascii="Arial" w:eastAsia="Times New Roman" w:hAnsi="Arial" w:cs="Arial"/>
          <w:lang w:eastAsia="cs-CZ"/>
        </w:rPr>
        <w:t xml:space="preserve"> v technických vědách je společný</w:t>
      </w:r>
      <w:r>
        <w:rPr>
          <w:rFonts w:ascii="Arial" w:eastAsia="Times New Roman" w:hAnsi="Arial" w:cs="Arial"/>
          <w:lang w:eastAsia="cs-CZ"/>
        </w:rPr>
        <w:t>m rysem</w:t>
      </w:r>
      <w:r w:rsidRPr="00272ED4">
        <w:rPr>
          <w:rFonts w:ascii="Arial" w:eastAsia="Times New Roman" w:hAnsi="Arial" w:cs="Arial"/>
          <w:lang w:eastAsia="cs-CZ"/>
        </w:rPr>
        <w:t xml:space="preserve"> </w:t>
      </w:r>
      <w:r>
        <w:rPr>
          <w:rFonts w:ascii="Arial" w:eastAsia="Times New Roman" w:hAnsi="Arial" w:cs="Arial"/>
          <w:lang w:eastAsia="cs-CZ"/>
        </w:rPr>
        <w:t>obou</w:t>
      </w:r>
      <w:r w:rsidRPr="00272ED4">
        <w:rPr>
          <w:rFonts w:ascii="Arial" w:eastAsia="Times New Roman" w:hAnsi="Arial" w:cs="Arial"/>
          <w:lang w:eastAsia="cs-CZ"/>
        </w:rPr>
        <w:t xml:space="preserve"> veřejn</w:t>
      </w:r>
      <w:r>
        <w:rPr>
          <w:rFonts w:ascii="Arial" w:eastAsia="Times New Roman" w:hAnsi="Arial" w:cs="Arial"/>
          <w:lang w:eastAsia="cs-CZ"/>
        </w:rPr>
        <w:t>ých</w:t>
      </w:r>
      <w:r w:rsidRPr="00272ED4">
        <w:rPr>
          <w:rFonts w:ascii="Arial" w:eastAsia="Times New Roman" w:hAnsi="Arial" w:cs="Arial"/>
          <w:lang w:eastAsia="cs-CZ"/>
        </w:rPr>
        <w:t xml:space="preserve"> sektor</w:t>
      </w:r>
      <w:r>
        <w:rPr>
          <w:rFonts w:ascii="Arial" w:eastAsia="Times New Roman" w:hAnsi="Arial" w:cs="Arial"/>
          <w:lang w:eastAsia="cs-CZ"/>
        </w:rPr>
        <w:t>ů</w:t>
      </w:r>
      <w:r w:rsidRPr="00272ED4">
        <w:rPr>
          <w:rFonts w:ascii="Arial" w:eastAsia="Times New Roman" w:hAnsi="Arial" w:cs="Arial"/>
          <w:lang w:eastAsia="cs-CZ"/>
        </w:rPr>
        <w:t>.</w:t>
      </w:r>
    </w:p>
    <w:p w:rsidR="006338C7" w:rsidRDefault="006338C7" w:rsidP="006338C7">
      <w:pPr>
        <w:jc w:val="both"/>
        <w:sectPr w:rsidR="006338C7" w:rsidSect="00E540D1">
          <w:footerReference w:type="default" r:id="rId33"/>
          <w:pgSz w:w="11906" w:h="16838"/>
          <w:pgMar w:top="1134" w:right="1134" w:bottom="1134" w:left="1134" w:header="708" w:footer="708" w:gutter="0"/>
          <w:cols w:space="708"/>
          <w:docGrid w:linePitch="360"/>
        </w:sectPr>
      </w:pPr>
    </w:p>
    <w:p w:rsidR="006338C7" w:rsidRDefault="006338C7" w:rsidP="006338C7">
      <w:pPr>
        <w:pStyle w:val="Obrzek-nadpis"/>
      </w:pPr>
      <w:r>
        <w:lastRenderedPageBreak/>
        <w:t xml:space="preserve">Obr. 4.4: </w:t>
      </w:r>
      <w:r w:rsidRPr="00B36389">
        <w:t xml:space="preserve">Počty </w:t>
      </w:r>
      <w:r>
        <w:t>výzkumných pracovníků ve výzkumu a vývoji v ČR v roce 201</w:t>
      </w:r>
      <w:r w:rsidR="00FC0B1B">
        <w:t>4</w:t>
      </w:r>
      <w:r>
        <w:t xml:space="preserve"> a trend jejich vývoje</w:t>
      </w:r>
    </w:p>
    <w:p w:rsidR="006338C7" w:rsidRDefault="006338C7" w:rsidP="006338C7">
      <w:pPr>
        <w:jc w:val="center"/>
        <w:rPr>
          <w:i/>
          <w:sz w:val="20"/>
          <w:szCs w:val="20"/>
        </w:rPr>
      </w:pPr>
      <w:r w:rsidRPr="003F31C0">
        <w:rPr>
          <w:noProof/>
          <w:lang w:eastAsia="cs-CZ"/>
        </w:rPr>
        <w:drawing>
          <wp:inline distT="0" distB="0" distL="0" distR="0" wp14:anchorId="6BE001A3" wp14:editId="0BABB37E">
            <wp:extent cx="8385175" cy="455485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385175" cy="4554855"/>
                    </a:xfrm>
                    <a:prstGeom prst="rect">
                      <a:avLst/>
                    </a:prstGeom>
                    <a:noFill/>
                    <a:ln>
                      <a:noFill/>
                    </a:ln>
                  </pic:spPr>
                </pic:pic>
              </a:graphicData>
            </a:graphic>
          </wp:inline>
        </w:drawing>
      </w:r>
    </w:p>
    <w:p w:rsidR="006338C7" w:rsidRDefault="006338C7" w:rsidP="006338C7">
      <w:pPr>
        <w:pStyle w:val="Zdroj"/>
      </w:pPr>
      <w:r w:rsidRPr="00B36389">
        <w:t xml:space="preserve">Zdroj dat: </w:t>
      </w:r>
      <w:r>
        <w:t>ČSÚ</w:t>
      </w:r>
    </w:p>
    <w:p w:rsidR="006338C7" w:rsidRPr="00A12441" w:rsidRDefault="006338C7" w:rsidP="006338C7">
      <w:pPr>
        <w:pStyle w:val="komentzaobrzkem"/>
      </w:pPr>
      <w:r>
        <w:t>V </w:t>
      </w:r>
      <w:r w:rsidRPr="00A12441">
        <w:t>závor</w:t>
      </w:r>
      <w:r>
        <w:t>kách jsou uvedeny evidenční počty zaměstnanců k 31. 12. 2014</w:t>
      </w:r>
    </w:p>
    <w:p w:rsidR="006338C7" w:rsidRPr="00A12441" w:rsidRDefault="006338C7" w:rsidP="006338C7">
      <w:pPr>
        <w:pStyle w:val="komentzaobrzkem"/>
      </w:pPr>
      <w:r w:rsidRPr="00A12441">
        <w:t xml:space="preserve">Šipky </w:t>
      </w:r>
      <w:r>
        <w:t>vyja</w:t>
      </w:r>
      <w:r w:rsidRPr="00A12441">
        <w:t xml:space="preserve">dřují </w:t>
      </w:r>
      <w:r>
        <w:t>meziroční změny HC,</w:t>
      </w:r>
      <w:r w:rsidRPr="00A12441">
        <w:t xml:space="preserve"> </w:t>
      </w:r>
      <w:r>
        <w:t>p</w:t>
      </w:r>
      <w:r w:rsidRPr="00A12441">
        <w:t>rvní šipka mezi lety 201</w:t>
      </w:r>
      <w:r>
        <w:t>1</w:t>
      </w:r>
      <w:r w:rsidRPr="00A12441">
        <w:t xml:space="preserve"> – 201</w:t>
      </w:r>
      <w:r>
        <w:t>2</w:t>
      </w:r>
      <w:r w:rsidRPr="00A12441">
        <w:t>, druhá 201</w:t>
      </w:r>
      <w:r>
        <w:t>2</w:t>
      </w:r>
      <w:r w:rsidRPr="00A12441">
        <w:t xml:space="preserve"> – 201</w:t>
      </w:r>
      <w:r>
        <w:t>3, třetí 2013</w:t>
      </w:r>
      <w:r w:rsidRPr="00A12441">
        <w:t xml:space="preserve"> – 201</w:t>
      </w:r>
      <w:r>
        <w:t>4; ↑nárůst o 5 % a více, − změny do 5 %, ↓ pokles o 5 % a více). V případě odlišnosti je uveden rovněž trend FTE.</w:t>
      </w:r>
    </w:p>
    <w:p w:rsidR="006338C7" w:rsidRDefault="006338C7" w:rsidP="006338C7">
      <w:pPr>
        <w:pStyle w:val="komentzaobrzkem"/>
      </w:pPr>
      <w:r w:rsidRPr="00A12441">
        <w:t>Pozn</w:t>
      </w:r>
      <w:r>
        <w:t>.</w:t>
      </w:r>
      <w:r w:rsidRPr="00A12441">
        <w:t xml:space="preserve">: členění institucí ve vládním sektoru </w:t>
      </w:r>
      <w:r>
        <w:t>odpovídá datům ČSÚ. Resortní VVI se týkají MD</w:t>
      </w:r>
      <w:r w:rsidRPr="00A12441">
        <w:t xml:space="preserve">, MŠMT, MPSV, </w:t>
      </w:r>
      <w:r>
        <w:t>MZV</w:t>
      </w:r>
      <w:r w:rsidRPr="00A12441">
        <w:t xml:space="preserve">, </w:t>
      </w:r>
      <w:proofErr w:type="spellStart"/>
      <w:r>
        <w:t>MZe</w:t>
      </w:r>
      <w:proofErr w:type="spellEnd"/>
      <w:r w:rsidRPr="00A12441">
        <w:t xml:space="preserve">, </w:t>
      </w:r>
      <w:r>
        <w:t xml:space="preserve">MŽP, mezi Ostatní pracoviště patří </w:t>
      </w:r>
      <w:r w:rsidRPr="00A12441">
        <w:t>Státem zřízená VVI (Státní úřad pro jadernou bezpečnost a Český úřad zeměměřický a katastrální)</w:t>
      </w:r>
      <w:r>
        <w:t xml:space="preserve"> a </w:t>
      </w:r>
      <w:r w:rsidRPr="00A12441">
        <w:t>VVI zřízená samosprávou (Statutární město Liberec, Obec Mšené-lázně, Jihomoravský kraj, Ústecký kraj)</w:t>
      </w:r>
    </w:p>
    <w:p w:rsidR="006338C7" w:rsidRDefault="006338C7" w:rsidP="006338C7">
      <w:pPr>
        <w:pStyle w:val="komentzaobrzkem"/>
        <w:sectPr w:rsidR="006338C7" w:rsidSect="00E540D1">
          <w:pgSz w:w="16838" w:h="11906" w:orient="landscape"/>
          <w:pgMar w:top="1134" w:right="1134" w:bottom="1134" w:left="1134" w:header="708" w:footer="708" w:gutter="0"/>
          <w:cols w:space="708"/>
          <w:docGrid w:linePitch="360"/>
        </w:sectPr>
      </w:pPr>
    </w:p>
    <w:p w:rsidR="006338C7" w:rsidRPr="00272ED4"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lastRenderedPageBreak/>
        <w:t>Z</w:t>
      </w:r>
      <w:r>
        <w:rPr>
          <w:rFonts w:ascii="Arial" w:eastAsia="Times New Roman" w:hAnsi="Arial" w:cs="Arial"/>
          <w:lang w:eastAsia="cs-CZ"/>
        </w:rPr>
        <w:t> pohledu vazeb</w:t>
      </w:r>
      <w:r w:rsidRPr="00272ED4">
        <w:rPr>
          <w:rFonts w:ascii="Arial" w:eastAsia="Times New Roman" w:hAnsi="Arial" w:cs="Arial"/>
          <w:lang w:eastAsia="cs-CZ"/>
        </w:rPr>
        <w:t xml:space="preserve"> mezi veřejnými sektory a</w:t>
      </w:r>
      <w:r>
        <w:rPr>
          <w:rFonts w:ascii="Arial" w:eastAsia="Times New Roman" w:hAnsi="Arial" w:cs="Arial"/>
          <w:lang w:eastAsia="cs-CZ"/>
        </w:rPr>
        <w:t> </w:t>
      </w:r>
      <w:r w:rsidRPr="00272ED4">
        <w:rPr>
          <w:rFonts w:ascii="Arial" w:eastAsia="Times New Roman" w:hAnsi="Arial" w:cs="Arial"/>
          <w:lang w:eastAsia="cs-CZ"/>
        </w:rPr>
        <w:t xml:space="preserve">podnikatelským sektorem </w:t>
      </w:r>
      <w:r>
        <w:rPr>
          <w:rFonts w:ascii="Arial" w:eastAsia="Times New Roman" w:hAnsi="Arial" w:cs="Arial"/>
          <w:lang w:eastAsia="cs-CZ"/>
        </w:rPr>
        <w:t>je patrná</w:t>
      </w:r>
      <w:r w:rsidRPr="00272ED4">
        <w:rPr>
          <w:rFonts w:ascii="Arial" w:eastAsia="Times New Roman" w:hAnsi="Arial" w:cs="Arial"/>
          <w:lang w:eastAsia="cs-CZ"/>
        </w:rPr>
        <w:t xml:space="preserve"> disproporc</w:t>
      </w:r>
      <w:r>
        <w:rPr>
          <w:rFonts w:ascii="Arial" w:eastAsia="Times New Roman" w:hAnsi="Arial" w:cs="Arial"/>
          <w:lang w:eastAsia="cs-CZ"/>
        </w:rPr>
        <w:t>e</w:t>
      </w:r>
      <w:r w:rsidRPr="00272ED4">
        <w:rPr>
          <w:rFonts w:ascii="Arial" w:eastAsia="Times New Roman" w:hAnsi="Arial" w:cs="Arial"/>
          <w:lang w:eastAsia="cs-CZ"/>
        </w:rPr>
        <w:t xml:space="preserve"> </w:t>
      </w:r>
      <w:r>
        <w:rPr>
          <w:rFonts w:ascii="Arial" w:eastAsia="Times New Roman" w:hAnsi="Arial" w:cs="Arial"/>
          <w:lang w:eastAsia="cs-CZ"/>
        </w:rPr>
        <w:t>spočívající ve stagnaci až poklesu</w:t>
      </w:r>
      <w:r w:rsidRPr="00272ED4">
        <w:rPr>
          <w:rFonts w:ascii="Arial" w:eastAsia="Times New Roman" w:hAnsi="Arial" w:cs="Arial"/>
          <w:lang w:eastAsia="cs-CZ"/>
        </w:rPr>
        <w:t xml:space="preserve"> počtů </w:t>
      </w:r>
      <w:r>
        <w:rPr>
          <w:rFonts w:ascii="Arial" w:eastAsia="Times New Roman" w:hAnsi="Arial" w:cs="Arial"/>
          <w:lang w:eastAsia="cs-CZ"/>
        </w:rPr>
        <w:t>výzkumných pracovníků</w:t>
      </w:r>
      <w:r w:rsidRPr="00272ED4">
        <w:rPr>
          <w:rFonts w:ascii="Arial" w:eastAsia="Times New Roman" w:hAnsi="Arial" w:cs="Arial"/>
          <w:lang w:eastAsia="cs-CZ"/>
        </w:rPr>
        <w:t xml:space="preserve"> v technických vědách ve vládním a především ve vysokoškolském sektoru vůči nárůstu </w:t>
      </w:r>
      <w:r>
        <w:rPr>
          <w:rFonts w:ascii="Arial" w:eastAsia="Times New Roman" w:hAnsi="Arial" w:cs="Arial"/>
          <w:lang w:eastAsia="cs-CZ"/>
        </w:rPr>
        <w:t>v sektoru podnikatelském</w:t>
      </w:r>
      <w:r>
        <w:rPr>
          <w:rStyle w:val="Znakapoznpodarou"/>
          <w:rFonts w:ascii="Arial" w:eastAsia="Times New Roman" w:hAnsi="Arial" w:cs="Arial"/>
          <w:lang w:eastAsia="cs-CZ"/>
        </w:rPr>
        <w:footnoteReference w:id="24"/>
      </w:r>
      <w:r w:rsidRPr="00272ED4">
        <w:rPr>
          <w:rFonts w:ascii="Arial" w:eastAsia="Times New Roman" w:hAnsi="Arial" w:cs="Arial"/>
          <w:lang w:eastAsia="cs-CZ"/>
        </w:rPr>
        <w:t xml:space="preserve">. Může to svědčit o přechodu technicky zaměřených </w:t>
      </w:r>
      <w:r>
        <w:rPr>
          <w:rFonts w:ascii="Arial" w:eastAsia="Times New Roman" w:hAnsi="Arial" w:cs="Arial"/>
          <w:lang w:eastAsia="cs-CZ"/>
        </w:rPr>
        <w:t>výzkumníků</w:t>
      </w:r>
      <w:r w:rsidRPr="00272ED4">
        <w:rPr>
          <w:rFonts w:ascii="Arial" w:eastAsia="Times New Roman" w:hAnsi="Arial" w:cs="Arial"/>
          <w:lang w:eastAsia="cs-CZ"/>
        </w:rPr>
        <w:t xml:space="preserve"> z veřejné sféry do podnikatelské.</w:t>
      </w:r>
      <w:r w:rsidRPr="00B72D81">
        <w:rPr>
          <w:rFonts w:ascii="Arial" w:eastAsia="Times New Roman" w:hAnsi="Arial" w:cs="Arial"/>
          <w:lang w:eastAsia="cs-CZ"/>
        </w:rPr>
        <w:t xml:space="preserve"> </w:t>
      </w:r>
      <w:r>
        <w:rPr>
          <w:rFonts w:ascii="Arial" w:eastAsia="Times New Roman" w:hAnsi="Arial" w:cs="Arial"/>
          <w:lang w:eastAsia="cs-CZ"/>
        </w:rPr>
        <w:t>Přestože nejsou k dispozici exaktní</w:t>
      </w:r>
      <w:r w:rsidRPr="00272ED4">
        <w:rPr>
          <w:rFonts w:ascii="Arial" w:eastAsia="Times New Roman" w:hAnsi="Arial" w:cs="Arial"/>
          <w:lang w:eastAsia="cs-CZ"/>
        </w:rPr>
        <w:t xml:space="preserve"> údaje o fluktuaci výzkumných a vývojových pracovníků</w:t>
      </w:r>
      <w:r>
        <w:rPr>
          <w:rFonts w:ascii="Arial" w:eastAsia="Times New Roman" w:hAnsi="Arial" w:cs="Arial"/>
          <w:lang w:eastAsia="cs-CZ"/>
        </w:rPr>
        <w:t>, uvedené tvrzení koresponduje s údaji o nově zaměstnaných pracovnících (obr. 4.5). Je patrný</w:t>
      </w:r>
      <w:r w:rsidRPr="002C0899">
        <w:rPr>
          <w:rFonts w:ascii="Arial" w:eastAsia="Times New Roman" w:hAnsi="Arial" w:cs="Arial"/>
          <w:lang w:eastAsia="cs-CZ"/>
        </w:rPr>
        <w:t xml:space="preserve"> výrazný rozdíl v</w:t>
      </w:r>
      <w:r>
        <w:rPr>
          <w:rFonts w:ascii="Arial" w:eastAsia="Times New Roman" w:hAnsi="Arial" w:cs="Arial"/>
          <w:lang w:eastAsia="cs-CZ"/>
        </w:rPr>
        <w:t> počtech nově zaměstnaných výzkumných pracovníků mezi sektory (v podnikatelském sektoru je nejvyšší). To v kontextu výrazného růstu celkového počtu výzkumných pracovníků</w:t>
      </w:r>
      <w:r w:rsidRPr="002C0899">
        <w:rPr>
          <w:rFonts w:ascii="Arial" w:eastAsia="Times New Roman" w:hAnsi="Arial" w:cs="Arial"/>
          <w:lang w:eastAsia="cs-CZ"/>
        </w:rPr>
        <w:t xml:space="preserve"> </w:t>
      </w:r>
      <w:r>
        <w:rPr>
          <w:rFonts w:ascii="Arial" w:eastAsia="Times New Roman" w:hAnsi="Arial" w:cs="Arial"/>
          <w:lang w:eastAsia="cs-CZ"/>
        </w:rPr>
        <w:t xml:space="preserve">v podnikatelském sektoru </w:t>
      </w:r>
      <w:r w:rsidRPr="002C0899">
        <w:rPr>
          <w:rFonts w:ascii="Arial" w:eastAsia="Times New Roman" w:hAnsi="Arial" w:cs="Arial"/>
          <w:lang w:eastAsia="cs-CZ"/>
        </w:rPr>
        <w:t>ukazuj</w:t>
      </w:r>
      <w:r>
        <w:rPr>
          <w:rFonts w:ascii="Arial" w:eastAsia="Times New Roman" w:hAnsi="Arial" w:cs="Arial"/>
          <w:lang w:eastAsia="cs-CZ"/>
        </w:rPr>
        <w:t>e</w:t>
      </w:r>
      <w:r w:rsidRPr="002C0899">
        <w:rPr>
          <w:rFonts w:ascii="Arial" w:eastAsia="Times New Roman" w:hAnsi="Arial" w:cs="Arial"/>
          <w:lang w:eastAsia="cs-CZ"/>
        </w:rPr>
        <w:t xml:space="preserve"> na větší míru vytváření nových pracovních míst</w:t>
      </w:r>
      <w:r>
        <w:rPr>
          <w:rFonts w:ascii="Arial" w:eastAsia="Times New Roman" w:hAnsi="Arial" w:cs="Arial"/>
          <w:lang w:eastAsia="cs-CZ"/>
        </w:rPr>
        <w:t xml:space="preserve"> v tomto sektoru. Ve vysokoškolském sektoru jde pravděpodobně</w:t>
      </w:r>
      <w:r w:rsidRPr="002C0899">
        <w:rPr>
          <w:rFonts w:ascii="Arial" w:eastAsia="Times New Roman" w:hAnsi="Arial" w:cs="Arial"/>
          <w:lang w:eastAsia="cs-CZ"/>
        </w:rPr>
        <w:t xml:space="preserve"> </w:t>
      </w:r>
      <w:r>
        <w:rPr>
          <w:rFonts w:ascii="Arial" w:eastAsia="Times New Roman" w:hAnsi="Arial" w:cs="Arial"/>
          <w:lang w:eastAsia="cs-CZ"/>
        </w:rPr>
        <w:t>o</w:t>
      </w:r>
      <w:r w:rsidRPr="002C0899">
        <w:rPr>
          <w:rFonts w:ascii="Arial" w:eastAsia="Times New Roman" w:hAnsi="Arial" w:cs="Arial"/>
          <w:lang w:eastAsia="cs-CZ"/>
        </w:rPr>
        <w:t xml:space="preserve"> nahrazování </w:t>
      </w:r>
      <w:r>
        <w:rPr>
          <w:rFonts w:ascii="Arial" w:eastAsia="Times New Roman" w:hAnsi="Arial" w:cs="Arial"/>
          <w:lang w:eastAsia="cs-CZ"/>
        </w:rPr>
        <w:t xml:space="preserve">stávajících </w:t>
      </w:r>
      <w:r w:rsidRPr="002C0899">
        <w:rPr>
          <w:rFonts w:ascii="Arial" w:eastAsia="Times New Roman" w:hAnsi="Arial" w:cs="Arial"/>
          <w:lang w:eastAsia="cs-CZ"/>
        </w:rPr>
        <w:t>pracovníků novými</w:t>
      </w:r>
      <w:r>
        <w:rPr>
          <w:rFonts w:ascii="Arial" w:eastAsia="Times New Roman" w:hAnsi="Arial" w:cs="Arial"/>
          <w:lang w:eastAsia="cs-CZ"/>
        </w:rPr>
        <w:t>, a to i ze sektoru vládního, kde je k dispozici nejméně nových míst</w:t>
      </w:r>
      <w:r w:rsidRPr="00272ED4">
        <w:rPr>
          <w:rFonts w:ascii="Arial" w:eastAsia="Times New Roman" w:hAnsi="Arial" w:cs="Arial"/>
          <w:lang w:eastAsia="cs-CZ"/>
        </w:rPr>
        <w:t>.</w:t>
      </w:r>
      <w:r>
        <w:rPr>
          <w:rFonts w:ascii="Arial" w:eastAsia="Times New Roman" w:hAnsi="Arial" w:cs="Arial"/>
          <w:lang w:eastAsia="cs-CZ"/>
        </w:rPr>
        <w:t xml:space="preserve"> </w:t>
      </w:r>
    </w:p>
    <w:p w:rsidR="006338C7" w:rsidRPr="002D116A" w:rsidRDefault="006338C7" w:rsidP="006338C7">
      <w:pPr>
        <w:pStyle w:val="Obrzek-nadpis"/>
      </w:pPr>
      <w:r>
        <w:t xml:space="preserve">Obr. 4.5: </w:t>
      </w:r>
      <w:r w:rsidRPr="002D116A">
        <w:t xml:space="preserve">Změny v počtech </w:t>
      </w:r>
      <w:r>
        <w:t>výzkumných pracovníků</w:t>
      </w:r>
      <w:r w:rsidRPr="002D116A">
        <w:t xml:space="preserve"> a tvorba nových míst v roce 2014</w:t>
      </w:r>
    </w:p>
    <w:p w:rsidR="006338C7" w:rsidRPr="002D116A" w:rsidRDefault="006338C7" w:rsidP="006338C7">
      <w:pPr>
        <w:spacing w:after="0" w:line="360" w:lineRule="auto"/>
        <w:ind w:firstLine="709"/>
        <w:jc w:val="center"/>
        <w:rPr>
          <w:rFonts w:ascii="Arial" w:eastAsia="Times New Roman" w:hAnsi="Arial" w:cs="Arial"/>
          <w:lang w:eastAsia="cs-CZ"/>
        </w:rPr>
      </w:pPr>
      <w:r w:rsidRPr="002D116A">
        <w:rPr>
          <w:noProof/>
          <w:lang w:eastAsia="cs-CZ"/>
        </w:rPr>
        <w:drawing>
          <wp:inline distT="0" distB="0" distL="0" distR="0" wp14:anchorId="5511A431" wp14:editId="20D4C737">
            <wp:extent cx="4019910" cy="240293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19910" cy="2402935"/>
                    </a:xfrm>
                    <a:prstGeom prst="rect">
                      <a:avLst/>
                    </a:prstGeom>
                    <a:noFill/>
                    <a:ln>
                      <a:noFill/>
                    </a:ln>
                  </pic:spPr>
                </pic:pic>
              </a:graphicData>
            </a:graphic>
          </wp:inline>
        </w:drawing>
      </w:r>
    </w:p>
    <w:p w:rsidR="006338C7" w:rsidRDefault="006338C7" w:rsidP="006338C7">
      <w:pPr>
        <w:pStyle w:val="komentzaobrzkem"/>
      </w:pPr>
      <w:r>
        <w:t>Zdroj dat: ČSÚ</w:t>
      </w:r>
    </w:p>
    <w:p w:rsidR="006338C7" w:rsidRDefault="006338C7" w:rsidP="006338C7">
      <w:pPr>
        <w:pStyle w:val="komentzaobrzkem"/>
        <w:rPr>
          <w:rFonts w:cs="Arial"/>
          <w:highlight w:val="yellow"/>
        </w:rPr>
      </w:pPr>
      <w:r w:rsidRPr="002D116A">
        <w:t>Uváděny jsou evidenční počty výzkumných pracovníků (HC)</w:t>
      </w:r>
    </w:p>
    <w:p w:rsidR="006338C7" w:rsidRPr="00B72D81" w:rsidRDefault="006338C7" w:rsidP="006338C7">
      <w:pPr>
        <w:spacing w:before="240" w:after="0" w:line="360" w:lineRule="auto"/>
        <w:ind w:firstLine="709"/>
        <w:jc w:val="both"/>
        <w:rPr>
          <w:rFonts w:ascii="Arial" w:eastAsia="Times New Roman" w:hAnsi="Arial" w:cs="Arial"/>
          <w:highlight w:val="yellow"/>
          <w:lang w:eastAsia="cs-CZ"/>
        </w:rPr>
      </w:pPr>
      <w:r w:rsidRPr="008E62F1">
        <w:rPr>
          <w:rFonts w:ascii="Arial" w:eastAsia="Times New Roman" w:hAnsi="Arial" w:cs="Arial"/>
          <w:lang w:eastAsia="cs-CZ"/>
        </w:rPr>
        <w:t>Pokud jde o nejvyšší dosažené vzdělání výzkumníků, jsou z obrázku 4.</w:t>
      </w:r>
      <w:r>
        <w:rPr>
          <w:rFonts w:ascii="Arial" w:eastAsia="Times New Roman" w:hAnsi="Arial" w:cs="Arial"/>
          <w:lang w:eastAsia="cs-CZ"/>
        </w:rPr>
        <w:t>6</w:t>
      </w:r>
      <w:r w:rsidRPr="008E62F1">
        <w:rPr>
          <w:rFonts w:ascii="Arial" w:eastAsia="Times New Roman" w:hAnsi="Arial" w:cs="Arial"/>
          <w:lang w:eastAsia="cs-CZ"/>
        </w:rPr>
        <w:t xml:space="preserve"> zřejmé zásadní rozdíly mezi sektory. Ve vysokoškolském sektoru jednoznačně dominují výzkumníci s doktorským vzděláním (65 % v roce 201</w:t>
      </w:r>
      <w:r>
        <w:rPr>
          <w:rFonts w:ascii="Arial" w:eastAsia="Times New Roman" w:hAnsi="Arial" w:cs="Arial"/>
          <w:lang w:eastAsia="cs-CZ"/>
        </w:rPr>
        <w:t>4</w:t>
      </w:r>
      <w:r w:rsidRPr="008E62F1">
        <w:rPr>
          <w:rFonts w:ascii="Arial" w:eastAsia="Times New Roman" w:hAnsi="Arial" w:cs="Arial"/>
          <w:lang w:eastAsia="cs-CZ"/>
        </w:rPr>
        <w:t>), jejich podíl navíc narůstá v posledních letech (v roce 2008 tvořil 61 %). Naproti tomu v podnikatelském sektoru tvoří výzkumníci s doktorským vzděláním přibližně 10 % a jejich podíl výrazněji neroste, navíc v tomto sektoru pracuje více výzkumníků se středoškolským vzděláním (17 % v roce 201</w:t>
      </w:r>
      <w:r>
        <w:rPr>
          <w:rFonts w:ascii="Arial" w:eastAsia="Times New Roman" w:hAnsi="Arial" w:cs="Arial"/>
          <w:lang w:eastAsia="cs-CZ"/>
        </w:rPr>
        <w:t>4</w:t>
      </w:r>
      <w:r w:rsidRPr="008E62F1">
        <w:rPr>
          <w:rFonts w:ascii="Arial" w:eastAsia="Times New Roman" w:hAnsi="Arial" w:cs="Arial"/>
          <w:lang w:eastAsia="cs-CZ"/>
        </w:rPr>
        <w:t>). Ve vládním sektoru tvoří výzkumníci s doktorským vzděláním přibližně 53 %.</w:t>
      </w:r>
    </w:p>
    <w:p w:rsidR="006338C7" w:rsidRPr="00272ED4" w:rsidRDefault="006338C7" w:rsidP="006338C7">
      <w:pPr>
        <w:spacing w:after="0" w:line="360" w:lineRule="auto"/>
        <w:ind w:firstLine="709"/>
        <w:jc w:val="both"/>
        <w:rPr>
          <w:rFonts w:ascii="Arial" w:eastAsia="Times New Roman" w:hAnsi="Arial" w:cs="Arial"/>
          <w:lang w:eastAsia="cs-CZ"/>
        </w:rPr>
      </w:pPr>
      <w:r w:rsidRPr="00D4699E">
        <w:rPr>
          <w:rFonts w:ascii="Arial" w:eastAsia="Times New Roman" w:hAnsi="Arial" w:cs="Arial"/>
          <w:lang w:eastAsia="cs-CZ"/>
        </w:rPr>
        <w:t>Z uvedených trendů lze usuzovat na možnosti uplatnění nových absolventů doktorských studií. Většina výzkumníků</w:t>
      </w:r>
      <w:r>
        <w:rPr>
          <w:rFonts w:ascii="Arial" w:eastAsia="Times New Roman" w:hAnsi="Arial" w:cs="Arial"/>
          <w:lang w:eastAsia="cs-CZ"/>
        </w:rPr>
        <w:t xml:space="preserve"> s doktorským titulem</w:t>
      </w:r>
      <w:r w:rsidRPr="00D4699E">
        <w:rPr>
          <w:rFonts w:ascii="Arial" w:eastAsia="Times New Roman" w:hAnsi="Arial" w:cs="Arial"/>
          <w:lang w:eastAsia="cs-CZ"/>
        </w:rPr>
        <w:t xml:space="preserve"> setrvává ve vysokoškolském sektoru, který jim poskytl odbornou kvalifikaci, případně přecházejí do vládního sektoru (nejspíše zejména na pracoviště Akademie věd), kde však na základě trendu nelze v budoucnu očekávat zvýšenou </w:t>
      </w:r>
      <w:r w:rsidRPr="00D4699E">
        <w:rPr>
          <w:rFonts w:ascii="Arial" w:eastAsia="Times New Roman" w:hAnsi="Arial" w:cs="Arial"/>
          <w:lang w:eastAsia="cs-CZ"/>
        </w:rPr>
        <w:lastRenderedPageBreak/>
        <w:t>možnost uplatnění. Důvodem může být motivace mladých výzkumníků (například touha vykonávat základní výzkum), nebo jsou k tomu nuceni okolnostmi, neboť nemají pro uplatnění v podnikatelském sektoru požadovanou odbornost. Přestože v podnikatelském sektoru vznikají nové pozice (obr. 4.5), jsou obsazovány především uchazeči s magisterským vzděláním (obr. 4.6). Nejsou k dispozici údaje o požadované kvalifikaci</w:t>
      </w:r>
      <w:r>
        <w:rPr>
          <w:rFonts w:ascii="Arial" w:eastAsia="Times New Roman" w:hAnsi="Arial" w:cs="Arial"/>
          <w:lang w:eastAsia="cs-CZ"/>
        </w:rPr>
        <w:t xml:space="preserve"> (požadavky na vzdělání a relevantní praxi ve výzkumu a vývoji)</w:t>
      </w:r>
      <w:r w:rsidRPr="00D4699E">
        <w:rPr>
          <w:rFonts w:ascii="Arial" w:eastAsia="Times New Roman" w:hAnsi="Arial" w:cs="Arial"/>
          <w:lang w:eastAsia="cs-CZ"/>
        </w:rPr>
        <w:t>, které by doložily</w:t>
      </w:r>
      <w:r>
        <w:rPr>
          <w:rFonts w:ascii="Arial" w:eastAsia="Times New Roman" w:hAnsi="Arial" w:cs="Arial"/>
          <w:lang w:eastAsia="cs-CZ"/>
        </w:rPr>
        <w:t>, zda se jedná ze strany podniků o optimální řešení, nebo spíše o existenciální nutnost v současných podmínkách</w:t>
      </w:r>
      <w:r w:rsidRPr="00D4699E">
        <w:rPr>
          <w:rFonts w:ascii="Arial" w:eastAsia="Times New Roman" w:hAnsi="Arial" w:cs="Arial"/>
          <w:lang w:eastAsia="cs-CZ"/>
        </w:rPr>
        <w:t>.</w:t>
      </w:r>
      <w:r>
        <w:rPr>
          <w:rFonts w:ascii="Arial" w:eastAsia="Times New Roman" w:hAnsi="Arial" w:cs="Arial"/>
          <w:lang w:eastAsia="cs-CZ"/>
        </w:rPr>
        <w:t xml:space="preserve"> Druhé ze zmíněných variant nasvědčují výstupy </w:t>
      </w:r>
      <w:proofErr w:type="spellStart"/>
      <w:r>
        <w:rPr>
          <w:rFonts w:ascii="Arial" w:eastAsia="Times New Roman" w:hAnsi="Arial" w:cs="Arial"/>
          <w:lang w:eastAsia="cs-CZ"/>
        </w:rPr>
        <w:t>Entrepreneurial</w:t>
      </w:r>
      <w:proofErr w:type="spellEnd"/>
      <w:r>
        <w:rPr>
          <w:rFonts w:ascii="Arial" w:eastAsia="Times New Roman" w:hAnsi="Arial" w:cs="Arial"/>
          <w:lang w:eastAsia="cs-CZ"/>
        </w:rPr>
        <w:t xml:space="preserve"> </w:t>
      </w:r>
      <w:proofErr w:type="spellStart"/>
      <w:r>
        <w:rPr>
          <w:rFonts w:ascii="Arial" w:eastAsia="Times New Roman" w:hAnsi="Arial" w:cs="Arial"/>
          <w:lang w:eastAsia="cs-CZ"/>
        </w:rPr>
        <w:t>Discovery</w:t>
      </w:r>
      <w:proofErr w:type="spellEnd"/>
      <w:r>
        <w:rPr>
          <w:rFonts w:ascii="Arial" w:eastAsia="Times New Roman" w:hAnsi="Arial" w:cs="Arial"/>
          <w:lang w:eastAsia="cs-CZ"/>
        </w:rPr>
        <w:t xml:space="preserve"> </w:t>
      </w:r>
      <w:proofErr w:type="spellStart"/>
      <w:r>
        <w:rPr>
          <w:rFonts w:ascii="Arial" w:eastAsia="Times New Roman" w:hAnsi="Arial" w:cs="Arial"/>
          <w:lang w:eastAsia="cs-CZ"/>
        </w:rPr>
        <w:t>Process</w:t>
      </w:r>
      <w:proofErr w:type="spellEnd"/>
      <w:r>
        <w:rPr>
          <w:rFonts w:ascii="Arial" w:eastAsia="Times New Roman" w:hAnsi="Arial" w:cs="Arial"/>
          <w:lang w:eastAsia="cs-CZ"/>
        </w:rPr>
        <w:t xml:space="preserve"> v rámci RIS 3, ve kterém ve většině průmyslových odvětví byla konstatována nedostatečná základna kvalifikovaných lidských zdrojů.</w:t>
      </w:r>
      <w:r w:rsidRPr="00D4699E">
        <w:rPr>
          <w:rFonts w:ascii="Arial" w:eastAsia="Times New Roman" w:hAnsi="Arial" w:cs="Arial"/>
          <w:lang w:eastAsia="cs-CZ"/>
        </w:rPr>
        <w:t xml:space="preserve"> Rovněž chybí podrobnější údaje o věkové struktuře výzkumníků, které by umožnily lépe definovat potenciál k přijímání nových výzkumných pracovníků. V této souvislosti skýtají významnou perspektivu nově vybudované infrastruktury ve </w:t>
      </w:r>
      <w:proofErr w:type="spellStart"/>
      <w:r w:rsidRPr="00D4699E">
        <w:rPr>
          <w:rFonts w:ascii="Arial" w:eastAsia="Times New Roman" w:hAnsi="Arial" w:cs="Arial"/>
          <w:lang w:eastAsia="cs-CZ"/>
        </w:rPr>
        <w:t>VaVaI</w:t>
      </w:r>
      <w:proofErr w:type="spellEnd"/>
      <w:r w:rsidRPr="00D4699E">
        <w:rPr>
          <w:rFonts w:ascii="Arial" w:eastAsia="Times New Roman" w:hAnsi="Arial" w:cs="Arial"/>
          <w:lang w:eastAsia="cs-CZ"/>
        </w:rPr>
        <w:t xml:space="preserve"> (viz kapitolu 5 – Infrastruktury </w:t>
      </w:r>
      <w:proofErr w:type="spellStart"/>
      <w:r w:rsidRPr="00D4699E">
        <w:rPr>
          <w:rFonts w:ascii="Arial" w:eastAsia="Times New Roman" w:hAnsi="Arial" w:cs="Arial"/>
          <w:lang w:eastAsia="cs-CZ"/>
        </w:rPr>
        <w:t>VaVaI</w:t>
      </w:r>
      <w:proofErr w:type="spellEnd"/>
      <w:r w:rsidRPr="00D4699E">
        <w:rPr>
          <w:rFonts w:ascii="Arial" w:eastAsia="Times New Roman" w:hAnsi="Arial" w:cs="Arial"/>
          <w:lang w:eastAsia="cs-CZ"/>
        </w:rPr>
        <w:t>).</w:t>
      </w:r>
    </w:p>
    <w:p w:rsidR="006338C7" w:rsidRPr="00011993" w:rsidRDefault="006338C7" w:rsidP="006338C7">
      <w:pPr>
        <w:pStyle w:val="Obrzek-nadpis"/>
      </w:pPr>
      <w:r w:rsidRPr="00011993">
        <w:t>Obr. 4.</w:t>
      </w:r>
      <w:r>
        <w:t>6</w:t>
      </w:r>
      <w:r w:rsidRPr="00011993">
        <w:t>: Počty výzkumných pracovníků v ČR v jednotlivých sektorech ve vztahu k dosaženému vzdělání</w:t>
      </w:r>
    </w:p>
    <w:p w:rsidR="006338C7" w:rsidRDefault="006338C7" w:rsidP="006338C7">
      <w:pPr>
        <w:spacing w:after="120"/>
        <w:jc w:val="both"/>
        <w:rPr>
          <w:i/>
          <w:sz w:val="20"/>
          <w:szCs w:val="20"/>
        </w:rPr>
      </w:pPr>
      <w:r w:rsidRPr="009E7FDE">
        <w:rPr>
          <w:noProof/>
          <w:lang w:eastAsia="cs-CZ"/>
        </w:rPr>
        <w:drawing>
          <wp:inline distT="0" distB="0" distL="0" distR="0" wp14:anchorId="1DEB5389" wp14:editId="67F07E57">
            <wp:extent cx="6120130" cy="2987787"/>
            <wp:effectExtent l="0" t="0" r="0" b="317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2987787"/>
                    </a:xfrm>
                    <a:prstGeom prst="rect">
                      <a:avLst/>
                    </a:prstGeom>
                    <a:noFill/>
                    <a:ln>
                      <a:noFill/>
                    </a:ln>
                  </pic:spPr>
                </pic:pic>
              </a:graphicData>
            </a:graphic>
          </wp:inline>
        </w:drawing>
      </w:r>
    </w:p>
    <w:p w:rsidR="006338C7" w:rsidRDefault="006338C7" w:rsidP="006338C7">
      <w:pPr>
        <w:pStyle w:val="komentzaobrzkem"/>
      </w:pPr>
      <w:r>
        <w:t>Zdroj dat: ČSÚ</w:t>
      </w:r>
    </w:p>
    <w:p w:rsidR="006338C7" w:rsidRDefault="006338C7" w:rsidP="006338C7">
      <w:pPr>
        <w:pStyle w:val="komentzaobrzkem"/>
      </w:pPr>
      <w:r>
        <w:t>Uváděny jsou evidenční počty výzkumných pracovníků (HC).</w:t>
      </w:r>
    </w:p>
    <w:p w:rsidR="006338C7" w:rsidRPr="00845AD8" w:rsidRDefault="006338C7" w:rsidP="006338C7">
      <w:pPr>
        <w:spacing w:before="240" w:after="0" w:line="360" w:lineRule="auto"/>
        <w:ind w:firstLine="709"/>
        <w:jc w:val="both"/>
        <w:rPr>
          <w:rFonts w:ascii="Arial" w:eastAsia="Times New Roman" w:hAnsi="Arial" w:cs="Arial"/>
          <w:lang w:eastAsia="cs-CZ"/>
        </w:rPr>
      </w:pPr>
      <w:r w:rsidRPr="00845AD8">
        <w:rPr>
          <w:rFonts w:ascii="Arial" w:eastAsia="Times New Roman" w:hAnsi="Arial" w:cs="Arial"/>
          <w:lang w:eastAsia="cs-CZ"/>
        </w:rPr>
        <w:t>Ve vztahu mezi vzděláváním za účelem provádění výzkumu a vývoje a skutečným uplatněním kvalifikace na pozici výzkumného pracovníka mohou existovat rozdíly mezi oborovými skupinami</w:t>
      </w:r>
      <w:r>
        <w:rPr>
          <w:rFonts w:ascii="Arial" w:eastAsia="Times New Roman" w:hAnsi="Arial" w:cs="Arial"/>
          <w:lang w:eastAsia="cs-CZ"/>
        </w:rPr>
        <w:t>.</w:t>
      </w:r>
      <w:r w:rsidRPr="00845AD8">
        <w:rPr>
          <w:rFonts w:ascii="Arial" w:eastAsia="Times New Roman" w:hAnsi="Arial" w:cs="Arial"/>
          <w:lang w:eastAsia="cs-CZ"/>
        </w:rPr>
        <w:t xml:space="preserve"> Porovnání počtu studentů doktorských programů ve skupinách vědních oborů s počty výzkumníků v některých skupinách oborů vykazuje výraznou </w:t>
      </w:r>
      <w:proofErr w:type="spellStart"/>
      <w:r w:rsidRPr="00845AD8">
        <w:rPr>
          <w:rFonts w:ascii="Arial" w:eastAsia="Times New Roman" w:hAnsi="Arial" w:cs="Arial"/>
          <w:lang w:eastAsia="cs-CZ"/>
        </w:rPr>
        <w:t>disbalanci</w:t>
      </w:r>
      <w:proofErr w:type="spellEnd"/>
      <w:r w:rsidRPr="00845AD8">
        <w:rPr>
          <w:rFonts w:ascii="Arial" w:eastAsia="Times New Roman" w:hAnsi="Arial" w:cs="Arial"/>
          <w:lang w:eastAsia="cs-CZ"/>
        </w:rPr>
        <w:t xml:space="preserve"> (obr</w:t>
      </w:r>
      <w:r>
        <w:rPr>
          <w:rFonts w:ascii="Arial" w:eastAsia="Times New Roman" w:hAnsi="Arial" w:cs="Arial"/>
          <w:lang w:eastAsia="cs-CZ"/>
        </w:rPr>
        <w:t>ázek</w:t>
      </w:r>
      <w:r w:rsidRPr="00845AD8">
        <w:rPr>
          <w:rFonts w:ascii="Arial" w:eastAsia="Times New Roman" w:hAnsi="Arial" w:cs="Arial"/>
          <w:lang w:eastAsia="cs-CZ"/>
        </w:rPr>
        <w:t xml:space="preserve"> 4.</w:t>
      </w:r>
      <w:r>
        <w:rPr>
          <w:rFonts w:ascii="Arial" w:eastAsia="Times New Roman" w:hAnsi="Arial" w:cs="Arial"/>
          <w:lang w:eastAsia="cs-CZ"/>
        </w:rPr>
        <w:t>7</w:t>
      </w:r>
      <w:r w:rsidRPr="00845AD8">
        <w:rPr>
          <w:rFonts w:ascii="Arial" w:eastAsia="Times New Roman" w:hAnsi="Arial" w:cs="Arial"/>
          <w:lang w:eastAsia="cs-CZ"/>
        </w:rPr>
        <w:t>). V technických a přírodních vědách je výrazně vyšší poměr mezi počty současných výzkumníků a</w:t>
      </w:r>
      <w:r>
        <w:rPr>
          <w:rFonts w:ascii="Arial" w:eastAsia="Times New Roman" w:hAnsi="Arial" w:cs="Arial"/>
          <w:lang w:eastAsia="cs-CZ"/>
        </w:rPr>
        <w:t> </w:t>
      </w:r>
      <w:r w:rsidRPr="00845AD8">
        <w:rPr>
          <w:rFonts w:ascii="Arial" w:eastAsia="Times New Roman" w:hAnsi="Arial" w:cs="Arial"/>
          <w:lang w:eastAsia="cs-CZ"/>
        </w:rPr>
        <w:t>počty studentů (zhruba trojnásobný). Vzniká zde tudíž dostatečný prostor pr</w:t>
      </w:r>
      <w:r>
        <w:rPr>
          <w:rFonts w:ascii="Arial" w:eastAsia="Times New Roman" w:hAnsi="Arial" w:cs="Arial"/>
          <w:lang w:eastAsia="cs-CZ"/>
        </w:rPr>
        <w:t xml:space="preserve">o budoucí uplatnění absolventů. </w:t>
      </w:r>
      <w:r w:rsidRPr="00845AD8">
        <w:rPr>
          <w:rFonts w:ascii="Arial" w:eastAsia="Times New Roman" w:hAnsi="Arial" w:cs="Arial"/>
          <w:lang w:eastAsia="cs-CZ"/>
        </w:rPr>
        <w:t>Menší potenciál z tohoto pohledu představují lékařské a zemědělské vědy. V sociálních a zejména v humanitních oborech je situace zcela opačná než v technických a</w:t>
      </w:r>
      <w:r>
        <w:rPr>
          <w:rFonts w:ascii="Arial" w:eastAsia="Times New Roman" w:hAnsi="Arial" w:cs="Arial"/>
          <w:lang w:eastAsia="cs-CZ"/>
        </w:rPr>
        <w:t> </w:t>
      </w:r>
      <w:r w:rsidRPr="00845AD8">
        <w:rPr>
          <w:rFonts w:ascii="Arial" w:eastAsia="Times New Roman" w:hAnsi="Arial" w:cs="Arial"/>
          <w:lang w:eastAsia="cs-CZ"/>
        </w:rPr>
        <w:t xml:space="preserve">přírodních vědách. Aktuální počet studentů doktorského studia </w:t>
      </w:r>
      <w:r>
        <w:rPr>
          <w:rFonts w:ascii="Arial" w:eastAsia="Times New Roman" w:hAnsi="Arial" w:cs="Arial"/>
          <w:lang w:eastAsia="cs-CZ"/>
        </w:rPr>
        <w:t>výrazně překračuje</w:t>
      </w:r>
      <w:r w:rsidRPr="00845AD8">
        <w:rPr>
          <w:rFonts w:ascii="Arial" w:eastAsia="Times New Roman" w:hAnsi="Arial" w:cs="Arial"/>
          <w:lang w:eastAsia="cs-CZ"/>
        </w:rPr>
        <w:t xml:space="preserve"> poč</w:t>
      </w:r>
      <w:r>
        <w:rPr>
          <w:rFonts w:ascii="Arial" w:eastAsia="Times New Roman" w:hAnsi="Arial" w:cs="Arial"/>
          <w:lang w:eastAsia="cs-CZ"/>
        </w:rPr>
        <w:t>et</w:t>
      </w:r>
      <w:r w:rsidRPr="00845AD8">
        <w:rPr>
          <w:rFonts w:ascii="Arial" w:eastAsia="Times New Roman" w:hAnsi="Arial" w:cs="Arial"/>
          <w:lang w:eastAsia="cs-CZ"/>
        </w:rPr>
        <w:t xml:space="preserve"> </w:t>
      </w:r>
      <w:r w:rsidRPr="00845AD8">
        <w:rPr>
          <w:rFonts w:ascii="Arial" w:eastAsia="Times New Roman" w:hAnsi="Arial" w:cs="Arial"/>
          <w:lang w:eastAsia="cs-CZ"/>
        </w:rPr>
        <w:lastRenderedPageBreak/>
        <w:t>zaměstnanců</w:t>
      </w:r>
      <w:r>
        <w:rPr>
          <w:rFonts w:ascii="Arial" w:eastAsia="Times New Roman" w:hAnsi="Arial" w:cs="Arial"/>
          <w:lang w:eastAsia="cs-CZ"/>
        </w:rPr>
        <w:t xml:space="preserve"> (v přepočtu na plný pracovní úvazek)</w:t>
      </w:r>
      <w:r w:rsidRPr="00845AD8">
        <w:rPr>
          <w:rFonts w:ascii="Arial" w:eastAsia="Times New Roman" w:hAnsi="Arial" w:cs="Arial"/>
          <w:lang w:eastAsia="cs-CZ"/>
        </w:rPr>
        <w:t xml:space="preserve">, v případě humanitních věd dokonce </w:t>
      </w:r>
      <w:r>
        <w:rPr>
          <w:rFonts w:ascii="Arial" w:eastAsia="Times New Roman" w:hAnsi="Arial" w:cs="Arial"/>
          <w:lang w:eastAsia="cs-CZ"/>
        </w:rPr>
        <w:t>více než dvojnásobně</w:t>
      </w:r>
      <w:r w:rsidRPr="00845AD8">
        <w:rPr>
          <w:rFonts w:ascii="Arial" w:eastAsia="Times New Roman" w:hAnsi="Arial" w:cs="Arial"/>
          <w:lang w:eastAsia="cs-CZ"/>
        </w:rPr>
        <w:t>. Potenciál pro uplatnění absolventů pouze ve</w:t>
      </w:r>
      <w:r>
        <w:rPr>
          <w:rFonts w:ascii="Arial" w:eastAsia="Times New Roman" w:hAnsi="Arial" w:cs="Arial"/>
          <w:lang w:eastAsia="cs-CZ"/>
        </w:rPr>
        <w:t> </w:t>
      </w:r>
      <w:r w:rsidRPr="00845AD8">
        <w:rPr>
          <w:rFonts w:ascii="Arial" w:eastAsia="Times New Roman" w:hAnsi="Arial" w:cs="Arial"/>
          <w:lang w:eastAsia="cs-CZ"/>
        </w:rPr>
        <w:t>výzkumu a vývoji je zde proto minimální.</w:t>
      </w:r>
      <w:r>
        <w:rPr>
          <w:rFonts w:ascii="Arial" w:eastAsia="Times New Roman" w:hAnsi="Arial" w:cs="Arial"/>
          <w:lang w:eastAsia="cs-CZ"/>
        </w:rPr>
        <w:t xml:space="preserve"> Jak dokládají údaje o nově zaměstnaných výzkumných pracovnících, relativně nejvíce míst je nově obsazováno v technických a přírodních vědách (14 a 16 %), zatímco ve společenských a humanitních oborech je to výrazně méně (8 a 5 %). </w:t>
      </w:r>
    </w:p>
    <w:p w:rsidR="006338C7" w:rsidRPr="00272ED4" w:rsidRDefault="006338C7" w:rsidP="006338C7">
      <w:pPr>
        <w:spacing w:after="0" w:line="360" w:lineRule="auto"/>
        <w:ind w:firstLine="709"/>
        <w:jc w:val="both"/>
        <w:rPr>
          <w:rFonts w:ascii="Arial" w:eastAsia="Times New Roman" w:hAnsi="Arial" w:cs="Arial"/>
          <w:lang w:eastAsia="cs-CZ"/>
        </w:rPr>
      </w:pPr>
      <w:r w:rsidRPr="00845AD8">
        <w:rPr>
          <w:rFonts w:ascii="Arial" w:eastAsia="Times New Roman" w:hAnsi="Arial" w:cs="Arial"/>
          <w:lang w:eastAsia="cs-CZ"/>
        </w:rPr>
        <w:t>Obr</w:t>
      </w:r>
      <w:r>
        <w:rPr>
          <w:rFonts w:ascii="Arial" w:eastAsia="Times New Roman" w:hAnsi="Arial" w:cs="Arial"/>
          <w:lang w:eastAsia="cs-CZ"/>
        </w:rPr>
        <w:t>ázek</w:t>
      </w:r>
      <w:r w:rsidRPr="00845AD8">
        <w:rPr>
          <w:rFonts w:ascii="Arial" w:eastAsia="Times New Roman" w:hAnsi="Arial" w:cs="Arial"/>
          <w:lang w:eastAsia="cs-CZ"/>
        </w:rPr>
        <w:t xml:space="preserve"> 4.</w:t>
      </w:r>
      <w:r>
        <w:rPr>
          <w:rFonts w:ascii="Arial" w:eastAsia="Times New Roman" w:hAnsi="Arial" w:cs="Arial"/>
          <w:lang w:eastAsia="cs-CZ"/>
        </w:rPr>
        <w:t>7</w:t>
      </w:r>
      <w:r w:rsidRPr="00845AD8">
        <w:rPr>
          <w:rFonts w:ascii="Arial" w:eastAsia="Times New Roman" w:hAnsi="Arial" w:cs="Arial"/>
          <w:lang w:eastAsia="cs-CZ"/>
        </w:rPr>
        <w:t xml:space="preserve"> obsahuje také časový trend počtu </w:t>
      </w:r>
      <w:r>
        <w:rPr>
          <w:rFonts w:ascii="Arial" w:eastAsia="Times New Roman" w:hAnsi="Arial" w:cs="Arial"/>
          <w:lang w:eastAsia="cs-CZ"/>
        </w:rPr>
        <w:t xml:space="preserve">postgraduálních </w:t>
      </w:r>
      <w:r w:rsidRPr="00845AD8">
        <w:rPr>
          <w:rFonts w:ascii="Arial" w:eastAsia="Times New Roman" w:hAnsi="Arial" w:cs="Arial"/>
          <w:lang w:eastAsia="cs-CZ"/>
        </w:rPr>
        <w:t>studentů</w:t>
      </w:r>
      <w:r w:rsidRPr="00272ED4">
        <w:rPr>
          <w:rFonts w:ascii="Arial" w:eastAsia="Times New Roman" w:hAnsi="Arial" w:cs="Arial"/>
          <w:lang w:eastAsia="cs-CZ"/>
        </w:rPr>
        <w:t xml:space="preserve"> v jednotlivých skupinách vědních oborů. Zatímco </w:t>
      </w:r>
      <w:r>
        <w:rPr>
          <w:rFonts w:ascii="Arial" w:eastAsia="Times New Roman" w:hAnsi="Arial" w:cs="Arial"/>
          <w:lang w:eastAsia="cs-CZ"/>
        </w:rPr>
        <w:t>ve většině</w:t>
      </w:r>
      <w:r w:rsidRPr="00272ED4">
        <w:rPr>
          <w:rFonts w:ascii="Arial" w:eastAsia="Times New Roman" w:hAnsi="Arial" w:cs="Arial"/>
          <w:lang w:eastAsia="cs-CZ"/>
        </w:rPr>
        <w:t xml:space="preserve"> vědních obor</w:t>
      </w:r>
      <w:r>
        <w:rPr>
          <w:rFonts w:ascii="Arial" w:eastAsia="Times New Roman" w:hAnsi="Arial" w:cs="Arial"/>
          <w:lang w:eastAsia="cs-CZ"/>
        </w:rPr>
        <w:t>ů</w:t>
      </w:r>
      <w:r w:rsidRPr="00272ED4">
        <w:rPr>
          <w:rFonts w:ascii="Arial" w:eastAsia="Times New Roman" w:hAnsi="Arial" w:cs="Arial"/>
          <w:lang w:eastAsia="cs-CZ"/>
        </w:rPr>
        <w:t xml:space="preserve"> počty studentů</w:t>
      </w:r>
      <w:r>
        <w:rPr>
          <w:rFonts w:ascii="Arial" w:eastAsia="Times New Roman" w:hAnsi="Arial" w:cs="Arial"/>
          <w:lang w:eastAsia="cs-CZ"/>
        </w:rPr>
        <w:t xml:space="preserve"> doktorských studií</w:t>
      </w:r>
      <w:r w:rsidRPr="00272ED4">
        <w:rPr>
          <w:rFonts w:ascii="Arial" w:eastAsia="Times New Roman" w:hAnsi="Arial" w:cs="Arial"/>
          <w:lang w:eastAsia="cs-CZ"/>
        </w:rPr>
        <w:t xml:space="preserve"> mírně rostou</w:t>
      </w:r>
      <w:r>
        <w:rPr>
          <w:rFonts w:ascii="Arial" w:eastAsia="Times New Roman" w:hAnsi="Arial" w:cs="Arial"/>
          <w:lang w:eastAsia="cs-CZ"/>
        </w:rPr>
        <w:t>, nebo jsou meziročně vyrovnané</w:t>
      </w:r>
      <w:r w:rsidRPr="00272ED4">
        <w:rPr>
          <w:rFonts w:ascii="Arial" w:eastAsia="Times New Roman" w:hAnsi="Arial" w:cs="Arial"/>
          <w:lang w:eastAsia="cs-CZ"/>
        </w:rPr>
        <w:t>, v</w:t>
      </w:r>
      <w:r>
        <w:rPr>
          <w:rFonts w:ascii="Arial" w:eastAsia="Times New Roman" w:hAnsi="Arial" w:cs="Arial"/>
          <w:lang w:eastAsia="cs-CZ"/>
        </w:rPr>
        <w:t xml:space="preserve"> přírodních a zejména v</w:t>
      </w:r>
      <w:r w:rsidRPr="00272ED4">
        <w:rPr>
          <w:rFonts w:ascii="Arial" w:eastAsia="Times New Roman" w:hAnsi="Arial" w:cs="Arial"/>
          <w:lang w:eastAsia="cs-CZ"/>
        </w:rPr>
        <w:t> technických vědách je patrný pokles. Může to souviset s nízkým zastoupením výzkumníků s doktorským vzděláním v podnikatelském sektoru (obr</w:t>
      </w:r>
      <w:r>
        <w:rPr>
          <w:rFonts w:ascii="Arial" w:eastAsia="Times New Roman" w:hAnsi="Arial" w:cs="Arial"/>
          <w:lang w:eastAsia="cs-CZ"/>
        </w:rPr>
        <w:t>ázek 4.6</w:t>
      </w:r>
      <w:r w:rsidRPr="00272ED4">
        <w:rPr>
          <w:rFonts w:ascii="Arial" w:eastAsia="Times New Roman" w:hAnsi="Arial" w:cs="Arial"/>
          <w:lang w:eastAsia="cs-CZ"/>
        </w:rPr>
        <w:t>). Rozdíly jsou také v poměru prezenčních studentů vůči distančním (kombinované studium). Převahu prezenční formy studia vykazují přírodní</w:t>
      </w:r>
      <w:r w:rsidRPr="004924FB">
        <w:rPr>
          <w:rFonts w:ascii="Arial" w:eastAsia="Times New Roman" w:hAnsi="Arial" w:cs="Arial"/>
          <w:lang w:eastAsia="cs-CZ"/>
        </w:rPr>
        <w:t xml:space="preserve"> </w:t>
      </w:r>
      <w:r w:rsidRPr="00272ED4">
        <w:rPr>
          <w:rFonts w:ascii="Arial" w:eastAsia="Times New Roman" w:hAnsi="Arial" w:cs="Arial"/>
          <w:lang w:eastAsia="cs-CZ"/>
        </w:rPr>
        <w:t xml:space="preserve">a zemědělské vědy, </w:t>
      </w:r>
      <w:r>
        <w:rPr>
          <w:rFonts w:ascii="Arial" w:eastAsia="Times New Roman" w:hAnsi="Arial" w:cs="Arial"/>
          <w:lang w:eastAsia="cs-CZ"/>
        </w:rPr>
        <w:t xml:space="preserve">částečně také vědy </w:t>
      </w:r>
      <w:r w:rsidRPr="00272ED4">
        <w:rPr>
          <w:rFonts w:ascii="Arial" w:eastAsia="Times New Roman" w:hAnsi="Arial" w:cs="Arial"/>
          <w:lang w:eastAsia="cs-CZ"/>
        </w:rPr>
        <w:t xml:space="preserve">technické. Při studiu těchto oborů je pravděpodobně nutné využívat investičně náročné přístrojové vybavení, což distanční forma umožňuje pouze v omezené míře. </w:t>
      </w:r>
      <w:r w:rsidRPr="00845AD8">
        <w:rPr>
          <w:rFonts w:ascii="Arial" w:eastAsia="Times New Roman" w:hAnsi="Arial" w:cs="Arial"/>
          <w:lang w:eastAsia="cs-CZ"/>
        </w:rPr>
        <w:t>Naopak ve společenských oborech převažuje kombinovaná forma</w:t>
      </w:r>
      <w:r>
        <w:rPr>
          <w:rFonts w:ascii="Arial" w:eastAsia="Times New Roman" w:hAnsi="Arial" w:cs="Arial"/>
          <w:lang w:eastAsia="cs-CZ"/>
        </w:rPr>
        <w:t>.</w:t>
      </w:r>
      <w:r w:rsidRPr="00845AD8">
        <w:rPr>
          <w:rFonts w:ascii="Arial" w:eastAsia="Times New Roman" w:hAnsi="Arial" w:cs="Arial"/>
          <w:lang w:eastAsia="cs-CZ"/>
        </w:rPr>
        <w:t xml:space="preserve"> Ještě výraznější je převaha kombinovaných studií v lékařských vědách, která je pravděpodobně způsobena vazbou na</w:t>
      </w:r>
      <w:r>
        <w:rPr>
          <w:rFonts w:ascii="Arial" w:eastAsia="Times New Roman" w:hAnsi="Arial" w:cs="Arial"/>
          <w:lang w:eastAsia="cs-CZ"/>
        </w:rPr>
        <w:t> </w:t>
      </w:r>
      <w:r w:rsidRPr="00845AD8">
        <w:rPr>
          <w:rFonts w:ascii="Arial" w:eastAsia="Times New Roman" w:hAnsi="Arial" w:cs="Arial"/>
          <w:lang w:eastAsia="cs-CZ"/>
        </w:rPr>
        <w:t>zdravotnická zařízení, kde doktorandi již působí jako zaměstnanci.</w:t>
      </w:r>
    </w:p>
    <w:p w:rsidR="006338C7" w:rsidRPr="007506E0" w:rsidRDefault="006338C7" w:rsidP="006338C7">
      <w:pPr>
        <w:pStyle w:val="Obrzek-nadpis"/>
      </w:pPr>
      <w:r>
        <w:t>Obr. 4.7</w:t>
      </w:r>
      <w:r w:rsidRPr="007506E0">
        <w:t>: vztah mezi počty výzkumníků</w:t>
      </w:r>
      <w:r>
        <w:t xml:space="preserve"> (včetně nově zaměstnaných)</w:t>
      </w:r>
      <w:r w:rsidRPr="007506E0">
        <w:t xml:space="preserve"> a počty studentů doktorských studií v různých oborových skupinách</w:t>
      </w:r>
    </w:p>
    <w:p w:rsidR="006338C7" w:rsidRDefault="006338C7" w:rsidP="006338C7">
      <w:pPr>
        <w:spacing w:after="120"/>
        <w:jc w:val="center"/>
        <w:rPr>
          <w:i/>
          <w:sz w:val="20"/>
          <w:szCs w:val="20"/>
        </w:rPr>
      </w:pPr>
      <w:r w:rsidRPr="00B864CC">
        <w:rPr>
          <w:noProof/>
          <w:lang w:eastAsia="cs-CZ"/>
        </w:rPr>
        <w:drawing>
          <wp:inline distT="0" distB="0" distL="0" distR="0" wp14:anchorId="102BCC11" wp14:editId="7B405056">
            <wp:extent cx="6120130" cy="469299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4692990"/>
                    </a:xfrm>
                    <a:prstGeom prst="rect">
                      <a:avLst/>
                    </a:prstGeom>
                    <a:noFill/>
                    <a:ln>
                      <a:noFill/>
                    </a:ln>
                  </pic:spPr>
                </pic:pic>
              </a:graphicData>
            </a:graphic>
          </wp:inline>
        </w:drawing>
      </w:r>
    </w:p>
    <w:p w:rsidR="006338C7" w:rsidRDefault="006338C7" w:rsidP="006338C7">
      <w:pPr>
        <w:pStyle w:val="Zdroj"/>
        <w:spacing w:after="240"/>
      </w:pPr>
      <w:r>
        <w:lastRenderedPageBreak/>
        <w:t>Zdroj dat: ČSÚ (počty výzkumníků za rok 2014), MŠMT (počty studentů za rok 2015)</w:t>
      </w:r>
    </w:p>
    <w:p w:rsidR="006338C7"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Z hlediska poměru pohlaví výzkumných pracovníků je patrná nevyváženost ve všech sektorech</w:t>
      </w:r>
      <w:r>
        <w:rPr>
          <w:rFonts w:ascii="Arial" w:eastAsia="Times New Roman" w:hAnsi="Arial" w:cs="Arial"/>
          <w:lang w:eastAsia="cs-CZ"/>
        </w:rPr>
        <w:t xml:space="preserve"> (obr. 4.8)</w:t>
      </w:r>
      <w:r w:rsidRPr="00272ED4">
        <w:rPr>
          <w:rFonts w:ascii="Arial" w:eastAsia="Times New Roman" w:hAnsi="Arial" w:cs="Arial"/>
          <w:lang w:eastAsia="cs-CZ"/>
        </w:rPr>
        <w:t xml:space="preserve">. Největší dominance </w:t>
      </w:r>
      <w:r>
        <w:rPr>
          <w:rFonts w:ascii="Arial" w:eastAsia="Times New Roman" w:hAnsi="Arial" w:cs="Arial"/>
          <w:lang w:eastAsia="cs-CZ"/>
        </w:rPr>
        <w:t>mužů je v podnikatelském sektoru (85 %). Rozdíly jsou patrné i ve vztahu k vlastnictví firem – ve firmách pod zahraniční kontrolu je zastoupení mužů vyšší (87 %), než v soukromých domácích podnicích (85 %), ve veřejných podnicích je výrazně nižší (73 %). Relativně nejmenší početní převaha mužů byla zaznamenána</w:t>
      </w:r>
      <w:r w:rsidRPr="00272ED4">
        <w:rPr>
          <w:rFonts w:ascii="Arial" w:eastAsia="Times New Roman" w:hAnsi="Arial" w:cs="Arial"/>
          <w:lang w:eastAsia="cs-CZ"/>
        </w:rPr>
        <w:t xml:space="preserve"> ve vládním sektoru (přibližně 60 %)</w:t>
      </w:r>
      <w:r>
        <w:rPr>
          <w:rFonts w:ascii="Arial" w:eastAsia="Times New Roman" w:hAnsi="Arial" w:cs="Arial"/>
          <w:lang w:eastAsia="cs-CZ"/>
        </w:rPr>
        <w:t>. V</w:t>
      </w:r>
      <w:r w:rsidRPr="00272ED4">
        <w:rPr>
          <w:rFonts w:ascii="Arial" w:eastAsia="Times New Roman" w:hAnsi="Arial" w:cs="Arial"/>
          <w:lang w:eastAsia="cs-CZ"/>
        </w:rPr>
        <w:t>e vysokoškolském sektoru tvoří muži cca 65 %</w:t>
      </w:r>
      <w:r>
        <w:rPr>
          <w:rFonts w:ascii="Arial" w:eastAsia="Times New Roman" w:hAnsi="Arial" w:cs="Arial"/>
          <w:lang w:eastAsia="cs-CZ"/>
        </w:rPr>
        <w:t xml:space="preserve"> výzkumných pracovníků. V rámci tohoto sektoru jsou opět markantní rozdíly podle druhu pracoviště. Ve veřejných VŠ je převaha mužů výraznější (67 %) než v soukromých VŠ (60 %) a fakultních nemocnicích (51 %). Při přepočtu na FTE se rozdíly mezi počty mužů a žen ještě více prohlubují, nejvýrazněji ve vysokoškolském sektoru (podíl mužů 67,5 %). To může indikovat vyšší frekvenci výskytu částečných úvazků u žen. </w:t>
      </w:r>
    </w:p>
    <w:p w:rsidR="006338C7" w:rsidRDefault="006338C7" w:rsidP="006338C7">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Pokud jde o vědní oblasti (obr. 4.9), nejvyšší zastoupení žen vykázaly lékařské vědy (57 % ve vládním sektoru, téměř 50</w:t>
      </w:r>
      <w:r w:rsidRPr="000A54A5">
        <w:rPr>
          <w:rFonts w:ascii="Arial" w:eastAsia="Times New Roman" w:hAnsi="Arial" w:cs="Arial"/>
          <w:lang w:eastAsia="cs-CZ"/>
        </w:rPr>
        <w:t> % ve vysokoškolském a podnikatelském</w:t>
      </w:r>
      <w:r>
        <w:rPr>
          <w:rFonts w:ascii="Arial" w:eastAsia="Times New Roman" w:hAnsi="Arial" w:cs="Arial"/>
          <w:lang w:eastAsia="cs-CZ"/>
        </w:rPr>
        <w:t>)</w:t>
      </w:r>
      <w:r>
        <w:t>,</w:t>
      </w:r>
      <w:r>
        <w:rPr>
          <w:rFonts w:ascii="Arial" w:eastAsia="Times New Roman" w:hAnsi="Arial" w:cs="Arial"/>
          <w:lang w:eastAsia="cs-CZ"/>
        </w:rPr>
        <w:t xml:space="preserve"> v případě vládního a vysokoškolského sektoru také společenské vědy (50 a 44 %, v podnikatelském sektoru to bylo pouze 25 %). Jedná se však o obory s nižším celkovým zastoupením výzkumných pracovníků (obr. 4.4). Naopak v početně nejsilnějších přírodních a technických vědách provádí výzkum relativně nejméně žen (v přírodních vědách ve vládním sektoru 35 %, ve vysokoškolském 29 % a v podnikatelském 16 %, v technických vědách ve vládním a vysokoškolském sektoru 21 %, v podnikatelském sektoru 11 %).</w:t>
      </w:r>
    </w:p>
    <w:p w:rsidR="006338C7" w:rsidRPr="00272ED4" w:rsidRDefault="006338C7" w:rsidP="006338C7">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Mezi léty 2013 a 2014 se podíl žen v jednotlivých sektorech buď nezměnil, nebo mírně snížil. Ani víceletý</w:t>
      </w:r>
      <w:r w:rsidRPr="00272ED4">
        <w:rPr>
          <w:rFonts w:ascii="Arial" w:eastAsia="Times New Roman" w:hAnsi="Arial" w:cs="Arial"/>
          <w:lang w:eastAsia="cs-CZ"/>
        </w:rPr>
        <w:t xml:space="preserve"> trend v počtech výzkumných pracovníků neindikuje žádné zlepšení tohoto stavu. </w:t>
      </w:r>
      <w:r w:rsidRPr="00845AD8">
        <w:rPr>
          <w:rFonts w:ascii="Arial" w:eastAsia="Times New Roman" w:hAnsi="Arial" w:cs="Arial"/>
          <w:lang w:eastAsia="cs-CZ"/>
        </w:rPr>
        <w:t>Chybí však data pro podrobnou analýzu příčin.</w:t>
      </w:r>
    </w:p>
    <w:p w:rsidR="006338C7" w:rsidRPr="00C53649" w:rsidRDefault="006338C7" w:rsidP="006338C7">
      <w:pPr>
        <w:pStyle w:val="Obrzek-nadpis"/>
      </w:pPr>
      <w:r w:rsidRPr="00C53649">
        <w:t>Obr. 4.</w:t>
      </w:r>
      <w:r>
        <w:t>8</w:t>
      </w:r>
      <w:r w:rsidRPr="00C53649">
        <w:t>: Počty výzkumných pracovníků v ČR v letech 2008 – 201</w:t>
      </w:r>
      <w:r w:rsidR="00FC0B1B">
        <w:t>4</w:t>
      </w:r>
      <w:r w:rsidRPr="00C53649">
        <w:t xml:space="preserve"> podle pohlaví.</w:t>
      </w:r>
    </w:p>
    <w:p w:rsidR="006338C7" w:rsidRDefault="006338C7" w:rsidP="006338C7">
      <w:pPr>
        <w:spacing w:after="120"/>
        <w:jc w:val="both"/>
      </w:pPr>
      <w:r w:rsidRPr="00A010DE">
        <w:rPr>
          <w:noProof/>
          <w:lang w:eastAsia="cs-CZ"/>
        </w:rPr>
        <w:drawing>
          <wp:inline distT="0" distB="0" distL="0" distR="0" wp14:anchorId="6D56DADE" wp14:editId="38175895">
            <wp:extent cx="6120130" cy="3086016"/>
            <wp:effectExtent l="19050" t="19050" r="13970" b="1968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130" cy="3086016"/>
                    </a:xfrm>
                    <a:prstGeom prst="rect">
                      <a:avLst/>
                    </a:prstGeom>
                    <a:noFill/>
                    <a:ln>
                      <a:solidFill>
                        <a:schemeClr val="tx1"/>
                      </a:solidFill>
                    </a:ln>
                  </pic:spPr>
                </pic:pic>
              </a:graphicData>
            </a:graphic>
          </wp:inline>
        </w:drawing>
      </w:r>
    </w:p>
    <w:p w:rsidR="006338C7" w:rsidRPr="00C53649" w:rsidRDefault="006338C7" w:rsidP="006338C7">
      <w:pPr>
        <w:pStyle w:val="Zdroj"/>
        <w:spacing w:before="0" w:after="0"/>
      </w:pPr>
      <w:r w:rsidRPr="00C53649">
        <w:lastRenderedPageBreak/>
        <w:t>Zdroj dat: ČSÚ</w:t>
      </w:r>
    </w:p>
    <w:p w:rsidR="006338C7" w:rsidRDefault="006338C7" w:rsidP="006338C7">
      <w:pPr>
        <w:pStyle w:val="komentzaobrzkem"/>
      </w:pPr>
      <w:r w:rsidRPr="00C53649">
        <w:t>Sloupcové grafy zobrazují evidenční počet výzkumných pracovníků (HC)</w:t>
      </w:r>
      <w:r>
        <w:t>.</w:t>
      </w:r>
    </w:p>
    <w:p w:rsidR="006338C7" w:rsidRDefault="006338C7" w:rsidP="006338C7">
      <w:pPr>
        <w:pStyle w:val="Obrzek-nadpis"/>
      </w:pPr>
      <w:r>
        <w:t xml:space="preserve">Obr. 4.9: </w:t>
      </w:r>
      <w:r w:rsidRPr="00A010DE">
        <w:t>Podíl žen na celkovém počtu výzkumných pracovníků podle sektorů a vědních oblastí</w:t>
      </w:r>
    </w:p>
    <w:p w:rsidR="006338C7" w:rsidRDefault="006338C7" w:rsidP="006338C7">
      <w:pPr>
        <w:pStyle w:val="Obrzek-nadpis"/>
        <w:keepNext w:val="0"/>
        <w:jc w:val="center"/>
      </w:pPr>
      <w:r w:rsidRPr="00A010DE">
        <w:rPr>
          <w:noProof/>
        </w:rPr>
        <w:drawing>
          <wp:inline distT="0" distB="0" distL="0" distR="0" wp14:anchorId="72AE0F30" wp14:editId="1A899415">
            <wp:extent cx="5400040" cy="453771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4537710"/>
                    </a:xfrm>
                    <a:prstGeom prst="rect">
                      <a:avLst/>
                    </a:prstGeom>
                    <a:noFill/>
                    <a:ln>
                      <a:noFill/>
                    </a:ln>
                  </pic:spPr>
                </pic:pic>
              </a:graphicData>
            </a:graphic>
          </wp:inline>
        </w:drawing>
      </w:r>
    </w:p>
    <w:p w:rsidR="006338C7" w:rsidRPr="00C53649" w:rsidRDefault="006338C7" w:rsidP="006338C7">
      <w:pPr>
        <w:pStyle w:val="Zdroj"/>
      </w:pPr>
      <w:r w:rsidRPr="00C53649">
        <w:t>Zdroj dat: ČSÚ</w:t>
      </w:r>
    </w:p>
    <w:p w:rsidR="006338C7" w:rsidRPr="00A010DE" w:rsidRDefault="006338C7" w:rsidP="006338C7">
      <w:pPr>
        <w:pStyle w:val="Zdroj"/>
      </w:pPr>
      <w:r>
        <w:t>Hodnoty byly vypočteny z evidenčního počtu výzkumných pracovníků k 31. 12. 2014</w:t>
      </w:r>
      <w:r w:rsidRPr="00C53649">
        <w:t xml:space="preserve"> (HC)</w:t>
      </w:r>
      <w:r>
        <w:t>.</w:t>
      </w:r>
    </w:p>
    <w:p w:rsidR="006338C7" w:rsidRDefault="006338C7">
      <w:pPr>
        <w:rPr>
          <w:rFonts w:ascii="Arial" w:eastAsia="Times New Roman" w:hAnsi="Arial" w:cs="Times New Roman"/>
          <w:i/>
          <w:sz w:val="18"/>
          <w:szCs w:val="24"/>
          <w:lang w:eastAsia="cs-CZ"/>
        </w:rPr>
      </w:pPr>
      <w:r>
        <w:rPr>
          <w:rFonts w:ascii="Arial" w:eastAsia="Times New Roman" w:hAnsi="Arial" w:cs="Times New Roman"/>
          <w:i/>
          <w:sz w:val="18"/>
          <w:szCs w:val="24"/>
          <w:lang w:eastAsia="cs-CZ"/>
        </w:rPr>
        <w:br w:type="page"/>
      </w:r>
    </w:p>
    <w:p w:rsidR="006338C7" w:rsidRDefault="006338C7" w:rsidP="00A844E8">
      <w:pPr>
        <w:pStyle w:val="NadpisurovenI"/>
      </w:pPr>
      <w:bookmarkStart w:id="12" w:name="_Toc427676900"/>
      <w:bookmarkStart w:id="13" w:name="_Toc464461100"/>
      <w:r>
        <w:lastRenderedPageBreak/>
        <w:t xml:space="preserve">6. </w:t>
      </w:r>
      <w:r w:rsidRPr="005F2F7D">
        <w:t>Výsledky výzkumu a vývoje</w:t>
      </w:r>
      <w:bookmarkEnd w:id="12"/>
      <w:bookmarkEnd w:id="13"/>
    </w:p>
    <w:p w:rsidR="006338C7" w:rsidRPr="00845AD8" w:rsidRDefault="006338C7" w:rsidP="006338C7">
      <w:pPr>
        <w:spacing w:after="0" w:line="360" w:lineRule="auto"/>
        <w:ind w:firstLine="709"/>
        <w:jc w:val="both"/>
        <w:rPr>
          <w:rFonts w:ascii="Arial" w:hAnsi="Arial" w:cs="Arial"/>
        </w:rPr>
      </w:pPr>
      <w:r w:rsidRPr="00845AD8">
        <w:rPr>
          <w:rFonts w:ascii="Arial" w:hAnsi="Arial" w:cs="Arial"/>
        </w:rPr>
        <w:t xml:space="preserve">Výsledky jsou důležitým dokladem o provádění výzkumné a vývojové činnosti. V závislosti na typu prováděné aktivity (základní nebo aplikovaný výzkum, </w:t>
      </w:r>
      <w:r>
        <w:rPr>
          <w:rFonts w:ascii="Arial" w:hAnsi="Arial" w:cs="Arial"/>
        </w:rPr>
        <w:t xml:space="preserve">experimentální </w:t>
      </w:r>
      <w:r w:rsidRPr="00845AD8">
        <w:rPr>
          <w:rFonts w:ascii="Arial" w:hAnsi="Arial" w:cs="Arial"/>
        </w:rPr>
        <w:t>vývoj, inovační aktivity) a jejími cíli vznikají výsledky různého charakteru. V ČR jsou definovány druhy výsledků</w:t>
      </w:r>
      <w:r w:rsidRPr="00845AD8">
        <w:rPr>
          <w:rStyle w:val="Znakapoznpodarou"/>
          <w:rFonts w:ascii="Arial" w:hAnsi="Arial" w:cs="Arial"/>
        </w:rPr>
        <w:footnoteReference w:id="25"/>
      </w:r>
      <w:r w:rsidRPr="00845AD8">
        <w:rPr>
          <w:rFonts w:ascii="Arial" w:hAnsi="Arial" w:cs="Arial"/>
        </w:rPr>
        <w:t>, které jsou centrálně shromažďovány v informačním systému výzkumu, vývoje a inovací</w:t>
      </w:r>
      <w:r>
        <w:rPr>
          <w:rFonts w:ascii="Arial" w:hAnsi="Arial" w:cs="Arial"/>
        </w:rPr>
        <w:t>.</w:t>
      </w:r>
      <w:r w:rsidRPr="00845AD8">
        <w:rPr>
          <w:rFonts w:ascii="Arial" w:hAnsi="Arial" w:cs="Arial"/>
        </w:rPr>
        <w:t xml:space="preserve"> Tyto výsledky lze </w:t>
      </w:r>
      <w:r>
        <w:rPr>
          <w:rFonts w:ascii="Arial" w:hAnsi="Arial" w:cs="Arial"/>
        </w:rPr>
        <w:t xml:space="preserve">podle jejich charakteru </w:t>
      </w:r>
      <w:r w:rsidRPr="00845AD8">
        <w:rPr>
          <w:rFonts w:ascii="Arial" w:hAnsi="Arial" w:cs="Arial"/>
        </w:rPr>
        <w:t>rozdělit na skupinu výsledků publikačních a nepublikačních, která se dále dělí na</w:t>
      </w:r>
      <w:r>
        <w:rPr>
          <w:rFonts w:ascii="Arial" w:hAnsi="Arial" w:cs="Arial"/>
        </w:rPr>
        <w:t> </w:t>
      </w:r>
      <w:r w:rsidRPr="00845AD8">
        <w:rPr>
          <w:rFonts w:ascii="Arial" w:hAnsi="Arial" w:cs="Arial"/>
        </w:rPr>
        <w:t>výsledky aplikované a ostatní</w:t>
      </w:r>
      <w:r>
        <w:rPr>
          <w:rStyle w:val="Znakapoznpodarou"/>
          <w:rFonts w:ascii="Arial" w:hAnsi="Arial" w:cs="Arial"/>
        </w:rPr>
        <w:footnoteReference w:id="26"/>
      </w:r>
      <w:r>
        <w:rPr>
          <w:rFonts w:ascii="Arial" w:hAnsi="Arial" w:cs="Arial"/>
        </w:rPr>
        <w:t xml:space="preserve"> </w:t>
      </w:r>
      <w:r w:rsidRPr="00845AD8">
        <w:rPr>
          <w:rFonts w:ascii="Arial" w:hAnsi="Arial" w:cs="Arial"/>
        </w:rPr>
        <w:t>(obr</w:t>
      </w:r>
      <w:r>
        <w:rPr>
          <w:rFonts w:ascii="Arial" w:hAnsi="Arial" w:cs="Arial"/>
        </w:rPr>
        <w:t>ázek</w:t>
      </w:r>
      <w:r w:rsidRPr="00845AD8">
        <w:rPr>
          <w:rFonts w:ascii="Arial" w:hAnsi="Arial" w:cs="Arial"/>
        </w:rPr>
        <w:t xml:space="preserve"> 6.1). </w:t>
      </w:r>
    </w:p>
    <w:p w:rsidR="006338C7" w:rsidRPr="00F224E6" w:rsidRDefault="006338C7" w:rsidP="006338C7">
      <w:pPr>
        <w:spacing w:after="0" w:line="360" w:lineRule="auto"/>
        <w:ind w:firstLine="709"/>
        <w:jc w:val="both"/>
        <w:rPr>
          <w:rFonts w:ascii="Arial" w:hAnsi="Arial" w:cs="Arial"/>
        </w:rPr>
      </w:pPr>
      <w:r w:rsidRPr="00845AD8">
        <w:rPr>
          <w:rFonts w:ascii="Arial" w:hAnsi="Arial" w:cs="Arial"/>
        </w:rPr>
        <w:t xml:space="preserve">Publikační výsledky, tj. výsledky druhu </w:t>
      </w:r>
      <w:r w:rsidRPr="00845AD8">
        <w:rPr>
          <w:rFonts w:ascii="Arial" w:hAnsi="Arial" w:cs="Arial"/>
          <w:i/>
        </w:rPr>
        <w:t>J</w:t>
      </w:r>
      <w:r w:rsidRPr="00845AD8">
        <w:rPr>
          <w:rFonts w:ascii="Arial" w:hAnsi="Arial" w:cs="Arial"/>
        </w:rPr>
        <w:t xml:space="preserve"> – recenzovaný odborný článek, </w:t>
      </w:r>
      <w:r w:rsidRPr="00845AD8">
        <w:rPr>
          <w:rFonts w:ascii="Arial" w:hAnsi="Arial" w:cs="Arial"/>
          <w:i/>
        </w:rPr>
        <w:t>B</w:t>
      </w:r>
      <w:r w:rsidRPr="00845AD8">
        <w:rPr>
          <w:rFonts w:ascii="Arial" w:hAnsi="Arial" w:cs="Arial"/>
        </w:rPr>
        <w:t xml:space="preserve"> – odborná kniha, </w:t>
      </w:r>
      <w:r w:rsidRPr="00845AD8">
        <w:rPr>
          <w:rFonts w:ascii="Arial" w:hAnsi="Arial" w:cs="Arial"/>
          <w:i/>
        </w:rPr>
        <w:t xml:space="preserve">C </w:t>
      </w:r>
      <w:r w:rsidRPr="00845AD8">
        <w:rPr>
          <w:rFonts w:ascii="Arial" w:hAnsi="Arial" w:cs="Arial"/>
        </w:rPr>
        <w:t>– kapitola v odborné knize</w:t>
      </w:r>
      <w:r w:rsidRPr="00F224E6">
        <w:rPr>
          <w:rFonts w:ascii="Arial" w:hAnsi="Arial" w:cs="Arial"/>
        </w:rPr>
        <w:t xml:space="preserve"> a </w:t>
      </w:r>
      <w:r w:rsidRPr="00F224E6">
        <w:rPr>
          <w:rFonts w:ascii="Arial" w:hAnsi="Arial" w:cs="Arial"/>
          <w:i/>
        </w:rPr>
        <w:t xml:space="preserve">D </w:t>
      </w:r>
      <w:r w:rsidRPr="00F224E6">
        <w:rPr>
          <w:rFonts w:ascii="Arial" w:hAnsi="Arial" w:cs="Arial"/>
        </w:rPr>
        <w:t>– článek ve sborníku, jsou obvykle spojovány zejména se</w:t>
      </w:r>
      <w:r>
        <w:rPr>
          <w:rFonts w:ascii="Arial" w:hAnsi="Arial" w:cs="Arial"/>
        </w:rPr>
        <w:t> </w:t>
      </w:r>
      <w:r w:rsidRPr="00F224E6">
        <w:rPr>
          <w:rFonts w:ascii="Arial" w:hAnsi="Arial" w:cs="Arial"/>
        </w:rPr>
        <w:t>základním výzkumem, přestože bývají publikována také nová zjištění v aplikovaném výzkumu. Z publikačních výsledků jsou ceněny především ty, které svou kvalitou odpovídají světové špičce.</w:t>
      </w:r>
    </w:p>
    <w:p w:rsidR="006338C7" w:rsidRPr="00F224E6" w:rsidRDefault="006338C7" w:rsidP="006338C7">
      <w:pPr>
        <w:spacing w:after="0" w:line="360" w:lineRule="auto"/>
        <w:ind w:firstLine="709"/>
        <w:jc w:val="both"/>
        <w:rPr>
          <w:rFonts w:ascii="Arial" w:hAnsi="Arial" w:cs="Arial"/>
        </w:rPr>
      </w:pPr>
      <w:r w:rsidRPr="00F224E6">
        <w:rPr>
          <w:rFonts w:ascii="Arial" w:hAnsi="Arial" w:cs="Arial"/>
        </w:rPr>
        <w:t xml:space="preserve">Pokud jde o výsledky nepublikační aplikované, jejich vznik provází nejčastěji aplikovaný výzkum a experimentální vývoj. Do této skupiny patří výsledky druhu </w:t>
      </w:r>
      <w:r w:rsidRPr="00F224E6">
        <w:rPr>
          <w:rFonts w:ascii="Arial" w:hAnsi="Arial" w:cs="Arial"/>
          <w:i/>
        </w:rPr>
        <w:t>P</w:t>
      </w:r>
      <w:r w:rsidRPr="00F224E6">
        <w:rPr>
          <w:rFonts w:ascii="Arial" w:hAnsi="Arial" w:cs="Arial"/>
        </w:rPr>
        <w:t xml:space="preserve"> – patent, </w:t>
      </w:r>
      <w:r w:rsidRPr="00F224E6">
        <w:rPr>
          <w:rFonts w:ascii="Arial" w:hAnsi="Arial" w:cs="Arial"/>
          <w:i/>
        </w:rPr>
        <w:t>Z</w:t>
      </w:r>
      <w:r w:rsidRPr="00F224E6">
        <w:rPr>
          <w:rFonts w:ascii="Arial" w:hAnsi="Arial" w:cs="Arial"/>
        </w:rPr>
        <w:t xml:space="preserve"> – poloprovoz, ověřená technologie, odrůda či plemeno, </w:t>
      </w:r>
      <w:r w:rsidRPr="00F224E6">
        <w:rPr>
          <w:rFonts w:ascii="Arial" w:hAnsi="Arial" w:cs="Arial"/>
          <w:i/>
        </w:rPr>
        <w:t>F</w:t>
      </w:r>
      <w:r w:rsidRPr="00F224E6">
        <w:rPr>
          <w:rFonts w:ascii="Arial" w:hAnsi="Arial" w:cs="Arial"/>
        </w:rPr>
        <w:t xml:space="preserve"> – užitný či průmyslový vzor, </w:t>
      </w:r>
      <w:r w:rsidRPr="00F224E6">
        <w:rPr>
          <w:rFonts w:ascii="Arial" w:hAnsi="Arial" w:cs="Arial"/>
          <w:i/>
        </w:rPr>
        <w:t xml:space="preserve">G </w:t>
      </w:r>
      <w:r w:rsidRPr="00F224E6">
        <w:rPr>
          <w:rFonts w:ascii="Arial" w:hAnsi="Arial" w:cs="Arial"/>
        </w:rPr>
        <w:t xml:space="preserve">– prototyp či funkční vzorek, </w:t>
      </w:r>
      <w:r w:rsidRPr="00F224E6">
        <w:rPr>
          <w:rFonts w:ascii="Arial" w:hAnsi="Arial" w:cs="Arial"/>
          <w:i/>
        </w:rPr>
        <w:t xml:space="preserve">H </w:t>
      </w:r>
      <w:r w:rsidRPr="00F224E6">
        <w:rPr>
          <w:rFonts w:ascii="Arial" w:hAnsi="Arial" w:cs="Arial"/>
        </w:rPr>
        <w:t xml:space="preserve">– výsledek promítnutý do předpisů a strategických materiálů, </w:t>
      </w:r>
      <w:r w:rsidRPr="00F224E6">
        <w:rPr>
          <w:rFonts w:ascii="Arial" w:hAnsi="Arial" w:cs="Arial"/>
          <w:i/>
        </w:rPr>
        <w:t xml:space="preserve">N </w:t>
      </w:r>
      <w:r w:rsidRPr="00F224E6">
        <w:rPr>
          <w:rFonts w:ascii="Arial" w:hAnsi="Arial" w:cs="Arial"/>
        </w:rPr>
        <w:t xml:space="preserve">– certifikovaná metodika, léčebný, památkový postup, či odborná mapa, </w:t>
      </w:r>
      <w:r w:rsidRPr="00F224E6">
        <w:rPr>
          <w:rFonts w:ascii="Arial" w:hAnsi="Arial" w:cs="Arial"/>
          <w:i/>
        </w:rPr>
        <w:t xml:space="preserve">R – </w:t>
      </w:r>
      <w:r w:rsidRPr="00F224E6">
        <w:rPr>
          <w:rFonts w:ascii="Arial" w:hAnsi="Arial" w:cs="Arial"/>
        </w:rPr>
        <w:t xml:space="preserve">software, </w:t>
      </w:r>
      <w:r w:rsidRPr="00F224E6">
        <w:rPr>
          <w:rFonts w:ascii="Arial" w:hAnsi="Arial" w:cs="Arial"/>
          <w:i/>
        </w:rPr>
        <w:t>V</w:t>
      </w:r>
      <w:r w:rsidRPr="00F224E6">
        <w:rPr>
          <w:rFonts w:ascii="Arial" w:hAnsi="Arial" w:cs="Arial"/>
        </w:rPr>
        <w:t xml:space="preserve"> – výzkumná zpráva, a také v minulosti definované výsledky typu </w:t>
      </w:r>
      <w:r w:rsidRPr="00F224E6">
        <w:rPr>
          <w:rFonts w:ascii="Arial" w:hAnsi="Arial" w:cs="Arial"/>
          <w:i/>
        </w:rPr>
        <w:t>S</w:t>
      </w:r>
      <w:r w:rsidRPr="00F224E6">
        <w:rPr>
          <w:rFonts w:ascii="Arial" w:hAnsi="Arial" w:cs="Arial"/>
        </w:rPr>
        <w:t xml:space="preserve"> – souhrnná kategorie pro další aplikované výsledky používaná do roku 2007 a </w:t>
      </w:r>
      <w:r w:rsidRPr="00F224E6">
        <w:rPr>
          <w:rFonts w:ascii="Arial" w:hAnsi="Arial" w:cs="Arial"/>
          <w:i/>
        </w:rPr>
        <w:t>T</w:t>
      </w:r>
      <w:r w:rsidRPr="00F224E6">
        <w:rPr>
          <w:rFonts w:ascii="Arial" w:hAnsi="Arial" w:cs="Arial"/>
        </w:rPr>
        <w:t xml:space="preserve"> – souhrnná kategorie pro další aplikované výsledky používaná do</w:t>
      </w:r>
      <w:r>
        <w:rPr>
          <w:rFonts w:ascii="Arial" w:hAnsi="Arial" w:cs="Arial"/>
        </w:rPr>
        <w:t> </w:t>
      </w:r>
      <w:r w:rsidRPr="00F224E6">
        <w:rPr>
          <w:rFonts w:ascii="Arial" w:hAnsi="Arial" w:cs="Arial"/>
        </w:rPr>
        <w:t>roku 2006. U většiny těchto výsledků se předpokládá jejich využitelnost v praxi s možností komercializace, zejména proto je tvorba takových výsledků akcentována ve strategických dokumentech</w:t>
      </w:r>
      <w:r w:rsidRPr="00F224E6">
        <w:rPr>
          <w:rStyle w:val="Znakapoznpodarou"/>
          <w:rFonts w:ascii="Arial" w:hAnsi="Arial" w:cs="Arial"/>
        </w:rPr>
        <w:footnoteReference w:id="27"/>
      </w:r>
      <w:r w:rsidRPr="00F224E6">
        <w:rPr>
          <w:rFonts w:ascii="Arial" w:hAnsi="Arial" w:cs="Arial"/>
        </w:rPr>
        <w:t xml:space="preserve"> </w:t>
      </w:r>
      <w:proofErr w:type="spellStart"/>
      <w:r w:rsidRPr="00F224E6">
        <w:rPr>
          <w:rFonts w:ascii="Arial" w:hAnsi="Arial" w:cs="Arial"/>
        </w:rPr>
        <w:t>VaVaI</w:t>
      </w:r>
      <w:proofErr w:type="spellEnd"/>
      <w:r w:rsidRPr="00F224E6">
        <w:rPr>
          <w:rFonts w:ascii="Arial" w:hAnsi="Arial" w:cs="Arial"/>
        </w:rPr>
        <w:t>.</w:t>
      </w:r>
    </w:p>
    <w:p w:rsidR="006338C7" w:rsidRPr="001B6F41" w:rsidRDefault="006338C7" w:rsidP="006338C7">
      <w:pPr>
        <w:pStyle w:val="Obrzek-nadpis"/>
      </w:pPr>
      <w:r w:rsidRPr="001B6F41">
        <w:t>Obr.</w:t>
      </w:r>
      <w:r>
        <w:t xml:space="preserve"> 6.1: </w:t>
      </w:r>
      <w:r w:rsidRPr="001B6F41">
        <w:t>Druhy výsledků výzkumu a vývoje definované v ČR</w:t>
      </w:r>
    </w:p>
    <w:tbl>
      <w:tblPr>
        <w:tblW w:w="9058" w:type="dxa"/>
        <w:jc w:val="center"/>
        <w:tblInd w:w="-689" w:type="dxa"/>
        <w:tblCellMar>
          <w:left w:w="70" w:type="dxa"/>
          <w:right w:w="70" w:type="dxa"/>
        </w:tblCellMar>
        <w:tblLook w:val="00A0" w:firstRow="1" w:lastRow="0" w:firstColumn="1" w:lastColumn="0" w:noHBand="0" w:noVBand="0"/>
      </w:tblPr>
      <w:tblGrid>
        <w:gridCol w:w="560"/>
        <w:gridCol w:w="1678"/>
        <w:gridCol w:w="1346"/>
        <w:gridCol w:w="1347"/>
        <w:gridCol w:w="2268"/>
        <w:gridCol w:w="1859"/>
      </w:tblGrid>
      <w:tr w:rsidR="006338C7" w:rsidRPr="00E46D7E" w:rsidTr="006338C7">
        <w:trPr>
          <w:trHeight w:val="600"/>
          <w:jc w:val="center"/>
        </w:trPr>
        <w:tc>
          <w:tcPr>
            <w:tcW w:w="2238" w:type="dxa"/>
            <w:gridSpan w:val="2"/>
            <w:vMerge w:val="restart"/>
            <w:tcBorders>
              <w:top w:val="single" w:sz="4" w:space="0" w:color="auto"/>
              <w:left w:val="single" w:sz="4" w:space="0" w:color="auto"/>
              <w:bottom w:val="single" w:sz="4" w:space="0" w:color="auto"/>
              <w:right w:val="single" w:sz="4" w:space="0" w:color="auto"/>
            </w:tcBorders>
            <w:vAlign w:val="center"/>
          </w:tcPr>
          <w:p w:rsidR="006338C7" w:rsidRPr="00E46D7E" w:rsidRDefault="006338C7" w:rsidP="006338C7">
            <w:pPr>
              <w:jc w:val="center"/>
              <w:rPr>
                <w:color w:val="000000"/>
              </w:rPr>
            </w:pPr>
            <w:r w:rsidRPr="00E46D7E">
              <w:rPr>
                <w:color w:val="000000"/>
              </w:rPr>
              <w:t xml:space="preserve">výsledky publikační </w:t>
            </w:r>
            <w:r>
              <w:rPr>
                <w:color w:val="000000"/>
              </w:rPr>
              <w:br/>
            </w:r>
            <w:r w:rsidRPr="00E46D7E">
              <w:rPr>
                <w:color w:val="000000"/>
              </w:rPr>
              <w:t>(J, B, C, D)</w:t>
            </w:r>
          </w:p>
        </w:tc>
        <w:tc>
          <w:tcPr>
            <w:tcW w:w="6820" w:type="dxa"/>
            <w:gridSpan w:val="4"/>
            <w:tcBorders>
              <w:top w:val="single" w:sz="4" w:space="0" w:color="auto"/>
              <w:left w:val="nil"/>
              <w:bottom w:val="single" w:sz="4" w:space="0" w:color="auto"/>
              <w:right w:val="single" w:sz="4" w:space="0" w:color="auto"/>
            </w:tcBorders>
            <w:noWrap/>
            <w:vAlign w:val="center"/>
          </w:tcPr>
          <w:p w:rsidR="006338C7" w:rsidRPr="00E46D7E" w:rsidRDefault="006338C7" w:rsidP="006338C7">
            <w:pPr>
              <w:jc w:val="center"/>
              <w:rPr>
                <w:color w:val="000000"/>
              </w:rPr>
            </w:pPr>
            <w:r w:rsidRPr="00E46D7E">
              <w:rPr>
                <w:color w:val="000000"/>
              </w:rPr>
              <w:t>výsledky nepublikační</w:t>
            </w:r>
          </w:p>
        </w:tc>
      </w:tr>
      <w:tr w:rsidR="006338C7" w:rsidRPr="00E46D7E" w:rsidTr="006338C7">
        <w:trPr>
          <w:trHeight w:val="300"/>
          <w:jc w:val="center"/>
        </w:trPr>
        <w:tc>
          <w:tcPr>
            <w:tcW w:w="2238" w:type="dxa"/>
            <w:gridSpan w:val="2"/>
            <w:vMerge/>
            <w:tcBorders>
              <w:top w:val="single" w:sz="4" w:space="0" w:color="auto"/>
              <w:left w:val="single" w:sz="4" w:space="0" w:color="auto"/>
              <w:bottom w:val="single" w:sz="4" w:space="0" w:color="auto"/>
              <w:right w:val="single" w:sz="4" w:space="0" w:color="auto"/>
            </w:tcBorders>
            <w:vAlign w:val="center"/>
          </w:tcPr>
          <w:p w:rsidR="006338C7" w:rsidRPr="00E46D7E" w:rsidRDefault="006338C7" w:rsidP="006338C7">
            <w:pPr>
              <w:rPr>
                <w:color w:val="000000"/>
              </w:rPr>
            </w:pPr>
          </w:p>
        </w:tc>
        <w:tc>
          <w:tcPr>
            <w:tcW w:w="4961" w:type="dxa"/>
            <w:gridSpan w:val="3"/>
            <w:tcBorders>
              <w:top w:val="single" w:sz="4" w:space="0" w:color="auto"/>
              <w:left w:val="nil"/>
              <w:bottom w:val="single" w:sz="4" w:space="0" w:color="auto"/>
              <w:right w:val="single" w:sz="4" w:space="0" w:color="auto"/>
            </w:tcBorders>
            <w:noWrap/>
            <w:vAlign w:val="center"/>
          </w:tcPr>
          <w:p w:rsidR="006338C7" w:rsidRPr="00E46D7E" w:rsidRDefault="006338C7" w:rsidP="006338C7">
            <w:pPr>
              <w:jc w:val="center"/>
              <w:rPr>
                <w:color w:val="000000"/>
              </w:rPr>
            </w:pPr>
            <w:r w:rsidRPr="00E46D7E">
              <w:rPr>
                <w:color w:val="000000"/>
              </w:rPr>
              <w:t>aplikované</w:t>
            </w:r>
          </w:p>
        </w:tc>
        <w:tc>
          <w:tcPr>
            <w:tcW w:w="1859" w:type="dxa"/>
            <w:vMerge w:val="restart"/>
            <w:tcBorders>
              <w:top w:val="nil"/>
              <w:left w:val="single" w:sz="4" w:space="0" w:color="auto"/>
              <w:bottom w:val="single" w:sz="4" w:space="0" w:color="000000"/>
              <w:right w:val="single" w:sz="4" w:space="0" w:color="auto"/>
            </w:tcBorders>
            <w:vAlign w:val="center"/>
          </w:tcPr>
          <w:p w:rsidR="006338C7" w:rsidRPr="00E46D7E" w:rsidRDefault="006338C7" w:rsidP="006338C7">
            <w:pPr>
              <w:keepNext/>
              <w:jc w:val="center"/>
              <w:rPr>
                <w:color w:val="000000"/>
              </w:rPr>
            </w:pPr>
            <w:r w:rsidRPr="00E46D7E">
              <w:rPr>
                <w:color w:val="000000"/>
              </w:rPr>
              <w:t>Ostatní</w:t>
            </w:r>
            <w:r>
              <w:rPr>
                <w:color w:val="000000"/>
              </w:rPr>
              <w:br/>
            </w:r>
            <w:r w:rsidRPr="00E46D7E">
              <w:rPr>
                <w:color w:val="000000"/>
              </w:rPr>
              <w:t>(A, M, W, E, O</w:t>
            </w:r>
          </w:p>
        </w:tc>
      </w:tr>
      <w:tr w:rsidR="006338C7" w:rsidRPr="00E46D7E" w:rsidTr="006338C7">
        <w:trPr>
          <w:trHeight w:val="600"/>
          <w:jc w:val="center"/>
        </w:trPr>
        <w:tc>
          <w:tcPr>
            <w:tcW w:w="2238" w:type="dxa"/>
            <w:gridSpan w:val="2"/>
            <w:vMerge/>
            <w:tcBorders>
              <w:top w:val="single" w:sz="4" w:space="0" w:color="auto"/>
              <w:left w:val="single" w:sz="4" w:space="0" w:color="auto"/>
              <w:bottom w:val="single" w:sz="4" w:space="0" w:color="auto"/>
              <w:right w:val="single" w:sz="4" w:space="0" w:color="auto"/>
            </w:tcBorders>
            <w:vAlign w:val="center"/>
          </w:tcPr>
          <w:p w:rsidR="006338C7" w:rsidRPr="00E46D7E" w:rsidRDefault="006338C7" w:rsidP="006338C7">
            <w:pPr>
              <w:rPr>
                <w:color w:val="000000"/>
              </w:rPr>
            </w:pPr>
          </w:p>
        </w:tc>
        <w:tc>
          <w:tcPr>
            <w:tcW w:w="1346" w:type="dxa"/>
            <w:tcBorders>
              <w:top w:val="nil"/>
              <w:left w:val="nil"/>
              <w:bottom w:val="single" w:sz="4" w:space="0" w:color="auto"/>
              <w:right w:val="single" w:sz="4" w:space="0" w:color="auto"/>
            </w:tcBorders>
            <w:shd w:val="clear" w:color="000000" w:fill="D9D9D9"/>
            <w:vAlign w:val="center"/>
          </w:tcPr>
          <w:p w:rsidR="006338C7" w:rsidRPr="00E46D7E" w:rsidRDefault="006338C7" w:rsidP="006338C7">
            <w:pPr>
              <w:jc w:val="center"/>
              <w:rPr>
                <w:color w:val="000000"/>
              </w:rPr>
            </w:pPr>
            <w:r w:rsidRPr="00E46D7E">
              <w:rPr>
                <w:color w:val="000000"/>
              </w:rPr>
              <w:t>patenty (P)</w:t>
            </w:r>
          </w:p>
        </w:tc>
        <w:tc>
          <w:tcPr>
            <w:tcW w:w="1347" w:type="dxa"/>
            <w:tcBorders>
              <w:top w:val="nil"/>
              <w:left w:val="nil"/>
              <w:bottom w:val="single" w:sz="4" w:space="0" w:color="auto"/>
              <w:right w:val="single" w:sz="4" w:space="0" w:color="auto"/>
            </w:tcBorders>
            <w:shd w:val="clear" w:color="000000" w:fill="D9D9D9"/>
            <w:vAlign w:val="center"/>
          </w:tcPr>
          <w:p w:rsidR="006338C7" w:rsidRPr="00E46D7E" w:rsidRDefault="006338C7" w:rsidP="006338C7">
            <w:pPr>
              <w:jc w:val="center"/>
              <w:rPr>
                <w:color w:val="000000"/>
              </w:rPr>
            </w:pPr>
            <w:r w:rsidRPr="00E46D7E">
              <w:rPr>
                <w:color w:val="000000"/>
              </w:rPr>
              <w:t xml:space="preserve">užitné </w:t>
            </w:r>
            <w:r>
              <w:rPr>
                <w:color w:val="000000"/>
              </w:rPr>
              <w:t xml:space="preserve">či průmyslové </w:t>
            </w:r>
            <w:r w:rsidRPr="00E46D7E">
              <w:rPr>
                <w:color w:val="000000"/>
              </w:rPr>
              <w:t>vzory (F)</w:t>
            </w:r>
          </w:p>
        </w:tc>
        <w:tc>
          <w:tcPr>
            <w:tcW w:w="2268" w:type="dxa"/>
            <w:tcBorders>
              <w:top w:val="nil"/>
              <w:left w:val="nil"/>
              <w:bottom w:val="single" w:sz="4" w:space="0" w:color="auto"/>
              <w:right w:val="single" w:sz="4" w:space="0" w:color="auto"/>
            </w:tcBorders>
            <w:vAlign w:val="center"/>
          </w:tcPr>
          <w:p w:rsidR="006338C7" w:rsidRPr="00E46D7E" w:rsidRDefault="006338C7" w:rsidP="006338C7">
            <w:pPr>
              <w:jc w:val="center"/>
              <w:rPr>
                <w:color w:val="000000"/>
              </w:rPr>
            </w:pPr>
            <w:r w:rsidRPr="00E46D7E">
              <w:rPr>
                <w:color w:val="000000"/>
              </w:rPr>
              <w:t xml:space="preserve">další aplikované </w:t>
            </w:r>
            <w:r>
              <w:rPr>
                <w:color w:val="000000"/>
              </w:rPr>
              <w:br/>
            </w:r>
            <w:r w:rsidRPr="00E46D7E">
              <w:rPr>
                <w:color w:val="000000"/>
              </w:rPr>
              <w:t>(Z, G, H, N, R, V</w:t>
            </w:r>
            <w:r>
              <w:rPr>
                <w:color w:val="000000"/>
              </w:rPr>
              <w:t>, S, T</w:t>
            </w:r>
            <w:r w:rsidRPr="00E46D7E">
              <w:rPr>
                <w:color w:val="000000"/>
              </w:rPr>
              <w:t>)</w:t>
            </w:r>
          </w:p>
        </w:tc>
        <w:tc>
          <w:tcPr>
            <w:tcW w:w="1859" w:type="dxa"/>
            <w:vMerge/>
            <w:tcBorders>
              <w:top w:val="nil"/>
              <w:left w:val="single" w:sz="4" w:space="0" w:color="auto"/>
              <w:bottom w:val="single" w:sz="4" w:space="0" w:color="000000"/>
              <w:right w:val="single" w:sz="4" w:space="0" w:color="auto"/>
            </w:tcBorders>
            <w:vAlign w:val="center"/>
          </w:tcPr>
          <w:p w:rsidR="006338C7" w:rsidRPr="00E46D7E" w:rsidRDefault="006338C7" w:rsidP="006338C7">
            <w:pPr>
              <w:rPr>
                <w:color w:val="000000"/>
              </w:rPr>
            </w:pPr>
          </w:p>
        </w:tc>
      </w:tr>
      <w:tr w:rsidR="006338C7" w:rsidRPr="001B6F41" w:rsidTr="006338C7">
        <w:trPr>
          <w:trHeight w:val="300"/>
          <w:jc w:val="center"/>
        </w:trPr>
        <w:tc>
          <w:tcPr>
            <w:tcW w:w="560" w:type="dxa"/>
            <w:tcBorders>
              <w:top w:val="nil"/>
              <w:left w:val="nil"/>
              <w:bottom w:val="nil"/>
              <w:right w:val="nil"/>
            </w:tcBorders>
            <w:shd w:val="clear" w:color="000000" w:fill="D9D9D9"/>
            <w:noWrap/>
            <w:vAlign w:val="bottom"/>
          </w:tcPr>
          <w:p w:rsidR="006338C7" w:rsidRPr="001B6F41" w:rsidRDefault="006338C7" w:rsidP="006338C7">
            <w:pPr>
              <w:jc w:val="both"/>
              <w:rPr>
                <w:i/>
                <w:sz w:val="20"/>
                <w:szCs w:val="20"/>
              </w:rPr>
            </w:pPr>
            <w:r w:rsidRPr="001B6F41">
              <w:rPr>
                <w:i/>
                <w:sz w:val="20"/>
                <w:szCs w:val="20"/>
              </w:rPr>
              <w:t> </w:t>
            </w:r>
          </w:p>
        </w:tc>
        <w:tc>
          <w:tcPr>
            <w:tcW w:w="4371" w:type="dxa"/>
            <w:gridSpan w:val="3"/>
            <w:tcBorders>
              <w:top w:val="nil"/>
              <w:left w:val="nil"/>
              <w:bottom w:val="nil"/>
              <w:right w:val="nil"/>
            </w:tcBorders>
            <w:noWrap/>
            <w:vAlign w:val="bottom"/>
          </w:tcPr>
          <w:p w:rsidR="006338C7" w:rsidRPr="001B6F41" w:rsidRDefault="006338C7" w:rsidP="006338C7">
            <w:pPr>
              <w:jc w:val="both"/>
              <w:rPr>
                <w:i/>
                <w:sz w:val="20"/>
                <w:szCs w:val="20"/>
                <w:highlight w:val="yellow"/>
              </w:rPr>
            </w:pPr>
            <w:r w:rsidRPr="001B6F41">
              <w:rPr>
                <w:i/>
                <w:sz w:val="20"/>
                <w:szCs w:val="20"/>
              </w:rPr>
              <w:t xml:space="preserve">výsledky </w:t>
            </w:r>
            <w:r>
              <w:rPr>
                <w:i/>
                <w:sz w:val="20"/>
                <w:szCs w:val="20"/>
              </w:rPr>
              <w:t>se zvláštní</w:t>
            </w:r>
            <w:r w:rsidRPr="001B6F41">
              <w:rPr>
                <w:i/>
                <w:sz w:val="20"/>
                <w:szCs w:val="20"/>
              </w:rPr>
              <w:t xml:space="preserve"> právní ochranou</w:t>
            </w:r>
          </w:p>
        </w:tc>
        <w:tc>
          <w:tcPr>
            <w:tcW w:w="2268" w:type="dxa"/>
            <w:tcBorders>
              <w:top w:val="nil"/>
              <w:left w:val="nil"/>
              <w:bottom w:val="nil"/>
              <w:right w:val="nil"/>
            </w:tcBorders>
            <w:noWrap/>
            <w:vAlign w:val="bottom"/>
          </w:tcPr>
          <w:p w:rsidR="006338C7" w:rsidRPr="001B6F41" w:rsidRDefault="006338C7" w:rsidP="006338C7">
            <w:pPr>
              <w:jc w:val="both"/>
              <w:rPr>
                <w:i/>
                <w:sz w:val="20"/>
                <w:szCs w:val="20"/>
                <w:highlight w:val="yellow"/>
              </w:rPr>
            </w:pPr>
          </w:p>
        </w:tc>
        <w:tc>
          <w:tcPr>
            <w:tcW w:w="1859" w:type="dxa"/>
            <w:tcBorders>
              <w:top w:val="nil"/>
              <w:left w:val="nil"/>
              <w:bottom w:val="nil"/>
              <w:right w:val="nil"/>
            </w:tcBorders>
            <w:noWrap/>
            <w:vAlign w:val="bottom"/>
          </w:tcPr>
          <w:p w:rsidR="006338C7" w:rsidRPr="001B6F41" w:rsidRDefault="006338C7" w:rsidP="006338C7">
            <w:pPr>
              <w:jc w:val="both"/>
              <w:rPr>
                <w:i/>
                <w:sz w:val="20"/>
                <w:szCs w:val="20"/>
                <w:highlight w:val="yellow"/>
              </w:rPr>
            </w:pPr>
          </w:p>
        </w:tc>
      </w:tr>
    </w:tbl>
    <w:p w:rsidR="006338C7" w:rsidRPr="001B6F41" w:rsidRDefault="006338C7" w:rsidP="006338C7">
      <w:pPr>
        <w:pStyle w:val="komentzaobrzkem"/>
        <w:spacing w:before="120" w:after="120"/>
        <w:rPr>
          <w:highlight w:val="yellow"/>
        </w:rPr>
      </w:pPr>
      <w:r w:rsidRPr="00786BDE">
        <w:t xml:space="preserve">V závorkách jsou uvedeny kódy výsledků definovaných v příloze č. 2 </w:t>
      </w:r>
      <w:r>
        <w:t>M</w:t>
      </w:r>
      <w:r w:rsidRPr="00786BDE">
        <w:t>etodiky hodnocení výsledků výzkumných organizací a hodnocení výsledků ukončených programů (platné pro léta 2013 až 201</w:t>
      </w:r>
      <w:r w:rsidR="004F7E1A">
        <w:t>6</w:t>
      </w:r>
      <w:r w:rsidRPr="00786BDE">
        <w:t>)</w:t>
      </w:r>
    </w:p>
    <w:p w:rsidR="006338C7" w:rsidRPr="00845AD8" w:rsidRDefault="006338C7" w:rsidP="006338C7">
      <w:pPr>
        <w:spacing w:after="0" w:line="360" w:lineRule="auto"/>
        <w:ind w:firstLine="709"/>
        <w:jc w:val="both"/>
        <w:rPr>
          <w:rFonts w:ascii="Arial" w:hAnsi="Arial" w:cs="Arial"/>
        </w:rPr>
      </w:pPr>
      <w:r w:rsidRPr="00F224E6">
        <w:rPr>
          <w:rFonts w:ascii="Arial" w:hAnsi="Arial" w:cs="Arial"/>
        </w:rPr>
        <w:lastRenderedPageBreak/>
        <w:t xml:space="preserve">Na základě výsledků je v ČR prováděno hodnocení výzkumných organizací. Z pohledu efektivity využití financí je potřeba sledovat </w:t>
      </w:r>
      <w:r w:rsidRPr="00845AD8">
        <w:rPr>
          <w:rFonts w:ascii="Arial" w:hAnsi="Arial" w:cs="Arial"/>
        </w:rPr>
        <w:t>především podíl konkrétních druhů výsledků a jejich kvalitu, případně potenciál k praktickému využití. Kvalitu publikačních výsledků lze v případě článků v periodikách odvozovat od úrovně těchto periodik (dáno registrací a pořadím časopisů v uznávaných světových databázích, např. impakt faktory</w:t>
      </w:r>
      <w:r w:rsidR="001B11DC">
        <w:rPr>
          <w:rStyle w:val="Znakapoznpodarou"/>
          <w:rFonts w:ascii="Arial" w:hAnsi="Arial" w:cs="Arial"/>
        </w:rPr>
        <w:footnoteReference w:id="28"/>
      </w:r>
      <w:r w:rsidRPr="00845AD8">
        <w:rPr>
          <w:rFonts w:ascii="Arial" w:hAnsi="Arial" w:cs="Arial"/>
        </w:rPr>
        <w:t xml:space="preserve"> periodik indexovaných ve Web </w:t>
      </w:r>
      <w:proofErr w:type="spellStart"/>
      <w:r w:rsidRPr="00845AD8">
        <w:rPr>
          <w:rFonts w:ascii="Arial" w:hAnsi="Arial" w:cs="Arial"/>
        </w:rPr>
        <w:t>of</w:t>
      </w:r>
      <w:proofErr w:type="spellEnd"/>
      <w:r w:rsidRPr="00845AD8">
        <w:rPr>
          <w:rFonts w:ascii="Arial" w:hAnsi="Arial" w:cs="Arial"/>
        </w:rPr>
        <w:t xml:space="preserve"> Science) a vlastní citovanosti článků, která obvykle svědčí o využívání poznatků v nich obsažených jinými autory v souvisejících výzkumných a vývojových aktivitách. U monografií a</w:t>
      </w:r>
      <w:r>
        <w:rPr>
          <w:rFonts w:ascii="Arial" w:hAnsi="Arial" w:cs="Arial"/>
        </w:rPr>
        <w:t> </w:t>
      </w:r>
      <w:r w:rsidRPr="00845AD8">
        <w:rPr>
          <w:rFonts w:ascii="Arial" w:hAnsi="Arial" w:cs="Arial"/>
        </w:rPr>
        <w:t>článků ve sbornících podobný ukazatel kvality chybí. Kvalita aplikovaných výsledků není posuzována, podstatné jsou přínosy těchto výsledků v podobě jejich praktického využití. U patentů lze přínosy odvozovat od finančních prostředků utržených za prodej licencí, ne vždy je však prodej licencí cílem patentové ochrany, často jde o snahu ochránit unikátní postup či technologii za</w:t>
      </w:r>
      <w:r>
        <w:rPr>
          <w:rFonts w:ascii="Arial" w:hAnsi="Arial" w:cs="Arial"/>
        </w:rPr>
        <w:t> </w:t>
      </w:r>
      <w:r w:rsidRPr="00845AD8">
        <w:rPr>
          <w:rFonts w:ascii="Arial" w:hAnsi="Arial" w:cs="Arial"/>
        </w:rPr>
        <w:t>účelem jejich dalšího využití v instituci původce.</w:t>
      </w:r>
    </w:p>
    <w:p w:rsidR="006338C7" w:rsidRPr="00845AD8" w:rsidRDefault="006338C7" w:rsidP="006338C7">
      <w:pPr>
        <w:spacing w:after="0" w:line="360" w:lineRule="auto"/>
        <w:ind w:firstLine="709"/>
        <w:jc w:val="both"/>
        <w:rPr>
          <w:rFonts w:ascii="Arial" w:hAnsi="Arial" w:cs="Arial"/>
        </w:rPr>
      </w:pPr>
      <w:r w:rsidRPr="00845AD8">
        <w:rPr>
          <w:rFonts w:ascii="Arial" w:hAnsi="Arial" w:cs="Arial"/>
        </w:rPr>
        <w:t xml:space="preserve">Údaje o výsledcích z IS </w:t>
      </w:r>
      <w:proofErr w:type="spellStart"/>
      <w:r w:rsidRPr="00845AD8">
        <w:rPr>
          <w:rFonts w:ascii="Arial" w:hAnsi="Arial" w:cs="Arial"/>
        </w:rPr>
        <w:t>VaVaI</w:t>
      </w:r>
      <w:proofErr w:type="spellEnd"/>
      <w:r w:rsidRPr="00845AD8">
        <w:rPr>
          <w:rFonts w:ascii="Arial" w:hAnsi="Arial" w:cs="Arial"/>
        </w:rPr>
        <w:t xml:space="preserve"> poskytují ucelený přehled o produktivitě </w:t>
      </w:r>
      <w:proofErr w:type="spellStart"/>
      <w:r w:rsidRPr="00845AD8">
        <w:rPr>
          <w:rFonts w:ascii="Arial" w:hAnsi="Arial" w:cs="Arial"/>
        </w:rPr>
        <w:t>VaVaI</w:t>
      </w:r>
      <w:proofErr w:type="spellEnd"/>
      <w:r w:rsidRPr="00845AD8">
        <w:rPr>
          <w:rFonts w:ascii="Arial" w:hAnsi="Arial" w:cs="Arial"/>
        </w:rPr>
        <w:t xml:space="preserve"> v ČR. Ve</w:t>
      </w:r>
      <w:r>
        <w:rPr>
          <w:rFonts w:ascii="Arial" w:hAnsi="Arial" w:cs="Arial"/>
        </w:rPr>
        <w:t> </w:t>
      </w:r>
      <w:r w:rsidRPr="00845AD8">
        <w:rPr>
          <w:rFonts w:ascii="Arial" w:hAnsi="Arial" w:cs="Arial"/>
        </w:rPr>
        <w:t xml:space="preserve">vazbě na charakter podpory prováděného </w:t>
      </w:r>
      <w:proofErr w:type="spellStart"/>
      <w:r w:rsidRPr="00845AD8">
        <w:rPr>
          <w:rFonts w:ascii="Arial" w:hAnsi="Arial" w:cs="Arial"/>
        </w:rPr>
        <w:t>VaVaI</w:t>
      </w:r>
      <w:proofErr w:type="spellEnd"/>
      <w:r w:rsidRPr="00845AD8">
        <w:rPr>
          <w:rFonts w:ascii="Arial" w:hAnsi="Arial" w:cs="Arial"/>
        </w:rPr>
        <w:t xml:space="preserve"> (účelová nebo institucionální, podrobněji viz kapitola 2 - Financování </w:t>
      </w:r>
      <w:proofErr w:type="spellStart"/>
      <w:r w:rsidRPr="00845AD8">
        <w:rPr>
          <w:rFonts w:ascii="Arial" w:hAnsi="Arial" w:cs="Arial"/>
        </w:rPr>
        <w:t>VaVaI</w:t>
      </w:r>
      <w:proofErr w:type="spellEnd"/>
      <w:r w:rsidRPr="00845AD8">
        <w:rPr>
          <w:rFonts w:ascii="Arial" w:hAnsi="Arial" w:cs="Arial"/>
        </w:rPr>
        <w:t xml:space="preserve"> ze státního rozpočtu) lze dílčím způsobem hodnotit finanční nástroje. Je však nutno mít na zřeteli také zásadní omezení spojená s využitím informací o</w:t>
      </w:r>
      <w:r>
        <w:rPr>
          <w:rFonts w:ascii="Arial" w:hAnsi="Arial" w:cs="Arial"/>
        </w:rPr>
        <w:t> </w:t>
      </w:r>
      <w:r w:rsidRPr="00845AD8">
        <w:rPr>
          <w:rFonts w:ascii="Arial" w:hAnsi="Arial" w:cs="Arial"/>
        </w:rPr>
        <w:t>výsledcích:</w:t>
      </w:r>
    </w:p>
    <w:p w:rsidR="006338C7" w:rsidRPr="00845AD8" w:rsidRDefault="006338C7" w:rsidP="006338C7">
      <w:pPr>
        <w:numPr>
          <w:ilvl w:val="0"/>
          <w:numId w:val="8"/>
        </w:numPr>
        <w:spacing w:after="0" w:line="360" w:lineRule="auto"/>
        <w:contextualSpacing/>
        <w:jc w:val="both"/>
        <w:rPr>
          <w:rFonts w:ascii="Arial" w:eastAsia="Times New Roman" w:hAnsi="Arial" w:cs="Arial"/>
          <w:i/>
          <w:lang w:eastAsia="cs-CZ"/>
        </w:rPr>
      </w:pPr>
      <w:r w:rsidRPr="00845AD8">
        <w:rPr>
          <w:rFonts w:ascii="Arial" w:eastAsia="Times New Roman" w:hAnsi="Arial" w:cs="Arial"/>
          <w:i/>
          <w:lang w:eastAsia="cs-CZ"/>
        </w:rPr>
        <w:t xml:space="preserve">Předávání údajů o výsledcích výzkumu a vývoje do IS </w:t>
      </w:r>
      <w:proofErr w:type="spellStart"/>
      <w:r w:rsidRPr="00845AD8">
        <w:rPr>
          <w:rFonts w:ascii="Arial" w:eastAsia="Times New Roman" w:hAnsi="Arial" w:cs="Arial"/>
          <w:i/>
          <w:lang w:eastAsia="cs-CZ"/>
        </w:rPr>
        <w:t>VaVaI</w:t>
      </w:r>
      <w:proofErr w:type="spellEnd"/>
      <w:r w:rsidRPr="00845AD8">
        <w:rPr>
          <w:rFonts w:ascii="Arial" w:eastAsia="Times New Roman" w:hAnsi="Arial" w:cs="Arial"/>
          <w:i/>
          <w:lang w:eastAsia="cs-CZ"/>
        </w:rPr>
        <w:t xml:space="preserve"> je zákonem o podpoře výzkumu, experimentálního vývoje a inovací stanovenou povinností pouze pro příjemce dotace z veřejných rozpočtů na výzkum, vývoj a inovace. Informace o výsledcích v podnikatelské sféře jsou tím značně omezeny. </w:t>
      </w:r>
    </w:p>
    <w:p w:rsidR="006338C7" w:rsidRPr="00F224E6" w:rsidRDefault="006338C7" w:rsidP="006338C7">
      <w:pPr>
        <w:numPr>
          <w:ilvl w:val="0"/>
          <w:numId w:val="8"/>
        </w:numPr>
        <w:spacing w:after="0" w:line="360" w:lineRule="auto"/>
        <w:contextualSpacing/>
        <w:jc w:val="both"/>
        <w:rPr>
          <w:rFonts w:ascii="Arial" w:eastAsia="Times New Roman" w:hAnsi="Arial" w:cs="Arial"/>
          <w:i/>
          <w:lang w:eastAsia="cs-CZ"/>
        </w:rPr>
      </w:pPr>
      <w:r w:rsidRPr="00845AD8">
        <w:rPr>
          <w:rFonts w:ascii="Arial" w:eastAsia="Times New Roman" w:hAnsi="Arial" w:cs="Arial"/>
          <w:i/>
          <w:lang w:eastAsia="cs-CZ"/>
        </w:rPr>
        <w:t>Většinu výše uvedených druhů výsledků nelze chápat jako výsledek v pravém slova smyslu, neboť cílem prováděného výzkumu, ať již základního nebo aplikovaného, není tvorba publikace, ale získání nového poznatku. Publikace je tudíž způsobem zveřejnění poznatku, tj. jeho šíření. Podobně patent či užitný nebo průmyslový vzor není primárním cílem aplikovaného výzkumu či experimentálního</w:t>
      </w:r>
      <w:r w:rsidRPr="00F224E6">
        <w:rPr>
          <w:rFonts w:ascii="Arial" w:eastAsia="Times New Roman" w:hAnsi="Arial" w:cs="Arial"/>
          <w:i/>
          <w:lang w:eastAsia="cs-CZ"/>
        </w:rPr>
        <w:t xml:space="preserve"> vývoje, ale formou ochrany nových zjištění. Z analytického pohledu se jedná o zásadní indikátory svědčící o úrovni provádění výzkumu, nelze však jimi přímo měřit výkonnost vý</w:t>
      </w:r>
      <w:r>
        <w:rPr>
          <w:rFonts w:ascii="Arial" w:eastAsia="Times New Roman" w:hAnsi="Arial" w:cs="Arial"/>
          <w:i/>
          <w:lang w:eastAsia="cs-CZ"/>
        </w:rPr>
        <w:t>zkumných a vývojových činností.</w:t>
      </w:r>
    </w:p>
    <w:p w:rsidR="006338C7" w:rsidRPr="00F224E6" w:rsidRDefault="006338C7" w:rsidP="006338C7">
      <w:pPr>
        <w:numPr>
          <w:ilvl w:val="0"/>
          <w:numId w:val="8"/>
        </w:numPr>
        <w:spacing w:after="0" w:line="360" w:lineRule="auto"/>
        <w:contextualSpacing/>
        <w:jc w:val="both"/>
        <w:rPr>
          <w:rFonts w:ascii="Arial" w:eastAsia="Times New Roman" w:hAnsi="Arial" w:cs="Arial"/>
          <w:i/>
          <w:lang w:eastAsia="cs-CZ"/>
        </w:rPr>
      </w:pPr>
      <w:r w:rsidRPr="00F224E6">
        <w:rPr>
          <w:rFonts w:ascii="Arial" w:eastAsia="Times New Roman" w:hAnsi="Arial" w:cs="Arial"/>
          <w:i/>
          <w:lang w:eastAsia="cs-CZ"/>
        </w:rPr>
        <w:t>Skutečným přínosem výzkumu a vývoje je teprve využití nových poznatků, ať již publikovaných, nebo právně ochráněných, nikoliv tvorba publikací, patentů, průmyslových a</w:t>
      </w:r>
      <w:r>
        <w:rPr>
          <w:rFonts w:ascii="Arial" w:eastAsia="Times New Roman" w:hAnsi="Arial" w:cs="Arial"/>
          <w:i/>
          <w:lang w:eastAsia="cs-CZ"/>
        </w:rPr>
        <w:t> </w:t>
      </w:r>
      <w:r w:rsidRPr="00F224E6">
        <w:rPr>
          <w:rFonts w:ascii="Arial" w:eastAsia="Times New Roman" w:hAnsi="Arial" w:cs="Arial"/>
          <w:i/>
          <w:lang w:eastAsia="cs-CZ"/>
        </w:rPr>
        <w:t>užitných vzorů sama o sobě.</w:t>
      </w:r>
    </w:p>
    <w:p w:rsidR="006338C7" w:rsidRPr="000133CE" w:rsidRDefault="006338C7" w:rsidP="00A844E8">
      <w:pPr>
        <w:pStyle w:val="NadpisurovemII"/>
        <w:rPr>
          <w:highlight w:val="yellow"/>
        </w:rPr>
      </w:pPr>
      <w:bookmarkStart w:id="14" w:name="_Toc427676901"/>
      <w:bookmarkStart w:id="15" w:name="_Toc464461101"/>
      <w:r w:rsidRPr="00071A9A">
        <w:t xml:space="preserve">6.1. </w:t>
      </w:r>
      <w:r w:rsidRPr="000133CE">
        <w:rPr>
          <w:highlight w:val="yellow"/>
        </w:rPr>
        <w:t>Druhy výsledků a časový trend jejich počtů</w:t>
      </w:r>
      <w:bookmarkEnd w:id="14"/>
      <w:bookmarkEnd w:id="15"/>
    </w:p>
    <w:p w:rsidR="006338C7" w:rsidRPr="000133CE" w:rsidRDefault="006338C7" w:rsidP="00A844E8">
      <w:pPr>
        <w:pStyle w:val="NadpisurovemII"/>
        <w:rPr>
          <w:highlight w:val="yellow"/>
        </w:rPr>
      </w:pPr>
      <w:bookmarkStart w:id="16" w:name="_Toc427676902"/>
      <w:bookmarkStart w:id="17" w:name="_Toc464461102"/>
      <w:r w:rsidRPr="000133CE">
        <w:rPr>
          <w:highlight w:val="yellow"/>
        </w:rPr>
        <w:t>6.2. Oborová struktura výsledků a její změny v čase</w:t>
      </w:r>
      <w:bookmarkEnd w:id="16"/>
      <w:bookmarkEnd w:id="17"/>
    </w:p>
    <w:p w:rsidR="006338C7" w:rsidRPr="00071A9A" w:rsidRDefault="006338C7" w:rsidP="00A844E8">
      <w:pPr>
        <w:pStyle w:val="NadpisurovemII"/>
      </w:pPr>
      <w:bookmarkStart w:id="18" w:name="_Toc427676903"/>
      <w:bookmarkStart w:id="19" w:name="_Toc464461103"/>
      <w:r w:rsidRPr="00071A9A">
        <w:t xml:space="preserve">6.3. Kvalita </w:t>
      </w:r>
      <w:r w:rsidRPr="00D34BA2">
        <w:t>výsledků</w:t>
      </w:r>
      <w:r w:rsidRPr="00071A9A">
        <w:t xml:space="preserve"> a jejich mezinárodní srovnání</w:t>
      </w:r>
      <w:bookmarkEnd w:id="18"/>
      <w:bookmarkEnd w:id="19"/>
    </w:p>
    <w:p w:rsidR="006338C7" w:rsidRPr="009A04A4" w:rsidRDefault="006338C7" w:rsidP="006338C7">
      <w:pPr>
        <w:spacing w:after="0" w:line="360" w:lineRule="auto"/>
        <w:ind w:firstLine="709"/>
        <w:jc w:val="both"/>
        <w:rPr>
          <w:rFonts w:ascii="Arial" w:hAnsi="Arial" w:cs="Arial"/>
        </w:rPr>
      </w:pPr>
      <w:r w:rsidRPr="001F1BEC">
        <w:rPr>
          <w:rFonts w:ascii="Arial" w:hAnsi="Arial" w:cs="Arial"/>
          <w:highlight w:val="yellow"/>
        </w:rPr>
        <w:t xml:space="preserve">Z hlediska kvality vytvořených publikací je podstatné kromě sledování poměru jednotlivých druhů rovněž detailnější členění recenzovaných článků dle indexace ve světových databázích. </w:t>
      </w:r>
      <w:r w:rsidRPr="001F1BEC">
        <w:rPr>
          <w:rFonts w:ascii="Arial" w:hAnsi="Arial" w:cs="Arial"/>
          <w:highlight w:val="yellow"/>
        </w:rPr>
        <w:lastRenderedPageBreak/>
        <w:t>IS </w:t>
      </w:r>
      <w:proofErr w:type="spellStart"/>
      <w:r w:rsidRPr="001F1BEC">
        <w:rPr>
          <w:rFonts w:ascii="Arial" w:hAnsi="Arial" w:cs="Arial"/>
          <w:highlight w:val="yellow"/>
        </w:rPr>
        <w:t>VaVaI</w:t>
      </w:r>
      <w:proofErr w:type="spellEnd"/>
      <w:r w:rsidRPr="001F1BEC">
        <w:rPr>
          <w:rFonts w:ascii="Arial" w:hAnsi="Arial" w:cs="Arial"/>
          <w:highlight w:val="yellow"/>
        </w:rPr>
        <w:t xml:space="preserve"> takové členění neumožňuje, neboť neobsahuje u recenzovaných článků informaci o tom, zda a ve které světově uznávané databázi (Web </w:t>
      </w:r>
      <w:proofErr w:type="spellStart"/>
      <w:r w:rsidRPr="001F1BEC">
        <w:rPr>
          <w:rFonts w:ascii="Arial" w:hAnsi="Arial" w:cs="Arial"/>
          <w:highlight w:val="yellow"/>
        </w:rPr>
        <w:t>of</w:t>
      </w:r>
      <w:proofErr w:type="spellEnd"/>
      <w:r w:rsidRPr="001F1BEC">
        <w:rPr>
          <w:rFonts w:ascii="Arial" w:hAnsi="Arial" w:cs="Arial"/>
          <w:highlight w:val="yellow"/>
        </w:rPr>
        <w:t xml:space="preserve"> Science, </w:t>
      </w:r>
      <w:proofErr w:type="spellStart"/>
      <w:r w:rsidRPr="001F1BEC">
        <w:rPr>
          <w:rFonts w:ascii="Arial" w:hAnsi="Arial" w:cs="Arial"/>
          <w:highlight w:val="yellow"/>
        </w:rPr>
        <w:t>Scopus</w:t>
      </w:r>
      <w:proofErr w:type="spellEnd"/>
      <w:r w:rsidRPr="001F1BEC">
        <w:rPr>
          <w:rFonts w:ascii="Arial" w:hAnsi="Arial" w:cs="Arial"/>
          <w:highlight w:val="yellow"/>
        </w:rPr>
        <w:t xml:space="preserve">, nebo ERIH v případě humanitních vědních oborů) se publikace nachází. Tuto informaci lze získat na základě procesu hodnocení výsledků výzkumných organizací. V obrázku 6.3 je uvedeno rozdělení na základě údajů z posledního dokončeného hodnocení z roku 2013, které obsahuje výsledky za roky 2008 – 2012. Největší počet vysoce ceněných článků indexovaných Web </w:t>
      </w:r>
      <w:proofErr w:type="spellStart"/>
      <w:r w:rsidRPr="001F1BEC">
        <w:rPr>
          <w:rFonts w:ascii="Arial" w:hAnsi="Arial" w:cs="Arial"/>
          <w:highlight w:val="yellow"/>
        </w:rPr>
        <w:t>of</w:t>
      </w:r>
      <w:proofErr w:type="spellEnd"/>
      <w:r w:rsidRPr="001F1BEC">
        <w:rPr>
          <w:rFonts w:ascii="Arial" w:hAnsi="Arial" w:cs="Arial"/>
          <w:highlight w:val="yellow"/>
        </w:rPr>
        <w:t xml:space="preserve"> Science vzniká na vysokých školách. Je to však dáno tím, že vysoké školy produkují celkově nejvíce recenzovaných článků (také zaměstnávají nejvíce výzkumných pracovníků</w:t>
      </w:r>
      <w:r w:rsidR="00162477">
        <w:rPr>
          <w:rFonts w:ascii="Arial" w:hAnsi="Arial" w:cs="Arial"/>
          <w:highlight w:val="yellow"/>
        </w:rPr>
        <w:t xml:space="preserve">, jak je patrné s Kapitoly 4 – Lidské zdroje ve </w:t>
      </w:r>
      <w:proofErr w:type="spellStart"/>
      <w:r w:rsidR="00162477">
        <w:rPr>
          <w:rFonts w:ascii="Arial" w:hAnsi="Arial" w:cs="Arial"/>
          <w:highlight w:val="yellow"/>
        </w:rPr>
        <w:t>VaV</w:t>
      </w:r>
      <w:proofErr w:type="spellEnd"/>
      <w:r w:rsidRPr="001F1BEC">
        <w:rPr>
          <w:rFonts w:ascii="Arial" w:hAnsi="Arial" w:cs="Arial"/>
          <w:highlight w:val="yellow"/>
        </w:rPr>
        <w:t xml:space="preserve">). Pokud se však zaměříme na podíl publikací ve Web </w:t>
      </w:r>
      <w:proofErr w:type="spellStart"/>
      <w:r w:rsidRPr="001F1BEC">
        <w:rPr>
          <w:rFonts w:ascii="Arial" w:hAnsi="Arial" w:cs="Arial"/>
          <w:highlight w:val="yellow"/>
        </w:rPr>
        <w:t>of</w:t>
      </w:r>
      <w:proofErr w:type="spellEnd"/>
      <w:r w:rsidRPr="001F1BEC">
        <w:rPr>
          <w:rFonts w:ascii="Arial" w:hAnsi="Arial" w:cs="Arial"/>
          <w:highlight w:val="yellow"/>
        </w:rPr>
        <w:t xml:space="preserve"> Science na všech recenzovaných článcích vyprodukovaných danou skupinou subjektů, ústavy AV ČR výrazně převyšují vysoké školy (80 % článků ve </w:t>
      </w:r>
      <w:proofErr w:type="gramStart"/>
      <w:r w:rsidRPr="001F1BEC">
        <w:rPr>
          <w:rFonts w:ascii="Arial" w:hAnsi="Arial" w:cs="Arial"/>
          <w:highlight w:val="yellow"/>
        </w:rPr>
        <w:t>Web</w:t>
      </w:r>
      <w:proofErr w:type="gramEnd"/>
      <w:r w:rsidRPr="001F1BEC">
        <w:rPr>
          <w:rFonts w:ascii="Arial" w:hAnsi="Arial" w:cs="Arial"/>
          <w:highlight w:val="yellow"/>
        </w:rPr>
        <w:t xml:space="preserve"> </w:t>
      </w:r>
      <w:proofErr w:type="spellStart"/>
      <w:r w:rsidRPr="001F1BEC">
        <w:rPr>
          <w:rFonts w:ascii="Arial" w:hAnsi="Arial" w:cs="Arial"/>
          <w:highlight w:val="yellow"/>
        </w:rPr>
        <w:t>of</w:t>
      </w:r>
      <w:proofErr w:type="spellEnd"/>
      <w:r w:rsidRPr="001F1BEC">
        <w:rPr>
          <w:rFonts w:ascii="Arial" w:hAnsi="Arial" w:cs="Arial"/>
          <w:highlight w:val="yellow"/>
        </w:rPr>
        <w:t xml:space="preserve"> Science v případě ústavů AV ČR oproti 45 % u vysokých škol). U vysokých škol se, podobně jako u státních příspěvkových organizací a podnikatelských subjektů, ve významnějším počtu vyskytují publikace v českých recenzovaných periodikách a v databázi </w:t>
      </w:r>
      <w:proofErr w:type="spellStart"/>
      <w:r w:rsidRPr="001F1BEC">
        <w:rPr>
          <w:rFonts w:ascii="Arial" w:hAnsi="Arial" w:cs="Arial"/>
          <w:highlight w:val="yellow"/>
        </w:rPr>
        <w:t>Scopus</w:t>
      </w:r>
      <w:proofErr w:type="spellEnd"/>
      <w:r w:rsidRPr="001F1BEC">
        <w:rPr>
          <w:rFonts w:ascii="Arial" w:hAnsi="Arial" w:cs="Arial"/>
          <w:highlight w:val="yellow"/>
        </w:rPr>
        <w:t>. To může souviset se snahou těchto subjektů šířit výsledky výzkumu do praxe, neboť zejména české recenzované časopisy mohou být, podobně jako sborníky z konferencí, pro domácí odborníky, veřejnost i výrobní praxi přístupnější a využívanější. Rovněž to však může indikovat snahu publikovat pouze dílčí nebo málo zajímavé výsledky výzkumu snazším způsobem, přičemž subjekty mohou být k takovému jednání motivovány současným systémem hodnocení výzkumných organizací. K rozlišení toho, zda se jedná o efekt pozitivní (šíření poznatků do praxe), nebo negativní (publikovat za každou cenu) se všemi jeho důsledky (fragmentace poznatků do více publikací s menším ohlasem, znemožnění získání ochrany duševního vlastnictví atd.), chybí informace o dalším využití publikací provozními subjekty.</w:t>
      </w:r>
    </w:p>
    <w:p w:rsidR="006338C7" w:rsidRPr="009A04A4" w:rsidRDefault="006338C7" w:rsidP="006338C7">
      <w:pPr>
        <w:spacing w:after="0" w:line="360" w:lineRule="auto"/>
        <w:ind w:firstLine="709"/>
        <w:jc w:val="both"/>
        <w:rPr>
          <w:rFonts w:ascii="Arial" w:hAnsi="Arial" w:cs="Arial"/>
        </w:rPr>
      </w:pPr>
      <w:r w:rsidRPr="009A04A4">
        <w:rPr>
          <w:rFonts w:ascii="Arial" w:hAnsi="Arial" w:cs="Arial"/>
        </w:rPr>
        <w:t xml:space="preserve">Zaměříme-li se na kvalitu článků v periodikách Web </w:t>
      </w:r>
      <w:proofErr w:type="spellStart"/>
      <w:r w:rsidRPr="009A04A4">
        <w:rPr>
          <w:rFonts w:ascii="Arial" w:hAnsi="Arial" w:cs="Arial"/>
        </w:rPr>
        <w:t>of</w:t>
      </w:r>
      <w:proofErr w:type="spellEnd"/>
      <w:r w:rsidRPr="009A04A4">
        <w:rPr>
          <w:rFonts w:ascii="Arial" w:hAnsi="Arial" w:cs="Arial"/>
        </w:rPr>
        <w:t xml:space="preserve"> Science měřenou jejich citovaností v mezinárodním kontextu, i zde </w:t>
      </w:r>
      <w:r>
        <w:rPr>
          <w:rFonts w:ascii="Arial" w:hAnsi="Arial" w:cs="Arial"/>
        </w:rPr>
        <w:t>v</w:t>
      </w:r>
      <w:r w:rsidRPr="009A04A4">
        <w:rPr>
          <w:rFonts w:ascii="Arial" w:hAnsi="Arial" w:cs="Arial"/>
        </w:rPr>
        <w:t>ykazuje ČR pozitivní trend. V některých oborech jsou české publikace nad světovým průměrem a počty kvalitních publikací meziročně rostou.</w:t>
      </w:r>
    </w:p>
    <w:p w:rsidR="006338C7" w:rsidRPr="009A04A4" w:rsidRDefault="006338C7" w:rsidP="006338C7">
      <w:pPr>
        <w:spacing w:after="0" w:line="360" w:lineRule="auto"/>
        <w:ind w:firstLine="709"/>
        <w:jc w:val="both"/>
        <w:rPr>
          <w:rFonts w:ascii="Arial" w:hAnsi="Arial" w:cs="Arial"/>
        </w:rPr>
      </w:pPr>
      <w:r w:rsidRPr="009A04A4">
        <w:rPr>
          <w:rFonts w:ascii="Arial" w:hAnsi="Arial" w:cs="Arial"/>
        </w:rPr>
        <w:t>Obr</w:t>
      </w:r>
      <w:r>
        <w:rPr>
          <w:rFonts w:ascii="Arial" w:hAnsi="Arial" w:cs="Arial"/>
        </w:rPr>
        <w:t>ázek</w:t>
      </w:r>
      <w:r w:rsidRPr="009A04A4">
        <w:rPr>
          <w:rFonts w:ascii="Arial" w:hAnsi="Arial" w:cs="Arial"/>
        </w:rPr>
        <w:t xml:space="preserve"> 6.8 uvádí změny v počtech článků českých autorů a spoluautorů v období 20</w:t>
      </w:r>
      <w:r>
        <w:rPr>
          <w:rFonts w:ascii="Arial" w:hAnsi="Arial" w:cs="Arial"/>
        </w:rPr>
        <w:t>10</w:t>
      </w:r>
      <w:r w:rsidRPr="009A04A4">
        <w:rPr>
          <w:rFonts w:ascii="Arial" w:hAnsi="Arial" w:cs="Arial"/>
        </w:rPr>
        <w:t xml:space="preserve"> – 201</w:t>
      </w:r>
      <w:r>
        <w:rPr>
          <w:rFonts w:ascii="Arial" w:hAnsi="Arial" w:cs="Arial"/>
        </w:rPr>
        <w:t>4</w:t>
      </w:r>
      <w:r w:rsidRPr="009A04A4">
        <w:rPr>
          <w:rFonts w:ascii="Arial" w:hAnsi="Arial" w:cs="Arial"/>
        </w:rPr>
        <w:t xml:space="preserve"> a zároveň jejich citační ohlas (</w:t>
      </w:r>
      <w:r w:rsidRPr="00C841A9">
        <w:rPr>
          <w:rFonts w:ascii="Arial" w:hAnsi="Arial" w:cs="Arial"/>
        </w:rPr>
        <w:t>stanovený v polovině roku 201</w:t>
      </w:r>
      <w:r>
        <w:rPr>
          <w:rFonts w:ascii="Arial" w:hAnsi="Arial" w:cs="Arial"/>
        </w:rPr>
        <w:t>6</w:t>
      </w:r>
      <w:r w:rsidRPr="00C841A9">
        <w:rPr>
          <w:rFonts w:ascii="Arial" w:hAnsi="Arial" w:cs="Arial"/>
        </w:rPr>
        <w:t xml:space="preserve">). K nejvýraznějšímu nárůstu počtu publikací ve Web </w:t>
      </w:r>
      <w:proofErr w:type="spellStart"/>
      <w:r w:rsidRPr="00C841A9">
        <w:rPr>
          <w:rFonts w:ascii="Arial" w:hAnsi="Arial" w:cs="Arial"/>
        </w:rPr>
        <w:t>of</w:t>
      </w:r>
      <w:proofErr w:type="spellEnd"/>
      <w:r w:rsidRPr="00C841A9">
        <w:rPr>
          <w:rFonts w:ascii="Arial" w:hAnsi="Arial" w:cs="Arial"/>
        </w:rPr>
        <w:t xml:space="preserve"> Science došlo v</w:t>
      </w:r>
      <w:r>
        <w:rPr>
          <w:rFonts w:ascii="Arial" w:hAnsi="Arial" w:cs="Arial"/>
        </w:rPr>
        <w:t> materiálovém inženýrství</w:t>
      </w:r>
      <w:r w:rsidRPr="00C841A9">
        <w:rPr>
          <w:rFonts w:ascii="Arial" w:hAnsi="Arial" w:cs="Arial"/>
        </w:rPr>
        <w:t xml:space="preserve"> (nárůst o t</w:t>
      </w:r>
      <w:r>
        <w:rPr>
          <w:rFonts w:ascii="Arial" w:hAnsi="Arial" w:cs="Arial"/>
        </w:rPr>
        <w:t>éměř 55 % za pět</w:t>
      </w:r>
      <w:r w:rsidR="00925AC6">
        <w:rPr>
          <w:rFonts w:ascii="Arial" w:hAnsi="Arial" w:cs="Arial"/>
        </w:rPr>
        <w:t xml:space="preserve"> let</w:t>
      </w:r>
      <w:r>
        <w:rPr>
          <w:rFonts w:ascii="Arial" w:hAnsi="Arial" w:cs="Arial"/>
        </w:rPr>
        <w:t>) a zdravotních vědách (necelých 50 %), nárůst však vykazují</w:t>
      </w:r>
      <w:r w:rsidRPr="00C841A9">
        <w:rPr>
          <w:rFonts w:ascii="Arial" w:hAnsi="Arial" w:cs="Arial"/>
        </w:rPr>
        <w:t xml:space="preserve"> </w:t>
      </w:r>
      <w:r>
        <w:rPr>
          <w:rFonts w:ascii="Arial" w:hAnsi="Arial" w:cs="Arial"/>
        </w:rPr>
        <w:t>všechny</w:t>
      </w:r>
      <w:r w:rsidRPr="00C841A9">
        <w:rPr>
          <w:rFonts w:ascii="Arial" w:hAnsi="Arial" w:cs="Arial"/>
        </w:rPr>
        <w:t xml:space="preserve"> obor</w:t>
      </w:r>
      <w:r>
        <w:rPr>
          <w:rFonts w:ascii="Arial" w:hAnsi="Arial" w:cs="Arial"/>
        </w:rPr>
        <w:t>y s alespoň 200 publikacemi ročně</w:t>
      </w:r>
      <w:r w:rsidRPr="00C841A9">
        <w:rPr>
          <w:rFonts w:ascii="Arial" w:hAnsi="Arial" w:cs="Arial"/>
        </w:rPr>
        <w:t xml:space="preserve">. Nejvýznamnějšími obory z hlediska počtu článků českých autorů ve Web </w:t>
      </w:r>
      <w:proofErr w:type="spellStart"/>
      <w:r w:rsidRPr="00C841A9">
        <w:rPr>
          <w:rFonts w:ascii="Arial" w:hAnsi="Arial" w:cs="Arial"/>
        </w:rPr>
        <w:t>of</w:t>
      </w:r>
      <w:proofErr w:type="spellEnd"/>
      <w:r w:rsidRPr="00C841A9">
        <w:rPr>
          <w:rFonts w:ascii="Arial" w:hAnsi="Arial" w:cs="Arial"/>
        </w:rPr>
        <w:t xml:space="preserve"> science jsou Biologické vědy, Chemické vědy, Fyzikální vědy a astronomie a Klinická medicína. V</w:t>
      </w:r>
      <w:r w:rsidRPr="009A04A4">
        <w:rPr>
          <w:rFonts w:ascii="Arial" w:hAnsi="Arial" w:cs="Arial"/>
        </w:rPr>
        <w:t xml:space="preserve"> případě Klinické medicíny a Fyzikálních věd </w:t>
      </w:r>
      <w:r>
        <w:rPr>
          <w:rFonts w:ascii="Arial" w:hAnsi="Arial" w:cs="Arial"/>
        </w:rPr>
        <w:t xml:space="preserve">a astronomie </w:t>
      </w:r>
      <w:r w:rsidRPr="009A04A4">
        <w:rPr>
          <w:rFonts w:ascii="Arial" w:hAnsi="Arial" w:cs="Arial"/>
        </w:rPr>
        <w:t>se zároveň jedná o publikace, které jsou výrazněji nadprůměrně citovány (normalizovaný citační index 1,</w:t>
      </w:r>
      <w:r>
        <w:rPr>
          <w:rFonts w:ascii="Arial" w:hAnsi="Arial" w:cs="Arial"/>
        </w:rPr>
        <w:t>6</w:t>
      </w:r>
      <w:r w:rsidRPr="009A04A4">
        <w:rPr>
          <w:rFonts w:ascii="Arial" w:hAnsi="Arial" w:cs="Arial"/>
        </w:rPr>
        <w:t xml:space="preserve"> v případě Klinické medicíny, cca 1,4 u Fyzik</w:t>
      </w:r>
      <w:r>
        <w:rPr>
          <w:rFonts w:ascii="Arial" w:hAnsi="Arial" w:cs="Arial"/>
        </w:rPr>
        <w:t>álních věd</w:t>
      </w:r>
      <w:r w:rsidRPr="009A04A4">
        <w:rPr>
          <w:rFonts w:ascii="Arial" w:hAnsi="Arial" w:cs="Arial"/>
        </w:rPr>
        <w:t xml:space="preserve"> a astronomie). Z průmyslově orientovaných oborů vykazuj</w:t>
      </w:r>
      <w:r>
        <w:rPr>
          <w:rFonts w:ascii="Arial" w:hAnsi="Arial" w:cs="Arial"/>
        </w:rPr>
        <w:t>e</w:t>
      </w:r>
      <w:r w:rsidRPr="009A04A4">
        <w:rPr>
          <w:rFonts w:ascii="Arial" w:hAnsi="Arial" w:cs="Arial"/>
        </w:rPr>
        <w:t xml:space="preserve"> nejvyšší citovanost Environmentální inženýrství, </w:t>
      </w:r>
      <w:r>
        <w:rPr>
          <w:rFonts w:ascii="Arial" w:hAnsi="Arial" w:cs="Arial"/>
        </w:rPr>
        <w:t xml:space="preserve">které je mírně nadprůměrné, a dále mírně podprůměrné </w:t>
      </w:r>
      <w:r w:rsidR="00D8259B">
        <w:rPr>
          <w:rFonts w:ascii="Arial" w:hAnsi="Arial" w:cs="Arial"/>
        </w:rPr>
        <w:t xml:space="preserve">materiálové </w:t>
      </w:r>
      <w:r>
        <w:rPr>
          <w:rFonts w:ascii="Arial" w:hAnsi="Arial" w:cs="Arial"/>
        </w:rPr>
        <w:t>inženýrství. Nízká</w:t>
      </w:r>
      <w:r w:rsidRPr="009A04A4">
        <w:rPr>
          <w:rFonts w:ascii="Arial" w:hAnsi="Arial" w:cs="Arial"/>
        </w:rPr>
        <w:t xml:space="preserve"> je citovanost </w:t>
      </w:r>
      <w:r w:rsidRPr="00845AD8">
        <w:rPr>
          <w:rFonts w:ascii="Arial" w:hAnsi="Arial" w:cs="Arial"/>
        </w:rPr>
        <w:t>publikací v </w:t>
      </w:r>
      <w:r w:rsidRPr="009A04A4">
        <w:rPr>
          <w:rFonts w:ascii="Arial" w:hAnsi="Arial" w:cs="Arial"/>
        </w:rPr>
        <w:t>Mechanické</w:t>
      </w:r>
      <w:r>
        <w:rPr>
          <w:rFonts w:ascii="Arial" w:hAnsi="Arial" w:cs="Arial"/>
        </w:rPr>
        <w:t>m</w:t>
      </w:r>
      <w:r w:rsidRPr="009A04A4">
        <w:rPr>
          <w:rFonts w:ascii="Arial" w:hAnsi="Arial" w:cs="Arial"/>
        </w:rPr>
        <w:t xml:space="preserve"> inženýrství</w:t>
      </w:r>
      <w:r>
        <w:rPr>
          <w:rFonts w:ascii="Arial" w:hAnsi="Arial" w:cs="Arial"/>
        </w:rPr>
        <w:t>,</w:t>
      </w:r>
      <w:r w:rsidRPr="00845AD8">
        <w:rPr>
          <w:rFonts w:ascii="Arial" w:hAnsi="Arial" w:cs="Arial"/>
        </w:rPr>
        <w:t xml:space="preserve"> Počítačových a informatických vědách, Elektrickém a elektronickém inženýrství a také v Humanitních oborech, výrazněji pod světovým průměrem je rovněž Matematika, kde navíc dochází pouze k nepatrnému </w:t>
      </w:r>
      <w:r w:rsidRPr="00845AD8">
        <w:rPr>
          <w:rFonts w:ascii="Arial" w:hAnsi="Arial" w:cs="Arial"/>
        </w:rPr>
        <w:lastRenderedPageBreak/>
        <w:t xml:space="preserve">nárůstu počtu publikací. To je </w:t>
      </w:r>
      <w:r>
        <w:rPr>
          <w:rFonts w:ascii="Arial" w:hAnsi="Arial" w:cs="Arial"/>
        </w:rPr>
        <w:t>ovlivněno</w:t>
      </w:r>
      <w:r w:rsidRPr="00845AD8">
        <w:rPr>
          <w:rFonts w:ascii="Arial" w:hAnsi="Arial" w:cs="Arial"/>
        </w:rPr>
        <w:t xml:space="preserve"> odlišnými publikačními zvyklostmi oborů</w:t>
      </w:r>
      <w:r>
        <w:rPr>
          <w:rFonts w:ascii="Arial" w:hAnsi="Arial" w:cs="Arial"/>
        </w:rPr>
        <w:t xml:space="preserve">, např. v Matematice či ve Společenských a humanitních vědách je obvyklé </w:t>
      </w:r>
      <w:r w:rsidRPr="00845AD8">
        <w:rPr>
          <w:rFonts w:ascii="Arial" w:hAnsi="Arial" w:cs="Arial"/>
        </w:rPr>
        <w:t xml:space="preserve">publikovat formou monografií, </w:t>
      </w:r>
      <w:r>
        <w:rPr>
          <w:rFonts w:ascii="Arial" w:hAnsi="Arial" w:cs="Arial"/>
        </w:rPr>
        <w:t xml:space="preserve">v Informatice formou příspěvků </w:t>
      </w:r>
      <w:r w:rsidRPr="00845AD8">
        <w:rPr>
          <w:rFonts w:ascii="Arial" w:hAnsi="Arial" w:cs="Arial"/>
        </w:rPr>
        <w:t>ve sbornících. Zemědělské</w:t>
      </w:r>
      <w:r w:rsidRPr="009A04A4">
        <w:rPr>
          <w:rFonts w:ascii="Arial" w:hAnsi="Arial" w:cs="Arial"/>
        </w:rPr>
        <w:t xml:space="preserve"> vědy jsou z hlediska citovanosti </w:t>
      </w:r>
      <w:r>
        <w:rPr>
          <w:rFonts w:ascii="Arial" w:hAnsi="Arial" w:cs="Arial"/>
        </w:rPr>
        <w:t>na hranici</w:t>
      </w:r>
      <w:r w:rsidRPr="009A04A4">
        <w:rPr>
          <w:rFonts w:ascii="Arial" w:hAnsi="Arial" w:cs="Arial"/>
        </w:rPr>
        <w:t xml:space="preserve"> světov</w:t>
      </w:r>
      <w:r>
        <w:rPr>
          <w:rFonts w:ascii="Arial" w:hAnsi="Arial" w:cs="Arial"/>
        </w:rPr>
        <w:t>ého</w:t>
      </w:r>
      <w:r w:rsidRPr="009A04A4">
        <w:rPr>
          <w:rFonts w:ascii="Arial" w:hAnsi="Arial" w:cs="Arial"/>
        </w:rPr>
        <w:t xml:space="preserve"> průměr</w:t>
      </w:r>
      <w:r>
        <w:rPr>
          <w:rFonts w:ascii="Arial" w:hAnsi="Arial" w:cs="Arial"/>
        </w:rPr>
        <w:t>u</w:t>
      </w:r>
      <w:r w:rsidRPr="009A04A4">
        <w:rPr>
          <w:rFonts w:ascii="Arial" w:hAnsi="Arial" w:cs="Arial"/>
        </w:rPr>
        <w:t>, Vědy o Zemi mírně pod ním.</w:t>
      </w:r>
    </w:p>
    <w:p w:rsidR="006338C7" w:rsidRPr="000A2A98" w:rsidRDefault="006338C7" w:rsidP="006338C7">
      <w:pPr>
        <w:pStyle w:val="Obrzek-nadpis"/>
      </w:pPr>
      <w:r w:rsidRPr="000A2A98">
        <w:t>Obr. 6.</w:t>
      </w:r>
      <w:r>
        <w:t>8</w:t>
      </w:r>
      <w:r w:rsidRPr="000A2A98">
        <w:t xml:space="preserve">: počty publikací českých autorů ve </w:t>
      </w:r>
      <w:r>
        <w:t>W</w:t>
      </w:r>
      <w:r w:rsidRPr="000A2A98">
        <w:t xml:space="preserve">eb </w:t>
      </w:r>
      <w:proofErr w:type="spellStart"/>
      <w:r w:rsidRPr="000A2A98">
        <w:t>of</w:t>
      </w:r>
      <w:proofErr w:type="spellEnd"/>
      <w:r w:rsidRPr="000A2A98">
        <w:t xml:space="preserve"> </w:t>
      </w:r>
      <w:r>
        <w:t>S</w:t>
      </w:r>
      <w:r w:rsidRPr="000A2A98">
        <w:t xml:space="preserve">cience </w:t>
      </w:r>
      <w:r w:rsidRPr="005030AA">
        <w:t>v nejvýznamnějších oborech</w:t>
      </w:r>
      <w:r w:rsidRPr="000A2A98">
        <w:t xml:space="preserve"> a</w:t>
      </w:r>
      <w:r>
        <w:t> </w:t>
      </w:r>
      <w:r w:rsidRPr="000A2A98">
        <w:t xml:space="preserve">jejich citovanost </w:t>
      </w:r>
    </w:p>
    <w:p w:rsidR="006338C7" w:rsidRDefault="006338C7" w:rsidP="006338C7">
      <w:pPr>
        <w:jc w:val="center"/>
      </w:pPr>
      <w:r w:rsidRPr="00021613">
        <w:rPr>
          <w:noProof/>
          <w:lang w:eastAsia="cs-CZ"/>
        </w:rPr>
        <w:drawing>
          <wp:inline distT="0" distB="0" distL="0" distR="0" wp14:anchorId="2B02B5D5" wp14:editId="22067BCE">
            <wp:extent cx="5697729" cy="5098212"/>
            <wp:effectExtent l="0" t="0" r="0" b="762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01457" cy="5101547"/>
                    </a:xfrm>
                    <a:prstGeom prst="rect">
                      <a:avLst/>
                    </a:prstGeom>
                    <a:noFill/>
                    <a:ln>
                      <a:noFill/>
                    </a:ln>
                  </pic:spPr>
                </pic:pic>
              </a:graphicData>
            </a:graphic>
          </wp:inline>
        </w:drawing>
      </w:r>
    </w:p>
    <w:p w:rsidR="006338C7" w:rsidRPr="000A2A98" w:rsidRDefault="006338C7" w:rsidP="006338C7">
      <w:pPr>
        <w:pStyle w:val="komentzaobrzkem"/>
      </w:pPr>
      <w:r w:rsidRPr="008F198C">
        <w:t xml:space="preserve">Zdroj dat: Web </w:t>
      </w:r>
      <w:proofErr w:type="spellStart"/>
      <w:r w:rsidRPr="008F198C">
        <w:t>of</w:t>
      </w:r>
      <w:proofErr w:type="spellEnd"/>
      <w:r w:rsidRPr="008F198C">
        <w:t xml:space="preserve"> Science, </w:t>
      </w:r>
      <w:r>
        <w:t xml:space="preserve">zařazeny jsou </w:t>
      </w:r>
      <w:r w:rsidRPr="008F198C">
        <w:t xml:space="preserve">publikace typu </w:t>
      </w:r>
      <w:proofErr w:type="spellStart"/>
      <w:r w:rsidRPr="008F198C">
        <w:t>article</w:t>
      </w:r>
      <w:proofErr w:type="spellEnd"/>
      <w:r w:rsidRPr="008F198C">
        <w:t xml:space="preserve"> a </w:t>
      </w:r>
      <w:proofErr w:type="spellStart"/>
      <w:r>
        <w:t>review</w:t>
      </w:r>
      <w:proofErr w:type="spellEnd"/>
      <w:r>
        <w:t xml:space="preserve"> za období 2010</w:t>
      </w:r>
      <w:r w:rsidRPr="008F198C">
        <w:t xml:space="preserve"> – 201</w:t>
      </w:r>
      <w:r>
        <w:t xml:space="preserve">4 v periodikách Web </w:t>
      </w:r>
      <w:proofErr w:type="spellStart"/>
      <w:r>
        <w:t>of</w:t>
      </w:r>
      <w:proofErr w:type="spellEnd"/>
      <w:r>
        <w:t xml:space="preserve"> Science </w:t>
      </w:r>
      <w:proofErr w:type="spellStart"/>
      <w:r>
        <w:t>Core</w:t>
      </w:r>
      <w:proofErr w:type="spellEnd"/>
      <w:r>
        <w:t xml:space="preserve"> </w:t>
      </w:r>
      <w:proofErr w:type="spellStart"/>
      <w:r>
        <w:t>Collection</w:t>
      </w:r>
      <w:proofErr w:type="spellEnd"/>
      <w:r w:rsidRPr="008F198C">
        <w:t xml:space="preserve">, oborové členění dle OECD </w:t>
      </w:r>
      <w:proofErr w:type="spellStart"/>
      <w:r w:rsidRPr="008F198C">
        <w:t>Fields</w:t>
      </w:r>
      <w:proofErr w:type="spellEnd"/>
      <w:r w:rsidRPr="008F198C">
        <w:t xml:space="preserve"> </w:t>
      </w:r>
      <w:proofErr w:type="spellStart"/>
      <w:r w:rsidRPr="008F198C">
        <w:t>of</w:t>
      </w:r>
      <w:proofErr w:type="spellEnd"/>
      <w:r w:rsidRPr="008F198C">
        <w:t xml:space="preserve"> </w:t>
      </w:r>
      <w:r>
        <w:t>R</w:t>
      </w:r>
      <w:r>
        <w:rPr>
          <w:rFonts w:cs="Arial"/>
        </w:rPr>
        <w:t>&amp;</w:t>
      </w:r>
      <w:r>
        <w:t>D</w:t>
      </w:r>
      <w:r w:rsidRPr="008F198C">
        <w:t xml:space="preserve"> (</w:t>
      </w:r>
      <w:proofErr w:type="spellStart"/>
      <w:r w:rsidRPr="008F198C">
        <w:t>Frascati</w:t>
      </w:r>
      <w:proofErr w:type="spellEnd"/>
      <w:r w:rsidRPr="008F198C">
        <w:t xml:space="preserve"> manuál)</w:t>
      </w:r>
      <w:r>
        <w:t>;</w:t>
      </w:r>
      <w:r w:rsidRPr="00D96182">
        <w:t xml:space="preserve"> </w:t>
      </w:r>
      <w:r>
        <w:t>započteny jsou publikace,</w:t>
      </w:r>
      <w:r w:rsidRPr="002B3E07">
        <w:t xml:space="preserve"> </w:t>
      </w:r>
      <w:r>
        <w:t>u nichž</w:t>
      </w:r>
      <w:r w:rsidRPr="002B3E07">
        <w:t xml:space="preserve"> má alespoň jeden </w:t>
      </w:r>
      <w:r>
        <w:t>z</w:t>
      </w:r>
      <w:r w:rsidRPr="002B3E07">
        <w:t xml:space="preserve"> autorů v adrese uvedeno „Czech“</w:t>
      </w:r>
      <w:r>
        <w:t xml:space="preserve"> (není zohledněno</w:t>
      </w:r>
      <w:r w:rsidRPr="002B3E07">
        <w:t xml:space="preserve"> spoluautorství</w:t>
      </w:r>
      <w:r>
        <w:t>)</w:t>
      </w:r>
    </w:p>
    <w:p w:rsidR="006338C7" w:rsidRPr="00613032" w:rsidRDefault="006338C7" w:rsidP="006338C7">
      <w:pPr>
        <w:pStyle w:val="komentzaobrzkem"/>
      </w:pPr>
      <w:r w:rsidRPr="00613032">
        <w:t xml:space="preserve">Jsou zařazeny pouze </w:t>
      </w:r>
      <w:r>
        <w:t>skupiny oborů</w:t>
      </w:r>
      <w:r w:rsidRPr="00613032">
        <w:t>, u nichž bylo v databázi alespoň 1000 publikací za sledované období</w:t>
      </w:r>
    </w:p>
    <w:p w:rsidR="006338C7" w:rsidRPr="00613032" w:rsidRDefault="006338C7" w:rsidP="006338C7">
      <w:pPr>
        <w:pStyle w:val="komentzaobrzkem"/>
      </w:pPr>
      <w:r w:rsidRPr="00613032">
        <w:t xml:space="preserve">Horizontální osa: </w:t>
      </w:r>
      <w:r>
        <w:t xml:space="preserve">Index </w:t>
      </w:r>
      <w:r w:rsidRPr="00613032">
        <w:t>změny v počtu publikací mezi roky 20</w:t>
      </w:r>
      <w:r>
        <w:t xml:space="preserve">10 </w:t>
      </w:r>
      <w:r w:rsidRPr="00613032">
        <w:t>a 201</w:t>
      </w:r>
      <w:r>
        <w:t>4:</w:t>
      </w:r>
      <w:r w:rsidRPr="00613032">
        <w:t xml:space="preserve"> </w:t>
      </w:r>
      <w:r w:rsidRPr="00CB07B9">
        <w:t>(201</w:t>
      </w:r>
      <w:r>
        <w:t xml:space="preserve">4 </w:t>
      </w:r>
      <w:r w:rsidRPr="00CB07B9">
        <w:t>-</w:t>
      </w:r>
      <w:r>
        <w:t xml:space="preserve"> </w:t>
      </w:r>
      <w:r w:rsidRPr="00CB07B9">
        <w:t>20</w:t>
      </w:r>
      <w:r>
        <w:t>10</w:t>
      </w:r>
      <w:r w:rsidRPr="00CB07B9">
        <w:t>)/20</w:t>
      </w:r>
      <w:r>
        <w:t>10</w:t>
      </w:r>
      <w:r w:rsidRPr="00CB07B9">
        <w:t xml:space="preserve"> v %</w:t>
      </w:r>
    </w:p>
    <w:p w:rsidR="006338C7" w:rsidRPr="00613032" w:rsidRDefault="006338C7" w:rsidP="006338C7">
      <w:pPr>
        <w:pStyle w:val="komentzaobrzkem"/>
      </w:pPr>
      <w:r w:rsidRPr="00613032">
        <w:t xml:space="preserve">Vertikální osa: </w:t>
      </w:r>
      <w:proofErr w:type="spellStart"/>
      <w:r w:rsidRPr="00613032">
        <w:t>Normalized</w:t>
      </w:r>
      <w:proofErr w:type="spellEnd"/>
      <w:r w:rsidRPr="00613032">
        <w:t xml:space="preserve"> </w:t>
      </w:r>
      <w:proofErr w:type="spellStart"/>
      <w:r w:rsidRPr="00613032">
        <w:t>Citation</w:t>
      </w:r>
      <w:proofErr w:type="spellEnd"/>
      <w:r w:rsidRPr="00613032">
        <w:t xml:space="preserve"> </w:t>
      </w:r>
      <w:proofErr w:type="spellStart"/>
      <w:r w:rsidRPr="00613032">
        <w:t>Impact</w:t>
      </w:r>
      <w:proofErr w:type="spellEnd"/>
      <w:r w:rsidRPr="00613032">
        <w:t xml:space="preserve"> k datu </w:t>
      </w:r>
      <w:r>
        <w:t>12</w:t>
      </w:r>
      <w:r w:rsidRPr="00613032">
        <w:t xml:space="preserve">. </w:t>
      </w:r>
      <w:r>
        <w:t>7</w:t>
      </w:r>
      <w:r w:rsidRPr="00613032">
        <w:t>. 201</w:t>
      </w:r>
      <w:r>
        <w:t>6</w:t>
      </w:r>
      <w:r w:rsidRPr="00613032">
        <w:t xml:space="preserve"> (normalizováno </w:t>
      </w:r>
      <w:r>
        <w:t>na úrovni jednotlivých oborů s následnou agregací indexu; v případě, že publikace naleží k více oborům, je použit aritmetický průměr</w:t>
      </w:r>
      <w:r w:rsidRPr="00613032">
        <w:t>); hodnota y = 1 odpovídá světovému průměru</w:t>
      </w:r>
    </w:p>
    <w:p w:rsidR="006338C7" w:rsidRDefault="006338C7" w:rsidP="006338C7">
      <w:pPr>
        <w:pStyle w:val="komentzaobrzkem"/>
      </w:pPr>
      <w:r w:rsidRPr="008F198C">
        <w:t>Plocha bublin vyjadřuje počet publikací za období 20</w:t>
      </w:r>
      <w:r>
        <w:t>10</w:t>
      </w:r>
      <w:r w:rsidRPr="008F198C">
        <w:t xml:space="preserve"> </w:t>
      </w:r>
      <w:r>
        <w:t>– 2014</w:t>
      </w:r>
    </w:p>
    <w:p w:rsidR="006338C7" w:rsidRPr="00613032" w:rsidRDefault="006338C7" w:rsidP="006338C7">
      <w:pPr>
        <w:pStyle w:val="komentzaobrzkem"/>
      </w:pPr>
      <w:r>
        <w:t xml:space="preserve">Skupina </w:t>
      </w:r>
      <w:proofErr w:type="spellStart"/>
      <w:r>
        <w:t>Humanities</w:t>
      </w:r>
      <w:proofErr w:type="spellEnd"/>
      <w:r>
        <w:t xml:space="preserve"> obsahuje především obory </w:t>
      </w:r>
      <w:proofErr w:type="spellStart"/>
      <w:r>
        <w:t>Philosophy</w:t>
      </w:r>
      <w:proofErr w:type="spellEnd"/>
      <w:r>
        <w:t xml:space="preserve">, </w:t>
      </w:r>
      <w:proofErr w:type="spellStart"/>
      <w:r>
        <w:t>Ethics</w:t>
      </w:r>
      <w:proofErr w:type="spellEnd"/>
      <w:r>
        <w:t xml:space="preserve"> and Religion, </w:t>
      </w:r>
      <w:proofErr w:type="spellStart"/>
      <w:r>
        <w:t>Languages</w:t>
      </w:r>
      <w:proofErr w:type="spellEnd"/>
      <w:r>
        <w:t xml:space="preserve"> and </w:t>
      </w:r>
      <w:proofErr w:type="spellStart"/>
      <w:r>
        <w:t>Literature</w:t>
      </w:r>
      <w:proofErr w:type="spellEnd"/>
      <w:r>
        <w:t xml:space="preserve">, </w:t>
      </w:r>
      <w:proofErr w:type="spellStart"/>
      <w:r>
        <w:t>History</w:t>
      </w:r>
      <w:proofErr w:type="spellEnd"/>
      <w:r>
        <w:t xml:space="preserve"> and Archeology </w:t>
      </w:r>
    </w:p>
    <w:p w:rsidR="00F57510" w:rsidRDefault="006338C7" w:rsidP="006338C7">
      <w:pPr>
        <w:spacing w:after="0" w:line="360" w:lineRule="auto"/>
        <w:ind w:firstLine="709"/>
        <w:jc w:val="both"/>
        <w:rPr>
          <w:rFonts w:ascii="Arial" w:hAnsi="Arial" w:cs="Arial"/>
        </w:rPr>
      </w:pPr>
      <w:r w:rsidRPr="00EE0408">
        <w:rPr>
          <w:rFonts w:ascii="Arial" w:hAnsi="Arial" w:cs="Arial"/>
        </w:rPr>
        <w:t xml:space="preserve">Při hodnocení kvality publikací je užitečné rovněž sledovat strukturu publikací z hlediska citačního ohlasu periodik a s ní související publikační strategii, která se může oborově lišit. Např. v oboru Sociologie je v ČR podíl publikací v horním </w:t>
      </w:r>
      <w:proofErr w:type="spellStart"/>
      <w:r w:rsidRPr="00EE0408">
        <w:rPr>
          <w:rFonts w:ascii="Arial" w:hAnsi="Arial" w:cs="Arial"/>
        </w:rPr>
        <w:t>tercilu</w:t>
      </w:r>
      <w:proofErr w:type="spellEnd"/>
      <w:r w:rsidRPr="00EE0408">
        <w:rPr>
          <w:rFonts w:ascii="Arial" w:hAnsi="Arial" w:cs="Arial"/>
        </w:rPr>
        <w:t xml:space="preserve"> nejcitovanějších periodik minimální </w:t>
      </w:r>
      <w:r w:rsidRPr="00EE0408">
        <w:rPr>
          <w:rFonts w:ascii="Arial" w:hAnsi="Arial" w:cs="Arial"/>
        </w:rPr>
        <w:lastRenderedPageBreak/>
        <w:t>(obrázek 6.9), výrazně nižší ve srovnání se státy jako je Belgie, Dánsko</w:t>
      </w:r>
      <w:r w:rsidR="00925AC6">
        <w:rPr>
          <w:rFonts w:ascii="Arial" w:hAnsi="Arial" w:cs="Arial"/>
        </w:rPr>
        <w:t>,</w:t>
      </w:r>
      <w:r w:rsidRPr="00EE0408">
        <w:rPr>
          <w:rFonts w:ascii="Arial" w:hAnsi="Arial" w:cs="Arial"/>
        </w:rPr>
        <w:t xml:space="preserve"> </w:t>
      </w:r>
      <w:r w:rsidR="00925AC6">
        <w:rPr>
          <w:rFonts w:ascii="Arial" w:hAnsi="Arial" w:cs="Arial"/>
        </w:rPr>
        <w:t>Nizozemsko</w:t>
      </w:r>
      <w:r w:rsidRPr="00EE0408">
        <w:rPr>
          <w:rFonts w:ascii="Arial" w:hAnsi="Arial" w:cs="Arial"/>
        </w:rPr>
        <w:t xml:space="preserve"> nebo Rakousko, na stejné úrovni se Slovenskem či Polskem. Kvalita většiny českých publikací tedy nejspíš není příliš vysoká. Naproti tomu např. obor Fyzika pevných látek vykazuje významný podíl prací v nejcitovanějších periodikách srovnatelný např. s</w:t>
      </w:r>
      <w:r>
        <w:rPr>
          <w:rFonts w:ascii="Arial" w:hAnsi="Arial" w:cs="Arial"/>
        </w:rPr>
        <w:t xml:space="preserve"> Rakouskem nebo </w:t>
      </w:r>
      <w:r w:rsidRPr="00EE0408">
        <w:rPr>
          <w:rFonts w:ascii="Arial" w:hAnsi="Arial" w:cs="Arial"/>
        </w:rPr>
        <w:t xml:space="preserve">Belgií, vyšší než v Estonsku nebo Polsku (obrázek 6.9). To potvrzuje vysokou kvalitu Fyzikálních oborů v ČR odvozenou od celkového počtu citací, který je nad světovým průměrem (obrázek 6.8). </w:t>
      </w:r>
      <w:r w:rsidR="00293B7A">
        <w:rPr>
          <w:rFonts w:ascii="Arial" w:hAnsi="Arial" w:cs="Arial"/>
        </w:rPr>
        <w:t>V </w:t>
      </w:r>
      <w:r w:rsidR="00925AC6">
        <w:rPr>
          <w:rFonts w:ascii="Arial" w:hAnsi="Arial" w:cs="Arial"/>
        </w:rPr>
        <w:t>K</w:t>
      </w:r>
      <w:r w:rsidR="00293B7A">
        <w:rPr>
          <w:rFonts w:ascii="Arial" w:hAnsi="Arial" w:cs="Arial"/>
        </w:rPr>
        <w:t>linické medicíně je v ČR relativně vyrovnaný poměr časopisů z hlediska citovanosti, v</w:t>
      </w:r>
      <w:r w:rsidR="00925AC6">
        <w:rPr>
          <w:rFonts w:ascii="Arial" w:hAnsi="Arial" w:cs="Arial"/>
        </w:rPr>
        <w:t> Rakousku, Belgii, Dánsku nebo Nizozemsku</w:t>
      </w:r>
      <w:r w:rsidR="00293B7A">
        <w:rPr>
          <w:rFonts w:ascii="Arial" w:hAnsi="Arial" w:cs="Arial"/>
        </w:rPr>
        <w:t xml:space="preserve"> však výrazněji převažují publikace v horním </w:t>
      </w:r>
      <w:proofErr w:type="spellStart"/>
      <w:r w:rsidR="00293B7A">
        <w:rPr>
          <w:rFonts w:ascii="Arial" w:hAnsi="Arial" w:cs="Arial"/>
        </w:rPr>
        <w:t>tercilu</w:t>
      </w:r>
      <w:proofErr w:type="spellEnd"/>
      <w:r w:rsidR="00293B7A">
        <w:rPr>
          <w:rFonts w:ascii="Arial" w:hAnsi="Arial" w:cs="Arial"/>
        </w:rPr>
        <w:t xml:space="preserve"> citovanosti. Přesto patří </w:t>
      </w:r>
      <w:r w:rsidR="00925AC6">
        <w:rPr>
          <w:rFonts w:ascii="Arial" w:hAnsi="Arial" w:cs="Arial"/>
        </w:rPr>
        <w:t>K</w:t>
      </w:r>
      <w:r w:rsidR="00293B7A">
        <w:rPr>
          <w:rFonts w:ascii="Arial" w:hAnsi="Arial" w:cs="Arial"/>
        </w:rPr>
        <w:t xml:space="preserve">linická medicína v rámci ČR k nejvíce citovaným oborům. </w:t>
      </w:r>
      <w:r w:rsidR="00F57510">
        <w:rPr>
          <w:rFonts w:ascii="Arial" w:hAnsi="Arial" w:cs="Arial"/>
        </w:rPr>
        <w:t xml:space="preserve">Články českých autorů v jednotlivých časopisech </w:t>
      </w:r>
      <w:r w:rsidR="00925AC6">
        <w:rPr>
          <w:rFonts w:ascii="Arial" w:hAnsi="Arial" w:cs="Arial"/>
        </w:rPr>
        <w:t xml:space="preserve">tedy </w:t>
      </w:r>
      <w:r w:rsidR="00F57510">
        <w:rPr>
          <w:rFonts w:ascii="Arial" w:hAnsi="Arial" w:cs="Arial"/>
        </w:rPr>
        <w:t xml:space="preserve">pravděpodobně </w:t>
      </w:r>
      <w:r w:rsidR="00925AC6">
        <w:rPr>
          <w:rFonts w:ascii="Arial" w:hAnsi="Arial" w:cs="Arial"/>
        </w:rPr>
        <w:t xml:space="preserve">patří </w:t>
      </w:r>
      <w:r w:rsidR="00F57510">
        <w:rPr>
          <w:rFonts w:ascii="Arial" w:hAnsi="Arial" w:cs="Arial"/>
        </w:rPr>
        <w:t>mezi častěji citované.</w:t>
      </w:r>
    </w:p>
    <w:p w:rsidR="00293B7A" w:rsidRDefault="00293B7A" w:rsidP="006338C7">
      <w:pPr>
        <w:spacing w:after="0" w:line="360" w:lineRule="auto"/>
        <w:ind w:firstLine="709"/>
        <w:jc w:val="both"/>
        <w:rPr>
          <w:rFonts w:ascii="Arial" w:hAnsi="Arial" w:cs="Arial"/>
        </w:rPr>
      </w:pPr>
      <w:r>
        <w:rPr>
          <w:rFonts w:ascii="Arial" w:hAnsi="Arial" w:cs="Arial"/>
        </w:rPr>
        <w:t xml:space="preserve">Oproti zemím, jako je </w:t>
      </w:r>
      <w:r w:rsidR="00A83D36">
        <w:rPr>
          <w:rFonts w:ascii="Arial" w:hAnsi="Arial" w:cs="Arial"/>
        </w:rPr>
        <w:t xml:space="preserve">Dánsko, Nizozemsko, ale také Rakousko nebo Belgie, vzniká v ČR </w:t>
      </w:r>
      <w:r w:rsidR="00F57510">
        <w:rPr>
          <w:rFonts w:ascii="Arial" w:hAnsi="Arial" w:cs="Arial"/>
        </w:rPr>
        <w:t>v </w:t>
      </w:r>
      <w:r w:rsidR="00925AC6">
        <w:rPr>
          <w:rFonts w:ascii="Arial" w:hAnsi="Arial" w:cs="Arial"/>
        </w:rPr>
        <w:t>K</w:t>
      </w:r>
      <w:r w:rsidR="00F57510">
        <w:rPr>
          <w:rFonts w:ascii="Arial" w:hAnsi="Arial" w:cs="Arial"/>
        </w:rPr>
        <w:t xml:space="preserve">linické medicíně </w:t>
      </w:r>
      <w:r w:rsidR="00A83D36">
        <w:rPr>
          <w:rFonts w:ascii="Arial" w:hAnsi="Arial" w:cs="Arial"/>
        </w:rPr>
        <w:t xml:space="preserve">výrazně méně publikací (obr. 6.9; po normalizaci na počet obyvatel </w:t>
      </w:r>
      <w:r w:rsidR="00315538">
        <w:rPr>
          <w:rFonts w:ascii="Arial" w:hAnsi="Arial" w:cs="Arial"/>
        </w:rPr>
        <w:t>jich byl ve sledovaném období v Rakousku a Belgii trojnásobný a v Dánsku či Nizozemsku zhruba čtyřnásobný počet oproti ČR)</w:t>
      </w:r>
      <w:r w:rsidR="00A83D36">
        <w:rPr>
          <w:rFonts w:ascii="Arial" w:hAnsi="Arial" w:cs="Arial"/>
        </w:rPr>
        <w:t>. Naproti tomu např. v </w:t>
      </w:r>
      <w:r w:rsidR="00925AC6">
        <w:rPr>
          <w:rFonts w:ascii="Arial" w:hAnsi="Arial" w:cs="Arial"/>
        </w:rPr>
        <w:t>C</w:t>
      </w:r>
      <w:r w:rsidR="00A83D36">
        <w:rPr>
          <w:rFonts w:ascii="Arial" w:hAnsi="Arial" w:cs="Arial"/>
        </w:rPr>
        <w:t xml:space="preserve">hemii jsou počty publikací v uvedených zemích srovnatelné (obr. 6.9), což svědčí o výrazně vyšším zastoupení lékařských </w:t>
      </w:r>
      <w:r w:rsidR="00531A2B">
        <w:rPr>
          <w:rFonts w:ascii="Arial" w:hAnsi="Arial" w:cs="Arial"/>
        </w:rPr>
        <w:t xml:space="preserve">věd </w:t>
      </w:r>
      <w:r w:rsidR="00A83D36">
        <w:rPr>
          <w:rFonts w:ascii="Arial" w:hAnsi="Arial" w:cs="Arial"/>
        </w:rPr>
        <w:t>v t</w:t>
      </w:r>
      <w:r w:rsidR="00276399">
        <w:rPr>
          <w:rFonts w:ascii="Arial" w:hAnsi="Arial" w:cs="Arial"/>
        </w:rPr>
        <w:t>ě</w:t>
      </w:r>
      <w:r w:rsidR="00A83D36">
        <w:rPr>
          <w:rFonts w:ascii="Arial" w:hAnsi="Arial" w:cs="Arial"/>
        </w:rPr>
        <w:t>chto zemích, než v</w:t>
      </w:r>
      <w:r w:rsidR="00F07665">
        <w:rPr>
          <w:rFonts w:ascii="Arial" w:hAnsi="Arial" w:cs="Arial"/>
        </w:rPr>
        <w:t> </w:t>
      </w:r>
      <w:r w:rsidR="00A83D36">
        <w:rPr>
          <w:rFonts w:ascii="Arial" w:hAnsi="Arial" w:cs="Arial"/>
        </w:rPr>
        <w:t>ČR</w:t>
      </w:r>
      <w:r w:rsidR="00F07665">
        <w:rPr>
          <w:rFonts w:ascii="Arial" w:hAnsi="Arial" w:cs="Arial"/>
        </w:rPr>
        <w:t xml:space="preserve"> (obr. 6.9; v ČR </w:t>
      </w:r>
      <w:r w:rsidR="00531A2B">
        <w:rPr>
          <w:rFonts w:ascii="Arial" w:hAnsi="Arial" w:cs="Arial"/>
        </w:rPr>
        <w:t xml:space="preserve">bylo </w:t>
      </w:r>
      <w:r w:rsidR="00F07665">
        <w:rPr>
          <w:rFonts w:ascii="Arial" w:hAnsi="Arial" w:cs="Arial"/>
        </w:rPr>
        <w:t>o třetinu více publikací v </w:t>
      </w:r>
      <w:r w:rsidR="00925AC6">
        <w:rPr>
          <w:rFonts w:ascii="Arial" w:hAnsi="Arial" w:cs="Arial"/>
        </w:rPr>
        <w:t>C</w:t>
      </w:r>
      <w:r w:rsidR="00F07665">
        <w:rPr>
          <w:rFonts w:ascii="Arial" w:hAnsi="Arial" w:cs="Arial"/>
        </w:rPr>
        <w:t>hemii než v </w:t>
      </w:r>
      <w:r w:rsidR="00925AC6">
        <w:rPr>
          <w:rFonts w:ascii="Arial" w:hAnsi="Arial" w:cs="Arial"/>
        </w:rPr>
        <w:t>K</w:t>
      </w:r>
      <w:r w:rsidR="00F07665">
        <w:rPr>
          <w:rFonts w:ascii="Arial" w:hAnsi="Arial" w:cs="Arial"/>
        </w:rPr>
        <w:t>linické medicíně, v Rakousku či Belgii naopak dvojnásobně více publikací v </w:t>
      </w:r>
      <w:r w:rsidR="00925AC6">
        <w:rPr>
          <w:rFonts w:ascii="Arial" w:hAnsi="Arial" w:cs="Arial"/>
        </w:rPr>
        <w:t>K</w:t>
      </w:r>
      <w:r w:rsidR="00F07665">
        <w:rPr>
          <w:rFonts w:ascii="Arial" w:hAnsi="Arial" w:cs="Arial"/>
        </w:rPr>
        <w:t>linické medicíně, v Dánsku a Nizozemsku trojnásobně více)</w:t>
      </w:r>
      <w:r w:rsidR="00A83D36">
        <w:rPr>
          <w:rFonts w:ascii="Arial" w:hAnsi="Arial" w:cs="Arial"/>
        </w:rPr>
        <w:t xml:space="preserve">. To může souviset </w:t>
      </w:r>
      <w:r w:rsidR="00F07665">
        <w:rPr>
          <w:rFonts w:ascii="Arial" w:hAnsi="Arial" w:cs="Arial"/>
        </w:rPr>
        <w:t>se</w:t>
      </w:r>
      <w:r w:rsidR="00A83D36">
        <w:rPr>
          <w:rFonts w:ascii="Arial" w:hAnsi="Arial" w:cs="Arial"/>
        </w:rPr>
        <w:t xml:space="preserve"> způsob</w:t>
      </w:r>
      <w:r w:rsidR="00F07665">
        <w:rPr>
          <w:rFonts w:ascii="Arial" w:hAnsi="Arial" w:cs="Arial"/>
        </w:rPr>
        <w:t>em</w:t>
      </w:r>
      <w:r w:rsidR="00A83D36">
        <w:rPr>
          <w:rFonts w:ascii="Arial" w:hAnsi="Arial" w:cs="Arial"/>
        </w:rPr>
        <w:t xml:space="preserve"> hodnocení výzkumných organizací na základě výsledků, které v důsledku oborových normalizací </w:t>
      </w:r>
      <w:r w:rsidR="00925AC6">
        <w:rPr>
          <w:rFonts w:ascii="Arial" w:hAnsi="Arial" w:cs="Arial"/>
        </w:rPr>
        <w:t xml:space="preserve">při výpočtu bodového skóre </w:t>
      </w:r>
      <w:r w:rsidR="00A83D36">
        <w:rPr>
          <w:rFonts w:ascii="Arial" w:hAnsi="Arial" w:cs="Arial"/>
        </w:rPr>
        <w:t xml:space="preserve">vede k motivaci rozvíjet spíše chemické a biologické vědy </w:t>
      </w:r>
      <w:r w:rsidR="00531A2B">
        <w:rPr>
          <w:rFonts w:ascii="Arial" w:hAnsi="Arial" w:cs="Arial"/>
        </w:rPr>
        <w:t>než</w:t>
      </w:r>
      <w:r w:rsidR="00A83D36">
        <w:rPr>
          <w:rFonts w:ascii="Arial" w:hAnsi="Arial" w:cs="Arial"/>
        </w:rPr>
        <w:t xml:space="preserve"> lékařsk</w:t>
      </w:r>
      <w:r w:rsidR="00531A2B">
        <w:rPr>
          <w:rFonts w:ascii="Arial" w:hAnsi="Arial" w:cs="Arial"/>
        </w:rPr>
        <w:t>é</w:t>
      </w:r>
      <w:r w:rsidR="00A83D36">
        <w:rPr>
          <w:rFonts w:ascii="Arial" w:hAnsi="Arial" w:cs="Arial"/>
        </w:rPr>
        <w:t xml:space="preserve"> obor</w:t>
      </w:r>
      <w:r w:rsidR="00531A2B">
        <w:rPr>
          <w:rFonts w:ascii="Arial" w:hAnsi="Arial" w:cs="Arial"/>
        </w:rPr>
        <w:t>y</w:t>
      </w:r>
      <w:r w:rsidR="00FC0B1B">
        <w:rPr>
          <w:rFonts w:ascii="Arial" w:hAnsi="Arial" w:cs="Arial"/>
        </w:rPr>
        <w:t xml:space="preserve"> (viz podrobněji v kapitole Hodnocení výzkumných organizací)</w:t>
      </w:r>
      <w:r w:rsidR="00A83D36">
        <w:rPr>
          <w:rFonts w:ascii="Arial" w:hAnsi="Arial" w:cs="Arial"/>
        </w:rPr>
        <w:t>.</w:t>
      </w:r>
    </w:p>
    <w:p w:rsidR="006338C7" w:rsidRPr="00EE0408" w:rsidRDefault="006338C7" w:rsidP="006338C7">
      <w:pPr>
        <w:spacing w:after="0" w:line="360" w:lineRule="auto"/>
        <w:ind w:firstLine="709"/>
        <w:jc w:val="both"/>
        <w:rPr>
          <w:rFonts w:ascii="Arial" w:hAnsi="Arial" w:cs="Arial"/>
        </w:rPr>
      </w:pPr>
      <w:r w:rsidRPr="00EE0408">
        <w:rPr>
          <w:rFonts w:ascii="Arial" w:hAnsi="Arial" w:cs="Arial"/>
        </w:rPr>
        <w:t xml:space="preserve">Je třeba rovněž brát v potaz, zda v konkrétním oboru vycházejí v ČR impaktované (indexované Web </w:t>
      </w:r>
      <w:proofErr w:type="spellStart"/>
      <w:r w:rsidRPr="00EE0408">
        <w:rPr>
          <w:rFonts w:ascii="Arial" w:hAnsi="Arial" w:cs="Arial"/>
        </w:rPr>
        <w:t>of</w:t>
      </w:r>
      <w:proofErr w:type="spellEnd"/>
      <w:r w:rsidRPr="00EE0408">
        <w:rPr>
          <w:rFonts w:ascii="Arial" w:hAnsi="Arial" w:cs="Arial"/>
        </w:rPr>
        <w:t xml:space="preserve"> Science) časopisy a zda pocházejí citace z jiných časopisů z ČR, nebo ze zahraničí. Např. v oboru Ekonomie vycházejí v ČR čtyři impaktované časopisy, které jsou vysoce citovány navzájem. Výsledkem je nízký citační ohlas českých publikací v tomto oboru ve srovnání se světovým průměrem (obrázek 6.8).</w:t>
      </w:r>
      <w:r w:rsidR="00293B7A">
        <w:rPr>
          <w:rFonts w:ascii="Arial" w:hAnsi="Arial" w:cs="Arial"/>
        </w:rPr>
        <w:t xml:space="preserve"> Podobně v Chemii vychází v ČR impaktovaný časopis, který je využíván </w:t>
      </w:r>
      <w:r w:rsidR="004D353F">
        <w:rPr>
          <w:rFonts w:ascii="Arial" w:hAnsi="Arial" w:cs="Arial"/>
        </w:rPr>
        <w:t xml:space="preserve">k publikování výsledků chemického výzkumu </w:t>
      </w:r>
      <w:r w:rsidR="00293B7A">
        <w:rPr>
          <w:rFonts w:ascii="Arial" w:hAnsi="Arial" w:cs="Arial"/>
        </w:rPr>
        <w:t>nejvíce ze všech časopisů (obr. 6.9, 647 článků z celkových 8 347, tj</w:t>
      </w:r>
      <w:r w:rsidR="004D353F">
        <w:rPr>
          <w:rFonts w:ascii="Arial" w:hAnsi="Arial" w:cs="Arial"/>
        </w:rPr>
        <w:t>.</w:t>
      </w:r>
      <w:r w:rsidR="00293B7A">
        <w:rPr>
          <w:rFonts w:ascii="Arial" w:hAnsi="Arial" w:cs="Arial"/>
        </w:rPr>
        <w:t xml:space="preserve"> 7,8</w:t>
      </w:r>
      <w:r w:rsidR="00293B7A">
        <w:t> </w:t>
      </w:r>
      <w:r w:rsidR="00293B7A" w:rsidRPr="00293B7A">
        <w:rPr>
          <w:rFonts w:ascii="Arial" w:hAnsi="Arial" w:cs="Arial"/>
        </w:rPr>
        <w:t>%</w:t>
      </w:r>
      <w:r w:rsidR="00293B7A">
        <w:rPr>
          <w:rFonts w:ascii="Arial" w:hAnsi="Arial" w:cs="Arial"/>
        </w:rPr>
        <w:t xml:space="preserve"> bylo v tomto periodiku), což pravděpodobně způsobilo vyšší podíl periodik v dolním </w:t>
      </w:r>
      <w:proofErr w:type="spellStart"/>
      <w:r w:rsidR="00293B7A">
        <w:rPr>
          <w:rFonts w:ascii="Arial" w:hAnsi="Arial" w:cs="Arial"/>
        </w:rPr>
        <w:t>tercilu</w:t>
      </w:r>
      <w:proofErr w:type="spellEnd"/>
      <w:r w:rsidR="00293B7A">
        <w:rPr>
          <w:rFonts w:ascii="Arial" w:hAnsi="Arial" w:cs="Arial"/>
        </w:rPr>
        <w:t xml:space="preserve"> citovanosti ve srovnání s ostatními státy a ve svém důsledku i mírně nižší úroveň citovanosti publikací vůči světovému průměru</w:t>
      </w:r>
      <w:r w:rsidR="00531A2B">
        <w:rPr>
          <w:rFonts w:ascii="Arial" w:hAnsi="Arial" w:cs="Arial"/>
        </w:rPr>
        <w:t xml:space="preserve"> (obr. 6.8)</w:t>
      </w:r>
      <w:r w:rsidR="00293B7A">
        <w:rPr>
          <w:rFonts w:ascii="Arial" w:hAnsi="Arial" w:cs="Arial"/>
        </w:rPr>
        <w:t>.</w:t>
      </w:r>
    </w:p>
    <w:p w:rsidR="006338C7" w:rsidRPr="00EE0408" w:rsidRDefault="006338C7" w:rsidP="006338C7">
      <w:pPr>
        <w:pStyle w:val="Obrzek-nadpis"/>
      </w:pPr>
      <w:r w:rsidRPr="00EE0408">
        <w:lastRenderedPageBreak/>
        <w:t>Obr. 6.9: Mezinárodní srovnání kvality publikací v</w:t>
      </w:r>
      <w:r w:rsidR="00F57510">
        <w:t xml:space="preserve">e vybraných </w:t>
      </w:r>
      <w:r w:rsidRPr="00EE0408">
        <w:t>oborech dle citačního ohlasu periodik</w:t>
      </w:r>
    </w:p>
    <w:p w:rsidR="006338C7" w:rsidRPr="00EE0408" w:rsidRDefault="00A46B2F" w:rsidP="006338C7">
      <w:pPr>
        <w:jc w:val="center"/>
      </w:pPr>
      <w:r w:rsidRPr="00A46B2F">
        <w:rPr>
          <w:noProof/>
          <w:lang w:eastAsia="cs-CZ"/>
        </w:rPr>
        <w:drawing>
          <wp:inline distT="0" distB="0" distL="0" distR="0" wp14:anchorId="6DC855FD" wp14:editId="3997C80B">
            <wp:extent cx="6120130" cy="4162312"/>
            <wp:effectExtent l="19050" t="19050" r="13970" b="1016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4162312"/>
                    </a:xfrm>
                    <a:prstGeom prst="rect">
                      <a:avLst/>
                    </a:prstGeom>
                    <a:noFill/>
                    <a:ln>
                      <a:solidFill>
                        <a:schemeClr val="tx1"/>
                      </a:solidFill>
                    </a:ln>
                  </pic:spPr>
                </pic:pic>
              </a:graphicData>
            </a:graphic>
          </wp:inline>
        </w:drawing>
      </w:r>
    </w:p>
    <w:p w:rsidR="006338C7" w:rsidRPr="00EE0408" w:rsidRDefault="006338C7" w:rsidP="006338C7">
      <w:pPr>
        <w:pStyle w:val="Zdroj"/>
      </w:pPr>
      <w:r w:rsidRPr="00EE0408">
        <w:t xml:space="preserve">Zdroj dat: </w:t>
      </w:r>
      <w:r>
        <w:t xml:space="preserve">Thomson Reuters </w:t>
      </w:r>
      <w:r w:rsidRPr="00EE0408">
        <w:t xml:space="preserve">Web </w:t>
      </w:r>
      <w:proofErr w:type="spellStart"/>
      <w:r w:rsidRPr="00EE0408">
        <w:t>of</w:t>
      </w:r>
      <w:proofErr w:type="spellEnd"/>
      <w:r w:rsidRPr="00EE0408">
        <w:t xml:space="preserve"> Science</w:t>
      </w:r>
      <w:r>
        <w:t xml:space="preserve">, </w:t>
      </w:r>
      <w:proofErr w:type="spellStart"/>
      <w:r>
        <w:t>InCites</w:t>
      </w:r>
      <w:proofErr w:type="spellEnd"/>
    </w:p>
    <w:p w:rsidR="006338C7" w:rsidRPr="00EE0408" w:rsidRDefault="006338C7" w:rsidP="006338C7">
      <w:pPr>
        <w:pStyle w:val="Zdroj"/>
        <w:jc w:val="both"/>
      </w:pPr>
      <w:r w:rsidRPr="00EE0408">
        <w:t xml:space="preserve">Jsou uvedeny počty článků za roky 2010 </w:t>
      </w:r>
      <w:r>
        <w:t>–</w:t>
      </w:r>
      <w:r w:rsidRPr="00EE0408">
        <w:t xml:space="preserve"> 201</w:t>
      </w:r>
      <w:r>
        <w:t xml:space="preserve">4 </w:t>
      </w:r>
      <w:r w:rsidRPr="00EE0408">
        <w:t xml:space="preserve">dle oborových </w:t>
      </w:r>
      <w:proofErr w:type="spellStart"/>
      <w:r w:rsidRPr="00EE0408">
        <w:t>tercilů</w:t>
      </w:r>
      <w:proofErr w:type="spellEnd"/>
      <w:r w:rsidRPr="00EE0408">
        <w:t xml:space="preserve"> hodnot AIS (</w:t>
      </w:r>
      <w:proofErr w:type="spellStart"/>
      <w:r w:rsidRPr="00EE0408">
        <w:t>Article</w:t>
      </w:r>
      <w:proofErr w:type="spellEnd"/>
      <w:r w:rsidRPr="00EE0408">
        <w:t xml:space="preserve"> Influence </w:t>
      </w:r>
      <w:proofErr w:type="spellStart"/>
      <w:r w:rsidRPr="00EE0408">
        <w:t>Score</w:t>
      </w:r>
      <w:proofErr w:type="spellEnd"/>
      <w:r w:rsidRPr="00EE0408">
        <w:t>)</w:t>
      </w:r>
      <w:r>
        <w:t xml:space="preserve"> periodik v roce 2014</w:t>
      </w:r>
      <w:r w:rsidRPr="00EE0408">
        <w:t xml:space="preserve">. </w:t>
      </w:r>
      <w:r>
        <w:t xml:space="preserve">Jedná se o publikace druhu </w:t>
      </w:r>
      <w:proofErr w:type="spellStart"/>
      <w:r w:rsidRPr="00EE0408">
        <w:t>Article</w:t>
      </w:r>
      <w:proofErr w:type="spellEnd"/>
      <w:r w:rsidRPr="00EE0408">
        <w:t xml:space="preserve"> v</w:t>
      </w:r>
      <w:r>
        <w:t xml:space="preserve"> databázi</w:t>
      </w:r>
      <w:r w:rsidRPr="00EE0408">
        <w:t xml:space="preserve"> Web </w:t>
      </w:r>
      <w:proofErr w:type="spellStart"/>
      <w:r w:rsidRPr="00EE0408">
        <w:t>of</w:t>
      </w:r>
      <w:proofErr w:type="spellEnd"/>
      <w:r w:rsidRPr="00EE0408">
        <w:t xml:space="preserve"> Science, </w:t>
      </w:r>
      <w:r>
        <w:t>u kterých</w:t>
      </w:r>
      <w:r w:rsidRPr="00EE0408">
        <w:t xml:space="preserve"> má alespoň jeden z autorů v</w:t>
      </w:r>
      <w:r>
        <w:t> </w:t>
      </w:r>
      <w:r w:rsidRPr="00EE0408">
        <w:t xml:space="preserve">adrese uvedeno „Czech“. Počty tedy nezohledňují spoluautorství. V případě, že Web </w:t>
      </w:r>
      <w:proofErr w:type="spellStart"/>
      <w:r w:rsidRPr="00EE0408">
        <w:t>of</w:t>
      </w:r>
      <w:proofErr w:type="spellEnd"/>
      <w:r w:rsidRPr="00EE0408">
        <w:t xml:space="preserve"> Science řadí časopis do více oborů, je takový výsledek započítán v každém z těchto oborů.</w:t>
      </w:r>
    </w:p>
    <w:p w:rsidR="006338C7" w:rsidRPr="00EE0408" w:rsidRDefault="006338C7" w:rsidP="006338C7">
      <w:pPr>
        <w:pStyle w:val="Zdroj"/>
        <w:jc w:val="both"/>
      </w:pPr>
      <w:r w:rsidRPr="00EE0408">
        <w:t xml:space="preserve">Pro mezinárodní srovnání byly použity údaje z jiných středně velkých zemí, kde mateřským jazykem není angličtina (kromě Nového Zélandu). Počty </w:t>
      </w:r>
      <w:r>
        <w:t xml:space="preserve">článků </w:t>
      </w:r>
      <w:r w:rsidRPr="00EE0408">
        <w:t>za tyto ostatní země byly normalizovány na velikost populace ČR (tj. tak, aby např. počet článků za Estonsko odpovídal produkci této země, pokud by měla stejně jako ČR 10,</w:t>
      </w:r>
      <w:r>
        <w:t>5</w:t>
      </w:r>
      <w:r w:rsidRPr="00EE0408">
        <w:t xml:space="preserve"> milion</w:t>
      </w:r>
      <w:r>
        <w:t>u</w:t>
      </w:r>
      <w:r w:rsidRPr="00EE0408">
        <w:t xml:space="preserve"> obyvatel). </w:t>
      </w:r>
    </w:p>
    <w:p w:rsidR="006338C7" w:rsidRPr="00905DA5" w:rsidRDefault="006338C7" w:rsidP="006338C7">
      <w:pPr>
        <w:pStyle w:val="Zdroj"/>
        <w:jc w:val="both"/>
        <w:rPr>
          <w:highlight w:val="yellow"/>
        </w:rPr>
      </w:pPr>
      <w:r w:rsidRPr="00EE0408">
        <w:t xml:space="preserve">Srovnání nezohledňuje různou úroveň podpory </w:t>
      </w:r>
      <w:proofErr w:type="spellStart"/>
      <w:r w:rsidRPr="00EE0408">
        <w:t>VaV</w:t>
      </w:r>
      <w:proofErr w:type="spellEnd"/>
      <w:r w:rsidRPr="00EE0408">
        <w:t xml:space="preserve"> v jednotlivých oblastech a nevyjadřuje tedy produktivitu </w:t>
      </w:r>
      <w:proofErr w:type="spellStart"/>
      <w:r w:rsidRPr="00EE0408">
        <w:t>VaV</w:t>
      </w:r>
      <w:proofErr w:type="spellEnd"/>
      <w:r w:rsidRPr="00EE0408">
        <w:t>; nezohledňuje také význam impaktovaných časopisů, které jsou vydávány v ČR.</w:t>
      </w:r>
    </w:p>
    <w:p w:rsidR="006338C7" w:rsidRPr="009A04A4" w:rsidRDefault="006338C7" w:rsidP="006338C7">
      <w:pPr>
        <w:spacing w:after="0" w:line="360" w:lineRule="auto"/>
        <w:ind w:firstLine="709"/>
        <w:jc w:val="both"/>
        <w:rPr>
          <w:rFonts w:ascii="Arial" w:hAnsi="Arial" w:cs="Arial"/>
        </w:rPr>
      </w:pPr>
      <w:r w:rsidRPr="00905DA5">
        <w:rPr>
          <w:rFonts w:ascii="Arial" w:hAnsi="Arial" w:cs="Arial"/>
          <w:highlight w:val="yellow"/>
        </w:rPr>
        <w:t xml:space="preserve">Uvedené skutečnosti vyplývající z obrázku 6.8 částečně korespondují s finanční alokací účelové podpory do oborových skupin a jednotlivých oborů (obrázek 2.4 v kapitole 2). Vysoká podpora </w:t>
      </w:r>
      <w:r w:rsidR="00AD665F">
        <w:rPr>
          <w:rFonts w:ascii="Arial" w:hAnsi="Arial" w:cs="Arial"/>
          <w:highlight w:val="yellow"/>
        </w:rPr>
        <w:t xml:space="preserve">projektů v </w:t>
      </w:r>
      <w:r w:rsidRPr="00905DA5">
        <w:rPr>
          <w:rFonts w:ascii="Arial" w:hAnsi="Arial" w:cs="Arial"/>
          <w:highlight w:val="yellow"/>
        </w:rPr>
        <w:t>Biologických věd</w:t>
      </w:r>
      <w:r w:rsidR="00AD665F">
        <w:rPr>
          <w:rFonts w:ascii="Arial" w:hAnsi="Arial" w:cs="Arial"/>
          <w:highlight w:val="yellow"/>
        </w:rPr>
        <w:t>ách</w:t>
      </w:r>
      <w:r w:rsidRPr="00905DA5">
        <w:rPr>
          <w:rFonts w:ascii="Arial" w:hAnsi="Arial" w:cs="Arial"/>
          <w:highlight w:val="yellow"/>
        </w:rPr>
        <w:t>, Lékařských věd, Fyziky a Chemie se projevila vysokým zastoupením těchto věd mezi kvalitními publikacemi (obrázek 6.8). U Společenských a humanitních věd a také u Průmyslových věd se zdá, že finanční alokace účelové podpory nekorespondují s kvalitou výsledků. Je možné, že je tímto způsobem vyvažována relativně nízká alokace bodů pro stanovení institucionální podpory v rámci hodnocení výzkumných organizací. Z průmyslových oborů byly nejvíce podpořeny obory Elektronika a optoelektronika, elektrotechnika a Nejaderná i Jaderná energetika, kvalitnější publikace však vznikly v Environmentálním a Materiálovém inženýrství. Informace však může být zkreslena odlišným kódováním oborů v</w:t>
      </w:r>
      <w:r w:rsidR="00AD665F">
        <w:rPr>
          <w:rFonts w:ascii="Arial" w:hAnsi="Arial" w:cs="Arial"/>
          <w:highlight w:val="yellow"/>
        </w:rPr>
        <w:t> </w:t>
      </w:r>
      <w:r w:rsidRPr="00905DA5">
        <w:rPr>
          <w:rFonts w:ascii="Arial" w:hAnsi="Arial" w:cs="Arial"/>
          <w:highlight w:val="yellow"/>
        </w:rPr>
        <w:t>IS</w:t>
      </w:r>
      <w:r w:rsidR="00AD665F">
        <w:rPr>
          <w:rFonts w:ascii="Arial" w:hAnsi="Arial" w:cs="Arial"/>
          <w:highlight w:val="yellow"/>
        </w:rPr>
        <w:t> </w:t>
      </w:r>
      <w:proofErr w:type="spellStart"/>
      <w:r w:rsidRPr="00905DA5">
        <w:rPr>
          <w:rFonts w:ascii="Arial" w:hAnsi="Arial" w:cs="Arial"/>
          <w:highlight w:val="yellow"/>
        </w:rPr>
        <w:t>VaVaI</w:t>
      </w:r>
      <w:proofErr w:type="spellEnd"/>
      <w:r w:rsidRPr="00905DA5">
        <w:rPr>
          <w:rFonts w:ascii="Arial" w:hAnsi="Arial" w:cs="Arial"/>
          <w:highlight w:val="yellow"/>
        </w:rPr>
        <w:t xml:space="preserve"> a ve světových citačních databázích (podrobněji v kapitol</w:t>
      </w:r>
      <w:r w:rsidR="001E0782">
        <w:rPr>
          <w:rFonts w:ascii="Arial" w:hAnsi="Arial" w:cs="Arial"/>
          <w:highlight w:val="yellow"/>
        </w:rPr>
        <w:t>ách</w:t>
      </w:r>
      <w:r w:rsidRPr="00905DA5">
        <w:rPr>
          <w:rFonts w:ascii="Arial" w:hAnsi="Arial" w:cs="Arial"/>
          <w:highlight w:val="yellow"/>
        </w:rPr>
        <w:t xml:space="preserve"> 2</w:t>
      </w:r>
      <w:r w:rsidR="001E0782">
        <w:rPr>
          <w:rFonts w:ascii="Arial" w:hAnsi="Arial" w:cs="Arial"/>
          <w:highlight w:val="yellow"/>
        </w:rPr>
        <w:t xml:space="preserve"> a 7</w:t>
      </w:r>
      <w:r w:rsidRPr="00905DA5">
        <w:rPr>
          <w:rFonts w:ascii="Arial" w:hAnsi="Arial" w:cs="Arial"/>
          <w:highlight w:val="yellow"/>
        </w:rPr>
        <w:t xml:space="preserve">), případně mohou </w:t>
      </w:r>
      <w:r w:rsidRPr="00905DA5">
        <w:rPr>
          <w:rFonts w:ascii="Arial" w:hAnsi="Arial" w:cs="Arial"/>
          <w:highlight w:val="yellow"/>
        </w:rPr>
        <w:lastRenderedPageBreak/>
        <w:t>být publikace výsledkem aktivit financovaných institucionálně, přičemž pro oborovou determinaci finanční alokace institucionální podpory chybí relevantní data.</w:t>
      </w:r>
    </w:p>
    <w:p w:rsidR="006338C7" w:rsidRPr="009A04A4" w:rsidRDefault="006338C7" w:rsidP="006338C7">
      <w:pPr>
        <w:spacing w:after="0" w:line="360" w:lineRule="auto"/>
        <w:ind w:firstLine="709"/>
        <w:jc w:val="both"/>
        <w:rPr>
          <w:rFonts w:ascii="Arial" w:hAnsi="Arial" w:cs="Arial"/>
        </w:rPr>
      </w:pPr>
      <w:r w:rsidRPr="008F198C">
        <w:rPr>
          <w:rFonts w:ascii="Arial" w:hAnsi="Arial" w:cs="Arial"/>
        </w:rPr>
        <w:t>Dalším významným měřítkem kvality publikací je působení českých autorů v mezinárodních autorských kolektivech vědeckých publikací.</w:t>
      </w:r>
      <w:r w:rsidRPr="009A04A4">
        <w:rPr>
          <w:rFonts w:ascii="Arial" w:hAnsi="Arial" w:cs="Arial"/>
        </w:rPr>
        <w:t xml:space="preserve"> Zároveň se jedná o jeden z indikátorů internacionalizace výzkumu. Jak dokládá obr</w:t>
      </w:r>
      <w:r>
        <w:rPr>
          <w:rFonts w:ascii="Arial" w:hAnsi="Arial" w:cs="Arial"/>
        </w:rPr>
        <w:t>ázek</w:t>
      </w:r>
      <w:r w:rsidRPr="009A04A4">
        <w:rPr>
          <w:rFonts w:ascii="Arial" w:hAnsi="Arial" w:cs="Arial"/>
        </w:rPr>
        <w:t xml:space="preserve"> 6.10, došlo v posledních </w:t>
      </w:r>
      <w:r>
        <w:rPr>
          <w:rFonts w:ascii="Arial" w:hAnsi="Arial" w:cs="Arial"/>
        </w:rPr>
        <w:t>šesti</w:t>
      </w:r>
      <w:r w:rsidRPr="009A04A4">
        <w:rPr>
          <w:rFonts w:ascii="Arial" w:hAnsi="Arial" w:cs="Arial"/>
        </w:rPr>
        <w:t xml:space="preserve"> letech ke zvýšení podílu kvalitních publikací v mezinárodním kolektivu autorů, oproti výhradně českým publikacím. Zatímco v roce 20</w:t>
      </w:r>
      <w:r>
        <w:rPr>
          <w:rFonts w:ascii="Arial" w:hAnsi="Arial" w:cs="Arial"/>
        </w:rPr>
        <w:t>10</w:t>
      </w:r>
      <w:r w:rsidRPr="009A04A4">
        <w:rPr>
          <w:rFonts w:ascii="Arial" w:hAnsi="Arial" w:cs="Arial"/>
        </w:rPr>
        <w:t xml:space="preserve"> bylo z celkových </w:t>
      </w:r>
      <w:r>
        <w:rPr>
          <w:rFonts w:ascii="Arial" w:hAnsi="Arial" w:cs="Arial"/>
        </w:rPr>
        <w:t>10</w:t>
      </w:r>
      <w:r w:rsidRPr="009A04A4">
        <w:rPr>
          <w:rFonts w:ascii="Arial" w:hAnsi="Arial" w:cs="Arial"/>
        </w:rPr>
        <w:t>,</w:t>
      </w:r>
      <w:r>
        <w:rPr>
          <w:rFonts w:ascii="Arial" w:hAnsi="Arial" w:cs="Arial"/>
        </w:rPr>
        <w:t>0</w:t>
      </w:r>
      <w:r w:rsidRPr="009A04A4">
        <w:rPr>
          <w:rFonts w:ascii="Arial" w:hAnsi="Arial" w:cs="Arial"/>
        </w:rPr>
        <w:t xml:space="preserve"> tis. publikací </w:t>
      </w:r>
      <w:r>
        <w:rPr>
          <w:rFonts w:ascii="Arial" w:hAnsi="Arial" w:cs="Arial"/>
        </w:rPr>
        <w:t xml:space="preserve">pouze cca </w:t>
      </w:r>
      <w:r w:rsidRPr="009A04A4">
        <w:rPr>
          <w:rFonts w:ascii="Arial" w:hAnsi="Arial" w:cs="Arial"/>
        </w:rPr>
        <w:t>45 % mezinárodních, v roce 201</w:t>
      </w:r>
      <w:r>
        <w:rPr>
          <w:rFonts w:ascii="Arial" w:hAnsi="Arial" w:cs="Arial"/>
        </w:rPr>
        <w:t>5</w:t>
      </w:r>
      <w:r w:rsidRPr="009A04A4">
        <w:rPr>
          <w:rFonts w:ascii="Arial" w:hAnsi="Arial" w:cs="Arial"/>
        </w:rPr>
        <w:t xml:space="preserve"> to</w:t>
      </w:r>
      <w:r>
        <w:rPr>
          <w:rFonts w:ascii="Arial" w:hAnsi="Arial" w:cs="Arial"/>
        </w:rPr>
        <w:t xml:space="preserve"> již</w:t>
      </w:r>
      <w:r w:rsidRPr="009A04A4">
        <w:rPr>
          <w:rFonts w:ascii="Arial" w:hAnsi="Arial" w:cs="Arial"/>
        </w:rPr>
        <w:t xml:space="preserve"> bylo </w:t>
      </w:r>
      <w:r>
        <w:rPr>
          <w:rFonts w:ascii="Arial" w:hAnsi="Arial" w:cs="Arial"/>
        </w:rPr>
        <w:t>téměř</w:t>
      </w:r>
      <w:r w:rsidRPr="009A04A4">
        <w:rPr>
          <w:rFonts w:ascii="Arial" w:hAnsi="Arial" w:cs="Arial"/>
        </w:rPr>
        <w:t xml:space="preserve"> 5</w:t>
      </w:r>
      <w:r>
        <w:rPr>
          <w:rFonts w:ascii="Arial" w:hAnsi="Arial" w:cs="Arial"/>
        </w:rPr>
        <w:t>4</w:t>
      </w:r>
      <w:r w:rsidRPr="009A04A4">
        <w:rPr>
          <w:rFonts w:ascii="Arial" w:hAnsi="Arial" w:cs="Arial"/>
        </w:rPr>
        <w:t> % z celkových 1</w:t>
      </w:r>
      <w:r>
        <w:rPr>
          <w:rFonts w:ascii="Arial" w:hAnsi="Arial" w:cs="Arial"/>
        </w:rPr>
        <w:t>3</w:t>
      </w:r>
      <w:r w:rsidRPr="009A04A4">
        <w:rPr>
          <w:rFonts w:ascii="Arial" w:hAnsi="Arial" w:cs="Arial"/>
        </w:rPr>
        <w:t>,</w:t>
      </w:r>
      <w:r>
        <w:rPr>
          <w:rFonts w:ascii="Arial" w:hAnsi="Arial" w:cs="Arial"/>
        </w:rPr>
        <w:t>0</w:t>
      </w:r>
      <w:r w:rsidRPr="009A04A4">
        <w:rPr>
          <w:rFonts w:ascii="Arial" w:hAnsi="Arial" w:cs="Arial"/>
        </w:rPr>
        <w:t xml:space="preserve"> tis. publikací. Mírně se rovněž změnila struktura zahraničních zemí, se kterými čeští vědci v rámci publikační činnosti spolupracují. Největší počet mezinárodních publikací vytvořili v roce 201</w:t>
      </w:r>
      <w:r>
        <w:rPr>
          <w:rFonts w:ascii="Arial" w:hAnsi="Arial" w:cs="Arial"/>
        </w:rPr>
        <w:t>5</w:t>
      </w:r>
      <w:r w:rsidRPr="009A04A4">
        <w:rPr>
          <w:rFonts w:ascii="Arial" w:hAnsi="Arial" w:cs="Arial"/>
        </w:rPr>
        <w:t xml:space="preserve"> čeští autoři ve spolupráci s autory ze Spojených států amerických, zatímco v roce 20</w:t>
      </w:r>
      <w:r>
        <w:rPr>
          <w:rFonts w:ascii="Arial" w:hAnsi="Arial" w:cs="Arial"/>
        </w:rPr>
        <w:t>10</w:t>
      </w:r>
      <w:r w:rsidRPr="009A04A4">
        <w:rPr>
          <w:rFonts w:ascii="Arial" w:hAnsi="Arial" w:cs="Arial"/>
        </w:rPr>
        <w:t xml:space="preserve"> to bylo s autory  německými. Klesá rovněž význam spolupráce s evropskými zeměmi publikujícími méně úspěšně, jako je např. Slovensko či Polsko, ve prospěch zemí úspěšnějších, jako např. Anglie, Francie nebo Švýcarsko. Uvedené skutečnosti mohou být příčinou rostoucí kv</w:t>
      </w:r>
      <w:r>
        <w:rPr>
          <w:rFonts w:ascii="Arial" w:hAnsi="Arial" w:cs="Arial"/>
        </w:rPr>
        <w:t>ality publikací českých autorů.</w:t>
      </w:r>
    </w:p>
    <w:p w:rsidR="006338C7" w:rsidRPr="008A3BE9" w:rsidRDefault="006338C7" w:rsidP="006338C7">
      <w:pPr>
        <w:pStyle w:val="Obrzek-nadpis"/>
      </w:pPr>
      <w:r w:rsidRPr="008A3BE9">
        <w:t>Obr.</w:t>
      </w:r>
      <w:r>
        <w:t xml:space="preserve"> 6.10:</w:t>
      </w:r>
      <w:r w:rsidRPr="008A3BE9">
        <w:t xml:space="preserve"> Publikace českých autorů vytvořené ve spolupráci se zahraničními partnery – srovnání roku 20</w:t>
      </w:r>
      <w:r>
        <w:t>10</w:t>
      </w:r>
      <w:r w:rsidRPr="008A3BE9">
        <w:t xml:space="preserve"> s rokem 201</w:t>
      </w:r>
      <w:r>
        <w:t>5</w:t>
      </w:r>
    </w:p>
    <w:p w:rsidR="006338C7" w:rsidRDefault="006338C7" w:rsidP="006338C7">
      <w:pPr>
        <w:jc w:val="center"/>
      </w:pPr>
      <w:r>
        <w:rPr>
          <w:noProof/>
          <w:lang w:eastAsia="cs-CZ"/>
        </w:rPr>
        <w:drawing>
          <wp:inline distT="0" distB="0" distL="0" distR="0" wp14:anchorId="0EE20E83" wp14:editId="11537A21">
            <wp:extent cx="6120130" cy="2254885"/>
            <wp:effectExtent l="19050" t="19050" r="13970" b="1206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0.png"/>
                    <pic:cNvPicPr/>
                  </pic:nvPicPr>
                  <pic:blipFill>
                    <a:blip r:embed="rId42">
                      <a:extLst>
                        <a:ext uri="{28A0092B-C50C-407E-A947-70E740481C1C}">
                          <a14:useLocalDpi xmlns:a14="http://schemas.microsoft.com/office/drawing/2010/main" val="0"/>
                        </a:ext>
                      </a:extLst>
                    </a:blip>
                    <a:stretch>
                      <a:fillRect/>
                    </a:stretch>
                  </pic:blipFill>
                  <pic:spPr>
                    <a:xfrm>
                      <a:off x="0" y="0"/>
                      <a:ext cx="6120130" cy="2254885"/>
                    </a:xfrm>
                    <a:prstGeom prst="rect">
                      <a:avLst/>
                    </a:prstGeom>
                    <a:ln>
                      <a:solidFill>
                        <a:schemeClr val="tx1"/>
                      </a:solidFill>
                    </a:ln>
                  </pic:spPr>
                </pic:pic>
              </a:graphicData>
            </a:graphic>
          </wp:inline>
        </w:drawing>
      </w:r>
    </w:p>
    <w:p w:rsidR="006338C7" w:rsidRPr="008A3BE9" w:rsidRDefault="006338C7" w:rsidP="006338C7">
      <w:pPr>
        <w:pStyle w:val="Zdroj"/>
      </w:pPr>
      <w:r w:rsidRPr="008A3BE9">
        <w:t xml:space="preserve">Zdroj dat: Web </w:t>
      </w:r>
      <w:proofErr w:type="spellStart"/>
      <w:r w:rsidRPr="008A3BE9">
        <w:t>of</w:t>
      </w:r>
      <w:proofErr w:type="spellEnd"/>
      <w:r w:rsidRPr="008A3BE9">
        <w:t xml:space="preserve"> Science, publikace typu </w:t>
      </w:r>
      <w:proofErr w:type="spellStart"/>
      <w:r w:rsidRPr="008A3BE9">
        <w:t>article</w:t>
      </w:r>
      <w:proofErr w:type="spellEnd"/>
      <w:r w:rsidRPr="008A3BE9">
        <w:t xml:space="preserve">, </w:t>
      </w:r>
      <w:proofErr w:type="spellStart"/>
      <w:r w:rsidRPr="008A3BE9">
        <w:t>letter</w:t>
      </w:r>
      <w:proofErr w:type="spellEnd"/>
      <w:r w:rsidRPr="008A3BE9">
        <w:t xml:space="preserve">, </w:t>
      </w:r>
      <w:proofErr w:type="spellStart"/>
      <w:r w:rsidRPr="008A3BE9">
        <w:t>review</w:t>
      </w:r>
      <w:proofErr w:type="spellEnd"/>
    </w:p>
    <w:p w:rsidR="006338C7" w:rsidRDefault="006338C7" w:rsidP="006338C7">
      <w:pPr>
        <w:pStyle w:val="komentzaobrzkem"/>
        <w:spacing w:after="240"/>
      </w:pPr>
      <w:r w:rsidRPr="008A3BE9">
        <w:t>V bublinách jsou uvedeny počty publikací</w:t>
      </w:r>
      <w:r>
        <w:t xml:space="preserve"> vytvořených v daném roce</w:t>
      </w:r>
      <w:r w:rsidRPr="008A3BE9">
        <w:t>, u kterých je v autorském kolektivu český tvůrce spolu s tvůrcem z dané země</w:t>
      </w:r>
      <w:r>
        <w:t>.</w:t>
      </w:r>
    </w:p>
    <w:p w:rsidR="006338C7" w:rsidRPr="001D0731" w:rsidRDefault="006338C7" w:rsidP="006338C7">
      <w:pPr>
        <w:spacing w:after="0" w:line="360" w:lineRule="auto"/>
        <w:ind w:firstLine="709"/>
        <w:jc w:val="both"/>
        <w:rPr>
          <w:rFonts w:ascii="Arial" w:hAnsi="Arial" w:cs="Arial"/>
          <w:highlight w:val="yellow"/>
        </w:rPr>
      </w:pPr>
      <w:r w:rsidRPr="009D0708">
        <w:rPr>
          <w:rFonts w:ascii="Arial" w:hAnsi="Arial" w:cs="Arial"/>
        </w:rPr>
        <w:t xml:space="preserve">V mezinárodním srovnání </w:t>
      </w:r>
      <w:proofErr w:type="spellStart"/>
      <w:r w:rsidRPr="009D0708">
        <w:rPr>
          <w:rFonts w:ascii="Arial" w:hAnsi="Arial" w:cs="Arial"/>
        </w:rPr>
        <w:t>kolaborativních</w:t>
      </w:r>
      <w:proofErr w:type="spellEnd"/>
      <w:r w:rsidRPr="009D0708">
        <w:rPr>
          <w:rFonts w:ascii="Arial" w:hAnsi="Arial" w:cs="Arial"/>
        </w:rPr>
        <w:t xml:space="preserve"> publikací ČR se svými 54</w:t>
      </w:r>
      <w:r>
        <w:rPr>
          <w:rFonts w:ascii="Arial" w:hAnsi="Arial" w:cs="Arial"/>
        </w:rPr>
        <w:t> </w:t>
      </w:r>
      <w:r w:rsidRPr="009D0708">
        <w:rPr>
          <w:rFonts w:ascii="Arial" w:hAnsi="Arial" w:cs="Arial"/>
        </w:rPr>
        <w:t>% mezinárodní</w:t>
      </w:r>
      <w:r>
        <w:rPr>
          <w:rFonts w:ascii="Arial" w:hAnsi="Arial" w:cs="Arial"/>
        </w:rPr>
        <w:t xml:space="preserve">ch </w:t>
      </w:r>
      <w:r w:rsidRPr="009D0708">
        <w:rPr>
          <w:rFonts w:ascii="Arial" w:hAnsi="Arial" w:cs="Arial"/>
        </w:rPr>
        <w:t>publikac</w:t>
      </w:r>
      <w:r>
        <w:rPr>
          <w:rFonts w:ascii="Arial" w:hAnsi="Arial" w:cs="Arial"/>
        </w:rPr>
        <w:t>í</w:t>
      </w:r>
      <w:r w:rsidRPr="009D0708">
        <w:rPr>
          <w:rFonts w:ascii="Arial" w:hAnsi="Arial" w:cs="Arial"/>
        </w:rPr>
        <w:t xml:space="preserve"> z celkového počtu článků v databázi Web </w:t>
      </w:r>
      <w:proofErr w:type="spellStart"/>
      <w:r w:rsidRPr="009D0708">
        <w:rPr>
          <w:rFonts w:ascii="Arial" w:hAnsi="Arial" w:cs="Arial"/>
        </w:rPr>
        <w:t>of</w:t>
      </w:r>
      <w:proofErr w:type="spellEnd"/>
      <w:r w:rsidRPr="009D0708">
        <w:rPr>
          <w:rFonts w:ascii="Arial" w:hAnsi="Arial" w:cs="Arial"/>
        </w:rPr>
        <w:t xml:space="preserve"> Science mírně zaostává za evropským průměrem, přestože došlo meziročně k nárůstu o 4 % (z 50 % v roce 2014). Tempo růstu tohoto parametru v ČR za posledních šest let (cca 18 %) je ve srovnání s evropským průměrem nepatrně rychlejší (obrázek 6.11), což dává určitý předpoklad pro zlepšení pozice ČR v budoucnu. ČR je na srovnatelné úrovni s Německem a Slovinskem, mírně předčí Itálii a Španělsko, naopak mírně zaostává za Velkou Británií, Francií nebo Portugalskem. ČR výrazněji ztrácí na státy, jako je Dánsko, Belgie, Rakousko, nebo Švýcarsko, kde se podíl </w:t>
      </w:r>
      <w:proofErr w:type="spellStart"/>
      <w:r w:rsidRPr="009D0708">
        <w:rPr>
          <w:rFonts w:ascii="Arial" w:hAnsi="Arial" w:cs="Arial"/>
        </w:rPr>
        <w:t>kolaborativních</w:t>
      </w:r>
      <w:proofErr w:type="spellEnd"/>
      <w:r w:rsidRPr="009D0708">
        <w:rPr>
          <w:rFonts w:ascii="Arial" w:hAnsi="Arial" w:cs="Arial"/>
        </w:rPr>
        <w:t xml:space="preserve"> publikací pohybuje mezi </w:t>
      </w:r>
      <w:r w:rsidRPr="009D0708">
        <w:rPr>
          <w:rFonts w:ascii="Arial" w:hAnsi="Arial" w:cs="Arial"/>
        </w:rPr>
        <w:lastRenderedPageBreak/>
        <w:t>60 a 70 %. Mezi evropské státy s nejnižším podílem mezinárodního spoluautorství patří Polsko (34 %), nízkou míru vykazují rovněž Japonsko nebo Spojené státy americké (30 %, resp. 37 %).</w:t>
      </w:r>
    </w:p>
    <w:p w:rsidR="006338C7" w:rsidRPr="001D0731" w:rsidRDefault="006338C7" w:rsidP="006338C7">
      <w:pPr>
        <w:pStyle w:val="Obrzek-nadpis"/>
        <w:rPr>
          <w:highlight w:val="yellow"/>
        </w:rPr>
      </w:pPr>
      <w:r w:rsidRPr="009D0708">
        <w:t>Obr. 6.11: Podíl vědeckých publikací vytvořených mezinárodními autorskými týmy v zemích EU a OECD.</w:t>
      </w:r>
    </w:p>
    <w:p w:rsidR="006338C7" w:rsidRPr="001D0731" w:rsidRDefault="006338C7" w:rsidP="006338C7">
      <w:pPr>
        <w:jc w:val="center"/>
        <w:rPr>
          <w:highlight w:val="yellow"/>
        </w:rPr>
      </w:pPr>
      <w:r w:rsidRPr="00182C35">
        <w:rPr>
          <w:noProof/>
          <w:lang w:eastAsia="cs-CZ"/>
        </w:rPr>
        <w:drawing>
          <wp:inline distT="0" distB="0" distL="0" distR="0" wp14:anchorId="4A8102DA" wp14:editId="52574E3E">
            <wp:extent cx="6120130" cy="4089445"/>
            <wp:effectExtent l="0" t="0" r="0" b="635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4089445"/>
                    </a:xfrm>
                    <a:prstGeom prst="rect">
                      <a:avLst/>
                    </a:prstGeom>
                    <a:noFill/>
                    <a:ln>
                      <a:noFill/>
                    </a:ln>
                  </pic:spPr>
                </pic:pic>
              </a:graphicData>
            </a:graphic>
          </wp:inline>
        </w:drawing>
      </w:r>
    </w:p>
    <w:p w:rsidR="006338C7" w:rsidRPr="009D0708" w:rsidRDefault="006338C7" w:rsidP="006338C7">
      <w:pPr>
        <w:pStyle w:val="Zdroj"/>
      </w:pPr>
      <w:r w:rsidRPr="009D0708">
        <w:t xml:space="preserve">Zdroj dat: Web </w:t>
      </w:r>
      <w:proofErr w:type="spellStart"/>
      <w:r w:rsidRPr="009D0708">
        <w:t>of</w:t>
      </w:r>
      <w:proofErr w:type="spellEnd"/>
      <w:r w:rsidRPr="009D0708">
        <w:t xml:space="preserve"> Science, exportováno prostřednictvím nástroje </w:t>
      </w:r>
      <w:proofErr w:type="spellStart"/>
      <w:r w:rsidRPr="009D0708">
        <w:t>InCites</w:t>
      </w:r>
      <w:proofErr w:type="spellEnd"/>
      <w:r w:rsidRPr="009D0708">
        <w:t xml:space="preserve">, publikace typu </w:t>
      </w:r>
      <w:proofErr w:type="spellStart"/>
      <w:r w:rsidRPr="009D0708">
        <w:t>article</w:t>
      </w:r>
      <w:proofErr w:type="spellEnd"/>
      <w:r w:rsidRPr="009D0708">
        <w:t xml:space="preserve">, </w:t>
      </w:r>
      <w:proofErr w:type="spellStart"/>
      <w:r w:rsidRPr="009D0708">
        <w:t>letter</w:t>
      </w:r>
      <w:proofErr w:type="spellEnd"/>
      <w:r w:rsidRPr="009D0708">
        <w:t xml:space="preserve">, </w:t>
      </w:r>
      <w:proofErr w:type="spellStart"/>
      <w:r w:rsidRPr="009D0708">
        <w:t>review</w:t>
      </w:r>
      <w:proofErr w:type="spellEnd"/>
    </w:p>
    <w:p w:rsidR="006338C7" w:rsidRPr="009D0708" w:rsidRDefault="006338C7" w:rsidP="006338C7">
      <w:pPr>
        <w:pStyle w:val="komentzaobrzkem"/>
      </w:pPr>
      <w:r w:rsidRPr="009D0708">
        <w:t>Horizontální osa: Podíl publikací s alespoň jedním autorem ze zahraničí na celkovém počtu publikací dané země v roce 2013 (v %).</w:t>
      </w:r>
    </w:p>
    <w:p w:rsidR="006338C7" w:rsidRPr="009D0708" w:rsidRDefault="006338C7" w:rsidP="006338C7">
      <w:pPr>
        <w:pStyle w:val="komentzaobrzkem"/>
      </w:pPr>
      <w:r w:rsidRPr="009D0708">
        <w:t>Vertikální osa: Nárůst podílu mezinárodních publikací mezi roky 2008 a 2013 (v %)</w:t>
      </w:r>
    </w:p>
    <w:p w:rsidR="00D33F0D" w:rsidRDefault="006338C7" w:rsidP="00A844E8">
      <w:pPr>
        <w:pStyle w:val="komentzaobrzkem"/>
      </w:pPr>
      <w:r w:rsidRPr="009D0708">
        <w:t>Průsečík os značí teoretickou pozici EU 28</w:t>
      </w:r>
      <w:r w:rsidR="00D33F0D">
        <w:t>.</w:t>
      </w:r>
    </w:p>
    <w:p w:rsidR="006338C7" w:rsidRDefault="006338C7" w:rsidP="00A844E8">
      <w:pPr>
        <w:pStyle w:val="komentzaobrzkem"/>
      </w:pPr>
    </w:p>
    <w:p w:rsidR="00AD7092" w:rsidRDefault="00AD7092" w:rsidP="00AD7092">
      <w:pPr>
        <w:pStyle w:val="NadpisurovenI"/>
      </w:pPr>
      <w:bookmarkStart w:id="20" w:name="_Toc427676904"/>
      <w:bookmarkStart w:id="21" w:name="_Toc464461104"/>
      <w:r>
        <w:t>7. Hodnocení výzkumných organizací</w:t>
      </w:r>
      <w:bookmarkEnd w:id="21"/>
    </w:p>
    <w:p w:rsidR="00FC5CCD" w:rsidRDefault="00FC5CCD" w:rsidP="00FC5CCD">
      <w:pPr>
        <w:spacing w:after="0" w:line="360" w:lineRule="auto"/>
        <w:ind w:firstLine="709"/>
        <w:jc w:val="both"/>
        <w:rPr>
          <w:rFonts w:ascii="Arial" w:hAnsi="Arial" w:cs="Arial"/>
        </w:rPr>
      </w:pPr>
      <w:r>
        <w:rPr>
          <w:rFonts w:ascii="Arial" w:hAnsi="Arial" w:cs="Arial"/>
        </w:rPr>
        <w:t xml:space="preserve">V České republice </w:t>
      </w:r>
      <w:r w:rsidRPr="002A7FCC">
        <w:rPr>
          <w:rFonts w:ascii="Arial" w:hAnsi="Arial" w:cs="Arial"/>
        </w:rPr>
        <w:t xml:space="preserve">se již více než </w:t>
      </w:r>
      <w:r>
        <w:rPr>
          <w:rFonts w:ascii="Arial" w:hAnsi="Arial" w:cs="Arial"/>
        </w:rPr>
        <w:t>deset</w:t>
      </w:r>
      <w:r w:rsidRPr="002A7FCC">
        <w:rPr>
          <w:rFonts w:ascii="Arial" w:hAnsi="Arial" w:cs="Arial"/>
        </w:rPr>
        <w:t xml:space="preserve"> let uskutečňuje </w:t>
      </w:r>
      <w:r>
        <w:rPr>
          <w:rFonts w:ascii="Arial" w:hAnsi="Arial" w:cs="Arial"/>
        </w:rPr>
        <w:t xml:space="preserve">hodnocení výzkumných organizací výhradně na základě výsledků. Jsou k tomu využívány údaje o výsledcích sbírané na národní úrovni prostřednictvím informačního systému výzkumu, vývoje a inovací (dále jen „IS </w:t>
      </w:r>
      <w:proofErr w:type="spellStart"/>
      <w:r>
        <w:rPr>
          <w:rFonts w:ascii="Arial" w:hAnsi="Arial" w:cs="Arial"/>
        </w:rPr>
        <w:t>VaVaI</w:t>
      </w:r>
      <w:proofErr w:type="spellEnd"/>
      <w:r>
        <w:rPr>
          <w:rFonts w:ascii="Arial" w:hAnsi="Arial" w:cs="Arial"/>
        </w:rPr>
        <w:t>“), který dokumentuje v</w:t>
      </w:r>
      <w:r w:rsidRPr="002A7FCC">
        <w:rPr>
          <w:rFonts w:ascii="Arial" w:hAnsi="Arial" w:cs="Arial"/>
        </w:rPr>
        <w:t xml:space="preserve">eřejnou podporu </w:t>
      </w:r>
      <w:proofErr w:type="spellStart"/>
      <w:r>
        <w:rPr>
          <w:rFonts w:ascii="Arial" w:hAnsi="Arial" w:cs="Arial"/>
        </w:rPr>
        <w:t>VaVaI</w:t>
      </w:r>
      <w:proofErr w:type="spellEnd"/>
      <w:r w:rsidRPr="002A7FCC">
        <w:rPr>
          <w:rFonts w:ascii="Arial" w:hAnsi="Arial" w:cs="Arial"/>
        </w:rPr>
        <w:t xml:space="preserve"> od poloviny devadesátých let (data projektů od roku 1994, výsledků od 1998)</w:t>
      </w:r>
      <w:r>
        <w:rPr>
          <w:rFonts w:ascii="Arial" w:hAnsi="Arial" w:cs="Arial"/>
        </w:rPr>
        <w:t xml:space="preserve">. IS </w:t>
      </w:r>
      <w:proofErr w:type="spellStart"/>
      <w:r>
        <w:rPr>
          <w:rFonts w:ascii="Arial" w:hAnsi="Arial" w:cs="Arial"/>
        </w:rPr>
        <w:t>VaVaI</w:t>
      </w:r>
      <w:proofErr w:type="spellEnd"/>
      <w:r>
        <w:rPr>
          <w:rFonts w:ascii="Arial" w:hAnsi="Arial" w:cs="Arial"/>
        </w:rPr>
        <w:t xml:space="preserve"> stejně jako povinnost provádět každoroční hodnocení výsledků podle vládou schválené metodiky (dále jen „Metodika“) jsou legislativně zakotveny v zákoně č. 130/2002 Sb. o podpoře výzkumu, experimentálního vývoje a inovací. Odpovědným orgánem za přípravu metodiky i za provádění hodnocení je RVVI. Hlavním rysem prováděného hodnocení je přidělování bodů za výsledky a následný přepočet těchto bodů na finanční podporu dlouhodobého koncepčního rozvoje výzkumných organizací. Hodnocení působí jako významný motivační prvek </w:t>
      </w:r>
      <w:r>
        <w:rPr>
          <w:rFonts w:ascii="Arial" w:hAnsi="Arial" w:cs="Arial"/>
        </w:rPr>
        <w:lastRenderedPageBreak/>
        <w:t xml:space="preserve">ovlivňující produktivitu </w:t>
      </w:r>
      <w:proofErr w:type="spellStart"/>
      <w:r>
        <w:rPr>
          <w:rFonts w:ascii="Arial" w:hAnsi="Arial" w:cs="Arial"/>
        </w:rPr>
        <w:t>VaVaI</w:t>
      </w:r>
      <w:proofErr w:type="spellEnd"/>
      <w:r>
        <w:rPr>
          <w:rFonts w:ascii="Arial" w:hAnsi="Arial" w:cs="Arial"/>
        </w:rPr>
        <w:t xml:space="preserve"> systému a kvalitu výstupů, proto je třeba jeho nastavení věnovat zvláštní pozornost. Od roku 2017 má být v ČR zaveden nový systém hodnocení výzkumných organizací, který by odstranil nejzávažnější nedostatky dosavadního způsobu hodnocení a zároveň zvýšil informační hodnotu hodnocení, aby bylo možné jej šířeji využít pro řízení celého systému </w:t>
      </w:r>
      <w:proofErr w:type="spellStart"/>
      <w:r>
        <w:rPr>
          <w:rFonts w:ascii="Arial" w:hAnsi="Arial" w:cs="Arial"/>
        </w:rPr>
        <w:t>VaVaI</w:t>
      </w:r>
      <w:proofErr w:type="spellEnd"/>
      <w:r>
        <w:rPr>
          <w:rStyle w:val="Znakapoznpodarou"/>
          <w:rFonts w:ascii="Arial" w:hAnsi="Arial" w:cs="Arial"/>
        </w:rPr>
        <w:footnoteReference w:id="29"/>
      </w:r>
      <w:r>
        <w:rPr>
          <w:rFonts w:ascii="Arial" w:hAnsi="Arial" w:cs="Arial"/>
        </w:rPr>
        <w:t xml:space="preserve">. </w:t>
      </w:r>
    </w:p>
    <w:p w:rsidR="00AD7092" w:rsidRDefault="00FC5CCD" w:rsidP="00FC5CCD">
      <w:pPr>
        <w:spacing w:after="0" w:line="360" w:lineRule="auto"/>
        <w:ind w:firstLine="709"/>
        <w:jc w:val="both"/>
        <w:rPr>
          <w:rFonts w:ascii="Arial" w:hAnsi="Arial" w:cs="Arial"/>
        </w:rPr>
      </w:pPr>
      <w:r>
        <w:rPr>
          <w:rFonts w:ascii="Arial" w:hAnsi="Arial" w:cs="Arial"/>
        </w:rPr>
        <w:t xml:space="preserve">Tato kapitola přináší ucelené informace o způsobu dosavadního hodnocení výzkumných organizací podle Metodiky, upozorňuje na nedostatky a některé nejednoznačnosti v mechanismu hodnocení, popisuje možné dopady tohoto hodnocení a na něj navázaného institucionálního financování výzkumných organizací ze státního rozpočtu do systému </w:t>
      </w:r>
      <w:proofErr w:type="spellStart"/>
      <w:r>
        <w:rPr>
          <w:rFonts w:ascii="Arial" w:hAnsi="Arial" w:cs="Arial"/>
        </w:rPr>
        <w:t>VaVaI</w:t>
      </w:r>
      <w:proofErr w:type="spellEnd"/>
      <w:r>
        <w:rPr>
          <w:rFonts w:ascii="Arial" w:hAnsi="Arial" w:cs="Arial"/>
        </w:rPr>
        <w:t>. Tyto informace jsou zároveň vstupními daty pro nastavení nového systému hodnocení výzkumných organizací.</w:t>
      </w:r>
    </w:p>
    <w:p w:rsidR="00FC5CCD" w:rsidRDefault="00FC5CCD" w:rsidP="00FC5CCD">
      <w:pPr>
        <w:spacing w:after="0" w:line="360" w:lineRule="auto"/>
        <w:ind w:firstLine="709"/>
        <w:jc w:val="both"/>
        <w:rPr>
          <w:rFonts w:ascii="Arial" w:hAnsi="Arial" w:cs="Arial"/>
          <w:b/>
        </w:rPr>
      </w:pPr>
    </w:p>
    <w:p w:rsidR="00AD7092" w:rsidRPr="00AD7092" w:rsidRDefault="00AD7092" w:rsidP="00AD7092">
      <w:pPr>
        <w:pStyle w:val="NadpisurovemII"/>
      </w:pPr>
      <w:bookmarkStart w:id="22" w:name="_Toc464461105"/>
      <w:r w:rsidRPr="00AD7092">
        <w:t xml:space="preserve">7.1 Vývoj způsobu </w:t>
      </w:r>
      <w:proofErr w:type="gramStart"/>
      <w:r w:rsidRPr="00AD7092">
        <w:t>hodnocení v CR</w:t>
      </w:r>
      <w:bookmarkEnd w:id="22"/>
      <w:proofErr w:type="gramEnd"/>
    </w:p>
    <w:p w:rsidR="00FC5CCD" w:rsidRDefault="00FC5CCD" w:rsidP="00FC5CCD">
      <w:pPr>
        <w:spacing w:after="0" w:line="360" w:lineRule="auto"/>
        <w:ind w:firstLine="709"/>
        <w:jc w:val="both"/>
        <w:rPr>
          <w:rFonts w:ascii="Arial" w:hAnsi="Arial" w:cs="Arial"/>
        </w:rPr>
      </w:pPr>
      <w:r w:rsidRPr="00E04410">
        <w:rPr>
          <w:rFonts w:ascii="Arial" w:hAnsi="Arial" w:cs="Arial"/>
        </w:rPr>
        <w:t xml:space="preserve">První předchůdkyní současné Metodiky byla Metodika 2004, hodnotící výsledky za období 1999 až 2003 včetně. Byla zpracována na základě usnesení vlády </w:t>
      </w:r>
      <w:r>
        <w:rPr>
          <w:rFonts w:ascii="Arial" w:hAnsi="Arial" w:cs="Arial"/>
        </w:rPr>
        <w:t xml:space="preserve">s </w:t>
      </w:r>
      <w:r w:rsidRPr="00E04410">
        <w:rPr>
          <w:rFonts w:ascii="Arial" w:hAnsi="Arial" w:cs="Arial"/>
        </w:rPr>
        <w:t>cílem hodno</w:t>
      </w:r>
      <w:r>
        <w:rPr>
          <w:rFonts w:ascii="Arial" w:hAnsi="Arial" w:cs="Arial"/>
        </w:rPr>
        <w:t>tit</w:t>
      </w:r>
      <w:r w:rsidRPr="00E04410">
        <w:rPr>
          <w:rFonts w:ascii="Arial" w:hAnsi="Arial" w:cs="Arial"/>
        </w:rPr>
        <w:t xml:space="preserve"> efektivnost institucí ve výzkumu a vývoji a jejich následné rozčlenění</w:t>
      </w:r>
      <w:r>
        <w:rPr>
          <w:rFonts w:ascii="Arial" w:hAnsi="Arial" w:cs="Arial"/>
        </w:rPr>
        <w:t xml:space="preserve"> na tři kategorie</w:t>
      </w:r>
      <w:r w:rsidRPr="00E04410">
        <w:rPr>
          <w:rFonts w:ascii="Arial" w:hAnsi="Arial" w:cs="Arial"/>
        </w:rPr>
        <w:t xml:space="preserve">: </w:t>
      </w:r>
    </w:p>
    <w:p w:rsidR="00FC5CCD" w:rsidRDefault="00FC5CCD" w:rsidP="00FC5CCD">
      <w:pPr>
        <w:pStyle w:val="Odstavecseseznamem"/>
        <w:numPr>
          <w:ilvl w:val="0"/>
          <w:numId w:val="35"/>
        </w:numPr>
        <w:spacing w:after="0" w:line="360" w:lineRule="auto"/>
        <w:jc w:val="both"/>
        <w:rPr>
          <w:rFonts w:ascii="Arial" w:hAnsi="Arial" w:cs="Arial"/>
        </w:rPr>
      </w:pPr>
      <w:r w:rsidRPr="0071790A">
        <w:rPr>
          <w:rFonts w:ascii="Arial" w:hAnsi="Arial" w:cs="Arial"/>
        </w:rPr>
        <w:t xml:space="preserve">instituce, které svými výsledky vysoce zhodnotily vynaložené prostředky a navrhuje se zvýšení jejich státní podpory, </w:t>
      </w:r>
    </w:p>
    <w:p w:rsidR="00FC5CCD" w:rsidRDefault="00FC5CCD" w:rsidP="00FC5CCD">
      <w:pPr>
        <w:pStyle w:val="Odstavecseseznamem"/>
        <w:numPr>
          <w:ilvl w:val="0"/>
          <w:numId w:val="35"/>
        </w:numPr>
        <w:spacing w:after="0" w:line="360" w:lineRule="auto"/>
        <w:jc w:val="both"/>
        <w:rPr>
          <w:rFonts w:ascii="Arial" w:hAnsi="Arial" w:cs="Arial"/>
        </w:rPr>
      </w:pPr>
      <w:r w:rsidRPr="0071790A">
        <w:rPr>
          <w:rFonts w:ascii="Arial" w:hAnsi="Arial" w:cs="Arial"/>
        </w:rPr>
        <w:t>instituce průměrně zhodnocující, kterým má být podpora zachována ve stejné výši</w:t>
      </w:r>
      <w:r>
        <w:rPr>
          <w:rFonts w:ascii="Arial" w:hAnsi="Arial" w:cs="Arial"/>
        </w:rPr>
        <w:t>,</w:t>
      </w:r>
    </w:p>
    <w:p w:rsidR="00FC5CCD" w:rsidRDefault="00FC5CCD" w:rsidP="00FC5CCD">
      <w:pPr>
        <w:pStyle w:val="Odstavecseseznamem"/>
        <w:numPr>
          <w:ilvl w:val="0"/>
          <w:numId w:val="35"/>
        </w:numPr>
        <w:spacing w:after="0" w:line="360" w:lineRule="auto"/>
        <w:jc w:val="both"/>
        <w:rPr>
          <w:rFonts w:ascii="Arial" w:hAnsi="Arial" w:cs="Arial"/>
        </w:rPr>
      </w:pPr>
      <w:r w:rsidRPr="0071790A">
        <w:rPr>
          <w:rFonts w:ascii="Arial" w:hAnsi="Arial" w:cs="Arial"/>
        </w:rPr>
        <w:t xml:space="preserve">instituce, kterým je navrhováno snížení státní podpory. </w:t>
      </w:r>
    </w:p>
    <w:p w:rsidR="00FC5CCD" w:rsidRPr="0071790A" w:rsidRDefault="00FC5CCD" w:rsidP="00FC5CCD">
      <w:pPr>
        <w:spacing w:after="0" w:line="360" w:lineRule="auto"/>
        <w:ind w:firstLine="709"/>
        <w:jc w:val="both"/>
        <w:rPr>
          <w:rFonts w:ascii="Arial" w:hAnsi="Arial" w:cs="Arial"/>
        </w:rPr>
      </w:pPr>
      <w:r w:rsidRPr="0071790A">
        <w:rPr>
          <w:rFonts w:ascii="Arial" w:hAnsi="Arial" w:cs="Arial"/>
        </w:rPr>
        <w:t>V roce 2004 bylo bodování výsledků jednoduché, každému vykázanému výsledku se přiřadil jeden bod, v roce následujícím měla začít prostá bonifikace (rozmezí 0,5</w:t>
      </w:r>
      <w:r>
        <w:rPr>
          <w:rFonts w:ascii="Arial" w:hAnsi="Arial" w:cs="Arial"/>
        </w:rPr>
        <w:t xml:space="preserve"> </w:t>
      </w:r>
      <w:r w:rsidRPr="0071790A">
        <w:rPr>
          <w:rFonts w:ascii="Arial" w:hAnsi="Arial" w:cs="Arial"/>
        </w:rPr>
        <w:t>-</w:t>
      </w:r>
      <w:r>
        <w:rPr>
          <w:rFonts w:ascii="Arial" w:hAnsi="Arial" w:cs="Arial"/>
        </w:rPr>
        <w:t xml:space="preserve"> </w:t>
      </w:r>
      <w:r w:rsidRPr="0071790A">
        <w:rPr>
          <w:rFonts w:ascii="Arial" w:hAnsi="Arial" w:cs="Arial"/>
        </w:rPr>
        <w:t>2 bodů dle uznávaných měřítek kvality v příslušných oborech). O výsledcích se mluvilo obecně jako o článcích, odborných knihách, patentech a dalších výstupech aplikovaného výzkumu, celý text měl 6 stran a 2 přílohy.</w:t>
      </w:r>
    </w:p>
    <w:p w:rsidR="00FC5CCD" w:rsidRDefault="00FC5CCD" w:rsidP="00FC5CCD">
      <w:pPr>
        <w:spacing w:after="0" w:line="360" w:lineRule="auto"/>
        <w:ind w:firstLine="709"/>
        <w:jc w:val="both"/>
        <w:rPr>
          <w:rFonts w:ascii="Arial" w:hAnsi="Arial" w:cs="Arial"/>
        </w:rPr>
      </w:pPr>
      <w:r>
        <w:rPr>
          <w:rFonts w:ascii="Arial" w:hAnsi="Arial" w:cs="Arial"/>
        </w:rPr>
        <w:t xml:space="preserve">V průběhu dalších let docházelo k postupné precizaci, do výpočtů bodové hodnoty byly zařazovány další parametry (např. medián impakt faktoru oboru, následně oborově specifické pořadí časopisů), vytvářely se definice výsledků (od roku 2007 poprvé v samostatné příloze) ve snaze taxativně je vymezit. Postupně tak narůstala složitost a přibývaly také nejednoznačnosti ve výkladu (viz podrobněji příloha). Metodika v roce 2012 měla 45 stran, hlavní mechanismus fungování, tzv. </w:t>
      </w:r>
      <w:proofErr w:type="spellStart"/>
      <w:r>
        <w:rPr>
          <w:rFonts w:ascii="Arial" w:hAnsi="Arial" w:cs="Arial"/>
        </w:rPr>
        <w:t>kafemlejnek</w:t>
      </w:r>
      <w:proofErr w:type="spellEnd"/>
      <w:r>
        <w:rPr>
          <w:rFonts w:ascii="Arial" w:hAnsi="Arial" w:cs="Arial"/>
        </w:rPr>
        <w:t xml:space="preserve">, však zůstal zachován. </w:t>
      </w:r>
      <w:r w:rsidRPr="00E04410">
        <w:rPr>
          <w:rFonts w:ascii="Arial" w:hAnsi="Arial" w:cs="Arial"/>
        </w:rPr>
        <w:t xml:space="preserve">Vybraným definovaným druhům vědeckých výsledků jsou </w:t>
      </w:r>
      <w:r>
        <w:rPr>
          <w:rFonts w:ascii="Arial" w:hAnsi="Arial" w:cs="Arial"/>
        </w:rPr>
        <w:t xml:space="preserve">na základě kvality </w:t>
      </w:r>
      <w:r w:rsidRPr="00E04410">
        <w:rPr>
          <w:rFonts w:ascii="Arial" w:hAnsi="Arial" w:cs="Arial"/>
        </w:rPr>
        <w:t>přiřazovány body. Instituce jsou poměřovány přímo – součtem získaných bodů.</w:t>
      </w:r>
      <w:r>
        <w:rPr>
          <w:rFonts w:ascii="Arial" w:hAnsi="Arial" w:cs="Arial"/>
        </w:rPr>
        <w:t xml:space="preserve"> Bodové ohodnocení je následně (po dalších podstatných korekcích) využito pro přepočet na finanční prostředky.</w:t>
      </w:r>
    </w:p>
    <w:p w:rsidR="00FC5CCD" w:rsidRDefault="00FC5CCD" w:rsidP="00FC5CCD">
      <w:pPr>
        <w:spacing w:after="0" w:line="360" w:lineRule="auto"/>
        <w:ind w:firstLine="709"/>
        <w:jc w:val="both"/>
        <w:rPr>
          <w:rFonts w:ascii="Arial" w:hAnsi="Arial" w:cs="Arial"/>
        </w:rPr>
      </w:pPr>
      <w:r>
        <w:rPr>
          <w:rFonts w:ascii="Arial" w:hAnsi="Arial" w:cs="Arial"/>
        </w:rPr>
        <w:t xml:space="preserve">Přímá vazba hodnocení na financování výzkumných organizací existovala v Metodice od počátku. Původní cíl retrospektivního hodnocení efektivnosti institucí byl v roce 2008 v souladu s reformou systému </w:t>
      </w:r>
      <w:proofErr w:type="spellStart"/>
      <w:r>
        <w:rPr>
          <w:rFonts w:ascii="Arial" w:hAnsi="Arial" w:cs="Arial"/>
        </w:rPr>
        <w:t>VaVaI</w:t>
      </w:r>
      <w:proofErr w:type="spellEnd"/>
      <w:r>
        <w:rPr>
          <w:rFonts w:ascii="Arial" w:hAnsi="Arial" w:cs="Arial"/>
        </w:rPr>
        <w:t xml:space="preserve"> upraven na mechanismus, kdy je hodnocení jedním z kritérií pro </w:t>
      </w:r>
      <w:r>
        <w:rPr>
          <w:rFonts w:ascii="Arial" w:hAnsi="Arial" w:cs="Arial"/>
        </w:rPr>
        <w:lastRenderedPageBreak/>
        <w:t xml:space="preserve">rozdělování institucionální podpory poskytovatelům. Od roku 2010 </w:t>
      </w:r>
      <w:r w:rsidRPr="00E04410">
        <w:rPr>
          <w:rFonts w:ascii="Arial" w:hAnsi="Arial" w:cs="Arial"/>
        </w:rPr>
        <w:t xml:space="preserve">se </w:t>
      </w:r>
      <w:r>
        <w:rPr>
          <w:rFonts w:ascii="Arial" w:hAnsi="Arial" w:cs="Arial"/>
        </w:rPr>
        <w:t xml:space="preserve">institucionální financování výzkumných organizací </w:t>
      </w:r>
      <w:r w:rsidRPr="00E04410">
        <w:rPr>
          <w:rFonts w:ascii="Arial" w:hAnsi="Arial" w:cs="Arial"/>
        </w:rPr>
        <w:t>stává jediným skutečným cílem</w:t>
      </w:r>
      <w:r>
        <w:rPr>
          <w:rFonts w:ascii="Arial" w:hAnsi="Arial" w:cs="Arial"/>
        </w:rPr>
        <w:t xml:space="preserve"> hodnocení</w:t>
      </w:r>
      <w:r w:rsidRPr="00E04410">
        <w:rPr>
          <w:rFonts w:ascii="Arial" w:hAnsi="Arial" w:cs="Arial"/>
        </w:rPr>
        <w:t>. Body z hodnocení mají přímo determinovat budoucí institucionální podporu výzkumným organizacím.</w:t>
      </w:r>
    </w:p>
    <w:p w:rsidR="00FC5CCD" w:rsidRPr="00E04410" w:rsidRDefault="00FC5CCD" w:rsidP="00FC5CCD">
      <w:pPr>
        <w:spacing w:after="0" w:line="360" w:lineRule="auto"/>
        <w:ind w:firstLine="709"/>
        <w:jc w:val="both"/>
        <w:rPr>
          <w:rFonts w:ascii="Arial" w:hAnsi="Arial" w:cs="Arial"/>
        </w:rPr>
      </w:pPr>
      <w:r>
        <w:rPr>
          <w:rFonts w:ascii="Arial" w:hAnsi="Arial" w:cs="Arial"/>
        </w:rPr>
        <w:t xml:space="preserve">Od roku 2010 se objevuje další zásadní prvek - </w:t>
      </w:r>
      <w:r w:rsidRPr="00FC64D9">
        <w:rPr>
          <w:rFonts w:ascii="Arial" w:hAnsi="Arial" w:cs="Arial"/>
          <w:b/>
        </w:rPr>
        <w:t>fixace oborů</w:t>
      </w:r>
      <w:r>
        <w:rPr>
          <w:rFonts w:ascii="Arial" w:hAnsi="Arial" w:cs="Arial"/>
        </w:rPr>
        <w:t xml:space="preserve">. </w:t>
      </w:r>
      <w:r w:rsidRPr="00E04410">
        <w:rPr>
          <w:rFonts w:ascii="Arial" w:hAnsi="Arial" w:cs="Arial"/>
        </w:rPr>
        <w:t xml:space="preserve">S akcentem na zachování kontinuity, pro zachování hlavních proporcí a s odvoláním na nebezpečí rozkolísání celého systému bylo zavedeno tzv. „pravidlo pro zachování alokací finančních prostředků.“ </w:t>
      </w:r>
    </w:p>
    <w:p w:rsidR="00FC5CCD" w:rsidRPr="00E04410" w:rsidRDefault="00FC5CCD" w:rsidP="00FC5CCD">
      <w:pPr>
        <w:spacing w:after="0" w:line="360" w:lineRule="auto"/>
        <w:ind w:firstLine="709"/>
        <w:jc w:val="both"/>
        <w:rPr>
          <w:rFonts w:ascii="Arial" w:hAnsi="Arial" w:cs="Arial"/>
        </w:rPr>
      </w:pPr>
      <w:r w:rsidRPr="00E04410">
        <w:rPr>
          <w:rFonts w:ascii="Arial" w:hAnsi="Arial" w:cs="Arial"/>
        </w:rPr>
        <w:t>Jedná se o počátek zafixování poměrů, a to ve dvou rovinách:</w:t>
      </w:r>
    </w:p>
    <w:p w:rsidR="00FC5CCD" w:rsidRPr="00E04410" w:rsidRDefault="00FC5CCD" w:rsidP="00FC5CCD">
      <w:pPr>
        <w:spacing w:after="0" w:line="360" w:lineRule="auto"/>
        <w:ind w:firstLine="709"/>
        <w:jc w:val="both"/>
        <w:rPr>
          <w:rFonts w:ascii="Arial" w:hAnsi="Arial" w:cs="Arial"/>
        </w:rPr>
      </w:pPr>
      <w:r w:rsidRPr="00E04410">
        <w:rPr>
          <w:rFonts w:ascii="Arial" w:hAnsi="Arial" w:cs="Arial"/>
        </w:rPr>
        <w:t>1.</w:t>
      </w:r>
      <w:r w:rsidRPr="00E04410">
        <w:rPr>
          <w:rFonts w:ascii="Arial" w:hAnsi="Arial" w:cs="Arial"/>
        </w:rPr>
        <w:tab/>
        <w:t>fixace alokace mezi základní a aplikovaný výzkum (poměr 85 : 15)</w:t>
      </w:r>
    </w:p>
    <w:p w:rsidR="00FC5CCD" w:rsidRPr="00E04410" w:rsidRDefault="00FC5CCD" w:rsidP="00FC5CCD">
      <w:pPr>
        <w:spacing w:after="0" w:line="360" w:lineRule="auto"/>
        <w:ind w:firstLine="709"/>
        <w:jc w:val="both"/>
        <w:rPr>
          <w:rFonts w:ascii="Arial" w:hAnsi="Arial" w:cs="Arial"/>
        </w:rPr>
      </w:pPr>
      <w:r w:rsidRPr="00E04410">
        <w:rPr>
          <w:rFonts w:ascii="Arial" w:hAnsi="Arial" w:cs="Arial"/>
        </w:rPr>
        <w:t>Jde o fixaci poměru mezi publikačními a nepublikačními výsledky. Tento koncept zásadně nepředpokládá, že by výstupem základního výzkumu mohlo a mělo být i něco jiného než prestižní publikace a na druhé straně nepracuje s tím, že výstupem aplikovaného výzkumu mohou být a i pod vlivem Metodiky často jsou publikace.</w:t>
      </w:r>
    </w:p>
    <w:p w:rsidR="00FC5CCD" w:rsidRPr="00E04410" w:rsidRDefault="00FC5CCD" w:rsidP="00FC5CCD">
      <w:pPr>
        <w:spacing w:after="0" w:line="360" w:lineRule="auto"/>
        <w:ind w:firstLine="709"/>
        <w:jc w:val="both"/>
        <w:rPr>
          <w:rFonts w:ascii="Arial" w:hAnsi="Arial" w:cs="Arial"/>
        </w:rPr>
      </w:pPr>
      <w:r w:rsidRPr="00E04410">
        <w:rPr>
          <w:rFonts w:ascii="Arial" w:hAnsi="Arial" w:cs="Arial"/>
        </w:rPr>
        <w:t>2.</w:t>
      </w:r>
      <w:r w:rsidRPr="00E04410">
        <w:rPr>
          <w:rFonts w:ascii="Arial" w:hAnsi="Arial" w:cs="Arial"/>
        </w:rPr>
        <w:tab/>
        <w:t>fixace alokace na skupiny oborů podle tabulky</w:t>
      </w:r>
    </w:p>
    <w:p w:rsidR="00FC5CCD" w:rsidRDefault="00FC5CCD" w:rsidP="00FC5CCD">
      <w:pPr>
        <w:spacing w:after="0" w:line="360" w:lineRule="auto"/>
        <w:ind w:firstLine="709"/>
        <w:jc w:val="both"/>
        <w:rPr>
          <w:rFonts w:ascii="Arial" w:hAnsi="Arial" w:cs="Arial"/>
        </w:rPr>
      </w:pPr>
      <w:r w:rsidRPr="00E04410">
        <w:rPr>
          <w:rFonts w:ascii="Arial" w:hAnsi="Arial" w:cs="Arial"/>
        </w:rPr>
        <w:t xml:space="preserve">Konkrétní výše alokací jsou tabulkou konstatovány bez vysvětlení. </w:t>
      </w:r>
      <w:r>
        <w:rPr>
          <w:rFonts w:ascii="Arial" w:hAnsi="Arial" w:cs="Arial"/>
        </w:rPr>
        <w:t>N</w:t>
      </w:r>
      <w:r w:rsidRPr="00E04410">
        <w:rPr>
          <w:rFonts w:ascii="Arial" w:hAnsi="Arial" w:cs="Arial"/>
        </w:rPr>
        <w:t xml:space="preserve">euvádí se </w:t>
      </w:r>
      <w:r>
        <w:rPr>
          <w:rFonts w:ascii="Arial" w:hAnsi="Arial" w:cs="Arial"/>
        </w:rPr>
        <w:t xml:space="preserve">ani, jak byly </w:t>
      </w:r>
      <w:r w:rsidRPr="00E04410">
        <w:rPr>
          <w:rFonts w:ascii="Arial" w:hAnsi="Arial" w:cs="Arial"/>
        </w:rPr>
        <w:t xml:space="preserve">spočteny. Z lakonické popisky k tabulce lze pouze dovodit, z jakých údajů se vycházelo: </w:t>
      </w:r>
      <w:r w:rsidRPr="006A629F">
        <w:rPr>
          <w:rFonts w:ascii="Arial" w:hAnsi="Arial" w:cs="Arial"/>
          <w:i/>
        </w:rPr>
        <w:t>„Tabulka oborového členění a podílu jednotlivých skupin oborů na institucionálních prostředcích podle vypočtených průměrů oborů mezi výzkumnými záměry a výsledky hodnocení v letech 2008 a 2009.“</w:t>
      </w:r>
      <w:r>
        <w:rPr>
          <w:rFonts w:ascii="Arial" w:hAnsi="Arial" w:cs="Arial"/>
        </w:rPr>
        <w:t xml:space="preserve"> </w:t>
      </w:r>
      <w:r w:rsidRPr="00E04410">
        <w:rPr>
          <w:rFonts w:ascii="Arial" w:hAnsi="Arial" w:cs="Arial"/>
        </w:rPr>
        <w:t xml:space="preserve">Procentuální alokace podle skupin oborů </w:t>
      </w:r>
      <w:r>
        <w:rPr>
          <w:rFonts w:ascii="Arial" w:hAnsi="Arial" w:cs="Arial"/>
        </w:rPr>
        <w:t xml:space="preserve">přes původní proklamace o jejich meziročním přizpůsobování novým prioritám zůstaly </w:t>
      </w:r>
      <w:r w:rsidRPr="00E04410">
        <w:rPr>
          <w:rFonts w:ascii="Arial" w:hAnsi="Arial" w:cs="Arial"/>
        </w:rPr>
        <w:t>stejné</w:t>
      </w:r>
      <w:r>
        <w:rPr>
          <w:rFonts w:ascii="Arial" w:hAnsi="Arial" w:cs="Arial"/>
        </w:rPr>
        <w:t xml:space="preserve">, s výjimkou drobné korekce v roce 2011 napravující původně chybný výpočet. </w:t>
      </w:r>
      <w:r w:rsidRPr="00E04410">
        <w:rPr>
          <w:rFonts w:ascii="Arial" w:hAnsi="Arial" w:cs="Arial"/>
        </w:rPr>
        <w:t>Z</w:t>
      </w:r>
      <w:r>
        <w:rPr>
          <w:rFonts w:ascii="Arial" w:hAnsi="Arial" w:cs="Arial"/>
        </w:rPr>
        <w:t xml:space="preserve"> avizované </w:t>
      </w:r>
      <w:r w:rsidRPr="00E04410">
        <w:rPr>
          <w:rFonts w:ascii="Arial" w:hAnsi="Arial" w:cs="Arial"/>
        </w:rPr>
        <w:t>proměnné se stala konstanta prakticky na deset let.</w:t>
      </w:r>
      <w:r>
        <w:rPr>
          <w:rFonts w:ascii="Arial" w:hAnsi="Arial" w:cs="Arial"/>
        </w:rPr>
        <w:t xml:space="preserve"> </w:t>
      </w:r>
    </w:p>
    <w:p w:rsidR="00FC5CCD" w:rsidRPr="00E04410" w:rsidRDefault="00FC5CCD" w:rsidP="00FC5CCD">
      <w:pPr>
        <w:spacing w:after="0" w:line="360" w:lineRule="auto"/>
        <w:ind w:firstLine="709"/>
        <w:jc w:val="both"/>
        <w:rPr>
          <w:rFonts w:ascii="Arial" w:hAnsi="Arial" w:cs="Arial"/>
        </w:rPr>
      </w:pPr>
      <w:r>
        <w:rPr>
          <w:rFonts w:ascii="Arial" w:hAnsi="Arial" w:cs="Arial"/>
        </w:rPr>
        <w:t>K</w:t>
      </w:r>
      <w:r w:rsidRPr="00E04410">
        <w:rPr>
          <w:rFonts w:ascii="Arial" w:hAnsi="Arial" w:cs="Arial"/>
        </w:rPr>
        <w:t xml:space="preserve">aždý výsledek </w:t>
      </w:r>
      <w:r>
        <w:rPr>
          <w:rFonts w:ascii="Arial" w:hAnsi="Arial" w:cs="Arial"/>
        </w:rPr>
        <w:t xml:space="preserve">je od té doby </w:t>
      </w:r>
      <w:r w:rsidRPr="00E04410">
        <w:rPr>
          <w:rFonts w:ascii="Arial" w:hAnsi="Arial" w:cs="Arial"/>
        </w:rPr>
        <w:t xml:space="preserve">hodnocen nejen základní bodovou hodnotou, ale i hodnotou korigovanou - jak podle skupiny oborů, v níž byl uplatněn, tak podle toho, zda je podle tohoto pojetí výsledkem základního nebo aplikovaného výzkumu. Bez ohledu na paušály či výchozí vzorce z povinných alokací dopočítávané korekční faktory vnášejí do systému definitivně prvek, který povýšil </w:t>
      </w:r>
      <w:proofErr w:type="spellStart"/>
      <w:r w:rsidRPr="00E04410">
        <w:rPr>
          <w:rFonts w:ascii="Arial" w:hAnsi="Arial" w:cs="Arial"/>
        </w:rPr>
        <w:t>kafemlejnek</w:t>
      </w:r>
      <w:proofErr w:type="spellEnd"/>
      <w:r w:rsidRPr="00E04410">
        <w:rPr>
          <w:rFonts w:ascii="Arial" w:hAnsi="Arial" w:cs="Arial"/>
        </w:rPr>
        <w:t xml:space="preserve"> na téměř dokonalé perpetuum </w:t>
      </w:r>
      <w:proofErr w:type="gramStart"/>
      <w:r w:rsidRPr="00E04410">
        <w:rPr>
          <w:rFonts w:ascii="Arial" w:hAnsi="Arial" w:cs="Arial"/>
        </w:rPr>
        <w:t>mobile</w:t>
      </w:r>
      <w:proofErr w:type="gramEnd"/>
      <w:r w:rsidRPr="00E04410">
        <w:rPr>
          <w:rFonts w:ascii="Arial" w:hAnsi="Arial" w:cs="Arial"/>
        </w:rPr>
        <w:t xml:space="preserve">. </w:t>
      </w:r>
    </w:p>
    <w:p w:rsidR="00AD7092" w:rsidRDefault="00FC5CCD" w:rsidP="00FC5CCD">
      <w:pPr>
        <w:spacing w:after="0" w:line="360" w:lineRule="auto"/>
        <w:ind w:firstLine="709"/>
        <w:jc w:val="both"/>
        <w:rPr>
          <w:rFonts w:ascii="Arial" w:hAnsi="Arial" w:cs="Arial"/>
        </w:rPr>
      </w:pPr>
      <w:r w:rsidRPr="00E04410">
        <w:rPr>
          <w:rFonts w:ascii="Arial" w:hAnsi="Arial" w:cs="Arial"/>
        </w:rPr>
        <w:t xml:space="preserve">Suma korigovaných bodů podle skupin oborů je stejná bez ohledu na to, kolik jednotlivých druhů výsledků v nich bylo ve skutečnosti v příslušném roce uplatněno. </w:t>
      </w:r>
      <w:r>
        <w:rPr>
          <w:rFonts w:ascii="Arial" w:hAnsi="Arial" w:cs="Arial"/>
        </w:rPr>
        <w:t>Jak je patrné z obr. 7.1, n</w:t>
      </w:r>
      <w:r w:rsidRPr="00E04410">
        <w:rPr>
          <w:rFonts w:ascii="Arial" w:hAnsi="Arial" w:cs="Arial"/>
        </w:rPr>
        <w:t>ěkteré obory na tom dlouhodobě profitují (přírodní vědy, zejména fyzika a chemie, méně biologie), jiné jsou kráceny (lékařské vědy, vybrané společenské resp. humanitní vědy).</w:t>
      </w:r>
      <w:r>
        <w:rPr>
          <w:rFonts w:ascii="Arial" w:hAnsi="Arial" w:cs="Arial"/>
        </w:rPr>
        <w:t xml:space="preserve"> To je nevysvětlitelně umocněno tím, že výše „korekčních faktorů“ se první čtyři roky neměnila (např. bodový zisk za článek v stejném časopise za obor chemie byl násoben faktorem 1,3 a v oboru lékařství ponižován faktorem 0,88). Známé</w:t>
      </w:r>
      <w:r w:rsidRPr="006B58FD">
        <w:rPr>
          <w:rFonts w:ascii="Arial" w:hAnsi="Arial" w:cs="Arial"/>
        </w:rPr>
        <w:t xml:space="preserve"> korekční faktory jsou </w:t>
      </w:r>
      <w:r>
        <w:rPr>
          <w:rFonts w:ascii="Arial" w:hAnsi="Arial" w:cs="Arial"/>
        </w:rPr>
        <w:t xml:space="preserve">navíc </w:t>
      </w:r>
      <w:r w:rsidRPr="006B58FD">
        <w:rPr>
          <w:rFonts w:ascii="Arial" w:hAnsi="Arial" w:cs="Arial"/>
        </w:rPr>
        <w:t xml:space="preserve">zaokrouhleny na dvě, </w:t>
      </w:r>
      <w:r>
        <w:rPr>
          <w:rFonts w:ascii="Arial" w:hAnsi="Arial" w:cs="Arial"/>
        </w:rPr>
        <w:t xml:space="preserve">případně tři desetinná místa, </w:t>
      </w:r>
      <w:r w:rsidRPr="006B58FD">
        <w:rPr>
          <w:rFonts w:ascii="Arial" w:hAnsi="Arial" w:cs="Arial"/>
        </w:rPr>
        <w:t xml:space="preserve">v reálném výpočtu jsou však použity hodnoty nezaokrouhlené. Běžný uživatel nemá k nezaokrouhleným hodnotám přístup, a pokud </w:t>
      </w:r>
      <w:r>
        <w:rPr>
          <w:rFonts w:ascii="Arial" w:hAnsi="Arial" w:cs="Arial"/>
        </w:rPr>
        <w:t>by chtěl</w:t>
      </w:r>
      <w:r w:rsidRPr="006B58FD">
        <w:rPr>
          <w:rFonts w:ascii="Arial" w:hAnsi="Arial" w:cs="Arial"/>
        </w:rPr>
        <w:t xml:space="preserve"> provést kontrolu RIV bodů přidělených určitému výsledku</w:t>
      </w:r>
      <w:r>
        <w:rPr>
          <w:rFonts w:ascii="Arial" w:hAnsi="Arial" w:cs="Arial"/>
        </w:rPr>
        <w:t xml:space="preserve"> podle zdánlivě jednoduché trojčlenky</w:t>
      </w:r>
      <w:r w:rsidRPr="006B58FD">
        <w:rPr>
          <w:rFonts w:ascii="Arial" w:hAnsi="Arial" w:cs="Arial"/>
        </w:rPr>
        <w:t>, nedo</w:t>
      </w:r>
      <w:r>
        <w:rPr>
          <w:rFonts w:ascii="Arial" w:hAnsi="Arial" w:cs="Arial"/>
        </w:rPr>
        <w:t xml:space="preserve">káže </w:t>
      </w:r>
      <w:r w:rsidRPr="006B58FD">
        <w:rPr>
          <w:rFonts w:ascii="Arial" w:hAnsi="Arial" w:cs="Arial"/>
        </w:rPr>
        <w:t xml:space="preserve">ve většině případů </w:t>
      </w:r>
      <w:r>
        <w:rPr>
          <w:rFonts w:ascii="Arial" w:hAnsi="Arial" w:cs="Arial"/>
        </w:rPr>
        <w:t>dospět k „oficiální“ hodnotě uváděn</w:t>
      </w:r>
      <w:r w:rsidRPr="006B58FD">
        <w:rPr>
          <w:rFonts w:ascii="Arial" w:hAnsi="Arial" w:cs="Arial"/>
        </w:rPr>
        <w:t>é v</w:t>
      </w:r>
      <w:r>
        <w:rPr>
          <w:rFonts w:ascii="Arial" w:hAnsi="Arial" w:cs="Arial"/>
        </w:rPr>
        <w:t>e výpisech z příslušných výpočtů</w:t>
      </w:r>
      <w:r w:rsidRPr="006B58FD">
        <w:rPr>
          <w:rFonts w:ascii="Arial" w:hAnsi="Arial" w:cs="Arial"/>
        </w:rPr>
        <w:t xml:space="preserve">. Nezaokrouhlené hodnoty nejsou dostupné ani na úrovni institucí, což zcela znemožňuje kontrolu správnosti </w:t>
      </w:r>
      <w:r>
        <w:rPr>
          <w:rFonts w:ascii="Arial" w:hAnsi="Arial" w:cs="Arial"/>
        </w:rPr>
        <w:t xml:space="preserve">této fáze </w:t>
      </w:r>
      <w:r w:rsidRPr="006B58FD">
        <w:rPr>
          <w:rFonts w:ascii="Arial" w:hAnsi="Arial" w:cs="Arial"/>
        </w:rPr>
        <w:t>provedených výpočtů.</w:t>
      </w:r>
    </w:p>
    <w:p w:rsidR="00AD7092" w:rsidRPr="00AD7092" w:rsidRDefault="00AD7092" w:rsidP="00AD7092">
      <w:pPr>
        <w:pStyle w:val="Obrzek-nadpis"/>
      </w:pPr>
      <w:r w:rsidRPr="00AD7092">
        <w:lastRenderedPageBreak/>
        <w:t>Obr. 7.1 Mechanismus fungování metodiky hodnocení výsledků výzkumných organizací v roce 2010</w:t>
      </w:r>
    </w:p>
    <w:p w:rsidR="00AD7092" w:rsidRDefault="00264555" w:rsidP="00264555">
      <w:pPr>
        <w:spacing w:after="0" w:line="360" w:lineRule="auto"/>
        <w:ind w:firstLine="709"/>
        <w:jc w:val="center"/>
        <w:rPr>
          <w:rFonts w:ascii="Arial" w:hAnsi="Arial" w:cs="Arial"/>
          <w:bCs/>
          <w:lang w:eastAsia="cs-CZ"/>
        </w:rPr>
      </w:pPr>
      <w:r>
        <w:rPr>
          <w:rFonts w:ascii="Arial" w:hAnsi="Arial" w:cs="Arial"/>
          <w:bCs/>
          <w:lang w:eastAsia="cs-CZ"/>
        </w:rPr>
        <w:object w:dxaOrig="6945" w:dyaOrig="11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5pt;height:8in" o:ole="">
            <v:imagedata r:id="rId44" o:title=""/>
          </v:shape>
          <o:OLEObject Type="Embed" ProgID="AcroExch.Document.DC" ShapeID="_x0000_i1025" DrawAspect="Content" ObjectID="_1538202956" r:id="rId45"/>
        </w:object>
      </w:r>
    </w:p>
    <w:p w:rsidR="00AD7092" w:rsidRPr="00A94DF2" w:rsidRDefault="00AD7092" w:rsidP="00AD7092">
      <w:pPr>
        <w:spacing w:after="0" w:line="360" w:lineRule="auto"/>
        <w:jc w:val="both"/>
        <w:rPr>
          <w:rFonts w:ascii="Arial" w:hAnsi="Arial" w:cs="Arial"/>
          <w:bCs/>
          <w:i/>
          <w:sz w:val="18"/>
          <w:szCs w:val="18"/>
          <w:lang w:eastAsia="cs-CZ"/>
        </w:rPr>
      </w:pPr>
      <w:r w:rsidRPr="00A94DF2">
        <w:rPr>
          <w:rFonts w:ascii="Arial" w:hAnsi="Arial" w:cs="Arial"/>
          <w:bCs/>
          <w:i/>
          <w:sz w:val="18"/>
          <w:szCs w:val="18"/>
          <w:lang w:eastAsia="cs-CZ"/>
        </w:rPr>
        <w:t xml:space="preserve">Pozn.: V základně sloupců za jednotlivé oborové skupiny jsou uvedeny alokační poměry </w:t>
      </w:r>
      <w:r>
        <w:rPr>
          <w:rFonts w:ascii="Arial" w:hAnsi="Arial" w:cs="Arial"/>
          <w:bCs/>
          <w:i/>
          <w:sz w:val="18"/>
          <w:szCs w:val="18"/>
          <w:lang w:eastAsia="cs-CZ"/>
        </w:rPr>
        <w:t xml:space="preserve">rozdělovaných financí </w:t>
      </w:r>
      <w:r w:rsidRPr="00A94DF2">
        <w:rPr>
          <w:rFonts w:ascii="Arial" w:hAnsi="Arial" w:cs="Arial"/>
          <w:bCs/>
          <w:i/>
          <w:sz w:val="18"/>
          <w:szCs w:val="18"/>
          <w:lang w:eastAsia="cs-CZ"/>
        </w:rPr>
        <w:t>v %, v dalších řádcích korekční faktory pro základní a aplikovaný výzkum</w:t>
      </w:r>
    </w:p>
    <w:p w:rsidR="00AD7092" w:rsidRPr="00AD7092" w:rsidRDefault="00AD7092" w:rsidP="00AD7092">
      <w:pPr>
        <w:pStyle w:val="NadpisurovemII"/>
      </w:pPr>
      <w:bookmarkStart w:id="23" w:name="_Toc464461106"/>
      <w:r w:rsidRPr="00AD7092">
        <w:lastRenderedPageBreak/>
        <w:t>7.2 Současná metodika hodnocení výzkumných organizací</w:t>
      </w:r>
      <w:bookmarkEnd w:id="23"/>
    </w:p>
    <w:p w:rsidR="00FC5CCD" w:rsidRDefault="00FC5CCD" w:rsidP="00FC5CCD">
      <w:pPr>
        <w:spacing w:after="0" w:line="360" w:lineRule="auto"/>
        <w:ind w:firstLine="709"/>
        <w:jc w:val="both"/>
        <w:rPr>
          <w:rFonts w:ascii="Arial" w:hAnsi="Arial" w:cs="Arial"/>
          <w:bCs/>
          <w:lang w:eastAsia="cs-CZ"/>
        </w:rPr>
      </w:pPr>
      <w:r w:rsidRPr="00DC03A7">
        <w:rPr>
          <w:rFonts w:ascii="Arial" w:hAnsi="Arial" w:cs="Arial"/>
        </w:rPr>
        <w:t>V současnosti platná</w:t>
      </w:r>
      <w:r>
        <w:rPr>
          <w:rFonts w:ascii="Arial" w:hAnsi="Arial" w:cs="Arial"/>
          <w:b/>
        </w:rPr>
        <w:t xml:space="preserve"> </w:t>
      </w:r>
      <w:r w:rsidRPr="006A629F">
        <w:rPr>
          <w:rFonts w:ascii="Arial" w:hAnsi="Arial" w:cs="Arial"/>
          <w:b/>
        </w:rPr>
        <w:t>Metodika 2013 – 2016</w:t>
      </w:r>
      <w:r w:rsidRPr="00613FA5">
        <w:rPr>
          <w:rFonts w:ascii="Arial" w:hAnsi="Arial" w:cs="Arial"/>
        </w:rPr>
        <w:t xml:space="preserve"> byla </w:t>
      </w:r>
      <w:r>
        <w:rPr>
          <w:rFonts w:ascii="Arial" w:hAnsi="Arial" w:cs="Arial"/>
        </w:rPr>
        <w:t xml:space="preserve">připravena RVVI a </w:t>
      </w:r>
      <w:r w:rsidRPr="00613FA5">
        <w:rPr>
          <w:rFonts w:ascii="Arial" w:hAnsi="Arial" w:cs="Arial"/>
        </w:rPr>
        <w:t>schválena vládou po mnoha zásadních připomínkách v červnu 2013</w:t>
      </w:r>
      <w:r>
        <w:rPr>
          <w:rFonts w:ascii="Arial" w:hAnsi="Arial" w:cs="Arial"/>
        </w:rPr>
        <w:t>. Její platnost je nyní prodloužena do roku 2016. J</w:t>
      </w:r>
      <w:r>
        <w:rPr>
          <w:rFonts w:ascii="Arial" w:hAnsi="Arial" w:cs="Arial"/>
          <w:bCs/>
          <w:lang w:eastAsia="cs-CZ"/>
        </w:rPr>
        <w:t>e rozdělena do tří pilířů.</w:t>
      </w:r>
    </w:p>
    <w:p w:rsidR="00AD7092" w:rsidRDefault="00FC5CCD" w:rsidP="00FC5CCD">
      <w:pPr>
        <w:autoSpaceDE w:val="0"/>
        <w:autoSpaceDN w:val="0"/>
        <w:adjustRightInd w:val="0"/>
        <w:spacing w:after="0" w:line="360" w:lineRule="auto"/>
        <w:ind w:firstLine="708"/>
        <w:jc w:val="both"/>
        <w:rPr>
          <w:rFonts w:ascii="Arial" w:hAnsi="Arial" w:cs="Arial"/>
          <w:bCs/>
          <w:lang w:eastAsia="cs-CZ"/>
        </w:rPr>
      </w:pPr>
      <w:r w:rsidRPr="006A629F">
        <w:rPr>
          <w:rFonts w:ascii="Arial" w:hAnsi="Arial" w:cs="Arial"/>
          <w:b/>
          <w:bCs/>
          <w:lang w:eastAsia="cs-CZ"/>
        </w:rPr>
        <w:t>V prvním pilíři</w:t>
      </w:r>
      <w:r>
        <w:rPr>
          <w:rFonts w:ascii="Arial" w:hAnsi="Arial" w:cs="Arial"/>
          <w:bCs/>
          <w:lang w:eastAsia="cs-CZ"/>
        </w:rPr>
        <w:t xml:space="preserve"> jsou hodnoceny publikační výsledky na témž principu jako v předchozích metodikách. Nadále platí </w:t>
      </w:r>
      <w:r w:rsidRPr="00511CC4">
        <w:rPr>
          <w:rFonts w:ascii="Arial" w:hAnsi="Arial" w:cs="Arial"/>
          <w:b/>
          <w:bCs/>
          <w:lang w:eastAsia="cs-CZ"/>
        </w:rPr>
        <w:t>apriorní oborová alokace bodů</w:t>
      </w:r>
      <w:r>
        <w:rPr>
          <w:rFonts w:ascii="Arial" w:hAnsi="Arial" w:cs="Arial"/>
          <w:bCs/>
          <w:lang w:eastAsia="cs-CZ"/>
        </w:rPr>
        <w:t xml:space="preserve">, která přebírá původní procentuální členění let 2008 - 2009. Nově je striktně stanoveno, kolik procent druhů výsledků smí být uznáno v jednotlivých skupinách oborů. Nejvíc procent bodů je všude přiděleno článkům v databázi Web </w:t>
      </w:r>
      <w:proofErr w:type="spellStart"/>
      <w:r>
        <w:rPr>
          <w:rFonts w:ascii="Arial" w:hAnsi="Arial" w:cs="Arial"/>
          <w:bCs/>
          <w:lang w:eastAsia="cs-CZ"/>
        </w:rPr>
        <w:t>of</w:t>
      </w:r>
      <w:proofErr w:type="spellEnd"/>
      <w:r>
        <w:rPr>
          <w:rFonts w:ascii="Arial" w:hAnsi="Arial" w:cs="Arial"/>
          <w:bCs/>
          <w:lang w:eastAsia="cs-CZ"/>
        </w:rPr>
        <w:t xml:space="preserve"> Science společnosti </w:t>
      </w:r>
      <w:r w:rsidRPr="008D0421">
        <w:rPr>
          <w:rFonts w:ascii="Arial" w:hAnsi="Arial" w:cs="Arial"/>
          <w:bCs/>
          <w:lang w:eastAsia="cs-CZ"/>
        </w:rPr>
        <w:t>Thompson Reuters</w:t>
      </w:r>
      <w:r>
        <w:rPr>
          <w:rFonts w:ascii="Arial" w:hAnsi="Arial" w:cs="Arial"/>
          <w:bCs/>
          <w:lang w:eastAsia="cs-CZ"/>
        </w:rPr>
        <w:t xml:space="preserve"> (</w:t>
      </w:r>
      <w:proofErr w:type="spellStart"/>
      <w:r>
        <w:rPr>
          <w:rFonts w:ascii="Arial" w:hAnsi="Arial" w:cs="Arial"/>
          <w:bCs/>
          <w:lang w:eastAsia="cs-CZ"/>
        </w:rPr>
        <w:t>J</w:t>
      </w:r>
      <w:r w:rsidRPr="00A82D1C">
        <w:rPr>
          <w:rFonts w:ascii="Arial" w:hAnsi="Arial" w:cs="Arial"/>
          <w:bCs/>
          <w:vertAlign w:val="subscript"/>
          <w:lang w:eastAsia="cs-CZ"/>
        </w:rPr>
        <w:t>imp</w:t>
      </w:r>
      <w:proofErr w:type="spellEnd"/>
      <w:r>
        <w:rPr>
          <w:rFonts w:ascii="Arial" w:hAnsi="Arial" w:cs="Arial"/>
          <w:bCs/>
          <w:lang w:eastAsia="cs-CZ"/>
        </w:rPr>
        <w:t xml:space="preserve">), ve fyzikálních, chemických, biologických a lékařských vědách na absolutní maximum, neboť žádné jiné výsledky v nich už na body nedosáhnou (tab. 7.1). Ve společenských, resp. humanitních vědách shodný tlak přináší odloučení skupiny oborů, kterým postačuje hodnocení výstupů ve světově uznávaných databázích se současným snížením důrazu na publikace formou odborných knih resp. sborníků. Pro určení vstupní bodové hodnoty výsledků, které nelze přepočíst pomocí vzorce pro </w:t>
      </w:r>
      <w:proofErr w:type="spellStart"/>
      <w:r>
        <w:rPr>
          <w:rFonts w:ascii="Arial" w:hAnsi="Arial" w:cs="Arial"/>
          <w:bCs/>
          <w:lang w:eastAsia="cs-CZ"/>
        </w:rPr>
        <w:t>J</w:t>
      </w:r>
      <w:r w:rsidRPr="00A82D1C">
        <w:rPr>
          <w:rFonts w:ascii="Arial" w:hAnsi="Arial" w:cs="Arial"/>
          <w:bCs/>
          <w:vertAlign w:val="subscript"/>
          <w:lang w:eastAsia="cs-CZ"/>
        </w:rPr>
        <w:t>imp</w:t>
      </w:r>
      <w:proofErr w:type="spellEnd"/>
      <w:r>
        <w:rPr>
          <w:rFonts w:ascii="Arial" w:hAnsi="Arial" w:cs="Arial"/>
          <w:bCs/>
          <w:lang w:eastAsia="cs-CZ"/>
        </w:rPr>
        <w:t xml:space="preserve"> (vzorec je komentován v příloze), historicky poprvé nejsou stanoveny paušály, ale rozmezí, v kterém mají být přiděleny body na základě </w:t>
      </w:r>
      <w:r w:rsidRPr="006A629F">
        <w:rPr>
          <w:rFonts w:ascii="Arial" w:hAnsi="Arial" w:cs="Arial"/>
          <w:b/>
          <w:bCs/>
          <w:lang w:eastAsia="cs-CZ"/>
        </w:rPr>
        <w:t xml:space="preserve">peer </w:t>
      </w:r>
      <w:proofErr w:type="spellStart"/>
      <w:r w:rsidRPr="006A629F">
        <w:rPr>
          <w:rFonts w:ascii="Arial" w:hAnsi="Arial" w:cs="Arial"/>
          <w:b/>
          <w:bCs/>
          <w:lang w:eastAsia="cs-CZ"/>
        </w:rPr>
        <w:t>review</w:t>
      </w:r>
      <w:proofErr w:type="spellEnd"/>
      <w:r>
        <w:rPr>
          <w:rFonts w:ascii="Arial" w:hAnsi="Arial" w:cs="Arial"/>
          <w:bCs/>
          <w:lang w:eastAsia="cs-CZ"/>
        </w:rPr>
        <w:t xml:space="preserve"> posouzení (</w:t>
      </w:r>
      <w:proofErr w:type="spellStart"/>
      <w:r>
        <w:rPr>
          <w:rFonts w:ascii="Arial" w:hAnsi="Arial" w:cs="Arial"/>
          <w:bCs/>
          <w:lang w:eastAsia="cs-CZ"/>
        </w:rPr>
        <w:t>Podpilíř</w:t>
      </w:r>
      <w:proofErr w:type="spellEnd"/>
      <w:r>
        <w:rPr>
          <w:rFonts w:ascii="Arial" w:hAnsi="Arial" w:cs="Arial"/>
          <w:bCs/>
          <w:lang w:eastAsia="cs-CZ"/>
        </w:rPr>
        <w:t xml:space="preserve"> I.).</w:t>
      </w:r>
    </w:p>
    <w:p w:rsidR="00AD7092" w:rsidRPr="00AD7092" w:rsidRDefault="00AD7092" w:rsidP="00AD7092">
      <w:pPr>
        <w:pStyle w:val="Obrzek-nadpis"/>
      </w:pPr>
      <w:r w:rsidRPr="00AD7092">
        <w:t>Tab. 7.1: Faktory korekce a limity bodů v hodnocení 2014 dle oborové skupiny a druhu výsledku</w:t>
      </w:r>
    </w:p>
    <w:p w:rsidR="00AD7092" w:rsidRDefault="00AD7092" w:rsidP="00AD7092">
      <w:pPr>
        <w:spacing w:after="0" w:line="360" w:lineRule="auto"/>
        <w:jc w:val="both"/>
        <w:rPr>
          <w:rFonts w:ascii="Arial" w:hAnsi="Arial" w:cs="Arial"/>
        </w:rPr>
      </w:pPr>
      <w:r>
        <w:rPr>
          <w:noProof/>
          <w:lang w:eastAsia="cs-CZ"/>
        </w:rPr>
        <w:drawing>
          <wp:inline distT="0" distB="0" distL="0" distR="0" wp14:anchorId="4F65C362" wp14:editId="0E056CF5">
            <wp:extent cx="5600700" cy="3467100"/>
            <wp:effectExtent l="0" t="0" r="0"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00700" cy="3467100"/>
                    </a:xfrm>
                    <a:prstGeom prst="rect">
                      <a:avLst/>
                    </a:prstGeom>
                    <a:noFill/>
                    <a:ln>
                      <a:noFill/>
                    </a:ln>
                  </pic:spPr>
                </pic:pic>
              </a:graphicData>
            </a:graphic>
          </wp:inline>
        </w:drawing>
      </w:r>
    </w:p>
    <w:p w:rsidR="00AD7092" w:rsidRDefault="00AD7092" w:rsidP="00AD7092">
      <w:pPr>
        <w:spacing w:after="0" w:line="240" w:lineRule="auto"/>
        <w:jc w:val="both"/>
        <w:rPr>
          <w:rFonts w:ascii="Arial" w:hAnsi="Arial" w:cs="Arial"/>
          <w:i/>
          <w:sz w:val="20"/>
          <w:szCs w:val="20"/>
        </w:rPr>
      </w:pPr>
      <w:r w:rsidRPr="00FC64D9">
        <w:rPr>
          <w:rFonts w:ascii="Arial" w:hAnsi="Arial" w:cs="Arial"/>
          <w:i/>
          <w:sz w:val="20"/>
          <w:szCs w:val="20"/>
        </w:rPr>
        <w:t xml:space="preserve">Pozn.: druhy výsledků: </w:t>
      </w:r>
      <w:proofErr w:type="spellStart"/>
      <w:r w:rsidRPr="00FC64D9">
        <w:rPr>
          <w:rFonts w:ascii="Arial" w:hAnsi="Arial" w:cs="Arial"/>
          <w:i/>
          <w:sz w:val="20"/>
          <w:szCs w:val="20"/>
        </w:rPr>
        <w:t>Jimp</w:t>
      </w:r>
      <w:proofErr w:type="spellEnd"/>
      <w:r w:rsidRPr="00FC64D9">
        <w:rPr>
          <w:rFonts w:ascii="Arial" w:hAnsi="Arial" w:cs="Arial"/>
          <w:i/>
          <w:sz w:val="20"/>
          <w:szCs w:val="20"/>
        </w:rPr>
        <w:t xml:space="preserve"> – článek v databázi </w:t>
      </w:r>
      <w:proofErr w:type="spellStart"/>
      <w:r w:rsidRPr="00FC64D9">
        <w:rPr>
          <w:rFonts w:ascii="Arial" w:hAnsi="Arial" w:cs="Arial"/>
          <w:i/>
          <w:sz w:val="20"/>
          <w:szCs w:val="20"/>
        </w:rPr>
        <w:t>WoS</w:t>
      </w:r>
      <w:proofErr w:type="spellEnd"/>
      <w:r w:rsidRPr="00FC64D9">
        <w:rPr>
          <w:rFonts w:ascii="Arial" w:hAnsi="Arial" w:cs="Arial"/>
          <w:i/>
          <w:sz w:val="20"/>
          <w:szCs w:val="20"/>
        </w:rPr>
        <w:t xml:space="preserve">, </w:t>
      </w:r>
      <w:proofErr w:type="spellStart"/>
      <w:r w:rsidRPr="00FC64D9">
        <w:rPr>
          <w:rFonts w:ascii="Arial" w:hAnsi="Arial" w:cs="Arial"/>
          <w:i/>
          <w:sz w:val="20"/>
          <w:szCs w:val="20"/>
        </w:rPr>
        <w:t>Jsc</w:t>
      </w:r>
      <w:proofErr w:type="spellEnd"/>
      <w:r w:rsidRPr="00FC64D9">
        <w:rPr>
          <w:rFonts w:ascii="Arial" w:hAnsi="Arial" w:cs="Arial"/>
          <w:i/>
          <w:sz w:val="20"/>
          <w:szCs w:val="20"/>
        </w:rPr>
        <w:t xml:space="preserve"> – článek v databázi </w:t>
      </w:r>
      <w:proofErr w:type="spellStart"/>
      <w:r w:rsidRPr="00FC64D9">
        <w:rPr>
          <w:rFonts w:ascii="Arial" w:hAnsi="Arial" w:cs="Arial"/>
          <w:i/>
          <w:sz w:val="20"/>
          <w:szCs w:val="20"/>
        </w:rPr>
        <w:t>Scopus</w:t>
      </w:r>
      <w:proofErr w:type="spellEnd"/>
      <w:r w:rsidRPr="00FC64D9">
        <w:rPr>
          <w:rFonts w:ascii="Arial" w:hAnsi="Arial" w:cs="Arial"/>
          <w:i/>
          <w:sz w:val="20"/>
          <w:szCs w:val="20"/>
        </w:rPr>
        <w:t xml:space="preserve">, </w:t>
      </w:r>
      <w:proofErr w:type="spellStart"/>
      <w:r w:rsidRPr="00FC64D9">
        <w:rPr>
          <w:rFonts w:ascii="Arial" w:hAnsi="Arial" w:cs="Arial"/>
          <w:i/>
          <w:sz w:val="20"/>
          <w:szCs w:val="20"/>
        </w:rPr>
        <w:t>Jerih</w:t>
      </w:r>
      <w:proofErr w:type="spellEnd"/>
      <w:r w:rsidRPr="00FC64D9">
        <w:rPr>
          <w:rFonts w:ascii="Arial" w:hAnsi="Arial" w:cs="Arial"/>
          <w:i/>
          <w:sz w:val="20"/>
          <w:szCs w:val="20"/>
        </w:rPr>
        <w:t xml:space="preserve"> – článek v databázi ERIH, </w:t>
      </w:r>
      <w:proofErr w:type="spellStart"/>
      <w:r w:rsidRPr="00FC64D9">
        <w:rPr>
          <w:rFonts w:ascii="Arial" w:hAnsi="Arial" w:cs="Arial"/>
          <w:i/>
          <w:sz w:val="20"/>
          <w:szCs w:val="20"/>
        </w:rPr>
        <w:t>Jrec</w:t>
      </w:r>
      <w:proofErr w:type="spellEnd"/>
      <w:r w:rsidRPr="00FC64D9">
        <w:rPr>
          <w:rFonts w:ascii="Arial" w:hAnsi="Arial" w:cs="Arial"/>
          <w:i/>
          <w:sz w:val="20"/>
          <w:szCs w:val="20"/>
        </w:rPr>
        <w:t xml:space="preserve"> – článek v periodiku uvedeném v Seznamu českých recenzovaných časopisů B – odborná kniha, C – kapitola v odborné knize, D – článek ve sborníku</w:t>
      </w:r>
    </w:p>
    <w:p w:rsidR="00AD7092" w:rsidRPr="00FC64D9" w:rsidRDefault="00AD7092" w:rsidP="00AD7092">
      <w:pPr>
        <w:spacing w:after="0" w:line="240" w:lineRule="auto"/>
        <w:jc w:val="both"/>
        <w:rPr>
          <w:rFonts w:ascii="Arial" w:hAnsi="Arial" w:cs="Arial"/>
          <w:i/>
          <w:sz w:val="20"/>
          <w:szCs w:val="20"/>
        </w:rPr>
      </w:pPr>
    </w:p>
    <w:p w:rsidR="00FC5CCD" w:rsidRDefault="00FC5CCD" w:rsidP="00FC5CCD">
      <w:pPr>
        <w:autoSpaceDE w:val="0"/>
        <w:autoSpaceDN w:val="0"/>
        <w:adjustRightInd w:val="0"/>
        <w:spacing w:after="0" w:line="360" w:lineRule="auto"/>
        <w:ind w:firstLine="708"/>
        <w:jc w:val="both"/>
        <w:rPr>
          <w:rFonts w:ascii="Arial" w:hAnsi="Arial" w:cs="Arial"/>
          <w:bCs/>
          <w:lang w:eastAsia="cs-CZ"/>
        </w:rPr>
      </w:pPr>
      <w:r w:rsidRPr="006A629F">
        <w:rPr>
          <w:rFonts w:ascii="Arial" w:hAnsi="Arial" w:cs="Arial"/>
          <w:b/>
          <w:bCs/>
          <w:lang w:eastAsia="cs-CZ"/>
        </w:rPr>
        <w:t>Ve druhém pilíři</w:t>
      </w:r>
      <w:r>
        <w:rPr>
          <w:rFonts w:ascii="Arial" w:hAnsi="Arial" w:cs="Arial"/>
          <w:bCs/>
          <w:lang w:eastAsia="cs-CZ"/>
        </w:rPr>
        <w:t xml:space="preserve"> má jít o „hodnocení kvality vybraných výsledků“. </w:t>
      </w:r>
      <w:r w:rsidRPr="00151EBB">
        <w:rPr>
          <w:rFonts w:ascii="Arial" w:hAnsi="Arial" w:cs="Arial"/>
          <w:bCs/>
          <w:i/>
          <w:lang w:eastAsia="cs-CZ"/>
        </w:rPr>
        <w:t>„Každá instituce předloží omezený počet vybraných výsledků k expertnímu posouzení</w:t>
      </w:r>
      <w:r>
        <w:rPr>
          <w:rFonts w:ascii="Arial" w:hAnsi="Arial" w:cs="Arial"/>
          <w:bCs/>
          <w:i/>
          <w:lang w:eastAsia="cs-CZ"/>
        </w:rPr>
        <w:t>… panel</w:t>
      </w:r>
      <w:r w:rsidRPr="00151EBB">
        <w:rPr>
          <w:rFonts w:ascii="Arial" w:hAnsi="Arial" w:cs="Arial"/>
          <w:bCs/>
          <w:i/>
          <w:lang w:eastAsia="cs-CZ"/>
        </w:rPr>
        <w:t xml:space="preserve"> vybere v rámci každé </w:t>
      </w:r>
      <w:r w:rsidRPr="00151EBB">
        <w:rPr>
          <w:rFonts w:ascii="Arial" w:hAnsi="Arial" w:cs="Arial"/>
          <w:bCs/>
          <w:i/>
          <w:lang w:eastAsia="cs-CZ"/>
        </w:rPr>
        <w:lastRenderedPageBreak/>
        <w:t>oborové skupiny maximálně 20% nejlepších výsledků, které si zaslouží zvláštní bonifikaci.“</w:t>
      </w:r>
      <w:r>
        <w:rPr>
          <w:rFonts w:ascii="Arial" w:hAnsi="Arial" w:cs="Arial"/>
          <w:bCs/>
          <w:lang w:eastAsia="cs-CZ"/>
        </w:rPr>
        <w:t xml:space="preserve"> Pro tento pilíř je ustaveno 11 panelů pro posuzování výsledků formou </w:t>
      </w:r>
      <w:r w:rsidRPr="006A629F">
        <w:rPr>
          <w:rFonts w:ascii="Arial" w:hAnsi="Arial" w:cs="Arial"/>
          <w:b/>
          <w:bCs/>
          <w:lang w:eastAsia="cs-CZ"/>
        </w:rPr>
        <w:t xml:space="preserve">peer </w:t>
      </w:r>
      <w:proofErr w:type="spellStart"/>
      <w:r w:rsidRPr="006A629F">
        <w:rPr>
          <w:rFonts w:ascii="Arial" w:hAnsi="Arial" w:cs="Arial"/>
          <w:b/>
          <w:bCs/>
          <w:lang w:eastAsia="cs-CZ"/>
        </w:rPr>
        <w:t>review</w:t>
      </w:r>
      <w:proofErr w:type="spellEnd"/>
      <w:r>
        <w:rPr>
          <w:rFonts w:ascii="Arial" w:hAnsi="Arial" w:cs="Arial"/>
          <w:bCs/>
          <w:lang w:eastAsia="cs-CZ"/>
        </w:rPr>
        <w:t xml:space="preserve"> podle skupin oborů definovaných minulými metodikami (s výjimkou nového členění Společenských a humanitních věd). Jejich verdikty podobně jako v případě peer </w:t>
      </w:r>
      <w:proofErr w:type="spellStart"/>
      <w:r>
        <w:rPr>
          <w:rFonts w:ascii="Arial" w:hAnsi="Arial" w:cs="Arial"/>
          <w:bCs/>
          <w:lang w:eastAsia="cs-CZ"/>
        </w:rPr>
        <w:t>review</w:t>
      </w:r>
      <w:proofErr w:type="spellEnd"/>
      <w:r>
        <w:rPr>
          <w:rFonts w:ascii="Arial" w:hAnsi="Arial" w:cs="Arial"/>
          <w:bCs/>
          <w:lang w:eastAsia="cs-CZ"/>
        </w:rPr>
        <w:t xml:space="preserve"> prvního pilíře slouží jako vstupní data pro další přepočet na Metodikou definovaný specificky český </w:t>
      </w:r>
      <w:proofErr w:type="spellStart"/>
      <w:r>
        <w:rPr>
          <w:rFonts w:ascii="Arial" w:hAnsi="Arial" w:cs="Arial"/>
          <w:bCs/>
          <w:lang w:eastAsia="cs-CZ"/>
        </w:rPr>
        <w:t>scientometrický</w:t>
      </w:r>
      <w:proofErr w:type="spellEnd"/>
      <w:r>
        <w:rPr>
          <w:rFonts w:ascii="Arial" w:hAnsi="Arial" w:cs="Arial"/>
          <w:bCs/>
          <w:lang w:eastAsia="cs-CZ"/>
        </w:rPr>
        <w:t xml:space="preserve"> údaj: </w:t>
      </w:r>
      <w:r w:rsidRPr="006A629F">
        <w:rPr>
          <w:rFonts w:ascii="Arial" w:hAnsi="Arial" w:cs="Arial"/>
          <w:b/>
          <w:bCs/>
          <w:lang w:eastAsia="cs-CZ"/>
        </w:rPr>
        <w:t>korigované RIV body</w:t>
      </w:r>
      <w:r>
        <w:rPr>
          <w:rFonts w:ascii="Arial" w:hAnsi="Arial" w:cs="Arial"/>
          <w:bCs/>
          <w:lang w:eastAsia="cs-CZ"/>
        </w:rPr>
        <w:t xml:space="preserve">. V případě II. pilíře navíc předepsaný vzorec pro výpočet bodů obsahuje další vnitřní limity (omezení počtu přihlašovaných výsledků výší obdržené institucionální podpory, fixace 90% bodů z předchozího roku, což znamená v rámci celkové podpory rozsah cca 1%), které jeho vliv na rozdělení bodů mezi zainteresované subjekty de facto marginalizují. Zvláštní bodový bonus v tomto pilíři je udělen řešitelům ERC </w:t>
      </w:r>
      <w:r w:rsidRPr="00E64A8D">
        <w:rPr>
          <w:rStyle w:val="Znakapoznpodarou"/>
          <w:rFonts w:ascii="Arial" w:hAnsi="Arial" w:cs="Arial"/>
          <w:bCs/>
          <w:lang w:eastAsia="cs-CZ"/>
        </w:rPr>
        <w:footnoteReference w:id="30"/>
      </w:r>
      <w:r>
        <w:rPr>
          <w:rFonts w:ascii="Arial" w:hAnsi="Arial" w:cs="Arial"/>
          <w:bCs/>
          <w:lang w:eastAsia="cs-CZ"/>
        </w:rPr>
        <w:t xml:space="preserve"> grantů.</w:t>
      </w:r>
    </w:p>
    <w:p w:rsidR="00AD7092" w:rsidRDefault="00FC5CCD" w:rsidP="00FC5CCD">
      <w:pPr>
        <w:autoSpaceDE w:val="0"/>
        <w:autoSpaceDN w:val="0"/>
        <w:adjustRightInd w:val="0"/>
        <w:spacing w:after="0" w:line="360" w:lineRule="auto"/>
        <w:ind w:firstLine="708"/>
        <w:jc w:val="both"/>
        <w:rPr>
          <w:rFonts w:ascii="Arial" w:hAnsi="Arial" w:cs="Arial"/>
          <w:bCs/>
          <w:lang w:eastAsia="cs-CZ"/>
        </w:rPr>
      </w:pPr>
      <w:r w:rsidRPr="0041601E">
        <w:rPr>
          <w:rFonts w:ascii="Arial" w:hAnsi="Arial" w:cs="Arial"/>
          <w:b/>
          <w:bCs/>
          <w:lang w:eastAsia="cs-CZ"/>
        </w:rPr>
        <w:t>Třetí pilíř</w:t>
      </w:r>
      <w:r>
        <w:rPr>
          <w:rFonts w:ascii="Arial" w:hAnsi="Arial" w:cs="Arial"/>
          <w:bCs/>
          <w:lang w:eastAsia="cs-CZ"/>
        </w:rPr>
        <w:t xml:space="preserve"> se vydělil z Pilíře I. Jeho cílem je bodově ocenit nepublikační aplikované výsledky poprvé jinak než paušálním bodováním s následnou korekcí. Je konstruován na odlišném principu než ostatní části </w:t>
      </w:r>
      <w:r w:rsidRPr="006F0503">
        <w:rPr>
          <w:rFonts w:ascii="Arial" w:hAnsi="Arial" w:cs="Arial"/>
          <w:bCs/>
          <w:lang w:eastAsia="cs-CZ"/>
        </w:rPr>
        <w:t>Metodiky</w:t>
      </w:r>
      <w:r>
        <w:rPr>
          <w:rFonts w:ascii="Arial" w:hAnsi="Arial" w:cs="Arial"/>
          <w:bCs/>
          <w:lang w:eastAsia="cs-CZ"/>
        </w:rPr>
        <w:t xml:space="preserve">. Na rozdíl od </w:t>
      </w:r>
      <w:r w:rsidRPr="00506DA1">
        <w:rPr>
          <w:rFonts w:ascii="Arial" w:hAnsi="Arial" w:cs="Arial"/>
          <w:bCs/>
          <w:lang w:eastAsia="cs-CZ"/>
        </w:rPr>
        <w:t>dosavadního</w:t>
      </w:r>
      <w:r>
        <w:rPr>
          <w:rFonts w:ascii="Arial" w:hAnsi="Arial" w:cs="Arial"/>
          <w:bCs/>
          <w:lang w:eastAsia="cs-CZ"/>
        </w:rPr>
        <w:t xml:space="preserve"> hodnocení výstupů - předdefinovaných druhů výsledků </w:t>
      </w:r>
      <w:proofErr w:type="spellStart"/>
      <w:r>
        <w:rPr>
          <w:rFonts w:ascii="Arial" w:hAnsi="Arial" w:cs="Arial"/>
          <w:bCs/>
          <w:lang w:eastAsia="cs-CZ"/>
        </w:rPr>
        <w:t>VaVaI</w:t>
      </w:r>
      <w:proofErr w:type="spellEnd"/>
      <w:r>
        <w:rPr>
          <w:rFonts w:ascii="Arial" w:hAnsi="Arial" w:cs="Arial"/>
          <w:bCs/>
          <w:lang w:eastAsia="cs-CZ"/>
        </w:rPr>
        <w:t xml:space="preserve"> – dominantně </w:t>
      </w:r>
      <w:r w:rsidRPr="0041601E">
        <w:rPr>
          <w:rFonts w:ascii="Arial" w:hAnsi="Arial" w:cs="Arial"/>
          <w:b/>
          <w:bCs/>
          <w:lang w:eastAsia="cs-CZ"/>
        </w:rPr>
        <w:t>vychází z hodnocení vstupů</w:t>
      </w:r>
      <w:r>
        <w:rPr>
          <w:rFonts w:ascii="Arial" w:hAnsi="Arial" w:cs="Arial"/>
          <w:bCs/>
          <w:lang w:eastAsia="cs-CZ"/>
        </w:rPr>
        <w:t xml:space="preserve">. Přímo jsou bodovány jen patenty a plemena/odrůdy. Nelze ale říci, že jiné výsledky aplikovaného výzkumu hodnoceny nejsou, neboť zůstávají podmínkou pro udělení bodů na vstupech za projekty a smluvní výzkum. Apriorní alokace uvažovaná pro aplikovaný výzkum </w:t>
      </w:r>
      <w:r>
        <w:rPr>
          <w:rStyle w:val="Znakapoznpodarou"/>
          <w:rFonts w:ascii="Arial" w:hAnsi="Arial" w:cs="Arial"/>
          <w:bCs/>
          <w:lang w:eastAsia="cs-CZ"/>
        </w:rPr>
        <w:footnoteReference w:id="31"/>
      </w:r>
      <w:r>
        <w:rPr>
          <w:rFonts w:ascii="Arial" w:hAnsi="Arial" w:cs="Arial"/>
          <w:bCs/>
          <w:lang w:eastAsia="cs-CZ"/>
        </w:rPr>
        <w:t xml:space="preserve"> byla navýšena na 17,5 % bodů z původních 15 %. Jedná se ale o navýšení zdánlivé, neboť se stále pohybujeme v rámci jednoho balíku institucionálních prostředků – na Pilíř II nejsou peníze navíc, jedná se o přerozdělení uvnitř systému, tj. při zpětné </w:t>
      </w:r>
      <w:proofErr w:type="spellStart"/>
      <w:r>
        <w:rPr>
          <w:rFonts w:ascii="Arial" w:hAnsi="Arial" w:cs="Arial"/>
          <w:bCs/>
          <w:lang w:eastAsia="cs-CZ"/>
        </w:rPr>
        <w:t>renormalizaci</w:t>
      </w:r>
      <w:proofErr w:type="spellEnd"/>
      <w:r>
        <w:rPr>
          <w:rFonts w:ascii="Arial" w:hAnsi="Arial" w:cs="Arial"/>
          <w:bCs/>
          <w:lang w:eastAsia="cs-CZ"/>
        </w:rPr>
        <w:t xml:space="preserve"> na 100%: </w:t>
      </w:r>
      <w:r w:rsidRPr="009B4626">
        <w:rPr>
          <w:rFonts w:ascii="Arial" w:hAnsi="Arial" w:cs="Arial"/>
          <w:bCs/>
          <w:lang w:eastAsia="cs-CZ"/>
        </w:rPr>
        <w:t>základní výzkum 74%,</w:t>
      </w:r>
      <w:r>
        <w:rPr>
          <w:rFonts w:ascii="Arial" w:hAnsi="Arial" w:cs="Arial"/>
          <w:bCs/>
          <w:lang w:eastAsia="cs-CZ"/>
        </w:rPr>
        <w:t xml:space="preserve"> aplikovaný 16%, excelentní 10% (obr. 7.3). V rámci III. Pilíře jsou body pro organizaci dány jako součet tří složek – paušálně přidělované body za výsledky druhu patent, plemeno, odrůda + body přidělené organizaci za prokázaný smluvní výzkum + body za udělené projekty v oblasti aplikovaného výzkumu. To vše je omezeno nejrůznějšími limity, jak pro započítávání nákladů uznatelných pro tyto účely, tak pro určení koeficientů odrážejících váhy mezi složkami.</w:t>
      </w:r>
    </w:p>
    <w:p w:rsidR="00AD7092" w:rsidRPr="00AD7092" w:rsidRDefault="00AD7092" w:rsidP="00AD7092">
      <w:pPr>
        <w:pStyle w:val="Obrzek-nadpis"/>
      </w:pPr>
      <w:r w:rsidRPr="00AD7092">
        <w:lastRenderedPageBreak/>
        <w:t>Obr. 7.</w:t>
      </w:r>
      <w:r>
        <w:t>2</w:t>
      </w:r>
      <w:r w:rsidRPr="00AD7092">
        <w:t xml:space="preserve"> Mechanismus fungování metodiky hodnocení výsledků výzkumných organizací v roce 2013</w:t>
      </w:r>
    </w:p>
    <w:p w:rsidR="00AD7092" w:rsidRDefault="00264555" w:rsidP="00AD7092">
      <w:pPr>
        <w:spacing w:after="0" w:line="360" w:lineRule="auto"/>
        <w:ind w:firstLine="709"/>
        <w:jc w:val="both"/>
        <w:rPr>
          <w:rFonts w:ascii="Arial" w:hAnsi="Arial" w:cs="Arial"/>
          <w:bCs/>
          <w:lang w:eastAsia="cs-CZ"/>
        </w:rPr>
      </w:pPr>
      <w:r>
        <w:rPr>
          <w:rFonts w:ascii="Arial" w:hAnsi="Arial" w:cs="Arial"/>
          <w:b/>
          <w:bCs/>
          <w:lang w:eastAsia="cs-CZ"/>
        </w:rPr>
        <w:object w:dxaOrig="8925" w:dyaOrig="12630">
          <v:shape id="_x0000_i1026" type="#_x0000_t75" style="width:411pt;height:568.5pt" o:ole="">
            <v:imagedata r:id="rId47" o:title="" croptop="6472f" cropleft="2082f" cropright="4163f"/>
          </v:shape>
          <o:OLEObject Type="Embed" ProgID="AcroExch.Document.DC" ShapeID="_x0000_i1026" DrawAspect="Content" ObjectID="_1538202957" r:id="rId48"/>
        </w:object>
      </w:r>
    </w:p>
    <w:p w:rsidR="00AD7092" w:rsidRPr="00A94DF2" w:rsidRDefault="00AD7092" w:rsidP="00AD7092">
      <w:pPr>
        <w:spacing w:after="0" w:line="360" w:lineRule="auto"/>
        <w:jc w:val="both"/>
        <w:rPr>
          <w:rFonts w:ascii="Arial" w:hAnsi="Arial" w:cs="Arial"/>
          <w:bCs/>
          <w:i/>
          <w:sz w:val="18"/>
          <w:szCs w:val="18"/>
          <w:lang w:eastAsia="cs-CZ"/>
        </w:rPr>
      </w:pPr>
      <w:r w:rsidRPr="00A94DF2">
        <w:rPr>
          <w:rFonts w:ascii="Arial" w:hAnsi="Arial" w:cs="Arial"/>
          <w:bCs/>
          <w:i/>
          <w:sz w:val="18"/>
          <w:szCs w:val="18"/>
          <w:lang w:eastAsia="cs-CZ"/>
        </w:rPr>
        <w:t>Pozn.: V základně sloupců za jednotlivé oborové skupiny jsou uvedeny alokační poměry v %, v další</w:t>
      </w:r>
      <w:r>
        <w:rPr>
          <w:rFonts w:ascii="Arial" w:hAnsi="Arial" w:cs="Arial"/>
          <w:bCs/>
          <w:i/>
          <w:sz w:val="18"/>
          <w:szCs w:val="18"/>
          <w:lang w:eastAsia="cs-CZ"/>
        </w:rPr>
        <w:t>ch řádcích korekční faktory</w:t>
      </w:r>
    </w:p>
    <w:p w:rsidR="00AD7092" w:rsidRDefault="00FC5CCD" w:rsidP="00AD7092">
      <w:pPr>
        <w:autoSpaceDE w:val="0"/>
        <w:autoSpaceDN w:val="0"/>
        <w:adjustRightInd w:val="0"/>
        <w:spacing w:after="0" w:line="360" w:lineRule="auto"/>
        <w:ind w:firstLine="708"/>
        <w:jc w:val="both"/>
        <w:rPr>
          <w:rFonts w:ascii="Arial" w:hAnsi="Arial" w:cs="Arial"/>
          <w:bCs/>
          <w:lang w:eastAsia="cs-CZ"/>
        </w:rPr>
      </w:pPr>
      <w:r>
        <w:rPr>
          <w:rFonts w:ascii="Arial" w:hAnsi="Arial" w:cs="Arial"/>
          <w:bCs/>
          <w:lang w:eastAsia="cs-CZ"/>
        </w:rPr>
        <w:t xml:space="preserve">Výstupem hodnocení jsou dílčí bodové hodnoty z Pilířů I., II. a III. pro jednotlivé výzkumné organizace / organizační jednotky. Jejich výpočet je náročný a obecná představa o tom, jak funguje, v mnohém neodpovídá realitě. Vzorce nejsou na první pohled srozumitelné, jejich odborný výklad je neadekvátně komplikovaný nebo nedostačující (viz podrobněji příloha). Je však třeba si </w:t>
      </w:r>
      <w:r>
        <w:rPr>
          <w:rFonts w:ascii="Arial" w:hAnsi="Arial" w:cs="Arial"/>
          <w:bCs/>
          <w:lang w:eastAsia="cs-CZ"/>
        </w:rPr>
        <w:lastRenderedPageBreak/>
        <w:t xml:space="preserve">především uvědomit, že bez ohledu na jejich jakkoli kvalitní konstrukci je konečný výsledek zásadně ovlivněn předem – shodně jako v Metodice minulé – apriorními bodovými alokacemi a oborovými korekčními faktory. Stále složitější hodnotící procesy tak mají jen podpůrnou funkci, konečným cílem je stále číslo. Tři pilíře </w:t>
      </w:r>
      <w:proofErr w:type="spellStart"/>
      <w:r>
        <w:rPr>
          <w:rFonts w:ascii="Arial" w:hAnsi="Arial" w:cs="Arial"/>
          <w:bCs/>
          <w:lang w:eastAsia="cs-CZ"/>
        </w:rPr>
        <w:t>kafemlejnek</w:t>
      </w:r>
      <w:proofErr w:type="spellEnd"/>
      <w:r>
        <w:rPr>
          <w:rFonts w:ascii="Arial" w:hAnsi="Arial" w:cs="Arial"/>
          <w:bCs/>
          <w:lang w:eastAsia="cs-CZ"/>
        </w:rPr>
        <w:t xml:space="preserve"> nenahrazují, ale podepírají jej, stavějí na piedestal (obr. 7.3).</w:t>
      </w: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Pr="00AD7092" w:rsidRDefault="00AD7092" w:rsidP="00AD7092">
      <w:pPr>
        <w:pStyle w:val="Obrzek-nadpis"/>
      </w:pPr>
      <w:r w:rsidRPr="00AD7092">
        <w:t>Obr. 7.3: Schéma časového vývoje způsobu hodnocení výzkumu v ČR</w:t>
      </w:r>
    </w:p>
    <w:p w:rsidR="00AD7092" w:rsidRDefault="00AD7092" w:rsidP="00AD7092">
      <w:pPr>
        <w:autoSpaceDE w:val="0"/>
        <w:autoSpaceDN w:val="0"/>
        <w:adjustRightInd w:val="0"/>
        <w:spacing w:after="0" w:line="360" w:lineRule="auto"/>
        <w:jc w:val="both"/>
        <w:rPr>
          <w:rFonts w:ascii="Arial" w:hAnsi="Arial" w:cs="Arial"/>
          <w:bCs/>
          <w:lang w:eastAsia="cs-CZ"/>
        </w:rPr>
      </w:pPr>
      <w:r>
        <w:rPr>
          <w:noProof/>
          <w:lang w:eastAsia="cs-CZ"/>
        </w:rPr>
        <mc:AlternateContent>
          <mc:Choice Requires="wpg">
            <w:drawing>
              <wp:anchor distT="0" distB="0" distL="114300" distR="114300" simplePos="0" relativeHeight="251684864" behindDoc="0" locked="0" layoutInCell="1" allowOverlap="1" wp14:anchorId="0131AB21" wp14:editId="697EC656">
                <wp:simplePos x="0" y="0"/>
                <wp:positionH relativeFrom="column">
                  <wp:posOffset>25400</wp:posOffset>
                </wp:positionH>
                <wp:positionV relativeFrom="paragraph">
                  <wp:posOffset>92075</wp:posOffset>
                </wp:positionV>
                <wp:extent cx="5370195" cy="2504440"/>
                <wp:effectExtent l="38100" t="0" r="0" b="0"/>
                <wp:wrapNone/>
                <wp:docPr id="102" name="Skupina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0195" cy="2504440"/>
                          <a:chOff x="0" y="0"/>
                          <a:chExt cx="5370195" cy="2504365"/>
                        </a:xfrm>
                      </wpg:grpSpPr>
                      <pic:pic xmlns:pic="http://schemas.openxmlformats.org/drawingml/2006/picture">
                        <pic:nvPicPr>
                          <pic:cNvPr id="103" name="Obrázek 19"/>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3043451" y="75063"/>
                            <a:ext cx="1303361" cy="1815152"/>
                          </a:xfrm>
                          <a:prstGeom prst="rect">
                            <a:avLst/>
                          </a:prstGeom>
                          <a:ln>
                            <a:noFill/>
                          </a:ln>
                        </pic:spPr>
                      </pic:pic>
                      <wpg:grpSp>
                        <wpg:cNvPr id="104" name="Skupina 21"/>
                        <wpg:cNvGrpSpPr/>
                        <wpg:grpSpPr>
                          <a:xfrm>
                            <a:off x="0" y="0"/>
                            <a:ext cx="5370195" cy="387985"/>
                            <a:chOff x="0" y="0"/>
                            <a:chExt cx="5370195" cy="387990"/>
                          </a:xfrm>
                        </wpg:grpSpPr>
                        <wps:wsp>
                          <wps:cNvPr id="105" name="Přímá spojnice 1"/>
                          <wps:cNvCnPr/>
                          <wps:spPr>
                            <a:xfrm>
                              <a:off x="0" y="233916"/>
                              <a:ext cx="5370195" cy="0"/>
                            </a:xfrm>
                            <a:prstGeom prst="line">
                              <a:avLst/>
                            </a:prstGeom>
                            <a:noFill/>
                            <a:ln w="9525" cap="flat" cmpd="sng" algn="ctr">
                              <a:solidFill>
                                <a:sysClr val="windowText" lastClr="000000">
                                  <a:shade val="95000"/>
                                  <a:satMod val="105000"/>
                                </a:sysClr>
                              </a:solidFill>
                              <a:prstDash val="solid"/>
                            </a:ln>
                            <a:effectLst/>
                          </wps:spPr>
                          <wps:bodyPr/>
                        </wps:wsp>
                        <wps:wsp>
                          <wps:cNvPr id="106" name="Přímá spojnice 2"/>
                          <wps:cNvCnPr/>
                          <wps:spPr>
                            <a:xfrm>
                              <a:off x="680484" y="85060"/>
                              <a:ext cx="0" cy="302930"/>
                            </a:xfrm>
                            <a:prstGeom prst="line">
                              <a:avLst/>
                            </a:prstGeom>
                            <a:noFill/>
                            <a:ln w="9525" cap="flat" cmpd="sng" algn="ctr">
                              <a:solidFill>
                                <a:sysClr val="windowText" lastClr="000000">
                                  <a:shade val="95000"/>
                                  <a:satMod val="105000"/>
                                </a:sysClr>
                              </a:solidFill>
                              <a:prstDash val="solid"/>
                            </a:ln>
                            <a:effectLst/>
                          </wps:spPr>
                          <wps:bodyPr/>
                        </wps:wsp>
                        <wps:wsp>
                          <wps:cNvPr id="107" name="Přímá spojnice 3"/>
                          <wps:cNvCnPr/>
                          <wps:spPr>
                            <a:xfrm>
                              <a:off x="1371600" y="85060"/>
                              <a:ext cx="0" cy="302930"/>
                            </a:xfrm>
                            <a:prstGeom prst="line">
                              <a:avLst/>
                            </a:prstGeom>
                            <a:noFill/>
                            <a:ln w="9525" cap="flat" cmpd="sng" algn="ctr">
                              <a:solidFill>
                                <a:sysClr val="windowText" lastClr="000000">
                                  <a:shade val="95000"/>
                                  <a:satMod val="105000"/>
                                </a:sysClr>
                              </a:solidFill>
                              <a:prstDash val="solid"/>
                            </a:ln>
                            <a:effectLst/>
                          </wps:spPr>
                          <wps:bodyPr/>
                        </wps:wsp>
                        <wps:wsp>
                          <wps:cNvPr id="108" name="Přímá spojnice 4"/>
                          <wps:cNvCnPr/>
                          <wps:spPr>
                            <a:xfrm>
                              <a:off x="2030818" y="85060"/>
                              <a:ext cx="0" cy="302930"/>
                            </a:xfrm>
                            <a:prstGeom prst="line">
                              <a:avLst/>
                            </a:prstGeom>
                            <a:noFill/>
                            <a:ln w="9525" cap="flat" cmpd="sng" algn="ctr">
                              <a:solidFill>
                                <a:sysClr val="windowText" lastClr="000000">
                                  <a:shade val="95000"/>
                                  <a:satMod val="105000"/>
                                </a:sysClr>
                              </a:solidFill>
                              <a:prstDash val="solid"/>
                            </a:ln>
                            <a:effectLst/>
                          </wps:spPr>
                          <wps:bodyPr/>
                        </wps:wsp>
                        <wps:wsp>
                          <wps:cNvPr id="109" name="Přímá spojnice 5"/>
                          <wps:cNvCnPr/>
                          <wps:spPr>
                            <a:xfrm>
                              <a:off x="2721935" y="85060"/>
                              <a:ext cx="0" cy="302895"/>
                            </a:xfrm>
                            <a:prstGeom prst="line">
                              <a:avLst/>
                            </a:prstGeom>
                            <a:noFill/>
                            <a:ln w="9525" cap="flat" cmpd="sng" algn="ctr">
                              <a:solidFill>
                                <a:sysClr val="windowText" lastClr="000000">
                                  <a:shade val="95000"/>
                                  <a:satMod val="105000"/>
                                </a:sysClr>
                              </a:solidFill>
                              <a:prstDash val="solid"/>
                            </a:ln>
                            <a:effectLst/>
                          </wps:spPr>
                          <wps:bodyPr/>
                        </wps:wsp>
                        <wps:wsp>
                          <wps:cNvPr id="110" name="Přímá spojnice 6"/>
                          <wps:cNvCnPr/>
                          <wps:spPr>
                            <a:xfrm>
                              <a:off x="3381153" y="85060"/>
                              <a:ext cx="0" cy="302895"/>
                            </a:xfrm>
                            <a:prstGeom prst="line">
                              <a:avLst/>
                            </a:prstGeom>
                            <a:noFill/>
                            <a:ln w="9525" cap="flat" cmpd="sng" algn="ctr">
                              <a:solidFill>
                                <a:sysClr val="windowText" lastClr="000000">
                                  <a:shade val="95000"/>
                                  <a:satMod val="105000"/>
                                </a:sysClr>
                              </a:solidFill>
                              <a:prstDash val="solid"/>
                            </a:ln>
                            <a:effectLst/>
                          </wps:spPr>
                          <wps:bodyPr/>
                        </wps:wsp>
                        <wps:wsp>
                          <wps:cNvPr id="111" name="Přímá spojnice 7"/>
                          <wps:cNvCnPr/>
                          <wps:spPr>
                            <a:xfrm>
                              <a:off x="4040372" y="85060"/>
                              <a:ext cx="0" cy="302895"/>
                            </a:xfrm>
                            <a:prstGeom prst="line">
                              <a:avLst/>
                            </a:prstGeom>
                            <a:noFill/>
                            <a:ln w="9525" cap="flat" cmpd="sng" algn="ctr">
                              <a:solidFill>
                                <a:sysClr val="windowText" lastClr="000000">
                                  <a:shade val="95000"/>
                                  <a:satMod val="105000"/>
                                </a:sysClr>
                              </a:solidFill>
                              <a:prstDash val="solid"/>
                            </a:ln>
                            <a:effectLst/>
                          </wps:spPr>
                          <wps:bodyPr/>
                        </wps:wsp>
                        <wps:wsp>
                          <wps:cNvPr id="112" name="Textové pole 9"/>
                          <wps:cNvSpPr txBox="1"/>
                          <wps:spPr>
                            <a:xfrm>
                              <a:off x="53163" y="0"/>
                              <a:ext cx="581660" cy="251460"/>
                            </a:xfrm>
                            <a:prstGeom prst="rect">
                              <a:avLst/>
                            </a:prstGeom>
                            <a:noFill/>
                            <a:ln w="6350">
                              <a:noFill/>
                            </a:ln>
                            <a:effectLst/>
                          </wps:spPr>
                          <wps:txbx>
                            <w:txbxContent>
                              <w:p w:rsidR="00206FAD" w:rsidRDefault="00206FAD" w:rsidP="00AD7092">
                                <w:pPr>
                                  <w:jc w:val="center"/>
                                </w:pPr>
                                <w:r>
                                  <w:t>2010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Textové pole 10"/>
                          <wps:cNvSpPr txBox="1"/>
                          <wps:spPr>
                            <a:xfrm>
                              <a:off x="733646" y="0"/>
                              <a:ext cx="582189" cy="251625"/>
                            </a:xfrm>
                            <a:prstGeom prst="rect">
                              <a:avLst/>
                            </a:prstGeom>
                            <a:noFill/>
                            <a:ln w="6350">
                              <a:noFill/>
                            </a:ln>
                            <a:effectLst/>
                          </wps:spPr>
                          <wps:txbx>
                            <w:txbxContent>
                              <w:p w:rsidR="00206FAD" w:rsidRDefault="00206FAD" w:rsidP="00AD7092">
                                <w:pPr>
                                  <w:jc w:val="center"/>
                                </w:pPr>
                                <w:r>
                                  <w:t>2011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 name="Textové pole 11"/>
                          <wps:cNvSpPr txBox="1"/>
                          <wps:spPr>
                            <a:xfrm>
                              <a:off x="1414130" y="0"/>
                              <a:ext cx="582189" cy="251625"/>
                            </a:xfrm>
                            <a:prstGeom prst="rect">
                              <a:avLst/>
                            </a:prstGeom>
                            <a:noFill/>
                            <a:ln w="6350">
                              <a:noFill/>
                            </a:ln>
                            <a:effectLst/>
                          </wps:spPr>
                          <wps:txbx>
                            <w:txbxContent>
                              <w:p w:rsidR="00206FAD" w:rsidRDefault="00206FAD" w:rsidP="00AD7092">
                                <w:pPr>
                                  <w:jc w:val="center"/>
                                </w:pPr>
                                <w:r>
                                  <w:t>2012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 name="Textové pole 12"/>
                          <wps:cNvSpPr txBox="1"/>
                          <wps:spPr>
                            <a:xfrm>
                              <a:off x="2094614" y="0"/>
                              <a:ext cx="582189" cy="251625"/>
                            </a:xfrm>
                            <a:prstGeom prst="rect">
                              <a:avLst/>
                            </a:prstGeom>
                            <a:noFill/>
                            <a:ln w="6350">
                              <a:noFill/>
                            </a:ln>
                            <a:effectLst/>
                          </wps:spPr>
                          <wps:txbx>
                            <w:txbxContent>
                              <w:p w:rsidR="00206FAD" w:rsidRDefault="00206FAD" w:rsidP="00AD7092">
                                <w:pPr>
                                  <w:jc w:val="center"/>
                                </w:pPr>
                                <w:r>
                                  <w:t>2013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 name="Textové pole 13"/>
                          <wps:cNvSpPr txBox="1"/>
                          <wps:spPr>
                            <a:xfrm>
                              <a:off x="2764465" y="0"/>
                              <a:ext cx="582189" cy="251625"/>
                            </a:xfrm>
                            <a:prstGeom prst="rect">
                              <a:avLst/>
                            </a:prstGeom>
                            <a:noFill/>
                            <a:ln w="6350">
                              <a:noFill/>
                            </a:ln>
                            <a:effectLst/>
                          </wps:spPr>
                          <wps:txbx>
                            <w:txbxContent>
                              <w:p w:rsidR="00206FAD" w:rsidRDefault="00206FAD" w:rsidP="00AD7092">
                                <w:pPr>
                                  <w:jc w:val="center"/>
                                </w:pPr>
                                <w:r>
                                  <w:t>2014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 name="Textové pole 14"/>
                          <wps:cNvSpPr txBox="1"/>
                          <wps:spPr>
                            <a:xfrm>
                              <a:off x="3423684" y="0"/>
                              <a:ext cx="582189" cy="251625"/>
                            </a:xfrm>
                            <a:prstGeom prst="rect">
                              <a:avLst/>
                            </a:prstGeom>
                            <a:noFill/>
                            <a:ln w="6350">
                              <a:noFill/>
                            </a:ln>
                            <a:effectLst/>
                          </wps:spPr>
                          <wps:txbx>
                            <w:txbxContent>
                              <w:p w:rsidR="00206FAD" w:rsidRDefault="00206FAD" w:rsidP="00AD7092">
                                <w:pPr>
                                  <w:jc w:val="center"/>
                                </w:pPr>
                                <w:r>
                                  <w:t>2014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 name="Přímá spojnice 15"/>
                          <wps:cNvCnPr/>
                          <wps:spPr>
                            <a:xfrm>
                              <a:off x="4710223" y="85060"/>
                              <a:ext cx="0" cy="302895"/>
                            </a:xfrm>
                            <a:prstGeom prst="line">
                              <a:avLst/>
                            </a:prstGeom>
                            <a:noFill/>
                            <a:ln w="9525" cap="flat" cmpd="sng" algn="ctr">
                              <a:solidFill>
                                <a:sysClr val="windowText" lastClr="000000">
                                  <a:shade val="95000"/>
                                  <a:satMod val="105000"/>
                                </a:sysClr>
                              </a:solidFill>
                              <a:prstDash val="solid"/>
                            </a:ln>
                            <a:effectLst/>
                          </wps:spPr>
                          <wps:bodyPr/>
                        </wps:wsp>
                        <wps:wsp>
                          <wps:cNvPr id="119" name="Textové pole 16"/>
                          <wps:cNvSpPr txBox="1"/>
                          <wps:spPr>
                            <a:xfrm>
                              <a:off x="4082902" y="0"/>
                              <a:ext cx="582189" cy="251625"/>
                            </a:xfrm>
                            <a:prstGeom prst="rect">
                              <a:avLst/>
                            </a:prstGeom>
                            <a:noFill/>
                            <a:ln w="6350">
                              <a:noFill/>
                            </a:ln>
                            <a:effectLst/>
                          </wps:spPr>
                          <wps:txbx>
                            <w:txbxContent>
                              <w:p w:rsidR="00206FAD" w:rsidRDefault="00206FAD" w:rsidP="00AD7092">
                                <w:pPr>
                                  <w:jc w:val="center"/>
                                </w:pPr>
                                <w:r>
                                  <w:t>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 name="Textové pole 17"/>
                          <wps:cNvSpPr txBox="1"/>
                          <wps:spPr>
                            <a:xfrm>
                              <a:off x="4742121" y="0"/>
                              <a:ext cx="582189" cy="251625"/>
                            </a:xfrm>
                            <a:prstGeom prst="rect">
                              <a:avLst/>
                            </a:prstGeom>
                            <a:noFill/>
                            <a:ln w="6350">
                              <a:noFill/>
                            </a:ln>
                            <a:effectLst/>
                          </wps:spPr>
                          <wps:txbx>
                            <w:txbxContent>
                              <w:p w:rsidR="00206FAD" w:rsidRDefault="00206FAD" w:rsidP="00AD7092">
                                <w:pPr>
                                  <w:jc w:val="center"/>
                                </w:pPr>
                                <w:r>
                                  <w:t>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21" name="Obrázek 18"/>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348018" y="689212"/>
                            <a:ext cx="1303361" cy="1815153"/>
                          </a:xfrm>
                          <a:prstGeom prst="rect">
                            <a:avLst/>
                          </a:prstGeom>
                          <a:ln>
                            <a:noFill/>
                          </a:ln>
                        </pic:spPr>
                      </pic:pic>
                      <wps:wsp>
                        <wps:cNvPr id="122" name="Přímá spojnice se šipkou 22"/>
                        <wps:cNvCnPr/>
                        <wps:spPr>
                          <a:xfrm>
                            <a:off x="0" y="491320"/>
                            <a:ext cx="2030730" cy="0"/>
                          </a:xfrm>
                          <a:prstGeom prst="straightConnector1">
                            <a:avLst/>
                          </a:prstGeom>
                          <a:noFill/>
                          <a:ln w="76200" cap="sq" cmpd="sng" algn="ctr">
                            <a:solidFill>
                              <a:sysClr val="windowText" lastClr="000000"/>
                            </a:solidFill>
                            <a:prstDash val="solid"/>
                            <a:miter lim="800000"/>
                            <a:headEnd type="stealth"/>
                            <a:tailEnd type="stealth"/>
                          </a:ln>
                          <a:effectLst/>
                        </wps:spPr>
                        <wps:bodyPr/>
                      </wps:wsp>
                      <wpg:grpSp>
                        <wpg:cNvPr id="123" name="Skupina 8"/>
                        <wpg:cNvGrpSpPr/>
                        <wpg:grpSpPr>
                          <a:xfrm>
                            <a:off x="3098042" y="1821976"/>
                            <a:ext cx="989330" cy="647756"/>
                            <a:chOff x="0" y="0"/>
                            <a:chExt cx="989463" cy="1419367"/>
                          </a:xfrm>
                        </wpg:grpSpPr>
                        <pic:pic xmlns:pic="http://schemas.openxmlformats.org/drawingml/2006/picture">
                          <pic:nvPicPr>
                            <pic:cNvPr id="124" name="Obrázek 25"/>
                            <pic:cNvPicPr>
                              <a:picLocks noChangeAspect="1"/>
                            </pic:cNvPicPr>
                          </pic:nvPicPr>
                          <pic:blipFill rotWithShape="1">
                            <a:blip r:embed="rId50" cstate="print">
                              <a:extLst>
                                <a:ext uri="{28A0092B-C50C-407E-A947-70E740481C1C}">
                                  <a14:useLocalDpi xmlns:a14="http://schemas.microsoft.com/office/drawing/2010/main" val="0"/>
                                </a:ext>
                              </a:extLst>
                            </a:blip>
                            <a:srcRect l="27814" t="4878" r="29964" b="8729"/>
                            <a:stretch/>
                          </pic:blipFill>
                          <pic:spPr bwMode="auto">
                            <a:xfrm>
                              <a:off x="313899" y="0"/>
                              <a:ext cx="368489" cy="141936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5" name="Obrázek 24"/>
                            <pic:cNvPicPr>
                              <a:picLocks noChangeAspect="1"/>
                            </pic:cNvPicPr>
                          </pic:nvPicPr>
                          <pic:blipFill rotWithShape="1">
                            <a:blip r:embed="rId50" cstate="print">
                              <a:extLst>
                                <a:ext uri="{28A0092B-C50C-407E-A947-70E740481C1C}">
                                  <a14:useLocalDpi xmlns:a14="http://schemas.microsoft.com/office/drawing/2010/main" val="0"/>
                                </a:ext>
                              </a:extLst>
                            </a:blip>
                            <a:srcRect l="27814" t="4878" r="29964" b="8729"/>
                            <a:stretch/>
                          </pic:blipFill>
                          <pic:spPr bwMode="auto">
                            <a:xfrm>
                              <a:off x="0" y="0"/>
                              <a:ext cx="368490" cy="141936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6" name="Obrázek 26"/>
                            <pic:cNvPicPr>
                              <a:picLocks noChangeAspect="1"/>
                            </pic:cNvPicPr>
                          </pic:nvPicPr>
                          <pic:blipFill rotWithShape="1">
                            <a:blip r:embed="rId50" cstate="print">
                              <a:extLst>
                                <a:ext uri="{28A0092B-C50C-407E-A947-70E740481C1C}">
                                  <a14:useLocalDpi xmlns:a14="http://schemas.microsoft.com/office/drawing/2010/main" val="0"/>
                                </a:ext>
                              </a:extLst>
                            </a:blip>
                            <a:srcRect l="27814" t="4878" r="29964" b="8729"/>
                            <a:stretch/>
                          </pic:blipFill>
                          <pic:spPr bwMode="auto">
                            <a:xfrm>
                              <a:off x="620973" y="0"/>
                              <a:ext cx="368490" cy="1419367"/>
                            </a:xfrm>
                            <a:prstGeom prst="rect">
                              <a:avLst/>
                            </a:prstGeom>
                            <a:ln>
                              <a:noFill/>
                            </a:ln>
                            <a:extLst>
                              <a:ext uri="{53640926-AAD7-44D8-BBD7-CCE9431645EC}">
                                <a14:shadowObscured xmlns:a14="http://schemas.microsoft.com/office/drawing/2010/main"/>
                              </a:ext>
                            </a:extLst>
                          </pic:spPr>
                        </pic:pic>
                      </wpg:grpSp>
                      <wps:wsp>
                        <wps:cNvPr id="127" name="Přímá spojnice se šipkou 23"/>
                        <wps:cNvCnPr/>
                        <wps:spPr>
                          <a:xfrm>
                            <a:off x="2006221" y="491320"/>
                            <a:ext cx="3361881" cy="0"/>
                          </a:xfrm>
                          <a:prstGeom prst="straightConnector1">
                            <a:avLst/>
                          </a:prstGeom>
                          <a:noFill/>
                          <a:ln w="76200" cap="sq" cmpd="sng" algn="ctr">
                            <a:solidFill>
                              <a:sysClr val="windowText" lastClr="000000"/>
                            </a:solidFill>
                            <a:prstDash val="solid"/>
                            <a:miter lim="800000"/>
                            <a:headEnd type="stealth"/>
                            <a:tailEnd type="stealth"/>
                          </a:ln>
                          <a:effectLst/>
                        </wps:spPr>
                        <wps:bodyPr/>
                      </wps:wsp>
                    </wpg:wgp>
                  </a:graphicData>
                </a:graphic>
                <wp14:sizeRelH relativeFrom="page">
                  <wp14:pctWidth>0</wp14:pctWidth>
                </wp14:sizeRelH>
                <wp14:sizeRelV relativeFrom="page">
                  <wp14:pctHeight>0</wp14:pctHeight>
                </wp14:sizeRelV>
              </wp:anchor>
            </w:drawing>
          </mc:Choice>
          <mc:Fallback>
            <w:pict>
              <v:group id="Skupina 102" o:spid="_x0000_s1026" style="position:absolute;left:0;text-align:left;margin-left:2pt;margin-top:7.25pt;width:422.85pt;height:197.2pt;z-index:251684864" coordsize="53701,25043" o:gfxdata="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">
                <v:shape id="Obrázek 19" o:spid="_x0000_s1027" type="#_x0000_t75" style="position:absolute;left:30434;top:750;width:13034;height:18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4oBfCAAAA3AAAAA8AAABkcnMvZG93bnJldi54bWxET01LAzEQvQv9D2EKXsQmVVzs2rQUQZAF&#10;D1YPPQ6bcbO6mSzJtF3/vREEb/N4n7PeTmFQJ0q5j2xhuTCgiNvoeu4svL89Xd+DyoLscIhMFr4p&#10;w3Yzu1hj7eKZX+m0l06VEM41WvAiY611bj0FzIs4EhfuI6aAUmDqtEt4LuFh0DfGVDpgz6XB40iP&#10;ntqv/TFYSM1org530mj5PPpcHVZVs3qx9nI+7R5ACU3yL/5zP7sy39zC7zPlAr3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OKAXwgAAANwAAAAPAAAAAAAAAAAAAAAAAJ8C&#10;AABkcnMvZG93bnJldi54bWxQSwUGAAAAAAQABAD3AAAAjgMAAAAA&#10;">
                  <v:imagedata r:id="rId51" o:title=""/>
                  <v:path arrowok="t"/>
                </v:shape>
                <v:group id="Skupina 21" o:spid="_x0000_s1028" style="position:absolute;width:53701;height:3879" coordsize="53701,38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line id="Přímá spojnice 1" o:spid="_x0000_s1029" style="position:absolute;visibility:visible;mso-wrap-style:square" from="0,2339" to="53701,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6jRsQAAADcAAAADwAAAGRycy9kb3ducmV2LnhtbERPS2vCQBC+F/oflhF6qxtbG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jqNGxAAAANwAAAAPAAAAAAAAAAAA&#10;AAAAAKECAABkcnMvZG93bnJldi54bWxQSwUGAAAAAAQABAD5AAAAkgMAAAAA&#10;"/>
                  <v:line id="Přímá spojnice 2" o:spid="_x0000_s1030" style="position:absolute;visibility:visible;mso-wrap-style:square" from="6804,850" to="6804,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line id="Přímá spojnice 3" o:spid="_x0000_s1031" style="position:absolute;visibility:visible;mso-wrap-style:square" from="13716,850" to="13716,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CYqsQAAADcAAAADwAAAGRycy9kb3ducmV2LnhtbERPS2vCQBC+F/oflhF6qxtbSCW6irQU&#10;1EOpD9DjmB2T2Oxs2F2T9N+7QqG3+fieM533phYtOV9ZVjAaJiCIc6srLhTsd5/PYxA+IGusLZOC&#10;X/Iwnz0+TDHTtuMNtdtQiBjCPkMFZQhNJqXPSzLoh7YhjtzZOoMhQldI7bCL4aaWL0mSSoMVx4YS&#10;G3ovKf/ZXo2Cr9fvtF2s1sv+sEpP+cfmdLx0TqmnQb+YgAjUh3/xn3up4/zkDe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JiqxAAAANwAAAAPAAAAAAAAAAAA&#10;AAAAAKECAABkcnMvZG93bnJldi54bWxQSwUGAAAAAAQABAD5AAAAkgMAAAAA&#10;"/>
                  <v:line id="Přímá spojnice 4" o:spid="_x0000_s1032" style="position:absolute;visibility:visible;mso-wrap-style:square" from="20308,850" to="20308,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8M2McAAADcAAAADwAAAGRycy9kb3ducmV2LnhtbESPQUvDQBCF74L/YRmhN7vRQiix21IU&#10;oe2h2CrocZodk2h2Nuxuk/TfO4eCtxnem/e+WaxG16qeQmw8G3iYZqCIS28brgx8vL/ez0HFhGyx&#10;9UwGLhRhtby9WWBh/cAH6o+pUhLCsUADdUpdoXUsa3IYp74jFu3bB4dJ1lBpG3CQcNfqxyzLtcOG&#10;paHGjp5rKn+PZ2dgP3vL+/V2txk/t/mpfDmcvn6GYMzkblw/gUo0pn/z9XpjBT8T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jwzYxwAAANwAAAAPAAAAAAAA&#10;AAAAAAAAAKECAABkcnMvZG93bnJldi54bWxQSwUGAAAAAAQABAD5AAAAlQMAAAAA&#10;"/>
                  <v:line id="Přímá spojnice 5" o:spid="_x0000_s1033" style="position:absolute;visibility:visible;mso-wrap-style:square" from="27219,850" to="27219,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OpQ8QAAADcAAAADwAAAGRycy9kb3ducmV2LnhtbERPS2vCQBC+F/oflhF6qxtbCDW6irQU&#10;1EOpD9DjmB2T2Oxs2F2T9N+7QqG3+fieM533phYtOV9ZVjAaJiCIc6srLhTsd5/PbyB8QNZYWyYF&#10;v+RhPnt8mGKmbccbarehEDGEfYYKyhCaTEqfl2TQD21DHLmzdQZDhK6Q2mEXw00tX5IklQYrjg0l&#10;NvReUv6zvRoFX6/fabtYrZf9YZWe8o/N6XjpnFJPg34xARGoD//iP/dSx/nJG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w6lDxAAAANwAAAAPAAAAAAAAAAAA&#10;AAAAAKECAABkcnMvZG93bnJldi54bWxQSwUGAAAAAAQABAD5AAAAkgMAAAAA&#10;"/>
                  <v:line id="Přímá spojnice 6" o:spid="_x0000_s1034" style="position:absolute;visibility:visible;mso-wrap-style:square" from="33811,850" to="33811,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WA8cAAADcAAAADwAAAGRycy9kb3ducmV2LnhtbESPQUvDQBCF70L/wzIFb3ZThSCx21Ja&#10;hNaD2CrY4zQ7TaLZ2bC7JvHfOwehtxnem/e+WaxG16qeQmw8G5jPMlDEpbcNVwY+3p/vHkHFhGyx&#10;9UwGfinCajm5WWBh/cAH6o+pUhLCsUADdUpdoXUsa3IYZ74jFu3ig8Mka6i0DThIuGv1fZbl2mHD&#10;0lBjR5uayu/jjzPw+vCW9+v9y2783Ofncns4n76GYMztdFw/gUo0pqv5/3pnBX8u+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IJYDxwAAANwAAAAPAAAAAAAA&#10;AAAAAAAAAKECAABkcnMvZG93bnJldi54bWxQSwUGAAAAAAQABAD5AAAAlQMAAAAA&#10;"/>
                  <v:line id="Přímá spojnice 7" o:spid="_x0000_s1035" style="position:absolute;visibility:visible;mso-wrap-style:square" from="40403,850" to="40403,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zmMQAAADcAAAADwAAAGRycy9kb3ducmV2LnhtbERPTWvCQBC9F/oflin0VjdRCCV1FVEE&#10;9SBqC+1xzE6T1Oxs2N0m8d+7QqG3ebzPmc4H04iOnK8tK0hHCQjiwuqaSwUf7+uXVxA+IGtsLJOC&#10;K3mYzx4fpphr2/ORulMoRQxhn6OCKoQ2l9IXFRn0I9sSR+7bOoMhQldK7bCP4aaR4yTJpMGaY0OF&#10;LS0rKi6nX6NgPzlk3WK72wyf2+xcrI7nr5/eKfX8NCzeQAQawr/4z73RcX6awv2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bDOYxAAAANwAAAAPAAAAAAAAAAAA&#10;AAAAAKECAABkcnMvZG93bnJldi54bWxQSwUGAAAAAAQABAD5AAAAkgMAAAAA&#10;"/>
                  <v:shapetype id="_x0000_t202" coordsize="21600,21600" o:spt="202" path="m,l,21600r21600,l21600,xe">
                    <v:stroke joinstyle="miter"/>
                    <v:path gradientshapeok="t" o:connecttype="rect"/>
                  </v:shapetype>
                  <v:shape id="Textové pole 9" o:spid="_x0000_s1036" type="#_x0000_t202" style="position:absolute;left:531;width:5817;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OnMsQA&#10;AADcAAAADwAAAGRycy9kb3ducmV2LnhtbERPTWvCQBC9F/wPywi9NRsDLSFmFQlIi7SHqBdvY3ZM&#10;gtnZmF017a/vFgre5vE+J1+OphM3GlxrWcEsikEQV1a3XCvY79YvKQjnkTV2lknBNzlYLiZPOWba&#10;3rmk29bXIoSwy1BB432fSemqhgy6yPbEgTvZwaAPcKilHvAewk0nkzh+kwZbDg0N9lQ0VJ23V6Ng&#10;U6y/sDwmJv3pivfP06q/7A+vSj1Px9UchKfRP8T/7g8d5s8S+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pzLEAAAA3AAAAA8AAAAAAAAAAAAAAAAAmAIAAGRycy9k&#10;b3ducmV2LnhtbFBLBQYAAAAABAAEAPUAAACJAwAAAAA=&#10;" filled="f" stroked="f" strokeweight=".5pt">
                    <v:textbox>
                      <w:txbxContent>
                        <w:p w:rsidR="00206FAD" w:rsidRDefault="00206FAD" w:rsidP="00AD7092">
                          <w:pPr>
                            <w:jc w:val="center"/>
                          </w:pPr>
                          <w:r>
                            <w:t>2010</w:t>
                          </w:r>
                        </w:p>
                      </w:txbxContent>
                    </v:textbox>
                  </v:shape>
                  <v:shape id="Textové pole 10" o:spid="_x0000_s1037" type="#_x0000_t202" style="position:absolute;left:7336;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CqcQA&#10;AADcAAAADwAAAGRycy9kb3ducmV2LnhtbERPS2vCQBC+F/wPywje6iZKi6SuEgJSkfbg4+JtzI5J&#10;aHY2za5J7K/vFgre5uN7znI9mFp01LrKsoJ4GoEgzq2uuFBwOm6eFyCcR9ZYWyYFd3KwXo2elpho&#10;2/OeuoMvRAhhl6CC0vsmkdLlJRl0U9sQB+5qW4M+wLaQusU+hJtazqLoVRqsODSU2FBWUv51uBkF&#10;u2zzifvLzCx+6uz945o236fzi1KT8ZC+gfA0+If4373VYX48h7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fAqnEAAAA3AAAAA8AAAAAAAAAAAAAAAAAmAIAAGRycy9k&#10;b3ducmV2LnhtbFBLBQYAAAAABAAEAPUAAACJAwAAAAA=&#10;" filled="f" stroked="f" strokeweight=".5pt">
                    <v:textbox>
                      <w:txbxContent>
                        <w:p w:rsidR="00206FAD" w:rsidRDefault="00206FAD" w:rsidP="00AD7092">
                          <w:pPr>
                            <w:jc w:val="center"/>
                          </w:pPr>
                          <w:r>
                            <w:t>2011</w:t>
                          </w:r>
                        </w:p>
                      </w:txbxContent>
                    </v:textbox>
                  </v:shape>
                  <v:shape id="Textové pole 11" o:spid="_x0000_s1038" type="#_x0000_t202" style="position:absolute;left:14141;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aa3cQA&#10;AADcAAAADwAAAGRycy9kb3ducmV2LnhtbERPS2vCQBC+F/wPywje6iZii6SuEgJSkfbg4+JtzI5J&#10;aHY2za5J7K/vFgre5uN7znI9mFp01LrKsoJ4GoEgzq2uuFBwOm6eFyCcR9ZYWyYFd3KwXo2elpho&#10;2/OeuoMvRAhhl6CC0vsmkdLlJRl0U9sQB+5qW4M+wLaQusU+hJtazqLoVRqsODSU2FBWUv51uBkF&#10;u2zzifvLzCx+6uz945o236fzi1KT8ZC+gfA0+If4373VYX48h7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2mt3EAAAA3AAAAA8AAAAAAAAAAAAAAAAAmAIAAGRycy9k&#10;b3ducmV2LnhtbFBLBQYAAAAABAAEAPUAAACJAwAAAAA=&#10;" filled="f" stroked="f" strokeweight=".5pt">
                    <v:textbox>
                      <w:txbxContent>
                        <w:p w:rsidR="00206FAD" w:rsidRDefault="00206FAD" w:rsidP="00AD7092">
                          <w:pPr>
                            <w:jc w:val="center"/>
                          </w:pPr>
                          <w:r>
                            <w:t>2012</w:t>
                          </w:r>
                        </w:p>
                      </w:txbxContent>
                    </v:textbox>
                  </v:shape>
                  <v:shape id="Textové pole 12" o:spid="_x0000_s1039" type="#_x0000_t202" style="position:absolute;left:20946;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sMA&#10;AADcAAAADwAAAGRycy9kb3ducmV2LnhtbERPS4vCMBC+L/gfwgje1lTBRappkYK4yHrwcfE2NmNb&#10;bCa1yWrXX78RBG/z8T1nnnamFjdqXWVZwWgYgSDOra64UHDYLz+nIJxH1lhbJgV/5CBNeh9zjLW9&#10;85ZuO1+IEMIuRgWl900spctLMuiGtiEO3Nm2Bn2AbSF1i/cQbmo5jqIvabDi0FBiQ1lJ+WX3axSs&#10;s+UGt6exmT7qbPVzXjTXw3Gi1KDfLWYgPHX+LX65v3WYP5rA85lwgU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RsMAAADcAAAADwAAAAAAAAAAAAAAAACYAgAAZHJzL2Rv&#10;d25yZXYueG1sUEsFBgAAAAAEAAQA9QAAAIgDAAAAAA==&#10;" filled="f" stroked="f" strokeweight=".5pt">
                    <v:textbox>
                      <w:txbxContent>
                        <w:p w:rsidR="00206FAD" w:rsidRDefault="00206FAD" w:rsidP="00AD7092">
                          <w:pPr>
                            <w:jc w:val="center"/>
                          </w:pPr>
                          <w:r>
                            <w:t>2013</w:t>
                          </w:r>
                        </w:p>
                      </w:txbxContent>
                    </v:textbox>
                  </v:shape>
                  <v:shape id="Textové pole 13" o:spid="_x0000_s1040" type="#_x0000_t202" style="position:absolute;left:27644;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hMcIA&#10;AADcAAAADwAAAGRycy9kb3ducmV2LnhtbERPy6rCMBDdC/cfwlxwp6mCItUoUhBFdOFj425uM7bl&#10;NpPaRK1+vREEd3M4z5nMGlOKG9WusKyg141AEKdWF5wpOB4WnREI55E1lpZJwYMczKY/rQnG2t55&#10;R7e9z0QIYRejgtz7KpbSpTkZdF1bEQfubGuDPsA6k7rGewg3pexH0VAaLDg05FhRklP6v78aBetk&#10;scXdX9+MnmWy3Jzn1eV4GijV/m3mYxCeGv8Vf9wrHeb3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6KExwgAAANwAAAAPAAAAAAAAAAAAAAAAAJgCAABkcnMvZG93&#10;bnJldi54bWxQSwUGAAAAAAQABAD1AAAAhwMAAAAA&#10;" filled="f" stroked="f" strokeweight=".5pt">
                    <v:textbox>
                      <w:txbxContent>
                        <w:p w:rsidR="00206FAD" w:rsidRDefault="00206FAD" w:rsidP="00AD7092">
                          <w:pPr>
                            <w:jc w:val="center"/>
                          </w:pPr>
                          <w:r>
                            <w:t>2014</w:t>
                          </w:r>
                        </w:p>
                      </w:txbxContent>
                    </v:textbox>
                  </v:shape>
                  <v:shape id="Textové pole 14" o:spid="_x0000_s1041" type="#_x0000_t202" style="position:absolute;left:34236;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QEqsQA&#10;AADcAAAADwAAAGRycy9kb3ducmV2LnhtbERPS2vCQBC+F/wPywje6iaCraSuEgJSkfbg4+JtzI5J&#10;aHY2za5J7K/vFgre5uN7znI9mFp01LrKsoJ4GoEgzq2uuFBwOm6eFyCcR9ZYWyYFd3KwXo2elpho&#10;2/OeuoMvRAhhl6CC0vsmkdLlJRl0U9sQB+5qW4M+wLaQusU+hJtazqLoRRqsODSU2FBWUv51uBkF&#10;u2zzifvLzCx+6uz945o236fzXKnJeEjfQHga/EP8797qMD9+hb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BKrEAAAA3AAAAA8AAAAAAAAAAAAAAAAAmAIAAGRycy9k&#10;b3ducmV2LnhtbFBLBQYAAAAABAAEAPUAAACJAwAAAAA=&#10;" filled="f" stroked="f" strokeweight=".5pt">
                    <v:textbox>
                      <w:txbxContent>
                        <w:p w:rsidR="00206FAD" w:rsidRDefault="00206FAD" w:rsidP="00AD7092">
                          <w:pPr>
                            <w:jc w:val="center"/>
                          </w:pPr>
                          <w:r>
                            <w:t>2014</w:t>
                          </w:r>
                        </w:p>
                      </w:txbxContent>
                    </v:textbox>
                  </v:shape>
                  <v:line id="Přímá spojnice 15" o:spid="_x0000_s1042" style="position:absolute;visibility:visible;mso-wrap-style:square" from="47102,850" to="47102,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aaBccAAADcAAAADwAAAGRycy9kb3ducmV2LnhtbESPQUvDQBCF70L/wzIFb3ZThSCx21Ja&#10;hNaD2CrY4zQ7TaLZ2bC7JvHfOwehtxnem/e+WaxG16qeQmw8G5jPMlDEpbcNVwY+3p/vHkHFhGyx&#10;9UwGfinCajm5WWBh/cAH6o+pUhLCsUADdUpdoXUsa3IYZ74jFu3ig8Mka6i0DThIuGv1fZbl2mHD&#10;0lBjR5uayu/jjzPw+vCW9+v9y2783Ofncns4n76GYMztdFw/gUo0pqv5/3pnBX8u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VpoFxwAAANwAAAAPAAAAAAAA&#10;AAAAAAAAAKECAABkcnMvZG93bnJldi54bWxQSwUGAAAAAAQABAD5AAAAlQMAAAAA&#10;"/>
                  <v:shape id="Textové pole 16" o:spid="_x0000_s1043" type="#_x0000_t202" style="position:absolute;left:40829;width:5821;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1Q8MA&#10;AADcAAAADwAAAGRycy9kb3ducmV2LnhtbERPTYvCMBC9C/6HMMLeNFXYRbtGkYK4LHpQe/E224xt&#10;sZnUJmrdX28Ewds83udM562pxJUaV1pWMBxEIIgzq0vOFaT7ZX8MwnlkjZVlUnAnB/NZtzPFWNsb&#10;b+m687kIIexiVFB4X8dSuqwgg25ga+LAHW1j0AfY5FI3eAvhppKjKPqSBksODQXWlBSUnXYXo+A3&#10;WW5w+zcy4/8qWa2Pi/qcHj6V+ui1i28Qnlr/Fr/cPzrMH07g+Uy4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c1Q8MAAADcAAAADwAAAAAAAAAAAAAAAACYAgAAZHJzL2Rv&#10;d25yZXYueG1sUEsFBgAAAAAEAAQA9QAAAIgDAAAAAA==&#10;" filled="f" stroked="f" strokeweight=".5pt">
                    <v:textbox>
                      <w:txbxContent>
                        <w:p w:rsidR="00206FAD" w:rsidRDefault="00206FAD" w:rsidP="00AD7092">
                          <w:pPr>
                            <w:jc w:val="center"/>
                          </w:pPr>
                          <w:r>
                            <w:t>2015</w:t>
                          </w:r>
                        </w:p>
                      </w:txbxContent>
                    </v:textbox>
                  </v:shape>
                  <v:shape id="Textové pole 17" o:spid="_x0000_s1044" type="#_x0000_t202" style="position:absolute;left:47421;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WY8YA&#10;AADcAAAADwAAAGRycy9kb3ducmV2LnhtbESPT2vCQBDF7wW/wzJCb3VjoEWiq0hAWqQ9+OfibcyO&#10;STA7G7Orpv30nYPgbYb35r3fzBa9a9SNulB7NjAeJaCIC29rLg3sd6u3CagQkS02nsnALwVYzAcv&#10;M8ysv/OGbttYKgnhkKGBKsY20zoUFTkMI98Si3byncMoa1dq2+Fdwl2j0yT50A5rloYKW8orKs7b&#10;qzOwzlc/uDmmbvLX5J/fp2V72R/ejXkd9sspqEh9fJof119W8FPBl2dkA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FWY8YAAADcAAAADwAAAAAAAAAAAAAAAACYAgAAZHJz&#10;L2Rvd25yZXYueG1sUEsFBgAAAAAEAAQA9QAAAIsDAAAAAA==&#10;" filled="f" stroked="f" strokeweight=".5pt">
                    <v:textbox>
                      <w:txbxContent>
                        <w:p w:rsidR="00206FAD" w:rsidRDefault="00206FAD" w:rsidP="00AD7092">
                          <w:pPr>
                            <w:jc w:val="center"/>
                          </w:pPr>
                          <w:r>
                            <w:t>2016</w:t>
                          </w:r>
                        </w:p>
                      </w:txbxContent>
                    </v:textbox>
                  </v:shape>
                </v:group>
                <v:shape id="Obrázek 18" o:spid="_x0000_s1045" type="#_x0000_t75" style="position:absolute;left:3480;top:6892;width:13033;height:18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Tx5vDAAAA3AAAAA8AAABkcnMvZG93bnJldi54bWxET01rAjEQvRf8D2EKvZSaVehSV6NIoVAW&#10;eqj24HHYTDdrN5MlGXX996ZQ6G0e73NWm9H36kwxdYENzKYFKOIm2I5bA1/7t6cXUEmQLfaBycCV&#10;EmzWk7sVVjZc+JPOO2lVDuFUoQEnMlRap8aRxzQNA3HmvkP0KBnGVtuIlxzuez0vilJ77Dg3OBzo&#10;1VHzszt5A7EeisfDs9RajieXysOirBcfxjzcj9slKKFR/sV/7neb589n8PtMvkCv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RPHm8MAAADcAAAADwAAAAAAAAAAAAAAAACf&#10;AgAAZHJzL2Rvd25yZXYueG1sUEsFBgAAAAAEAAQA9wAAAI8DAAAAAA==&#10;">
                  <v:imagedata r:id="rId51" o:title=""/>
                  <v:path arrowok="t"/>
                </v:shape>
                <v:shapetype id="_x0000_t32" coordsize="21600,21600" o:spt="32" o:oned="t" path="m,l21600,21600e" filled="f">
                  <v:path arrowok="t" fillok="f" o:connecttype="none"/>
                  <o:lock v:ext="edit" shapetype="t"/>
                </v:shapetype>
                <v:shape id="Přímá spojnice se šipkou 22" o:spid="_x0000_s1046" type="#_x0000_t32" style="position:absolute;top:4913;width:203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CcRsQAAADcAAAADwAAAGRycy9kb3ducmV2LnhtbERPS2vCQBC+C/0Pywi96cZAq6SuUiql&#10;oQri4+JtyE6zodnZkN3G1F/vCoK3+fieM1/2thYdtb5yrGAyTkAQF05XXCo4Hj5HMxA+IGusHZOC&#10;f/KwXDwN5phpd+YddftQihjCPkMFJoQmk9IXhiz6sWuII/fjWoshwraUusVzDLe1TJPkVVqsODYY&#10;bOjDUPG7/7MKNgczzU9b0+Vf/XEze/lendari1LPw/79DUSgPjzEd3eu4/w0hdsz8QK5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JxGxAAAANwAAAAPAAAAAAAAAAAA&#10;AAAAAKECAABkcnMvZG93bnJldi54bWxQSwUGAAAAAAQABAD5AAAAkgMAAAAA&#10;" strokecolor="windowText" strokeweight="6pt">
                  <v:stroke startarrow="classic" endarrow="classic" joinstyle="miter" endcap="square"/>
                </v:shape>
                <v:group id="Skupina 8" o:spid="_x0000_s1047" style="position:absolute;left:30980;top:18219;width:9893;height:6478" coordsize="9894,14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Obrázek 25" o:spid="_x0000_s1048" type="#_x0000_t75" style="position:absolute;left:3138;width:3685;height:14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aDyjDAAAA3AAAAA8AAABkcnMvZG93bnJldi54bWxET0trAjEQvhf8D2EK3mq2ixVdzYq1CJ4K&#10;XXvpbdhM99HNZE2irv31TUHwNh/fc1brwXTiTM43lhU8TxIQxKXVDVcKPg+7pzkIH5A1dpZJwZU8&#10;rPPRwwozbS/8QeciVCKGsM9QQR1Cn0npy5oM+ontiSP3bZ3BEKGrpHZ4ieGmk2mSzKTBhmNDjT1t&#10;ayp/ipNRcPx9l18vbdFubcA3t3g9HdMdKTV+HDZLEIGGcBff3Hsd56dT+H8mXiD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doPKMMAAADcAAAADwAAAAAAAAAAAAAAAACf&#10;AgAAZHJzL2Rvd25yZXYueG1sUEsFBgAAAAAEAAQA9wAAAI8DAAAAAA==&#10;">
                    <v:imagedata r:id="rId52" o:title="" croptop="3197f" cropbottom="5721f" cropleft="18228f" cropright="19637f"/>
                    <v:path arrowok="t"/>
                  </v:shape>
                  <v:shape id="Obrázek 24" o:spid="_x0000_s1049" type="#_x0000_t75" style="position:absolute;width:3684;height:14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WqrPCAAAA3AAAAA8AAABkcnMvZG93bnJldi54bWxET01rwkAQvRf8D8sIvenGgEWjm2AtQk+F&#10;Ri/ehuw0ic3Oxt1V0/76riD0No/3OetiMJ24kvOtZQWzaQKCuLK65VrBYb+bLED4gKyxs0wKfshD&#10;kY+e1phpe+NPupahFjGEfYYKmhD6TEpfNWTQT21PHLkv6wyGCF0ttcNbDDedTJPkRRpsOTY02NO2&#10;oeq7vBgF598PeZyfytPWBnxzy9fLOd2RUs/jYbMCEWgI/+KH+13H+ekc7s/EC2T+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lqqzwgAAANwAAAAPAAAAAAAAAAAAAAAAAJ8C&#10;AABkcnMvZG93bnJldi54bWxQSwUGAAAAAAQABAD3AAAAjgMAAAAA&#10;">
                    <v:imagedata r:id="rId52" o:title="" croptop="3197f" cropbottom="5721f" cropleft="18228f" cropright="19637f"/>
                    <v:path arrowok="t"/>
                  </v:shape>
                  <v:shape id="Obrázek 26" o:spid="_x0000_s1050" type="#_x0000_t75" style="position:absolute;left:6209;width:3685;height:14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ENMTCAAAA3AAAAA8AAABkcnMvZG93bnJldi54bWxET01rwkAQvRf6H5YpeKsbA0qNboK1CD0V&#10;jF68DdkxiWZn4+6qaX+9Wyj0No/3OctiMJ24kfOtZQWTcQKCuLK65VrBfrd5fQPhA7LGzjIp+CYP&#10;Rf78tMRM2ztv6VaGWsQQ9hkqaELoMyl91ZBBP7Y9ceSO1hkMEbpaaof3GG46mSbJTBpsOTY02NO6&#10;oepcXo2Cy8+XPExP5WltA364+fv1km5IqdHLsFqACDSEf/Gf+1PH+ekMfp+JF8j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RDTEwgAAANwAAAAPAAAAAAAAAAAAAAAAAJ8C&#10;AABkcnMvZG93bnJldi54bWxQSwUGAAAAAAQABAD3AAAAjgMAAAAA&#10;">
                    <v:imagedata r:id="rId52" o:title="" croptop="3197f" cropbottom="5721f" cropleft="18228f" cropright="19637f"/>
                    <v:path arrowok="t"/>
                  </v:shape>
                </v:group>
                <v:shape id="Přímá spojnice se šipkou 23" o:spid="_x0000_s1051" type="#_x0000_t32" style="position:absolute;left:20062;top:4913;width:336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c/3sQAAADcAAAADwAAAGRycy9kb3ducmV2LnhtbERPTWvCQBC9F/oflin0VjcKVUmziijS&#10;0ApS9ZLbkB2zwexsyG5j6q/vFgre5vE+J1sOthE9db52rGA8SkAQl07XXCk4HbcvcxA+IGtsHJOC&#10;H/KwXDw+ZJhqd+Uv6g+hEjGEfYoKTAhtKqUvDVn0I9cSR+7sOoshwq6SusNrDLeNnCTJVFqsOTYY&#10;bGltqLwcvq2C3dHM8mJv+vx9OO3mrx+b4nNzU+r5aVi9gQg0hLv4353rOH8yg79n4gV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1z/exAAAANwAAAAPAAAAAAAAAAAA&#10;AAAAAKECAABkcnMvZG93bnJldi54bWxQSwUGAAAAAAQABAD5AAAAkgMAAAAA&#10;" strokecolor="windowText" strokeweight="6pt">
                  <v:stroke startarrow="classic" endarrow="classic" joinstyle="miter" endcap="square"/>
                </v:shape>
              </v:group>
            </w:pict>
          </mc:Fallback>
        </mc:AlternateContent>
      </w: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highlight w:val="yellow"/>
          <w:lang w:eastAsia="cs-CZ"/>
        </w:rPr>
      </w:pPr>
    </w:p>
    <w:p w:rsidR="00AD7092" w:rsidRDefault="00AD7092" w:rsidP="00AD7092">
      <w:pPr>
        <w:autoSpaceDE w:val="0"/>
        <w:autoSpaceDN w:val="0"/>
        <w:adjustRightInd w:val="0"/>
        <w:spacing w:after="0" w:line="360" w:lineRule="auto"/>
        <w:jc w:val="both"/>
        <w:rPr>
          <w:rFonts w:ascii="Arial" w:hAnsi="Arial" w:cs="Arial"/>
          <w:bCs/>
          <w:highlight w:val="yellow"/>
          <w:lang w:eastAsia="cs-CZ"/>
        </w:rPr>
      </w:pPr>
    </w:p>
    <w:p w:rsidR="00AD7092" w:rsidRDefault="00AD7092" w:rsidP="00AD7092">
      <w:pPr>
        <w:autoSpaceDE w:val="0"/>
        <w:autoSpaceDN w:val="0"/>
        <w:adjustRightInd w:val="0"/>
        <w:spacing w:after="0" w:line="360" w:lineRule="auto"/>
        <w:jc w:val="both"/>
        <w:rPr>
          <w:rFonts w:ascii="Arial" w:hAnsi="Arial" w:cs="Arial"/>
          <w:bCs/>
          <w:highlight w:val="yellow"/>
          <w:lang w:eastAsia="cs-CZ"/>
        </w:rPr>
      </w:pPr>
    </w:p>
    <w:p w:rsidR="00AD7092" w:rsidRDefault="00AD7092" w:rsidP="00AD7092">
      <w:pPr>
        <w:autoSpaceDE w:val="0"/>
        <w:autoSpaceDN w:val="0"/>
        <w:adjustRightInd w:val="0"/>
        <w:spacing w:after="0" w:line="360" w:lineRule="auto"/>
        <w:jc w:val="both"/>
        <w:rPr>
          <w:rFonts w:ascii="Arial" w:hAnsi="Arial" w:cs="Arial"/>
          <w:bCs/>
          <w:highlight w:val="yellow"/>
          <w:lang w:eastAsia="cs-CZ"/>
        </w:rPr>
      </w:pPr>
    </w:p>
    <w:p w:rsidR="00AD7092" w:rsidRPr="00272E3F" w:rsidRDefault="00AD7092" w:rsidP="00AD7092">
      <w:pPr>
        <w:autoSpaceDE w:val="0"/>
        <w:autoSpaceDN w:val="0"/>
        <w:adjustRightInd w:val="0"/>
        <w:spacing w:after="0" w:line="360" w:lineRule="auto"/>
        <w:jc w:val="both"/>
        <w:rPr>
          <w:rFonts w:ascii="Arial" w:hAnsi="Arial" w:cs="Arial"/>
          <w:bCs/>
          <w:lang w:eastAsia="cs-CZ"/>
        </w:rPr>
      </w:pPr>
    </w:p>
    <w:p w:rsidR="00FC5CCD" w:rsidRDefault="00FC5CCD" w:rsidP="00FC5CCD">
      <w:pPr>
        <w:autoSpaceDE w:val="0"/>
        <w:autoSpaceDN w:val="0"/>
        <w:adjustRightInd w:val="0"/>
        <w:spacing w:after="0" w:line="360" w:lineRule="auto"/>
        <w:ind w:firstLine="708"/>
        <w:jc w:val="both"/>
        <w:rPr>
          <w:rFonts w:ascii="Arial" w:hAnsi="Arial" w:cs="Arial"/>
          <w:bCs/>
          <w:lang w:eastAsia="cs-CZ"/>
        </w:rPr>
      </w:pPr>
      <w:r>
        <w:rPr>
          <w:rFonts w:ascii="Arial" w:hAnsi="Arial" w:cs="Arial"/>
          <w:bCs/>
          <w:lang w:eastAsia="cs-CZ"/>
        </w:rPr>
        <w:t>Stabilizační prvek byl do systému hodnocení zasazen neorganicky, externím</w:t>
      </w:r>
      <w:r w:rsidRPr="00533EA2">
        <w:rPr>
          <w:rFonts w:ascii="Arial" w:hAnsi="Arial" w:cs="Arial"/>
          <w:bCs/>
          <w:lang w:eastAsia="cs-CZ"/>
        </w:rPr>
        <w:t xml:space="preserve"> </w:t>
      </w:r>
      <w:r>
        <w:rPr>
          <w:rFonts w:ascii="Arial" w:hAnsi="Arial" w:cs="Arial"/>
          <w:bCs/>
          <w:lang w:eastAsia="cs-CZ"/>
        </w:rPr>
        <w:t>zásahem. Klíčový údaj – procenta dané alokace dle českých specificky definovaných oborových skupin – zůstává nezměněn od roku 2010</w:t>
      </w:r>
      <w:r w:rsidRPr="008C522A">
        <w:rPr>
          <w:rFonts w:ascii="Arial" w:hAnsi="Arial" w:cs="Arial"/>
          <w:b/>
          <w:bCs/>
          <w:i/>
          <w:lang w:eastAsia="cs-CZ"/>
        </w:rPr>
        <w:t>,</w:t>
      </w:r>
      <w:r>
        <w:rPr>
          <w:rFonts w:ascii="Arial" w:hAnsi="Arial" w:cs="Arial"/>
          <w:bCs/>
          <w:lang w:eastAsia="cs-CZ"/>
        </w:rPr>
        <w:t xml:space="preserve"> resp. 2011, když byl poprvé a naposledy stanoven, resp. opraven z dat za roky 2008 a 2009. </w:t>
      </w:r>
    </w:p>
    <w:p w:rsidR="00FC5CCD" w:rsidRPr="0032500E" w:rsidRDefault="00FC5CCD" w:rsidP="00FC5CCD">
      <w:pPr>
        <w:spacing w:after="0" w:line="360" w:lineRule="auto"/>
        <w:ind w:firstLine="708"/>
        <w:jc w:val="both"/>
        <w:rPr>
          <w:rFonts w:ascii="Arial" w:hAnsi="Arial" w:cs="Arial"/>
          <w:b/>
          <w:lang w:eastAsia="cs-CZ"/>
        </w:rPr>
      </w:pPr>
      <w:r w:rsidRPr="0032500E">
        <w:rPr>
          <w:rFonts w:ascii="Arial" w:hAnsi="Arial" w:cs="Arial"/>
          <w:b/>
          <w:lang w:eastAsia="cs-CZ"/>
        </w:rPr>
        <w:t>Vazba hodnocení na financování</w:t>
      </w:r>
    </w:p>
    <w:p w:rsidR="00AD7092" w:rsidRDefault="00FC5CCD" w:rsidP="00FC5CCD">
      <w:pPr>
        <w:spacing w:after="0" w:line="360" w:lineRule="auto"/>
        <w:ind w:firstLine="708"/>
        <w:jc w:val="both"/>
        <w:rPr>
          <w:rFonts w:ascii="Arial" w:hAnsi="Arial" w:cs="Arial"/>
          <w:bCs/>
          <w:lang w:eastAsia="cs-CZ"/>
        </w:rPr>
      </w:pPr>
      <w:r>
        <w:rPr>
          <w:rFonts w:ascii="Arial" w:hAnsi="Arial" w:cs="Arial"/>
          <w:lang w:eastAsia="cs-CZ"/>
        </w:rPr>
        <w:t xml:space="preserve">I v Metodice 2013+ je zřejmá přímá vazba hodnocení na financování, i když již ne na úrovni SR na </w:t>
      </w:r>
      <w:proofErr w:type="spellStart"/>
      <w:r>
        <w:rPr>
          <w:rFonts w:ascii="Arial" w:hAnsi="Arial" w:cs="Arial"/>
          <w:lang w:eastAsia="cs-CZ"/>
        </w:rPr>
        <w:t>VaVaI</w:t>
      </w:r>
      <w:proofErr w:type="spellEnd"/>
      <w:r>
        <w:rPr>
          <w:rFonts w:ascii="Arial" w:hAnsi="Arial" w:cs="Arial"/>
          <w:lang w:eastAsia="cs-CZ"/>
        </w:rPr>
        <w:t xml:space="preserve"> – poskytovatelé, nýbrž o patro níž, tj. na úrovni poskytovatel – výzkumná organizace. Prostředky SR na </w:t>
      </w:r>
      <w:proofErr w:type="spellStart"/>
      <w:r>
        <w:rPr>
          <w:rFonts w:ascii="Arial" w:hAnsi="Arial" w:cs="Arial"/>
          <w:lang w:eastAsia="cs-CZ"/>
        </w:rPr>
        <w:t>VaVaI</w:t>
      </w:r>
      <w:proofErr w:type="spellEnd"/>
      <w:r>
        <w:rPr>
          <w:rFonts w:ascii="Arial" w:hAnsi="Arial" w:cs="Arial"/>
          <w:lang w:eastAsia="cs-CZ"/>
        </w:rPr>
        <w:t xml:space="preserve"> již nejsou </w:t>
      </w:r>
      <w:r w:rsidRPr="00217E02">
        <w:rPr>
          <w:rFonts w:ascii="Arial" w:hAnsi="Arial" w:cs="Arial"/>
        </w:rPr>
        <w:t xml:space="preserve">mechanicky </w:t>
      </w:r>
      <w:r>
        <w:rPr>
          <w:rFonts w:ascii="Arial" w:hAnsi="Arial" w:cs="Arial"/>
        </w:rPr>
        <w:t xml:space="preserve">převáděny </w:t>
      </w:r>
      <w:r w:rsidRPr="00217E02">
        <w:rPr>
          <w:rFonts w:ascii="Arial" w:hAnsi="Arial" w:cs="Arial"/>
        </w:rPr>
        <w:t>podle bodů na peníze</w:t>
      </w:r>
      <w:r>
        <w:rPr>
          <w:rFonts w:ascii="Arial" w:hAnsi="Arial" w:cs="Arial"/>
        </w:rPr>
        <w:t xml:space="preserve"> rozpočtových kapitol, body jsou však dále </w:t>
      </w:r>
      <w:r w:rsidRPr="00217E02">
        <w:rPr>
          <w:rFonts w:ascii="Arial" w:hAnsi="Arial" w:cs="Arial"/>
        </w:rPr>
        <w:t>na úrovni poskytovatelů</w:t>
      </w:r>
      <w:r>
        <w:rPr>
          <w:rFonts w:ascii="Arial" w:hAnsi="Arial" w:cs="Arial"/>
        </w:rPr>
        <w:t xml:space="preserve"> používány </w:t>
      </w:r>
      <w:r w:rsidRPr="00217E02">
        <w:rPr>
          <w:rFonts w:ascii="Arial" w:hAnsi="Arial" w:cs="Arial"/>
        </w:rPr>
        <w:t>k přerozdělení prostředků</w:t>
      </w:r>
      <w:r>
        <w:rPr>
          <w:rFonts w:ascii="Arial" w:hAnsi="Arial" w:cs="Arial"/>
        </w:rPr>
        <w:t xml:space="preserve"> na dlouhodobý koncepční rozvoj jednotlivým výzkumným organizacím (tj. v roce 2015 cca 9,5 </w:t>
      </w:r>
      <w:proofErr w:type="spellStart"/>
      <w:r>
        <w:rPr>
          <w:rFonts w:ascii="Arial" w:hAnsi="Arial" w:cs="Arial"/>
        </w:rPr>
        <w:t>mld</w:t>
      </w:r>
      <w:proofErr w:type="spellEnd"/>
      <w:r>
        <w:rPr>
          <w:rFonts w:ascii="Arial" w:hAnsi="Arial" w:cs="Arial"/>
        </w:rPr>
        <w:t xml:space="preserve"> Kč, tedy více než 35 % prostředků SR na </w:t>
      </w:r>
      <w:proofErr w:type="spellStart"/>
      <w:r>
        <w:rPr>
          <w:rFonts w:ascii="Arial" w:hAnsi="Arial" w:cs="Arial"/>
        </w:rPr>
        <w:t>VaVaI</w:t>
      </w:r>
      <w:proofErr w:type="spellEnd"/>
      <w:r>
        <w:rPr>
          <w:rFonts w:ascii="Arial" w:hAnsi="Arial" w:cs="Arial"/>
        </w:rPr>
        <w:t>, z toho cca 3,1 mld. Kč AV ČR)</w:t>
      </w:r>
      <w:r w:rsidRPr="00217E02">
        <w:rPr>
          <w:rFonts w:ascii="Arial" w:hAnsi="Arial" w:cs="Arial"/>
        </w:rPr>
        <w:t xml:space="preserve">, </w:t>
      </w:r>
      <w:r>
        <w:rPr>
          <w:rFonts w:ascii="Arial" w:hAnsi="Arial" w:cs="Arial"/>
        </w:rPr>
        <w:t>neboť dle zákona 130/2002 Sb. o podpoře výzkumu, experimentálního vývoje a inovací musí poskytovatel takto postupovat, pokud neprovádí vlastní</w:t>
      </w:r>
      <w:r w:rsidRPr="00217E02">
        <w:rPr>
          <w:rFonts w:ascii="Arial" w:hAnsi="Arial" w:cs="Arial"/>
        </w:rPr>
        <w:t xml:space="preserve"> </w:t>
      </w:r>
      <w:r w:rsidRPr="00BD63E0">
        <w:rPr>
          <w:rFonts w:ascii="Arial" w:hAnsi="Arial" w:cs="Arial"/>
        </w:rPr>
        <w:t>předem známé</w:t>
      </w:r>
      <w:r>
        <w:rPr>
          <w:rFonts w:ascii="Arial" w:hAnsi="Arial" w:cs="Arial"/>
        </w:rPr>
        <w:t>, podrobnější</w:t>
      </w:r>
      <w:r w:rsidRPr="00BD63E0">
        <w:rPr>
          <w:rFonts w:ascii="Arial" w:hAnsi="Arial" w:cs="Arial"/>
        </w:rPr>
        <w:t xml:space="preserve"> a ve svět</w:t>
      </w:r>
      <w:r>
        <w:rPr>
          <w:rFonts w:ascii="Arial" w:hAnsi="Arial" w:cs="Arial"/>
        </w:rPr>
        <w:t>ovém kontextu uznatelné hodnocení.</w:t>
      </w:r>
      <w:r>
        <w:rPr>
          <w:rFonts w:ascii="Arial" w:hAnsi="Arial" w:cs="Arial"/>
          <w:bCs/>
          <w:lang w:eastAsia="cs-CZ"/>
        </w:rPr>
        <w:t xml:space="preserve"> </w:t>
      </w:r>
      <w:r>
        <w:rPr>
          <w:rFonts w:ascii="Arial" w:hAnsi="Arial" w:cs="Arial"/>
        </w:rPr>
        <w:t>Takové hodnocení realizuje zatím pouze AV ČR. Analogicky bývá dále postupováno</w:t>
      </w:r>
      <w:r w:rsidRPr="00217E02">
        <w:rPr>
          <w:rFonts w:ascii="Arial" w:hAnsi="Arial" w:cs="Arial"/>
        </w:rPr>
        <w:t xml:space="preserve"> </w:t>
      </w:r>
      <w:r>
        <w:rPr>
          <w:rFonts w:ascii="Arial" w:hAnsi="Arial" w:cs="Arial"/>
        </w:rPr>
        <w:t xml:space="preserve">(ačkoli to není legislativně vymezeno) </w:t>
      </w:r>
      <w:r w:rsidRPr="00217E02">
        <w:rPr>
          <w:rFonts w:ascii="Arial" w:hAnsi="Arial" w:cs="Arial"/>
        </w:rPr>
        <w:t xml:space="preserve">uvnitř výzkumných organizací, např. v případě vysokých škol na úrovni fakult, kateder či dokonce </w:t>
      </w:r>
      <w:r>
        <w:rPr>
          <w:rFonts w:ascii="Arial" w:hAnsi="Arial" w:cs="Arial"/>
        </w:rPr>
        <w:t>jednotlivých výzkumníků</w:t>
      </w:r>
      <w:r w:rsidRPr="00217E02">
        <w:rPr>
          <w:rFonts w:ascii="Arial" w:hAnsi="Arial" w:cs="Arial"/>
        </w:rPr>
        <w:t xml:space="preserve">, </w:t>
      </w:r>
      <w:r>
        <w:rPr>
          <w:rFonts w:ascii="Arial" w:hAnsi="Arial" w:cs="Arial"/>
        </w:rPr>
        <w:t>nedostatky</w:t>
      </w:r>
      <w:r w:rsidRPr="00217E02">
        <w:rPr>
          <w:rFonts w:ascii="Arial" w:hAnsi="Arial" w:cs="Arial"/>
        </w:rPr>
        <w:t xml:space="preserve"> se tak přenášejí stále na nižší a nižší úroveň a jsou o to obtížněji systémově řešitelné.</w:t>
      </w:r>
      <w:r>
        <w:rPr>
          <w:rFonts w:ascii="Arial" w:hAnsi="Arial" w:cs="Arial"/>
        </w:rPr>
        <w:t xml:space="preserve"> </w:t>
      </w:r>
      <w:r w:rsidRPr="00506DA1">
        <w:rPr>
          <w:rFonts w:ascii="Arial" w:hAnsi="Arial" w:cs="Arial"/>
        </w:rPr>
        <w:t xml:space="preserve">Na řadě pracovišť se </w:t>
      </w:r>
      <w:r>
        <w:rPr>
          <w:rFonts w:ascii="Arial" w:hAnsi="Arial" w:cs="Arial"/>
        </w:rPr>
        <w:t>bodování výsledků podle Metodiky</w:t>
      </w:r>
      <w:r w:rsidRPr="00506DA1">
        <w:rPr>
          <w:rFonts w:ascii="Arial" w:hAnsi="Arial" w:cs="Arial"/>
        </w:rPr>
        <w:t xml:space="preserve"> </w:t>
      </w:r>
      <w:r>
        <w:rPr>
          <w:rFonts w:ascii="Arial" w:hAnsi="Arial" w:cs="Arial"/>
        </w:rPr>
        <w:t xml:space="preserve">stalo </w:t>
      </w:r>
      <w:r w:rsidRPr="00506DA1">
        <w:rPr>
          <w:rFonts w:ascii="Arial" w:hAnsi="Arial" w:cs="Arial"/>
        </w:rPr>
        <w:t>samostatným manažerským nástrojem</w:t>
      </w:r>
      <w:r>
        <w:rPr>
          <w:rFonts w:ascii="Arial" w:hAnsi="Arial" w:cs="Arial"/>
        </w:rPr>
        <w:t>.</w:t>
      </w:r>
      <w:r w:rsidRPr="00506DA1">
        <w:rPr>
          <w:rFonts w:ascii="Arial" w:hAnsi="Arial" w:cs="Arial"/>
        </w:rPr>
        <w:t xml:space="preserve"> </w:t>
      </w:r>
      <w:r>
        <w:rPr>
          <w:rFonts w:ascii="Arial" w:hAnsi="Arial" w:cs="Arial"/>
        </w:rPr>
        <w:t>P</w:t>
      </w:r>
      <w:r w:rsidRPr="00506DA1">
        <w:rPr>
          <w:rFonts w:ascii="Arial" w:hAnsi="Arial" w:cs="Arial"/>
        </w:rPr>
        <w:t xml:space="preserve">očet </w:t>
      </w:r>
      <w:r w:rsidRPr="00506DA1">
        <w:rPr>
          <w:rFonts w:ascii="Arial" w:hAnsi="Arial" w:cs="Arial"/>
        </w:rPr>
        <w:lastRenderedPageBreak/>
        <w:t xml:space="preserve">získaných nebo přislíbených bodů </w:t>
      </w:r>
      <w:r>
        <w:rPr>
          <w:rFonts w:ascii="Arial" w:hAnsi="Arial" w:cs="Arial"/>
        </w:rPr>
        <w:t>za výsledky v </w:t>
      </w:r>
      <w:proofErr w:type="gramStart"/>
      <w:r>
        <w:rPr>
          <w:rFonts w:ascii="Arial" w:hAnsi="Arial" w:cs="Arial"/>
        </w:rPr>
        <w:t>RIV</w:t>
      </w:r>
      <w:proofErr w:type="gramEnd"/>
      <w:r>
        <w:rPr>
          <w:rFonts w:ascii="Arial" w:hAnsi="Arial" w:cs="Arial"/>
        </w:rPr>
        <w:t xml:space="preserve"> </w:t>
      </w:r>
      <w:r w:rsidRPr="00506DA1">
        <w:rPr>
          <w:rFonts w:ascii="Arial" w:hAnsi="Arial" w:cs="Arial"/>
        </w:rPr>
        <w:t xml:space="preserve">je povýšen na objektivní ukazatel absolutní kvality, podle kterého může být vědecký pracovník přijímán do </w:t>
      </w:r>
      <w:r>
        <w:rPr>
          <w:rFonts w:ascii="Arial" w:hAnsi="Arial" w:cs="Arial"/>
        </w:rPr>
        <w:t>pracovního poměru</w:t>
      </w:r>
      <w:r w:rsidRPr="00506DA1">
        <w:rPr>
          <w:rFonts w:ascii="Arial" w:hAnsi="Arial" w:cs="Arial"/>
        </w:rPr>
        <w:t xml:space="preserve">, </w:t>
      </w:r>
      <w:r w:rsidRPr="00506DA1">
        <w:rPr>
          <w:rFonts w:ascii="Arial" w:hAnsi="Arial" w:cs="Arial"/>
          <w:bCs/>
          <w:lang w:eastAsia="cs-CZ"/>
        </w:rPr>
        <w:t>odměňován</w:t>
      </w:r>
      <w:r>
        <w:rPr>
          <w:rFonts w:ascii="Arial" w:hAnsi="Arial" w:cs="Arial"/>
          <w:bCs/>
          <w:lang w:eastAsia="cs-CZ"/>
        </w:rPr>
        <w:t>,</w:t>
      </w:r>
      <w:r w:rsidRPr="00506DA1">
        <w:rPr>
          <w:rFonts w:ascii="Arial" w:hAnsi="Arial" w:cs="Arial"/>
        </w:rPr>
        <w:t xml:space="preserve"> nebo který </w:t>
      </w:r>
      <w:r>
        <w:rPr>
          <w:rFonts w:ascii="Arial" w:hAnsi="Arial" w:cs="Arial"/>
        </w:rPr>
        <w:t xml:space="preserve">přerozděluje prostředky na specifický výzkum, </w:t>
      </w:r>
      <w:r w:rsidRPr="00506DA1">
        <w:rPr>
          <w:rFonts w:ascii="Arial" w:hAnsi="Arial" w:cs="Arial"/>
        </w:rPr>
        <w:t>uděluje studentům kredity a zaměstnancům interní granty.</w:t>
      </w:r>
      <w:r w:rsidRPr="00506DA1">
        <w:rPr>
          <w:rStyle w:val="Znakapoznpodarou"/>
          <w:rFonts w:ascii="Arial" w:hAnsi="Arial" w:cs="Arial"/>
          <w:bCs/>
          <w:lang w:eastAsia="cs-CZ"/>
        </w:rPr>
        <w:footnoteReference w:id="32"/>
      </w:r>
    </w:p>
    <w:p w:rsidR="00AD7092" w:rsidRDefault="00AD7092" w:rsidP="00AD7092">
      <w:pPr>
        <w:spacing w:after="120" w:line="360" w:lineRule="auto"/>
        <w:jc w:val="both"/>
        <w:rPr>
          <w:rFonts w:ascii="Arial" w:hAnsi="Arial" w:cs="Arial"/>
          <w:b/>
        </w:rPr>
      </w:pPr>
    </w:p>
    <w:p w:rsidR="00AD7092" w:rsidRPr="00863581" w:rsidRDefault="00AD7092" w:rsidP="00863581">
      <w:pPr>
        <w:pStyle w:val="NadpisurovemII"/>
      </w:pPr>
      <w:bookmarkStart w:id="24" w:name="_Toc464461107"/>
      <w:r>
        <w:t>7.</w:t>
      </w:r>
      <w:r w:rsidRPr="00AD7092">
        <w:t>3 Hodnocení ve vztahu k oborovému členění</w:t>
      </w:r>
      <w:bookmarkEnd w:id="24"/>
    </w:p>
    <w:p w:rsidR="00FC5CCD" w:rsidRDefault="00FC5CCD" w:rsidP="00FC5CCD">
      <w:pPr>
        <w:spacing w:after="0" w:line="360" w:lineRule="auto"/>
        <w:ind w:firstLine="708"/>
        <w:jc w:val="both"/>
        <w:rPr>
          <w:rFonts w:ascii="Arial" w:hAnsi="Arial" w:cs="Arial"/>
          <w:bCs/>
          <w:lang w:eastAsia="cs-CZ"/>
        </w:rPr>
      </w:pPr>
      <w:r>
        <w:rPr>
          <w:rFonts w:ascii="Arial" w:hAnsi="Arial" w:cs="Arial"/>
          <w:bCs/>
          <w:lang w:eastAsia="cs-CZ"/>
        </w:rPr>
        <w:t>V hodnocení je v ČR využíváno specifické oborové členění</w:t>
      </w:r>
      <w:r w:rsidRPr="00EE0259">
        <w:rPr>
          <w:rFonts w:ascii="Arial" w:hAnsi="Arial" w:cs="Arial"/>
          <w:bCs/>
          <w:lang w:eastAsia="cs-CZ"/>
        </w:rPr>
        <w:t xml:space="preserve"> </w:t>
      </w:r>
      <w:r w:rsidRPr="000A4429">
        <w:rPr>
          <w:rFonts w:ascii="Arial" w:hAnsi="Arial" w:cs="Arial"/>
          <w:bCs/>
          <w:lang w:eastAsia="cs-CZ"/>
        </w:rPr>
        <w:t>zavedené v souvislosti s evidencí výsledků</w:t>
      </w:r>
      <w:r>
        <w:rPr>
          <w:rFonts w:ascii="Arial" w:hAnsi="Arial" w:cs="Arial"/>
          <w:bCs/>
          <w:lang w:eastAsia="cs-CZ"/>
        </w:rPr>
        <w:t xml:space="preserve"> v IS </w:t>
      </w:r>
      <w:proofErr w:type="spellStart"/>
      <w:r>
        <w:rPr>
          <w:rFonts w:ascii="Arial" w:hAnsi="Arial" w:cs="Arial"/>
          <w:bCs/>
          <w:lang w:eastAsia="cs-CZ"/>
        </w:rPr>
        <w:t>VaVaI</w:t>
      </w:r>
      <w:proofErr w:type="spellEnd"/>
      <w:r>
        <w:rPr>
          <w:rFonts w:ascii="Arial" w:hAnsi="Arial" w:cs="Arial"/>
          <w:bCs/>
          <w:lang w:eastAsia="cs-CZ"/>
        </w:rPr>
        <w:t>, navíc pro účely hodnocení odlišně přeskupené. České oborové členění nekoresponduje se současně používanými mezinárodními standardy</w:t>
      </w:r>
      <w:r>
        <w:rPr>
          <w:rStyle w:val="Znakapoznpodarou"/>
          <w:rFonts w:ascii="Arial" w:hAnsi="Arial" w:cs="Arial"/>
          <w:bCs/>
          <w:lang w:eastAsia="cs-CZ"/>
        </w:rPr>
        <w:footnoteReference w:id="33"/>
      </w:r>
      <w:r>
        <w:rPr>
          <w:rFonts w:ascii="Arial" w:hAnsi="Arial" w:cs="Arial"/>
          <w:bCs/>
          <w:lang w:eastAsia="cs-CZ"/>
        </w:rPr>
        <w:t>, oficiální převodníky však dosud nebyly vytvořeny. Hlavní pozornost je soustředěna na přírodní vědy, jejichž podrobné oborové členění vede statisticky až k osamostatnění zvlášť sledovaných „</w:t>
      </w:r>
      <w:proofErr w:type="spellStart"/>
      <w:r>
        <w:rPr>
          <w:rFonts w:ascii="Arial" w:hAnsi="Arial" w:cs="Arial"/>
          <w:bCs/>
          <w:lang w:eastAsia="cs-CZ"/>
        </w:rPr>
        <w:t>superoborů</w:t>
      </w:r>
      <w:proofErr w:type="spellEnd"/>
      <w:r>
        <w:rPr>
          <w:rFonts w:ascii="Arial" w:hAnsi="Arial" w:cs="Arial"/>
          <w:bCs/>
          <w:lang w:eastAsia="cs-CZ"/>
        </w:rPr>
        <w:t>“ (fyzika, chemie, biologie atd.) ve snaze o jejich samostatné hodnocení, resp. financování. V  členění do oborových skupin ve světě je naopak patrný přesun pozornosti k oborům s potenciálně vyšším užitným, aplikačním resp. inovačním potenciálem (lékařství, zemědělské vědy a aktuálně nejobsáhlejší „</w:t>
      </w:r>
      <w:r w:rsidRPr="00BF542A">
        <w:rPr>
          <w:rFonts w:ascii="Arial" w:hAnsi="Arial" w:cs="Arial"/>
          <w:bCs/>
          <w:lang w:val="en-US" w:eastAsia="cs-CZ"/>
        </w:rPr>
        <w:t>Engineering</w:t>
      </w:r>
      <w:r>
        <w:rPr>
          <w:rFonts w:ascii="Arial" w:hAnsi="Arial" w:cs="Arial"/>
          <w:bCs/>
          <w:lang w:eastAsia="cs-CZ"/>
        </w:rPr>
        <w:t xml:space="preserve"> and Technology“ zahrnující 11 blíže specifikovaných oblastí).</w:t>
      </w:r>
      <w:r>
        <w:rPr>
          <w:rStyle w:val="Znakapoznpodarou"/>
          <w:rFonts w:ascii="Arial" w:hAnsi="Arial" w:cs="Arial"/>
          <w:bCs/>
          <w:lang w:eastAsia="cs-CZ"/>
        </w:rPr>
        <w:footnoteReference w:id="34"/>
      </w:r>
      <w:r>
        <w:rPr>
          <w:rFonts w:ascii="Arial" w:hAnsi="Arial" w:cs="Arial"/>
          <w:bCs/>
          <w:lang w:eastAsia="cs-CZ"/>
        </w:rPr>
        <w:t xml:space="preserve"> </w:t>
      </w:r>
      <w:proofErr w:type="spellStart"/>
      <w:r w:rsidRPr="00517029">
        <w:rPr>
          <w:rFonts w:ascii="Arial" w:hAnsi="Arial" w:cs="Arial"/>
          <w:bCs/>
          <w:lang w:eastAsia="cs-CZ"/>
        </w:rPr>
        <w:t>Frascati</w:t>
      </w:r>
      <w:proofErr w:type="spellEnd"/>
      <w:r w:rsidRPr="00517029">
        <w:rPr>
          <w:rFonts w:ascii="Arial" w:hAnsi="Arial" w:cs="Arial"/>
          <w:bCs/>
          <w:lang w:eastAsia="cs-CZ"/>
        </w:rPr>
        <w:t xml:space="preserve"> manuál </w:t>
      </w:r>
      <w:r>
        <w:rPr>
          <w:rFonts w:ascii="Arial" w:hAnsi="Arial" w:cs="Arial"/>
          <w:bCs/>
          <w:lang w:eastAsia="cs-CZ"/>
        </w:rPr>
        <w:t xml:space="preserve">skupinu oborů </w:t>
      </w:r>
      <w:r w:rsidRPr="00517029">
        <w:rPr>
          <w:rFonts w:ascii="Arial" w:hAnsi="Arial" w:cs="Arial"/>
          <w:bCs/>
          <w:lang w:eastAsia="cs-CZ"/>
        </w:rPr>
        <w:t xml:space="preserve">přírodní vědy </w:t>
      </w:r>
      <w:r>
        <w:rPr>
          <w:rFonts w:ascii="Arial" w:hAnsi="Arial" w:cs="Arial"/>
          <w:bCs/>
          <w:lang w:eastAsia="cs-CZ"/>
        </w:rPr>
        <w:t xml:space="preserve">rovněž </w:t>
      </w:r>
      <w:r w:rsidRPr="00517029">
        <w:rPr>
          <w:rFonts w:ascii="Arial" w:hAnsi="Arial" w:cs="Arial"/>
          <w:bCs/>
          <w:lang w:eastAsia="cs-CZ"/>
        </w:rPr>
        <w:t xml:space="preserve">dále člení, avšak až na druhé úrovni, a podobně člení také </w:t>
      </w:r>
      <w:r>
        <w:rPr>
          <w:rFonts w:ascii="Arial" w:hAnsi="Arial" w:cs="Arial"/>
          <w:bCs/>
          <w:lang w:eastAsia="cs-CZ"/>
        </w:rPr>
        <w:t xml:space="preserve">oborovou skupinu </w:t>
      </w:r>
      <w:r w:rsidRPr="00517029">
        <w:rPr>
          <w:rFonts w:ascii="Arial" w:hAnsi="Arial" w:cs="Arial"/>
          <w:bCs/>
          <w:lang w:eastAsia="cs-CZ"/>
        </w:rPr>
        <w:t>věd technick</w:t>
      </w:r>
      <w:r>
        <w:rPr>
          <w:rFonts w:ascii="Arial" w:hAnsi="Arial" w:cs="Arial"/>
          <w:bCs/>
          <w:lang w:eastAsia="cs-CZ"/>
        </w:rPr>
        <w:t>ých</w:t>
      </w:r>
      <w:r w:rsidRPr="00517029">
        <w:rPr>
          <w:rFonts w:ascii="Arial" w:hAnsi="Arial" w:cs="Arial"/>
          <w:bCs/>
          <w:lang w:eastAsia="cs-CZ"/>
        </w:rPr>
        <w:t xml:space="preserve">, </w:t>
      </w:r>
      <w:r>
        <w:rPr>
          <w:rFonts w:ascii="Arial" w:hAnsi="Arial" w:cs="Arial"/>
          <w:bCs/>
          <w:lang w:eastAsia="cs-CZ"/>
        </w:rPr>
        <w:t>lékařských</w:t>
      </w:r>
      <w:r w:rsidRPr="00517029">
        <w:rPr>
          <w:rFonts w:ascii="Arial" w:hAnsi="Arial" w:cs="Arial"/>
          <w:bCs/>
          <w:lang w:eastAsia="cs-CZ"/>
        </w:rPr>
        <w:t xml:space="preserve"> atd. </w:t>
      </w:r>
    </w:p>
    <w:p w:rsidR="00AD7092" w:rsidRDefault="00FC5CCD" w:rsidP="00FC5CCD">
      <w:pPr>
        <w:spacing w:after="0" w:line="360" w:lineRule="auto"/>
        <w:ind w:firstLine="708"/>
        <w:jc w:val="both"/>
        <w:rPr>
          <w:rFonts w:ascii="Arial" w:hAnsi="Arial" w:cs="Arial"/>
          <w:bCs/>
          <w:lang w:eastAsia="cs-CZ"/>
        </w:rPr>
      </w:pPr>
      <w:r>
        <w:rPr>
          <w:rFonts w:ascii="Arial" w:hAnsi="Arial" w:cs="Arial"/>
          <w:bCs/>
          <w:lang w:eastAsia="cs-CZ"/>
        </w:rPr>
        <w:t xml:space="preserve">Relace mezi českým a ve světě obvyklým způsobem oborového členění schematicky vyjadřuje obr. 7.4. </w:t>
      </w:r>
      <w:r w:rsidRPr="00517029">
        <w:rPr>
          <w:rFonts w:ascii="Arial" w:hAnsi="Arial" w:cs="Arial"/>
          <w:bCs/>
          <w:lang w:eastAsia="cs-CZ"/>
        </w:rPr>
        <w:t xml:space="preserve">V českém pojetí bylo v případě přírodních věd povýšeno jejich členění na první úroveň, čímž byla posílena jejich role – fixace neumožňuje přerozdělení </w:t>
      </w:r>
      <w:r>
        <w:rPr>
          <w:rFonts w:ascii="Arial" w:hAnsi="Arial" w:cs="Arial"/>
          <w:bCs/>
          <w:lang w:eastAsia="cs-CZ"/>
        </w:rPr>
        <w:t xml:space="preserve">bodové alokace </w:t>
      </w:r>
      <w:r w:rsidRPr="00517029">
        <w:rPr>
          <w:rFonts w:ascii="Arial" w:hAnsi="Arial" w:cs="Arial"/>
          <w:bCs/>
          <w:lang w:eastAsia="cs-CZ"/>
        </w:rPr>
        <w:t>v rámci přírodních věd, ale v rámci např. technických věd jej umožňuje</w:t>
      </w:r>
      <w:r>
        <w:rPr>
          <w:rFonts w:ascii="Arial" w:hAnsi="Arial" w:cs="Arial"/>
          <w:bCs/>
          <w:lang w:eastAsia="cs-CZ"/>
        </w:rPr>
        <w:t>.</w:t>
      </w:r>
      <w:r w:rsidR="00AD7092" w:rsidRPr="00D83113">
        <w:rPr>
          <w:rFonts w:ascii="Arial" w:hAnsi="Arial" w:cs="Arial"/>
          <w:bCs/>
          <w:lang w:eastAsia="cs-CZ"/>
        </w:rPr>
        <w:t xml:space="preserve"> </w:t>
      </w:r>
    </w:p>
    <w:p w:rsidR="00AD7092" w:rsidRPr="00AD7092" w:rsidRDefault="00AD7092" w:rsidP="00AD7092">
      <w:pPr>
        <w:pStyle w:val="Obrzek-nadpis"/>
      </w:pPr>
      <w:r w:rsidRPr="00AD7092">
        <w:lastRenderedPageBreak/>
        <w:t xml:space="preserve">Obr. 7.4: Bodové alokace v závislosti na oborovém členění v ČR ve srovnání s oborovým členěním dle </w:t>
      </w:r>
      <w:proofErr w:type="spellStart"/>
      <w:r w:rsidRPr="00AD7092">
        <w:t>Frascati</w:t>
      </w:r>
      <w:proofErr w:type="spellEnd"/>
      <w:r w:rsidRPr="00AD7092">
        <w:t xml:space="preserve"> manuálu</w:t>
      </w:r>
    </w:p>
    <w:p w:rsidR="00AD7092" w:rsidRDefault="00AD7092" w:rsidP="00AD7092">
      <w:pPr>
        <w:spacing w:after="0" w:line="360" w:lineRule="auto"/>
        <w:ind w:firstLine="708"/>
        <w:jc w:val="both"/>
        <w:rPr>
          <w:rFonts w:ascii="Arial" w:hAnsi="Arial" w:cs="Arial"/>
          <w:bCs/>
          <w:lang w:eastAsia="cs-CZ"/>
        </w:rPr>
      </w:pPr>
      <w:r>
        <w:rPr>
          <w:noProof/>
          <w:lang w:eastAsia="cs-CZ"/>
        </w:rPr>
        <mc:AlternateContent>
          <mc:Choice Requires="wps">
            <w:drawing>
              <wp:anchor distT="0" distB="0" distL="114300" distR="114300" simplePos="0" relativeHeight="251697152" behindDoc="0" locked="0" layoutInCell="1" allowOverlap="1" wp14:anchorId="3F8BB7AC" wp14:editId="6E120C09">
                <wp:simplePos x="0" y="0"/>
                <wp:positionH relativeFrom="column">
                  <wp:posOffset>677545</wp:posOffset>
                </wp:positionH>
                <wp:positionV relativeFrom="paragraph">
                  <wp:posOffset>608965</wp:posOffset>
                </wp:positionV>
                <wp:extent cx="672465" cy="127000"/>
                <wp:effectExtent l="0" t="0" r="13335" b="6350"/>
                <wp:wrapNone/>
                <wp:docPr id="128" name="Textové pole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465" cy="127000"/>
                        </a:xfrm>
                        <a:prstGeom prst="rect">
                          <a:avLst/>
                        </a:prstGeom>
                        <a:noFill/>
                        <a:ln w="6350">
                          <a:noFill/>
                        </a:ln>
                        <a:effectLst/>
                      </wps:spPr>
                      <wps:txbx>
                        <w:txbxContent>
                          <w:p w:rsidR="00206FAD" w:rsidRPr="0092095C" w:rsidRDefault="00206FAD" w:rsidP="00AD7092">
                            <w:pPr>
                              <w:spacing w:after="0" w:line="160" w:lineRule="exact"/>
                              <w:jc w:val="center"/>
                              <w:rPr>
                                <w:b/>
                                <w:sz w:val="18"/>
                                <w:szCs w:val="18"/>
                              </w:rPr>
                            </w:pPr>
                            <w:r>
                              <w:rPr>
                                <w:b/>
                                <w:sz w:val="18"/>
                                <w:szCs w:val="18"/>
                              </w:rPr>
                              <w:t>53,10</w:t>
                            </w:r>
                            <w:r w:rsidRPr="0092095C">
                              <w:rPr>
                                <w:b/>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28" o:spid="_x0000_s1052" type="#_x0000_t202" style="position:absolute;left:0;text-align:left;margin-left:53.35pt;margin-top:47.95pt;width:52.95pt;height:10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" filled="f" stroked="f" strokeweight=".5pt">
                <v:path arrowok="t"/>
                <v:textbox inset="0,0,0,0">
                  <w:txbxContent>
                    <w:p w:rsidR="00206FAD" w:rsidRPr="0092095C" w:rsidRDefault="00206FAD" w:rsidP="00AD7092">
                      <w:pPr>
                        <w:spacing w:after="0" w:line="160" w:lineRule="exact"/>
                        <w:jc w:val="center"/>
                        <w:rPr>
                          <w:b/>
                          <w:sz w:val="18"/>
                          <w:szCs w:val="18"/>
                        </w:rPr>
                      </w:pPr>
                      <w:r>
                        <w:rPr>
                          <w:b/>
                          <w:sz w:val="18"/>
                          <w:szCs w:val="18"/>
                        </w:rPr>
                        <w:t>53,10</w:t>
                      </w:r>
                      <w:r w:rsidRPr="0092095C">
                        <w:rPr>
                          <w:b/>
                          <w:sz w:val="18"/>
                          <w:szCs w:val="18"/>
                        </w:rPr>
                        <w:t>%</w:t>
                      </w:r>
                    </w:p>
                  </w:txbxContent>
                </v:textbox>
              </v:shape>
            </w:pict>
          </mc:Fallback>
        </mc:AlternateContent>
      </w:r>
      <w:r>
        <w:rPr>
          <w:noProof/>
          <w:lang w:eastAsia="cs-CZ"/>
        </w:rPr>
        <mc:AlternateContent>
          <mc:Choice Requires="wps">
            <w:drawing>
              <wp:anchor distT="0" distB="0" distL="114300" distR="114300" simplePos="0" relativeHeight="251696128" behindDoc="0" locked="0" layoutInCell="1" allowOverlap="1" wp14:anchorId="4564AB35" wp14:editId="4208E659">
                <wp:simplePos x="0" y="0"/>
                <wp:positionH relativeFrom="column">
                  <wp:posOffset>669925</wp:posOffset>
                </wp:positionH>
                <wp:positionV relativeFrom="paragraph">
                  <wp:posOffset>462280</wp:posOffset>
                </wp:positionV>
                <wp:extent cx="683895" cy="177800"/>
                <wp:effectExtent l="0" t="0" r="1905" b="12700"/>
                <wp:wrapNone/>
                <wp:docPr id="129" name="Textové pole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206FAD" w:rsidRPr="00A17937" w:rsidRDefault="00206FAD" w:rsidP="00AD7092">
                            <w:pPr>
                              <w:jc w:val="center"/>
                              <w:rPr>
                                <w:b/>
                                <w:sz w:val="18"/>
                                <w:szCs w:val="18"/>
                              </w:rPr>
                            </w:pPr>
                            <w:r>
                              <w:rPr>
                                <w:b/>
                                <w:sz w:val="18"/>
                                <w:szCs w:val="18"/>
                              </w:rPr>
                              <w:t>Přírodní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29" o:spid="_x0000_s1053" type="#_x0000_t202" style="position:absolute;left:0;text-align:left;margin-left:52.75pt;margin-top:36.4pt;width:53.85pt;height: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" filled="f" stroked="f" strokeweight=".5pt">
                <v:path arrowok="t"/>
                <v:textbox inset="0,0,0,0">
                  <w:txbxContent>
                    <w:p w:rsidR="00206FAD" w:rsidRPr="00A17937" w:rsidRDefault="00206FAD" w:rsidP="00AD7092">
                      <w:pPr>
                        <w:jc w:val="center"/>
                        <w:rPr>
                          <w:b/>
                          <w:sz w:val="18"/>
                          <w:szCs w:val="18"/>
                        </w:rPr>
                      </w:pPr>
                      <w:r>
                        <w:rPr>
                          <w:b/>
                          <w:sz w:val="18"/>
                          <w:szCs w:val="18"/>
                        </w:rPr>
                        <w:t>Přírodní</w:t>
                      </w:r>
                    </w:p>
                  </w:txbxContent>
                </v:textbox>
              </v:shape>
            </w:pict>
          </mc:Fallback>
        </mc:AlternateContent>
      </w:r>
      <w:r>
        <w:rPr>
          <w:noProof/>
          <w:lang w:eastAsia="cs-CZ"/>
        </w:rPr>
        <mc:AlternateContent>
          <mc:Choice Requires="wps">
            <w:drawing>
              <wp:anchor distT="0" distB="0" distL="114300" distR="114300" simplePos="0" relativeHeight="251685888" behindDoc="0" locked="0" layoutInCell="1" allowOverlap="1" wp14:anchorId="6A79B2DB" wp14:editId="59CF632F">
                <wp:simplePos x="0" y="0"/>
                <wp:positionH relativeFrom="column">
                  <wp:posOffset>659765</wp:posOffset>
                </wp:positionH>
                <wp:positionV relativeFrom="paragraph">
                  <wp:posOffset>816610</wp:posOffset>
                </wp:positionV>
                <wp:extent cx="683895" cy="177800"/>
                <wp:effectExtent l="0" t="0" r="1905" b="12700"/>
                <wp:wrapNone/>
                <wp:docPr id="130" name="Textové pole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206FAD" w:rsidRPr="001C3A10" w:rsidRDefault="00206FAD" w:rsidP="00AD7092">
                            <w:pPr>
                              <w:jc w:val="center"/>
                              <w:rPr>
                                <w:sz w:val="18"/>
                                <w:szCs w:val="18"/>
                              </w:rPr>
                            </w:pPr>
                            <w:r w:rsidRPr="001C3A10">
                              <w:rPr>
                                <w:sz w:val="18"/>
                                <w:szCs w:val="18"/>
                              </w:rPr>
                              <w:t>Biologické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0" o:spid="_x0000_s1054" type="#_x0000_t202" style="position:absolute;left:0;text-align:left;margin-left:51.95pt;margin-top:64.3pt;width:53.85pt;height:1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" filled="f" stroked="f" strokeweight=".5pt">
                <v:path arrowok="t"/>
                <v:textbox inset="0,0,0,0">
                  <w:txbxContent>
                    <w:p w:rsidR="00206FAD" w:rsidRPr="001C3A10" w:rsidRDefault="00206FAD" w:rsidP="00AD7092">
                      <w:pPr>
                        <w:jc w:val="center"/>
                        <w:rPr>
                          <w:sz w:val="18"/>
                          <w:szCs w:val="18"/>
                        </w:rPr>
                      </w:pPr>
                      <w:r w:rsidRPr="001C3A10">
                        <w:rPr>
                          <w:sz w:val="18"/>
                          <w:szCs w:val="18"/>
                        </w:rPr>
                        <w:t>Biologické</w:t>
                      </w:r>
                    </w:p>
                  </w:txbxContent>
                </v:textbox>
              </v:shape>
            </w:pict>
          </mc:Fallback>
        </mc:AlternateContent>
      </w:r>
      <w:r>
        <w:rPr>
          <w:noProof/>
          <w:lang w:eastAsia="cs-CZ"/>
        </w:rPr>
        <mc:AlternateContent>
          <mc:Choice Requires="wps">
            <w:drawing>
              <wp:anchor distT="0" distB="0" distL="114300" distR="114300" simplePos="0" relativeHeight="251686912" behindDoc="0" locked="0" layoutInCell="1" allowOverlap="1" wp14:anchorId="041CE3EF" wp14:editId="636103D7">
                <wp:simplePos x="0" y="0"/>
                <wp:positionH relativeFrom="column">
                  <wp:posOffset>666750</wp:posOffset>
                </wp:positionH>
                <wp:positionV relativeFrom="paragraph">
                  <wp:posOffset>1402080</wp:posOffset>
                </wp:positionV>
                <wp:extent cx="672465" cy="177800"/>
                <wp:effectExtent l="0" t="0" r="13335" b="12700"/>
                <wp:wrapNone/>
                <wp:docPr id="131" name="Textové pole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465" cy="177800"/>
                        </a:xfrm>
                        <a:prstGeom prst="rect">
                          <a:avLst/>
                        </a:prstGeom>
                        <a:noFill/>
                        <a:ln w="6350">
                          <a:noFill/>
                        </a:ln>
                        <a:effectLst/>
                      </wps:spPr>
                      <wps:txbx>
                        <w:txbxContent>
                          <w:p w:rsidR="00206FAD" w:rsidRPr="001C3A10" w:rsidRDefault="00206FAD" w:rsidP="00AD7092">
                            <w:pPr>
                              <w:jc w:val="center"/>
                              <w:rPr>
                                <w:sz w:val="18"/>
                                <w:szCs w:val="18"/>
                              </w:rPr>
                            </w:pPr>
                            <w:r w:rsidRPr="001C3A10">
                              <w:rPr>
                                <w:sz w:val="18"/>
                                <w:szCs w:val="18"/>
                              </w:rPr>
                              <w:t>Chemické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1" o:spid="_x0000_s1055" type="#_x0000_t202" style="position:absolute;left:0;text-align:left;margin-left:52.5pt;margin-top:110.4pt;width:52.95pt;height:1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" filled="f" stroked="f" strokeweight=".5pt">
                <v:path arrowok="t"/>
                <v:textbox inset="0,0,0,0">
                  <w:txbxContent>
                    <w:p w:rsidR="00206FAD" w:rsidRPr="001C3A10" w:rsidRDefault="00206FAD" w:rsidP="00AD7092">
                      <w:pPr>
                        <w:jc w:val="center"/>
                        <w:rPr>
                          <w:sz w:val="18"/>
                          <w:szCs w:val="18"/>
                        </w:rPr>
                      </w:pPr>
                      <w:r w:rsidRPr="001C3A10">
                        <w:rPr>
                          <w:sz w:val="18"/>
                          <w:szCs w:val="18"/>
                        </w:rPr>
                        <w:t>Chemické</w:t>
                      </w:r>
                    </w:p>
                  </w:txbxContent>
                </v:textbox>
              </v:shape>
            </w:pict>
          </mc:Fallback>
        </mc:AlternateContent>
      </w:r>
      <w:r>
        <w:rPr>
          <w:noProof/>
          <w:lang w:eastAsia="cs-CZ"/>
        </w:rPr>
        <mc:AlternateContent>
          <mc:Choice Requires="wps">
            <w:drawing>
              <wp:anchor distT="0" distB="0" distL="114300" distR="114300" simplePos="0" relativeHeight="251687936" behindDoc="0" locked="0" layoutInCell="1" allowOverlap="1" wp14:anchorId="1BDD3BE7" wp14:editId="114FDCDF">
                <wp:simplePos x="0" y="0"/>
                <wp:positionH relativeFrom="column">
                  <wp:posOffset>666750</wp:posOffset>
                </wp:positionH>
                <wp:positionV relativeFrom="paragraph">
                  <wp:posOffset>2044065</wp:posOffset>
                </wp:positionV>
                <wp:extent cx="672465" cy="177800"/>
                <wp:effectExtent l="0" t="0" r="13335" b="12700"/>
                <wp:wrapNone/>
                <wp:docPr id="132" name="Textové pole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465" cy="177800"/>
                        </a:xfrm>
                        <a:prstGeom prst="rect">
                          <a:avLst/>
                        </a:prstGeom>
                        <a:noFill/>
                        <a:ln w="6350">
                          <a:noFill/>
                        </a:ln>
                        <a:effectLst/>
                      </wps:spPr>
                      <wps:txbx>
                        <w:txbxContent>
                          <w:p w:rsidR="00206FAD" w:rsidRPr="001C3A10" w:rsidRDefault="00206FAD" w:rsidP="00AD7092">
                            <w:pPr>
                              <w:jc w:val="center"/>
                              <w:rPr>
                                <w:sz w:val="18"/>
                                <w:szCs w:val="18"/>
                              </w:rPr>
                            </w:pPr>
                            <w:r w:rsidRPr="001C3A10">
                              <w:rPr>
                                <w:sz w:val="18"/>
                                <w:szCs w:val="18"/>
                              </w:rPr>
                              <w:t>Fyzikální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2" o:spid="_x0000_s1056" type="#_x0000_t202" style="position:absolute;left:0;text-align:left;margin-left:52.5pt;margin-top:160.95pt;width:52.95pt;height:1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" filled="f" stroked="f" strokeweight=".5pt">
                <v:path arrowok="t"/>
                <v:textbox inset="0,0,0,0">
                  <w:txbxContent>
                    <w:p w:rsidR="00206FAD" w:rsidRPr="001C3A10" w:rsidRDefault="00206FAD" w:rsidP="00AD7092">
                      <w:pPr>
                        <w:jc w:val="center"/>
                        <w:rPr>
                          <w:sz w:val="18"/>
                          <w:szCs w:val="18"/>
                        </w:rPr>
                      </w:pPr>
                      <w:r w:rsidRPr="001C3A10">
                        <w:rPr>
                          <w:sz w:val="18"/>
                          <w:szCs w:val="18"/>
                        </w:rPr>
                        <w:t>Fyzikální</w:t>
                      </w:r>
                    </w:p>
                  </w:txbxContent>
                </v:textbox>
              </v:shape>
            </w:pict>
          </mc:Fallback>
        </mc:AlternateContent>
      </w:r>
      <w:r>
        <w:rPr>
          <w:noProof/>
          <w:lang w:eastAsia="cs-CZ"/>
        </w:rPr>
        <mc:AlternateContent>
          <mc:Choice Requires="wps">
            <w:drawing>
              <wp:anchor distT="0" distB="0" distL="114300" distR="114300" simplePos="0" relativeHeight="251688960" behindDoc="0" locked="0" layoutInCell="1" allowOverlap="1" wp14:anchorId="3FD90338" wp14:editId="035D5BA1">
                <wp:simplePos x="0" y="0"/>
                <wp:positionH relativeFrom="column">
                  <wp:posOffset>659130</wp:posOffset>
                </wp:positionH>
                <wp:positionV relativeFrom="paragraph">
                  <wp:posOffset>2577465</wp:posOffset>
                </wp:positionV>
                <wp:extent cx="699135" cy="212725"/>
                <wp:effectExtent l="0" t="0" r="5715" b="0"/>
                <wp:wrapNone/>
                <wp:docPr id="133" name="Textové pol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9135" cy="212725"/>
                        </a:xfrm>
                        <a:prstGeom prst="rect">
                          <a:avLst/>
                        </a:prstGeom>
                        <a:noFill/>
                        <a:ln w="6350">
                          <a:noFill/>
                        </a:ln>
                        <a:effectLst/>
                      </wps:spPr>
                      <wps:txbx>
                        <w:txbxContent>
                          <w:p w:rsidR="00206FAD" w:rsidRPr="001C3A10" w:rsidRDefault="00206FAD" w:rsidP="00AD7092">
                            <w:pPr>
                              <w:spacing w:after="0" w:line="160" w:lineRule="exact"/>
                              <w:jc w:val="center"/>
                            </w:pPr>
                            <w:proofErr w:type="gramStart"/>
                            <w:r w:rsidRPr="001C3A10">
                              <w:rPr>
                                <w:sz w:val="18"/>
                                <w:szCs w:val="18"/>
                              </w:rPr>
                              <w:t xml:space="preserve">Mat. a </w:t>
                            </w:r>
                            <w:proofErr w:type="spellStart"/>
                            <w:r w:rsidRPr="001C3A10">
                              <w:rPr>
                                <w:sz w:val="18"/>
                                <w:szCs w:val="18"/>
                              </w:rPr>
                              <w:t>Inf</w:t>
                            </w:r>
                            <w:proofErr w:type="spellEnd"/>
                            <w:r w:rsidRPr="001C3A10">
                              <w:rPr>
                                <w:sz w:val="18"/>
                                <w:szCs w:val="18"/>
                              </w:rPr>
                              <w:t>.</w:t>
                            </w:r>
                            <w:proofErr w:type="gramEnd"/>
                            <w:r w:rsidRPr="001C3A10">
                              <w:rPr>
                                <w:sz w:val="18"/>
                                <w:szCs w:val="18"/>
                              </w:rPr>
                              <w:t xml:space="preserve"> </w:t>
                            </w:r>
                          </w:p>
                          <w:p w:rsidR="00206FAD" w:rsidRPr="001C3A10" w:rsidRDefault="00206FAD" w:rsidP="00AD7092">
                            <w:pPr>
                              <w:spacing w:after="0" w:line="160" w:lineRule="exact"/>
                              <w:jc w:val="center"/>
                              <w:rPr>
                                <w:sz w:val="18"/>
                                <w:szCs w:val="18"/>
                              </w:rPr>
                            </w:pPr>
                            <w:r w:rsidRPr="001C3A10">
                              <w:rPr>
                                <w:sz w:val="18"/>
                                <w:szCs w:val="18"/>
                              </w:rPr>
                              <w:t>5,16%</w:t>
                            </w:r>
                          </w:p>
                          <w:p w:rsidR="00206FAD" w:rsidRPr="001C3A10" w:rsidRDefault="00206FAD" w:rsidP="00AD7092">
                            <w:pPr>
                              <w:spacing w:after="0" w:line="160" w:lineRule="exact"/>
                              <w:jc w:val="center"/>
                              <w:rPr>
                                <w:sz w:val="18"/>
                                <w:szCs w:val="18"/>
                              </w:rPr>
                            </w:pPr>
                            <w:r w:rsidRPr="001C3A10">
                              <w:rPr>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3" o:spid="_x0000_s1057" type="#_x0000_t202" style="position:absolute;left:0;text-align:left;margin-left:51.9pt;margin-top:202.95pt;width:55.05pt;height:16.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" filled="f" stroked="f" strokeweight=".5pt">
                <v:path arrowok="t"/>
                <v:textbox inset="0,0,0,0">
                  <w:txbxContent>
                    <w:p w:rsidR="00206FAD" w:rsidRPr="001C3A10" w:rsidRDefault="00206FAD" w:rsidP="00AD7092">
                      <w:pPr>
                        <w:spacing w:after="0" w:line="160" w:lineRule="exact"/>
                        <w:jc w:val="center"/>
                      </w:pPr>
                      <w:proofErr w:type="gramStart"/>
                      <w:r w:rsidRPr="001C3A10">
                        <w:rPr>
                          <w:sz w:val="18"/>
                          <w:szCs w:val="18"/>
                        </w:rPr>
                        <w:t xml:space="preserve">Mat. a </w:t>
                      </w:r>
                      <w:proofErr w:type="spellStart"/>
                      <w:r w:rsidRPr="001C3A10">
                        <w:rPr>
                          <w:sz w:val="18"/>
                          <w:szCs w:val="18"/>
                        </w:rPr>
                        <w:t>Inf</w:t>
                      </w:r>
                      <w:proofErr w:type="spellEnd"/>
                      <w:r w:rsidRPr="001C3A10">
                        <w:rPr>
                          <w:sz w:val="18"/>
                          <w:szCs w:val="18"/>
                        </w:rPr>
                        <w:t>.</w:t>
                      </w:r>
                      <w:proofErr w:type="gramEnd"/>
                      <w:r w:rsidRPr="001C3A10">
                        <w:rPr>
                          <w:sz w:val="18"/>
                          <w:szCs w:val="18"/>
                        </w:rPr>
                        <w:t xml:space="preserve"> </w:t>
                      </w:r>
                    </w:p>
                    <w:p w:rsidR="00206FAD" w:rsidRPr="001C3A10" w:rsidRDefault="00206FAD" w:rsidP="00AD7092">
                      <w:pPr>
                        <w:spacing w:after="0" w:line="160" w:lineRule="exact"/>
                        <w:jc w:val="center"/>
                        <w:rPr>
                          <w:sz w:val="18"/>
                          <w:szCs w:val="18"/>
                        </w:rPr>
                      </w:pPr>
                      <w:r w:rsidRPr="001C3A10">
                        <w:rPr>
                          <w:sz w:val="18"/>
                          <w:szCs w:val="18"/>
                        </w:rPr>
                        <w:t>5,16%</w:t>
                      </w:r>
                    </w:p>
                    <w:p w:rsidR="00206FAD" w:rsidRPr="001C3A10" w:rsidRDefault="00206FAD" w:rsidP="00AD7092">
                      <w:pPr>
                        <w:spacing w:after="0" w:line="160" w:lineRule="exact"/>
                        <w:jc w:val="center"/>
                        <w:rPr>
                          <w:sz w:val="18"/>
                          <w:szCs w:val="18"/>
                        </w:rPr>
                      </w:pPr>
                      <w:r w:rsidRPr="001C3A10">
                        <w:rPr>
                          <w:sz w:val="18"/>
                          <w:szCs w:val="18"/>
                        </w:rPr>
                        <w:t>%</w:t>
                      </w:r>
                    </w:p>
                  </w:txbxContent>
                </v:textbox>
              </v:shape>
            </w:pict>
          </mc:Fallback>
        </mc:AlternateContent>
      </w:r>
      <w:r>
        <w:rPr>
          <w:noProof/>
          <w:lang w:eastAsia="cs-CZ"/>
        </w:rPr>
        <mc:AlternateContent>
          <mc:Choice Requires="wps">
            <w:drawing>
              <wp:anchor distT="0" distB="0" distL="114300" distR="114300" simplePos="0" relativeHeight="251689984" behindDoc="0" locked="0" layoutInCell="1" allowOverlap="1" wp14:anchorId="2F90F2A0" wp14:editId="66B8B45F">
                <wp:simplePos x="0" y="0"/>
                <wp:positionH relativeFrom="column">
                  <wp:posOffset>667385</wp:posOffset>
                </wp:positionH>
                <wp:positionV relativeFrom="paragraph">
                  <wp:posOffset>2804795</wp:posOffset>
                </wp:positionV>
                <wp:extent cx="672465" cy="202565"/>
                <wp:effectExtent l="0" t="0" r="13335" b="6985"/>
                <wp:wrapNone/>
                <wp:docPr id="134" name="Textové pole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465" cy="202565"/>
                        </a:xfrm>
                        <a:prstGeom prst="rect">
                          <a:avLst/>
                        </a:prstGeom>
                        <a:noFill/>
                        <a:ln w="6350">
                          <a:noFill/>
                        </a:ln>
                        <a:effectLst/>
                      </wps:spPr>
                      <wps:txbx>
                        <w:txbxContent>
                          <w:p w:rsidR="00206FAD" w:rsidRPr="001C3A10" w:rsidRDefault="00206FAD" w:rsidP="00AD7092">
                            <w:pPr>
                              <w:spacing w:after="0" w:line="160" w:lineRule="exact"/>
                              <w:jc w:val="center"/>
                              <w:rPr>
                                <w:sz w:val="18"/>
                                <w:szCs w:val="18"/>
                              </w:rPr>
                            </w:pPr>
                            <w:r w:rsidRPr="001C3A10">
                              <w:rPr>
                                <w:sz w:val="18"/>
                                <w:szCs w:val="18"/>
                              </w:rPr>
                              <w:t xml:space="preserve">O Zemi </w:t>
                            </w:r>
                          </w:p>
                          <w:p w:rsidR="00206FAD" w:rsidRPr="001C3A10" w:rsidRDefault="00206FAD" w:rsidP="00AD7092">
                            <w:pPr>
                              <w:spacing w:after="0" w:line="160" w:lineRule="exact"/>
                              <w:jc w:val="center"/>
                              <w:rPr>
                                <w:sz w:val="18"/>
                                <w:szCs w:val="18"/>
                              </w:rPr>
                            </w:pPr>
                            <w:r w:rsidRPr="001C3A10">
                              <w:rPr>
                                <w:sz w:val="18"/>
                                <w:szCs w:val="18"/>
                              </w:rPr>
                              <w:t>5,06%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4" o:spid="_x0000_s1058" type="#_x0000_t202" style="position:absolute;left:0;text-align:left;margin-left:52.55pt;margin-top:220.85pt;width:52.95pt;height:15.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" filled="f" stroked="f" strokeweight=".5pt">
                <v:path arrowok="t"/>
                <v:textbox inset="0,0,0,0">
                  <w:txbxContent>
                    <w:p w:rsidR="00206FAD" w:rsidRPr="001C3A10" w:rsidRDefault="00206FAD" w:rsidP="00AD7092">
                      <w:pPr>
                        <w:spacing w:after="0" w:line="160" w:lineRule="exact"/>
                        <w:jc w:val="center"/>
                        <w:rPr>
                          <w:sz w:val="18"/>
                          <w:szCs w:val="18"/>
                        </w:rPr>
                      </w:pPr>
                      <w:r w:rsidRPr="001C3A10">
                        <w:rPr>
                          <w:sz w:val="18"/>
                          <w:szCs w:val="18"/>
                        </w:rPr>
                        <w:t xml:space="preserve">O Zemi </w:t>
                      </w:r>
                    </w:p>
                    <w:p w:rsidR="00206FAD" w:rsidRPr="001C3A10" w:rsidRDefault="00206FAD" w:rsidP="00AD7092">
                      <w:pPr>
                        <w:spacing w:after="0" w:line="160" w:lineRule="exact"/>
                        <w:jc w:val="center"/>
                        <w:rPr>
                          <w:sz w:val="18"/>
                          <w:szCs w:val="18"/>
                        </w:rPr>
                      </w:pPr>
                      <w:r w:rsidRPr="001C3A10">
                        <w:rPr>
                          <w:sz w:val="18"/>
                          <w:szCs w:val="18"/>
                        </w:rPr>
                        <w:t>5,06%</w:t>
                      </w:r>
                    </w:p>
                  </w:txbxContent>
                </v:textbox>
              </v:shape>
            </w:pict>
          </mc:Fallback>
        </mc:AlternateContent>
      </w:r>
      <w:r>
        <w:rPr>
          <w:noProof/>
          <w:lang w:eastAsia="cs-CZ"/>
        </w:rPr>
        <w:drawing>
          <wp:anchor distT="0" distB="0" distL="114300" distR="114300" simplePos="0" relativeHeight="251714560" behindDoc="1" locked="0" layoutInCell="1" allowOverlap="1" wp14:anchorId="56EC8EF4" wp14:editId="4C351CCD">
            <wp:simplePos x="0" y="0"/>
            <wp:positionH relativeFrom="column">
              <wp:posOffset>-1241425</wp:posOffset>
            </wp:positionH>
            <wp:positionV relativeFrom="paragraph">
              <wp:posOffset>474980</wp:posOffset>
            </wp:positionV>
            <wp:extent cx="4779645" cy="2978785"/>
            <wp:effectExtent l="0" t="0" r="0" b="0"/>
            <wp:wrapNone/>
            <wp:docPr id="157" name="Graf 1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page">
              <wp14:pctWidth>0</wp14:pctWidth>
            </wp14:sizeRelH>
            <wp14:sizeRelV relativeFrom="page">
              <wp14:pctHeight>0</wp14:pctHeight>
            </wp14:sizeRelV>
          </wp:anchor>
        </w:drawing>
      </w:r>
      <w:r>
        <w:rPr>
          <w:noProof/>
          <w:lang w:eastAsia="cs-CZ"/>
        </w:rPr>
        <mc:AlternateContent>
          <mc:Choice Requires="wps">
            <w:drawing>
              <wp:anchor distT="4294967295" distB="4294967295" distL="114300" distR="114300" simplePos="0" relativeHeight="251706368" behindDoc="0" locked="0" layoutInCell="1" allowOverlap="1" wp14:anchorId="2C9ECF79" wp14:editId="638A171E">
                <wp:simplePos x="0" y="0"/>
                <wp:positionH relativeFrom="column">
                  <wp:posOffset>5291455</wp:posOffset>
                </wp:positionH>
                <wp:positionV relativeFrom="paragraph">
                  <wp:posOffset>2947669</wp:posOffset>
                </wp:positionV>
                <wp:extent cx="648970" cy="0"/>
                <wp:effectExtent l="0" t="0" r="17780" b="19050"/>
                <wp:wrapNone/>
                <wp:docPr id="135" name="Přímá spojnic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5" o:spid="_x0000_s1026" style="position:absolute;z-index:251706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6.65pt,232.1pt" to="467.75pt,2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13536" behindDoc="0" locked="0" layoutInCell="1" allowOverlap="1" wp14:anchorId="43A5C2A6" wp14:editId="49293199">
                <wp:simplePos x="0" y="0"/>
                <wp:positionH relativeFrom="column">
                  <wp:posOffset>5288915</wp:posOffset>
                </wp:positionH>
                <wp:positionV relativeFrom="paragraph">
                  <wp:posOffset>2867659</wp:posOffset>
                </wp:positionV>
                <wp:extent cx="648970" cy="0"/>
                <wp:effectExtent l="0" t="0" r="17780" b="19050"/>
                <wp:wrapNone/>
                <wp:docPr id="136" name="Přímá spojnic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6" o:spid="_x0000_s1026" style="position:absolute;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6.45pt,225.8pt" to="467.55pt,2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5344" behindDoc="0" locked="0" layoutInCell="1" allowOverlap="1" wp14:anchorId="4C608583" wp14:editId="2DEEBEA5">
                <wp:simplePos x="0" y="0"/>
                <wp:positionH relativeFrom="column">
                  <wp:posOffset>5291455</wp:posOffset>
                </wp:positionH>
                <wp:positionV relativeFrom="paragraph">
                  <wp:posOffset>2787014</wp:posOffset>
                </wp:positionV>
                <wp:extent cx="648970" cy="0"/>
                <wp:effectExtent l="0" t="0" r="17780" b="19050"/>
                <wp:wrapNone/>
                <wp:docPr id="137" name="Přímá spojnic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7" o:spid="_x0000_s1026" style="position:absolute;z-index:251705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6.65pt,219.45pt" to="467.75pt,2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3296" behindDoc="0" locked="0" layoutInCell="1" allowOverlap="1" wp14:anchorId="3B14816E" wp14:editId="1CB6295D">
                <wp:simplePos x="0" y="0"/>
                <wp:positionH relativeFrom="column">
                  <wp:posOffset>4374515</wp:posOffset>
                </wp:positionH>
                <wp:positionV relativeFrom="paragraph">
                  <wp:posOffset>2941954</wp:posOffset>
                </wp:positionV>
                <wp:extent cx="648970" cy="0"/>
                <wp:effectExtent l="0" t="0" r="17780" b="19050"/>
                <wp:wrapNone/>
                <wp:docPr id="138" name="Přímá spojnic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8" o:spid="_x0000_s1026" style="position:absolute;z-index:251703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4.45pt,231.65pt" to="395.55pt,2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2272" behindDoc="0" locked="0" layoutInCell="1" allowOverlap="1" wp14:anchorId="135D8471" wp14:editId="05AEAA9C">
                <wp:simplePos x="0" y="0"/>
                <wp:positionH relativeFrom="column">
                  <wp:posOffset>4377690</wp:posOffset>
                </wp:positionH>
                <wp:positionV relativeFrom="paragraph">
                  <wp:posOffset>2853054</wp:posOffset>
                </wp:positionV>
                <wp:extent cx="648970" cy="0"/>
                <wp:effectExtent l="0" t="0" r="17780" b="19050"/>
                <wp:wrapNone/>
                <wp:docPr id="139" name="Přímá spojnic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9" o:spid="_x0000_s1026" style="position:absolute;z-index:251702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4.7pt,224.65pt" to="395.8pt,2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1248" behindDoc="0" locked="0" layoutInCell="1" allowOverlap="1" wp14:anchorId="18D3E80F" wp14:editId="147A4292">
                <wp:simplePos x="0" y="0"/>
                <wp:positionH relativeFrom="column">
                  <wp:posOffset>4374515</wp:posOffset>
                </wp:positionH>
                <wp:positionV relativeFrom="paragraph">
                  <wp:posOffset>2736849</wp:posOffset>
                </wp:positionV>
                <wp:extent cx="648970" cy="0"/>
                <wp:effectExtent l="0" t="0" r="17780" b="19050"/>
                <wp:wrapNone/>
                <wp:docPr id="140" name="Přímá spojnic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40" o:spid="_x0000_s1026" style="position:absolute;z-index:251701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4.45pt,215.5pt" to="395.5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12512" behindDoc="0" locked="0" layoutInCell="1" allowOverlap="1" wp14:anchorId="31589A94" wp14:editId="2F2EFACE">
                <wp:simplePos x="0" y="0"/>
                <wp:positionH relativeFrom="column">
                  <wp:posOffset>3463290</wp:posOffset>
                </wp:positionH>
                <wp:positionV relativeFrom="paragraph">
                  <wp:posOffset>2837814</wp:posOffset>
                </wp:positionV>
                <wp:extent cx="645795" cy="0"/>
                <wp:effectExtent l="0" t="0" r="20955" b="19050"/>
                <wp:wrapNone/>
                <wp:docPr id="141" name="Přímá spojnic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Přímá spojnice 141" o:spid="_x0000_s1026" style="position:absolute;z-index:251712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72.7pt,223.45pt" to="323.55pt,2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11488" behindDoc="0" locked="0" layoutInCell="1" allowOverlap="1" wp14:anchorId="38587EE9" wp14:editId="360994D3">
                <wp:simplePos x="0" y="0"/>
                <wp:positionH relativeFrom="column">
                  <wp:posOffset>3463290</wp:posOffset>
                </wp:positionH>
                <wp:positionV relativeFrom="paragraph">
                  <wp:posOffset>2912109</wp:posOffset>
                </wp:positionV>
                <wp:extent cx="645795" cy="0"/>
                <wp:effectExtent l="0" t="0" r="20955" b="19050"/>
                <wp:wrapNone/>
                <wp:docPr id="142" name="Přímá spojnic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Přímá spojnice 142" o:spid="_x0000_s1026" style="position:absolute;z-index:251711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72.7pt,229.3pt" to="323.55pt,2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7392" behindDoc="0" locked="0" layoutInCell="1" allowOverlap="1" wp14:anchorId="289F36E0" wp14:editId="7F08E924">
                <wp:simplePos x="0" y="0"/>
                <wp:positionH relativeFrom="column">
                  <wp:posOffset>2548890</wp:posOffset>
                </wp:positionH>
                <wp:positionV relativeFrom="paragraph">
                  <wp:posOffset>2709544</wp:posOffset>
                </wp:positionV>
                <wp:extent cx="645795" cy="0"/>
                <wp:effectExtent l="0" t="0" r="20955" b="19050"/>
                <wp:wrapNone/>
                <wp:docPr id="143" name="Přímá spojnic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Přímá spojnice 143" o:spid="_x0000_s1026" style="position:absolute;z-index:251707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00.7pt,213.35pt" to="251.55pt,2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699200" behindDoc="0" locked="0" layoutInCell="1" allowOverlap="1" wp14:anchorId="13E50C02" wp14:editId="550A5ADA">
                <wp:simplePos x="0" y="0"/>
                <wp:positionH relativeFrom="column">
                  <wp:posOffset>1640840</wp:posOffset>
                </wp:positionH>
                <wp:positionV relativeFrom="paragraph">
                  <wp:posOffset>2772409</wp:posOffset>
                </wp:positionV>
                <wp:extent cx="628650" cy="0"/>
                <wp:effectExtent l="0" t="0" r="19050" b="19050"/>
                <wp:wrapNone/>
                <wp:docPr id="144" name="Přímá spojnic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65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4" o:spid="_x0000_s1026" style="position:absolute;z-index:251699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29.2pt,218.3pt" to="178.7pt,2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" strokecolor="#afabab" strokeweight=".5pt">
                <v:stroke joinstyle="miter"/>
                <o:lock v:ext="edit" shapetype="f"/>
              </v:line>
            </w:pict>
          </mc:Fallback>
        </mc:AlternateContent>
      </w:r>
      <w:r>
        <w:rPr>
          <w:noProof/>
          <w:lang w:eastAsia="cs-CZ"/>
        </w:rPr>
        <mc:AlternateContent>
          <mc:Choice Requires="wps">
            <w:drawing>
              <wp:anchor distT="0" distB="0" distL="114300" distR="114300" simplePos="0" relativeHeight="251698176" behindDoc="0" locked="0" layoutInCell="1" allowOverlap="1" wp14:anchorId="094C4AE5" wp14:editId="4EE1E3AB">
                <wp:simplePos x="0" y="0"/>
                <wp:positionH relativeFrom="column">
                  <wp:posOffset>1634490</wp:posOffset>
                </wp:positionH>
                <wp:positionV relativeFrom="paragraph">
                  <wp:posOffset>2406015</wp:posOffset>
                </wp:positionV>
                <wp:extent cx="636905" cy="3810"/>
                <wp:effectExtent l="0" t="0" r="10795" b="34290"/>
                <wp:wrapNone/>
                <wp:docPr id="145" name="Přímá spojnic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6905" cy="381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28.7pt,189.45pt" to="178.85pt,18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" strokecolor="#afabab" strokeweight=".5pt">
                <v:stroke joinstyle="miter"/>
                <o:lock v:ext="edit" shapetype="f"/>
              </v:line>
            </w:pict>
          </mc:Fallback>
        </mc:AlternateContent>
      </w:r>
      <w:r>
        <w:rPr>
          <w:noProof/>
          <w:lang w:eastAsia="cs-CZ"/>
        </w:rPr>
        <mc:AlternateContent>
          <mc:Choice Requires="wps">
            <w:drawing>
              <wp:anchor distT="0" distB="0" distL="114300" distR="114300" simplePos="0" relativeHeight="251710464" behindDoc="0" locked="0" layoutInCell="1" allowOverlap="1" wp14:anchorId="4AE804F7" wp14:editId="42135C82">
                <wp:simplePos x="0" y="0"/>
                <wp:positionH relativeFrom="column">
                  <wp:posOffset>1640840</wp:posOffset>
                </wp:positionH>
                <wp:positionV relativeFrom="paragraph">
                  <wp:posOffset>2557780</wp:posOffset>
                </wp:positionV>
                <wp:extent cx="636905" cy="3810"/>
                <wp:effectExtent l="0" t="0" r="10795" b="34290"/>
                <wp:wrapNone/>
                <wp:docPr id="146" name="Přímá spojnic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6905" cy="381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6"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29.2pt,201.4pt" to="179.35pt,20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9440" behindDoc="0" locked="0" layoutInCell="1" allowOverlap="1" wp14:anchorId="7BD0CCD3" wp14:editId="144EC68C">
                <wp:simplePos x="0" y="0"/>
                <wp:positionH relativeFrom="column">
                  <wp:posOffset>2548890</wp:posOffset>
                </wp:positionH>
                <wp:positionV relativeFrom="paragraph">
                  <wp:posOffset>2593974</wp:posOffset>
                </wp:positionV>
                <wp:extent cx="645795" cy="0"/>
                <wp:effectExtent l="0" t="0" r="20955" b="19050"/>
                <wp:wrapNone/>
                <wp:docPr id="147" name="Přímá spojnic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Přímá spojnice 147" o:spid="_x0000_s1026" style="position:absolute;z-index:251709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00.7pt,204.25pt" to="251.55pt,20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8416" behindDoc="0" locked="0" layoutInCell="1" allowOverlap="1" wp14:anchorId="2D23A122" wp14:editId="4AE958A3">
                <wp:simplePos x="0" y="0"/>
                <wp:positionH relativeFrom="column">
                  <wp:posOffset>2548890</wp:posOffset>
                </wp:positionH>
                <wp:positionV relativeFrom="paragraph">
                  <wp:posOffset>2873374</wp:posOffset>
                </wp:positionV>
                <wp:extent cx="645795" cy="0"/>
                <wp:effectExtent l="0" t="0" r="20955" b="19050"/>
                <wp:wrapNone/>
                <wp:docPr id="148" name="Přímá spojnic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8" o:spid="_x0000_s1026" style="position:absolute;z-index:251708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00.7pt,226.25pt" to="251.55pt,2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0224" behindDoc="0" locked="0" layoutInCell="1" allowOverlap="1" wp14:anchorId="74FA4366" wp14:editId="3FF88642">
                <wp:simplePos x="0" y="0"/>
                <wp:positionH relativeFrom="column">
                  <wp:posOffset>1634490</wp:posOffset>
                </wp:positionH>
                <wp:positionV relativeFrom="paragraph">
                  <wp:posOffset>2894329</wp:posOffset>
                </wp:positionV>
                <wp:extent cx="636905" cy="0"/>
                <wp:effectExtent l="0" t="0" r="10795" b="19050"/>
                <wp:wrapNone/>
                <wp:docPr id="149" name="Přímá spojnic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690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9" o:spid="_x0000_s1026" style="position:absolute;z-index:251700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28.7pt,227.9pt" to="178.85pt,2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4320" behindDoc="0" locked="0" layoutInCell="1" allowOverlap="1" wp14:anchorId="3C436286" wp14:editId="002792A3">
                <wp:simplePos x="0" y="0"/>
                <wp:positionH relativeFrom="column">
                  <wp:posOffset>5290820</wp:posOffset>
                </wp:positionH>
                <wp:positionV relativeFrom="paragraph">
                  <wp:posOffset>2698749</wp:posOffset>
                </wp:positionV>
                <wp:extent cx="649605" cy="0"/>
                <wp:effectExtent l="0" t="0" r="17145" b="19050"/>
                <wp:wrapNone/>
                <wp:docPr id="150" name="Přímá spojnice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960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50" o:spid="_x0000_s1026" style="position:absolute;z-index:251704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6.6pt,212.5pt" to="467.7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" strokecolor="#afabab" strokeweight=".5pt">
                <v:stroke joinstyle="miter"/>
                <o:lock v:ext="edit" shapetype="f"/>
              </v:line>
            </w:pict>
          </mc:Fallback>
        </mc:AlternateContent>
      </w:r>
      <w:r>
        <w:rPr>
          <w:noProof/>
          <w:lang w:eastAsia="cs-CZ"/>
        </w:rPr>
        <mc:AlternateContent>
          <mc:Choice Requires="wps">
            <w:drawing>
              <wp:anchor distT="0" distB="0" distL="114300" distR="114300" simplePos="0" relativeHeight="251694080" behindDoc="0" locked="0" layoutInCell="1" allowOverlap="1" wp14:anchorId="09313688" wp14:editId="4005C58A">
                <wp:simplePos x="0" y="0"/>
                <wp:positionH relativeFrom="column">
                  <wp:posOffset>2542540</wp:posOffset>
                </wp:positionH>
                <wp:positionV relativeFrom="paragraph">
                  <wp:posOffset>2179320</wp:posOffset>
                </wp:positionV>
                <wp:extent cx="643255" cy="177800"/>
                <wp:effectExtent l="0" t="0" r="4445" b="12700"/>
                <wp:wrapNone/>
                <wp:docPr id="151" name="Textové pole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3255" cy="177800"/>
                        </a:xfrm>
                        <a:prstGeom prst="rect">
                          <a:avLst/>
                        </a:prstGeom>
                        <a:noFill/>
                        <a:ln w="6350">
                          <a:noFill/>
                        </a:ln>
                        <a:effectLst/>
                      </wps:spPr>
                      <wps:txbx>
                        <w:txbxContent>
                          <w:p w:rsidR="00206FAD" w:rsidRPr="005E4EF2" w:rsidRDefault="00206FAD" w:rsidP="00AD7092">
                            <w:pPr>
                              <w:jc w:val="center"/>
                              <w:rPr>
                                <w:b/>
                                <w:sz w:val="18"/>
                                <w:szCs w:val="18"/>
                              </w:rPr>
                            </w:pPr>
                            <w:r w:rsidRPr="005E4EF2">
                              <w:rPr>
                                <w:b/>
                                <w:sz w:val="18"/>
                                <w:szCs w:val="18"/>
                              </w:rPr>
                              <w:t>Lékařské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1" o:spid="_x0000_s1059" type="#_x0000_t202" style="position:absolute;left:0;text-align:left;margin-left:200.2pt;margin-top:171.6pt;width:50.65pt;height:1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" filled="f" stroked="f" strokeweight=".5pt">
                <v:path arrowok="t"/>
                <v:textbox inset="0,0,0,0">
                  <w:txbxContent>
                    <w:p w:rsidR="00206FAD" w:rsidRPr="005E4EF2" w:rsidRDefault="00206FAD" w:rsidP="00AD7092">
                      <w:pPr>
                        <w:jc w:val="center"/>
                        <w:rPr>
                          <w:b/>
                          <w:sz w:val="18"/>
                          <w:szCs w:val="18"/>
                        </w:rPr>
                      </w:pPr>
                      <w:r w:rsidRPr="005E4EF2">
                        <w:rPr>
                          <w:b/>
                          <w:sz w:val="18"/>
                          <w:szCs w:val="18"/>
                        </w:rPr>
                        <w:t>Lékařské</w:t>
                      </w:r>
                    </w:p>
                  </w:txbxContent>
                </v:textbox>
              </v:shape>
            </w:pict>
          </mc:Fallback>
        </mc:AlternateContent>
      </w:r>
      <w:r>
        <w:rPr>
          <w:noProof/>
          <w:lang w:eastAsia="cs-CZ"/>
        </w:rPr>
        <mc:AlternateContent>
          <mc:Choice Requires="wps">
            <w:drawing>
              <wp:anchor distT="0" distB="0" distL="114300" distR="114300" simplePos="0" relativeHeight="251691008" behindDoc="0" locked="0" layoutInCell="1" allowOverlap="1" wp14:anchorId="387827F3" wp14:editId="74A16440">
                <wp:simplePos x="0" y="0"/>
                <wp:positionH relativeFrom="column">
                  <wp:posOffset>5271770</wp:posOffset>
                </wp:positionH>
                <wp:positionV relativeFrom="paragraph">
                  <wp:posOffset>2325370</wp:posOffset>
                </wp:positionV>
                <wp:extent cx="683895" cy="177800"/>
                <wp:effectExtent l="0" t="0" r="1905" b="12700"/>
                <wp:wrapNone/>
                <wp:docPr id="152" name="Textové pole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206FAD" w:rsidRPr="005E4EF2" w:rsidRDefault="00206FAD" w:rsidP="00AD7092">
                            <w:pPr>
                              <w:jc w:val="center"/>
                              <w:rPr>
                                <w:b/>
                                <w:sz w:val="18"/>
                                <w:szCs w:val="18"/>
                              </w:rPr>
                            </w:pPr>
                            <w:r w:rsidRPr="005E4EF2">
                              <w:rPr>
                                <w:b/>
                                <w:sz w:val="18"/>
                                <w:szCs w:val="18"/>
                              </w:rPr>
                              <w:t>Humanitní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2" o:spid="_x0000_s1060" type="#_x0000_t202" style="position:absolute;left:0;text-align:left;margin-left:415.1pt;margin-top:183.1pt;width:53.85pt;height:1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" filled="f" stroked="f" strokeweight=".5pt">
                <v:path arrowok="t"/>
                <v:textbox inset="0,0,0,0">
                  <w:txbxContent>
                    <w:p w:rsidR="00206FAD" w:rsidRPr="005E4EF2" w:rsidRDefault="00206FAD" w:rsidP="00AD7092">
                      <w:pPr>
                        <w:jc w:val="center"/>
                        <w:rPr>
                          <w:b/>
                          <w:sz w:val="18"/>
                          <w:szCs w:val="18"/>
                        </w:rPr>
                      </w:pPr>
                      <w:r w:rsidRPr="005E4EF2">
                        <w:rPr>
                          <w:b/>
                          <w:sz w:val="18"/>
                          <w:szCs w:val="18"/>
                        </w:rPr>
                        <w:t>Humanitní</w:t>
                      </w:r>
                    </w:p>
                  </w:txbxContent>
                </v:textbox>
              </v:shape>
            </w:pict>
          </mc:Fallback>
        </mc:AlternateContent>
      </w:r>
      <w:r>
        <w:rPr>
          <w:noProof/>
          <w:lang w:eastAsia="cs-CZ"/>
        </w:rPr>
        <mc:AlternateContent>
          <mc:Choice Requires="wps">
            <w:drawing>
              <wp:anchor distT="0" distB="0" distL="114300" distR="114300" simplePos="0" relativeHeight="251692032" behindDoc="0" locked="0" layoutInCell="1" allowOverlap="1" wp14:anchorId="6E8FD652" wp14:editId="1F1DF75C">
                <wp:simplePos x="0" y="0"/>
                <wp:positionH relativeFrom="column">
                  <wp:posOffset>4367530</wp:posOffset>
                </wp:positionH>
                <wp:positionV relativeFrom="paragraph">
                  <wp:posOffset>2316480</wp:posOffset>
                </wp:positionV>
                <wp:extent cx="683895" cy="177800"/>
                <wp:effectExtent l="0" t="0" r="1905" b="12700"/>
                <wp:wrapNone/>
                <wp:docPr id="153" name="Textové pole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206FAD" w:rsidRPr="005E4EF2" w:rsidRDefault="00206FAD" w:rsidP="00AD7092">
                            <w:pPr>
                              <w:jc w:val="center"/>
                              <w:rPr>
                                <w:b/>
                                <w:sz w:val="18"/>
                                <w:szCs w:val="18"/>
                              </w:rPr>
                            </w:pPr>
                            <w:r w:rsidRPr="005E4EF2">
                              <w:rPr>
                                <w:b/>
                                <w:sz w:val="18"/>
                                <w:szCs w:val="18"/>
                              </w:rPr>
                              <w:t>Společenské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3" o:spid="_x0000_s1061" type="#_x0000_t202" style="position:absolute;left:0;text-align:left;margin-left:343.9pt;margin-top:182.4pt;width:53.85pt;height:1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" filled="f" stroked="f" strokeweight=".5pt">
                <v:path arrowok="t"/>
                <v:textbox inset="0,0,0,0">
                  <w:txbxContent>
                    <w:p w:rsidR="00206FAD" w:rsidRPr="005E4EF2" w:rsidRDefault="00206FAD" w:rsidP="00AD7092">
                      <w:pPr>
                        <w:jc w:val="center"/>
                        <w:rPr>
                          <w:b/>
                          <w:sz w:val="18"/>
                          <w:szCs w:val="18"/>
                        </w:rPr>
                      </w:pPr>
                      <w:r w:rsidRPr="005E4EF2">
                        <w:rPr>
                          <w:b/>
                          <w:sz w:val="18"/>
                          <w:szCs w:val="18"/>
                        </w:rPr>
                        <w:t>Společenské</w:t>
                      </w:r>
                    </w:p>
                  </w:txbxContent>
                </v:textbox>
              </v:shape>
            </w:pict>
          </mc:Fallback>
        </mc:AlternateContent>
      </w:r>
      <w:r>
        <w:rPr>
          <w:noProof/>
          <w:lang w:eastAsia="cs-CZ"/>
        </w:rPr>
        <mc:AlternateContent>
          <mc:Choice Requires="wps">
            <w:drawing>
              <wp:anchor distT="0" distB="0" distL="114300" distR="114300" simplePos="0" relativeHeight="251693056" behindDoc="0" locked="0" layoutInCell="1" allowOverlap="1" wp14:anchorId="5BA749BB" wp14:editId="3BC46573">
                <wp:simplePos x="0" y="0"/>
                <wp:positionH relativeFrom="column">
                  <wp:posOffset>1604645</wp:posOffset>
                </wp:positionH>
                <wp:positionV relativeFrom="paragraph">
                  <wp:posOffset>1948815</wp:posOffset>
                </wp:positionV>
                <wp:extent cx="683895" cy="177800"/>
                <wp:effectExtent l="0" t="0" r="1905" b="12700"/>
                <wp:wrapNone/>
                <wp:docPr id="154" name="Textové pole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206FAD" w:rsidRPr="005E4EF2" w:rsidRDefault="00206FAD" w:rsidP="00AD7092">
                            <w:pPr>
                              <w:jc w:val="center"/>
                              <w:rPr>
                                <w:b/>
                                <w:sz w:val="18"/>
                                <w:szCs w:val="18"/>
                              </w:rPr>
                            </w:pPr>
                            <w:r w:rsidRPr="005E4EF2">
                              <w:rPr>
                                <w:b/>
                                <w:sz w:val="18"/>
                                <w:szCs w:val="18"/>
                              </w:rPr>
                              <w:t>Technické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4" o:spid="_x0000_s1062" type="#_x0000_t202" style="position:absolute;left:0;text-align:left;margin-left:126.35pt;margin-top:153.45pt;width:53.85pt;height:1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" filled="f" stroked="f" strokeweight=".5pt">
                <v:path arrowok="t"/>
                <v:textbox inset="0,0,0,0">
                  <w:txbxContent>
                    <w:p w:rsidR="00206FAD" w:rsidRPr="005E4EF2" w:rsidRDefault="00206FAD" w:rsidP="00AD7092">
                      <w:pPr>
                        <w:jc w:val="center"/>
                        <w:rPr>
                          <w:b/>
                          <w:sz w:val="18"/>
                          <w:szCs w:val="18"/>
                        </w:rPr>
                      </w:pPr>
                      <w:r w:rsidRPr="005E4EF2">
                        <w:rPr>
                          <w:b/>
                          <w:sz w:val="18"/>
                          <w:szCs w:val="18"/>
                        </w:rPr>
                        <w:t>Technické</w:t>
                      </w:r>
                    </w:p>
                  </w:txbxContent>
                </v:textbox>
              </v:shape>
            </w:pict>
          </mc:Fallback>
        </mc:AlternateContent>
      </w:r>
      <w:r>
        <w:rPr>
          <w:noProof/>
          <w:lang w:eastAsia="cs-CZ"/>
        </w:rPr>
        <mc:AlternateContent>
          <mc:Choice Requires="wps">
            <w:drawing>
              <wp:anchor distT="0" distB="0" distL="114300" distR="114300" simplePos="0" relativeHeight="251695104" behindDoc="0" locked="0" layoutInCell="1" allowOverlap="1" wp14:anchorId="7874B06F" wp14:editId="2FA1935A">
                <wp:simplePos x="0" y="0"/>
                <wp:positionH relativeFrom="column">
                  <wp:posOffset>3442970</wp:posOffset>
                </wp:positionH>
                <wp:positionV relativeFrom="paragraph">
                  <wp:posOffset>2455545</wp:posOffset>
                </wp:positionV>
                <wp:extent cx="683895" cy="177800"/>
                <wp:effectExtent l="0" t="0" r="1905" b="12700"/>
                <wp:wrapNone/>
                <wp:docPr id="155" name="Textové pole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206FAD" w:rsidRPr="005E4EF2" w:rsidRDefault="00206FAD" w:rsidP="00AD7092">
                            <w:pPr>
                              <w:jc w:val="center"/>
                              <w:rPr>
                                <w:b/>
                                <w:sz w:val="18"/>
                                <w:szCs w:val="18"/>
                              </w:rPr>
                            </w:pPr>
                            <w:r w:rsidRPr="005E4EF2">
                              <w:rPr>
                                <w:b/>
                                <w:sz w:val="18"/>
                                <w:szCs w:val="18"/>
                              </w:rPr>
                              <w:t>Zemědělské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5" o:spid="_x0000_s1063" type="#_x0000_t202" style="position:absolute;left:0;text-align:left;margin-left:271.1pt;margin-top:193.35pt;width:53.85pt;height: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" filled="f" stroked="f" strokeweight=".5pt">
                <v:path arrowok="t"/>
                <v:textbox inset="0,0,0,0">
                  <w:txbxContent>
                    <w:p w:rsidR="00206FAD" w:rsidRPr="005E4EF2" w:rsidRDefault="00206FAD" w:rsidP="00AD7092">
                      <w:pPr>
                        <w:jc w:val="center"/>
                        <w:rPr>
                          <w:b/>
                          <w:sz w:val="18"/>
                          <w:szCs w:val="18"/>
                        </w:rPr>
                      </w:pPr>
                      <w:r w:rsidRPr="005E4EF2">
                        <w:rPr>
                          <w:b/>
                          <w:sz w:val="18"/>
                          <w:szCs w:val="18"/>
                        </w:rPr>
                        <w:t>Zemědělské</w:t>
                      </w:r>
                    </w:p>
                  </w:txbxContent>
                </v:textbox>
              </v:shape>
            </w:pict>
          </mc:Fallback>
        </mc:AlternateContent>
      </w:r>
      <w:r>
        <w:rPr>
          <w:noProof/>
          <w:lang w:eastAsia="cs-CZ"/>
        </w:rPr>
        <w:drawing>
          <wp:inline distT="0" distB="0" distL="0" distR="0" wp14:anchorId="649EB54A" wp14:editId="379DD0AB">
            <wp:extent cx="5762625" cy="3438525"/>
            <wp:effectExtent l="0" t="0" r="0" b="0"/>
            <wp:docPr id="158" name="Graf 1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AD7092" w:rsidRDefault="00AD7092" w:rsidP="00AD7092">
      <w:pPr>
        <w:spacing w:after="0" w:line="360" w:lineRule="auto"/>
        <w:ind w:firstLine="708"/>
        <w:jc w:val="both"/>
        <w:rPr>
          <w:rFonts w:ascii="Arial" w:hAnsi="Arial" w:cs="Arial"/>
          <w:bCs/>
          <w:lang w:eastAsia="cs-CZ"/>
        </w:rPr>
      </w:pPr>
    </w:p>
    <w:p w:rsidR="00AD7092" w:rsidRDefault="00FC5CCD" w:rsidP="00AD7092">
      <w:pPr>
        <w:spacing w:after="0" w:line="360" w:lineRule="auto"/>
        <w:ind w:firstLine="708"/>
        <w:jc w:val="both"/>
        <w:rPr>
          <w:rFonts w:ascii="Arial" w:hAnsi="Arial" w:cs="Arial"/>
          <w:bCs/>
          <w:lang w:eastAsia="cs-CZ"/>
        </w:rPr>
      </w:pPr>
      <w:r>
        <w:rPr>
          <w:rFonts w:ascii="Arial" w:hAnsi="Arial" w:cs="Arial"/>
          <w:bCs/>
          <w:lang w:eastAsia="cs-CZ"/>
        </w:rPr>
        <w:t xml:space="preserve">Rozdílně je pojímáno též členění v oblasti Společenských resp. Sociálních a humanitních věd (Obr. 7.5). Zatímco ve světě se pracuje s obsahově odlišně definovanými </w:t>
      </w:r>
      <w:proofErr w:type="spellStart"/>
      <w:r>
        <w:rPr>
          <w:rFonts w:ascii="Arial" w:hAnsi="Arial" w:cs="Arial"/>
          <w:bCs/>
          <w:lang w:eastAsia="cs-CZ"/>
        </w:rPr>
        <w:t>Social</w:t>
      </w:r>
      <w:proofErr w:type="spellEnd"/>
      <w:r>
        <w:rPr>
          <w:rFonts w:ascii="Arial" w:hAnsi="Arial" w:cs="Arial"/>
          <w:bCs/>
          <w:lang w:eastAsia="cs-CZ"/>
        </w:rPr>
        <w:t xml:space="preserve"> </w:t>
      </w:r>
      <w:proofErr w:type="spellStart"/>
      <w:r>
        <w:rPr>
          <w:rFonts w:ascii="Arial" w:hAnsi="Arial" w:cs="Arial"/>
          <w:bCs/>
          <w:lang w:eastAsia="cs-CZ"/>
        </w:rPr>
        <w:t>sciences</w:t>
      </w:r>
      <w:proofErr w:type="spellEnd"/>
      <w:r>
        <w:rPr>
          <w:rFonts w:ascii="Arial" w:hAnsi="Arial" w:cs="Arial"/>
          <w:bCs/>
          <w:lang w:eastAsia="cs-CZ"/>
        </w:rPr>
        <w:t xml:space="preserve"> a </w:t>
      </w:r>
      <w:proofErr w:type="spellStart"/>
      <w:r>
        <w:rPr>
          <w:rFonts w:ascii="Arial" w:hAnsi="Arial" w:cs="Arial"/>
          <w:bCs/>
          <w:lang w:eastAsia="cs-CZ"/>
        </w:rPr>
        <w:t>Humanities</w:t>
      </w:r>
      <w:proofErr w:type="spellEnd"/>
      <w:r>
        <w:rPr>
          <w:rFonts w:ascii="Arial" w:hAnsi="Arial" w:cs="Arial"/>
          <w:bCs/>
          <w:lang w:eastAsia="cs-CZ"/>
        </w:rPr>
        <w:t xml:space="preserve">, v českém systému jsou obě množiny spojeny, případně dále přerozdělovány podle jiných než obsahových kritérií. Nejprve do dvou kategorií podle priorit daných Národním referenčním rámcem excelence, který zavedl kategorii Společenských a humanitních věd pouze jako interní zastřešující název v informačním systému, kterému obory ne vždy odpovídají. Od roku 2013 jsou Společenské a humanitní vědy rozčleněny do tří podskupin podle publikačních zvyklostí, což přineslo značné problémy v oblasti zabezpečení jejich kvalifikovaného posouzení formou peer </w:t>
      </w:r>
      <w:proofErr w:type="spellStart"/>
      <w:r>
        <w:rPr>
          <w:rFonts w:ascii="Arial" w:hAnsi="Arial" w:cs="Arial"/>
          <w:bCs/>
          <w:lang w:eastAsia="cs-CZ"/>
        </w:rPr>
        <w:t>review</w:t>
      </w:r>
      <w:proofErr w:type="spellEnd"/>
      <w:r>
        <w:rPr>
          <w:rFonts w:ascii="Arial" w:hAnsi="Arial" w:cs="Arial"/>
          <w:bCs/>
          <w:lang w:eastAsia="cs-CZ"/>
        </w:rPr>
        <w:t>, které pro ně nakonec předepisuje</w:t>
      </w:r>
      <w:r w:rsidRPr="00D83113">
        <w:rPr>
          <w:rFonts w:ascii="Arial" w:hAnsi="Arial" w:cs="Arial"/>
          <w:bCs/>
          <w:i/>
          <w:lang w:eastAsia="cs-CZ"/>
        </w:rPr>
        <w:t xml:space="preserve"> </w:t>
      </w:r>
      <w:r w:rsidRPr="00D83113">
        <w:rPr>
          <w:rFonts w:ascii="Arial" w:hAnsi="Arial" w:cs="Arial"/>
          <w:bCs/>
          <w:lang w:eastAsia="cs-CZ"/>
        </w:rPr>
        <w:t>Metodika</w:t>
      </w:r>
      <w:r>
        <w:rPr>
          <w:rFonts w:ascii="Arial" w:hAnsi="Arial" w:cs="Arial"/>
          <w:bCs/>
          <w:lang w:eastAsia="cs-CZ"/>
        </w:rPr>
        <w:t>.</w:t>
      </w:r>
    </w:p>
    <w:p w:rsidR="00AD7092" w:rsidRDefault="00AD7092" w:rsidP="00AD7092">
      <w:pPr>
        <w:rPr>
          <w:rFonts w:ascii="Arial" w:hAnsi="Arial" w:cs="Arial"/>
          <w:bCs/>
          <w:lang w:eastAsia="cs-CZ"/>
        </w:rPr>
      </w:pPr>
      <w:r>
        <w:rPr>
          <w:rFonts w:ascii="Arial" w:hAnsi="Arial" w:cs="Arial"/>
          <w:bCs/>
          <w:lang w:eastAsia="cs-CZ"/>
        </w:rPr>
        <w:br w:type="page"/>
      </w:r>
    </w:p>
    <w:p w:rsidR="00AD7092" w:rsidRPr="00AD7092" w:rsidRDefault="00AD7092" w:rsidP="00AD7092">
      <w:pPr>
        <w:pStyle w:val="Obrzek-nadpis"/>
      </w:pPr>
      <w:r w:rsidRPr="00AD7092">
        <w:lastRenderedPageBreak/>
        <w:t xml:space="preserve">Obr. 7.5 Specifika členění společenských a humanitních oborů v ČR a vazba na mezinárodně užívané členění dle </w:t>
      </w:r>
      <w:proofErr w:type="spellStart"/>
      <w:r w:rsidRPr="00AD7092">
        <w:t>Frascati</w:t>
      </w:r>
      <w:proofErr w:type="spellEnd"/>
      <w:r w:rsidRPr="00AD7092">
        <w:t xml:space="preserve"> manuálu</w:t>
      </w:r>
    </w:p>
    <w:p w:rsidR="00AD7092" w:rsidRPr="00601B1A" w:rsidRDefault="00AD7092" w:rsidP="00AD7092">
      <w:pPr>
        <w:spacing w:after="0" w:line="240" w:lineRule="auto"/>
        <w:rPr>
          <w:rFonts w:ascii="Arial" w:hAnsi="Arial" w:cs="Arial"/>
          <w:bCs/>
          <w:i/>
          <w:lang w:eastAsia="cs-CZ"/>
        </w:rPr>
      </w:pPr>
      <w:r w:rsidRPr="00601B1A">
        <w:rPr>
          <w:noProof/>
          <w:lang w:eastAsia="cs-CZ"/>
        </w:rPr>
        <w:drawing>
          <wp:inline distT="0" distB="0" distL="0" distR="0" wp14:anchorId="3C5B0278" wp14:editId="0A7A80FA">
            <wp:extent cx="5772150" cy="5153025"/>
            <wp:effectExtent l="0" t="0" r="0" b="0"/>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72150" cy="5153025"/>
                    </a:xfrm>
                    <a:prstGeom prst="rect">
                      <a:avLst/>
                    </a:prstGeom>
                    <a:noFill/>
                    <a:ln>
                      <a:noFill/>
                    </a:ln>
                  </pic:spPr>
                </pic:pic>
              </a:graphicData>
            </a:graphic>
          </wp:inline>
        </w:drawing>
      </w:r>
    </w:p>
    <w:tbl>
      <w:tblPr>
        <w:tblW w:w="0" w:type="auto"/>
        <w:tblLook w:val="04A0" w:firstRow="1" w:lastRow="0" w:firstColumn="1" w:lastColumn="0" w:noHBand="0" w:noVBand="1"/>
      </w:tblPr>
      <w:tblGrid>
        <w:gridCol w:w="3509"/>
        <w:gridCol w:w="3262"/>
        <w:gridCol w:w="2515"/>
      </w:tblGrid>
      <w:tr w:rsidR="00AD7092" w:rsidRPr="00BA23CF" w:rsidTr="00264555">
        <w:trPr>
          <w:trHeight w:hRule="exact" w:val="227"/>
        </w:trPr>
        <w:tc>
          <w:tcPr>
            <w:tcW w:w="3509" w:type="dxa"/>
            <w:vMerge w:val="restart"/>
            <w:shd w:val="clear" w:color="auto" w:fill="auto"/>
            <w:noWrap/>
          </w:tcPr>
          <w:p w:rsidR="00AD7092" w:rsidRPr="000A3221" w:rsidRDefault="00AD7092" w:rsidP="00264555">
            <w:pPr>
              <w:spacing w:after="0" w:line="240" w:lineRule="auto"/>
              <w:jc w:val="center"/>
              <w:rPr>
                <w:rFonts w:cs="font279"/>
                <w:b/>
                <w:sz w:val="20"/>
                <w:szCs w:val="20"/>
              </w:rPr>
            </w:pPr>
            <w:proofErr w:type="spellStart"/>
            <w:r w:rsidRPr="000A3221">
              <w:rPr>
                <w:rFonts w:cs="font279"/>
                <w:b/>
                <w:sz w:val="20"/>
                <w:szCs w:val="20"/>
              </w:rPr>
              <w:t>Frascati</w:t>
            </w:r>
            <w:proofErr w:type="spellEnd"/>
            <w:r w:rsidRPr="000A3221">
              <w:rPr>
                <w:rFonts w:cs="font279"/>
                <w:b/>
                <w:sz w:val="20"/>
                <w:szCs w:val="20"/>
              </w:rPr>
              <w:t xml:space="preserve"> </w:t>
            </w:r>
            <w:proofErr w:type="spellStart"/>
            <w:r w:rsidRPr="000A3221">
              <w:rPr>
                <w:rFonts w:cs="font279"/>
                <w:b/>
                <w:sz w:val="20"/>
                <w:szCs w:val="20"/>
              </w:rPr>
              <w:t>manual</w:t>
            </w:r>
            <w:proofErr w:type="spellEnd"/>
            <w:r w:rsidRPr="000A3221">
              <w:rPr>
                <w:rFonts w:cs="font279"/>
                <w:b/>
                <w:sz w:val="20"/>
                <w:szCs w:val="20"/>
              </w:rPr>
              <w:t xml:space="preserve"> – FOS</w:t>
            </w:r>
          </w:p>
          <w:p w:rsidR="00AD7092" w:rsidRPr="000A3221" w:rsidRDefault="00AD7092" w:rsidP="00264555">
            <w:pPr>
              <w:spacing w:after="0" w:line="240" w:lineRule="auto"/>
              <w:jc w:val="center"/>
              <w:rPr>
                <w:rFonts w:cs="font279"/>
                <w:b/>
                <w:sz w:val="20"/>
                <w:szCs w:val="20"/>
              </w:rPr>
            </w:pPr>
            <w:r w:rsidRPr="000A3221">
              <w:rPr>
                <w:rFonts w:cs="font279"/>
                <w:b/>
                <w:sz w:val="20"/>
                <w:szCs w:val="20"/>
              </w:rPr>
              <w:t>(</w:t>
            </w:r>
            <w:proofErr w:type="spellStart"/>
            <w:r w:rsidRPr="000A3221">
              <w:rPr>
                <w:rFonts w:cs="font279"/>
                <w:b/>
                <w:sz w:val="20"/>
                <w:szCs w:val="20"/>
              </w:rPr>
              <w:t>Field</w:t>
            </w:r>
            <w:r>
              <w:rPr>
                <w:rFonts w:cs="font279"/>
                <w:b/>
                <w:sz w:val="20"/>
                <w:szCs w:val="20"/>
              </w:rPr>
              <w:t>s</w:t>
            </w:r>
            <w:proofErr w:type="spellEnd"/>
            <w:r w:rsidRPr="000A3221">
              <w:rPr>
                <w:rFonts w:cs="font279"/>
                <w:b/>
                <w:sz w:val="20"/>
                <w:szCs w:val="20"/>
              </w:rPr>
              <w:t xml:space="preserve"> </w:t>
            </w:r>
            <w:proofErr w:type="spellStart"/>
            <w:r w:rsidRPr="000A3221">
              <w:rPr>
                <w:rFonts w:cs="font279"/>
                <w:b/>
                <w:sz w:val="20"/>
                <w:szCs w:val="20"/>
              </w:rPr>
              <w:t>of</w:t>
            </w:r>
            <w:proofErr w:type="spellEnd"/>
            <w:r w:rsidRPr="000A3221">
              <w:rPr>
                <w:rFonts w:cs="font279"/>
                <w:b/>
                <w:sz w:val="20"/>
                <w:szCs w:val="20"/>
              </w:rPr>
              <w:t xml:space="preserve"> Science)</w:t>
            </w:r>
          </w:p>
        </w:tc>
        <w:tc>
          <w:tcPr>
            <w:tcW w:w="5777" w:type="dxa"/>
            <w:gridSpan w:val="2"/>
            <w:shd w:val="clear" w:color="auto" w:fill="auto"/>
            <w:noWrap/>
          </w:tcPr>
          <w:p w:rsidR="00AD7092" w:rsidRPr="000A3221" w:rsidRDefault="00AD7092" w:rsidP="00264555">
            <w:pPr>
              <w:spacing w:after="0" w:line="240" w:lineRule="auto"/>
              <w:jc w:val="center"/>
              <w:rPr>
                <w:rFonts w:cs="font279"/>
                <w:b/>
                <w:sz w:val="20"/>
                <w:szCs w:val="20"/>
              </w:rPr>
            </w:pPr>
            <w:r>
              <w:rPr>
                <w:rFonts w:cs="font279"/>
                <w:b/>
                <w:sz w:val="20"/>
                <w:szCs w:val="20"/>
              </w:rPr>
              <w:t xml:space="preserve">České členění dle </w:t>
            </w:r>
            <w:r w:rsidRPr="000A3221">
              <w:rPr>
                <w:rFonts w:cs="font279"/>
                <w:b/>
                <w:sz w:val="20"/>
                <w:szCs w:val="20"/>
              </w:rPr>
              <w:t xml:space="preserve">RIV </w:t>
            </w:r>
            <w:r>
              <w:rPr>
                <w:rFonts w:cs="font279"/>
                <w:b/>
                <w:sz w:val="20"/>
                <w:szCs w:val="20"/>
              </w:rPr>
              <w:t xml:space="preserve">- </w:t>
            </w:r>
            <w:r w:rsidRPr="00601B1A">
              <w:rPr>
                <w:rFonts w:cs="font279"/>
                <w:b/>
                <w:sz w:val="20"/>
                <w:szCs w:val="20"/>
              </w:rPr>
              <w:t>Společenské a humanitní vědy</w:t>
            </w:r>
          </w:p>
        </w:tc>
      </w:tr>
      <w:tr w:rsidR="00AD7092" w:rsidRPr="00BA23CF" w:rsidTr="00264555">
        <w:trPr>
          <w:trHeight w:hRule="exact" w:val="227"/>
        </w:trPr>
        <w:tc>
          <w:tcPr>
            <w:tcW w:w="3509" w:type="dxa"/>
            <w:vMerge/>
            <w:tcBorders>
              <w:bottom w:val="single" w:sz="4" w:space="0" w:color="auto"/>
            </w:tcBorders>
            <w:shd w:val="clear" w:color="auto" w:fill="auto"/>
            <w:noWrap/>
          </w:tcPr>
          <w:p w:rsidR="00AD7092" w:rsidRPr="000A3221" w:rsidRDefault="00AD7092" w:rsidP="00264555">
            <w:pPr>
              <w:spacing w:after="0" w:line="240" w:lineRule="auto"/>
              <w:rPr>
                <w:rFonts w:cs="font279"/>
                <w:sz w:val="20"/>
                <w:szCs w:val="20"/>
              </w:rPr>
            </w:pPr>
          </w:p>
        </w:tc>
        <w:tc>
          <w:tcPr>
            <w:tcW w:w="3262" w:type="dxa"/>
            <w:tcBorders>
              <w:bottom w:val="single" w:sz="4" w:space="0" w:color="auto"/>
            </w:tcBorders>
            <w:shd w:val="clear" w:color="auto" w:fill="auto"/>
            <w:noWrap/>
          </w:tcPr>
          <w:p w:rsidR="00AD7092" w:rsidRPr="000A3221" w:rsidRDefault="00AD7092" w:rsidP="00264555">
            <w:pPr>
              <w:spacing w:after="0" w:line="240" w:lineRule="auto"/>
              <w:jc w:val="center"/>
              <w:rPr>
                <w:rFonts w:cs="font279"/>
                <w:b/>
                <w:sz w:val="20"/>
                <w:szCs w:val="20"/>
              </w:rPr>
            </w:pPr>
            <w:r w:rsidRPr="000A3221">
              <w:rPr>
                <w:rFonts w:cs="font279"/>
                <w:b/>
                <w:sz w:val="20"/>
                <w:szCs w:val="20"/>
              </w:rPr>
              <w:t>2008 - 2012</w:t>
            </w:r>
          </w:p>
        </w:tc>
        <w:tc>
          <w:tcPr>
            <w:tcW w:w="2515" w:type="dxa"/>
            <w:tcBorders>
              <w:bottom w:val="single" w:sz="4" w:space="0" w:color="auto"/>
            </w:tcBorders>
            <w:shd w:val="clear" w:color="auto" w:fill="auto"/>
          </w:tcPr>
          <w:p w:rsidR="00AD7092" w:rsidRPr="000A3221" w:rsidRDefault="00AD7092" w:rsidP="00264555">
            <w:pPr>
              <w:spacing w:after="0" w:line="240" w:lineRule="auto"/>
              <w:jc w:val="center"/>
              <w:rPr>
                <w:rFonts w:cs="font279"/>
                <w:b/>
                <w:sz w:val="20"/>
                <w:szCs w:val="20"/>
              </w:rPr>
            </w:pPr>
            <w:r w:rsidRPr="000A3221">
              <w:rPr>
                <w:rFonts w:cs="font279"/>
                <w:b/>
                <w:sz w:val="20"/>
                <w:szCs w:val="20"/>
              </w:rPr>
              <w:t>2013 – 2016</w:t>
            </w:r>
          </w:p>
        </w:tc>
      </w:tr>
      <w:tr w:rsidR="00AD7092" w:rsidRPr="00BA23CF" w:rsidTr="00264555">
        <w:trPr>
          <w:trHeight w:hRule="exact" w:val="227"/>
        </w:trPr>
        <w:tc>
          <w:tcPr>
            <w:tcW w:w="3509" w:type="dxa"/>
            <w:tcBorders>
              <w:top w:val="single" w:sz="4" w:space="0" w:color="auto"/>
            </w:tcBorders>
            <w:shd w:val="clear" w:color="auto" w:fill="00B0F0"/>
            <w:noWrap/>
          </w:tcPr>
          <w:p w:rsidR="00AD7092" w:rsidRPr="004A67FF" w:rsidRDefault="00AD7092" w:rsidP="00264555">
            <w:pPr>
              <w:spacing w:after="0" w:line="240" w:lineRule="auto"/>
              <w:rPr>
                <w:rFonts w:cs="font279"/>
                <w:sz w:val="20"/>
                <w:szCs w:val="20"/>
              </w:rPr>
            </w:pPr>
            <w:r w:rsidRPr="004A67FF">
              <w:rPr>
                <w:rFonts w:cs="font279"/>
                <w:sz w:val="20"/>
                <w:szCs w:val="20"/>
              </w:rPr>
              <w:t xml:space="preserve">3. </w:t>
            </w:r>
            <w:proofErr w:type="spellStart"/>
            <w:r w:rsidRPr="004A67FF">
              <w:rPr>
                <w:rFonts w:cs="font279"/>
                <w:sz w:val="20"/>
                <w:szCs w:val="20"/>
              </w:rPr>
              <w:t>Medical</w:t>
            </w:r>
            <w:proofErr w:type="spellEnd"/>
            <w:r w:rsidRPr="004A67FF">
              <w:rPr>
                <w:rFonts w:cs="font279"/>
                <w:sz w:val="20"/>
                <w:szCs w:val="20"/>
              </w:rPr>
              <w:t xml:space="preserve"> and </w:t>
            </w:r>
            <w:proofErr w:type="spellStart"/>
            <w:r w:rsidRPr="004A67FF">
              <w:rPr>
                <w:rFonts w:cs="font279"/>
                <w:sz w:val="20"/>
                <w:szCs w:val="20"/>
              </w:rPr>
              <w:t>Health</w:t>
            </w:r>
            <w:proofErr w:type="spellEnd"/>
            <w:r w:rsidRPr="004A67FF">
              <w:rPr>
                <w:rFonts w:cs="font279"/>
                <w:sz w:val="20"/>
                <w:szCs w:val="20"/>
              </w:rPr>
              <w:t xml:space="preserve"> </w:t>
            </w:r>
            <w:proofErr w:type="spellStart"/>
            <w:r w:rsidRPr="004A67FF">
              <w:rPr>
                <w:rFonts w:cs="font279"/>
                <w:sz w:val="20"/>
                <w:szCs w:val="20"/>
              </w:rPr>
              <w:t>Sciences</w:t>
            </w:r>
            <w:proofErr w:type="spellEnd"/>
          </w:p>
        </w:tc>
        <w:tc>
          <w:tcPr>
            <w:tcW w:w="3262" w:type="dxa"/>
            <w:tcBorders>
              <w:top w:val="single" w:sz="4" w:space="0" w:color="auto"/>
            </w:tcBorders>
            <w:shd w:val="clear" w:color="auto" w:fill="auto"/>
            <w:noWrap/>
          </w:tcPr>
          <w:p w:rsidR="00AD7092" w:rsidRPr="000A3221" w:rsidRDefault="00AD7092" w:rsidP="00264555">
            <w:pPr>
              <w:spacing w:after="0" w:line="240" w:lineRule="auto"/>
              <w:rPr>
                <w:rFonts w:cs="font279"/>
                <w:sz w:val="20"/>
                <w:szCs w:val="20"/>
              </w:rPr>
            </w:pPr>
          </w:p>
        </w:tc>
        <w:tc>
          <w:tcPr>
            <w:tcW w:w="2515" w:type="dxa"/>
            <w:tcBorders>
              <w:top w:val="single" w:sz="4" w:space="0" w:color="auto"/>
            </w:tcBorders>
            <w:shd w:val="clear" w:color="auto" w:fill="auto"/>
          </w:tcPr>
          <w:p w:rsidR="00AD7092" w:rsidRPr="000A3221" w:rsidRDefault="00AD7092" w:rsidP="00264555">
            <w:pPr>
              <w:spacing w:after="0" w:line="240" w:lineRule="auto"/>
              <w:rPr>
                <w:rFonts w:cs="font279"/>
                <w:sz w:val="20"/>
                <w:szCs w:val="20"/>
              </w:rPr>
            </w:pPr>
          </w:p>
        </w:tc>
      </w:tr>
      <w:tr w:rsidR="00AD7092" w:rsidRPr="00BA23CF" w:rsidTr="00264555">
        <w:trPr>
          <w:trHeight w:hRule="exact" w:val="227"/>
        </w:trPr>
        <w:tc>
          <w:tcPr>
            <w:tcW w:w="3509" w:type="dxa"/>
            <w:shd w:val="clear" w:color="auto" w:fill="FFFF00"/>
            <w:noWrap/>
          </w:tcPr>
          <w:p w:rsidR="00AD7092" w:rsidRPr="004A67FF" w:rsidRDefault="00AD7092" w:rsidP="00264555">
            <w:pPr>
              <w:spacing w:after="0" w:line="240" w:lineRule="auto"/>
              <w:rPr>
                <w:rFonts w:cs="font279"/>
                <w:sz w:val="20"/>
                <w:szCs w:val="20"/>
              </w:rPr>
            </w:pPr>
            <w:r w:rsidRPr="004A67FF">
              <w:rPr>
                <w:rFonts w:cs="font279"/>
                <w:sz w:val="20"/>
                <w:szCs w:val="20"/>
              </w:rPr>
              <w:t xml:space="preserve">5. </w:t>
            </w:r>
            <w:proofErr w:type="spellStart"/>
            <w:r w:rsidRPr="004A67FF">
              <w:rPr>
                <w:rFonts w:cs="font279"/>
                <w:sz w:val="20"/>
                <w:szCs w:val="20"/>
              </w:rPr>
              <w:t>Social</w:t>
            </w:r>
            <w:proofErr w:type="spellEnd"/>
            <w:r w:rsidRPr="004A67FF">
              <w:rPr>
                <w:rFonts w:cs="font279"/>
                <w:sz w:val="20"/>
                <w:szCs w:val="20"/>
              </w:rPr>
              <w:t xml:space="preserve"> </w:t>
            </w:r>
            <w:proofErr w:type="spellStart"/>
            <w:r w:rsidRPr="004A67FF">
              <w:rPr>
                <w:rFonts w:cs="font279"/>
                <w:sz w:val="20"/>
                <w:szCs w:val="20"/>
              </w:rPr>
              <w:t>Sciences</w:t>
            </w:r>
            <w:proofErr w:type="spellEnd"/>
          </w:p>
        </w:tc>
        <w:tc>
          <w:tcPr>
            <w:tcW w:w="3262" w:type="dxa"/>
            <w:shd w:val="clear" w:color="auto" w:fill="FFFF00"/>
            <w:noWrap/>
          </w:tcPr>
          <w:p w:rsidR="00AD7092" w:rsidRPr="000A3221" w:rsidRDefault="00AD7092" w:rsidP="00264555">
            <w:pPr>
              <w:spacing w:after="0" w:line="240" w:lineRule="auto"/>
              <w:rPr>
                <w:rFonts w:cs="font279"/>
                <w:sz w:val="20"/>
                <w:szCs w:val="20"/>
              </w:rPr>
            </w:pPr>
            <w:r w:rsidRPr="000A3221">
              <w:rPr>
                <w:rFonts w:cs="font279"/>
                <w:sz w:val="20"/>
                <w:szCs w:val="20"/>
              </w:rPr>
              <w:t>I. kategorie</w:t>
            </w:r>
          </w:p>
        </w:tc>
        <w:tc>
          <w:tcPr>
            <w:tcW w:w="2515" w:type="dxa"/>
            <w:vMerge w:val="restart"/>
            <w:shd w:val="clear" w:color="auto" w:fill="FFC000"/>
            <w:vAlign w:val="center"/>
          </w:tcPr>
          <w:p w:rsidR="00AD7092" w:rsidRPr="000A3221" w:rsidRDefault="00AD7092" w:rsidP="00264555">
            <w:pPr>
              <w:spacing w:after="0" w:line="240" w:lineRule="auto"/>
              <w:jc w:val="center"/>
              <w:rPr>
                <w:rFonts w:cs="font279"/>
                <w:sz w:val="20"/>
                <w:szCs w:val="20"/>
              </w:rPr>
            </w:pPr>
            <w:proofErr w:type="spellStart"/>
            <w:r w:rsidRPr="000A3221">
              <w:rPr>
                <w:rFonts w:cs="font279"/>
                <w:sz w:val="20"/>
                <w:szCs w:val="20"/>
              </w:rPr>
              <w:t>SHVa</w:t>
            </w:r>
            <w:proofErr w:type="spellEnd"/>
            <w:r w:rsidRPr="000A3221">
              <w:rPr>
                <w:rFonts w:cs="font279"/>
                <w:sz w:val="20"/>
                <w:szCs w:val="20"/>
              </w:rPr>
              <w:t xml:space="preserve">, </w:t>
            </w:r>
            <w:proofErr w:type="spellStart"/>
            <w:r w:rsidRPr="000A3221">
              <w:rPr>
                <w:rFonts w:cs="font279"/>
                <w:sz w:val="20"/>
                <w:szCs w:val="20"/>
              </w:rPr>
              <w:t>SHVb</w:t>
            </w:r>
            <w:proofErr w:type="spellEnd"/>
            <w:r w:rsidRPr="000A3221">
              <w:rPr>
                <w:rFonts w:cs="font279"/>
                <w:sz w:val="20"/>
                <w:szCs w:val="20"/>
              </w:rPr>
              <w:t xml:space="preserve">, </w:t>
            </w:r>
            <w:proofErr w:type="spellStart"/>
            <w:r w:rsidRPr="000A3221">
              <w:rPr>
                <w:rFonts w:cs="font279"/>
                <w:sz w:val="20"/>
                <w:szCs w:val="20"/>
              </w:rPr>
              <w:t>SHVc</w:t>
            </w:r>
            <w:proofErr w:type="spellEnd"/>
          </w:p>
        </w:tc>
      </w:tr>
      <w:tr w:rsidR="00AD7092" w:rsidRPr="00BA23CF" w:rsidTr="00264555">
        <w:trPr>
          <w:trHeight w:hRule="exact" w:val="227"/>
        </w:trPr>
        <w:tc>
          <w:tcPr>
            <w:tcW w:w="3509" w:type="dxa"/>
            <w:shd w:val="clear" w:color="auto" w:fill="FF0000"/>
            <w:noWrap/>
          </w:tcPr>
          <w:p w:rsidR="00AD7092" w:rsidRPr="004A67FF" w:rsidRDefault="00AD7092" w:rsidP="00264555">
            <w:pPr>
              <w:spacing w:after="0" w:line="240" w:lineRule="auto"/>
              <w:rPr>
                <w:rFonts w:cs="font279"/>
                <w:sz w:val="20"/>
                <w:szCs w:val="20"/>
              </w:rPr>
            </w:pPr>
            <w:r w:rsidRPr="004A67FF">
              <w:rPr>
                <w:rFonts w:cs="font279"/>
                <w:sz w:val="20"/>
                <w:szCs w:val="20"/>
              </w:rPr>
              <w:t xml:space="preserve">6. </w:t>
            </w:r>
            <w:proofErr w:type="spellStart"/>
            <w:r w:rsidRPr="004A67FF">
              <w:rPr>
                <w:rFonts w:cs="font279"/>
                <w:sz w:val="20"/>
                <w:szCs w:val="20"/>
              </w:rPr>
              <w:t>Humanities</w:t>
            </w:r>
            <w:proofErr w:type="spellEnd"/>
          </w:p>
        </w:tc>
        <w:tc>
          <w:tcPr>
            <w:tcW w:w="3262" w:type="dxa"/>
            <w:shd w:val="clear" w:color="auto" w:fill="FF0000"/>
            <w:noWrap/>
          </w:tcPr>
          <w:p w:rsidR="00AD7092" w:rsidRPr="000A3221" w:rsidRDefault="00AD7092" w:rsidP="00264555">
            <w:pPr>
              <w:spacing w:after="0" w:line="240" w:lineRule="auto"/>
              <w:rPr>
                <w:rFonts w:cs="font279"/>
                <w:sz w:val="20"/>
                <w:szCs w:val="20"/>
              </w:rPr>
            </w:pPr>
            <w:r w:rsidRPr="000A3221">
              <w:rPr>
                <w:rFonts w:cs="font279"/>
                <w:sz w:val="20"/>
                <w:szCs w:val="20"/>
              </w:rPr>
              <w:t>II. kategorie</w:t>
            </w:r>
          </w:p>
        </w:tc>
        <w:tc>
          <w:tcPr>
            <w:tcW w:w="2515" w:type="dxa"/>
            <w:vMerge/>
            <w:shd w:val="clear" w:color="auto" w:fill="FFC000"/>
          </w:tcPr>
          <w:p w:rsidR="00AD7092" w:rsidRPr="000A3221" w:rsidRDefault="00AD7092" w:rsidP="00264555">
            <w:pPr>
              <w:spacing w:after="0" w:line="240" w:lineRule="auto"/>
              <w:rPr>
                <w:rFonts w:cs="font279"/>
                <w:sz w:val="20"/>
                <w:szCs w:val="20"/>
              </w:rPr>
            </w:pPr>
          </w:p>
        </w:tc>
      </w:tr>
      <w:tr w:rsidR="00AD7092" w:rsidRPr="00BA23CF" w:rsidTr="00264555">
        <w:trPr>
          <w:trHeight w:hRule="exact" w:val="227"/>
        </w:trPr>
        <w:tc>
          <w:tcPr>
            <w:tcW w:w="3509" w:type="dxa"/>
            <w:vMerge w:val="restart"/>
            <w:shd w:val="clear" w:color="auto" w:fill="00B0F0"/>
            <w:noWrap/>
            <w:vAlign w:val="center"/>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3.3.  </w:t>
            </w:r>
            <w:proofErr w:type="spellStart"/>
            <w:r w:rsidRPr="004A67FF">
              <w:rPr>
                <w:rFonts w:cs="font279"/>
                <w:sz w:val="20"/>
                <w:szCs w:val="20"/>
              </w:rPr>
              <w:t>Health</w:t>
            </w:r>
            <w:proofErr w:type="spellEnd"/>
            <w:r w:rsidRPr="004A67FF">
              <w:rPr>
                <w:rFonts w:cs="font279"/>
                <w:sz w:val="20"/>
                <w:szCs w:val="20"/>
              </w:rPr>
              <w:t xml:space="preserve"> </w:t>
            </w:r>
            <w:proofErr w:type="spellStart"/>
            <w:r w:rsidRPr="004A67FF">
              <w:rPr>
                <w:rFonts w:cs="font279"/>
                <w:sz w:val="20"/>
                <w:szCs w:val="20"/>
              </w:rPr>
              <w:t>sciences</w:t>
            </w:r>
            <w:proofErr w:type="spellEnd"/>
            <w:r w:rsidRPr="004A67FF">
              <w:rPr>
                <w:rFonts w:cs="font279"/>
                <w:sz w:val="20"/>
                <w:szCs w:val="20"/>
              </w:rPr>
              <w:t> </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AK Sport a aktivity volného času</w:t>
            </w:r>
          </w:p>
        </w:tc>
      </w:tr>
      <w:tr w:rsidR="00AD7092" w:rsidRPr="00BA23CF" w:rsidTr="00264555">
        <w:trPr>
          <w:trHeight w:hRule="exact" w:val="227"/>
        </w:trPr>
        <w:tc>
          <w:tcPr>
            <w:tcW w:w="3509" w:type="dxa"/>
            <w:vMerge/>
            <w:shd w:val="clear" w:color="auto" w:fill="00B0F0"/>
            <w:noWrap/>
            <w:hideMark/>
          </w:tcPr>
          <w:p w:rsidR="00AD7092" w:rsidRPr="004A67FF" w:rsidRDefault="00AD7092" w:rsidP="00264555">
            <w:pPr>
              <w:spacing w:after="0" w:line="240" w:lineRule="auto"/>
              <w:rPr>
                <w:rFonts w:cs="font279"/>
                <w:sz w:val="20"/>
                <w:szCs w:val="20"/>
              </w:rPr>
            </w:pP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AQ Bezpečnost a ochrana zdraví, člověk-stroj</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5.1.  Psychology</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AN Psychologie</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5.2  </w:t>
            </w:r>
            <w:proofErr w:type="spellStart"/>
            <w:r w:rsidRPr="004A67FF">
              <w:rPr>
                <w:rFonts w:cs="font279"/>
                <w:sz w:val="20"/>
                <w:szCs w:val="20"/>
              </w:rPr>
              <w:t>Economics</w:t>
            </w:r>
            <w:proofErr w:type="spellEnd"/>
            <w:r w:rsidRPr="004A67FF">
              <w:rPr>
                <w:rFonts w:cs="font279"/>
                <w:sz w:val="20"/>
                <w:szCs w:val="20"/>
              </w:rPr>
              <w:t xml:space="preserve"> and Business</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AH Ekonomie</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5.3  </w:t>
            </w:r>
            <w:proofErr w:type="spellStart"/>
            <w:r w:rsidRPr="004A67FF">
              <w:rPr>
                <w:rFonts w:cs="font279"/>
                <w:sz w:val="20"/>
                <w:szCs w:val="20"/>
              </w:rPr>
              <w:t>Educational</w:t>
            </w:r>
            <w:proofErr w:type="spellEnd"/>
            <w:r w:rsidRPr="004A67FF">
              <w:rPr>
                <w:rFonts w:cs="font279"/>
                <w:sz w:val="20"/>
                <w:szCs w:val="20"/>
              </w:rPr>
              <w:t xml:space="preserve"> </w:t>
            </w:r>
            <w:proofErr w:type="spellStart"/>
            <w:r w:rsidRPr="004A67FF">
              <w:rPr>
                <w:rFonts w:cs="font279"/>
                <w:sz w:val="20"/>
                <w:szCs w:val="20"/>
              </w:rPr>
              <w:t>sciences</w:t>
            </w:r>
            <w:proofErr w:type="spellEnd"/>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AM Pedagogika a školství</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proofErr w:type="gramStart"/>
            <w:r w:rsidRPr="004A67FF">
              <w:rPr>
                <w:rFonts w:cs="font279"/>
                <w:sz w:val="20"/>
                <w:szCs w:val="20"/>
              </w:rPr>
              <w:t>5.4  Sociology</w:t>
            </w:r>
            <w:proofErr w:type="gramEnd"/>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AO Sociologie, demografie</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proofErr w:type="gramStart"/>
            <w:r w:rsidRPr="004A67FF">
              <w:rPr>
                <w:rFonts w:cs="font279"/>
                <w:sz w:val="20"/>
                <w:szCs w:val="20"/>
              </w:rPr>
              <w:t xml:space="preserve">5.5  </w:t>
            </w:r>
            <w:proofErr w:type="spellStart"/>
            <w:r w:rsidRPr="004A67FF">
              <w:rPr>
                <w:rFonts w:cs="font279"/>
                <w:sz w:val="20"/>
                <w:szCs w:val="20"/>
              </w:rPr>
              <w:t>Law</w:t>
            </w:r>
            <w:proofErr w:type="spellEnd"/>
            <w:proofErr w:type="gramEnd"/>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AG Právní vědy</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5.6  </w:t>
            </w:r>
            <w:proofErr w:type="spellStart"/>
            <w:r w:rsidRPr="004A67FF">
              <w:rPr>
                <w:rFonts w:cs="font279"/>
                <w:sz w:val="20"/>
                <w:szCs w:val="20"/>
              </w:rPr>
              <w:t>Political</w:t>
            </w:r>
            <w:proofErr w:type="spellEnd"/>
            <w:r w:rsidRPr="004A67FF">
              <w:rPr>
                <w:rFonts w:cs="font279"/>
                <w:sz w:val="20"/>
                <w:szCs w:val="20"/>
              </w:rPr>
              <w:t xml:space="preserve"> science</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AD Politologie a politické vědy</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5.7  </w:t>
            </w:r>
            <w:proofErr w:type="spellStart"/>
            <w:r w:rsidRPr="004A67FF">
              <w:rPr>
                <w:rFonts w:cs="font279"/>
                <w:sz w:val="20"/>
                <w:szCs w:val="20"/>
              </w:rPr>
              <w:t>Social</w:t>
            </w:r>
            <w:proofErr w:type="spellEnd"/>
            <w:r w:rsidRPr="004A67FF">
              <w:rPr>
                <w:rFonts w:cs="font279"/>
                <w:sz w:val="20"/>
                <w:szCs w:val="20"/>
              </w:rPr>
              <w:t xml:space="preserve"> and </w:t>
            </w:r>
            <w:proofErr w:type="spellStart"/>
            <w:r w:rsidRPr="004A67FF">
              <w:rPr>
                <w:rFonts w:cs="font279"/>
                <w:sz w:val="20"/>
                <w:szCs w:val="20"/>
              </w:rPr>
              <w:t>economic</w:t>
            </w:r>
            <w:proofErr w:type="spellEnd"/>
            <w:r w:rsidRPr="004A67FF">
              <w:rPr>
                <w:rFonts w:cs="font279"/>
                <w:sz w:val="20"/>
                <w:szCs w:val="20"/>
              </w:rPr>
              <w:t xml:space="preserve"> </w:t>
            </w:r>
            <w:proofErr w:type="spellStart"/>
            <w:r w:rsidRPr="004A67FF">
              <w:rPr>
                <w:rFonts w:cs="font279"/>
                <w:sz w:val="20"/>
                <w:szCs w:val="20"/>
              </w:rPr>
              <w:t>geography</w:t>
            </w:r>
            <w:proofErr w:type="spellEnd"/>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AP Městské, oblastní a dopravní plánování</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proofErr w:type="gramStart"/>
            <w:r w:rsidRPr="004A67FF">
              <w:rPr>
                <w:rFonts w:cs="font279"/>
                <w:sz w:val="20"/>
                <w:szCs w:val="20"/>
              </w:rPr>
              <w:t>5.8  Media</w:t>
            </w:r>
            <w:proofErr w:type="gramEnd"/>
            <w:r w:rsidRPr="004A67FF">
              <w:rPr>
                <w:rFonts w:cs="font279"/>
                <w:sz w:val="20"/>
                <w:szCs w:val="20"/>
              </w:rPr>
              <w:t xml:space="preserve"> and </w:t>
            </w:r>
            <w:proofErr w:type="spellStart"/>
            <w:r w:rsidRPr="004A67FF">
              <w:rPr>
                <w:rFonts w:cs="font279"/>
                <w:sz w:val="20"/>
                <w:szCs w:val="20"/>
              </w:rPr>
              <w:t>communications</w:t>
            </w:r>
            <w:proofErr w:type="spellEnd"/>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AF Dokumentace, knihovnictví, práce s informacemi</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5.9  </w:t>
            </w:r>
            <w:proofErr w:type="spellStart"/>
            <w:r w:rsidRPr="004A67FF">
              <w:rPr>
                <w:rFonts w:cs="font279"/>
                <w:sz w:val="20"/>
                <w:szCs w:val="20"/>
              </w:rPr>
              <w:t>Other</w:t>
            </w:r>
            <w:proofErr w:type="spellEnd"/>
            <w:r w:rsidRPr="004A67FF">
              <w:rPr>
                <w:rFonts w:cs="font279"/>
                <w:sz w:val="20"/>
                <w:szCs w:val="20"/>
              </w:rPr>
              <w:t xml:space="preserve"> </w:t>
            </w:r>
            <w:proofErr w:type="spellStart"/>
            <w:r w:rsidRPr="004A67FF">
              <w:rPr>
                <w:rFonts w:cs="font279"/>
                <w:sz w:val="20"/>
                <w:szCs w:val="20"/>
              </w:rPr>
              <w:t>social</w:t>
            </w:r>
            <w:proofErr w:type="spellEnd"/>
            <w:r w:rsidRPr="004A67FF">
              <w:rPr>
                <w:rFonts w:cs="font279"/>
                <w:sz w:val="20"/>
                <w:szCs w:val="20"/>
              </w:rPr>
              <w:t xml:space="preserve"> </w:t>
            </w:r>
            <w:proofErr w:type="spellStart"/>
            <w:r w:rsidRPr="004A67FF">
              <w:rPr>
                <w:rFonts w:cs="font279"/>
                <w:sz w:val="20"/>
                <w:szCs w:val="20"/>
              </w:rPr>
              <w:t>sciences</w:t>
            </w:r>
            <w:proofErr w:type="spellEnd"/>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AE Řízení, správa a administrativa</w:t>
            </w:r>
          </w:p>
        </w:tc>
      </w:tr>
      <w:tr w:rsidR="00AD7092" w:rsidRPr="00BA23CF" w:rsidTr="00264555">
        <w:trPr>
          <w:trHeight w:hRule="exact" w:val="227"/>
        </w:trPr>
        <w:tc>
          <w:tcPr>
            <w:tcW w:w="3509" w:type="dxa"/>
            <w:vMerge w:val="restart"/>
            <w:shd w:val="clear" w:color="auto" w:fill="FF0000"/>
            <w:noWrap/>
            <w:vAlign w:val="center"/>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6.1  </w:t>
            </w:r>
            <w:proofErr w:type="spellStart"/>
            <w:r w:rsidRPr="004A67FF">
              <w:rPr>
                <w:rFonts w:cs="font279"/>
                <w:sz w:val="20"/>
                <w:szCs w:val="20"/>
              </w:rPr>
              <w:t>History</w:t>
            </w:r>
            <w:proofErr w:type="spellEnd"/>
            <w:r w:rsidRPr="004A67FF">
              <w:rPr>
                <w:rFonts w:cs="font279"/>
                <w:sz w:val="20"/>
                <w:szCs w:val="20"/>
              </w:rPr>
              <w:t xml:space="preserve"> and </w:t>
            </w:r>
            <w:proofErr w:type="spellStart"/>
            <w:r w:rsidRPr="004A67FF">
              <w:rPr>
                <w:rFonts w:cs="font279"/>
                <w:sz w:val="20"/>
                <w:szCs w:val="20"/>
              </w:rPr>
              <w:t>Archaeology</w:t>
            </w:r>
            <w:proofErr w:type="spellEnd"/>
            <w:r w:rsidRPr="004A67FF">
              <w:rPr>
                <w:rFonts w:cs="font279"/>
                <w:sz w:val="20"/>
                <w:szCs w:val="20"/>
              </w:rPr>
              <w:t> </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AB Dějiny</w:t>
            </w:r>
          </w:p>
        </w:tc>
      </w:tr>
      <w:tr w:rsidR="00AD7092" w:rsidRPr="00BA23CF" w:rsidTr="00264555">
        <w:trPr>
          <w:trHeight w:hRule="exact" w:val="227"/>
        </w:trPr>
        <w:tc>
          <w:tcPr>
            <w:tcW w:w="3509" w:type="dxa"/>
            <w:vMerge/>
            <w:shd w:val="clear" w:color="auto" w:fill="FF0000"/>
            <w:noWrap/>
            <w:hideMark/>
          </w:tcPr>
          <w:p w:rsidR="00AD7092" w:rsidRPr="004A67FF" w:rsidRDefault="00AD7092" w:rsidP="00264555">
            <w:pPr>
              <w:spacing w:after="0" w:line="240" w:lineRule="auto"/>
              <w:rPr>
                <w:rFonts w:cs="font279"/>
                <w:sz w:val="20"/>
                <w:szCs w:val="20"/>
              </w:rPr>
            </w:pP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AC Archeologie, antropologie, etnologie</w:t>
            </w:r>
          </w:p>
        </w:tc>
      </w:tr>
      <w:tr w:rsidR="00AD7092" w:rsidRPr="00BA23CF" w:rsidTr="00264555">
        <w:trPr>
          <w:trHeight w:hRule="exact" w:val="227"/>
        </w:trPr>
        <w:tc>
          <w:tcPr>
            <w:tcW w:w="3509" w:type="dxa"/>
            <w:vMerge w:val="restart"/>
            <w:shd w:val="clear" w:color="auto" w:fill="FF0000"/>
            <w:noWrap/>
            <w:vAlign w:val="center"/>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6.2  </w:t>
            </w:r>
            <w:proofErr w:type="spellStart"/>
            <w:r w:rsidRPr="004A67FF">
              <w:rPr>
                <w:rFonts w:cs="font279"/>
                <w:sz w:val="20"/>
                <w:szCs w:val="20"/>
              </w:rPr>
              <w:t>Languages</w:t>
            </w:r>
            <w:proofErr w:type="spellEnd"/>
            <w:r w:rsidRPr="004A67FF">
              <w:rPr>
                <w:rFonts w:cs="font279"/>
                <w:sz w:val="20"/>
                <w:szCs w:val="20"/>
              </w:rPr>
              <w:t xml:space="preserve"> and </w:t>
            </w:r>
            <w:proofErr w:type="spellStart"/>
            <w:r w:rsidRPr="004A67FF">
              <w:rPr>
                <w:rFonts w:cs="font279"/>
                <w:sz w:val="20"/>
                <w:szCs w:val="20"/>
              </w:rPr>
              <w:t>Literature</w:t>
            </w:r>
            <w:proofErr w:type="spellEnd"/>
            <w:r w:rsidRPr="004A67FF">
              <w:rPr>
                <w:rFonts w:cs="font279"/>
                <w:sz w:val="20"/>
                <w:szCs w:val="20"/>
              </w:rPr>
              <w:t> </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AI Jazykověda</w:t>
            </w:r>
          </w:p>
        </w:tc>
      </w:tr>
      <w:tr w:rsidR="00AD7092" w:rsidRPr="00BA23CF" w:rsidTr="00264555">
        <w:trPr>
          <w:trHeight w:hRule="exact" w:val="227"/>
        </w:trPr>
        <w:tc>
          <w:tcPr>
            <w:tcW w:w="3509" w:type="dxa"/>
            <w:vMerge/>
            <w:shd w:val="clear" w:color="auto" w:fill="FF0000"/>
            <w:noWrap/>
            <w:hideMark/>
          </w:tcPr>
          <w:p w:rsidR="00AD7092" w:rsidRPr="004A67FF" w:rsidRDefault="00AD7092" w:rsidP="00264555">
            <w:pPr>
              <w:spacing w:after="0" w:line="240" w:lineRule="auto"/>
              <w:rPr>
                <w:rFonts w:cs="font279"/>
                <w:sz w:val="20"/>
                <w:szCs w:val="20"/>
              </w:rPr>
            </w:pP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AJ Písemnictví, mas-media, audiovize</w:t>
            </w:r>
          </w:p>
        </w:tc>
      </w:tr>
      <w:tr w:rsidR="00AD7092" w:rsidRPr="00BA23CF" w:rsidTr="00264555">
        <w:trPr>
          <w:trHeight w:hRule="exact" w:val="227"/>
        </w:trPr>
        <w:tc>
          <w:tcPr>
            <w:tcW w:w="3509" w:type="dxa"/>
            <w:shd w:val="clear" w:color="auto" w:fill="FF0000"/>
            <w:noWrap/>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6.3  </w:t>
            </w:r>
            <w:proofErr w:type="spellStart"/>
            <w:r w:rsidRPr="004A67FF">
              <w:rPr>
                <w:rFonts w:cs="font279"/>
                <w:sz w:val="20"/>
                <w:szCs w:val="20"/>
              </w:rPr>
              <w:t>Philosophy</w:t>
            </w:r>
            <w:proofErr w:type="spellEnd"/>
            <w:r w:rsidRPr="004A67FF">
              <w:rPr>
                <w:rFonts w:cs="font279"/>
                <w:sz w:val="20"/>
                <w:szCs w:val="20"/>
              </w:rPr>
              <w:t xml:space="preserve">, </w:t>
            </w:r>
            <w:proofErr w:type="spellStart"/>
            <w:r w:rsidRPr="004A67FF">
              <w:rPr>
                <w:rFonts w:cs="font279"/>
                <w:sz w:val="20"/>
                <w:szCs w:val="20"/>
              </w:rPr>
              <w:t>Ethics</w:t>
            </w:r>
            <w:proofErr w:type="spellEnd"/>
            <w:r w:rsidRPr="004A67FF">
              <w:rPr>
                <w:rFonts w:cs="font279"/>
                <w:sz w:val="20"/>
                <w:szCs w:val="20"/>
              </w:rPr>
              <w:t xml:space="preserve"> and Religion</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AA Filosofie a náboženství</w:t>
            </w:r>
          </w:p>
        </w:tc>
      </w:tr>
      <w:tr w:rsidR="00AD7092" w:rsidRPr="00BA23CF" w:rsidTr="00264555">
        <w:trPr>
          <w:trHeight w:hRule="exact" w:val="227"/>
        </w:trPr>
        <w:tc>
          <w:tcPr>
            <w:tcW w:w="3509" w:type="dxa"/>
            <w:shd w:val="clear" w:color="auto" w:fill="FF0000"/>
            <w:noWrap/>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6.4  </w:t>
            </w:r>
            <w:proofErr w:type="spellStart"/>
            <w:r w:rsidRPr="004A67FF">
              <w:rPr>
                <w:rFonts w:cs="font279"/>
                <w:sz w:val="20"/>
                <w:szCs w:val="20"/>
              </w:rPr>
              <w:t>Arts</w:t>
            </w:r>
            <w:proofErr w:type="spellEnd"/>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AL Umění, architektura, kulturní dědictví</w:t>
            </w:r>
          </w:p>
        </w:tc>
      </w:tr>
      <w:tr w:rsidR="00AD7092" w:rsidRPr="00BA23CF" w:rsidTr="00264555">
        <w:trPr>
          <w:trHeight w:hRule="exact" w:val="227"/>
        </w:trPr>
        <w:tc>
          <w:tcPr>
            <w:tcW w:w="3509" w:type="dxa"/>
            <w:shd w:val="clear" w:color="auto" w:fill="FF0000"/>
            <w:noWrap/>
            <w:hideMark/>
          </w:tcPr>
          <w:p w:rsidR="00AD7092" w:rsidRPr="004A67FF" w:rsidRDefault="00AD7092" w:rsidP="00264555">
            <w:pPr>
              <w:spacing w:after="0" w:line="240" w:lineRule="auto"/>
              <w:rPr>
                <w:rFonts w:cs="font279"/>
                <w:sz w:val="20"/>
                <w:szCs w:val="20"/>
              </w:rPr>
            </w:pPr>
            <w:r w:rsidRPr="004A67FF">
              <w:rPr>
                <w:rFonts w:cs="font279"/>
                <w:sz w:val="20"/>
                <w:szCs w:val="20"/>
              </w:rPr>
              <w:t xml:space="preserve">6.5  </w:t>
            </w:r>
            <w:proofErr w:type="spellStart"/>
            <w:r w:rsidRPr="004A67FF">
              <w:rPr>
                <w:rFonts w:cs="font279"/>
                <w:sz w:val="20"/>
                <w:szCs w:val="20"/>
              </w:rPr>
              <w:t>Other</w:t>
            </w:r>
            <w:proofErr w:type="spellEnd"/>
            <w:r w:rsidRPr="004A67FF">
              <w:rPr>
                <w:rFonts w:cs="font279"/>
                <w:sz w:val="20"/>
                <w:szCs w:val="20"/>
              </w:rPr>
              <w:t xml:space="preserve"> </w:t>
            </w:r>
            <w:proofErr w:type="spellStart"/>
            <w:r w:rsidRPr="004A67FF">
              <w:rPr>
                <w:rFonts w:cs="font279"/>
                <w:sz w:val="20"/>
                <w:szCs w:val="20"/>
              </w:rPr>
              <w:t>humanities</w:t>
            </w:r>
            <w:proofErr w:type="spellEnd"/>
          </w:p>
        </w:tc>
        <w:tc>
          <w:tcPr>
            <w:tcW w:w="5777" w:type="dxa"/>
            <w:gridSpan w:val="2"/>
            <w:shd w:val="clear" w:color="auto" w:fill="auto"/>
            <w:noWrap/>
            <w:hideMark/>
          </w:tcPr>
          <w:p w:rsidR="00AD7092" w:rsidRPr="000A3221" w:rsidRDefault="00AD7092" w:rsidP="00264555">
            <w:pPr>
              <w:spacing w:after="0" w:line="240" w:lineRule="auto"/>
              <w:rPr>
                <w:rFonts w:cs="font279"/>
                <w:sz w:val="20"/>
                <w:szCs w:val="20"/>
              </w:rPr>
            </w:pPr>
            <w:r w:rsidRPr="000A3221">
              <w:rPr>
                <w:rFonts w:cs="font279"/>
                <w:sz w:val="20"/>
                <w:szCs w:val="20"/>
              </w:rPr>
              <w:t> </w:t>
            </w:r>
          </w:p>
        </w:tc>
      </w:tr>
    </w:tbl>
    <w:p w:rsidR="00AD7092" w:rsidRDefault="00AD7092" w:rsidP="00AD7092">
      <w:pPr>
        <w:spacing w:after="0" w:line="360" w:lineRule="auto"/>
        <w:ind w:firstLine="709"/>
        <w:jc w:val="both"/>
        <w:rPr>
          <w:rFonts w:ascii="Arial" w:hAnsi="Arial" w:cs="Arial"/>
        </w:rPr>
      </w:pPr>
    </w:p>
    <w:p w:rsidR="00AD7092" w:rsidRPr="00863581" w:rsidRDefault="00AD7092" w:rsidP="00863581">
      <w:pPr>
        <w:pStyle w:val="NadpisurovemII"/>
      </w:pPr>
      <w:bookmarkStart w:id="25" w:name="_Toc464461108"/>
      <w:r w:rsidRPr="00AD7092">
        <w:lastRenderedPageBreak/>
        <w:t>7.4 Souhrn nedostatků stávajícího systému hodnocení</w:t>
      </w:r>
      <w:bookmarkEnd w:id="25"/>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 xml:space="preserve">Hodnocení se omezuje pouze na výsledky, proto nemůže být z metodologického hlediska racionálním východiskem pro hodnocení a financování institucí. </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 xml:space="preserve">Trojčlenkový způsob hodnocení jednotlivých výsledků založený na </w:t>
      </w:r>
      <w:proofErr w:type="spellStart"/>
      <w:r w:rsidRPr="00D60B6D">
        <w:rPr>
          <w:rFonts w:ascii="Arial" w:hAnsi="Arial" w:cs="Arial"/>
          <w:bCs/>
          <w:lang w:eastAsia="cs-CZ"/>
        </w:rPr>
        <w:t>bibliometrických</w:t>
      </w:r>
      <w:proofErr w:type="spellEnd"/>
      <w:r w:rsidRPr="00D60B6D">
        <w:rPr>
          <w:rFonts w:ascii="Arial" w:hAnsi="Arial" w:cs="Arial"/>
          <w:bCs/>
          <w:lang w:eastAsia="cs-CZ"/>
        </w:rPr>
        <w:t xml:space="preserve"> datech, jejich bodovém vyjádření a následném převodu na finanční položky nesplňuje nárok na seriózní hodnocení výsledků a nepostihuje a ani nemůže postihovat jejich skutečný vědecký impakt.</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Pr>
          <w:rFonts w:ascii="Arial" w:hAnsi="Arial" w:cs="Arial"/>
          <w:bCs/>
          <w:lang w:eastAsia="cs-CZ"/>
        </w:rPr>
        <w:t>Výpočet je netransparentní a jeho veřejná kontrola nerealizovatelná.</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 xml:space="preserve">Stávající způsob hodnocení dostatečně nerespektuje oborové rozdíly a nereflektuje rozdílné náklady spojené s vytvářením výsledků různého typu. </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Pr>
          <w:rFonts w:ascii="Arial" w:hAnsi="Arial" w:cs="Arial"/>
          <w:bCs/>
          <w:lang w:eastAsia="cs-CZ"/>
        </w:rPr>
        <w:t>H</w:t>
      </w:r>
      <w:r w:rsidRPr="00D60B6D">
        <w:rPr>
          <w:rFonts w:ascii="Arial" w:hAnsi="Arial" w:cs="Arial"/>
          <w:bCs/>
          <w:lang w:eastAsia="cs-CZ"/>
        </w:rPr>
        <w:t>odnocení kombinuje nevhodně nastavené metody peer-</w:t>
      </w:r>
      <w:proofErr w:type="spellStart"/>
      <w:r w:rsidRPr="00D60B6D">
        <w:rPr>
          <w:rFonts w:ascii="Arial" w:hAnsi="Arial" w:cs="Arial"/>
          <w:bCs/>
          <w:lang w:eastAsia="cs-CZ"/>
        </w:rPr>
        <w:t>review</w:t>
      </w:r>
      <w:proofErr w:type="spellEnd"/>
      <w:r w:rsidRPr="00D60B6D">
        <w:rPr>
          <w:rFonts w:ascii="Arial" w:hAnsi="Arial" w:cs="Arial"/>
          <w:bCs/>
          <w:lang w:eastAsia="cs-CZ"/>
        </w:rPr>
        <w:t xml:space="preserve"> a „</w:t>
      </w:r>
      <w:proofErr w:type="spellStart"/>
      <w:r w:rsidRPr="00D60B6D">
        <w:rPr>
          <w:rFonts w:ascii="Arial" w:hAnsi="Arial" w:cs="Arial"/>
          <w:bCs/>
          <w:lang w:eastAsia="cs-CZ"/>
        </w:rPr>
        <w:t>kafemlejnek</w:t>
      </w:r>
      <w:proofErr w:type="spellEnd"/>
      <w:r w:rsidRPr="00D60B6D">
        <w:rPr>
          <w:rFonts w:ascii="Arial" w:hAnsi="Arial" w:cs="Arial"/>
          <w:bCs/>
          <w:lang w:eastAsia="cs-CZ"/>
        </w:rPr>
        <w:t xml:space="preserve">“, čímž hodnocení pouze </w:t>
      </w:r>
      <w:proofErr w:type="spellStart"/>
      <w:r w:rsidRPr="00D60B6D">
        <w:rPr>
          <w:rFonts w:ascii="Arial" w:hAnsi="Arial" w:cs="Arial"/>
          <w:bCs/>
          <w:lang w:eastAsia="cs-CZ"/>
        </w:rPr>
        <w:t>znepřehledňuje</w:t>
      </w:r>
      <w:proofErr w:type="spellEnd"/>
      <w:r w:rsidRPr="00D60B6D">
        <w:rPr>
          <w:rFonts w:ascii="Arial" w:hAnsi="Arial" w:cs="Arial"/>
          <w:bCs/>
          <w:lang w:eastAsia="cs-CZ"/>
        </w:rPr>
        <w:t xml:space="preserve"> a nepřispívá k jeho efektivitě</w:t>
      </w:r>
      <w:r>
        <w:rPr>
          <w:rFonts w:ascii="Arial" w:hAnsi="Arial" w:cs="Arial"/>
          <w:bCs/>
          <w:lang w:eastAsia="cs-CZ"/>
        </w:rPr>
        <w:t>.</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 xml:space="preserve">Platná Metodika vede k negativním motivacím v systému (podrobněji v kapitole 6. Výsledky), upřednostňuje spíše kvantitu před kvalitou, otevírá </w:t>
      </w:r>
      <w:r>
        <w:rPr>
          <w:rFonts w:ascii="Arial" w:hAnsi="Arial" w:cs="Arial"/>
          <w:bCs/>
          <w:lang w:eastAsia="cs-CZ"/>
        </w:rPr>
        <w:t xml:space="preserve">větší </w:t>
      </w:r>
      <w:r w:rsidRPr="00D60B6D">
        <w:rPr>
          <w:rFonts w:ascii="Arial" w:hAnsi="Arial" w:cs="Arial"/>
          <w:bCs/>
          <w:lang w:eastAsia="cs-CZ"/>
        </w:rPr>
        <w:t xml:space="preserve">prostor </w:t>
      </w:r>
      <w:r>
        <w:rPr>
          <w:rFonts w:ascii="Arial" w:hAnsi="Arial" w:cs="Arial"/>
          <w:bCs/>
          <w:lang w:eastAsia="cs-CZ"/>
        </w:rPr>
        <w:t xml:space="preserve">pro </w:t>
      </w:r>
      <w:r w:rsidRPr="00D60B6D">
        <w:rPr>
          <w:rFonts w:ascii="Arial" w:hAnsi="Arial" w:cs="Arial"/>
          <w:bCs/>
          <w:lang w:eastAsia="cs-CZ"/>
        </w:rPr>
        <w:t xml:space="preserve">neetické přístupy k provádění </w:t>
      </w:r>
      <w:proofErr w:type="spellStart"/>
      <w:r w:rsidRPr="00D60B6D">
        <w:rPr>
          <w:rFonts w:ascii="Arial" w:hAnsi="Arial" w:cs="Arial"/>
          <w:bCs/>
          <w:lang w:eastAsia="cs-CZ"/>
        </w:rPr>
        <w:t>VaV</w:t>
      </w:r>
      <w:r>
        <w:rPr>
          <w:rFonts w:ascii="Arial" w:hAnsi="Arial" w:cs="Arial"/>
          <w:bCs/>
          <w:lang w:eastAsia="cs-CZ"/>
        </w:rPr>
        <w:t>aI</w:t>
      </w:r>
      <w:proofErr w:type="spellEnd"/>
      <w:r w:rsidRPr="00D60B6D">
        <w:rPr>
          <w:rFonts w:ascii="Arial" w:hAnsi="Arial" w:cs="Arial"/>
          <w:bCs/>
          <w:lang w:eastAsia="cs-CZ"/>
        </w:rPr>
        <w:t xml:space="preserve"> (plagiáty, predátorské publikace a jiné problematické výsledky), přičemž neumožňuje zpětnou korekci</w:t>
      </w:r>
      <w:r>
        <w:rPr>
          <w:rFonts w:ascii="Arial" w:hAnsi="Arial" w:cs="Arial"/>
          <w:bCs/>
          <w:lang w:eastAsia="cs-CZ"/>
        </w:rPr>
        <w:t>.</w:t>
      </w:r>
      <w:r w:rsidRPr="00D60B6D">
        <w:rPr>
          <w:rFonts w:ascii="Arial" w:hAnsi="Arial" w:cs="Arial"/>
          <w:bCs/>
          <w:lang w:eastAsia="cs-CZ"/>
        </w:rPr>
        <w:t xml:space="preserve"> </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 xml:space="preserve">Systém </w:t>
      </w:r>
      <w:proofErr w:type="spellStart"/>
      <w:r w:rsidRPr="00D60B6D">
        <w:rPr>
          <w:rFonts w:ascii="Arial" w:hAnsi="Arial" w:cs="Arial"/>
          <w:bCs/>
          <w:lang w:eastAsia="cs-CZ"/>
        </w:rPr>
        <w:t>VaV</w:t>
      </w:r>
      <w:r>
        <w:rPr>
          <w:rFonts w:ascii="Arial" w:hAnsi="Arial" w:cs="Arial"/>
          <w:bCs/>
          <w:lang w:eastAsia="cs-CZ"/>
        </w:rPr>
        <w:t>aI</w:t>
      </w:r>
      <w:proofErr w:type="spellEnd"/>
      <w:r w:rsidRPr="00D60B6D">
        <w:rPr>
          <w:rFonts w:ascii="Arial" w:hAnsi="Arial" w:cs="Arial"/>
          <w:bCs/>
          <w:lang w:eastAsia="cs-CZ"/>
        </w:rPr>
        <w:t xml:space="preserve"> je zatěžován takovou formou hodnocení, která nezohledňuje rozdíly v rolích </w:t>
      </w:r>
      <w:r>
        <w:rPr>
          <w:rFonts w:ascii="Arial" w:hAnsi="Arial" w:cs="Arial"/>
          <w:bCs/>
          <w:lang w:eastAsia="cs-CZ"/>
        </w:rPr>
        <w:t xml:space="preserve">a poslání </w:t>
      </w:r>
      <w:r w:rsidRPr="00D60B6D">
        <w:rPr>
          <w:rFonts w:ascii="Arial" w:hAnsi="Arial" w:cs="Arial"/>
          <w:bCs/>
          <w:lang w:eastAsia="cs-CZ"/>
        </w:rPr>
        <w:t>jednotlivých poskytovatelů a jimi řízených nebo financovaných výzkumných organizací včetně odlišných finančních nástrojů.</w:t>
      </w:r>
    </w:p>
    <w:p w:rsidR="00FC5CCD" w:rsidRPr="00D60B6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Pr>
          <w:rFonts w:ascii="Arial" w:hAnsi="Arial" w:cs="Arial"/>
          <w:bCs/>
          <w:lang w:eastAsia="cs-CZ"/>
        </w:rPr>
        <w:t>Hodnocení je redukováno na důvod k poskytnutí finančního zabezpečení VO. Prostředky, které by měly sloužit na dlouhodobý koncepční rozvoj organizace, jsou plně kompetitivní, stírá se hranice mezi účelovým a institucionálním financováním.</w:t>
      </w:r>
    </w:p>
    <w:p w:rsidR="00FC5CCD" w:rsidRDefault="00FC5CCD" w:rsidP="00FC5CCD">
      <w:pPr>
        <w:spacing w:after="0" w:line="360" w:lineRule="auto"/>
        <w:ind w:firstLine="708"/>
        <w:jc w:val="both"/>
        <w:rPr>
          <w:rFonts w:ascii="Arial" w:hAnsi="Arial" w:cs="Arial"/>
          <w:bCs/>
          <w:lang w:eastAsia="cs-CZ"/>
        </w:rPr>
      </w:pPr>
    </w:p>
    <w:p w:rsidR="00FC5CCD" w:rsidRPr="00D60B6D" w:rsidRDefault="00FC5CCD" w:rsidP="00FC5CCD">
      <w:pPr>
        <w:spacing w:after="0" w:line="360" w:lineRule="auto"/>
        <w:ind w:firstLine="708"/>
        <w:jc w:val="both"/>
        <w:rPr>
          <w:rFonts w:ascii="Arial" w:hAnsi="Arial" w:cs="Arial"/>
          <w:bCs/>
          <w:lang w:eastAsia="cs-CZ"/>
        </w:rPr>
      </w:pPr>
      <w:r w:rsidRPr="00D60B6D">
        <w:rPr>
          <w:rFonts w:ascii="Arial" w:hAnsi="Arial" w:cs="Arial"/>
          <w:bCs/>
          <w:lang w:eastAsia="cs-CZ"/>
        </w:rPr>
        <w:t xml:space="preserve">Řešení uvedených problémů skýtá širší pojetí hodnocení. Je vhodné se inspirovat některými prvky zahraničních systémů hodnocení v zemích, kde </w:t>
      </w:r>
      <w:r>
        <w:rPr>
          <w:rFonts w:ascii="Arial" w:hAnsi="Arial" w:cs="Arial"/>
          <w:bCs/>
          <w:lang w:eastAsia="cs-CZ"/>
        </w:rPr>
        <w:t xml:space="preserve">ve </w:t>
      </w:r>
      <w:r w:rsidRPr="00D60B6D">
        <w:rPr>
          <w:rFonts w:ascii="Arial" w:hAnsi="Arial" w:cs="Arial"/>
          <w:bCs/>
          <w:lang w:eastAsia="cs-CZ"/>
        </w:rPr>
        <w:t>výzkum</w:t>
      </w:r>
      <w:r>
        <w:rPr>
          <w:rFonts w:ascii="Arial" w:hAnsi="Arial" w:cs="Arial"/>
          <w:bCs/>
          <w:lang w:eastAsia="cs-CZ"/>
        </w:rPr>
        <w:t>u</w:t>
      </w:r>
      <w:r w:rsidRPr="00D60B6D">
        <w:rPr>
          <w:rFonts w:ascii="Arial" w:hAnsi="Arial" w:cs="Arial"/>
          <w:bCs/>
          <w:lang w:eastAsia="cs-CZ"/>
        </w:rPr>
        <w:t xml:space="preserve"> a vývoj dosahují dlouhodobě nejlepších výsledků. V zahraničí a rovněž v AV ČR se nesledují pouze uplatněné výstupy, ale rovněž strategie výzkumu a jeho řízení, spolupráce se zahraničím, společenská relevance výzkumu, pedagogická činnost a řada dalších aktivit. Hodnocení </w:t>
      </w:r>
      <w:r>
        <w:rPr>
          <w:rFonts w:ascii="Arial" w:hAnsi="Arial" w:cs="Arial"/>
          <w:bCs/>
          <w:lang w:eastAsia="cs-CZ"/>
        </w:rPr>
        <w:t>by také mělo</w:t>
      </w:r>
      <w:r w:rsidRPr="00D60B6D">
        <w:rPr>
          <w:rFonts w:ascii="Arial" w:hAnsi="Arial" w:cs="Arial"/>
          <w:bCs/>
          <w:lang w:eastAsia="cs-CZ"/>
        </w:rPr>
        <w:t xml:space="preserve"> zohledňovat oborové odlišnosti</w:t>
      </w:r>
      <w:r>
        <w:rPr>
          <w:rFonts w:ascii="Arial" w:hAnsi="Arial" w:cs="Arial"/>
          <w:bCs/>
          <w:lang w:eastAsia="cs-CZ"/>
        </w:rPr>
        <w:t xml:space="preserve"> a přihlížet k</w:t>
      </w:r>
      <w:r w:rsidRPr="00D60B6D">
        <w:rPr>
          <w:rFonts w:ascii="Arial" w:hAnsi="Arial" w:cs="Arial"/>
          <w:bCs/>
          <w:lang w:eastAsia="cs-CZ"/>
        </w:rPr>
        <w:t xml:space="preserve"> sebehodnocení týmů. </w:t>
      </w:r>
      <w:r>
        <w:rPr>
          <w:rFonts w:ascii="Arial" w:hAnsi="Arial" w:cs="Arial"/>
          <w:bCs/>
          <w:lang w:eastAsia="cs-CZ"/>
        </w:rPr>
        <w:t>Dále je vhodné,</w:t>
      </w:r>
      <w:r w:rsidRPr="00D60B6D">
        <w:rPr>
          <w:rFonts w:ascii="Arial" w:hAnsi="Arial" w:cs="Arial"/>
          <w:bCs/>
          <w:lang w:eastAsia="cs-CZ"/>
        </w:rPr>
        <w:t xml:space="preserve"> tak jako v</w:t>
      </w:r>
      <w:r>
        <w:rPr>
          <w:rFonts w:ascii="Arial" w:hAnsi="Arial" w:cs="Arial"/>
          <w:bCs/>
          <w:lang w:eastAsia="cs-CZ"/>
        </w:rPr>
        <w:t xml:space="preserve"> případě hodnocení prováděného </w:t>
      </w:r>
      <w:r w:rsidRPr="00D60B6D">
        <w:rPr>
          <w:rFonts w:ascii="Arial" w:hAnsi="Arial" w:cs="Arial"/>
          <w:bCs/>
          <w:lang w:eastAsia="cs-CZ"/>
        </w:rPr>
        <w:t>AV</w:t>
      </w:r>
      <w:r>
        <w:rPr>
          <w:rFonts w:ascii="Arial" w:hAnsi="Arial" w:cs="Arial"/>
          <w:bCs/>
          <w:lang w:eastAsia="cs-CZ"/>
        </w:rPr>
        <w:t> </w:t>
      </w:r>
      <w:r w:rsidRPr="00D60B6D">
        <w:rPr>
          <w:rFonts w:ascii="Arial" w:hAnsi="Arial" w:cs="Arial"/>
          <w:bCs/>
          <w:lang w:eastAsia="cs-CZ"/>
        </w:rPr>
        <w:t xml:space="preserve">ČR, </w:t>
      </w:r>
      <w:r>
        <w:rPr>
          <w:rFonts w:ascii="Arial" w:hAnsi="Arial" w:cs="Arial"/>
          <w:bCs/>
          <w:lang w:eastAsia="cs-CZ"/>
        </w:rPr>
        <w:t>brát v potaz</w:t>
      </w:r>
      <w:r w:rsidRPr="00D60B6D">
        <w:rPr>
          <w:rFonts w:ascii="Arial" w:hAnsi="Arial" w:cs="Arial"/>
          <w:bCs/>
          <w:lang w:eastAsia="cs-CZ"/>
        </w:rPr>
        <w:t xml:space="preserve"> vazbu mezi minulým výkonem a budoucím směrováním hodnocených týmů, </w:t>
      </w:r>
      <w:r>
        <w:rPr>
          <w:rFonts w:ascii="Arial" w:hAnsi="Arial" w:cs="Arial"/>
          <w:bCs/>
          <w:lang w:eastAsia="cs-CZ"/>
        </w:rPr>
        <w:t xml:space="preserve">tj. </w:t>
      </w:r>
      <w:r w:rsidRPr="00D60B6D">
        <w:rPr>
          <w:rFonts w:ascii="Arial" w:hAnsi="Arial" w:cs="Arial"/>
          <w:bCs/>
          <w:lang w:eastAsia="cs-CZ"/>
        </w:rPr>
        <w:t xml:space="preserve">vazbu, která je založena nejen na prostém financování, ale i na odborných hlediscích. Z metodologického pohledu se má jednat o kombinaci kvantitativních údajů a kvalitativních informací včetně zajištění hodnocení nezávislými zahraničními odborníky, přičemž hlavním kritériem hodnocení je kvalita měřená srovnáním se světem. </w:t>
      </w:r>
    </w:p>
    <w:p w:rsidR="00AD7092" w:rsidRPr="00D60B6D" w:rsidRDefault="00FC5CCD" w:rsidP="00FC5CCD">
      <w:pPr>
        <w:spacing w:after="0" w:line="360" w:lineRule="auto"/>
        <w:ind w:firstLine="708"/>
        <w:jc w:val="both"/>
        <w:rPr>
          <w:rFonts w:ascii="Arial" w:hAnsi="Arial" w:cs="Arial"/>
          <w:bCs/>
          <w:lang w:eastAsia="cs-CZ"/>
        </w:rPr>
      </w:pPr>
      <w:r>
        <w:rPr>
          <w:rFonts w:ascii="Arial" w:hAnsi="Arial" w:cs="Arial"/>
          <w:bCs/>
          <w:lang w:eastAsia="cs-CZ"/>
        </w:rPr>
        <w:t>Z</w:t>
      </w:r>
      <w:r w:rsidRPr="00D60B6D">
        <w:rPr>
          <w:rFonts w:ascii="Arial" w:hAnsi="Arial" w:cs="Arial"/>
          <w:bCs/>
          <w:lang w:eastAsia="cs-CZ"/>
        </w:rPr>
        <w:t xml:space="preserve">avedení systému peer </w:t>
      </w:r>
      <w:proofErr w:type="spellStart"/>
      <w:r w:rsidRPr="00D60B6D">
        <w:rPr>
          <w:rFonts w:ascii="Arial" w:hAnsi="Arial" w:cs="Arial"/>
          <w:bCs/>
          <w:lang w:eastAsia="cs-CZ"/>
        </w:rPr>
        <w:t>review</w:t>
      </w:r>
      <w:proofErr w:type="spellEnd"/>
      <w:r w:rsidRPr="00D60B6D">
        <w:rPr>
          <w:rFonts w:ascii="Arial" w:hAnsi="Arial" w:cs="Arial"/>
          <w:bCs/>
          <w:lang w:eastAsia="cs-CZ"/>
        </w:rPr>
        <w:t xml:space="preserve"> v kombinaci s hodnocením výsledků představuje objektivně náročný proces, jak ukazuje systém hodnocení v</w:t>
      </w:r>
      <w:r>
        <w:rPr>
          <w:rFonts w:ascii="Arial" w:hAnsi="Arial" w:cs="Arial"/>
          <w:bCs/>
          <w:lang w:eastAsia="cs-CZ"/>
        </w:rPr>
        <w:t> AV ČR</w:t>
      </w:r>
      <w:r w:rsidRPr="00D60B6D">
        <w:rPr>
          <w:rFonts w:ascii="Arial" w:hAnsi="Arial" w:cs="Arial"/>
          <w:bCs/>
          <w:lang w:eastAsia="cs-CZ"/>
        </w:rPr>
        <w:t>.</w:t>
      </w:r>
      <w:r>
        <w:rPr>
          <w:rFonts w:ascii="Arial" w:hAnsi="Arial" w:cs="Arial"/>
          <w:bCs/>
          <w:lang w:eastAsia="cs-CZ"/>
        </w:rPr>
        <w:t xml:space="preserve"> </w:t>
      </w:r>
      <w:r w:rsidRPr="00BF59B9">
        <w:rPr>
          <w:rFonts w:ascii="Arial" w:hAnsi="Arial" w:cs="Arial"/>
          <w:bCs/>
          <w:lang w:eastAsia="cs-CZ"/>
        </w:rPr>
        <w:t>Odkaz</w:t>
      </w:r>
      <w:r>
        <w:rPr>
          <w:rFonts w:ascii="Arial" w:hAnsi="Arial" w:cs="Arial"/>
          <w:bCs/>
          <w:lang w:eastAsia="cs-CZ"/>
        </w:rPr>
        <w:t>y</w:t>
      </w:r>
      <w:r w:rsidRPr="00BF59B9">
        <w:rPr>
          <w:rFonts w:ascii="Arial" w:hAnsi="Arial" w:cs="Arial"/>
          <w:bCs/>
          <w:lang w:eastAsia="cs-CZ"/>
        </w:rPr>
        <w:t xml:space="preserve"> na budoucí řešení </w:t>
      </w:r>
      <w:r>
        <w:rPr>
          <w:rFonts w:ascii="Arial" w:hAnsi="Arial" w:cs="Arial"/>
          <w:bCs/>
          <w:lang w:eastAsia="cs-CZ"/>
        </w:rPr>
        <w:t xml:space="preserve">při znalosti principů funkčního hodnocení </w:t>
      </w:r>
      <w:r w:rsidRPr="00BF59B9">
        <w:rPr>
          <w:rFonts w:ascii="Arial" w:hAnsi="Arial" w:cs="Arial"/>
          <w:bCs/>
          <w:lang w:eastAsia="cs-CZ"/>
        </w:rPr>
        <w:t xml:space="preserve">se v průběhu vývoje </w:t>
      </w:r>
      <w:r w:rsidRPr="00D60B6D">
        <w:rPr>
          <w:rFonts w:ascii="Arial" w:hAnsi="Arial" w:cs="Arial"/>
          <w:bCs/>
          <w:lang w:eastAsia="cs-CZ"/>
        </w:rPr>
        <w:t>Metodik</w:t>
      </w:r>
      <w:r>
        <w:rPr>
          <w:rFonts w:ascii="Arial" w:hAnsi="Arial" w:cs="Arial"/>
          <w:bCs/>
          <w:lang w:eastAsia="cs-CZ"/>
        </w:rPr>
        <w:t xml:space="preserve"> objevují</w:t>
      </w:r>
      <w:r w:rsidRPr="00BF59B9">
        <w:rPr>
          <w:rFonts w:ascii="Arial" w:hAnsi="Arial" w:cs="Arial"/>
          <w:bCs/>
          <w:lang w:eastAsia="cs-CZ"/>
        </w:rPr>
        <w:t xml:space="preserve"> pravidelně</w:t>
      </w:r>
      <w:r>
        <w:rPr>
          <w:rFonts w:ascii="Arial" w:hAnsi="Arial" w:cs="Arial"/>
          <w:bCs/>
          <w:lang w:eastAsia="cs-CZ"/>
        </w:rPr>
        <w:t xml:space="preserve">, nicméně dosud vždy vedly pouze k </w:t>
      </w:r>
      <w:r w:rsidRPr="00BF59B9">
        <w:rPr>
          <w:rFonts w:ascii="Arial" w:hAnsi="Arial" w:cs="Arial"/>
          <w:bCs/>
          <w:lang w:eastAsia="cs-CZ"/>
        </w:rPr>
        <w:t>prodloužení platnosti kritizovaného stavu. Prov</w:t>
      </w:r>
      <w:r>
        <w:rPr>
          <w:rFonts w:ascii="Arial" w:hAnsi="Arial" w:cs="Arial"/>
          <w:bCs/>
          <w:lang w:eastAsia="cs-CZ"/>
        </w:rPr>
        <w:t>edeny</w:t>
      </w:r>
      <w:r w:rsidRPr="00BF59B9">
        <w:rPr>
          <w:rFonts w:ascii="Arial" w:hAnsi="Arial" w:cs="Arial"/>
          <w:bCs/>
          <w:lang w:eastAsia="cs-CZ"/>
        </w:rPr>
        <w:t xml:space="preserve"> </w:t>
      </w:r>
      <w:r>
        <w:rPr>
          <w:rFonts w:ascii="Arial" w:hAnsi="Arial" w:cs="Arial"/>
          <w:bCs/>
          <w:lang w:eastAsia="cs-CZ"/>
        </w:rPr>
        <w:t xml:space="preserve">byly pouze </w:t>
      </w:r>
      <w:r w:rsidRPr="00BF59B9">
        <w:rPr>
          <w:rFonts w:ascii="Arial" w:hAnsi="Arial" w:cs="Arial"/>
          <w:bCs/>
          <w:lang w:eastAsia="cs-CZ"/>
        </w:rPr>
        <w:t xml:space="preserve">menší </w:t>
      </w:r>
      <w:r w:rsidRPr="00BF59B9">
        <w:rPr>
          <w:rFonts w:ascii="Arial" w:hAnsi="Arial" w:cs="Arial"/>
          <w:bCs/>
          <w:lang w:eastAsia="cs-CZ"/>
        </w:rPr>
        <w:lastRenderedPageBreak/>
        <w:t xml:space="preserve">obměny a vylepšení se zdůvodněním, že je potřeba odstranit nejnápadnější nedostatky. Provází je nevůle jít </w:t>
      </w:r>
      <w:r>
        <w:rPr>
          <w:rFonts w:ascii="Arial" w:hAnsi="Arial" w:cs="Arial"/>
          <w:bCs/>
          <w:lang w:eastAsia="cs-CZ"/>
        </w:rPr>
        <w:t>dostatečně</w:t>
      </w:r>
      <w:r w:rsidRPr="00BF59B9">
        <w:rPr>
          <w:rFonts w:ascii="Arial" w:hAnsi="Arial" w:cs="Arial"/>
          <w:bCs/>
          <w:lang w:eastAsia="cs-CZ"/>
        </w:rPr>
        <w:t xml:space="preserve"> do hloubky, když je systém </w:t>
      </w:r>
      <w:r>
        <w:rPr>
          <w:rFonts w:ascii="Arial" w:hAnsi="Arial" w:cs="Arial"/>
          <w:bCs/>
          <w:lang w:eastAsia="cs-CZ"/>
        </w:rPr>
        <w:t xml:space="preserve">hodnocení </w:t>
      </w:r>
      <w:r w:rsidRPr="00BF59B9">
        <w:rPr>
          <w:rFonts w:ascii="Arial" w:hAnsi="Arial" w:cs="Arial"/>
          <w:bCs/>
          <w:lang w:eastAsia="cs-CZ"/>
        </w:rPr>
        <w:t>stejně prohlášen za „dočasný“.</w:t>
      </w:r>
      <w:r w:rsidR="00AD7092" w:rsidRPr="00D60B6D">
        <w:rPr>
          <w:rFonts w:ascii="Arial" w:hAnsi="Arial" w:cs="Arial"/>
          <w:bCs/>
          <w:lang w:eastAsia="cs-CZ"/>
        </w:rPr>
        <w:t xml:space="preserve"> </w:t>
      </w:r>
    </w:p>
    <w:p w:rsidR="00D33F0D" w:rsidRPr="000822A0" w:rsidRDefault="00AD7092" w:rsidP="00D33F0D">
      <w:pPr>
        <w:pStyle w:val="Nadpis2"/>
      </w:pPr>
      <w:bookmarkStart w:id="26" w:name="_Toc464461109"/>
      <w:r>
        <w:t>8</w:t>
      </w:r>
      <w:r w:rsidR="00D33F0D">
        <w:t xml:space="preserve">. </w:t>
      </w:r>
      <w:r w:rsidR="00D33F0D" w:rsidRPr="000822A0">
        <w:t>Inovační výkonnost české ekonomiky a mezinárodní srovnání</w:t>
      </w:r>
      <w:bookmarkEnd w:id="20"/>
      <w:bookmarkEnd w:id="26"/>
    </w:p>
    <w:p w:rsidR="00D33F0D" w:rsidRPr="00FD05C5" w:rsidRDefault="00D33F0D" w:rsidP="00D33F0D">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Inovace hrají významnou roli</w:t>
      </w:r>
      <w:r w:rsidRPr="000B0BDF">
        <w:rPr>
          <w:rFonts w:ascii="Arial" w:eastAsia="Times New Roman" w:hAnsi="Arial" w:cs="Arial"/>
          <w:lang w:eastAsia="cs-CZ"/>
        </w:rPr>
        <w:t xml:space="preserve"> v mnoha ekonomických aktivitách </w:t>
      </w:r>
      <w:r>
        <w:rPr>
          <w:rFonts w:ascii="Arial" w:eastAsia="Times New Roman" w:hAnsi="Arial" w:cs="Arial"/>
          <w:lang w:eastAsia="cs-CZ"/>
        </w:rPr>
        <w:t xml:space="preserve">realizovaných </w:t>
      </w:r>
      <w:r w:rsidRPr="000B0BDF">
        <w:rPr>
          <w:rFonts w:ascii="Arial" w:eastAsia="Times New Roman" w:hAnsi="Arial" w:cs="Arial"/>
          <w:lang w:eastAsia="cs-CZ"/>
        </w:rPr>
        <w:t xml:space="preserve">po celém světě. </w:t>
      </w:r>
      <w:r>
        <w:rPr>
          <w:rFonts w:ascii="Arial" w:eastAsia="Times New Roman" w:hAnsi="Arial" w:cs="Arial"/>
          <w:lang w:eastAsia="cs-CZ"/>
        </w:rPr>
        <w:t xml:space="preserve">Fakt, </w:t>
      </w:r>
      <w:r w:rsidRPr="000B0BDF">
        <w:rPr>
          <w:rFonts w:ascii="Arial" w:eastAsia="Times New Roman" w:hAnsi="Arial" w:cs="Arial"/>
          <w:lang w:eastAsia="cs-CZ"/>
        </w:rPr>
        <w:t>že inovace jsou jednou z</w:t>
      </w:r>
      <w:r>
        <w:rPr>
          <w:rFonts w:ascii="Arial" w:eastAsia="Times New Roman" w:hAnsi="Arial" w:cs="Arial"/>
          <w:lang w:eastAsia="cs-CZ"/>
        </w:rPr>
        <w:t> </w:t>
      </w:r>
      <w:r w:rsidRPr="000B0BDF">
        <w:rPr>
          <w:rFonts w:ascii="Arial" w:eastAsia="Times New Roman" w:hAnsi="Arial" w:cs="Arial"/>
          <w:lang w:eastAsia="cs-CZ"/>
        </w:rPr>
        <w:t>hlavních hybných sil ekonomického růstu a prosperity</w:t>
      </w:r>
      <w:r>
        <w:rPr>
          <w:rFonts w:ascii="Arial" w:eastAsia="Times New Roman" w:hAnsi="Arial" w:cs="Arial"/>
          <w:lang w:eastAsia="cs-CZ"/>
        </w:rPr>
        <w:t>,</w:t>
      </w:r>
      <w:r w:rsidRPr="00384765">
        <w:rPr>
          <w:rFonts w:ascii="Arial" w:eastAsia="Times New Roman" w:hAnsi="Arial" w:cs="Arial"/>
          <w:lang w:eastAsia="cs-CZ"/>
        </w:rPr>
        <w:t xml:space="preserve"> </w:t>
      </w:r>
      <w:r w:rsidRPr="000B0BDF">
        <w:rPr>
          <w:rFonts w:ascii="Arial" w:eastAsia="Times New Roman" w:hAnsi="Arial" w:cs="Arial"/>
          <w:lang w:eastAsia="cs-CZ"/>
        </w:rPr>
        <w:t>si uvědomují</w:t>
      </w:r>
      <w:r>
        <w:rPr>
          <w:rFonts w:ascii="Arial" w:eastAsia="Times New Roman" w:hAnsi="Arial" w:cs="Arial"/>
          <w:lang w:eastAsia="cs-CZ"/>
        </w:rPr>
        <w:t xml:space="preserve"> n</w:t>
      </w:r>
      <w:r w:rsidRPr="000B0BDF">
        <w:rPr>
          <w:rFonts w:ascii="Arial" w:eastAsia="Times New Roman" w:hAnsi="Arial" w:cs="Arial"/>
          <w:lang w:eastAsia="cs-CZ"/>
        </w:rPr>
        <w:t>ejen ve vyspělých ekonomikách</w:t>
      </w:r>
      <w:r>
        <w:rPr>
          <w:rFonts w:ascii="Arial" w:eastAsia="Times New Roman" w:hAnsi="Arial" w:cs="Arial"/>
          <w:lang w:eastAsia="cs-CZ"/>
        </w:rPr>
        <w:t xml:space="preserve">, </w:t>
      </w:r>
      <w:r w:rsidRPr="000B0BDF">
        <w:rPr>
          <w:rFonts w:ascii="Arial" w:eastAsia="Times New Roman" w:hAnsi="Arial" w:cs="Arial"/>
          <w:lang w:eastAsia="cs-CZ"/>
        </w:rPr>
        <w:t>ale také v rozvojových zemích.</w:t>
      </w:r>
      <w:r>
        <w:rPr>
          <w:rFonts w:ascii="Arial" w:eastAsia="Times New Roman" w:hAnsi="Arial" w:cs="Arial"/>
          <w:lang w:eastAsia="cs-CZ"/>
        </w:rPr>
        <w:t xml:space="preserve"> </w:t>
      </w:r>
      <w:r w:rsidRPr="005F06B5">
        <w:rPr>
          <w:rFonts w:ascii="Arial" w:eastAsia="Times New Roman" w:hAnsi="Arial" w:cs="Arial"/>
          <w:lang w:eastAsia="cs-CZ"/>
        </w:rPr>
        <w:t>V</w:t>
      </w:r>
      <w:r>
        <w:rPr>
          <w:rFonts w:ascii="Arial" w:eastAsia="Times New Roman" w:hAnsi="Arial" w:cs="Arial"/>
          <w:lang w:eastAsia="cs-CZ"/>
        </w:rPr>
        <w:t xml:space="preserve"> </w:t>
      </w:r>
      <w:r w:rsidRPr="005F06B5">
        <w:rPr>
          <w:rFonts w:ascii="Arial" w:eastAsia="Times New Roman" w:hAnsi="Arial" w:cs="Arial"/>
          <w:lang w:eastAsia="cs-CZ"/>
        </w:rPr>
        <w:t xml:space="preserve">této </w:t>
      </w:r>
      <w:r>
        <w:rPr>
          <w:rFonts w:ascii="Arial" w:eastAsia="Times New Roman" w:hAnsi="Arial" w:cs="Arial"/>
          <w:lang w:eastAsia="cs-CZ"/>
        </w:rPr>
        <w:t xml:space="preserve">kapitole </w:t>
      </w:r>
      <w:r w:rsidRPr="005F06B5">
        <w:rPr>
          <w:rFonts w:ascii="Arial" w:eastAsia="Times New Roman" w:hAnsi="Arial" w:cs="Arial"/>
          <w:lang w:eastAsia="cs-CZ"/>
        </w:rPr>
        <w:t>před</w:t>
      </w:r>
      <w:r>
        <w:rPr>
          <w:rFonts w:ascii="Arial" w:eastAsia="Times New Roman" w:hAnsi="Arial" w:cs="Arial"/>
          <w:lang w:eastAsia="cs-CZ"/>
        </w:rPr>
        <w:t>kládáme</w:t>
      </w:r>
      <w:r w:rsidRPr="005F06B5">
        <w:rPr>
          <w:rFonts w:ascii="Arial" w:eastAsia="Times New Roman" w:hAnsi="Arial" w:cs="Arial"/>
          <w:lang w:eastAsia="cs-CZ"/>
        </w:rPr>
        <w:t xml:space="preserve"> </w:t>
      </w:r>
      <w:r>
        <w:rPr>
          <w:rFonts w:ascii="Arial" w:eastAsia="Times New Roman" w:hAnsi="Arial" w:cs="Arial"/>
          <w:lang w:eastAsia="cs-CZ"/>
        </w:rPr>
        <w:t>inovační výkonnost České republiky a její mezinárodní</w:t>
      </w:r>
      <w:r w:rsidRPr="005F06B5">
        <w:rPr>
          <w:rFonts w:ascii="Arial" w:eastAsia="Times New Roman" w:hAnsi="Arial" w:cs="Arial"/>
          <w:lang w:eastAsia="cs-CZ"/>
        </w:rPr>
        <w:t xml:space="preserve"> </w:t>
      </w:r>
      <w:r>
        <w:rPr>
          <w:rFonts w:ascii="Arial" w:eastAsia="Times New Roman" w:hAnsi="Arial" w:cs="Arial"/>
          <w:lang w:eastAsia="cs-CZ"/>
        </w:rPr>
        <w:t>srovnání s vybranými státy</w:t>
      </w:r>
      <w:r w:rsidRPr="005F06B5">
        <w:rPr>
          <w:rFonts w:ascii="Arial" w:eastAsia="Times New Roman" w:hAnsi="Arial" w:cs="Arial"/>
          <w:lang w:eastAsia="cs-CZ"/>
        </w:rPr>
        <w:t xml:space="preserve">. </w:t>
      </w:r>
      <w:r w:rsidRPr="00F57A5E">
        <w:rPr>
          <w:rFonts w:ascii="Arial" w:eastAsia="Times New Roman" w:hAnsi="Arial" w:cs="Arial"/>
          <w:lang w:eastAsia="cs-CZ"/>
        </w:rPr>
        <w:t xml:space="preserve">Inovační výkon </w:t>
      </w:r>
      <w:r>
        <w:rPr>
          <w:rFonts w:ascii="Arial" w:eastAsia="Times New Roman" w:hAnsi="Arial" w:cs="Arial"/>
          <w:lang w:eastAsia="cs-CZ"/>
        </w:rPr>
        <w:t xml:space="preserve">dané ekonomiky může být </w:t>
      </w:r>
      <w:r w:rsidRPr="00F57A5E">
        <w:rPr>
          <w:rFonts w:ascii="Arial" w:eastAsia="Times New Roman" w:hAnsi="Arial" w:cs="Arial"/>
          <w:lang w:eastAsia="cs-CZ"/>
        </w:rPr>
        <w:t xml:space="preserve">posuzován na základě </w:t>
      </w:r>
      <w:r>
        <w:rPr>
          <w:rFonts w:ascii="Arial" w:eastAsia="Times New Roman" w:hAnsi="Arial" w:cs="Arial"/>
          <w:lang w:eastAsia="cs-CZ"/>
        </w:rPr>
        <w:t>jednoduchých</w:t>
      </w:r>
      <w:r w:rsidRPr="00F57A5E">
        <w:rPr>
          <w:rFonts w:ascii="Arial" w:eastAsia="Times New Roman" w:hAnsi="Arial" w:cs="Arial"/>
          <w:lang w:eastAsia="cs-CZ"/>
        </w:rPr>
        <w:t xml:space="preserve"> nebo </w:t>
      </w:r>
      <w:r>
        <w:rPr>
          <w:rFonts w:ascii="Arial" w:eastAsia="Times New Roman" w:hAnsi="Arial" w:cs="Arial"/>
          <w:lang w:eastAsia="cs-CZ"/>
        </w:rPr>
        <w:t xml:space="preserve">složených indikátorů. </w:t>
      </w:r>
      <w:r w:rsidRPr="00F57A5E">
        <w:rPr>
          <w:rFonts w:ascii="Arial" w:eastAsia="Times New Roman" w:hAnsi="Arial" w:cs="Arial"/>
          <w:lang w:eastAsia="cs-CZ"/>
        </w:rPr>
        <w:t xml:space="preserve">Výhodou </w:t>
      </w:r>
      <w:r>
        <w:rPr>
          <w:rFonts w:ascii="Arial" w:eastAsia="Times New Roman" w:hAnsi="Arial" w:cs="Arial"/>
          <w:lang w:eastAsia="cs-CZ"/>
        </w:rPr>
        <w:t xml:space="preserve">při komputaci inovační výkonnosti pomocí </w:t>
      </w:r>
      <w:r w:rsidRPr="00F57A5E">
        <w:rPr>
          <w:rFonts w:ascii="Arial" w:eastAsia="Times New Roman" w:hAnsi="Arial" w:cs="Arial"/>
          <w:lang w:eastAsia="cs-CZ"/>
        </w:rPr>
        <w:t>jednoduchých indikátorů</w:t>
      </w:r>
      <w:r>
        <w:rPr>
          <w:rFonts w:ascii="Arial" w:eastAsia="Times New Roman" w:hAnsi="Arial" w:cs="Arial"/>
          <w:lang w:eastAsia="cs-CZ"/>
        </w:rPr>
        <w:t xml:space="preserve"> </w:t>
      </w:r>
      <w:r w:rsidRPr="00F57A5E">
        <w:rPr>
          <w:rFonts w:ascii="Arial" w:eastAsia="Times New Roman" w:hAnsi="Arial" w:cs="Arial"/>
          <w:lang w:eastAsia="cs-CZ"/>
        </w:rPr>
        <w:t>je jejich snadná interpretace a</w:t>
      </w:r>
      <w:r>
        <w:rPr>
          <w:rFonts w:ascii="Arial" w:eastAsia="Times New Roman" w:hAnsi="Arial" w:cs="Arial"/>
          <w:lang w:eastAsia="cs-CZ"/>
        </w:rPr>
        <w:t> </w:t>
      </w:r>
      <w:r w:rsidRPr="00F57A5E">
        <w:rPr>
          <w:rFonts w:ascii="Arial" w:eastAsia="Times New Roman" w:hAnsi="Arial" w:cs="Arial"/>
          <w:lang w:eastAsia="cs-CZ"/>
        </w:rPr>
        <w:t>možnost mezinárodního</w:t>
      </w:r>
      <w:r>
        <w:rPr>
          <w:rFonts w:ascii="Arial" w:eastAsia="Times New Roman" w:hAnsi="Arial" w:cs="Arial"/>
          <w:lang w:eastAsia="cs-CZ"/>
        </w:rPr>
        <w:t xml:space="preserve"> srovnání s širším okruhem zemí. N</w:t>
      </w:r>
      <w:r w:rsidRPr="00FD05C5">
        <w:rPr>
          <w:rFonts w:ascii="Arial" w:eastAsia="Times New Roman" w:hAnsi="Arial" w:cs="Arial"/>
          <w:lang w:eastAsia="cs-CZ"/>
        </w:rPr>
        <w:t xml:space="preserve">evýhodou </w:t>
      </w:r>
      <w:r>
        <w:rPr>
          <w:rFonts w:ascii="Arial" w:eastAsia="Times New Roman" w:hAnsi="Arial" w:cs="Arial"/>
          <w:lang w:eastAsia="cs-CZ"/>
        </w:rPr>
        <w:t>se však jeví</w:t>
      </w:r>
      <w:r w:rsidRPr="00FD05C5">
        <w:rPr>
          <w:rFonts w:ascii="Arial" w:eastAsia="Times New Roman" w:hAnsi="Arial" w:cs="Arial"/>
          <w:lang w:eastAsia="cs-CZ"/>
        </w:rPr>
        <w:t xml:space="preserve"> neschopnost postihnout skutečnou příčinu úrovně inovačního výkonu, a </w:t>
      </w:r>
      <w:r>
        <w:rPr>
          <w:rFonts w:ascii="Arial" w:eastAsia="Times New Roman" w:hAnsi="Arial" w:cs="Arial"/>
          <w:lang w:eastAsia="cs-CZ"/>
        </w:rPr>
        <w:t>z ní plynoucí</w:t>
      </w:r>
      <w:r w:rsidRPr="00FD05C5">
        <w:rPr>
          <w:rFonts w:ascii="Arial" w:eastAsia="Times New Roman" w:hAnsi="Arial" w:cs="Arial"/>
          <w:lang w:eastAsia="cs-CZ"/>
        </w:rPr>
        <w:t xml:space="preserve"> nevhodnost k</w:t>
      </w:r>
      <w:r>
        <w:rPr>
          <w:rFonts w:ascii="Arial" w:eastAsia="Times New Roman" w:hAnsi="Arial" w:cs="Arial"/>
          <w:lang w:eastAsia="cs-CZ"/>
        </w:rPr>
        <w:t> </w:t>
      </w:r>
      <w:r w:rsidRPr="00FD05C5">
        <w:rPr>
          <w:rFonts w:ascii="Arial" w:eastAsia="Times New Roman" w:hAnsi="Arial" w:cs="Arial"/>
          <w:lang w:eastAsia="cs-CZ"/>
        </w:rPr>
        <w:t xml:space="preserve">využití v managementu inovací. Potřeba přesněji určovat inovativnost ekonomiky a její příčiny i dopady </w:t>
      </w:r>
      <w:r>
        <w:rPr>
          <w:rFonts w:ascii="Arial" w:eastAsia="Times New Roman" w:hAnsi="Arial" w:cs="Arial"/>
          <w:lang w:eastAsia="cs-CZ"/>
        </w:rPr>
        <w:t xml:space="preserve">tak </w:t>
      </w:r>
      <w:r w:rsidRPr="00FD05C5">
        <w:rPr>
          <w:rFonts w:ascii="Arial" w:eastAsia="Times New Roman" w:hAnsi="Arial" w:cs="Arial"/>
          <w:lang w:eastAsia="cs-CZ"/>
        </w:rPr>
        <w:t>přispěla k tvorbě sofistikovanějších indikátorů inovativnosti kompozitního charakteru</w:t>
      </w:r>
      <w:r>
        <w:rPr>
          <w:rFonts w:ascii="Arial" w:eastAsia="Times New Roman" w:hAnsi="Arial" w:cs="Arial"/>
          <w:lang w:eastAsia="cs-CZ"/>
        </w:rPr>
        <w:t>, které v sobě mohou zahrnovat</w:t>
      </w:r>
      <w:r w:rsidRPr="00F57A5E">
        <w:rPr>
          <w:rFonts w:ascii="Arial" w:eastAsia="Times New Roman" w:hAnsi="Arial" w:cs="Arial"/>
          <w:lang w:eastAsia="cs-CZ"/>
        </w:rPr>
        <w:t xml:space="preserve"> i </w:t>
      </w:r>
      <w:r>
        <w:rPr>
          <w:rFonts w:ascii="Arial" w:eastAsia="Times New Roman" w:hAnsi="Arial" w:cs="Arial"/>
          <w:lang w:eastAsia="cs-CZ"/>
        </w:rPr>
        <w:t>několik</w:t>
      </w:r>
      <w:r w:rsidRPr="00F57A5E">
        <w:rPr>
          <w:rFonts w:ascii="Arial" w:eastAsia="Times New Roman" w:hAnsi="Arial" w:cs="Arial"/>
          <w:lang w:eastAsia="cs-CZ"/>
        </w:rPr>
        <w:t xml:space="preserve"> desítek dílčích ukazatelů.</w:t>
      </w:r>
    </w:p>
    <w:p w:rsidR="00D33F0D" w:rsidRPr="00FD05C5" w:rsidRDefault="00D33F0D" w:rsidP="00D33F0D">
      <w:pPr>
        <w:spacing w:after="0" w:line="360" w:lineRule="auto"/>
        <w:ind w:firstLine="709"/>
        <w:jc w:val="both"/>
        <w:rPr>
          <w:rFonts w:ascii="Arial" w:eastAsia="Times New Roman" w:hAnsi="Arial" w:cs="Arial"/>
          <w:lang w:eastAsia="cs-CZ"/>
        </w:rPr>
      </w:pPr>
      <w:r w:rsidRPr="00FD05C5">
        <w:rPr>
          <w:rFonts w:ascii="Arial" w:eastAsia="Times New Roman" w:hAnsi="Arial" w:cs="Arial"/>
          <w:lang w:eastAsia="cs-CZ"/>
        </w:rPr>
        <w:t xml:space="preserve">V této kapitole je věnována pozornost </w:t>
      </w:r>
      <w:r>
        <w:rPr>
          <w:rFonts w:ascii="Arial" w:eastAsia="Times New Roman" w:hAnsi="Arial" w:cs="Arial"/>
          <w:lang w:eastAsia="cs-CZ"/>
        </w:rPr>
        <w:t>komparaci</w:t>
      </w:r>
      <w:r w:rsidRPr="00FD05C5">
        <w:rPr>
          <w:rFonts w:ascii="Arial" w:eastAsia="Times New Roman" w:hAnsi="Arial" w:cs="Arial"/>
          <w:lang w:eastAsia="cs-CZ"/>
        </w:rPr>
        <w:t xml:space="preserve"> inovační výkonnosti české ekonomiky s</w:t>
      </w:r>
      <w:r>
        <w:rPr>
          <w:rFonts w:ascii="Arial" w:eastAsia="Times New Roman" w:hAnsi="Arial" w:cs="Arial"/>
          <w:lang w:eastAsia="cs-CZ"/>
        </w:rPr>
        <w:t> </w:t>
      </w:r>
      <w:r w:rsidRPr="00FD05C5">
        <w:rPr>
          <w:rFonts w:ascii="Arial" w:eastAsia="Times New Roman" w:hAnsi="Arial" w:cs="Arial"/>
          <w:lang w:eastAsia="cs-CZ"/>
        </w:rPr>
        <w:t>dalšími evropskými zeměmi na základě jednoduchého indikátoru</w:t>
      </w:r>
      <w:r>
        <w:rPr>
          <w:rFonts w:ascii="Arial" w:eastAsia="Times New Roman" w:hAnsi="Arial" w:cs="Arial"/>
          <w:lang w:eastAsia="cs-CZ"/>
        </w:rPr>
        <w:t xml:space="preserve"> – Znalostní intenzity ekonomiky. D</w:t>
      </w:r>
      <w:r w:rsidRPr="00FD05C5">
        <w:rPr>
          <w:rFonts w:ascii="Arial" w:eastAsia="Times New Roman" w:hAnsi="Arial" w:cs="Arial"/>
          <w:lang w:eastAsia="cs-CZ"/>
        </w:rPr>
        <w:t xml:space="preserve">ále </w:t>
      </w:r>
      <w:r>
        <w:rPr>
          <w:rFonts w:ascii="Arial" w:eastAsia="Times New Roman" w:hAnsi="Arial" w:cs="Arial"/>
          <w:lang w:eastAsia="cs-CZ"/>
        </w:rPr>
        <w:t>byla</w:t>
      </w:r>
      <w:r w:rsidRPr="00FD05C5">
        <w:rPr>
          <w:rFonts w:ascii="Arial" w:eastAsia="Times New Roman" w:hAnsi="Arial" w:cs="Arial"/>
          <w:lang w:eastAsia="cs-CZ"/>
        </w:rPr>
        <w:t xml:space="preserve"> porovnána pozice ČR se zahraničím podle </w:t>
      </w:r>
      <w:r>
        <w:rPr>
          <w:rFonts w:ascii="Arial" w:eastAsia="Times New Roman" w:hAnsi="Arial" w:cs="Arial"/>
          <w:lang w:eastAsia="cs-CZ"/>
        </w:rPr>
        <w:t xml:space="preserve">kompozitních indikátorů a jejich dílčích složek. Jedná se o </w:t>
      </w:r>
      <w:r w:rsidRPr="00FD05C5">
        <w:rPr>
          <w:rFonts w:ascii="Arial" w:eastAsia="Times New Roman" w:hAnsi="Arial" w:cs="Arial"/>
          <w:lang w:eastAsia="cs-CZ"/>
        </w:rPr>
        <w:t>souhrnn</w:t>
      </w:r>
      <w:r>
        <w:rPr>
          <w:rFonts w:ascii="Arial" w:eastAsia="Times New Roman" w:hAnsi="Arial" w:cs="Arial"/>
          <w:lang w:eastAsia="cs-CZ"/>
        </w:rPr>
        <w:t>ý</w:t>
      </w:r>
      <w:r w:rsidRPr="00FD05C5">
        <w:rPr>
          <w:rFonts w:ascii="Arial" w:eastAsia="Times New Roman" w:hAnsi="Arial" w:cs="Arial"/>
          <w:lang w:eastAsia="cs-CZ"/>
        </w:rPr>
        <w:t xml:space="preserve"> inovační index (SII)</w:t>
      </w:r>
      <w:r>
        <w:rPr>
          <w:rFonts w:ascii="Arial" w:eastAsia="Times New Roman" w:hAnsi="Arial" w:cs="Arial"/>
          <w:lang w:eastAsia="cs-CZ"/>
        </w:rPr>
        <w:t>,</w:t>
      </w:r>
      <w:r w:rsidRPr="00FD05C5">
        <w:rPr>
          <w:rFonts w:ascii="Arial" w:eastAsia="Times New Roman" w:hAnsi="Arial" w:cs="Arial"/>
          <w:lang w:eastAsia="cs-CZ"/>
        </w:rPr>
        <w:t xml:space="preserve"> </w:t>
      </w:r>
      <w:proofErr w:type="spellStart"/>
      <w:r w:rsidRPr="00FD05C5">
        <w:rPr>
          <w:rFonts w:ascii="Arial" w:eastAsia="Times New Roman" w:hAnsi="Arial" w:cs="Arial"/>
          <w:lang w:eastAsia="cs-CZ"/>
        </w:rPr>
        <w:t>Global</w:t>
      </w:r>
      <w:proofErr w:type="spellEnd"/>
      <w:r w:rsidRPr="00FD05C5">
        <w:rPr>
          <w:rFonts w:ascii="Arial" w:eastAsia="Times New Roman" w:hAnsi="Arial" w:cs="Arial"/>
          <w:lang w:eastAsia="cs-CZ"/>
        </w:rPr>
        <w:t xml:space="preserve"> </w:t>
      </w:r>
      <w:proofErr w:type="spellStart"/>
      <w:r w:rsidRPr="00FD05C5">
        <w:rPr>
          <w:rFonts w:ascii="Arial" w:eastAsia="Times New Roman" w:hAnsi="Arial" w:cs="Arial"/>
          <w:lang w:eastAsia="cs-CZ"/>
        </w:rPr>
        <w:t>innovation</w:t>
      </w:r>
      <w:proofErr w:type="spellEnd"/>
      <w:r w:rsidRPr="00FD05C5">
        <w:rPr>
          <w:rFonts w:ascii="Arial" w:eastAsia="Times New Roman" w:hAnsi="Arial" w:cs="Arial"/>
          <w:lang w:eastAsia="cs-CZ"/>
        </w:rPr>
        <w:t xml:space="preserve"> index (GII) a </w:t>
      </w:r>
      <w:proofErr w:type="spellStart"/>
      <w:r>
        <w:rPr>
          <w:rFonts w:ascii="Arial" w:eastAsia="Times New Roman" w:hAnsi="Arial" w:cs="Arial"/>
          <w:lang w:eastAsia="cs-CZ"/>
        </w:rPr>
        <w:t>Innovation</w:t>
      </w:r>
      <w:proofErr w:type="spellEnd"/>
      <w:r>
        <w:rPr>
          <w:rFonts w:ascii="Arial" w:eastAsia="Times New Roman" w:hAnsi="Arial" w:cs="Arial"/>
          <w:lang w:eastAsia="cs-CZ"/>
        </w:rPr>
        <w:t xml:space="preserve"> output </w:t>
      </w:r>
      <w:proofErr w:type="spellStart"/>
      <w:r>
        <w:rPr>
          <w:rFonts w:ascii="Arial" w:eastAsia="Times New Roman" w:hAnsi="Arial" w:cs="Arial"/>
          <w:lang w:eastAsia="cs-CZ"/>
        </w:rPr>
        <w:t>indicator</w:t>
      </w:r>
      <w:proofErr w:type="spellEnd"/>
      <w:r>
        <w:rPr>
          <w:rFonts w:ascii="Arial" w:eastAsia="Times New Roman" w:hAnsi="Arial" w:cs="Arial"/>
          <w:lang w:eastAsia="cs-CZ"/>
        </w:rPr>
        <w:t xml:space="preserve"> (IOI)</w:t>
      </w:r>
      <w:r w:rsidRPr="00FD05C5">
        <w:rPr>
          <w:rFonts w:ascii="Arial" w:eastAsia="Times New Roman" w:hAnsi="Arial" w:cs="Arial"/>
          <w:lang w:eastAsia="cs-CZ"/>
        </w:rPr>
        <w:t xml:space="preserve">. </w:t>
      </w:r>
      <w:r w:rsidRPr="007D31E2">
        <w:rPr>
          <w:rFonts w:ascii="Arial" w:eastAsia="Times New Roman" w:hAnsi="Arial" w:cs="Arial"/>
          <w:lang w:eastAsia="cs-CZ"/>
        </w:rPr>
        <w:t>Vybrané dílčí parametry souhrnných indexů jsou podrobně analyzovány</w:t>
      </w:r>
      <w:r>
        <w:rPr>
          <w:rFonts w:ascii="Arial" w:eastAsia="Times New Roman" w:hAnsi="Arial" w:cs="Arial"/>
          <w:lang w:eastAsia="cs-CZ"/>
        </w:rPr>
        <w:t xml:space="preserve"> a srovnávány s Rakouskem a průměrem EU</w:t>
      </w:r>
      <w:r w:rsidRPr="002020B9">
        <w:rPr>
          <w:rFonts w:ascii="Arial" w:eastAsia="Times New Roman" w:hAnsi="Arial" w:cs="Arial"/>
          <w:lang w:eastAsia="cs-CZ"/>
        </w:rPr>
        <w:t>. V roce 2016 byly ČSÚ zveřejněny výsledky šetření o</w:t>
      </w:r>
      <w:r>
        <w:rPr>
          <w:rFonts w:ascii="Arial" w:eastAsia="Times New Roman" w:hAnsi="Arial" w:cs="Arial"/>
          <w:lang w:eastAsia="cs-CZ"/>
        </w:rPr>
        <w:t> </w:t>
      </w:r>
      <w:r w:rsidRPr="002020B9">
        <w:rPr>
          <w:rFonts w:ascii="Arial" w:eastAsia="Times New Roman" w:hAnsi="Arial" w:cs="Arial"/>
          <w:lang w:eastAsia="cs-CZ"/>
        </w:rPr>
        <w:t>inovacích, které jsou vhodným doplněním analýzy inovačního výkonu, proto jsou vybrané ukazatele z tohoto šetření rovněž součástí této kapitoly.</w:t>
      </w:r>
    </w:p>
    <w:p w:rsidR="00D33F0D" w:rsidRPr="00FD05C5" w:rsidRDefault="00863581" w:rsidP="00995ED6">
      <w:pPr>
        <w:pStyle w:val="NadpisurovemII"/>
      </w:pPr>
      <w:bookmarkStart w:id="27" w:name="_Toc427676905"/>
      <w:bookmarkStart w:id="28" w:name="_Toc464461110"/>
      <w:r>
        <w:t>8</w:t>
      </w:r>
      <w:r w:rsidR="00D33F0D" w:rsidRPr="00FD05C5">
        <w:t>.1. Inovační výkon ČR na základě jednoduchých indikátorů</w:t>
      </w:r>
      <w:bookmarkEnd w:id="27"/>
      <w:bookmarkEnd w:id="28"/>
    </w:p>
    <w:p w:rsidR="00D33F0D" w:rsidRDefault="00D33F0D" w:rsidP="00D33F0D">
      <w:pPr>
        <w:spacing w:after="0" w:line="360" w:lineRule="auto"/>
        <w:ind w:firstLine="708"/>
        <w:jc w:val="both"/>
        <w:rPr>
          <w:rFonts w:ascii="Arial" w:eastAsia="Times New Roman" w:hAnsi="Arial" w:cs="Arial"/>
          <w:lang w:eastAsia="cs-CZ"/>
        </w:rPr>
      </w:pPr>
      <w:r w:rsidRPr="00FD05C5">
        <w:rPr>
          <w:rFonts w:ascii="Arial" w:eastAsia="Times New Roman" w:hAnsi="Arial" w:cs="Arial"/>
          <w:lang w:eastAsia="cs-CZ"/>
        </w:rPr>
        <w:t xml:space="preserve">Z důvodu snadné interpretace a možnosti mezinárodního srovnávání je často používán ukazatel Znalostní intenzita ekonomiky. </w:t>
      </w:r>
      <w:r>
        <w:rPr>
          <w:rFonts w:ascii="Arial" w:eastAsia="Times New Roman" w:hAnsi="Arial" w:cs="Arial"/>
          <w:lang w:eastAsia="cs-CZ"/>
        </w:rPr>
        <w:t>Tu</w:t>
      </w:r>
      <w:r w:rsidRPr="00FD05C5">
        <w:rPr>
          <w:rFonts w:ascii="Arial" w:eastAsia="Times New Roman" w:hAnsi="Arial" w:cs="Arial"/>
          <w:lang w:eastAsia="cs-CZ"/>
        </w:rPr>
        <w:t xml:space="preserve"> lze vyjádřit jako poměr celkových výdajů na vědu a výzkum</w:t>
      </w:r>
      <w:r>
        <w:rPr>
          <w:rFonts w:ascii="Arial" w:eastAsia="Times New Roman" w:hAnsi="Arial" w:cs="Arial"/>
          <w:lang w:eastAsia="cs-CZ"/>
        </w:rPr>
        <w:t xml:space="preserve"> (GERD)</w:t>
      </w:r>
      <w:r w:rsidRPr="00FD05C5">
        <w:rPr>
          <w:rFonts w:ascii="Arial" w:eastAsia="Times New Roman" w:hAnsi="Arial" w:cs="Arial"/>
          <w:vertAlign w:val="superscript"/>
          <w:lang w:eastAsia="cs-CZ"/>
        </w:rPr>
        <w:footnoteReference w:id="35"/>
      </w:r>
      <w:r w:rsidRPr="00FD05C5">
        <w:rPr>
          <w:rFonts w:ascii="Arial" w:eastAsia="Times New Roman" w:hAnsi="Arial" w:cs="Arial"/>
          <w:lang w:eastAsia="cs-CZ"/>
        </w:rPr>
        <w:t xml:space="preserve"> k výši hrubého domácího produktu</w:t>
      </w:r>
      <w:r>
        <w:rPr>
          <w:rFonts w:ascii="Arial" w:eastAsia="Times New Roman" w:hAnsi="Arial" w:cs="Arial"/>
          <w:lang w:eastAsia="cs-CZ"/>
        </w:rPr>
        <w:t xml:space="preserve"> (HDP)</w:t>
      </w:r>
      <w:r w:rsidRPr="00FD05C5">
        <w:rPr>
          <w:rFonts w:ascii="Arial" w:eastAsia="Times New Roman" w:hAnsi="Arial" w:cs="Arial"/>
          <w:lang w:eastAsia="cs-CZ"/>
        </w:rPr>
        <w:t>. Uvedený údaj je statisticky zjišťován ve většině evropských zemí a členských zemí OECD, proto umožňuje široké mezinárodní srovnání. V roce 2014 dos</w:t>
      </w:r>
      <w:r>
        <w:rPr>
          <w:rFonts w:ascii="Arial" w:eastAsia="Times New Roman" w:hAnsi="Arial" w:cs="Arial"/>
          <w:lang w:eastAsia="cs-CZ"/>
        </w:rPr>
        <w:t xml:space="preserve">áhla znalostní intenzita v ČR hodnoty </w:t>
      </w:r>
      <w:r w:rsidRPr="00FD05C5">
        <w:rPr>
          <w:rFonts w:ascii="Arial" w:eastAsia="Times New Roman" w:hAnsi="Arial" w:cs="Arial"/>
          <w:lang w:eastAsia="cs-CZ"/>
        </w:rPr>
        <w:t>2 %</w:t>
      </w:r>
      <w:r>
        <w:rPr>
          <w:rFonts w:ascii="Arial" w:eastAsia="Times New Roman" w:hAnsi="Arial" w:cs="Arial"/>
          <w:lang w:eastAsia="cs-CZ"/>
        </w:rPr>
        <w:t xml:space="preserve"> HDP</w:t>
      </w:r>
      <w:r w:rsidRPr="00FD05C5">
        <w:rPr>
          <w:rFonts w:ascii="Arial" w:eastAsia="Times New Roman" w:hAnsi="Arial" w:cs="Arial"/>
          <w:lang w:eastAsia="cs-CZ"/>
        </w:rPr>
        <w:t xml:space="preserve">. Oproti roku 2013 došlo k navýšení GERD o </w:t>
      </w:r>
      <w:r>
        <w:rPr>
          <w:rFonts w:ascii="Arial" w:eastAsia="Times New Roman" w:hAnsi="Arial" w:cs="Arial"/>
          <w:lang w:eastAsia="cs-CZ"/>
        </w:rPr>
        <w:t>cca 14,6</w:t>
      </w:r>
      <w:r w:rsidRPr="00FD05C5">
        <w:rPr>
          <w:rFonts w:ascii="Arial" w:eastAsia="Times New Roman" w:hAnsi="Arial" w:cs="Arial"/>
          <w:lang w:eastAsia="cs-CZ"/>
        </w:rPr>
        <w:t xml:space="preserve"> %, </w:t>
      </w:r>
      <w:r>
        <w:rPr>
          <w:rFonts w:ascii="Arial" w:eastAsia="Times New Roman" w:hAnsi="Arial" w:cs="Arial"/>
          <w:lang w:eastAsia="cs-CZ"/>
        </w:rPr>
        <w:t xml:space="preserve">celkové </w:t>
      </w:r>
      <w:r w:rsidRPr="00FD05C5">
        <w:rPr>
          <w:rFonts w:ascii="Arial" w:eastAsia="Times New Roman" w:hAnsi="Arial" w:cs="Arial"/>
          <w:lang w:eastAsia="cs-CZ"/>
        </w:rPr>
        <w:t>výdaje na </w:t>
      </w:r>
      <w:proofErr w:type="spellStart"/>
      <w:r w:rsidRPr="00FD05C5">
        <w:rPr>
          <w:rFonts w:ascii="Arial" w:eastAsia="Times New Roman" w:hAnsi="Arial" w:cs="Arial"/>
          <w:lang w:eastAsia="cs-CZ"/>
        </w:rPr>
        <w:t>VaV</w:t>
      </w:r>
      <w:proofErr w:type="spellEnd"/>
      <w:r>
        <w:rPr>
          <w:rFonts w:ascii="Arial" w:eastAsia="Times New Roman" w:hAnsi="Arial" w:cs="Arial"/>
          <w:lang w:eastAsia="cs-CZ"/>
        </w:rPr>
        <w:t xml:space="preserve"> v roce 2013 </w:t>
      </w:r>
      <w:r w:rsidRPr="00FD05C5">
        <w:rPr>
          <w:rFonts w:ascii="Arial" w:eastAsia="Times New Roman" w:hAnsi="Arial" w:cs="Arial"/>
          <w:lang w:eastAsia="cs-CZ"/>
        </w:rPr>
        <w:t>dosahovaly 1,91 % HDP</w:t>
      </w:r>
      <w:r>
        <w:rPr>
          <w:rFonts w:ascii="Arial" w:eastAsia="Times New Roman" w:hAnsi="Arial" w:cs="Arial"/>
          <w:lang w:eastAsia="cs-CZ"/>
        </w:rPr>
        <w:t xml:space="preserve">. </w:t>
      </w:r>
    </w:p>
    <w:p w:rsidR="00D33F0D" w:rsidRPr="00FD05C5" w:rsidRDefault="00D33F0D" w:rsidP="00D33F0D">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 xml:space="preserve">Mezinárodní srovnání znalostní intenzity ekonomiky ukazuje obr. </w:t>
      </w:r>
      <w:r w:rsidR="00AD7092">
        <w:rPr>
          <w:rFonts w:ascii="Arial" w:eastAsia="Times New Roman" w:hAnsi="Arial" w:cs="Arial"/>
          <w:lang w:eastAsia="cs-CZ"/>
        </w:rPr>
        <w:t>8</w:t>
      </w:r>
      <w:r>
        <w:rPr>
          <w:rFonts w:ascii="Arial" w:eastAsia="Times New Roman" w:hAnsi="Arial" w:cs="Arial"/>
          <w:lang w:eastAsia="cs-CZ"/>
        </w:rPr>
        <w:t xml:space="preserve">.1. Z tohoto srovnání vyplývá, že Česká republika se v roce 2014 hodnotou znalostní intenzity velmi těsně přiblížila průměru EU 28 a nechala za sebou země, jako jsou Velká Británie, Nizozemsko a Norsko. Mezi lety </w:t>
      </w:r>
      <w:r w:rsidRPr="00FD05C5">
        <w:rPr>
          <w:rFonts w:ascii="Arial" w:eastAsia="Times New Roman" w:hAnsi="Arial" w:cs="Arial"/>
          <w:lang w:eastAsia="cs-CZ"/>
        </w:rPr>
        <w:t>200</w:t>
      </w:r>
      <w:r>
        <w:rPr>
          <w:rFonts w:ascii="Arial" w:eastAsia="Times New Roman" w:hAnsi="Arial" w:cs="Arial"/>
          <w:lang w:eastAsia="cs-CZ"/>
        </w:rPr>
        <w:t>9 a 2014</w:t>
      </w:r>
      <w:r w:rsidRPr="00FD05C5">
        <w:rPr>
          <w:rFonts w:ascii="Arial" w:eastAsia="Times New Roman" w:hAnsi="Arial" w:cs="Arial"/>
          <w:lang w:eastAsia="cs-CZ"/>
        </w:rPr>
        <w:t xml:space="preserve"> narostl poměr výdajů na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k výši HDP </w:t>
      </w:r>
      <w:r>
        <w:rPr>
          <w:rFonts w:ascii="Arial" w:eastAsia="Times New Roman" w:hAnsi="Arial" w:cs="Arial"/>
          <w:lang w:eastAsia="cs-CZ"/>
        </w:rPr>
        <w:t xml:space="preserve">v ČR </w:t>
      </w:r>
      <w:r w:rsidRPr="00FD05C5">
        <w:rPr>
          <w:rFonts w:ascii="Arial" w:eastAsia="Times New Roman" w:hAnsi="Arial" w:cs="Arial"/>
          <w:lang w:eastAsia="cs-CZ"/>
        </w:rPr>
        <w:t xml:space="preserve">o </w:t>
      </w:r>
      <w:proofErr w:type="gramStart"/>
      <w:r>
        <w:rPr>
          <w:rFonts w:ascii="Arial" w:eastAsia="Times New Roman" w:hAnsi="Arial" w:cs="Arial"/>
          <w:lang w:eastAsia="cs-CZ"/>
        </w:rPr>
        <w:t>35</w:t>
      </w:r>
      <w:r w:rsidR="00995ED6">
        <w:rPr>
          <w:rFonts w:ascii="Arial" w:eastAsia="Times New Roman" w:hAnsi="Arial" w:cs="Arial"/>
          <w:lang w:eastAsia="cs-CZ"/>
        </w:rPr>
        <w:t> </w:t>
      </w:r>
      <w:r>
        <w:rPr>
          <w:rFonts w:ascii="Arial" w:eastAsia="Times New Roman" w:hAnsi="Arial" w:cs="Arial"/>
          <w:lang w:eastAsia="cs-CZ"/>
        </w:rPr>
        <w:t>% (z</w:t>
      </w:r>
      <w:r w:rsidR="00995ED6">
        <w:rPr>
          <w:rFonts w:ascii="Arial" w:eastAsia="Times New Roman" w:hAnsi="Arial" w:cs="Arial"/>
          <w:lang w:eastAsia="cs-CZ"/>
        </w:rPr>
        <w:t> </w:t>
      </w:r>
      <w:r>
        <w:rPr>
          <w:rFonts w:ascii="Arial" w:eastAsia="Times New Roman" w:hAnsi="Arial" w:cs="Arial"/>
          <w:lang w:eastAsia="cs-CZ"/>
        </w:rPr>
        <w:t>1,3</w:t>
      </w:r>
      <w:proofErr w:type="gramEnd"/>
      <w:r>
        <w:rPr>
          <w:rFonts w:ascii="Arial" w:eastAsia="Times New Roman" w:hAnsi="Arial" w:cs="Arial"/>
          <w:lang w:eastAsia="cs-CZ"/>
        </w:rPr>
        <w:t xml:space="preserve"> % na 2 %)</w:t>
      </w:r>
      <w:r w:rsidRPr="00FD05C5">
        <w:rPr>
          <w:rFonts w:ascii="Arial" w:eastAsia="Times New Roman" w:hAnsi="Arial" w:cs="Arial"/>
          <w:lang w:eastAsia="cs-CZ"/>
        </w:rPr>
        <w:t>.</w:t>
      </w:r>
      <w:r>
        <w:rPr>
          <w:rFonts w:ascii="Arial" w:eastAsia="Times New Roman" w:hAnsi="Arial" w:cs="Arial"/>
          <w:lang w:eastAsia="cs-CZ"/>
        </w:rPr>
        <w:t xml:space="preserve"> </w:t>
      </w:r>
      <w:r w:rsidRPr="00FD05C5">
        <w:rPr>
          <w:rFonts w:ascii="Arial" w:eastAsia="Times New Roman" w:hAnsi="Arial" w:cs="Arial"/>
          <w:lang w:eastAsia="cs-CZ"/>
        </w:rPr>
        <w:t xml:space="preserve">V roce 2014 </w:t>
      </w:r>
      <w:r>
        <w:rPr>
          <w:rFonts w:ascii="Arial" w:eastAsia="Times New Roman" w:hAnsi="Arial" w:cs="Arial"/>
          <w:lang w:eastAsia="cs-CZ"/>
        </w:rPr>
        <w:t>se</w:t>
      </w:r>
      <w:r w:rsidRPr="00FD05C5">
        <w:rPr>
          <w:rFonts w:ascii="Arial" w:eastAsia="Times New Roman" w:hAnsi="Arial" w:cs="Arial"/>
          <w:lang w:eastAsia="cs-CZ"/>
        </w:rPr>
        <w:t xml:space="preserve"> celkové výdaje v zemích Evropské unie na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w:t>
      </w:r>
      <w:r>
        <w:rPr>
          <w:rFonts w:ascii="Arial" w:eastAsia="Times New Roman" w:hAnsi="Arial" w:cs="Arial"/>
          <w:lang w:eastAsia="cs-CZ"/>
        </w:rPr>
        <w:t xml:space="preserve">vyšplhaly ke </w:t>
      </w:r>
      <w:r w:rsidRPr="00FD05C5">
        <w:rPr>
          <w:rFonts w:ascii="Arial" w:eastAsia="Times New Roman" w:hAnsi="Arial" w:cs="Arial"/>
          <w:lang w:eastAsia="cs-CZ"/>
        </w:rPr>
        <w:t xml:space="preserve">zhruba 283,9 mld. </w:t>
      </w:r>
      <w:r>
        <w:rPr>
          <w:rFonts w:ascii="Arial" w:eastAsia="Times New Roman" w:hAnsi="Arial" w:cs="Arial"/>
          <w:lang w:eastAsia="cs-CZ"/>
        </w:rPr>
        <w:t>EUR</w:t>
      </w:r>
      <w:r w:rsidRPr="00FD05C5">
        <w:rPr>
          <w:rFonts w:ascii="Arial" w:eastAsia="Times New Roman" w:hAnsi="Arial" w:cs="Arial"/>
          <w:lang w:eastAsia="cs-CZ"/>
        </w:rPr>
        <w:t>, z toho největší podíl mělo</w:t>
      </w:r>
      <w:r>
        <w:rPr>
          <w:rFonts w:ascii="Arial" w:eastAsia="Times New Roman" w:hAnsi="Arial" w:cs="Arial"/>
          <w:lang w:eastAsia="cs-CZ"/>
        </w:rPr>
        <w:t xml:space="preserve"> stejně jako v roce 2013</w:t>
      </w:r>
      <w:r w:rsidRPr="00FD05C5">
        <w:rPr>
          <w:rFonts w:ascii="Arial" w:eastAsia="Times New Roman" w:hAnsi="Arial" w:cs="Arial"/>
          <w:lang w:eastAsia="cs-CZ"/>
        </w:rPr>
        <w:t xml:space="preserve"> Německo </w:t>
      </w:r>
      <w:r>
        <w:rPr>
          <w:rFonts w:ascii="Arial" w:eastAsia="Times New Roman" w:hAnsi="Arial" w:cs="Arial"/>
          <w:lang w:eastAsia="cs-CZ"/>
        </w:rPr>
        <w:t>(</w:t>
      </w:r>
      <w:r w:rsidRPr="00FD05C5">
        <w:rPr>
          <w:rFonts w:ascii="Arial" w:eastAsia="Times New Roman" w:hAnsi="Arial" w:cs="Arial"/>
          <w:lang w:eastAsia="cs-CZ"/>
        </w:rPr>
        <w:t>29,5</w:t>
      </w:r>
      <w:r>
        <w:rPr>
          <w:rFonts w:ascii="Arial" w:eastAsia="Times New Roman" w:hAnsi="Arial" w:cs="Arial"/>
          <w:lang w:eastAsia="cs-CZ"/>
        </w:rPr>
        <w:t> </w:t>
      </w:r>
      <w:r w:rsidRPr="00FD05C5">
        <w:rPr>
          <w:rFonts w:ascii="Arial" w:eastAsia="Times New Roman" w:hAnsi="Arial" w:cs="Arial"/>
          <w:lang w:eastAsia="cs-CZ"/>
        </w:rPr>
        <w:t>%</w:t>
      </w:r>
      <w:r>
        <w:rPr>
          <w:rFonts w:ascii="Arial" w:eastAsia="Times New Roman" w:hAnsi="Arial" w:cs="Arial"/>
          <w:lang w:eastAsia="cs-CZ"/>
        </w:rPr>
        <w:t>)</w:t>
      </w:r>
      <w:r w:rsidRPr="00FD05C5">
        <w:rPr>
          <w:rFonts w:ascii="Arial" w:eastAsia="Times New Roman" w:hAnsi="Arial" w:cs="Arial"/>
          <w:lang w:eastAsia="cs-CZ"/>
        </w:rPr>
        <w:t xml:space="preserve">, druhý největší podíl připadá </w:t>
      </w:r>
      <w:r w:rsidRPr="00FD05C5">
        <w:rPr>
          <w:rFonts w:ascii="Arial" w:eastAsia="Times New Roman" w:hAnsi="Arial" w:cs="Arial"/>
          <w:lang w:eastAsia="cs-CZ"/>
        </w:rPr>
        <w:lastRenderedPageBreak/>
        <w:t xml:space="preserve">na Francii, </w:t>
      </w:r>
      <w:r>
        <w:rPr>
          <w:rFonts w:ascii="Arial" w:eastAsia="Times New Roman" w:hAnsi="Arial" w:cs="Arial"/>
          <w:lang w:eastAsia="cs-CZ"/>
        </w:rPr>
        <w:t xml:space="preserve">kde </w:t>
      </w:r>
      <w:r w:rsidRPr="00FD05C5">
        <w:rPr>
          <w:rFonts w:ascii="Arial" w:eastAsia="Times New Roman" w:hAnsi="Arial" w:cs="Arial"/>
          <w:lang w:eastAsia="cs-CZ"/>
        </w:rPr>
        <w:t xml:space="preserve">objem </w:t>
      </w:r>
      <w:r>
        <w:rPr>
          <w:rFonts w:ascii="Arial" w:eastAsia="Times New Roman" w:hAnsi="Arial" w:cs="Arial"/>
          <w:lang w:eastAsia="cs-CZ"/>
        </w:rPr>
        <w:t>prostředků</w:t>
      </w:r>
      <w:r w:rsidRPr="00FD05C5">
        <w:rPr>
          <w:rFonts w:ascii="Arial" w:eastAsia="Times New Roman" w:hAnsi="Arial" w:cs="Arial"/>
          <w:lang w:eastAsia="cs-CZ"/>
        </w:rPr>
        <w:t xml:space="preserve"> na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w:t>
      </w:r>
      <w:r>
        <w:rPr>
          <w:rFonts w:ascii="Arial" w:eastAsia="Times New Roman" w:hAnsi="Arial" w:cs="Arial"/>
          <w:lang w:eastAsia="cs-CZ"/>
        </w:rPr>
        <w:t>čini</w:t>
      </w:r>
      <w:r w:rsidRPr="00FD05C5">
        <w:rPr>
          <w:rFonts w:ascii="Arial" w:eastAsia="Times New Roman" w:hAnsi="Arial" w:cs="Arial"/>
          <w:lang w:eastAsia="cs-CZ"/>
        </w:rPr>
        <w:t xml:space="preserve">l 48,1 mld. </w:t>
      </w:r>
      <w:r>
        <w:rPr>
          <w:rFonts w:ascii="Arial" w:eastAsia="Times New Roman" w:hAnsi="Arial" w:cs="Arial"/>
          <w:lang w:eastAsia="cs-CZ"/>
        </w:rPr>
        <w:t>EUR</w:t>
      </w:r>
      <w:r w:rsidRPr="00FD05C5">
        <w:rPr>
          <w:rFonts w:ascii="Arial" w:eastAsia="Times New Roman" w:hAnsi="Arial" w:cs="Arial"/>
          <w:lang w:eastAsia="cs-CZ"/>
        </w:rPr>
        <w:t xml:space="preserve"> (tj. 16,9 %). ČR se na celkových výdajích podílela 1,1 % (tj. 3,1 mld. </w:t>
      </w:r>
      <w:r>
        <w:rPr>
          <w:rFonts w:ascii="Arial" w:eastAsia="Times New Roman" w:hAnsi="Arial" w:cs="Arial"/>
          <w:lang w:eastAsia="cs-CZ"/>
        </w:rPr>
        <w:t>EUR</w:t>
      </w:r>
      <w:r w:rsidRPr="00FD05C5">
        <w:rPr>
          <w:rFonts w:ascii="Arial" w:eastAsia="Times New Roman" w:hAnsi="Arial" w:cs="Arial"/>
          <w:lang w:eastAsia="cs-CZ"/>
        </w:rPr>
        <w:t xml:space="preserve">), což je téměř </w:t>
      </w:r>
      <w:r>
        <w:rPr>
          <w:rFonts w:ascii="Arial" w:eastAsia="Times New Roman" w:hAnsi="Arial" w:cs="Arial"/>
          <w:lang w:eastAsia="cs-CZ"/>
        </w:rPr>
        <w:t>dvakrát</w:t>
      </w:r>
      <w:r w:rsidRPr="00FD05C5">
        <w:rPr>
          <w:rFonts w:ascii="Arial" w:eastAsia="Times New Roman" w:hAnsi="Arial" w:cs="Arial"/>
          <w:lang w:eastAsia="cs-CZ"/>
        </w:rPr>
        <w:t xml:space="preserve"> více než Maďarsko, </w:t>
      </w:r>
      <w:r>
        <w:rPr>
          <w:rFonts w:ascii="Arial" w:eastAsia="Times New Roman" w:hAnsi="Arial" w:cs="Arial"/>
          <w:lang w:eastAsia="cs-CZ"/>
        </w:rPr>
        <w:t>pět</w:t>
      </w:r>
      <w:r w:rsidRPr="00FD05C5">
        <w:rPr>
          <w:rFonts w:ascii="Arial" w:eastAsia="Times New Roman" w:hAnsi="Arial" w:cs="Arial"/>
          <w:lang w:eastAsia="cs-CZ"/>
        </w:rPr>
        <w:t xml:space="preserve">krát více než Slovensko, </w:t>
      </w:r>
      <w:r>
        <w:rPr>
          <w:rFonts w:ascii="Arial" w:eastAsia="Times New Roman" w:hAnsi="Arial" w:cs="Arial"/>
          <w:lang w:eastAsia="cs-CZ"/>
        </w:rPr>
        <w:t xml:space="preserve">ale </w:t>
      </w:r>
      <w:r w:rsidRPr="00FD05C5">
        <w:rPr>
          <w:rFonts w:ascii="Arial" w:eastAsia="Times New Roman" w:hAnsi="Arial" w:cs="Arial"/>
          <w:lang w:eastAsia="cs-CZ"/>
        </w:rPr>
        <w:t xml:space="preserve">o jednu třetinu méně než </w:t>
      </w:r>
      <w:r>
        <w:rPr>
          <w:rFonts w:ascii="Arial" w:eastAsia="Times New Roman" w:hAnsi="Arial" w:cs="Arial"/>
          <w:lang w:eastAsia="cs-CZ"/>
        </w:rPr>
        <w:t xml:space="preserve">v </w:t>
      </w:r>
      <w:r w:rsidRPr="00FD05C5">
        <w:rPr>
          <w:rFonts w:ascii="Arial" w:eastAsia="Times New Roman" w:hAnsi="Arial" w:cs="Arial"/>
          <w:lang w:eastAsia="cs-CZ"/>
        </w:rPr>
        <w:t>Polsku</w:t>
      </w:r>
      <w:r>
        <w:rPr>
          <w:rFonts w:ascii="Arial" w:eastAsia="Times New Roman" w:hAnsi="Arial" w:cs="Arial"/>
          <w:lang w:eastAsia="cs-CZ"/>
        </w:rPr>
        <w:t xml:space="preserve"> a</w:t>
      </w:r>
      <w:r w:rsidRPr="00FD05C5">
        <w:rPr>
          <w:rFonts w:ascii="Arial" w:eastAsia="Times New Roman" w:hAnsi="Arial" w:cs="Arial"/>
          <w:lang w:eastAsia="cs-CZ"/>
        </w:rPr>
        <w:t xml:space="preserve"> více </w:t>
      </w:r>
      <w:r>
        <w:rPr>
          <w:rFonts w:ascii="Arial" w:eastAsia="Times New Roman" w:hAnsi="Arial" w:cs="Arial"/>
          <w:lang w:eastAsia="cs-CZ"/>
        </w:rPr>
        <w:t>jak</w:t>
      </w:r>
      <w:r w:rsidRPr="00FD05C5">
        <w:rPr>
          <w:rFonts w:ascii="Arial" w:eastAsia="Times New Roman" w:hAnsi="Arial" w:cs="Arial"/>
          <w:lang w:eastAsia="cs-CZ"/>
        </w:rPr>
        <w:t xml:space="preserve"> </w:t>
      </w:r>
      <w:r>
        <w:rPr>
          <w:rFonts w:ascii="Arial" w:eastAsia="Times New Roman" w:hAnsi="Arial" w:cs="Arial"/>
          <w:lang w:eastAsia="cs-CZ"/>
        </w:rPr>
        <w:t>tři</w:t>
      </w:r>
      <w:r w:rsidRPr="00FD05C5">
        <w:rPr>
          <w:rFonts w:ascii="Arial" w:eastAsia="Times New Roman" w:hAnsi="Arial" w:cs="Arial"/>
          <w:lang w:eastAsia="cs-CZ"/>
        </w:rPr>
        <w:t xml:space="preserve">krát méně než </w:t>
      </w:r>
      <w:r>
        <w:rPr>
          <w:rFonts w:ascii="Arial" w:eastAsia="Times New Roman" w:hAnsi="Arial" w:cs="Arial"/>
          <w:lang w:eastAsia="cs-CZ"/>
        </w:rPr>
        <w:t xml:space="preserve">v </w:t>
      </w:r>
      <w:r w:rsidRPr="00FD05C5">
        <w:rPr>
          <w:rFonts w:ascii="Arial" w:eastAsia="Times New Roman" w:hAnsi="Arial" w:cs="Arial"/>
          <w:lang w:eastAsia="cs-CZ"/>
        </w:rPr>
        <w:t>Rakousk</w:t>
      </w:r>
      <w:r>
        <w:rPr>
          <w:rFonts w:ascii="Arial" w:eastAsia="Times New Roman" w:hAnsi="Arial" w:cs="Arial"/>
          <w:lang w:eastAsia="cs-CZ"/>
        </w:rPr>
        <w:t>u</w:t>
      </w:r>
      <w:r w:rsidRPr="00FD05C5">
        <w:rPr>
          <w:rFonts w:ascii="Arial" w:eastAsia="Times New Roman" w:hAnsi="Arial" w:cs="Arial"/>
          <w:lang w:eastAsia="cs-CZ"/>
        </w:rPr>
        <w:t xml:space="preserve">. </w:t>
      </w:r>
      <w:r>
        <w:rPr>
          <w:rFonts w:ascii="Arial" w:eastAsia="Times New Roman" w:hAnsi="Arial" w:cs="Arial"/>
          <w:lang w:eastAsia="cs-CZ"/>
        </w:rPr>
        <w:t>M</w:t>
      </w:r>
      <w:r w:rsidRPr="00FD05C5">
        <w:rPr>
          <w:rFonts w:ascii="Arial" w:eastAsia="Times New Roman" w:hAnsi="Arial" w:cs="Arial"/>
          <w:lang w:eastAsia="cs-CZ"/>
        </w:rPr>
        <w:t xml:space="preserve">ezi lety 2013 a 2014 nedošlo téměř k žádným změnám v podílu na celkových výdajích na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v zemích EU 28, k drobným změnám došlo pouze u zemí </w:t>
      </w:r>
      <w:r>
        <w:rPr>
          <w:rFonts w:ascii="Arial" w:eastAsia="Times New Roman" w:hAnsi="Arial" w:cs="Arial"/>
          <w:lang w:eastAsia="cs-CZ"/>
        </w:rPr>
        <w:t>vynakládajících</w:t>
      </w:r>
      <w:r w:rsidRPr="00FD05C5">
        <w:rPr>
          <w:rFonts w:ascii="Arial" w:eastAsia="Times New Roman" w:hAnsi="Arial" w:cs="Arial"/>
          <w:lang w:eastAsia="cs-CZ"/>
        </w:rPr>
        <w:t xml:space="preserve"> nejvyšší absol</w:t>
      </w:r>
      <w:r>
        <w:rPr>
          <w:rFonts w:ascii="Arial" w:eastAsia="Times New Roman" w:hAnsi="Arial" w:cs="Arial"/>
          <w:lang w:eastAsia="cs-CZ"/>
        </w:rPr>
        <w:t>u</w:t>
      </w:r>
      <w:r w:rsidRPr="00FD05C5">
        <w:rPr>
          <w:rFonts w:ascii="Arial" w:eastAsia="Times New Roman" w:hAnsi="Arial" w:cs="Arial"/>
          <w:lang w:eastAsia="cs-CZ"/>
        </w:rPr>
        <w:t xml:space="preserve">tní výdaje na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w:t>
      </w:r>
    </w:p>
    <w:p w:rsidR="00D33F0D" w:rsidRPr="00551D94" w:rsidRDefault="00D33F0D" w:rsidP="00D33F0D">
      <w:pPr>
        <w:spacing w:after="0" w:line="360" w:lineRule="auto"/>
        <w:ind w:firstLine="708"/>
        <w:jc w:val="both"/>
        <w:rPr>
          <w:rFonts w:ascii="Arial" w:eastAsia="Times New Roman" w:hAnsi="Arial" w:cs="Arial"/>
          <w:lang w:eastAsia="cs-CZ"/>
        </w:rPr>
      </w:pPr>
      <w:r w:rsidRPr="00FD05C5">
        <w:rPr>
          <w:rFonts w:ascii="Arial" w:eastAsia="Times New Roman" w:hAnsi="Arial" w:cs="Arial"/>
          <w:lang w:eastAsia="cs-CZ"/>
        </w:rPr>
        <w:t>Znalostní intenzita ekonomiky vyjadřuje výši investic do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vztaženou k celkové produkci ekonomiky. Tento ukazatel však nezohledňuje podstatné rozdíly v dosažené úrovni produkce a například strukturu výdajů na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podle oblasti financování. Jednou z</w:t>
      </w:r>
      <w:r>
        <w:rPr>
          <w:rFonts w:ascii="Arial" w:eastAsia="Times New Roman" w:hAnsi="Arial" w:cs="Arial"/>
          <w:lang w:eastAsia="cs-CZ"/>
        </w:rPr>
        <w:t> </w:t>
      </w:r>
      <w:r w:rsidRPr="00FD05C5">
        <w:rPr>
          <w:rFonts w:ascii="Arial" w:eastAsia="Times New Roman" w:hAnsi="Arial" w:cs="Arial"/>
          <w:lang w:eastAsia="cs-CZ"/>
        </w:rPr>
        <w:t>možností</w:t>
      </w:r>
      <w:r>
        <w:rPr>
          <w:rFonts w:ascii="Arial" w:eastAsia="Times New Roman" w:hAnsi="Arial" w:cs="Arial"/>
          <w:lang w:eastAsia="cs-CZ"/>
        </w:rPr>
        <w:t>,</w:t>
      </w:r>
      <w:r w:rsidRPr="00FD05C5">
        <w:rPr>
          <w:rFonts w:ascii="Arial" w:eastAsia="Times New Roman" w:hAnsi="Arial" w:cs="Arial"/>
          <w:lang w:eastAsia="cs-CZ"/>
        </w:rPr>
        <w:t xml:space="preserve"> jak zlepšit vypovídací hodnotu ve smyslu posouzení míry investic do tvorby nových znalostí</w:t>
      </w:r>
      <w:r>
        <w:rPr>
          <w:rFonts w:ascii="Arial" w:eastAsia="Times New Roman" w:hAnsi="Arial" w:cs="Arial"/>
          <w:lang w:eastAsia="cs-CZ"/>
        </w:rPr>
        <w:t>,</w:t>
      </w:r>
      <w:r w:rsidRPr="00FD05C5">
        <w:rPr>
          <w:rFonts w:ascii="Arial" w:eastAsia="Times New Roman" w:hAnsi="Arial" w:cs="Arial"/>
          <w:lang w:eastAsia="cs-CZ"/>
        </w:rPr>
        <w:t xml:space="preserve"> je porovnat Znalostní intenzitu s výší výdajů na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v přepočtu na obyvatele v</w:t>
      </w:r>
      <w:r>
        <w:rPr>
          <w:rFonts w:ascii="Arial" w:eastAsia="Times New Roman" w:hAnsi="Arial" w:cs="Arial"/>
          <w:lang w:eastAsia="cs-CZ"/>
        </w:rPr>
        <w:t> </w:t>
      </w:r>
      <w:r w:rsidRPr="00FD05C5">
        <w:rPr>
          <w:rFonts w:ascii="Arial" w:eastAsia="Times New Roman" w:hAnsi="Arial" w:cs="Arial"/>
          <w:lang w:eastAsia="cs-CZ"/>
        </w:rPr>
        <w:t>PPS</w:t>
      </w:r>
      <w:r>
        <w:rPr>
          <w:rFonts w:ascii="Arial" w:eastAsia="Times New Roman" w:hAnsi="Arial" w:cs="Arial"/>
          <w:lang w:eastAsia="cs-CZ"/>
        </w:rPr>
        <w:t>.</w:t>
      </w:r>
      <w:r w:rsidRPr="00FD05C5">
        <w:rPr>
          <w:rFonts w:ascii="Arial" w:eastAsia="Times New Roman" w:hAnsi="Arial" w:cs="Arial"/>
          <w:vertAlign w:val="superscript"/>
          <w:lang w:eastAsia="cs-CZ"/>
        </w:rPr>
        <w:footnoteReference w:id="36"/>
      </w:r>
      <w:r w:rsidRPr="00FD05C5">
        <w:rPr>
          <w:rFonts w:ascii="Arial" w:eastAsia="Times New Roman" w:hAnsi="Arial" w:cs="Arial"/>
          <w:lang w:eastAsia="cs-CZ"/>
        </w:rPr>
        <w:t xml:space="preserve"> Výdaje na 1 obyvatele v</w:t>
      </w:r>
      <w:r w:rsidR="00995ED6">
        <w:rPr>
          <w:rFonts w:ascii="Arial" w:eastAsia="Times New Roman" w:hAnsi="Arial" w:cs="Arial"/>
          <w:lang w:eastAsia="cs-CZ"/>
        </w:rPr>
        <w:t> </w:t>
      </w:r>
      <w:r w:rsidRPr="00FD05C5">
        <w:rPr>
          <w:rFonts w:ascii="Arial" w:eastAsia="Times New Roman" w:hAnsi="Arial" w:cs="Arial"/>
          <w:lang w:eastAsia="cs-CZ"/>
        </w:rPr>
        <w:t xml:space="preserve">PPS byly v roce 2014 v ČR 2,7 krát větší než v Polsku, cca </w:t>
      </w:r>
      <w:r>
        <w:rPr>
          <w:rFonts w:ascii="Arial" w:eastAsia="Times New Roman" w:hAnsi="Arial" w:cs="Arial"/>
          <w:lang w:eastAsia="cs-CZ"/>
        </w:rPr>
        <w:t>dva</w:t>
      </w:r>
      <w:r w:rsidRPr="00FD05C5">
        <w:rPr>
          <w:rFonts w:ascii="Arial" w:eastAsia="Times New Roman" w:hAnsi="Arial" w:cs="Arial"/>
          <w:lang w:eastAsia="cs-CZ"/>
        </w:rPr>
        <w:t>krát větší než v Maďarsku, v Německu a Rakousku byly naopak cca 2,2 krát vyšší než v ČR (</w:t>
      </w:r>
      <w:r w:rsidR="002701E4">
        <w:rPr>
          <w:rFonts w:ascii="Arial" w:eastAsia="Times New Roman" w:hAnsi="Arial" w:cs="Arial"/>
          <w:lang w:eastAsia="cs-CZ"/>
        </w:rPr>
        <w:t>obr. 8</w:t>
      </w:r>
      <w:r>
        <w:rPr>
          <w:rFonts w:ascii="Arial" w:eastAsia="Times New Roman" w:hAnsi="Arial" w:cs="Arial"/>
          <w:lang w:eastAsia="cs-CZ"/>
        </w:rPr>
        <w:t>.2)</w:t>
      </w:r>
      <w:r w:rsidRPr="00FD05C5">
        <w:rPr>
          <w:rFonts w:ascii="Arial" w:eastAsia="Times New Roman" w:hAnsi="Arial" w:cs="Arial"/>
          <w:lang w:eastAsia="cs-CZ"/>
        </w:rPr>
        <w:t xml:space="preserve">. Další zpřesnění ukazatele znalostní intenzity může přinést dekompozice struktury výdajů na </w:t>
      </w:r>
      <w:proofErr w:type="spellStart"/>
      <w:r w:rsidRPr="00FD05C5">
        <w:rPr>
          <w:rFonts w:ascii="Arial" w:eastAsia="Times New Roman" w:hAnsi="Arial" w:cs="Arial"/>
          <w:lang w:eastAsia="cs-CZ"/>
        </w:rPr>
        <w:t>VaV</w:t>
      </w:r>
      <w:proofErr w:type="spellEnd"/>
      <w:r>
        <w:rPr>
          <w:rFonts w:ascii="Arial" w:eastAsia="Times New Roman" w:hAnsi="Arial" w:cs="Arial"/>
          <w:lang w:eastAsia="cs-CZ"/>
        </w:rPr>
        <w:t>,</w:t>
      </w:r>
      <w:r w:rsidRPr="00FD05C5">
        <w:rPr>
          <w:rFonts w:ascii="Arial" w:eastAsia="Times New Roman" w:hAnsi="Arial" w:cs="Arial"/>
          <w:lang w:eastAsia="cs-CZ"/>
        </w:rPr>
        <w:t xml:space="preserve"> a to například podle zdrojů financování a dle sektorů provádění (viz podrobněji Kapitola Finanční toky).</w:t>
      </w:r>
    </w:p>
    <w:p w:rsidR="00D33F0D" w:rsidRPr="00FD05C5" w:rsidRDefault="00D33F0D" w:rsidP="00D33F0D">
      <w:pPr>
        <w:pStyle w:val="Obrzek-nadpis"/>
      </w:pPr>
      <w:r w:rsidRPr="00FD05C5">
        <w:t xml:space="preserve">Obr. </w:t>
      </w:r>
      <w:r w:rsidR="00AD7092">
        <w:t>8</w:t>
      </w:r>
      <w:r w:rsidRPr="00FD05C5">
        <w:t>.1: Znalostní intenzita ekonomiky ČR v mezinárodním srovnání</w:t>
      </w:r>
    </w:p>
    <w:p w:rsidR="00D33F0D" w:rsidRPr="00FD05C5" w:rsidRDefault="00D33F0D" w:rsidP="00D33F0D">
      <w:pPr>
        <w:spacing w:afterLines="60" w:after="144" w:line="360" w:lineRule="auto"/>
        <w:jc w:val="center"/>
        <w:rPr>
          <w:noProof/>
          <w:lang w:eastAsia="cs-CZ"/>
        </w:rPr>
      </w:pPr>
      <w:r w:rsidRPr="00FD05C5">
        <w:rPr>
          <w:noProof/>
          <w:lang w:eastAsia="cs-CZ"/>
        </w:rPr>
        <mc:AlternateContent>
          <mc:Choice Requires="wps">
            <w:drawing>
              <wp:anchor distT="0" distB="0" distL="114300" distR="114300" simplePos="0" relativeHeight="251659264" behindDoc="0" locked="0" layoutInCell="1" allowOverlap="1" wp14:anchorId="18CDA7BA" wp14:editId="24A85101">
                <wp:simplePos x="0" y="0"/>
                <wp:positionH relativeFrom="column">
                  <wp:posOffset>2524125</wp:posOffset>
                </wp:positionH>
                <wp:positionV relativeFrom="paragraph">
                  <wp:posOffset>1343660</wp:posOffset>
                </wp:positionV>
                <wp:extent cx="109220" cy="341630"/>
                <wp:effectExtent l="57150" t="38100" r="81280" b="96520"/>
                <wp:wrapNone/>
                <wp:docPr id="35" name="Šipka dolů 1"/>
                <wp:cNvGraphicFramePr/>
                <a:graphic xmlns:a="http://schemas.openxmlformats.org/drawingml/2006/main">
                  <a:graphicData uri="http://schemas.microsoft.com/office/word/2010/wordprocessingShape">
                    <wps:wsp>
                      <wps:cNvSpPr/>
                      <wps:spPr>
                        <a:xfrm>
                          <a:off x="0" y="0"/>
                          <a:ext cx="109220" cy="341630"/>
                        </a:xfrm>
                        <a:prstGeom prst="downArrow">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Overflow="clip"/>
                    </wps:wsp>
                  </a:graphicData>
                </a:graphic>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1" o:spid="_x0000_s1026" type="#_x0000_t67" style="position:absolute;margin-left:198.75pt;margin-top:105.8pt;width:8.6pt;height:26.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" adj="18147" fillcolor="#ffa2a1" strokecolor="#be4b48">
                <v:fill color2="#ffe5e5" rotate="t" angle="180" colors="0 #ffa2a1;22938f #ffbebd;1 #ffe5e5" focus="100%" type="gradient"/>
                <v:shadow on="t" color="black" opacity="24903f" origin=",.5" offset="0,.55556mm"/>
              </v:shape>
            </w:pict>
          </mc:Fallback>
        </mc:AlternateContent>
      </w:r>
      <w:r w:rsidRPr="00FD05C5">
        <w:rPr>
          <w:noProof/>
          <w:lang w:eastAsia="cs-CZ"/>
        </w:rPr>
        <mc:AlternateContent>
          <mc:Choice Requires="wps">
            <w:drawing>
              <wp:anchor distT="0" distB="0" distL="114300" distR="114300" simplePos="0" relativeHeight="251660288" behindDoc="0" locked="0" layoutInCell="1" allowOverlap="1" wp14:anchorId="6838634F" wp14:editId="5646C6A2">
                <wp:simplePos x="0" y="0"/>
                <wp:positionH relativeFrom="column">
                  <wp:posOffset>2356485</wp:posOffset>
                </wp:positionH>
                <wp:positionV relativeFrom="paragraph">
                  <wp:posOffset>1192530</wp:posOffset>
                </wp:positionV>
                <wp:extent cx="109220" cy="341630"/>
                <wp:effectExtent l="57150" t="38100" r="81280" b="96520"/>
                <wp:wrapNone/>
                <wp:docPr id="33" name="Šipka dolů 1"/>
                <wp:cNvGraphicFramePr/>
                <a:graphic xmlns:a="http://schemas.openxmlformats.org/drawingml/2006/main">
                  <a:graphicData uri="http://schemas.microsoft.com/office/word/2010/wordprocessingShape">
                    <wps:wsp>
                      <wps:cNvSpPr/>
                      <wps:spPr>
                        <a:xfrm>
                          <a:off x="0" y="0"/>
                          <a:ext cx="109220" cy="341630"/>
                        </a:xfrm>
                        <a:prstGeom prst="downArrow">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Overflow="clip"/>
                    </wps:wsp>
                  </a:graphicData>
                </a:graphic>
              </wp:anchor>
            </w:drawing>
          </mc:Choice>
          <mc:Fallback>
            <w:pict>
              <v:shape id="Šipka dolů 1" o:spid="_x0000_s1026" type="#_x0000_t67" style="position:absolute;margin-left:185.55pt;margin-top:93.9pt;width:8.6pt;height:26.9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" adj="18147" fillcolor="#ffa2a1" strokecolor="#be4b48">
                <v:fill color2="#ffe5e5" rotate="t" angle="180" colors="0 #ffa2a1;22938f #ffbebd;1 #ffe5e5" focus="100%" type="gradient"/>
                <v:shadow on="t" color="black" opacity="24903f" origin=",.5" offset="0,.55556mm"/>
              </v:shape>
            </w:pict>
          </mc:Fallback>
        </mc:AlternateContent>
      </w:r>
      <w:r>
        <w:rPr>
          <w:noProof/>
          <w:lang w:eastAsia="cs-CZ"/>
        </w:rPr>
        <w:drawing>
          <wp:inline distT="0" distB="0" distL="0" distR="0" wp14:anchorId="743F1522" wp14:editId="331AA2DA">
            <wp:extent cx="5972810" cy="3499485"/>
            <wp:effectExtent l="0" t="0" r="8890" b="5715"/>
            <wp:docPr id="49" name="Graf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D33F0D" w:rsidRPr="00FD05C5" w:rsidRDefault="00D33F0D" w:rsidP="00D33F0D">
      <w:pPr>
        <w:pStyle w:val="Zdroj"/>
      </w:pPr>
      <w:r w:rsidRPr="00FD05C5">
        <w:t xml:space="preserve">Zdroj dat: </w:t>
      </w:r>
      <w:proofErr w:type="spellStart"/>
      <w:r w:rsidRPr="00FD05C5">
        <w:t>Eurostat</w:t>
      </w:r>
      <w:proofErr w:type="spellEnd"/>
      <w:r w:rsidRPr="00FD05C5">
        <w:t xml:space="preserve"> – Science and technology database; OECD – MSTI database</w:t>
      </w:r>
    </w:p>
    <w:p w:rsidR="00D33F0D" w:rsidRPr="00FD05C5" w:rsidRDefault="00D33F0D" w:rsidP="00D33F0D">
      <w:pPr>
        <w:pStyle w:val="komentzaobrzkem"/>
        <w:spacing w:after="240"/>
      </w:pPr>
      <w:r w:rsidRPr="00FD05C5">
        <w:t>(*)Osa y GERD/HDP v %, pro CHE jsou uvedena data za rok 2008 a 2012, pro USA za rok 2012</w:t>
      </w:r>
    </w:p>
    <w:p w:rsidR="00D33F0D" w:rsidRDefault="00D33F0D" w:rsidP="00D33F0D">
      <w:pPr>
        <w:spacing w:after="0" w:line="360" w:lineRule="auto"/>
        <w:jc w:val="both"/>
        <w:rPr>
          <w:rFonts w:ascii="Arial" w:eastAsia="Times New Roman" w:hAnsi="Arial" w:cs="Arial"/>
          <w:lang w:eastAsia="cs-CZ"/>
        </w:rPr>
      </w:pPr>
      <w:r w:rsidRPr="00FD05C5">
        <w:rPr>
          <w:rFonts w:ascii="Arial" w:eastAsia="Times New Roman" w:hAnsi="Arial" w:cs="Arial"/>
          <w:lang w:eastAsia="cs-CZ"/>
        </w:rPr>
        <w:t xml:space="preserve">Obrázek </w:t>
      </w:r>
      <w:r w:rsidR="002701E4">
        <w:rPr>
          <w:rFonts w:ascii="Arial" w:eastAsia="Times New Roman" w:hAnsi="Arial" w:cs="Arial"/>
          <w:lang w:eastAsia="cs-CZ"/>
        </w:rPr>
        <w:t>8</w:t>
      </w:r>
      <w:r w:rsidRPr="00FD05C5">
        <w:rPr>
          <w:rFonts w:ascii="Arial" w:eastAsia="Times New Roman" w:hAnsi="Arial" w:cs="Arial"/>
          <w:lang w:eastAsia="cs-CZ"/>
        </w:rPr>
        <w:t xml:space="preserve">.2 </w:t>
      </w:r>
      <w:r>
        <w:rPr>
          <w:rFonts w:ascii="Arial" w:eastAsia="Times New Roman" w:hAnsi="Arial" w:cs="Arial"/>
          <w:lang w:eastAsia="cs-CZ"/>
        </w:rPr>
        <w:t xml:space="preserve">dále </w:t>
      </w:r>
      <w:r w:rsidRPr="00FD05C5">
        <w:rPr>
          <w:rFonts w:ascii="Arial" w:eastAsia="Times New Roman" w:hAnsi="Arial" w:cs="Arial"/>
          <w:lang w:eastAsia="cs-CZ"/>
        </w:rPr>
        <w:t xml:space="preserve">dokumentuje, že hodnota Znalostní intenzity ekonomiky Nizozemska a ČR je téměř stejná, ale po přepočtu výdajů na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na obyvatele </w:t>
      </w:r>
      <w:r>
        <w:rPr>
          <w:rFonts w:ascii="Arial" w:eastAsia="Times New Roman" w:hAnsi="Arial" w:cs="Arial"/>
          <w:lang w:eastAsia="cs-CZ"/>
        </w:rPr>
        <w:t>je</w:t>
      </w:r>
      <w:r w:rsidRPr="00FD05C5">
        <w:rPr>
          <w:rFonts w:ascii="Arial" w:eastAsia="Times New Roman" w:hAnsi="Arial" w:cs="Arial"/>
          <w:lang w:eastAsia="cs-CZ"/>
        </w:rPr>
        <w:t xml:space="preserve"> tento ukazatel v Nizozemsku 1,5 krát </w:t>
      </w:r>
      <w:r w:rsidRPr="00FD05C5">
        <w:rPr>
          <w:rFonts w:ascii="Arial" w:eastAsia="Times New Roman" w:hAnsi="Arial" w:cs="Arial"/>
          <w:lang w:eastAsia="cs-CZ"/>
        </w:rPr>
        <w:lastRenderedPageBreak/>
        <w:t xml:space="preserve">vyšší </w:t>
      </w:r>
      <w:r>
        <w:rPr>
          <w:rFonts w:ascii="Arial" w:eastAsia="Times New Roman" w:hAnsi="Arial" w:cs="Arial"/>
          <w:lang w:eastAsia="cs-CZ"/>
        </w:rPr>
        <w:t>než v</w:t>
      </w:r>
      <w:r w:rsidRPr="00FD05C5">
        <w:rPr>
          <w:rFonts w:ascii="Arial" w:eastAsia="Times New Roman" w:hAnsi="Arial" w:cs="Arial"/>
          <w:lang w:eastAsia="cs-CZ"/>
        </w:rPr>
        <w:t xml:space="preserve"> ČR. </w:t>
      </w:r>
      <w:r>
        <w:rPr>
          <w:rFonts w:ascii="Arial" w:eastAsia="Times New Roman" w:hAnsi="Arial" w:cs="Arial"/>
          <w:lang w:eastAsia="cs-CZ"/>
        </w:rPr>
        <w:t xml:space="preserve">Mezi </w:t>
      </w:r>
      <w:r w:rsidRPr="00FD05C5">
        <w:rPr>
          <w:rFonts w:ascii="Arial" w:eastAsia="Times New Roman" w:hAnsi="Arial" w:cs="Arial"/>
          <w:lang w:eastAsia="cs-CZ"/>
        </w:rPr>
        <w:t>vybraný</w:t>
      </w:r>
      <w:r>
        <w:rPr>
          <w:rFonts w:ascii="Arial" w:eastAsia="Times New Roman" w:hAnsi="Arial" w:cs="Arial"/>
          <w:lang w:eastAsia="cs-CZ"/>
        </w:rPr>
        <w:t>mi</w:t>
      </w:r>
      <w:r w:rsidRPr="00FD05C5">
        <w:rPr>
          <w:rFonts w:ascii="Arial" w:eastAsia="Times New Roman" w:hAnsi="Arial" w:cs="Arial"/>
          <w:lang w:eastAsia="cs-CZ"/>
        </w:rPr>
        <w:t xml:space="preserve"> stát</w:t>
      </w:r>
      <w:r>
        <w:rPr>
          <w:rFonts w:ascii="Arial" w:eastAsia="Times New Roman" w:hAnsi="Arial" w:cs="Arial"/>
          <w:lang w:eastAsia="cs-CZ"/>
        </w:rPr>
        <w:t>y</w:t>
      </w:r>
      <w:r w:rsidRPr="00FD05C5">
        <w:rPr>
          <w:rFonts w:ascii="Arial" w:eastAsia="Times New Roman" w:hAnsi="Arial" w:cs="Arial"/>
          <w:lang w:eastAsia="cs-CZ"/>
        </w:rPr>
        <w:t xml:space="preserve"> je zem</w:t>
      </w:r>
      <w:r>
        <w:rPr>
          <w:rFonts w:ascii="Arial" w:eastAsia="Times New Roman" w:hAnsi="Arial" w:cs="Arial"/>
          <w:lang w:eastAsia="cs-CZ"/>
        </w:rPr>
        <w:t>í s </w:t>
      </w:r>
      <w:r w:rsidRPr="00FD05C5">
        <w:rPr>
          <w:rFonts w:ascii="Arial" w:eastAsia="Times New Roman" w:hAnsi="Arial" w:cs="Arial"/>
          <w:lang w:eastAsia="cs-CZ"/>
        </w:rPr>
        <w:t>nejvyšší hodnot</w:t>
      </w:r>
      <w:r>
        <w:rPr>
          <w:rFonts w:ascii="Arial" w:eastAsia="Times New Roman" w:hAnsi="Arial" w:cs="Arial"/>
          <w:lang w:eastAsia="cs-CZ"/>
        </w:rPr>
        <w:t>o</w:t>
      </w:r>
      <w:r w:rsidRPr="00FD05C5">
        <w:rPr>
          <w:rFonts w:ascii="Arial" w:eastAsia="Times New Roman" w:hAnsi="Arial" w:cs="Arial"/>
          <w:lang w:eastAsia="cs-CZ"/>
        </w:rPr>
        <w:t>u znalostní intenzity Jižní Korea (stejně jako tomu bylo v roce 2013)</w:t>
      </w:r>
      <w:r>
        <w:rPr>
          <w:rFonts w:ascii="Arial" w:eastAsia="Times New Roman" w:hAnsi="Arial" w:cs="Arial"/>
          <w:lang w:eastAsia="cs-CZ"/>
        </w:rPr>
        <w:t>, avšak v přepočtu na obyvatele v PPS dosahuje vyšší hodnoty Švýcarsko</w:t>
      </w:r>
      <w:r w:rsidRPr="00FD05C5">
        <w:rPr>
          <w:rFonts w:ascii="Arial" w:eastAsia="Times New Roman" w:hAnsi="Arial" w:cs="Arial"/>
          <w:lang w:eastAsia="cs-CZ"/>
        </w:rPr>
        <w:t xml:space="preserve">. </w:t>
      </w:r>
      <w:r>
        <w:rPr>
          <w:rFonts w:ascii="Arial" w:eastAsia="Times New Roman" w:hAnsi="Arial" w:cs="Arial"/>
          <w:lang w:eastAsia="cs-CZ"/>
        </w:rPr>
        <w:t xml:space="preserve">Rovněž </w:t>
      </w:r>
      <w:r w:rsidRPr="00FD05C5">
        <w:rPr>
          <w:rFonts w:ascii="Arial" w:eastAsia="Times New Roman" w:hAnsi="Arial" w:cs="Arial"/>
          <w:lang w:eastAsia="cs-CZ"/>
        </w:rPr>
        <w:t xml:space="preserve">Švédsko a Rakousko </w:t>
      </w:r>
      <w:r>
        <w:rPr>
          <w:rFonts w:ascii="Arial" w:eastAsia="Times New Roman" w:hAnsi="Arial" w:cs="Arial"/>
          <w:lang w:eastAsia="cs-CZ"/>
        </w:rPr>
        <w:t xml:space="preserve">vykazují </w:t>
      </w:r>
      <w:r w:rsidRPr="00FD05C5">
        <w:rPr>
          <w:rFonts w:ascii="Arial" w:eastAsia="Times New Roman" w:hAnsi="Arial" w:cs="Arial"/>
          <w:lang w:eastAsia="cs-CZ"/>
        </w:rPr>
        <w:t xml:space="preserve">vysoký podíl výdajů </w:t>
      </w:r>
      <w:proofErr w:type="spellStart"/>
      <w:r w:rsidRPr="00FD05C5">
        <w:rPr>
          <w:rFonts w:ascii="Arial" w:eastAsia="Times New Roman" w:hAnsi="Arial" w:cs="Arial"/>
          <w:lang w:eastAsia="cs-CZ"/>
        </w:rPr>
        <w:t>VaV</w:t>
      </w:r>
      <w:proofErr w:type="spellEnd"/>
      <w:r w:rsidRPr="00FD05C5">
        <w:rPr>
          <w:rFonts w:ascii="Arial" w:eastAsia="Times New Roman" w:hAnsi="Arial" w:cs="Arial"/>
          <w:lang w:eastAsia="cs-CZ"/>
        </w:rPr>
        <w:t xml:space="preserve"> na HDP</w:t>
      </w:r>
      <w:r>
        <w:rPr>
          <w:rFonts w:ascii="Arial" w:eastAsia="Times New Roman" w:hAnsi="Arial" w:cs="Arial"/>
          <w:lang w:eastAsia="cs-CZ"/>
        </w:rPr>
        <w:t>, po přepočtu na obyvatele v PPS srovnatelný s Jižní Koreou, mírně nižší jsou přepočtené hodnoty ve Finsku, Dánsku nebo Německu.</w:t>
      </w:r>
      <w:r w:rsidRPr="00FD05C5">
        <w:rPr>
          <w:rFonts w:ascii="Arial" w:eastAsia="Times New Roman" w:hAnsi="Arial" w:cs="Arial"/>
          <w:lang w:eastAsia="cs-CZ"/>
        </w:rPr>
        <w:t xml:space="preserve"> </w:t>
      </w:r>
      <w:r>
        <w:rPr>
          <w:rFonts w:ascii="Arial" w:eastAsia="Times New Roman" w:hAnsi="Arial" w:cs="Arial"/>
          <w:lang w:eastAsia="cs-CZ"/>
        </w:rPr>
        <w:t>R</w:t>
      </w:r>
      <w:r w:rsidRPr="00FD05C5">
        <w:rPr>
          <w:rFonts w:ascii="Arial" w:eastAsia="Times New Roman" w:hAnsi="Arial" w:cs="Arial"/>
          <w:lang w:eastAsia="cs-CZ"/>
        </w:rPr>
        <w:t>ozdíl způsobuje relativně nízká hodnota HDP</w:t>
      </w:r>
      <w:r>
        <w:rPr>
          <w:rFonts w:ascii="Arial" w:eastAsia="Times New Roman" w:hAnsi="Arial" w:cs="Arial"/>
          <w:lang w:eastAsia="cs-CZ"/>
        </w:rPr>
        <w:t xml:space="preserve"> </w:t>
      </w:r>
      <w:r w:rsidRPr="00FD05C5">
        <w:rPr>
          <w:rFonts w:ascii="Arial" w:eastAsia="Times New Roman" w:hAnsi="Arial" w:cs="Arial"/>
          <w:lang w:eastAsia="cs-CZ"/>
        </w:rPr>
        <w:t>Jižní Koreje</w:t>
      </w:r>
      <w:r>
        <w:rPr>
          <w:rFonts w:ascii="Arial" w:eastAsia="Times New Roman" w:hAnsi="Arial" w:cs="Arial"/>
          <w:lang w:eastAsia="cs-CZ"/>
        </w:rPr>
        <w:t xml:space="preserve"> ve srovnání s uvedenými evropskými státy</w:t>
      </w:r>
      <w:r w:rsidRPr="00FD05C5">
        <w:rPr>
          <w:rFonts w:ascii="Arial" w:eastAsia="Times New Roman" w:hAnsi="Arial" w:cs="Arial"/>
          <w:lang w:eastAsia="cs-CZ"/>
        </w:rPr>
        <w:t xml:space="preserve">. </w:t>
      </w:r>
    </w:p>
    <w:p w:rsidR="00D33F0D" w:rsidRPr="006C0F88" w:rsidRDefault="00863581" w:rsidP="00D33F0D">
      <w:pPr>
        <w:pStyle w:val="Obrzek-nadpis"/>
      </w:pPr>
      <w:r>
        <w:t>Obr. 8</w:t>
      </w:r>
      <w:r w:rsidR="00D33F0D" w:rsidRPr="006C0F88">
        <w:t xml:space="preserve">.2: Srovnání zemí dle GERD na HDP a dle výdajů na </w:t>
      </w:r>
      <w:proofErr w:type="spellStart"/>
      <w:r w:rsidR="00D33F0D" w:rsidRPr="006C0F88">
        <w:t>VaV</w:t>
      </w:r>
      <w:proofErr w:type="spellEnd"/>
      <w:r w:rsidR="00D33F0D" w:rsidRPr="006C0F88">
        <w:t xml:space="preserve"> na obyvatele, 2014</w:t>
      </w:r>
    </w:p>
    <w:p w:rsidR="00D33F0D" w:rsidRPr="00D37A5E" w:rsidRDefault="00D33F0D" w:rsidP="00D33F0D">
      <w:pPr>
        <w:spacing w:afterLines="60" w:after="144" w:line="360" w:lineRule="auto"/>
        <w:jc w:val="center"/>
        <w:rPr>
          <w:rFonts w:cs="Times New Roman"/>
          <w:highlight w:val="yellow"/>
        </w:rPr>
      </w:pPr>
      <w:r>
        <w:rPr>
          <w:noProof/>
          <w:lang w:eastAsia="cs-CZ"/>
        </w:rPr>
        <w:drawing>
          <wp:inline distT="0" distB="0" distL="0" distR="0" wp14:anchorId="1FE65572" wp14:editId="6268BE7E">
            <wp:extent cx="5638800" cy="5591175"/>
            <wp:effectExtent l="0" t="0" r="0" b="0"/>
            <wp:docPr id="50" name="Graf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D33F0D" w:rsidRPr="00BF01DC" w:rsidRDefault="00D33F0D" w:rsidP="00D33F0D">
      <w:pPr>
        <w:pStyle w:val="Zdroj"/>
      </w:pPr>
      <w:r w:rsidRPr="00BF01DC">
        <w:t xml:space="preserve">Zdroj dat: </w:t>
      </w:r>
      <w:proofErr w:type="spellStart"/>
      <w:r w:rsidRPr="00BF01DC">
        <w:t>Eurostat</w:t>
      </w:r>
      <w:proofErr w:type="spellEnd"/>
      <w:r w:rsidRPr="00BF01DC">
        <w:t>; OECD - MSTI database</w:t>
      </w:r>
    </w:p>
    <w:p w:rsidR="00022F9D" w:rsidRDefault="00022F9D" w:rsidP="00D33F0D">
      <w:pPr>
        <w:pStyle w:val="komentzaobrzkem"/>
      </w:pPr>
      <w:r>
        <w:t>Horizontální osa:</w:t>
      </w:r>
      <w:r w:rsidR="00D33F0D" w:rsidRPr="00BF01DC">
        <w:t xml:space="preserve"> </w:t>
      </w:r>
      <w:r>
        <w:t xml:space="preserve">hodnoty </w:t>
      </w:r>
      <w:r w:rsidRPr="00BF01DC">
        <w:t xml:space="preserve">GERD </w:t>
      </w:r>
      <w:r w:rsidR="00D33F0D" w:rsidRPr="00BF01DC">
        <w:t xml:space="preserve">v </w:t>
      </w:r>
      <w:r>
        <w:t>přepočtu</w:t>
      </w:r>
      <w:r w:rsidR="00D33F0D" w:rsidRPr="00BF01DC">
        <w:t xml:space="preserve"> na HDP</w:t>
      </w:r>
      <w:r>
        <w:t xml:space="preserve"> za rok 2014</w:t>
      </w:r>
      <w:r w:rsidR="00D33F0D" w:rsidRPr="00BF01DC">
        <w:t xml:space="preserve">, pro USA a CHE </w:t>
      </w:r>
      <w:r>
        <w:t>se jedná o</w:t>
      </w:r>
      <w:r w:rsidR="00D33F0D" w:rsidRPr="00BF01DC">
        <w:t xml:space="preserve"> data za rok 2012</w:t>
      </w:r>
      <w:r>
        <w:t>.</w:t>
      </w:r>
    </w:p>
    <w:p w:rsidR="00D33F0D" w:rsidRPr="00BF01DC" w:rsidRDefault="00022F9D" w:rsidP="00D33F0D">
      <w:pPr>
        <w:pStyle w:val="komentzaobrzkem"/>
      </w:pPr>
      <w:r>
        <w:t xml:space="preserve">Vertikální osa: hodnoty </w:t>
      </w:r>
      <w:r w:rsidR="00D33F0D">
        <w:t xml:space="preserve">GERD </w:t>
      </w:r>
      <w:r>
        <w:t xml:space="preserve">v PPS v přepočtu </w:t>
      </w:r>
      <w:r w:rsidR="00D33F0D">
        <w:t>na obyvatele</w:t>
      </w:r>
      <w:r>
        <w:t xml:space="preserve"> za rok 2014</w:t>
      </w:r>
      <w:r w:rsidR="00D33F0D" w:rsidRPr="00BF01DC">
        <w:t xml:space="preserve">, pro USA a CHE </w:t>
      </w:r>
      <w:r>
        <w:t>se jedná o</w:t>
      </w:r>
      <w:r w:rsidR="00D33F0D" w:rsidRPr="00BF01DC">
        <w:t xml:space="preserve"> data za rok 2012, pro RUS, JPN a KOR za rok 2013</w:t>
      </w:r>
      <w:r>
        <w:t>.</w:t>
      </w:r>
    </w:p>
    <w:p w:rsidR="00D33F0D" w:rsidRPr="009C12F5" w:rsidRDefault="00863581" w:rsidP="00022F9D">
      <w:pPr>
        <w:pStyle w:val="NadpisurovemII"/>
        <w:rPr>
          <w:rFonts w:eastAsia="Times New Roman"/>
        </w:rPr>
      </w:pPr>
      <w:bookmarkStart w:id="29" w:name="_Toc427676906"/>
      <w:bookmarkStart w:id="30" w:name="_Toc464461111"/>
      <w:r>
        <w:rPr>
          <w:rFonts w:eastAsia="Times New Roman"/>
        </w:rPr>
        <w:t>8</w:t>
      </w:r>
      <w:r w:rsidR="00D33F0D" w:rsidRPr="009C12F5">
        <w:rPr>
          <w:rFonts w:eastAsia="Times New Roman"/>
        </w:rPr>
        <w:t>.2. Inovační výkon na základě kompozitních indikátorů</w:t>
      </w:r>
      <w:bookmarkEnd w:id="29"/>
      <w:bookmarkEnd w:id="30"/>
    </w:p>
    <w:p w:rsidR="00D33F0D" w:rsidRPr="009C12F5" w:rsidRDefault="00D33F0D" w:rsidP="00D33F0D">
      <w:pPr>
        <w:spacing w:after="0" w:line="360" w:lineRule="auto"/>
        <w:jc w:val="both"/>
        <w:rPr>
          <w:rFonts w:ascii="Arial" w:eastAsia="Times New Roman" w:hAnsi="Arial" w:cs="Arial"/>
          <w:lang w:eastAsia="cs-CZ"/>
        </w:rPr>
      </w:pPr>
      <w:r w:rsidRPr="009C12F5">
        <w:rPr>
          <w:rFonts w:ascii="Arial" w:eastAsia="Times New Roman" w:hAnsi="Arial" w:cs="Arial"/>
          <w:lang w:eastAsia="cs-CZ"/>
        </w:rPr>
        <w:t xml:space="preserve">Mezi složené indikátory inovačního výkonu patří </w:t>
      </w:r>
      <w:r>
        <w:rPr>
          <w:rFonts w:ascii="Arial" w:eastAsia="Times New Roman" w:hAnsi="Arial" w:cs="Arial"/>
          <w:lang w:eastAsia="cs-CZ"/>
        </w:rPr>
        <w:t>zejména</w:t>
      </w:r>
      <w:r w:rsidRPr="009C12F5">
        <w:rPr>
          <w:rFonts w:ascii="Arial" w:eastAsia="Times New Roman" w:hAnsi="Arial" w:cs="Arial"/>
          <w:lang w:eastAsia="cs-CZ"/>
        </w:rPr>
        <w:t>:</w:t>
      </w:r>
    </w:p>
    <w:p w:rsidR="00D33F0D" w:rsidRPr="009C12F5" w:rsidRDefault="00D33F0D" w:rsidP="00D33F0D">
      <w:pPr>
        <w:numPr>
          <w:ilvl w:val="0"/>
          <w:numId w:val="7"/>
        </w:numPr>
        <w:spacing w:after="0" w:line="360" w:lineRule="auto"/>
        <w:contextualSpacing/>
        <w:jc w:val="both"/>
        <w:rPr>
          <w:rFonts w:ascii="Arial" w:eastAsia="Times New Roman" w:hAnsi="Arial" w:cs="Arial"/>
          <w:lang w:eastAsia="cs-CZ"/>
        </w:rPr>
      </w:pPr>
      <w:r w:rsidRPr="009C12F5">
        <w:rPr>
          <w:rFonts w:ascii="Arial" w:eastAsia="Times New Roman" w:hAnsi="Arial" w:cs="Arial"/>
          <w:lang w:eastAsia="cs-CZ"/>
        </w:rPr>
        <w:t>Souhrnný inovační index (SII)</w:t>
      </w:r>
    </w:p>
    <w:p w:rsidR="00D33F0D" w:rsidRPr="009C12F5" w:rsidRDefault="00D33F0D" w:rsidP="00D33F0D">
      <w:pPr>
        <w:numPr>
          <w:ilvl w:val="0"/>
          <w:numId w:val="7"/>
        </w:numPr>
        <w:spacing w:after="0" w:line="360" w:lineRule="auto"/>
        <w:contextualSpacing/>
        <w:jc w:val="both"/>
        <w:rPr>
          <w:rFonts w:ascii="Arial" w:eastAsia="Times New Roman" w:hAnsi="Arial" w:cs="Arial"/>
          <w:lang w:eastAsia="cs-CZ"/>
        </w:rPr>
      </w:pPr>
      <w:r w:rsidRPr="009C12F5">
        <w:rPr>
          <w:rFonts w:ascii="Arial" w:eastAsia="Times New Roman" w:hAnsi="Arial" w:cs="Arial"/>
          <w:lang w:eastAsia="cs-CZ"/>
        </w:rPr>
        <w:lastRenderedPageBreak/>
        <w:t>Globální inovační index (GII)</w:t>
      </w:r>
    </w:p>
    <w:p w:rsidR="00D33F0D" w:rsidRPr="009C12F5" w:rsidRDefault="00D33F0D" w:rsidP="00D33F0D">
      <w:pPr>
        <w:numPr>
          <w:ilvl w:val="0"/>
          <w:numId w:val="7"/>
        </w:numPr>
        <w:spacing w:after="0" w:line="360" w:lineRule="auto"/>
        <w:contextualSpacing/>
        <w:jc w:val="both"/>
        <w:rPr>
          <w:rFonts w:ascii="Arial" w:eastAsia="Times New Roman" w:hAnsi="Arial" w:cs="Arial"/>
          <w:lang w:eastAsia="cs-CZ"/>
        </w:rPr>
      </w:pPr>
      <w:proofErr w:type="spellStart"/>
      <w:r>
        <w:rPr>
          <w:rFonts w:ascii="Arial" w:eastAsia="Times New Roman" w:hAnsi="Arial" w:cs="Arial"/>
          <w:lang w:eastAsia="cs-CZ"/>
        </w:rPr>
        <w:t>Innovation</w:t>
      </w:r>
      <w:proofErr w:type="spellEnd"/>
      <w:r>
        <w:rPr>
          <w:rFonts w:ascii="Arial" w:eastAsia="Times New Roman" w:hAnsi="Arial" w:cs="Arial"/>
          <w:lang w:eastAsia="cs-CZ"/>
        </w:rPr>
        <w:t xml:space="preserve"> Output </w:t>
      </w:r>
      <w:proofErr w:type="spellStart"/>
      <w:r>
        <w:rPr>
          <w:rFonts w:ascii="Arial" w:eastAsia="Times New Roman" w:hAnsi="Arial" w:cs="Arial"/>
          <w:lang w:eastAsia="cs-CZ"/>
        </w:rPr>
        <w:t>Indicator</w:t>
      </w:r>
      <w:proofErr w:type="spellEnd"/>
      <w:r>
        <w:rPr>
          <w:rFonts w:ascii="Arial" w:eastAsia="Times New Roman" w:hAnsi="Arial" w:cs="Arial"/>
          <w:lang w:eastAsia="cs-CZ"/>
        </w:rPr>
        <w:t xml:space="preserve"> (</w:t>
      </w:r>
      <w:r w:rsidRPr="009C12F5">
        <w:rPr>
          <w:rFonts w:ascii="Arial" w:eastAsia="Times New Roman" w:hAnsi="Arial" w:cs="Arial"/>
          <w:lang w:eastAsia="cs-CZ"/>
        </w:rPr>
        <w:t>IOI</w:t>
      </w:r>
      <w:r>
        <w:rPr>
          <w:rFonts w:ascii="Arial" w:eastAsia="Times New Roman" w:hAnsi="Arial" w:cs="Arial"/>
          <w:lang w:eastAsia="cs-CZ"/>
        </w:rPr>
        <w:t>)</w:t>
      </w:r>
    </w:p>
    <w:p w:rsidR="00D33F0D" w:rsidRPr="000959E4" w:rsidRDefault="00D33F0D" w:rsidP="00022F9D">
      <w:pPr>
        <w:spacing w:after="0" w:line="360" w:lineRule="auto"/>
        <w:jc w:val="both"/>
        <w:rPr>
          <w:rFonts w:ascii="Arial" w:eastAsia="Times New Roman" w:hAnsi="Arial" w:cs="Arial"/>
          <w:lang w:eastAsia="cs-CZ"/>
        </w:rPr>
      </w:pPr>
      <w:r w:rsidRPr="009C12F5">
        <w:rPr>
          <w:rFonts w:ascii="Arial" w:eastAsia="Times New Roman" w:hAnsi="Arial" w:cs="Arial"/>
          <w:lang w:eastAsia="cs-CZ"/>
        </w:rPr>
        <w:t xml:space="preserve">V Evropě je v současnosti nejpoužívanějším indikátorem inovativnosti ekonomiky indikátor SII každoročně publikovaný v ročence </w:t>
      </w:r>
      <w:proofErr w:type="spellStart"/>
      <w:r w:rsidRPr="009C12F5">
        <w:rPr>
          <w:rFonts w:ascii="Arial" w:eastAsia="Times New Roman" w:hAnsi="Arial" w:cs="Arial"/>
          <w:lang w:eastAsia="cs-CZ"/>
        </w:rPr>
        <w:t>Innovation</w:t>
      </w:r>
      <w:proofErr w:type="spellEnd"/>
      <w:r w:rsidRPr="009C12F5">
        <w:rPr>
          <w:rFonts w:ascii="Arial" w:eastAsia="Times New Roman" w:hAnsi="Arial" w:cs="Arial"/>
          <w:lang w:eastAsia="cs-CZ"/>
        </w:rPr>
        <w:t xml:space="preserve"> Union </w:t>
      </w:r>
      <w:proofErr w:type="spellStart"/>
      <w:r w:rsidRPr="009C12F5">
        <w:rPr>
          <w:rFonts w:ascii="Arial" w:eastAsia="Times New Roman" w:hAnsi="Arial" w:cs="Arial"/>
          <w:lang w:eastAsia="cs-CZ"/>
        </w:rPr>
        <w:t>Scoreboard</w:t>
      </w:r>
      <w:proofErr w:type="spellEnd"/>
      <w:r>
        <w:rPr>
          <w:rFonts w:ascii="Arial" w:eastAsia="Times New Roman" w:hAnsi="Arial" w:cs="Arial"/>
          <w:lang w:eastAsia="cs-CZ"/>
        </w:rPr>
        <w:t xml:space="preserve"> (IUS)</w:t>
      </w:r>
      <w:r w:rsidRPr="009C12F5">
        <w:rPr>
          <w:rFonts w:ascii="Arial" w:eastAsia="Times New Roman" w:hAnsi="Arial" w:cs="Arial"/>
          <w:lang w:eastAsia="cs-CZ"/>
        </w:rPr>
        <w:t xml:space="preserve">, jež vychází z veřejně dostupných dat i z vlastních šetření IUS. Sestavuje se z 25 dílčích indikátorů v osmi oblastech významných pro inovace (lidské zdroje, výzkumné systémy, finance a podpora, firemní investice, vazby a podnikání, duševní vlastnictví, inovátoři, ekonomické efekty) s rozdílnou vahou. Na základě hodnot SII jsou členské státy EU rozděleny do 4 skupin dle úrovně inovativnosti ekonomiky – </w:t>
      </w:r>
      <w:proofErr w:type="spellStart"/>
      <w:r w:rsidRPr="009C12F5">
        <w:rPr>
          <w:rFonts w:ascii="Arial" w:eastAsia="Times New Roman" w:hAnsi="Arial" w:cs="Arial"/>
          <w:lang w:eastAsia="cs-CZ"/>
        </w:rPr>
        <w:t>Innovation</w:t>
      </w:r>
      <w:proofErr w:type="spellEnd"/>
      <w:r w:rsidRPr="009C12F5">
        <w:rPr>
          <w:rFonts w:ascii="Arial" w:eastAsia="Times New Roman" w:hAnsi="Arial" w:cs="Arial"/>
          <w:lang w:eastAsia="cs-CZ"/>
        </w:rPr>
        <w:t xml:space="preserve"> </w:t>
      </w:r>
      <w:proofErr w:type="spellStart"/>
      <w:r w:rsidRPr="009C12F5">
        <w:rPr>
          <w:rFonts w:ascii="Arial" w:eastAsia="Times New Roman" w:hAnsi="Arial" w:cs="Arial"/>
          <w:lang w:eastAsia="cs-CZ"/>
        </w:rPr>
        <w:t>Leaders</w:t>
      </w:r>
      <w:proofErr w:type="spellEnd"/>
      <w:r w:rsidRPr="009C12F5">
        <w:rPr>
          <w:rFonts w:ascii="Arial" w:eastAsia="Times New Roman" w:hAnsi="Arial" w:cs="Arial"/>
          <w:lang w:eastAsia="cs-CZ"/>
        </w:rPr>
        <w:t xml:space="preserve">, </w:t>
      </w:r>
      <w:proofErr w:type="spellStart"/>
      <w:r w:rsidRPr="009C12F5">
        <w:rPr>
          <w:rFonts w:ascii="Arial" w:eastAsia="Times New Roman" w:hAnsi="Arial" w:cs="Arial"/>
          <w:lang w:eastAsia="cs-CZ"/>
        </w:rPr>
        <w:t>Innovation</w:t>
      </w:r>
      <w:proofErr w:type="spellEnd"/>
      <w:r w:rsidRPr="009C12F5">
        <w:rPr>
          <w:rFonts w:ascii="Arial" w:eastAsia="Times New Roman" w:hAnsi="Arial" w:cs="Arial"/>
          <w:lang w:eastAsia="cs-CZ"/>
        </w:rPr>
        <w:t xml:space="preserve"> </w:t>
      </w:r>
      <w:proofErr w:type="spellStart"/>
      <w:r w:rsidRPr="009C12F5">
        <w:rPr>
          <w:rFonts w:ascii="Arial" w:eastAsia="Times New Roman" w:hAnsi="Arial" w:cs="Arial"/>
          <w:lang w:eastAsia="cs-CZ"/>
        </w:rPr>
        <w:t>Followers</w:t>
      </w:r>
      <w:proofErr w:type="spellEnd"/>
      <w:r w:rsidRPr="009C12F5">
        <w:rPr>
          <w:rFonts w:ascii="Arial" w:eastAsia="Times New Roman" w:hAnsi="Arial" w:cs="Arial"/>
          <w:lang w:eastAsia="cs-CZ"/>
        </w:rPr>
        <w:t xml:space="preserve">, </w:t>
      </w:r>
      <w:proofErr w:type="spellStart"/>
      <w:r w:rsidRPr="009C12F5">
        <w:rPr>
          <w:rFonts w:ascii="Arial" w:eastAsia="Times New Roman" w:hAnsi="Arial" w:cs="Arial"/>
          <w:lang w:eastAsia="cs-CZ"/>
        </w:rPr>
        <w:t>Moderate</w:t>
      </w:r>
      <w:proofErr w:type="spellEnd"/>
      <w:r w:rsidRPr="009C12F5">
        <w:rPr>
          <w:rFonts w:ascii="Arial" w:eastAsia="Times New Roman" w:hAnsi="Arial" w:cs="Arial"/>
          <w:lang w:eastAsia="cs-CZ"/>
        </w:rPr>
        <w:t xml:space="preserve"> </w:t>
      </w:r>
      <w:proofErr w:type="spellStart"/>
      <w:r w:rsidRPr="009C12F5">
        <w:rPr>
          <w:rFonts w:ascii="Arial" w:eastAsia="Times New Roman" w:hAnsi="Arial" w:cs="Arial"/>
          <w:lang w:eastAsia="cs-CZ"/>
        </w:rPr>
        <w:t>Innovators</w:t>
      </w:r>
      <w:proofErr w:type="spellEnd"/>
      <w:r w:rsidRPr="009C12F5">
        <w:rPr>
          <w:rFonts w:ascii="Arial" w:eastAsia="Times New Roman" w:hAnsi="Arial" w:cs="Arial"/>
          <w:lang w:eastAsia="cs-CZ"/>
        </w:rPr>
        <w:t xml:space="preserve">, </w:t>
      </w:r>
      <w:proofErr w:type="spellStart"/>
      <w:r w:rsidRPr="009C12F5">
        <w:rPr>
          <w:rFonts w:ascii="Arial" w:eastAsia="Times New Roman" w:hAnsi="Arial" w:cs="Arial"/>
          <w:lang w:eastAsia="cs-CZ"/>
        </w:rPr>
        <w:t>Modest</w:t>
      </w:r>
      <w:proofErr w:type="spellEnd"/>
      <w:r w:rsidRPr="009C12F5">
        <w:rPr>
          <w:rFonts w:ascii="Arial" w:eastAsia="Times New Roman" w:hAnsi="Arial" w:cs="Arial"/>
          <w:lang w:eastAsia="cs-CZ"/>
        </w:rPr>
        <w:t xml:space="preserve"> </w:t>
      </w:r>
      <w:proofErr w:type="spellStart"/>
      <w:r w:rsidRPr="009C12F5">
        <w:rPr>
          <w:rFonts w:ascii="Arial" w:eastAsia="Times New Roman" w:hAnsi="Arial" w:cs="Arial"/>
          <w:lang w:eastAsia="cs-CZ"/>
        </w:rPr>
        <w:t>Innovators</w:t>
      </w:r>
      <w:proofErr w:type="spellEnd"/>
      <w:r w:rsidRPr="009C12F5">
        <w:rPr>
          <w:rFonts w:ascii="Arial" w:eastAsia="Times New Roman" w:hAnsi="Arial" w:cs="Arial"/>
          <w:lang w:eastAsia="cs-CZ"/>
        </w:rPr>
        <w:t>. ČR patří do skupiny středně inovativních ekonomik („</w:t>
      </w:r>
      <w:proofErr w:type="spellStart"/>
      <w:r w:rsidRPr="009C12F5">
        <w:rPr>
          <w:rFonts w:ascii="Arial" w:eastAsia="Times New Roman" w:hAnsi="Arial" w:cs="Arial"/>
          <w:lang w:eastAsia="cs-CZ"/>
        </w:rPr>
        <w:t>Moderate</w:t>
      </w:r>
      <w:proofErr w:type="spellEnd"/>
      <w:r w:rsidRPr="009C12F5">
        <w:rPr>
          <w:rFonts w:ascii="Arial" w:eastAsia="Times New Roman" w:hAnsi="Arial" w:cs="Arial"/>
          <w:lang w:eastAsia="cs-CZ"/>
        </w:rPr>
        <w:t xml:space="preserve"> </w:t>
      </w:r>
      <w:proofErr w:type="spellStart"/>
      <w:r w:rsidRPr="009C12F5">
        <w:rPr>
          <w:rFonts w:ascii="Arial" w:eastAsia="Times New Roman" w:hAnsi="Arial" w:cs="Arial"/>
          <w:lang w:eastAsia="cs-CZ"/>
        </w:rPr>
        <w:t>Innovators</w:t>
      </w:r>
      <w:proofErr w:type="spellEnd"/>
      <w:r w:rsidRPr="009C12F5">
        <w:rPr>
          <w:rFonts w:ascii="Arial" w:eastAsia="Times New Roman" w:hAnsi="Arial" w:cs="Arial"/>
          <w:lang w:eastAsia="cs-CZ"/>
        </w:rPr>
        <w:t xml:space="preserve">“). </w:t>
      </w:r>
      <w:r w:rsidRPr="000959E4">
        <w:rPr>
          <w:rFonts w:ascii="Arial" w:eastAsia="Times New Roman" w:hAnsi="Arial" w:cs="Arial"/>
          <w:lang w:eastAsia="cs-CZ"/>
        </w:rPr>
        <w:t>V této skupině dosahovala podle posledního šetření druhé nejvyšší hodnoty a je přibližně na stejné úrovni jako Itálie a Kypr. V průběhu let se pozice ČR příliš neměnila, od roku 2006 SII ČR narostl zhruba o 19,5</w:t>
      </w:r>
      <w:r w:rsidR="00022F9D">
        <w:rPr>
          <w:rFonts w:ascii="Arial" w:eastAsia="Times New Roman" w:hAnsi="Arial" w:cs="Arial"/>
          <w:lang w:eastAsia="cs-CZ"/>
        </w:rPr>
        <w:t> </w:t>
      </w:r>
      <w:r w:rsidRPr="000959E4">
        <w:rPr>
          <w:rFonts w:ascii="Arial" w:eastAsia="Times New Roman" w:hAnsi="Arial" w:cs="Arial"/>
          <w:lang w:eastAsia="cs-CZ"/>
        </w:rPr>
        <w:t>% (z 0,374 v roce 2006 na 0,447 v roce 201</w:t>
      </w:r>
      <w:r>
        <w:rPr>
          <w:rFonts w:ascii="Arial" w:eastAsia="Times New Roman" w:hAnsi="Arial" w:cs="Arial"/>
          <w:lang w:eastAsia="cs-CZ"/>
        </w:rPr>
        <w:t>4</w:t>
      </w:r>
      <w:r w:rsidRPr="000959E4">
        <w:rPr>
          <w:rFonts w:ascii="Arial" w:eastAsia="Times New Roman" w:hAnsi="Arial" w:cs="Arial"/>
          <w:lang w:eastAsia="cs-CZ"/>
        </w:rPr>
        <w:t xml:space="preserve">). Pokud </w:t>
      </w:r>
      <w:r>
        <w:rPr>
          <w:rFonts w:ascii="Arial" w:eastAsia="Times New Roman" w:hAnsi="Arial" w:cs="Arial"/>
          <w:lang w:eastAsia="cs-CZ"/>
        </w:rPr>
        <w:t>po</w:t>
      </w:r>
      <w:r w:rsidRPr="000959E4">
        <w:rPr>
          <w:rFonts w:ascii="Arial" w:eastAsia="Times New Roman" w:hAnsi="Arial" w:cs="Arial"/>
          <w:lang w:eastAsia="cs-CZ"/>
        </w:rPr>
        <w:t>dle SII porovnáme ČR s</w:t>
      </w:r>
      <w:r>
        <w:rPr>
          <w:rFonts w:ascii="Arial" w:eastAsia="Times New Roman" w:hAnsi="Arial" w:cs="Arial"/>
          <w:lang w:eastAsia="cs-CZ"/>
        </w:rPr>
        <w:t xml:space="preserve"> hospodářsky nejvýkonnějšími </w:t>
      </w:r>
      <w:r w:rsidRPr="000959E4">
        <w:rPr>
          <w:rFonts w:ascii="Arial" w:eastAsia="Times New Roman" w:hAnsi="Arial" w:cs="Arial"/>
          <w:lang w:eastAsia="cs-CZ"/>
        </w:rPr>
        <w:t xml:space="preserve">ekonomikami (Dánsko, Německo, Rakousko, Švédsko atd.), </w:t>
      </w:r>
      <w:r>
        <w:rPr>
          <w:rFonts w:ascii="Arial" w:eastAsia="Times New Roman" w:hAnsi="Arial" w:cs="Arial"/>
          <w:lang w:eastAsia="cs-CZ"/>
        </w:rPr>
        <w:t xml:space="preserve">vyplyne značná ztráta ČR, podobně </w:t>
      </w:r>
      <w:r w:rsidRPr="000959E4">
        <w:rPr>
          <w:rFonts w:ascii="Arial" w:eastAsia="Times New Roman" w:hAnsi="Arial" w:cs="Arial"/>
          <w:lang w:eastAsia="cs-CZ"/>
        </w:rPr>
        <w:t>jako v případě znalostní intenzity ekonomiky.</w:t>
      </w:r>
    </w:p>
    <w:p w:rsidR="00D33F0D" w:rsidRPr="00836888" w:rsidRDefault="00D33F0D" w:rsidP="00D33F0D">
      <w:pPr>
        <w:pStyle w:val="Obrzek-nadpis"/>
      </w:pPr>
      <w:r>
        <w:t>Obr.</w:t>
      </w:r>
      <w:r w:rsidRPr="00836888">
        <w:t xml:space="preserve"> </w:t>
      </w:r>
      <w:r w:rsidR="00863581">
        <w:t>8</w:t>
      </w:r>
      <w:r w:rsidRPr="00836888">
        <w:t>.3: Pozice ČR dle SII v roce 2013 a růst SII mezi lety 2006 - 2014</w:t>
      </w:r>
    </w:p>
    <w:p w:rsidR="00D33F0D" w:rsidRPr="00D37A5E" w:rsidRDefault="00D33F0D" w:rsidP="00D33F0D">
      <w:pPr>
        <w:spacing w:beforeLines="60" w:before="144" w:afterLines="60" w:after="144" w:line="240" w:lineRule="auto"/>
        <w:jc w:val="center"/>
        <w:rPr>
          <w:rFonts w:cs="Times New Roman"/>
          <w:highlight w:val="yellow"/>
        </w:rPr>
      </w:pPr>
      <w:r w:rsidRPr="00C40E01">
        <w:rPr>
          <w:noProof/>
          <w:lang w:eastAsia="cs-CZ"/>
        </w:rPr>
        <mc:AlternateContent>
          <mc:Choice Requires="wpg">
            <w:drawing>
              <wp:anchor distT="0" distB="0" distL="114300" distR="114300" simplePos="0" relativeHeight="251677696" behindDoc="0" locked="0" layoutInCell="1" allowOverlap="1" wp14:anchorId="6760DDEF" wp14:editId="0A2F04D3">
                <wp:simplePos x="0" y="0"/>
                <wp:positionH relativeFrom="column">
                  <wp:posOffset>164461</wp:posOffset>
                </wp:positionH>
                <wp:positionV relativeFrom="paragraph">
                  <wp:posOffset>2833371</wp:posOffset>
                </wp:positionV>
                <wp:extent cx="5534660" cy="247650"/>
                <wp:effectExtent l="0" t="0" r="0" b="0"/>
                <wp:wrapNone/>
                <wp:docPr id="26" name="Skupina 26"/>
                <wp:cNvGraphicFramePr/>
                <a:graphic xmlns:a="http://schemas.openxmlformats.org/drawingml/2006/main">
                  <a:graphicData uri="http://schemas.microsoft.com/office/word/2010/wordprocessingGroup">
                    <wpg:wgp>
                      <wpg:cNvGrpSpPr/>
                      <wpg:grpSpPr>
                        <a:xfrm>
                          <a:off x="0" y="0"/>
                          <a:ext cx="5534660" cy="247650"/>
                          <a:chOff x="0" y="0"/>
                          <a:chExt cx="5534853" cy="247650"/>
                        </a:xfrm>
                      </wpg:grpSpPr>
                      <wpg:grpSp>
                        <wpg:cNvPr id="27" name="Skupina 2"/>
                        <wpg:cNvGrpSpPr/>
                        <wpg:grpSpPr>
                          <a:xfrm>
                            <a:off x="0" y="0"/>
                            <a:ext cx="1257300" cy="247650"/>
                            <a:chOff x="123825" y="0"/>
                            <a:chExt cx="1257300" cy="247650"/>
                          </a:xfrm>
                        </wpg:grpSpPr>
                        <wps:wsp>
                          <wps:cNvPr id="28" name="Zaoblený obdélník 28"/>
                          <wps:cNvSpPr/>
                          <wps:spPr>
                            <a:xfrm>
                              <a:off x="123825" y="47626"/>
                              <a:ext cx="114300" cy="114300"/>
                            </a:xfrm>
                            <a:prstGeom prst="roundRect">
                              <a:avLst/>
                            </a:prstGeom>
                            <a:solidFill>
                              <a:srgbClr val="F79646">
                                <a:lumMod val="75000"/>
                              </a:srgbClr>
                            </a:solidFill>
                            <a:ln w="25400" cap="flat" cmpd="sng" algn="ctr">
                              <a:noFill/>
                              <a:prstDash val="solid"/>
                            </a:ln>
                            <a:effectLst/>
                          </wps:spPr>
                          <wps:txbx>
                            <w:txbxContent>
                              <w:p w:rsidR="00206FAD" w:rsidRDefault="00206FAD" w:rsidP="00D33F0D">
                                <w:pPr>
                                  <w:rPr>
                                    <w:rFonts w:eastAsia="Times New Roman"/>
                                  </w:rPr>
                                </w:pPr>
                              </w:p>
                            </w:txbxContent>
                          </wps:txbx>
                          <wps:bodyPr rtlCol="0" anchor="t"/>
                        </wps:wsp>
                        <wps:wsp>
                          <wps:cNvPr id="30" name="TextovéPole 4"/>
                          <wps:cNvSpPr txBox="1"/>
                          <wps:spPr>
                            <a:xfrm>
                              <a:off x="238124" y="0"/>
                              <a:ext cx="1143001" cy="247650"/>
                            </a:xfrm>
                            <a:prstGeom prst="rect">
                              <a:avLst/>
                            </a:prstGeom>
                            <a:noFill/>
                            <a:ln w="9525" cmpd="sng">
                              <a:noFill/>
                            </a:ln>
                            <a:effectLst/>
                          </wps:spPr>
                          <wps:txbx>
                            <w:txbxContent>
                              <w:p w:rsidR="00206FAD" w:rsidRDefault="00206FAD" w:rsidP="00D33F0D">
                                <w:pPr>
                                  <w:pStyle w:val="Normlnweb"/>
                                  <w:spacing w:after="0"/>
                                </w:pPr>
                                <w:r>
                                  <w:rPr>
                                    <w:rFonts w:asciiTheme="minorHAnsi" w:hAnsi="Calibri" w:cstheme="minorBidi"/>
                                    <w:color w:val="000000" w:themeColor="dark1"/>
                                    <w:sz w:val="16"/>
                                    <w:szCs w:val="16"/>
                                  </w:rPr>
                                  <w:t>MODEST INNOVATORS</w:t>
                                </w:r>
                              </w:p>
                            </w:txbxContent>
                          </wps:txbx>
                          <wps:bodyPr wrap="square" rtlCol="0" anchor="t"/>
                        </wps:wsp>
                      </wpg:grpSp>
                      <wpg:grpSp>
                        <wpg:cNvPr id="31" name="Skupina 15"/>
                        <wpg:cNvGrpSpPr/>
                        <wpg:grpSpPr>
                          <a:xfrm>
                            <a:off x="1256306" y="0"/>
                            <a:ext cx="1552575" cy="247650"/>
                            <a:chOff x="123825" y="0"/>
                            <a:chExt cx="1552575" cy="247650"/>
                          </a:xfrm>
                        </wpg:grpSpPr>
                        <wps:wsp>
                          <wps:cNvPr id="32" name="Zaoblený obdélník 32"/>
                          <wps:cNvSpPr/>
                          <wps:spPr>
                            <a:xfrm>
                              <a:off x="123825" y="47626"/>
                              <a:ext cx="114300" cy="114300"/>
                            </a:xfrm>
                            <a:prstGeom prst="roundRect">
                              <a:avLst/>
                            </a:prstGeom>
                            <a:solidFill>
                              <a:srgbClr val="FFFF00"/>
                            </a:solidFill>
                            <a:ln w="25400" cap="flat" cmpd="sng" algn="ctr">
                              <a:noFill/>
                              <a:prstDash val="solid"/>
                            </a:ln>
                            <a:effectLst/>
                          </wps:spPr>
                          <wps:txbx>
                            <w:txbxContent>
                              <w:p w:rsidR="00206FAD" w:rsidRDefault="00206FAD" w:rsidP="00D33F0D">
                                <w:pPr>
                                  <w:rPr>
                                    <w:rFonts w:eastAsia="Times New Roman"/>
                                  </w:rPr>
                                </w:pPr>
                              </w:p>
                            </w:txbxContent>
                          </wps:txbx>
                          <wps:bodyPr rtlCol="0" anchor="t"/>
                        </wps:wsp>
                        <wps:wsp>
                          <wps:cNvPr id="34" name="TextovéPole 6"/>
                          <wps:cNvSpPr txBox="1"/>
                          <wps:spPr>
                            <a:xfrm>
                              <a:off x="238124" y="0"/>
                              <a:ext cx="1438276" cy="247650"/>
                            </a:xfrm>
                            <a:prstGeom prst="rect">
                              <a:avLst/>
                            </a:prstGeom>
                            <a:noFill/>
                            <a:ln w="9525" cmpd="sng">
                              <a:noFill/>
                            </a:ln>
                            <a:effectLst/>
                          </wps:spPr>
                          <wps:txbx>
                            <w:txbxContent>
                              <w:p w:rsidR="00206FAD" w:rsidRDefault="00206FAD" w:rsidP="00D33F0D">
                                <w:pPr>
                                  <w:pStyle w:val="Normlnweb"/>
                                  <w:spacing w:after="0"/>
                                </w:pPr>
                                <w:r>
                                  <w:rPr>
                                    <w:rFonts w:asciiTheme="minorHAnsi" w:hAnsi="Calibri" w:cstheme="minorBidi"/>
                                    <w:color w:val="000000" w:themeColor="dark1"/>
                                    <w:sz w:val="16"/>
                                    <w:szCs w:val="16"/>
                                  </w:rPr>
                                  <w:t>MODERATE INNOVATORS</w:t>
                                </w:r>
                              </w:p>
                            </w:txbxContent>
                          </wps:txbx>
                          <wps:bodyPr wrap="square" rtlCol="0" anchor="t"/>
                        </wps:wsp>
                      </wpg:grpSp>
                      <wpg:grpSp>
                        <wpg:cNvPr id="36" name="Skupina 16"/>
                        <wpg:cNvGrpSpPr/>
                        <wpg:grpSpPr>
                          <a:xfrm>
                            <a:off x="2695492" y="0"/>
                            <a:ext cx="1428750" cy="247650"/>
                            <a:chOff x="123825" y="0"/>
                            <a:chExt cx="1428750" cy="247650"/>
                          </a:xfrm>
                        </wpg:grpSpPr>
                        <wps:wsp>
                          <wps:cNvPr id="37" name="Zaoblený obdélník 37"/>
                          <wps:cNvSpPr/>
                          <wps:spPr>
                            <a:xfrm>
                              <a:off x="123825" y="47626"/>
                              <a:ext cx="114300" cy="114300"/>
                            </a:xfrm>
                            <a:prstGeom prst="roundRect">
                              <a:avLst/>
                            </a:prstGeom>
                            <a:solidFill>
                              <a:srgbClr val="8DE3B4"/>
                            </a:solidFill>
                            <a:ln w="25400" cap="flat" cmpd="sng" algn="ctr">
                              <a:noFill/>
                              <a:prstDash val="solid"/>
                            </a:ln>
                            <a:effectLst/>
                          </wps:spPr>
                          <wps:txbx>
                            <w:txbxContent>
                              <w:p w:rsidR="00206FAD" w:rsidRDefault="00206FAD" w:rsidP="00D33F0D">
                                <w:pPr>
                                  <w:rPr>
                                    <w:rFonts w:eastAsia="Times New Roman"/>
                                  </w:rPr>
                                </w:pPr>
                              </w:p>
                            </w:txbxContent>
                          </wps:txbx>
                          <wps:bodyPr rtlCol="0" anchor="t"/>
                        </wps:wsp>
                        <wps:wsp>
                          <wps:cNvPr id="38" name="TextovéPole 8"/>
                          <wps:cNvSpPr txBox="1"/>
                          <wps:spPr>
                            <a:xfrm>
                              <a:off x="238124" y="0"/>
                              <a:ext cx="1314451" cy="247650"/>
                            </a:xfrm>
                            <a:prstGeom prst="rect">
                              <a:avLst/>
                            </a:prstGeom>
                            <a:noFill/>
                            <a:ln w="9525" cmpd="sng">
                              <a:noFill/>
                            </a:ln>
                            <a:effectLst/>
                          </wps:spPr>
                          <wps:txbx>
                            <w:txbxContent>
                              <w:p w:rsidR="00206FAD" w:rsidRDefault="00206FAD" w:rsidP="00D33F0D">
                                <w:pPr>
                                  <w:pStyle w:val="Normlnweb"/>
                                  <w:spacing w:after="0"/>
                                </w:pPr>
                                <w:r>
                                  <w:rPr>
                                    <w:rFonts w:asciiTheme="minorHAnsi" w:hAnsi="Calibri" w:cstheme="minorBidi"/>
                                    <w:color w:val="000000" w:themeColor="dark1"/>
                                    <w:sz w:val="16"/>
                                    <w:szCs w:val="16"/>
                                  </w:rPr>
                                  <w:t>INNOVATION FOLLOWERS</w:t>
                                </w:r>
                              </w:p>
                            </w:txbxContent>
                          </wps:txbx>
                          <wps:bodyPr wrap="square" rtlCol="0" anchor="t"/>
                        </wps:wsp>
                      </wpg:grpSp>
                      <wpg:grpSp>
                        <wpg:cNvPr id="39" name="Skupina 17"/>
                        <wpg:cNvGrpSpPr/>
                        <wpg:grpSpPr>
                          <a:xfrm>
                            <a:off x="4134678" y="0"/>
                            <a:ext cx="1400175" cy="247650"/>
                            <a:chOff x="123825" y="0"/>
                            <a:chExt cx="1400175" cy="247650"/>
                          </a:xfrm>
                        </wpg:grpSpPr>
                        <wps:wsp>
                          <wps:cNvPr id="40" name="Zaoblený obdélník 40"/>
                          <wps:cNvSpPr/>
                          <wps:spPr>
                            <a:xfrm>
                              <a:off x="123825" y="47626"/>
                              <a:ext cx="114300" cy="114300"/>
                            </a:xfrm>
                            <a:prstGeom prst="roundRect">
                              <a:avLst/>
                            </a:prstGeom>
                            <a:solidFill>
                              <a:srgbClr val="0B970E"/>
                            </a:solidFill>
                            <a:ln w="25400" cap="flat" cmpd="sng" algn="ctr">
                              <a:noFill/>
                              <a:prstDash val="solid"/>
                            </a:ln>
                            <a:effectLst/>
                          </wps:spPr>
                          <wps:txbx>
                            <w:txbxContent>
                              <w:p w:rsidR="00206FAD" w:rsidRDefault="00206FAD" w:rsidP="00D33F0D">
                                <w:pPr>
                                  <w:rPr>
                                    <w:rFonts w:eastAsia="Times New Roman"/>
                                  </w:rPr>
                                </w:pPr>
                              </w:p>
                            </w:txbxContent>
                          </wps:txbx>
                          <wps:bodyPr rtlCol="0" anchor="t"/>
                        </wps:wsp>
                        <wps:wsp>
                          <wps:cNvPr id="41" name="TextovéPole 10"/>
                          <wps:cNvSpPr txBox="1"/>
                          <wps:spPr>
                            <a:xfrm>
                              <a:off x="238124" y="0"/>
                              <a:ext cx="1285876" cy="247650"/>
                            </a:xfrm>
                            <a:prstGeom prst="rect">
                              <a:avLst/>
                            </a:prstGeom>
                            <a:noFill/>
                            <a:ln w="9525" cmpd="sng">
                              <a:noFill/>
                            </a:ln>
                            <a:effectLst/>
                          </wps:spPr>
                          <wps:txbx>
                            <w:txbxContent>
                              <w:p w:rsidR="00206FAD" w:rsidRDefault="00206FAD" w:rsidP="00D33F0D">
                                <w:pPr>
                                  <w:pStyle w:val="Normlnweb"/>
                                  <w:spacing w:after="0"/>
                                </w:pPr>
                                <w:r>
                                  <w:rPr>
                                    <w:rFonts w:asciiTheme="minorHAnsi" w:hAnsi="Calibri" w:cstheme="minorBidi"/>
                                    <w:color w:val="000000" w:themeColor="dark1"/>
                                    <w:sz w:val="16"/>
                                    <w:szCs w:val="16"/>
                                  </w:rPr>
                                  <w:t>INNOVATION LEADERS</w:t>
                                </w:r>
                              </w:p>
                            </w:txbxContent>
                          </wps:txbx>
                          <wps:bodyPr wrap="square" rtlCol="0" anchor="t"/>
                        </wps:wsp>
                      </wpg:grpSp>
                    </wpg:wgp>
                  </a:graphicData>
                </a:graphic>
              </wp:anchor>
            </w:drawing>
          </mc:Choice>
          <mc:Fallback>
            <w:pict>
              <v:group id="Skupina 26" o:spid="_x0000_s1064" style="position:absolute;left:0;text-align:left;margin-left:12.95pt;margin-top:223.1pt;width:435.8pt;height:19.5pt;z-index:251677696" coordsize="55348,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">
                <v:group id="Skupina 2" o:spid="_x0000_s1065" style="position:absolute;width:12573;height:2476" coordorigin="1238" coordsize="12573,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oundrect id="Zaoblený obdélník 28" o:spid="_x0000_s1066"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p/8AA&#10;AADbAAAADwAAAGRycy9kb3ducmV2LnhtbERPy4rCMBTdC/MP4Q64s+m4GKWaFhEG1IXiY8bttbm2&#10;xeamNJla/94sBJeH855nvalFR62rLCv4imIQxLnVFRcKTsef0RSE88gaa8uk4EEOsvRjMMdE2zvv&#10;qTv4QoQQdgkqKL1vEildXpJBF9mGOHBX2xr0AbaF1C3eQ7ip5TiOv6XBikNDiQ0tS8pvh3+joNv9&#10;3XgzXWAnsV9vz5PJ73lzUWr42S9mIDz1/i1+uVdawTiMDV/CD5Dp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ip/8AAAADbAAAADwAAAAAAAAAAAAAAAACYAgAAZHJzL2Rvd25y&#10;ZXYueG1sUEsFBgAAAAAEAAQA9QAAAIUDAAAAAA==&#10;" fillcolor="#e46c0a" stroked="f" strokeweight="2pt">
                    <v:textbox>
                      <w:txbxContent>
                        <w:p w:rsidR="00206FAD" w:rsidRDefault="00206FAD" w:rsidP="00D33F0D">
                          <w:pPr>
                            <w:rPr>
                              <w:rFonts w:eastAsia="Times New Roman"/>
                            </w:rPr>
                          </w:pPr>
                        </w:p>
                      </w:txbxContent>
                    </v:textbox>
                  </v:roundrect>
                  <v:shape id="TextovéPole 4" o:spid="_x0000_s1067" type="#_x0000_t202" style="position:absolute;left:2381;width:11430;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206FAD" w:rsidRDefault="00206FAD" w:rsidP="00D33F0D">
                          <w:pPr>
                            <w:pStyle w:val="Normlnweb"/>
                            <w:spacing w:after="0"/>
                          </w:pPr>
                          <w:r>
                            <w:rPr>
                              <w:rFonts w:asciiTheme="minorHAnsi" w:hAnsi="Calibri" w:cstheme="minorBidi"/>
                              <w:color w:val="000000" w:themeColor="dark1"/>
                              <w:sz w:val="16"/>
                              <w:szCs w:val="16"/>
                            </w:rPr>
                            <w:t>MODEST INNOVATORS</w:t>
                          </w:r>
                        </w:p>
                      </w:txbxContent>
                    </v:textbox>
                  </v:shape>
                </v:group>
                <v:group id="Skupina 15" o:spid="_x0000_s1068" style="position:absolute;left:12563;width:15525;height:2476" coordorigin="1238" coordsize="15525,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roundrect id="Zaoblený obdélník 32" o:spid="_x0000_s1069"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rfmsMA&#10;AADbAAAADwAAAGRycy9kb3ducmV2LnhtbESPQWsCMRSE74L/ITyhN01UWmQ1ikgLpXjpuvT8unlu&#10;Fjcv6yau239vCoUeh5n5htnsBteInrpQe9YwnykQxKU3NVcaitPbdAUiRGSDjWfS8EMBdtvxaIOZ&#10;8Xf+pD6PlUgQDhlqsDG2mZShtOQwzHxLnLyz7xzGJLtKmg7vCe4auVDqRTqsOS1YbOlgqbzkN6fh&#10;tXm29rRXVX79OBbfX32xtDel9dNk2K9BRBrif/iv/W40LBfw+yX9AL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rfmsMAAADbAAAADwAAAAAAAAAAAAAAAACYAgAAZHJzL2Rv&#10;d25yZXYueG1sUEsFBgAAAAAEAAQA9QAAAIgDAAAAAA==&#10;" fillcolor="yellow" stroked="f" strokeweight="2pt">
                    <v:textbox>
                      <w:txbxContent>
                        <w:p w:rsidR="00206FAD" w:rsidRDefault="00206FAD" w:rsidP="00D33F0D">
                          <w:pPr>
                            <w:rPr>
                              <w:rFonts w:eastAsia="Times New Roman"/>
                            </w:rPr>
                          </w:pPr>
                        </w:p>
                      </w:txbxContent>
                    </v:textbox>
                  </v:roundrect>
                  <v:shape id="TextovéPole 6" o:spid="_x0000_s1070" type="#_x0000_t202" style="position:absolute;left:2381;width:14383;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206FAD" w:rsidRDefault="00206FAD" w:rsidP="00D33F0D">
                          <w:pPr>
                            <w:pStyle w:val="Normlnweb"/>
                            <w:spacing w:after="0"/>
                          </w:pPr>
                          <w:r>
                            <w:rPr>
                              <w:rFonts w:asciiTheme="minorHAnsi" w:hAnsi="Calibri" w:cstheme="minorBidi"/>
                              <w:color w:val="000000" w:themeColor="dark1"/>
                              <w:sz w:val="16"/>
                              <w:szCs w:val="16"/>
                            </w:rPr>
                            <w:t>MODERATE INNOVATORS</w:t>
                          </w:r>
                        </w:p>
                      </w:txbxContent>
                    </v:textbox>
                  </v:shape>
                </v:group>
                <v:group id="Skupina 16" o:spid="_x0000_s1071" style="position:absolute;left:26954;width:14288;height:2476" coordorigin="1238" coordsize="14287,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roundrect id="Zaoblený obdélník 37" o:spid="_x0000_s1072"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9wCsMA&#10;AADbAAAADwAAAGRycy9kb3ducmV2LnhtbESPQWvCQBSE74X+h+UJ3uomCq2krhKKgujJtPT8yD6T&#10;kOzbJbua6K93C0KPw8x8w6w2o+nElXrfWFaQzhIQxKXVDVcKfr53b0sQPiBr7CyTght52KxfX1aY&#10;aTvwia5FqESEsM9QQR2Cy6T0ZU0G/cw64uidbW8wRNlXUvc4RLjp5DxJ3qXBhuNCjY6+airb4mIU&#10;FNtudxzaPE2Xv4fC7FuX67tTajoZ808QgcbwH36291rB4gP+vs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9wCsMAAADbAAAADwAAAAAAAAAAAAAAAACYAgAAZHJzL2Rv&#10;d25yZXYueG1sUEsFBgAAAAAEAAQA9QAAAIgDAAAAAA==&#10;" fillcolor="#8de3b4" stroked="f" strokeweight="2pt">
                    <v:textbox>
                      <w:txbxContent>
                        <w:p w:rsidR="00206FAD" w:rsidRDefault="00206FAD" w:rsidP="00D33F0D">
                          <w:pPr>
                            <w:rPr>
                              <w:rFonts w:eastAsia="Times New Roman"/>
                            </w:rPr>
                          </w:pPr>
                        </w:p>
                      </w:txbxContent>
                    </v:textbox>
                  </v:roundrect>
                  <v:shape id="TextovéPole 8" o:spid="_x0000_s1073" type="#_x0000_t202" style="position:absolute;left:2381;width:1314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206FAD" w:rsidRDefault="00206FAD" w:rsidP="00D33F0D">
                          <w:pPr>
                            <w:pStyle w:val="Normlnweb"/>
                            <w:spacing w:after="0"/>
                          </w:pPr>
                          <w:r>
                            <w:rPr>
                              <w:rFonts w:asciiTheme="minorHAnsi" w:hAnsi="Calibri" w:cstheme="minorBidi"/>
                              <w:color w:val="000000" w:themeColor="dark1"/>
                              <w:sz w:val="16"/>
                              <w:szCs w:val="16"/>
                            </w:rPr>
                            <w:t>INNOVATION FOLLOWERS</w:t>
                          </w:r>
                        </w:p>
                      </w:txbxContent>
                    </v:textbox>
                  </v:shape>
                </v:group>
                <v:group id="Skupina 17" o:spid="_x0000_s1074" style="position:absolute;left:41346;width:14002;height:2476" coordorigin="1238" coordsize="14001,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oundrect id="Zaoblený obdélník 40" o:spid="_x0000_s1075"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0C78A&#10;AADbAAAADwAAAGRycy9kb3ducmV2LnhtbERPz2uDMBS+D/Y/hDfYZczYTsawjdKUFrzObfeHeVWp&#10;eRGTqvvvm8Ngx4/v975c7SBmmnzvWMEmSUEQN8703Cr4/jq/foDwAdng4JgU/JKHsnh82GNu3MKf&#10;NNehFTGEfY4KuhDGXErfdGTRJ24kjtzFTRZDhFMrzYRLDLeD3Kbpu7TYc2zocKRjR821vlkFOn2Z&#10;j7rPxvYq335OG63nSmulnp/Www5EoDX8i//clVGQxfXxS/wBsrg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L7QLvwAAANsAAAAPAAAAAAAAAAAAAAAAAJgCAABkcnMvZG93bnJl&#10;di54bWxQSwUGAAAAAAQABAD1AAAAhAMAAAAA&#10;" fillcolor="#0b970e" stroked="f" strokeweight="2pt">
                    <v:textbox>
                      <w:txbxContent>
                        <w:p w:rsidR="00206FAD" w:rsidRDefault="00206FAD" w:rsidP="00D33F0D">
                          <w:pPr>
                            <w:rPr>
                              <w:rFonts w:eastAsia="Times New Roman"/>
                            </w:rPr>
                          </w:pPr>
                        </w:p>
                      </w:txbxContent>
                    </v:textbox>
                  </v:roundrect>
                  <v:shape id="TextovéPole 10" o:spid="_x0000_s1076" type="#_x0000_t202" style="position:absolute;left:2381;width:12859;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206FAD" w:rsidRDefault="00206FAD" w:rsidP="00D33F0D">
                          <w:pPr>
                            <w:pStyle w:val="Normlnweb"/>
                            <w:spacing w:after="0"/>
                          </w:pPr>
                          <w:r>
                            <w:rPr>
                              <w:rFonts w:asciiTheme="minorHAnsi" w:hAnsi="Calibri" w:cstheme="minorBidi"/>
                              <w:color w:val="000000" w:themeColor="dark1"/>
                              <w:sz w:val="16"/>
                              <w:szCs w:val="16"/>
                            </w:rPr>
                            <w:t>INNOVATION LEADERS</w:t>
                          </w:r>
                        </w:p>
                      </w:txbxContent>
                    </v:textbox>
                  </v:shape>
                </v:group>
              </v:group>
            </w:pict>
          </mc:Fallback>
        </mc:AlternateContent>
      </w:r>
      <w:r>
        <w:rPr>
          <w:noProof/>
          <w:lang w:eastAsia="cs-CZ"/>
        </w:rPr>
        <w:drawing>
          <wp:inline distT="0" distB="0" distL="0" distR="0" wp14:anchorId="48D8D4D0" wp14:editId="41691850">
            <wp:extent cx="5972810" cy="2936875"/>
            <wp:effectExtent l="0" t="0" r="8890" b="0"/>
            <wp:docPr id="51" name="Graf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D33F0D" w:rsidRPr="00D37A5E" w:rsidRDefault="00D33F0D" w:rsidP="00D33F0D">
      <w:pPr>
        <w:spacing w:beforeLines="60" w:before="144" w:afterLines="60" w:after="144" w:line="240" w:lineRule="auto"/>
        <w:jc w:val="both"/>
        <w:rPr>
          <w:rFonts w:cs="Times New Roman"/>
          <w:highlight w:val="yellow"/>
        </w:rPr>
      </w:pPr>
    </w:p>
    <w:p w:rsidR="00D33F0D" w:rsidRPr="00836888" w:rsidRDefault="00D33F0D" w:rsidP="00D33F0D">
      <w:pPr>
        <w:pStyle w:val="Zdroj"/>
      </w:pPr>
      <w:r w:rsidRPr="00836888">
        <w:t>Zdroj dat: vlastní kalkulace na základě dat z IUS (201</w:t>
      </w:r>
      <w:r>
        <w:t>5</w:t>
      </w:r>
      <w:r w:rsidRPr="00836888">
        <w:t>)</w:t>
      </w:r>
    </w:p>
    <w:p w:rsidR="00D33F0D" w:rsidRDefault="00D33F0D" w:rsidP="00D33F0D">
      <w:pPr>
        <w:pStyle w:val="komentzaobrzkem"/>
      </w:pPr>
      <w:r>
        <w:t>horizontální o</w:t>
      </w:r>
      <w:r w:rsidRPr="00836888">
        <w:t>sa</w:t>
      </w:r>
      <w:r>
        <w:t xml:space="preserve">: hodnoty </w:t>
      </w:r>
      <w:r w:rsidRPr="00836888">
        <w:t>SII v roce 2014</w:t>
      </w:r>
    </w:p>
    <w:p w:rsidR="00D33F0D" w:rsidRPr="00836888" w:rsidRDefault="00D33F0D" w:rsidP="00D33F0D">
      <w:pPr>
        <w:pStyle w:val="komentzaobrzkem"/>
      </w:pPr>
      <w:r>
        <w:t>vertikální osa: index změny S</w:t>
      </w:r>
      <w:r w:rsidRPr="00836888">
        <w:t>II</w:t>
      </w:r>
      <w:r>
        <w:t xml:space="preserve"> </w:t>
      </w:r>
      <w:r w:rsidRPr="00836888">
        <w:t xml:space="preserve">2014 </w:t>
      </w:r>
      <w:r>
        <w:t>/</w:t>
      </w:r>
      <w:r w:rsidRPr="00836888">
        <w:t xml:space="preserve"> 2006</w:t>
      </w:r>
      <w:r>
        <w:t xml:space="preserve"> (v %)</w:t>
      </w:r>
    </w:p>
    <w:p w:rsidR="00D33F0D" w:rsidRDefault="00D33F0D" w:rsidP="00D33F0D">
      <w:pPr>
        <w:spacing w:after="0" w:line="360" w:lineRule="auto"/>
        <w:ind w:firstLine="708"/>
        <w:jc w:val="both"/>
        <w:rPr>
          <w:rFonts w:ascii="Arial" w:eastAsia="Times New Roman" w:hAnsi="Arial" w:cs="Arial"/>
          <w:lang w:eastAsia="cs-CZ"/>
        </w:rPr>
      </w:pPr>
    </w:p>
    <w:p w:rsidR="00D33F0D" w:rsidRDefault="00D33F0D" w:rsidP="00D33F0D">
      <w:pPr>
        <w:spacing w:after="0" w:line="360" w:lineRule="auto"/>
        <w:ind w:firstLine="708"/>
        <w:jc w:val="both"/>
        <w:rPr>
          <w:rFonts w:ascii="Arial" w:eastAsia="Times New Roman" w:hAnsi="Arial" w:cs="Arial"/>
          <w:highlight w:val="yellow"/>
          <w:lang w:eastAsia="cs-CZ"/>
        </w:rPr>
      </w:pPr>
      <w:r w:rsidRPr="00B07C94">
        <w:rPr>
          <w:rFonts w:ascii="Arial" w:eastAsia="Times New Roman" w:hAnsi="Arial" w:cs="Arial"/>
          <w:lang w:eastAsia="cs-CZ"/>
        </w:rPr>
        <w:t>Pokud srovnáme hodnoty SII</w:t>
      </w:r>
      <w:r>
        <w:rPr>
          <w:rFonts w:ascii="Arial" w:eastAsia="Times New Roman" w:hAnsi="Arial" w:cs="Arial"/>
          <w:lang w:eastAsia="cs-CZ"/>
        </w:rPr>
        <w:t xml:space="preserve"> Č</w:t>
      </w:r>
      <w:r w:rsidRPr="00B07C94">
        <w:rPr>
          <w:rFonts w:ascii="Arial" w:eastAsia="Times New Roman" w:hAnsi="Arial" w:cs="Arial"/>
          <w:lang w:eastAsia="cs-CZ"/>
        </w:rPr>
        <w:t>eské republiky s hodnotami Rakouska, které spadalo dle hodnoty SII v roce 2014 spíše do spodní poloviny skupiny „</w:t>
      </w:r>
      <w:proofErr w:type="spellStart"/>
      <w:r w:rsidRPr="00B07C94">
        <w:rPr>
          <w:rFonts w:ascii="Arial" w:eastAsia="Times New Roman" w:hAnsi="Arial" w:cs="Arial"/>
          <w:lang w:eastAsia="cs-CZ"/>
        </w:rPr>
        <w:t>Innovation</w:t>
      </w:r>
      <w:proofErr w:type="spellEnd"/>
      <w:r w:rsidRPr="00B07C94">
        <w:rPr>
          <w:rFonts w:ascii="Arial" w:eastAsia="Times New Roman" w:hAnsi="Arial" w:cs="Arial"/>
          <w:lang w:eastAsia="cs-CZ"/>
        </w:rPr>
        <w:t xml:space="preserve"> </w:t>
      </w:r>
      <w:proofErr w:type="spellStart"/>
      <w:r w:rsidRPr="00B07C94">
        <w:rPr>
          <w:rFonts w:ascii="Arial" w:eastAsia="Times New Roman" w:hAnsi="Arial" w:cs="Arial"/>
          <w:lang w:eastAsia="cs-CZ"/>
        </w:rPr>
        <w:t>Followers</w:t>
      </w:r>
      <w:proofErr w:type="spellEnd"/>
      <w:r w:rsidRPr="00B07C94">
        <w:rPr>
          <w:rFonts w:ascii="Arial" w:eastAsia="Times New Roman" w:hAnsi="Arial" w:cs="Arial"/>
          <w:lang w:eastAsia="cs-CZ"/>
        </w:rPr>
        <w:t>“, ČR značně zaostává (</w:t>
      </w:r>
      <w:r>
        <w:rPr>
          <w:rFonts w:ascii="Arial" w:eastAsia="Times New Roman" w:hAnsi="Arial" w:cs="Arial"/>
          <w:lang w:eastAsia="cs-CZ"/>
        </w:rPr>
        <w:t>obr.</w:t>
      </w:r>
      <w:r w:rsidRPr="00B07C94">
        <w:rPr>
          <w:rFonts w:ascii="Arial" w:eastAsia="Times New Roman" w:hAnsi="Arial" w:cs="Arial"/>
          <w:lang w:eastAsia="cs-CZ"/>
        </w:rPr>
        <w:t xml:space="preserve"> </w:t>
      </w:r>
      <w:r w:rsidR="00863581">
        <w:rPr>
          <w:rFonts w:ascii="Arial" w:eastAsia="Times New Roman" w:hAnsi="Arial" w:cs="Arial"/>
          <w:lang w:eastAsia="cs-CZ"/>
        </w:rPr>
        <w:t>8</w:t>
      </w:r>
      <w:r w:rsidRPr="00B07C94">
        <w:rPr>
          <w:rFonts w:ascii="Arial" w:eastAsia="Times New Roman" w:hAnsi="Arial" w:cs="Arial"/>
          <w:lang w:eastAsia="cs-CZ"/>
        </w:rPr>
        <w:t>.</w:t>
      </w:r>
      <w:r>
        <w:rPr>
          <w:rFonts w:ascii="Arial" w:eastAsia="Times New Roman" w:hAnsi="Arial" w:cs="Arial"/>
          <w:lang w:eastAsia="cs-CZ"/>
        </w:rPr>
        <w:t>4</w:t>
      </w:r>
      <w:r w:rsidRPr="00B07C94">
        <w:rPr>
          <w:rFonts w:ascii="Arial" w:eastAsia="Times New Roman" w:hAnsi="Arial" w:cs="Arial"/>
          <w:lang w:eastAsia="cs-CZ"/>
        </w:rPr>
        <w:t xml:space="preserve">). Přestože inovační index v ČR od roku 2006 roste, podobným tempem vzrůstá </w:t>
      </w:r>
      <w:r w:rsidRPr="00B07C94">
        <w:rPr>
          <w:rFonts w:ascii="Arial" w:eastAsia="Times New Roman" w:hAnsi="Arial" w:cs="Arial"/>
          <w:lang w:eastAsia="cs-CZ"/>
        </w:rPr>
        <w:lastRenderedPageBreak/>
        <w:t>tento index taktéž v</w:t>
      </w:r>
      <w:r>
        <w:rPr>
          <w:rFonts w:ascii="Arial" w:eastAsia="Times New Roman" w:hAnsi="Arial" w:cs="Arial"/>
          <w:lang w:eastAsia="cs-CZ"/>
        </w:rPr>
        <w:t> </w:t>
      </w:r>
      <w:r w:rsidRPr="00B07C94">
        <w:rPr>
          <w:rFonts w:ascii="Arial" w:eastAsia="Times New Roman" w:hAnsi="Arial" w:cs="Arial"/>
          <w:lang w:eastAsia="cs-CZ"/>
        </w:rPr>
        <w:t>Rakousku</w:t>
      </w:r>
      <w:r>
        <w:rPr>
          <w:rFonts w:ascii="Arial" w:eastAsia="Times New Roman" w:hAnsi="Arial" w:cs="Arial"/>
          <w:lang w:eastAsia="cs-CZ"/>
        </w:rPr>
        <w:t xml:space="preserve"> (s výjimkou let </w:t>
      </w:r>
      <w:r w:rsidRPr="00B07C94">
        <w:rPr>
          <w:rFonts w:ascii="Arial" w:eastAsia="Times New Roman" w:hAnsi="Arial" w:cs="Arial"/>
          <w:lang w:eastAsia="cs-CZ"/>
        </w:rPr>
        <w:t>2013 a 2014</w:t>
      </w:r>
      <w:r>
        <w:rPr>
          <w:rFonts w:ascii="Arial" w:eastAsia="Times New Roman" w:hAnsi="Arial" w:cs="Arial"/>
          <w:lang w:eastAsia="cs-CZ"/>
        </w:rPr>
        <w:t>, kdy mírně poklesl)</w:t>
      </w:r>
      <w:r w:rsidRPr="00B07C94">
        <w:rPr>
          <w:rFonts w:ascii="Arial" w:eastAsia="Times New Roman" w:hAnsi="Arial" w:cs="Arial"/>
          <w:lang w:eastAsia="cs-CZ"/>
        </w:rPr>
        <w:t xml:space="preserve">, </w:t>
      </w:r>
      <w:r>
        <w:rPr>
          <w:rFonts w:ascii="Arial" w:eastAsia="Times New Roman" w:hAnsi="Arial" w:cs="Arial"/>
          <w:lang w:eastAsia="cs-CZ"/>
        </w:rPr>
        <w:t>proto</w:t>
      </w:r>
      <w:r w:rsidRPr="00B07C94">
        <w:rPr>
          <w:rFonts w:ascii="Arial" w:eastAsia="Times New Roman" w:hAnsi="Arial" w:cs="Arial"/>
          <w:lang w:eastAsia="cs-CZ"/>
        </w:rPr>
        <w:t xml:space="preserve"> diference hodnot SII mezi oběma zeměmi </w:t>
      </w:r>
      <w:r>
        <w:rPr>
          <w:rFonts w:ascii="Arial" w:eastAsia="Times New Roman" w:hAnsi="Arial" w:cs="Arial"/>
          <w:lang w:eastAsia="cs-CZ"/>
        </w:rPr>
        <w:t xml:space="preserve">zůstává </w:t>
      </w:r>
      <w:r w:rsidRPr="00B07C94">
        <w:rPr>
          <w:rFonts w:ascii="Arial" w:eastAsia="Times New Roman" w:hAnsi="Arial" w:cs="Arial"/>
          <w:lang w:eastAsia="cs-CZ"/>
        </w:rPr>
        <w:t>téměř neměnná</w:t>
      </w:r>
      <w:r>
        <w:rPr>
          <w:rFonts w:ascii="Arial" w:eastAsia="Times New Roman" w:hAnsi="Arial" w:cs="Arial"/>
          <w:lang w:eastAsia="cs-CZ"/>
        </w:rPr>
        <w:t>.</w:t>
      </w:r>
    </w:p>
    <w:p w:rsidR="00D33F0D" w:rsidRPr="00836888" w:rsidRDefault="00D33F0D" w:rsidP="00D33F0D">
      <w:pPr>
        <w:pStyle w:val="Obrzek-nadpis"/>
      </w:pPr>
      <w:r>
        <w:t>Obr.</w:t>
      </w:r>
      <w:r w:rsidRPr="00836888">
        <w:t xml:space="preserve"> </w:t>
      </w:r>
      <w:r w:rsidR="00863581">
        <w:t>8</w:t>
      </w:r>
      <w:r w:rsidRPr="00836888">
        <w:t>.4: Hodnota Inovačního indexu v ČR a její meziroční dynamika ve srovnání s Rakouskem</w:t>
      </w:r>
    </w:p>
    <w:p w:rsidR="00D33F0D" w:rsidRPr="00D37A5E" w:rsidRDefault="00D33F0D" w:rsidP="00D33F0D">
      <w:pPr>
        <w:spacing w:afterLines="60" w:after="144" w:line="360" w:lineRule="auto"/>
        <w:jc w:val="center"/>
        <w:rPr>
          <w:rFonts w:cs="Times New Roman"/>
          <w:highlight w:val="yellow"/>
        </w:rPr>
      </w:pPr>
      <w:r>
        <w:rPr>
          <w:noProof/>
          <w:lang w:eastAsia="cs-CZ"/>
        </w:rPr>
        <w:drawing>
          <wp:inline distT="0" distB="0" distL="0" distR="0" wp14:anchorId="77D68C5A" wp14:editId="7CD349FC">
            <wp:extent cx="5526156" cy="1804947"/>
            <wp:effectExtent l="0" t="0" r="0" b="5080"/>
            <wp:docPr id="52" name="Graf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33F0D" w:rsidRPr="00836888" w:rsidRDefault="00D33F0D" w:rsidP="00D33F0D">
      <w:pPr>
        <w:pStyle w:val="Zdroj"/>
      </w:pPr>
      <w:r w:rsidRPr="00836888">
        <w:t>Zdroj dat: IUS</w:t>
      </w:r>
    </w:p>
    <w:p w:rsidR="00D33F0D" w:rsidRPr="00551D94" w:rsidRDefault="00D33F0D" w:rsidP="00D33F0D">
      <w:pPr>
        <w:spacing w:after="0" w:line="360" w:lineRule="auto"/>
        <w:ind w:firstLine="708"/>
        <w:jc w:val="both"/>
        <w:rPr>
          <w:rFonts w:ascii="Arial" w:eastAsia="Times New Roman" w:hAnsi="Arial" w:cs="Arial"/>
          <w:lang w:eastAsia="cs-CZ"/>
        </w:rPr>
      </w:pPr>
      <w:r w:rsidRPr="003A13F7">
        <w:rPr>
          <w:rFonts w:ascii="Arial" w:eastAsia="Times New Roman" w:hAnsi="Arial" w:cs="Arial"/>
          <w:lang w:eastAsia="cs-CZ"/>
        </w:rPr>
        <w:t>Podíváme</w:t>
      </w:r>
      <w:r>
        <w:rPr>
          <w:rFonts w:ascii="Arial" w:eastAsia="Times New Roman" w:hAnsi="Arial" w:cs="Arial"/>
          <w:lang w:eastAsia="cs-CZ"/>
        </w:rPr>
        <w:t>-li</w:t>
      </w:r>
      <w:r w:rsidRPr="003A13F7">
        <w:rPr>
          <w:rFonts w:ascii="Arial" w:eastAsia="Times New Roman" w:hAnsi="Arial" w:cs="Arial"/>
          <w:lang w:eastAsia="cs-CZ"/>
        </w:rPr>
        <w:t xml:space="preserve"> </w:t>
      </w:r>
      <w:r>
        <w:rPr>
          <w:rFonts w:ascii="Arial" w:eastAsia="Times New Roman" w:hAnsi="Arial" w:cs="Arial"/>
          <w:lang w:eastAsia="cs-CZ"/>
        </w:rPr>
        <w:t xml:space="preserve">se </w:t>
      </w:r>
      <w:r w:rsidRPr="003A13F7">
        <w:rPr>
          <w:rFonts w:ascii="Arial" w:eastAsia="Times New Roman" w:hAnsi="Arial" w:cs="Arial"/>
          <w:lang w:eastAsia="cs-CZ"/>
        </w:rPr>
        <w:t xml:space="preserve">na hodnoty </w:t>
      </w:r>
      <w:r>
        <w:rPr>
          <w:rFonts w:ascii="Arial" w:eastAsia="Times New Roman" w:hAnsi="Arial" w:cs="Arial"/>
          <w:lang w:eastAsia="cs-CZ"/>
        </w:rPr>
        <w:t xml:space="preserve">dílčích oblastí kompozitního </w:t>
      </w:r>
      <w:r w:rsidRPr="003A13F7">
        <w:rPr>
          <w:rFonts w:ascii="Arial" w:eastAsia="Times New Roman" w:hAnsi="Arial" w:cs="Arial"/>
          <w:lang w:eastAsia="cs-CZ"/>
        </w:rPr>
        <w:t>indikátoru SII a porovnáme je s hodnotami Rakouska (</w:t>
      </w:r>
      <w:r>
        <w:rPr>
          <w:rFonts w:ascii="Arial" w:eastAsia="Times New Roman" w:hAnsi="Arial" w:cs="Arial"/>
          <w:lang w:eastAsia="cs-CZ"/>
        </w:rPr>
        <w:t>obr.</w:t>
      </w:r>
      <w:r w:rsidRPr="003A13F7">
        <w:rPr>
          <w:rFonts w:ascii="Arial" w:eastAsia="Times New Roman" w:hAnsi="Arial" w:cs="Arial"/>
          <w:lang w:eastAsia="cs-CZ"/>
        </w:rPr>
        <w:t xml:space="preserve"> </w:t>
      </w:r>
      <w:r w:rsidR="00912533">
        <w:rPr>
          <w:rFonts w:ascii="Arial" w:eastAsia="Times New Roman" w:hAnsi="Arial" w:cs="Arial"/>
          <w:lang w:eastAsia="cs-CZ"/>
        </w:rPr>
        <w:t>8</w:t>
      </w:r>
      <w:r w:rsidRPr="003A13F7">
        <w:rPr>
          <w:rFonts w:ascii="Arial" w:eastAsia="Times New Roman" w:hAnsi="Arial" w:cs="Arial"/>
          <w:lang w:eastAsia="cs-CZ"/>
        </w:rPr>
        <w:t>.</w:t>
      </w:r>
      <w:r>
        <w:rPr>
          <w:rFonts w:ascii="Arial" w:eastAsia="Times New Roman" w:hAnsi="Arial" w:cs="Arial"/>
          <w:lang w:eastAsia="cs-CZ"/>
        </w:rPr>
        <w:t>5</w:t>
      </w:r>
      <w:r w:rsidRPr="003A13F7">
        <w:rPr>
          <w:rFonts w:ascii="Arial" w:eastAsia="Times New Roman" w:hAnsi="Arial" w:cs="Arial"/>
          <w:lang w:eastAsia="cs-CZ"/>
        </w:rPr>
        <w:t xml:space="preserve">), </w:t>
      </w:r>
      <w:r>
        <w:rPr>
          <w:rFonts w:ascii="Arial" w:eastAsia="Times New Roman" w:hAnsi="Arial" w:cs="Arial"/>
          <w:lang w:eastAsia="cs-CZ"/>
        </w:rPr>
        <w:t>je zřejmé</w:t>
      </w:r>
      <w:r w:rsidRPr="003A13F7">
        <w:rPr>
          <w:rFonts w:ascii="Arial" w:eastAsia="Times New Roman" w:hAnsi="Arial" w:cs="Arial"/>
          <w:lang w:eastAsia="cs-CZ"/>
        </w:rPr>
        <w:t xml:space="preserve">, že téměř ve všech v případech dosahovalo Rakousko vyšších hodnot, pouze v případě tzv. ekonomických efektů jej ČR předčila. Při podrobnějším srovnání </w:t>
      </w:r>
      <w:r>
        <w:rPr>
          <w:rFonts w:ascii="Arial" w:eastAsia="Times New Roman" w:hAnsi="Arial" w:cs="Arial"/>
          <w:lang w:eastAsia="cs-CZ"/>
        </w:rPr>
        <w:t xml:space="preserve">jednotlivých </w:t>
      </w:r>
      <w:r w:rsidRPr="003A13F7">
        <w:rPr>
          <w:rFonts w:ascii="Arial" w:eastAsia="Times New Roman" w:hAnsi="Arial" w:cs="Arial"/>
          <w:lang w:eastAsia="cs-CZ"/>
        </w:rPr>
        <w:t>dílčích indikátorů s Rakouskem a průměrem EU (</w:t>
      </w:r>
      <w:r>
        <w:rPr>
          <w:rFonts w:ascii="Arial" w:eastAsia="Times New Roman" w:hAnsi="Arial" w:cs="Arial"/>
          <w:lang w:eastAsia="cs-CZ"/>
        </w:rPr>
        <w:t xml:space="preserve">obr. </w:t>
      </w:r>
      <w:r w:rsidR="00912533">
        <w:rPr>
          <w:rFonts w:ascii="Arial" w:eastAsia="Times New Roman" w:hAnsi="Arial" w:cs="Arial"/>
          <w:lang w:eastAsia="cs-CZ"/>
        </w:rPr>
        <w:t>8</w:t>
      </w:r>
      <w:r w:rsidRPr="003A13F7">
        <w:rPr>
          <w:rFonts w:ascii="Arial" w:eastAsia="Times New Roman" w:hAnsi="Arial" w:cs="Arial"/>
          <w:lang w:eastAsia="cs-CZ"/>
        </w:rPr>
        <w:t>.</w:t>
      </w:r>
      <w:r>
        <w:rPr>
          <w:rFonts w:ascii="Arial" w:eastAsia="Times New Roman" w:hAnsi="Arial" w:cs="Arial"/>
          <w:lang w:eastAsia="cs-CZ"/>
        </w:rPr>
        <w:t>6</w:t>
      </w:r>
      <w:r w:rsidRPr="003A13F7">
        <w:rPr>
          <w:rFonts w:ascii="Arial" w:eastAsia="Times New Roman" w:hAnsi="Arial" w:cs="Arial"/>
          <w:lang w:eastAsia="cs-CZ"/>
        </w:rPr>
        <w:t>) platí, že ČR zaostává za průměrem EU v 15 dílčích ukazatelích</w:t>
      </w:r>
      <w:r>
        <w:rPr>
          <w:rFonts w:ascii="Arial" w:eastAsia="Times New Roman" w:hAnsi="Arial" w:cs="Arial"/>
          <w:lang w:eastAsia="cs-CZ"/>
        </w:rPr>
        <w:t xml:space="preserve"> (hodnoty v obr. </w:t>
      </w:r>
      <w:r w:rsidR="00912533">
        <w:rPr>
          <w:rFonts w:ascii="Arial" w:eastAsia="Times New Roman" w:hAnsi="Arial" w:cs="Arial"/>
          <w:lang w:eastAsia="cs-CZ"/>
        </w:rPr>
        <w:t>8</w:t>
      </w:r>
      <w:r>
        <w:rPr>
          <w:rFonts w:ascii="Arial" w:eastAsia="Times New Roman" w:hAnsi="Arial" w:cs="Arial"/>
          <w:lang w:eastAsia="cs-CZ"/>
        </w:rPr>
        <w:t>.</w:t>
      </w:r>
      <w:r w:rsidR="00EC1071">
        <w:rPr>
          <w:rFonts w:ascii="Arial" w:eastAsia="Times New Roman" w:hAnsi="Arial" w:cs="Arial"/>
          <w:lang w:eastAsia="cs-CZ"/>
        </w:rPr>
        <w:t>6</w:t>
      </w:r>
      <w:r>
        <w:rPr>
          <w:rFonts w:ascii="Arial" w:eastAsia="Times New Roman" w:hAnsi="Arial" w:cs="Arial"/>
          <w:lang w:eastAsia="cs-CZ"/>
        </w:rPr>
        <w:t xml:space="preserve"> menší než 100)</w:t>
      </w:r>
      <w:r w:rsidRPr="003A13F7">
        <w:rPr>
          <w:rFonts w:ascii="Arial" w:eastAsia="Times New Roman" w:hAnsi="Arial" w:cs="Arial"/>
          <w:lang w:eastAsia="cs-CZ"/>
        </w:rPr>
        <w:t xml:space="preserve">. ČR v současnosti zaostává především ve výši </w:t>
      </w:r>
      <w:r>
        <w:rPr>
          <w:rFonts w:ascii="Arial" w:eastAsia="Times New Roman" w:hAnsi="Arial" w:cs="Arial"/>
          <w:lang w:eastAsia="cs-CZ"/>
        </w:rPr>
        <w:t xml:space="preserve">investic do </w:t>
      </w:r>
      <w:r w:rsidRPr="003A13F7">
        <w:rPr>
          <w:rFonts w:ascii="Arial" w:eastAsia="Times New Roman" w:hAnsi="Arial" w:cs="Arial"/>
          <w:lang w:eastAsia="cs-CZ"/>
        </w:rPr>
        <w:t xml:space="preserve">rizikového kapitálu, </w:t>
      </w:r>
      <w:r>
        <w:rPr>
          <w:rFonts w:ascii="Arial" w:eastAsia="Times New Roman" w:hAnsi="Arial" w:cs="Arial"/>
          <w:lang w:eastAsia="cs-CZ"/>
        </w:rPr>
        <w:t xml:space="preserve">ten </w:t>
      </w:r>
      <w:r w:rsidRPr="003A13F7">
        <w:rPr>
          <w:rFonts w:ascii="Arial" w:eastAsia="Times New Roman" w:hAnsi="Arial" w:cs="Arial"/>
          <w:lang w:eastAsia="cs-CZ"/>
        </w:rPr>
        <w:t xml:space="preserve">v ČR dosahuje pouze 2,5 % průměru EU, naproti tomu Rakousko dosahuje 28,4 % průměrné hodnoty EU. Dále ČR zaostává v počtu mezinárodních patentových </w:t>
      </w:r>
      <w:r w:rsidRPr="00AC2B8A">
        <w:rPr>
          <w:rFonts w:ascii="Arial" w:eastAsia="Times New Roman" w:hAnsi="Arial" w:cs="Arial"/>
          <w:lang w:eastAsia="cs-CZ"/>
        </w:rPr>
        <w:t>přihlášek</w:t>
      </w:r>
      <w:r>
        <w:rPr>
          <w:rFonts w:ascii="Arial" w:eastAsia="Times New Roman" w:hAnsi="Arial" w:cs="Arial"/>
          <w:lang w:eastAsia="cs-CZ"/>
        </w:rPr>
        <w:t>:</w:t>
      </w:r>
      <w:r w:rsidRPr="00AC2B8A">
        <w:rPr>
          <w:rFonts w:ascii="Arial" w:eastAsia="Times New Roman" w:hAnsi="Arial" w:cs="Arial"/>
          <w:lang w:eastAsia="cs-CZ"/>
        </w:rPr>
        <w:t xml:space="preserve"> v ČR tento ukazatel dosahuje necelých 21 % průměru EU</w:t>
      </w:r>
      <w:r>
        <w:rPr>
          <w:rFonts w:ascii="Arial" w:eastAsia="Times New Roman" w:hAnsi="Arial" w:cs="Arial"/>
          <w:lang w:eastAsia="cs-CZ"/>
        </w:rPr>
        <w:t>, oproti </w:t>
      </w:r>
      <w:r w:rsidRPr="00AC2B8A">
        <w:rPr>
          <w:rFonts w:ascii="Arial" w:eastAsia="Times New Roman" w:hAnsi="Arial" w:cs="Arial"/>
          <w:lang w:eastAsia="cs-CZ"/>
        </w:rPr>
        <w:t>Rakousk</w:t>
      </w:r>
      <w:r>
        <w:rPr>
          <w:rFonts w:ascii="Arial" w:eastAsia="Times New Roman" w:hAnsi="Arial" w:cs="Arial"/>
          <w:lang w:eastAsia="cs-CZ"/>
        </w:rPr>
        <w:t>u se</w:t>
      </w:r>
      <w:r w:rsidRPr="00AC2B8A">
        <w:rPr>
          <w:rFonts w:ascii="Arial" w:eastAsia="Times New Roman" w:hAnsi="Arial" w:cs="Arial"/>
          <w:lang w:eastAsia="cs-CZ"/>
        </w:rPr>
        <w:t xml:space="preserve"> 131 %. Výdaje v podnikatelském sektoru na </w:t>
      </w:r>
      <w:proofErr w:type="spellStart"/>
      <w:r w:rsidRPr="00AC2B8A">
        <w:rPr>
          <w:rFonts w:ascii="Arial" w:eastAsia="Times New Roman" w:hAnsi="Arial" w:cs="Arial"/>
          <w:lang w:eastAsia="cs-CZ"/>
        </w:rPr>
        <w:t>VaVaI</w:t>
      </w:r>
      <w:proofErr w:type="spellEnd"/>
      <w:r w:rsidRPr="00AC2B8A">
        <w:rPr>
          <w:rFonts w:ascii="Arial" w:eastAsia="Times New Roman" w:hAnsi="Arial" w:cs="Arial"/>
          <w:lang w:eastAsia="cs-CZ"/>
        </w:rPr>
        <w:t xml:space="preserve"> dosahují v ČR cca 80 % průměru EU</w:t>
      </w:r>
      <w:r>
        <w:rPr>
          <w:rFonts w:ascii="Arial" w:eastAsia="Times New Roman" w:hAnsi="Arial" w:cs="Arial"/>
          <w:lang w:eastAsia="cs-CZ"/>
        </w:rPr>
        <w:t>,</w:t>
      </w:r>
      <w:r w:rsidRPr="00AC2B8A">
        <w:rPr>
          <w:rFonts w:ascii="Arial" w:eastAsia="Times New Roman" w:hAnsi="Arial" w:cs="Arial"/>
          <w:lang w:eastAsia="cs-CZ"/>
        </w:rPr>
        <w:t xml:space="preserve"> v Rakousku téměř 150 %. Významné rozdíly mezi ČR a AT jsou v oblasti mezinárodní (indikátor společné mezinárodní publikace) i národní spolupráce (spolupráce inovujících malých a středních podniků, společné publikace veřejných a podnikatelských subjektů).</w:t>
      </w:r>
      <w:r>
        <w:rPr>
          <w:rFonts w:ascii="Arial" w:eastAsia="Times New Roman" w:hAnsi="Arial" w:cs="Arial"/>
          <w:lang w:eastAsia="cs-CZ"/>
        </w:rPr>
        <w:t xml:space="preserve"> Rovněž v počtech inovujících MSP (jak produktových a procesních, tak organizačních) ČR za Rakouskem zaostává. To koresponduje se zjištěním, že v ČR inovují spíše zahraniční afilace a velké podniky. Produktové inovace se navíc jen málo promítají do tržeb. (viz kap. </w:t>
      </w:r>
      <w:r w:rsidR="00912533">
        <w:rPr>
          <w:rFonts w:ascii="Arial" w:eastAsia="Times New Roman" w:hAnsi="Arial" w:cs="Arial"/>
          <w:lang w:eastAsia="cs-CZ"/>
        </w:rPr>
        <w:t>8</w:t>
      </w:r>
      <w:r>
        <w:rPr>
          <w:rFonts w:ascii="Arial" w:eastAsia="Times New Roman" w:hAnsi="Arial" w:cs="Arial"/>
          <w:lang w:eastAsia="cs-CZ"/>
        </w:rPr>
        <w:t>.3).</w:t>
      </w:r>
    </w:p>
    <w:p w:rsidR="00D33F0D" w:rsidRDefault="00D33F0D" w:rsidP="00D33F0D">
      <w:pPr>
        <w:pStyle w:val="Obrzek-nadpis"/>
      </w:pPr>
      <w:r>
        <w:lastRenderedPageBreak/>
        <w:t xml:space="preserve">Obr. </w:t>
      </w:r>
      <w:r w:rsidR="00863581">
        <w:t>8</w:t>
      </w:r>
      <w:r>
        <w:t>.5</w:t>
      </w:r>
      <w:r w:rsidRPr="00A322BA">
        <w:t xml:space="preserve">: </w:t>
      </w:r>
      <w:r>
        <w:t xml:space="preserve">Hodnota SII a jeho dílčích oblastí v roce 2014 ve srovnání s Rakouskem </w:t>
      </w:r>
    </w:p>
    <w:p w:rsidR="00D33F0D" w:rsidRPr="00A322BA" w:rsidRDefault="00D33F0D" w:rsidP="00D33F0D">
      <w:pPr>
        <w:pStyle w:val="Obrzek-nadpis"/>
      </w:pPr>
      <w:r>
        <w:t>a průměrem EU</w:t>
      </w:r>
    </w:p>
    <w:p w:rsidR="00D33F0D" w:rsidRPr="00D37A5E" w:rsidRDefault="00D33F0D" w:rsidP="00D33F0D">
      <w:pPr>
        <w:spacing w:afterLines="60" w:after="144" w:line="360" w:lineRule="auto"/>
        <w:jc w:val="center"/>
        <w:rPr>
          <w:highlight w:val="yellow"/>
        </w:rPr>
      </w:pPr>
      <w:r>
        <w:rPr>
          <w:noProof/>
          <w:lang w:eastAsia="cs-CZ"/>
        </w:rPr>
        <w:drawing>
          <wp:inline distT="0" distB="0" distL="0" distR="0" wp14:anchorId="50CA3AF6" wp14:editId="7944D74A">
            <wp:extent cx="6191250" cy="2628900"/>
            <wp:effectExtent l="0" t="0" r="0" b="0"/>
            <wp:docPr id="58" name="Graf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D33F0D" w:rsidRDefault="00D33F0D" w:rsidP="00D33F0D">
      <w:pPr>
        <w:pStyle w:val="Zdroj"/>
      </w:pPr>
      <w:r w:rsidRPr="00AC2B8A">
        <w:t>Zdroj dat: IUS report 2015</w:t>
      </w:r>
    </w:p>
    <w:p w:rsidR="00D33F0D" w:rsidRPr="00AC2B8A" w:rsidRDefault="00D33F0D" w:rsidP="00D33F0D">
      <w:pPr>
        <w:spacing w:after="0" w:line="360" w:lineRule="auto"/>
        <w:jc w:val="both"/>
        <w:rPr>
          <w:rFonts w:ascii="Arial" w:eastAsia="Times New Roman" w:hAnsi="Arial" w:cs="Arial"/>
          <w:lang w:eastAsia="cs-CZ"/>
        </w:rPr>
      </w:pPr>
    </w:p>
    <w:p w:rsidR="00D33F0D" w:rsidRPr="00D37A5E" w:rsidRDefault="00D33F0D" w:rsidP="00D33F0D">
      <w:pPr>
        <w:pStyle w:val="Obrzek-nadpis"/>
        <w:rPr>
          <w:highlight w:val="yellow"/>
        </w:rPr>
      </w:pPr>
      <w:r>
        <w:lastRenderedPageBreak/>
        <w:t xml:space="preserve">Obr. </w:t>
      </w:r>
      <w:r w:rsidR="00863581">
        <w:t>8</w:t>
      </w:r>
      <w:r>
        <w:t>.6</w:t>
      </w:r>
      <w:r w:rsidRPr="00A322BA">
        <w:t>: Dílčí indikátory Inovačního indexu v ČR ve srovnání s Rakouskem v roce 2014</w:t>
      </w:r>
      <w:r>
        <w:rPr>
          <w:noProof/>
        </w:rPr>
        <w:drawing>
          <wp:inline distT="0" distB="0" distL="0" distR="0" wp14:anchorId="61042F9C" wp14:editId="78A36BEE">
            <wp:extent cx="6048375" cy="6638925"/>
            <wp:effectExtent l="0" t="0" r="0" b="0"/>
            <wp:docPr id="61" name="Graf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D33F0D" w:rsidRDefault="00D33F0D" w:rsidP="00D33F0D">
      <w:pPr>
        <w:pStyle w:val="Zdroj"/>
      </w:pPr>
      <w:r w:rsidRPr="00AC2B8A">
        <w:t>Zdroj dat: IUS report 2015</w:t>
      </w:r>
    </w:p>
    <w:p w:rsidR="00D33F0D" w:rsidRDefault="00D33F0D" w:rsidP="00D33F0D">
      <w:pPr>
        <w:pStyle w:val="Zdroj"/>
      </w:pPr>
      <w:r w:rsidRPr="00A322BA">
        <w:t>Hodnoty jsou vyjádřeny v % průměru EU (100 = EU 28)</w:t>
      </w:r>
    </w:p>
    <w:p w:rsidR="00D33F0D" w:rsidRDefault="00D33F0D" w:rsidP="00D33F0D">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 xml:space="preserve">Pokud jde o vývojové </w:t>
      </w:r>
      <w:r w:rsidRPr="006A19EC">
        <w:rPr>
          <w:rFonts w:ascii="Arial" w:eastAsia="Times New Roman" w:hAnsi="Arial" w:cs="Arial"/>
          <w:lang w:eastAsia="cs-CZ"/>
        </w:rPr>
        <w:t>trend</w:t>
      </w:r>
      <w:r>
        <w:rPr>
          <w:rFonts w:ascii="Arial" w:eastAsia="Times New Roman" w:hAnsi="Arial" w:cs="Arial"/>
          <w:lang w:eastAsia="cs-CZ"/>
        </w:rPr>
        <w:t xml:space="preserve">y jednotlivých indikátorů </w:t>
      </w:r>
      <w:r w:rsidRPr="00AC2B8A">
        <w:rPr>
          <w:rFonts w:ascii="Arial" w:eastAsia="Times New Roman" w:hAnsi="Arial" w:cs="Arial"/>
          <w:lang w:eastAsia="cs-CZ"/>
        </w:rPr>
        <w:t>(</w:t>
      </w:r>
      <w:r>
        <w:rPr>
          <w:rFonts w:ascii="Arial" w:eastAsia="Times New Roman" w:hAnsi="Arial" w:cs="Arial"/>
          <w:lang w:eastAsia="cs-CZ"/>
        </w:rPr>
        <w:t>obr.</w:t>
      </w:r>
      <w:r w:rsidRPr="00AC2B8A">
        <w:rPr>
          <w:rFonts w:ascii="Arial" w:eastAsia="Times New Roman" w:hAnsi="Arial" w:cs="Arial"/>
          <w:lang w:eastAsia="cs-CZ"/>
        </w:rPr>
        <w:t xml:space="preserve"> </w:t>
      </w:r>
      <w:r w:rsidR="00912533">
        <w:rPr>
          <w:rFonts w:ascii="Arial" w:eastAsia="Times New Roman" w:hAnsi="Arial" w:cs="Arial"/>
          <w:lang w:eastAsia="cs-CZ"/>
        </w:rPr>
        <w:t>8</w:t>
      </w:r>
      <w:r w:rsidRPr="00AC2B8A">
        <w:rPr>
          <w:rFonts w:ascii="Arial" w:eastAsia="Times New Roman" w:hAnsi="Arial" w:cs="Arial"/>
          <w:lang w:eastAsia="cs-CZ"/>
        </w:rPr>
        <w:t>.</w:t>
      </w:r>
      <w:r>
        <w:rPr>
          <w:rFonts w:ascii="Arial" w:eastAsia="Times New Roman" w:hAnsi="Arial" w:cs="Arial"/>
          <w:lang w:eastAsia="cs-CZ"/>
        </w:rPr>
        <w:t>7</w:t>
      </w:r>
      <w:r w:rsidRPr="00AC2B8A">
        <w:rPr>
          <w:rFonts w:ascii="Arial" w:eastAsia="Times New Roman" w:hAnsi="Arial" w:cs="Arial"/>
          <w:lang w:eastAsia="cs-CZ"/>
        </w:rPr>
        <w:t>)</w:t>
      </w:r>
      <w:r>
        <w:rPr>
          <w:rFonts w:ascii="Arial" w:eastAsia="Times New Roman" w:hAnsi="Arial" w:cs="Arial"/>
          <w:lang w:eastAsia="cs-CZ"/>
        </w:rPr>
        <w:t>,</w:t>
      </w:r>
      <w:r w:rsidRPr="006A19EC">
        <w:rPr>
          <w:rFonts w:ascii="Arial" w:eastAsia="Times New Roman" w:hAnsi="Arial" w:cs="Arial"/>
          <w:lang w:eastAsia="cs-CZ"/>
        </w:rPr>
        <w:t xml:space="preserve"> 15 z 25 </w:t>
      </w:r>
      <w:r>
        <w:rPr>
          <w:rFonts w:ascii="Arial" w:eastAsia="Times New Roman" w:hAnsi="Arial" w:cs="Arial"/>
          <w:lang w:eastAsia="cs-CZ"/>
        </w:rPr>
        <w:t xml:space="preserve">indikátorů </w:t>
      </w:r>
      <w:r w:rsidRPr="006A19EC">
        <w:rPr>
          <w:rFonts w:ascii="Arial" w:eastAsia="Times New Roman" w:hAnsi="Arial" w:cs="Arial"/>
          <w:lang w:eastAsia="cs-CZ"/>
        </w:rPr>
        <w:t xml:space="preserve">vykazuje meziročně rostoucí trend, zbylých 10 indikátorů dlouhodobě stagnuje či klesá. </w:t>
      </w:r>
      <w:r w:rsidRPr="00AC2B8A">
        <w:rPr>
          <w:rFonts w:ascii="Arial" w:eastAsia="Times New Roman" w:hAnsi="Arial" w:cs="Arial"/>
          <w:lang w:eastAsia="cs-CZ"/>
        </w:rPr>
        <w:t xml:space="preserve">ČR </w:t>
      </w:r>
      <w:r>
        <w:rPr>
          <w:rFonts w:ascii="Arial" w:eastAsia="Times New Roman" w:hAnsi="Arial" w:cs="Arial"/>
          <w:lang w:eastAsia="cs-CZ"/>
        </w:rPr>
        <w:t xml:space="preserve">ztrácí </w:t>
      </w:r>
      <w:r w:rsidRPr="00AC2B8A">
        <w:rPr>
          <w:rFonts w:ascii="Arial" w:eastAsia="Times New Roman" w:hAnsi="Arial" w:cs="Arial"/>
          <w:lang w:eastAsia="cs-CZ"/>
        </w:rPr>
        <w:t xml:space="preserve">zejména v oblasti rizikového kapitálu (mnohonásobně vyšší pokles než v Rakousku), ve výši výdajů na inovace bez zapojení prostředků na </w:t>
      </w:r>
      <w:proofErr w:type="spellStart"/>
      <w:r w:rsidRPr="00AC2B8A">
        <w:rPr>
          <w:rFonts w:ascii="Arial" w:eastAsia="Times New Roman" w:hAnsi="Arial" w:cs="Arial"/>
          <w:lang w:eastAsia="cs-CZ"/>
        </w:rPr>
        <w:t>VaV</w:t>
      </w:r>
      <w:proofErr w:type="spellEnd"/>
      <w:r w:rsidRPr="00AC2B8A">
        <w:rPr>
          <w:rFonts w:ascii="Arial" w:eastAsia="Times New Roman" w:hAnsi="Arial" w:cs="Arial"/>
          <w:lang w:eastAsia="cs-CZ"/>
        </w:rPr>
        <w:t xml:space="preserve">, počtu mezinárodních patentů aplikovatelných ve společenských výzvách (v ČR pokles, v Rakousku nárůst). </w:t>
      </w:r>
      <w:r>
        <w:rPr>
          <w:rFonts w:ascii="Arial" w:eastAsia="Times New Roman" w:hAnsi="Arial" w:cs="Arial"/>
          <w:lang w:eastAsia="cs-CZ"/>
        </w:rPr>
        <w:t>V</w:t>
      </w:r>
      <w:r w:rsidRPr="00AC2B8A">
        <w:rPr>
          <w:rFonts w:ascii="Arial" w:eastAsia="Times New Roman" w:hAnsi="Arial" w:cs="Arial"/>
          <w:lang w:eastAsia="cs-CZ"/>
        </w:rPr>
        <w:t xml:space="preserve">ýdaje na </w:t>
      </w:r>
      <w:proofErr w:type="spellStart"/>
      <w:r w:rsidRPr="00AC2B8A">
        <w:rPr>
          <w:rFonts w:ascii="Arial" w:eastAsia="Times New Roman" w:hAnsi="Arial" w:cs="Arial"/>
          <w:lang w:eastAsia="cs-CZ"/>
        </w:rPr>
        <w:t>VaVaI</w:t>
      </w:r>
      <w:proofErr w:type="spellEnd"/>
      <w:r w:rsidRPr="00AC2B8A">
        <w:rPr>
          <w:rFonts w:ascii="Arial" w:eastAsia="Times New Roman" w:hAnsi="Arial" w:cs="Arial"/>
          <w:lang w:eastAsia="cs-CZ"/>
        </w:rPr>
        <w:t xml:space="preserve"> v podnikatelském sektoru v ČR naopak rostou výrazně rychleji</w:t>
      </w:r>
      <w:r>
        <w:rPr>
          <w:rFonts w:ascii="Arial" w:eastAsia="Times New Roman" w:hAnsi="Arial" w:cs="Arial"/>
          <w:lang w:eastAsia="cs-CZ"/>
        </w:rPr>
        <w:t xml:space="preserve">. Přestože jsou v ČR oproti Rakousku zhruba poloviční, rychle rostoucí trend představuje určitý příslib k přiblížení se Rakousku v následujících </w:t>
      </w:r>
      <w:r>
        <w:rPr>
          <w:rFonts w:ascii="Arial" w:eastAsia="Times New Roman" w:hAnsi="Arial" w:cs="Arial"/>
          <w:lang w:eastAsia="cs-CZ"/>
        </w:rPr>
        <w:lastRenderedPageBreak/>
        <w:t>letech. Podobně je tomu v případě</w:t>
      </w:r>
      <w:r w:rsidRPr="00B65D55">
        <w:rPr>
          <w:rFonts w:ascii="Arial" w:eastAsia="Times New Roman" w:hAnsi="Arial" w:cs="Arial"/>
          <w:lang w:eastAsia="cs-CZ"/>
        </w:rPr>
        <w:t xml:space="preserve"> </w:t>
      </w:r>
      <w:r>
        <w:rPr>
          <w:rFonts w:ascii="Arial" w:eastAsia="Times New Roman" w:hAnsi="Arial" w:cs="Arial"/>
          <w:lang w:eastAsia="cs-CZ"/>
        </w:rPr>
        <w:t>z</w:t>
      </w:r>
      <w:r w:rsidRPr="006A19EC">
        <w:rPr>
          <w:rFonts w:ascii="Arial" w:eastAsia="Times New Roman" w:hAnsi="Arial" w:cs="Arial"/>
          <w:lang w:eastAsia="cs-CZ"/>
        </w:rPr>
        <w:t>ahraniční</w:t>
      </w:r>
      <w:r>
        <w:rPr>
          <w:rFonts w:ascii="Arial" w:eastAsia="Times New Roman" w:hAnsi="Arial" w:cs="Arial"/>
          <w:lang w:eastAsia="cs-CZ"/>
        </w:rPr>
        <w:t>ch</w:t>
      </w:r>
      <w:r w:rsidRPr="006A19EC">
        <w:rPr>
          <w:rFonts w:ascii="Arial" w:eastAsia="Times New Roman" w:hAnsi="Arial" w:cs="Arial"/>
          <w:lang w:eastAsia="cs-CZ"/>
        </w:rPr>
        <w:t xml:space="preserve"> příjm</w:t>
      </w:r>
      <w:r>
        <w:rPr>
          <w:rFonts w:ascii="Arial" w:eastAsia="Times New Roman" w:hAnsi="Arial" w:cs="Arial"/>
          <w:lang w:eastAsia="cs-CZ"/>
        </w:rPr>
        <w:t>ů</w:t>
      </w:r>
      <w:r w:rsidRPr="006A19EC">
        <w:rPr>
          <w:rFonts w:ascii="Arial" w:eastAsia="Times New Roman" w:hAnsi="Arial" w:cs="Arial"/>
          <w:lang w:eastAsia="cs-CZ"/>
        </w:rPr>
        <w:t xml:space="preserve"> z</w:t>
      </w:r>
      <w:r>
        <w:rPr>
          <w:rFonts w:ascii="Arial" w:eastAsia="Times New Roman" w:hAnsi="Arial" w:cs="Arial"/>
          <w:lang w:eastAsia="cs-CZ"/>
        </w:rPr>
        <w:t> </w:t>
      </w:r>
      <w:r w:rsidRPr="006A19EC">
        <w:rPr>
          <w:rFonts w:ascii="Arial" w:eastAsia="Times New Roman" w:hAnsi="Arial" w:cs="Arial"/>
          <w:lang w:eastAsia="cs-CZ"/>
        </w:rPr>
        <w:t>licencí</w:t>
      </w:r>
      <w:r>
        <w:rPr>
          <w:rFonts w:ascii="Arial" w:eastAsia="Times New Roman" w:hAnsi="Arial" w:cs="Arial"/>
          <w:lang w:eastAsia="cs-CZ"/>
        </w:rPr>
        <w:t>, u nichž vykazuje ČR</w:t>
      </w:r>
      <w:r w:rsidRPr="00AC2B8A">
        <w:rPr>
          <w:rFonts w:ascii="Arial" w:eastAsia="Times New Roman" w:hAnsi="Arial" w:cs="Arial"/>
          <w:lang w:eastAsia="cs-CZ"/>
        </w:rPr>
        <w:t xml:space="preserve"> </w:t>
      </w:r>
      <w:r>
        <w:rPr>
          <w:rFonts w:ascii="Arial" w:eastAsia="Times New Roman" w:hAnsi="Arial" w:cs="Arial"/>
          <w:lang w:eastAsia="cs-CZ"/>
        </w:rPr>
        <w:t>více než dvojnásobnou průměrnou meziroční míru</w:t>
      </w:r>
      <w:r w:rsidRPr="006A19EC">
        <w:rPr>
          <w:rFonts w:ascii="Arial" w:eastAsia="Times New Roman" w:hAnsi="Arial" w:cs="Arial"/>
          <w:lang w:eastAsia="cs-CZ"/>
        </w:rPr>
        <w:t xml:space="preserve"> růst</w:t>
      </w:r>
      <w:r>
        <w:rPr>
          <w:rFonts w:ascii="Arial" w:eastAsia="Times New Roman" w:hAnsi="Arial" w:cs="Arial"/>
          <w:lang w:eastAsia="cs-CZ"/>
        </w:rPr>
        <w:t>u</w:t>
      </w:r>
      <w:r w:rsidRPr="006A19EC">
        <w:rPr>
          <w:rFonts w:ascii="Arial" w:eastAsia="Times New Roman" w:hAnsi="Arial" w:cs="Arial"/>
          <w:lang w:eastAsia="cs-CZ"/>
        </w:rPr>
        <w:t xml:space="preserve"> </w:t>
      </w:r>
      <w:r>
        <w:rPr>
          <w:rFonts w:ascii="Arial" w:eastAsia="Times New Roman" w:hAnsi="Arial" w:cs="Arial"/>
          <w:lang w:eastAsia="cs-CZ"/>
        </w:rPr>
        <w:t>oproti Rakousku. V ČR rovněž rychleji rostou počty o</w:t>
      </w:r>
      <w:r w:rsidRPr="006A19EC">
        <w:rPr>
          <w:rFonts w:ascii="Arial" w:eastAsia="Times New Roman" w:hAnsi="Arial" w:cs="Arial"/>
          <w:lang w:eastAsia="cs-CZ"/>
        </w:rPr>
        <w:t>chrann</w:t>
      </w:r>
      <w:r>
        <w:rPr>
          <w:rFonts w:ascii="Arial" w:eastAsia="Times New Roman" w:hAnsi="Arial" w:cs="Arial"/>
          <w:lang w:eastAsia="cs-CZ"/>
        </w:rPr>
        <w:t>ých</w:t>
      </w:r>
      <w:r w:rsidRPr="006A19EC">
        <w:rPr>
          <w:rFonts w:ascii="Arial" w:eastAsia="Times New Roman" w:hAnsi="Arial" w:cs="Arial"/>
          <w:lang w:eastAsia="cs-CZ"/>
        </w:rPr>
        <w:t xml:space="preserve"> znám</w:t>
      </w:r>
      <w:r>
        <w:rPr>
          <w:rFonts w:ascii="Arial" w:eastAsia="Times New Roman" w:hAnsi="Arial" w:cs="Arial"/>
          <w:lang w:eastAsia="cs-CZ"/>
        </w:rPr>
        <w:t>e</w:t>
      </w:r>
      <w:r w:rsidRPr="006A19EC">
        <w:rPr>
          <w:rFonts w:ascii="Arial" w:eastAsia="Times New Roman" w:hAnsi="Arial" w:cs="Arial"/>
          <w:lang w:eastAsia="cs-CZ"/>
        </w:rPr>
        <w:t>k</w:t>
      </w:r>
      <w:r>
        <w:rPr>
          <w:rFonts w:ascii="Arial" w:eastAsia="Times New Roman" w:hAnsi="Arial" w:cs="Arial"/>
          <w:lang w:eastAsia="cs-CZ"/>
        </w:rPr>
        <w:t xml:space="preserve">. </w:t>
      </w:r>
    </w:p>
    <w:p w:rsidR="00D33F0D" w:rsidRPr="00A322BA" w:rsidRDefault="00D33F0D" w:rsidP="00D33F0D">
      <w:pPr>
        <w:pStyle w:val="Obrzek-nadpis"/>
      </w:pPr>
      <w:r>
        <w:t xml:space="preserve">Obr. </w:t>
      </w:r>
      <w:r w:rsidR="00863581">
        <w:t>8</w:t>
      </w:r>
      <w:r>
        <w:t>.7</w:t>
      </w:r>
      <w:r w:rsidRPr="00A322BA">
        <w:t>: Změny dílčích indikátorů Inovačního indexu v ČR ve srovnání s Rakouskem (průměrná meziroční změna za období 2002 – 2013 v %)</w:t>
      </w:r>
    </w:p>
    <w:p w:rsidR="00D33F0D" w:rsidRPr="00D37A5E" w:rsidRDefault="00D33F0D" w:rsidP="00D33F0D">
      <w:pPr>
        <w:spacing w:beforeLines="60" w:before="144" w:afterLines="60" w:after="144" w:line="240" w:lineRule="auto"/>
        <w:jc w:val="center"/>
        <w:rPr>
          <w:rFonts w:cs="Times New Roman"/>
          <w:highlight w:val="yellow"/>
        </w:rPr>
      </w:pPr>
      <w:r>
        <w:rPr>
          <w:noProof/>
          <w:lang w:eastAsia="cs-CZ"/>
        </w:rPr>
        <w:drawing>
          <wp:inline distT="0" distB="0" distL="0" distR="0" wp14:anchorId="307077C2" wp14:editId="65AF0F56">
            <wp:extent cx="5972810" cy="7539990"/>
            <wp:effectExtent l="0" t="0" r="8890" b="3810"/>
            <wp:docPr id="62" name="Graf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D33F0D" w:rsidRDefault="00D33F0D" w:rsidP="00D33F0D">
      <w:pPr>
        <w:pStyle w:val="Zdroj"/>
      </w:pPr>
      <w:r w:rsidRPr="00AC2B8A">
        <w:t>Zdroj dat: IUS report 2015</w:t>
      </w:r>
    </w:p>
    <w:p w:rsidR="00D33F0D" w:rsidRPr="00A322BA" w:rsidRDefault="00D33F0D" w:rsidP="00D33F0D">
      <w:pPr>
        <w:spacing w:after="0" w:line="360" w:lineRule="auto"/>
        <w:ind w:firstLine="708"/>
        <w:jc w:val="both"/>
      </w:pPr>
      <w:r w:rsidRPr="00D37A5E">
        <w:rPr>
          <w:highlight w:val="yellow"/>
        </w:rPr>
        <w:br w:type="page"/>
      </w:r>
      <w:r w:rsidRPr="00AC2B8A">
        <w:rPr>
          <w:rFonts w:ascii="Arial" w:eastAsia="Times New Roman" w:hAnsi="Arial" w:cs="Arial"/>
          <w:lang w:eastAsia="cs-CZ"/>
        </w:rPr>
        <w:lastRenderedPageBreak/>
        <w:t>Jak již bylo zmíněno výše</w:t>
      </w:r>
      <w:r>
        <w:rPr>
          <w:rFonts w:ascii="Arial" w:eastAsia="Times New Roman" w:hAnsi="Arial" w:cs="Arial"/>
          <w:lang w:eastAsia="cs-CZ"/>
        </w:rPr>
        <w:t>,</w:t>
      </w:r>
      <w:r w:rsidRPr="00AC2B8A">
        <w:rPr>
          <w:rFonts w:ascii="Arial" w:eastAsia="Times New Roman" w:hAnsi="Arial" w:cs="Arial"/>
          <w:lang w:eastAsia="cs-CZ"/>
        </w:rPr>
        <w:t xml:space="preserve"> ČR zaujímá z hlediska Inovačního indexu pozici ve skupině „</w:t>
      </w:r>
      <w:proofErr w:type="spellStart"/>
      <w:r w:rsidRPr="00AC2B8A">
        <w:rPr>
          <w:rFonts w:ascii="Arial" w:eastAsia="Times New Roman" w:hAnsi="Arial" w:cs="Arial"/>
          <w:lang w:eastAsia="cs-CZ"/>
        </w:rPr>
        <w:t>Moderate</w:t>
      </w:r>
      <w:proofErr w:type="spellEnd"/>
      <w:r w:rsidRPr="00AC2B8A">
        <w:rPr>
          <w:rFonts w:ascii="Arial" w:eastAsia="Times New Roman" w:hAnsi="Arial" w:cs="Arial"/>
          <w:lang w:eastAsia="cs-CZ"/>
        </w:rPr>
        <w:t xml:space="preserve"> </w:t>
      </w:r>
      <w:proofErr w:type="spellStart"/>
      <w:r w:rsidRPr="00AC2B8A">
        <w:rPr>
          <w:rFonts w:ascii="Arial" w:eastAsia="Times New Roman" w:hAnsi="Arial" w:cs="Arial"/>
          <w:lang w:eastAsia="cs-CZ"/>
        </w:rPr>
        <w:t>Innovators</w:t>
      </w:r>
      <w:proofErr w:type="spellEnd"/>
      <w:r w:rsidRPr="00AC2B8A">
        <w:rPr>
          <w:rFonts w:ascii="Arial" w:eastAsia="Times New Roman" w:hAnsi="Arial" w:cs="Arial"/>
          <w:lang w:eastAsia="cs-CZ"/>
        </w:rPr>
        <w:t xml:space="preserve">“ a na základě meziročního vývoje nelze </w:t>
      </w:r>
      <w:r>
        <w:rPr>
          <w:rFonts w:ascii="Arial" w:eastAsia="Times New Roman" w:hAnsi="Arial" w:cs="Arial"/>
          <w:lang w:eastAsia="cs-CZ"/>
        </w:rPr>
        <w:t xml:space="preserve">pravděpodobně </w:t>
      </w:r>
      <w:r w:rsidRPr="00AC2B8A">
        <w:rPr>
          <w:rFonts w:ascii="Arial" w:eastAsia="Times New Roman" w:hAnsi="Arial" w:cs="Arial"/>
          <w:lang w:eastAsia="cs-CZ"/>
        </w:rPr>
        <w:t>očekávat výrazné zlepšení tohoto stavu a případný posun do skupiny „</w:t>
      </w:r>
      <w:proofErr w:type="spellStart"/>
      <w:r w:rsidRPr="00AC2B8A">
        <w:rPr>
          <w:rFonts w:ascii="Arial" w:eastAsia="Times New Roman" w:hAnsi="Arial" w:cs="Arial"/>
          <w:lang w:eastAsia="cs-CZ"/>
        </w:rPr>
        <w:t>Innovation</w:t>
      </w:r>
      <w:proofErr w:type="spellEnd"/>
      <w:r w:rsidRPr="00AC2B8A">
        <w:rPr>
          <w:rFonts w:ascii="Arial" w:eastAsia="Times New Roman" w:hAnsi="Arial" w:cs="Arial"/>
          <w:lang w:eastAsia="cs-CZ"/>
        </w:rPr>
        <w:t xml:space="preserve"> </w:t>
      </w:r>
      <w:proofErr w:type="spellStart"/>
      <w:r w:rsidRPr="00AC2B8A">
        <w:rPr>
          <w:rFonts w:ascii="Arial" w:eastAsia="Times New Roman" w:hAnsi="Arial" w:cs="Arial"/>
          <w:lang w:eastAsia="cs-CZ"/>
        </w:rPr>
        <w:t>Followers</w:t>
      </w:r>
      <w:proofErr w:type="spellEnd"/>
      <w:r w:rsidRPr="00AC2B8A">
        <w:rPr>
          <w:rFonts w:ascii="Arial" w:eastAsia="Times New Roman" w:hAnsi="Arial" w:cs="Arial"/>
          <w:lang w:eastAsia="cs-CZ"/>
        </w:rPr>
        <w:t>“, např. na úroveň Rakouska. Postavení ČR je způsobeno především nedostatky v oblasti investic rizikového kapitálu a ochraně duševního vlastnictví formou mezinárodních patentů, částečně i v oblasti lidských zdrojů (středoškolsky vzdělaná mládež). Rovněž tempo růstu internacionalizace výzkumu a kooperace je pomalé. Pro zlepšení postavení ČR je nutno optimalizovat uvedené oblasti.</w:t>
      </w:r>
      <w:r w:rsidRPr="0059452A">
        <w:rPr>
          <w:rFonts w:ascii="Arial" w:eastAsia="Times New Roman" w:hAnsi="Arial" w:cs="Arial"/>
          <w:lang w:eastAsia="cs-CZ"/>
        </w:rPr>
        <w:t xml:space="preserve"> </w:t>
      </w:r>
    </w:p>
    <w:p w:rsidR="00D33F0D" w:rsidRDefault="00D33F0D" w:rsidP="00D33F0D">
      <w:pPr>
        <w:autoSpaceDE w:val="0"/>
        <w:autoSpaceDN w:val="0"/>
        <w:adjustRightInd w:val="0"/>
        <w:spacing w:after="120"/>
        <w:jc w:val="both"/>
        <w:rPr>
          <w:rFonts w:ascii="Arial" w:hAnsi="Arial" w:cs="Arial"/>
          <w:b/>
        </w:rPr>
      </w:pPr>
    </w:p>
    <w:p w:rsidR="00D33F0D" w:rsidRPr="00C40E01" w:rsidRDefault="00D33F0D" w:rsidP="00D33F0D">
      <w:pPr>
        <w:autoSpaceDE w:val="0"/>
        <w:autoSpaceDN w:val="0"/>
        <w:adjustRightInd w:val="0"/>
        <w:spacing w:after="120"/>
        <w:jc w:val="both"/>
        <w:rPr>
          <w:rFonts w:ascii="Arial" w:hAnsi="Arial" w:cs="Arial"/>
          <w:b/>
        </w:rPr>
      </w:pPr>
      <w:r w:rsidRPr="00C40E01">
        <w:rPr>
          <w:rFonts w:ascii="Arial" w:hAnsi="Arial" w:cs="Arial"/>
          <w:b/>
        </w:rPr>
        <w:t xml:space="preserve">Globální Index Inovace </w:t>
      </w:r>
      <w:r>
        <w:rPr>
          <w:rFonts w:ascii="Arial" w:hAnsi="Arial" w:cs="Arial"/>
          <w:b/>
        </w:rPr>
        <w:t>(GII)</w:t>
      </w:r>
    </w:p>
    <w:p w:rsidR="00D33F0D" w:rsidRPr="00C40E01" w:rsidRDefault="00D33F0D" w:rsidP="00D33F0D">
      <w:pPr>
        <w:spacing w:after="0" w:line="360" w:lineRule="auto"/>
        <w:ind w:firstLine="709"/>
        <w:jc w:val="both"/>
        <w:rPr>
          <w:rFonts w:ascii="Arial" w:hAnsi="Arial" w:cs="Arial"/>
        </w:rPr>
      </w:pPr>
      <w:r w:rsidRPr="00C40E01">
        <w:rPr>
          <w:rFonts w:ascii="Arial" w:hAnsi="Arial" w:cs="Arial"/>
        </w:rPr>
        <w:t xml:space="preserve">GII </w:t>
      </w:r>
      <w:r>
        <w:rPr>
          <w:rFonts w:ascii="Arial" w:hAnsi="Arial" w:cs="Arial"/>
        </w:rPr>
        <w:t>z</w:t>
      </w:r>
      <w:r w:rsidRPr="00C40E01">
        <w:rPr>
          <w:rFonts w:ascii="Arial" w:hAnsi="Arial" w:cs="Arial"/>
        </w:rPr>
        <w:t xml:space="preserve">koumá vliv inovačně orientovaných politik na ekonomický růst a vývoj. </w:t>
      </w:r>
      <w:r>
        <w:rPr>
          <w:rFonts w:ascii="Arial" w:hAnsi="Arial" w:cs="Arial"/>
        </w:rPr>
        <w:t>J</w:t>
      </w:r>
      <w:r w:rsidRPr="00C40E01">
        <w:rPr>
          <w:rFonts w:ascii="Arial" w:hAnsi="Arial" w:cs="Arial"/>
        </w:rPr>
        <w:t xml:space="preserve">e postaven na dvou dílčích indexech: (i) </w:t>
      </w:r>
      <w:r w:rsidRPr="00C40E01">
        <w:rPr>
          <w:rFonts w:ascii="Arial" w:hAnsi="Arial" w:cs="Arial"/>
          <w:b/>
        </w:rPr>
        <w:t>Input inovační sub-index</w:t>
      </w:r>
      <w:r w:rsidRPr="00C40E01">
        <w:rPr>
          <w:rFonts w:ascii="Arial" w:hAnsi="Arial" w:cs="Arial"/>
        </w:rPr>
        <w:t xml:space="preserve"> a (</w:t>
      </w:r>
      <w:proofErr w:type="spellStart"/>
      <w:r w:rsidRPr="00C40E01">
        <w:rPr>
          <w:rFonts w:ascii="Arial" w:hAnsi="Arial" w:cs="Arial"/>
        </w:rPr>
        <w:t>ii</w:t>
      </w:r>
      <w:proofErr w:type="spellEnd"/>
      <w:r w:rsidRPr="00C40E01">
        <w:rPr>
          <w:rFonts w:ascii="Arial" w:hAnsi="Arial" w:cs="Arial"/>
        </w:rPr>
        <w:t xml:space="preserve">) </w:t>
      </w:r>
      <w:r w:rsidRPr="00C40E01">
        <w:rPr>
          <w:rFonts w:ascii="Arial" w:hAnsi="Arial" w:cs="Arial"/>
          <w:b/>
        </w:rPr>
        <w:t>Output inovační sub-index</w:t>
      </w:r>
      <w:r w:rsidRPr="00C40E01">
        <w:rPr>
          <w:rFonts w:ascii="Arial" w:hAnsi="Arial" w:cs="Arial"/>
        </w:rPr>
        <w:t xml:space="preserve">, každý z nich sestává z několika pilířů. Poměr výstupního inovačního sub-indexu ke vstupnímu inovačnímu sub-indexu udává </w:t>
      </w:r>
      <w:r w:rsidRPr="00C40E01">
        <w:rPr>
          <w:rFonts w:ascii="Arial" w:hAnsi="Arial" w:cs="Arial"/>
          <w:b/>
        </w:rPr>
        <w:t>Ukazatel efektivity inovací</w:t>
      </w:r>
      <w:r w:rsidRPr="00C40E01">
        <w:rPr>
          <w:rFonts w:ascii="Arial" w:hAnsi="Arial" w:cs="Arial"/>
        </w:rPr>
        <w:t xml:space="preserve">. Ukazuje, kolik inovačního výstupu dostává určitá země za své vstupy. </w:t>
      </w:r>
      <w:r w:rsidRPr="00C40E01">
        <w:rPr>
          <w:rFonts w:ascii="Arial" w:hAnsi="Arial" w:cs="Arial"/>
          <w:b/>
        </w:rPr>
        <w:t xml:space="preserve">Celkový GII </w:t>
      </w:r>
      <w:r w:rsidRPr="00C40E01">
        <w:rPr>
          <w:rFonts w:ascii="Arial" w:hAnsi="Arial" w:cs="Arial"/>
        </w:rPr>
        <w:t xml:space="preserve">je průměrem vstupních a výstupních sub-indexů. Pět pilířů Vstupního sub-indexu zachycuje prvky národního hospodářství, které umožňují inovační aktivity: (1) Instituce, (2) Lidský kapitál a výzkum, (3) Infrastruktura, (4) Sofistikovanost trhu, a (5) Sofistikovanost obchodního a podnikatelského prostředí. Dva pilíře Výstupního sub-indexu zachycují </w:t>
      </w:r>
      <w:r w:rsidR="000C5E1E">
        <w:rPr>
          <w:rFonts w:ascii="Arial" w:hAnsi="Arial" w:cs="Arial"/>
        </w:rPr>
        <w:t>informace</w:t>
      </w:r>
      <w:r w:rsidRPr="00C40E01">
        <w:rPr>
          <w:rFonts w:ascii="Arial" w:hAnsi="Arial" w:cs="Arial"/>
        </w:rPr>
        <w:t xml:space="preserve"> o inovačních výstupech: (6) Znalostní a technologické výstupy a (7) Kreativní výstupy.</w:t>
      </w:r>
      <w:r>
        <w:rPr>
          <w:rFonts w:ascii="Arial" w:hAnsi="Arial" w:cs="Arial"/>
        </w:rPr>
        <w:t xml:space="preserve"> </w:t>
      </w:r>
      <w:r w:rsidRPr="00C40E01">
        <w:rPr>
          <w:rFonts w:ascii="Arial" w:hAnsi="Arial" w:cs="Arial"/>
        </w:rPr>
        <w:t>Každý pilíř se dělí na sub-pilíře a každý sub-pilíř sestává z individuálních ukazatelů (celkem 79). Výsledky sub-pilířů jsou vypočítány jako vážený průměr jednotlivých ukazatelů, výsledky pilířů pak představují vážený průměr výsledků sub-pilířů.</w:t>
      </w:r>
      <w:r>
        <w:rPr>
          <w:rFonts w:ascii="Arial" w:hAnsi="Arial" w:cs="Arial"/>
        </w:rPr>
        <w:t xml:space="preserve"> </w:t>
      </w:r>
      <w:r w:rsidRPr="00C40E01">
        <w:rPr>
          <w:rFonts w:ascii="Arial" w:hAnsi="Arial" w:cs="Arial"/>
        </w:rPr>
        <w:t>Struktura GII modelu je každý rok revidována</w:t>
      </w:r>
      <w:r>
        <w:rPr>
          <w:rFonts w:ascii="Arial" w:hAnsi="Arial" w:cs="Arial"/>
        </w:rPr>
        <w:t>.</w:t>
      </w:r>
    </w:p>
    <w:p w:rsidR="00D33F0D" w:rsidRPr="00C40E01" w:rsidRDefault="00D33F0D" w:rsidP="00D33F0D">
      <w:pPr>
        <w:spacing w:after="0" w:line="360" w:lineRule="auto"/>
        <w:ind w:firstLine="709"/>
        <w:jc w:val="both"/>
        <w:rPr>
          <w:rFonts w:ascii="Arial" w:hAnsi="Arial" w:cs="Arial"/>
        </w:rPr>
      </w:pPr>
      <w:r w:rsidRPr="00BF547F">
        <w:rPr>
          <w:rFonts w:ascii="Arial" w:hAnsi="Arial" w:cs="Arial"/>
        </w:rPr>
        <w:t xml:space="preserve">Na základě hodnot GII 2015 platí, že </w:t>
      </w:r>
      <w:r w:rsidRPr="00C40E01">
        <w:rPr>
          <w:rFonts w:ascii="Arial" w:hAnsi="Arial" w:cs="Arial"/>
        </w:rPr>
        <w:t>Švýcarsko, Velká Británie, Švédsko, Nizozemí a Spojené Státy Americké představují 5 nejinovativnějších zemí světa</w:t>
      </w:r>
      <w:r>
        <w:rPr>
          <w:rFonts w:ascii="Arial" w:hAnsi="Arial" w:cs="Arial"/>
        </w:rPr>
        <w:t xml:space="preserve">, přičemž jejich postavení na vrcholu žebříčku je meziročně konzistentní. </w:t>
      </w:r>
      <w:r w:rsidRPr="00C40E01">
        <w:rPr>
          <w:rFonts w:ascii="Arial" w:hAnsi="Arial" w:cs="Arial"/>
        </w:rPr>
        <w:t xml:space="preserve">Mezi top 10 a top 25 ekonomikami se pořadí umístění v žebříčku změnilo, ale seznam ekonomik (zemí) zůstává stále stejný (jedinou výjimkou je </w:t>
      </w:r>
      <w:r w:rsidRPr="00BF547F">
        <w:rPr>
          <w:rFonts w:ascii="Arial" w:hAnsi="Arial" w:cs="Arial"/>
        </w:rPr>
        <w:t>Česká republika</w:t>
      </w:r>
      <w:r w:rsidRPr="00C40E01">
        <w:rPr>
          <w:rFonts w:ascii="Arial" w:hAnsi="Arial" w:cs="Arial"/>
        </w:rPr>
        <w:t>, která se nově umístila mezi top 25, a Malta, která z tohoto seznamu vypadla).</w:t>
      </w:r>
    </w:p>
    <w:p w:rsidR="00D33F0D" w:rsidRPr="00C40E01" w:rsidRDefault="00D33F0D" w:rsidP="00300DC6">
      <w:pPr>
        <w:spacing w:after="0" w:line="360" w:lineRule="auto"/>
        <w:ind w:firstLine="709"/>
        <w:jc w:val="both"/>
        <w:rPr>
          <w:rFonts w:ascii="Arial" w:hAnsi="Arial" w:cs="Arial"/>
        </w:rPr>
      </w:pPr>
      <w:r w:rsidRPr="00C40E01">
        <w:rPr>
          <w:rFonts w:ascii="Arial" w:hAnsi="Arial" w:cs="Arial"/>
        </w:rPr>
        <w:t xml:space="preserve">Podle GII 2015, který hodnotí inovační výkonnost 141 zemí a ekonomik z celého světa, se </w:t>
      </w:r>
      <w:r w:rsidR="00300DC6">
        <w:rPr>
          <w:rFonts w:ascii="Arial" w:hAnsi="Arial" w:cs="Arial"/>
        </w:rPr>
        <w:t xml:space="preserve">v roce 2015 </w:t>
      </w:r>
      <w:r w:rsidRPr="00C40E01">
        <w:rPr>
          <w:rFonts w:ascii="Arial" w:hAnsi="Arial" w:cs="Arial"/>
        </w:rPr>
        <w:t>Česká republika nově umístila mezi top 25 zeměmi, a to na 24. příčce (ve srov</w:t>
      </w:r>
      <w:r>
        <w:rPr>
          <w:rFonts w:ascii="Arial" w:hAnsi="Arial" w:cs="Arial"/>
        </w:rPr>
        <w:t>nání</w:t>
      </w:r>
      <w:r w:rsidRPr="00C40E01">
        <w:rPr>
          <w:rFonts w:ascii="Arial" w:hAnsi="Arial" w:cs="Arial"/>
        </w:rPr>
        <w:t xml:space="preserve"> s </w:t>
      </w:r>
      <w:r w:rsidR="00300DC6">
        <w:rPr>
          <w:rFonts w:ascii="Arial" w:hAnsi="Arial" w:cs="Arial"/>
        </w:rPr>
        <w:t>rokem</w:t>
      </w:r>
      <w:r w:rsidRPr="00C40E01">
        <w:rPr>
          <w:rFonts w:ascii="Arial" w:hAnsi="Arial" w:cs="Arial"/>
        </w:rPr>
        <w:t xml:space="preserve"> 2014, kdy byla 26. mezi 143 zeměmi). Dosáhla skóre 51,32 z rozmezí 0-100 (nejvyšší skóre 68,30 získalo Švýcarsko, které se tak opakovaně umístilo na 1. místě, za ním Velká Brit</w:t>
      </w:r>
      <w:r w:rsidR="00300DC6">
        <w:rPr>
          <w:rFonts w:ascii="Arial" w:hAnsi="Arial" w:cs="Arial"/>
        </w:rPr>
        <w:t>ánie s 62,42 a Švédsko s 62,40).</w:t>
      </w:r>
      <w:r w:rsidRPr="00C40E01">
        <w:rPr>
          <w:rFonts w:ascii="Arial" w:hAnsi="Arial" w:cs="Arial"/>
        </w:rPr>
        <w:t xml:space="preserve"> </w:t>
      </w:r>
      <w:r w:rsidR="00300DC6">
        <w:rPr>
          <w:rFonts w:ascii="Arial" w:hAnsi="Arial" w:cs="Arial"/>
        </w:rPr>
        <w:t>D</w:t>
      </w:r>
      <w:r w:rsidRPr="00C40E01">
        <w:rPr>
          <w:rFonts w:ascii="Arial" w:hAnsi="Arial" w:cs="Arial"/>
        </w:rPr>
        <w:t xml:space="preserve">le Ukazatele inovační efektivity se </w:t>
      </w:r>
      <w:r w:rsidR="00300DC6">
        <w:rPr>
          <w:rFonts w:ascii="Arial" w:hAnsi="Arial" w:cs="Arial"/>
        </w:rPr>
        <w:t xml:space="preserve">ČR </w:t>
      </w:r>
      <w:r w:rsidRPr="00C40E01">
        <w:rPr>
          <w:rFonts w:ascii="Arial" w:hAnsi="Arial" w:cs="Arial"/>
        </w:rPr>
        <w:t xml:space="preserve">umístila na 11. místě (skóre 0,89 z rozmezí 0,0-1,02, kde nejvyšší skóre 1,02 </w:t>
      </w:r>
      <w:r w:rsidR="00300DC6">
        <w:rPr>
          <w:rFonts w:ascii="Arial" w:hAnsi="Arial" w:cs="Arial"/>
        </w:rPr>
        <w:t>měla</w:t>
      </w:r>
      <w:r w:rsidRPr="00C40E01">
        <w:rPr>
          <w:rFonts w:ascii="Arial" w:hAnsi="Arial" w:cs="Arial"/>
        </w:rPr>
        <w:t xml:space="preserve"> Angola</w:t>
      </w:r>
      <w:r w:rsidR="00300DC6">
        <w:rPr>
          <w:rFonts w:ascii="Arial" w:hAnsi="Arial" w:cs="Arial"/>
        </w:rPr>
        <w:t>,</w:t>
      </w:r>
      <w:r w:rsidRPr="00C40E01">
        <w:rPr>
          <w:rFonts w:ascii="Arial" w:hAnsi="Arial" w:cs="Arial"/>
        </w:rPr>
        <w:t xml:space="preserve"> druhé </w:t>
      </w:r>
      <w:r w:rsidR="00300DC6">
        <w:rPr>
          <w:rFonts w:ascii="Arial" w:hAnsi="Arial" w:cs="Arial"/>
        </w:rPr>
        <w:t xml:space="preserve">bylo </w:t>
      </w:r>
      <w:r w:rsidRPr="00C40E01">
        <w:rPr>
          <w:rFonts w:ascii="Arial" w:hAnsi="Arial" w:cs="Arial"/>
        </w:rPr>
        <w:t>Švýcarsko s</w:t>
      </w:r>
      <w:r w:rsidR="00300DC6">
        <w:rPr>
          <w:rFonts w:ascii="Arial" w:hAnsi="Arial" w:cs="Arial"/>
        </w:rPr>
        <w:t xml:space="preserve"> hodnotou </w:t>
      </w:r>
      <w:r w:rsidRPr="00C40E01">
        <w:rPr>
          <w:rFonts w:ascii="Arial" w:hAnsi="Arial" w:cs="Arial"/>
        </w:rPr>
        <w:t xml:space="preserve">1,01). </w:t>
      </w:r>
    </w:p>
    <w:p w:rsidR="00D33F0D" w:rsidRDefault="00D33F0D" w:rsidP="00300DC6">
      <w:pPr>
        <w:autoSpaceDE w:val="0"/>
        <w:autoSpaceDN w:val="0"/>
        <w:adjustRightInd w:val="0"/>
        <w:spacing w:after="0" w:line="360" w:lineRule="auto"/>
        <w:ind w:firstLine="709"/>
        <w:jc w:val="both"/>
        <w:rPr>
          <w:rFonts w:ascii="Arial" w:hAnsi="Arial" w:cs="Arial"/>
        </w:rPr>
      </w:pPr>
      <w:r w:rsidRPr="00300DC6">
        <w:rPr>
          <w:rFonts w:ascii="Arial" w:hAnsi="Arial" w:cs="Arial"/>
        </w:rPr>
        <w:t>Stručný přehled výsledků GII 2015 průzkumu pro Českou republiku</w:t>
      </w:r>
      <w:r w:rsidRPr="00C40E01">
        <w:rPr>
          <w:rFonts w:ascii="Arial" w:hAnsi="Arial" w:cs="Arial"/>
        </w:rPr>
        <w:t xml:space="preserve">, dle </w:t>
      </w:r>
      <w:r>
        <w:rPr>
          <w:rFonts w:ascii="Arial" w:hAnsi="Arial" w:cs="Arial"/>
        </w:rPr>
        <w:t>sedmi</w:t>
      </w:r>
      <w:r w:rsidRPr="00C40E01">
        <w:rPr>
          <w:rFonts w:ascii="Arial" w:hAnsi="Arial" w:cs="Arial"/>
        </w:rPr>
        <w:t xml:space="preserve"> pilířů a relevantních ukazatelů, je uveden v následující tabulce</w:t>
      </w:r>
      <w:r>
        <w:rPr>
          <w:rFonts w:ascii="Arial" w:hAnsi="Arial" w:cs="Arial"/>
        </w:rPr>
        <w:t xml:space="preserve"> </w:t>
      </w:r>
      <w:r w:rsidR="00912533">
        <w:rPr>
          <w:rFonts w:ascii="Arial" w:hAnsi="Arial" w:cs="Arial"/>
        </w:rPr>
        <w:t>8</w:t>
      </w:r>
      <w:r>
        <w:rPr>
          <w:rFonts w:ascii="Arial" w:hAnsi="Arial" w:cs="Arial"/>
        </w:rPr>
        <w:t>.8</w:t>
      </w:r>
      <w:r w:rsidRPr="00C40E01">
        <w:rPr>
          <w:rFonts w:ascii="Arial" w:hAnsi="Arial" w:cs="Arial"/>
        </w:rPr>
        <w:t xml:space="preserve">. </w:t>
      </w:r>
      <w:r w:rsidR="00300DC6">
        <w:rPr>
          <w:rFonts w:ascii="Arial" w:hAnsi="Arial" w:cs="Arial"/>
        </w:rPr>
        <w:t>Tabulka z</w:t>
      </w:r>
      <w:r w:rsidRPr="00C40E01">
        <w:rPr>
          <w:rFonts w:ascii="Arial" w:hAnsi="Arial" w:cs="Arial"/>
        </w:rPr>
        <w:t xml:space="preserve">miňuje pouze </w:t>
      </w:r>
      <w:r w:rsidR="00300DC6" w:rsidRPr="00C40E01">
        <w:rPr>
          <w:rFonts w:ascii="Arial" w:hAnsi="Arial" w:cs="Arial"/>
        </w:rPr>
        <w:t xml:space="preserve">ty </w:t>
      </w:r>
      <w:r w:rsidRPr="00C40E01">
        <w:rPr>
          <w:rFonts w:ascii="Arial" w:hAnsi="Arial" w:cs="Arial"/>
        </w:rPr>
        <w:t>ukazatele z celkových 79, které byly vyhodnoceny buď jako silná stránka české ekonomiky, nebo jako její slabá stránka. Ukazatele, které dosáhly průměrných hodnot, jsou vynechány</w:t>
      </w:r>
      <w:r>
        <w:rPr>
          <w:rFonts w:ascii="Arial" w:hAnsi="Arial" w:cs="Arial"/>
        </w:rPr>
        <w:t xml:space="preserve">. </w:t>
      </w:r>
    </w:p>
    <w:p w:rsidR="00D33F0D" w:rsidRPr="00A322BA" w:rsidRDefault="00D33F0D" w:rsidP="00D33F0D">
      <w:pPr>
        <w:pStyle w:val="Obrzek-nadpis"/>
      </w:pPr>
      <w:r>
        <w:lastRenderedPageBreak/>
        <w:t xml:space="preserve">Tab. </w:t>
      </w:r>
      <w:r w:rsidR="00863581">
        <w:t>8</w:t>
      </w:r>
      <w:r>
        <w:t>.8</w:t>
      </w:r>
      <w:r w:rsidRPr="00A322BA">
        <w:t xml:space="preserve">: </w:t>
      </w:r>
      <w:r>
        <w:t>P</w:t>
      </w:r>
      <w:r>
        <w:rPr>
          <w:rFonts w:cs="Arial"/>
        </w:rPr>
        <w:t>řehled výsledků ČR</w:t>
      </w:r>
    </w:p>
    <w:tbl>
      <w:tblPr>
        <w:tblStyle w:val="Mkatabulky"/>
        <w:tblW w:w="9322" w:type="dxa"/>
        <w:tblLayout w:type="fixed"/>
        <w:tblCellMar>
          <w:left w:w="28" w:type="dxa"/>
          <w:right w:w="28" w:type="dxa"/>
        </w:tblCellMar>
        <w:tblLook w:val="04A0" w:firstRow="1" w:lastRow="0" w:firstColumn="1" w:lastColumn="0" w:noHBand="0" w:noVBand="1"/>
      </w:tblPr>
      <w:tblGrid>
        <w:gridCol w:w="5698"/>
        <w:gridCol w:w="1073"/>
        <w:gridCol w:w="1275"/>
        <w:gridCol w:w="1276"/>
      </w:tblGrid>
      <w:tr w:rsidR="00D33F0D" w:rsidRPr="00C40E01" w:rsidTr="00995ED6">
        <w:tc>
          <w:tcPr>
            <w:tcW w:w="5698" w:type="dxa"/>
            <w:shd w:val="clear" w:color="auto" w:fill="D9D9D9" w:themeFill="background1" w:themeFillShade="D9"/>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 xml:space="preserve">Pilíře / Sub-pilíře / </w:t>
            </w:r>
            <w:r w:rsidRPr="00C40E01">
              <w:rPr>
                <w:rFonts w:ascii="Arial" w:hAnsi="Arial" w:cs="Arial"/>
                <w:b/>
                <w:i/>
                <w:sz w:val="18"/>
                <w:szCs w:val="18"/>
              </w:rPr>
              <w:t>Indikátory</w:t>
            </w:r>
          </w:p>
        </w:tc>
        <w:tc>
          <w:tcPr>
            <w:tcW w:w="1073" w:type="dxa"/>
            <w:shd w:val="clear" w:color="auto" w:fill="D9D9D9" w:themeFill="background1" w:themeFillShade="D9"/>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b/>
                <w:sz w:val="18"/>
                <w:szCs w:val="18"/>
              </w:rPr>
              <w:t xml:space="preserve">skóre </w:t>
            </w:r>
            <w:r w:rsidRPr="00C40E01">
              <w:rPr>
                <w:rFonts w:ascii="Arial" w:hAnsi="Arial" w:cs="Arial"/>
                <w:b/>
                <w:sz w:val="18"/>
                <w:szCs w:val="18"/>
              </w:rPr>
              <w:br/>
            </w:r>
            <w:r w:rsidRPr="00C40E01">
              <w:rPr>
                <w:rFonts w:ascii="Arial" w:hAnsi="Arial" w:cs="Arial"/>
                <w:sz w:val="18"/>
                <w:szCs w:val="18"/>
              </w:rPr>
              <w:t>(0-100)</w:t>
            </w:r>
          </w:p>
        </w:tc>
        <w:tc>
          <w:tcPr>
            <w:tcW w:w="1275" w:type="dxa"/>
            <w:shd w:val="clear" w:color="auto" w:fill="D9D9D9" w:themeFill="background1" w:themeFillShade="D9"/>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b/>
                <w:sz w:val="18"/>
                <w:szCs w:val="18"/>
              </w:rPr>
              <w:t>pozice</w:t>
            </w:r>
            <w:r w:rsidRPr="00C40E01">
              <w:rPr>
                <w:rFonts w:ascii="Arial" w:hAnsi="Arial" w:cs="Arial"/>
                <w:sz w:val="18"/>
                <w:szCs w:val="18"/>
              </w:rPr>
              <w:t xml:space="preserve"> </w:t>
            </w:r>
          </w:p>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(ze 141)</w:t>
            </w:r>
          </w:p>
        </w:tc>
        <w:tc>
          <w:tcPr>
            <w:tcW w:w="1276" w:type="dxa"/>
            <w:shd w:val="clear" w:color="auto" w:fill="D9D9D9" w:themeFill="background1" w:themeFillShade="D9"/>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w:t>
            </w:r>
          </w:p>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slabá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1. Instituce</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76,4</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32</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1.1 Politické prostředí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77,6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27</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politická stabilita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90,2</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15</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1.2 Regulatorní prostředí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75,6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40</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cena propouštění pro nadbytečnost, týdny platu</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20,3</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93</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1.3 Podnikatelské prostředí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75,9</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43</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snadnost začít podnikat</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82,6</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90</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daňová povinnost</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67,7</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93</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2. Lidský kapitál &amp; výzkum</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45,8</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29</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 xml:space="preserve">2.1 Vzdělání </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52,5</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39</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výdaje na vzdělání, %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72</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2.2 Terciální vzdělávání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44,5</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33</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rPr>
          <w:trHeight w:val="70"/>
        </w:trPr>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absolventi vědy &amp; techniky, %</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21,6%</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41</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2.3 Výzkum a vývoj (</w:t>
            </w:r>
            <w:proofErr w:type="spellStart"/>
            <w:r w:rsidRPr="00C40E01">
              <w:rPr>
                <w:rFonts w:ascii="Arial" w:hAnsi="Arial" w:cs="Arial"/>
                <w:sz w:val="18"/>
                <w:szCs w:val="18"/>
              </w:rPr>
              <w:t>VaV</w:t>
            </w:r>
            <w:proofErr w:type="spellEnd"/>
            <w:r w:rsidRPr="00C40E01">
              <w:rPr>
                <w:rFonts w:ascii="Arial" w:hAnsi="Arial" w:cs="Arial"/>
                <w:sz w:val="18"/>
                <w:szCs w:val="18"/>
              </w:rPr>
              <w:t>)</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40,5</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26</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 xml:space="preserve">hrubé výdaje na </w:t>
            </w:r>
            <w:proofErr w:type="spellStart"/>
            <w:r w:rsidRPr="00C40E01">
              <w:rPr>
                <w:rFonts w:ascii="Arial" w:hAnsi="Arial" w:cs="Arial"/>
                <w:i/>
                <w:sz w:val="18"/>
                <w:szCs w:val="18"/>
              </w:rPr>
              <w:t>VaV</w:t>
            </w:r>
            <w:proofErr w:type="spellEnd"/>
            <w:r w:rsidRPr="00C40E01">
              <w:rPr>
                <w:rFonts w:ascii="Arial" w:hAnsi="Arial" w:cs="Arial"/>
                <w:i/>
                <w:sz w:val="18"/>
                <w:szCs w:val="18"/>
              </w:rPr>
              <w:t>, %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2,0%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19</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3. Infrastruktura</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51,0</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30</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3.1 Informační a komunikační technologie (ICT)</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46,8</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71</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dostupnost služeb vládních institucí přes internet</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37,0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87</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využívání internetu pro komunikaci s občany</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25,5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110</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3.2 Všeobecná infrastruktura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43,0</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32</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hrubá tvorba kapitálu, %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22,4%</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60</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3.3 Ekologická udržitelnost</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63,0</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6</w:t>
            </w:r>
          </w:p>
        </w:tc>
        <w:tc>
          <w:tcPr>
            <w:tcW w:w="1276" w:type="dxa"/>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 xml:space="preserve">HDP/jednotka užití energie, 2005 PPP$/kg nafta </w:t>
            </w:r>
            <w:proofErr w:type="spellStart"/>
            <w:r w:rsidRPr="00C40E01">
              <w:rPr>
                <w:rFonts w:ascii="Arial" w:hAnsi="Arial" w:cs="Arial"/>
                <w:i/>
                <w:sz w:val="18"/>
                <w:szCs w:val="18"/>
              </w:rPr>
              <w:t>ekviv</w:t>
            </w:r>
            <w:proofErr w:type="spellEnd"/>
            <w:r w:rsidRPr="00C40E01">
              <w:rPr>
                <w:rFonts w:ascii="Arial" w:hAnsi="Arial" w:cs="Arial"/>
                <w:i/>
                <w:sz w:val="18"/>
                <w:szCs w:val="18"/>
              </w:rPr>
              <w:t>.</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91</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ekologické chování</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81,5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5</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ISO 14001 ekologické certifikáty / mld. PPP</w:t>
            </w:r>
            <w:r w:rsidRPr="00C40E01">
              <w:rPr>
                <w:rFonts w:ascii="Arial" w:hAnsi="Arial" w:cs="Arial"/>
                <w:i/>
                <w:sz w:val="18"/>
                <w:szCs w:val="18"/>
                <w:lang w:val="en-US"/>
              </w:rPr>
              <w:t>$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15,8</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4. Sofistikovanost trhu</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52,4</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45</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4.1 Úvěry</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43,6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37</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4.2 Investice</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25,8</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118</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snadnost ochrany investorů</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54,2</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75</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tržní kapitalizace, %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18,0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74</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4.3 Obchod &amp; konkurence</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87,8</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13</w:t>
            </w:r>
          </w:p>
        </w:tc>
        <w:tc>
          <w:tcPr>
            <w:tcW w:w="1276" w:type="dxa"/>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 xml:space="preserve">5. Sofistikovanost </w:t>
            </w:r>
            <w:proofErr w:type="gramStart"/>
            <w:r w:rsidRPr="00C40E01">
              <w:rPr>
                <w:rFonts w:ascii="Arial" w:hAnsi="Arial" w:cs="Arial"/>
                <w:b/>
                <w:sz w:val="18"/>
                <w:szCs w:val="18"/>
              </w:rPr>
              <w:t>obchod./podnikatel</w:t>
            </w:r>
            <w:proofErr w:type="gramEnd"/>
            <w:r w:rsidRPr="00C40E01">
              <w:rPr>
                <w:rFonts w:ascii="Arial" w:hAnsi="Arial" w:cs="Arial"/>
                <w:b/>
                <w:sz w:val="18"/>
                <w:szCs w:val="18"/>
              </w:rPr>
              <w:t>. prostředí</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45,3</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28</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5.1 Odborní pracovníci</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53,7</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32</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zaměstnané ženy s vyšším vzděláním, % z celku</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10,6%</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59</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5.2 Inovační vazby</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36,4</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53</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JV-dohody strategických partnerství/</w:t>
            </w:r>
            <w:proofErr w:type="spellStart"/>
            <w:r w:rsidRPr="00C40E01">
              <w:rPr>
                <w:rFonts w:ascii="Arial" w:hAnsi="Arial" w:cs="Arial"/>
                <w:i/>
                <w:sz w:val="18"/>
                <w:szCs w:val="18"/>
              </w:rPr>
              <w:t>tr</w:t>
            </w:r>
            <w:proofErr w:type="spellEnd"/>
            <w:r w:rsidRPr="00C40E01">
              <w:rPr>
                <w:rFonts w:ascii="Arial" w:hAnsi="Arial" w:cs="Arial"/>
                <w:i/>
                <w:sz w:val="18"/>
                <w:szCs w:val="18"/>
              </w:rPr>
              <w:t xml:space="preserve"> PPP</w:t>
            </w:r>
            <w:r w:rsidRPr="00C40E01">
              <w:rPr>
                <w:rFonts w:ascii="Arial" w:hAnsi="Arial" w:cs="Arial"/>
                <w:i/>
                <w:sz w:val="18"/>
                <w:szCs w:val="18"/>
                <w:lang w:val="en-US"/>
              </w:rPr>
              <w:t>$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0,0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65</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5.3 Vstřebávání znalostí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45,9</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24</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 xml:space="preserve">dovozy špičkových techn. bez re-importu, % </w:t>
            </w:r>
            <w:proofErr w:type="spellStart"/>
            <w:r w:rsidRPr="00C40E01">
              <w:rPr>
                <w:rFonts w:ascii="Arial" w:hAnsi="Arial" w:cs="Arial"/>
                <w:i/>
                <w:sz w:val="18"/>
                <w:szCs w:val="18"/>
              </w:rPr>
              <w:t>celk</w:t>
            </w:r>
            <w:proofErr w:type="spellEnd"/>
            <w:r w:rsidRPr="00C40E01">
              <w:rPr>
                <w:rFonts w:ascii="Arial" w:hAnsi="Arial" w:cs="Arial"/>
                <w:i/>
                <w:sz w:val="18"/>
                <w:szCs w:val="18"/>
              </w:rPr>
              <w:t>. obch.</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15,7%</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12</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6. Znalostní a technologické výstupy</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46,7</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15</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6.1 Znalostní tvorba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48,0</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16</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vědecko-technické články/ mld. PPP$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35,4</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18</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6.2 Znalostní dopady</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49,6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21</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tempo růstu PPP$ HDP/pracovník, %</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-0,4%</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105</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ISO 9001 certifikáty kvality/mld. PPP</w:t>
            </w:r>
            <w:r w:rsidRPr="00C40E01">
              <w:rPr>
                <w:rFonts w:ascii="Arial" w:hAnsi="Arial" w:cs="Arial"/>
                <w:i/>
                <w:sz w:val="18"/>
                <w:szCs w:val="18"/>
                <w:lang w:val="en-US"/>
              </w:rPr>
              <w:t>$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41,7</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6.3 Rozšiřování znalostí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42,4</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29</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 xml:space="preserve">vývozy špičkových techn. bez re-exportu, % </w:t>
            </w:r>
            <w:proofErr w:type="spellStart"/>
            <w:r w:rsidRPr="00C40E01">
              <w:rPr>
                <w:rFonts w:ascii="Arial" w:hAnsi="Arial" w:cs="Arial"/>
                <w:i/>
                <w:sz w:val="18"/>
                <w:szCs w:val="18"/>
              </w:rPr>
              <w:t>celk</w:t>
            </w:r>
            <w:proofErr w:type="spellEnd"/>
            <w:r w:rsidRPr="00C40E01">
              <w:rPr>
                <w:rFonts w:ascii="Arial" w:hAnsi="Arial" w:cs="Arial"/>
                <w:i/>
                <w:sz w:val="18"/>
                <w:szCs w:val="18"/>
              </w:rPr>
              <w:t>. obch.</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16,3%</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9</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7. Tvůrčí výstupy</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50,2</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21</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7.1 Nehmotná aktiva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55,4</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28</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 xml:space="preserve">aplikace obch. </w:t>
            </w:r>
            <w:proofErr w:type="gramStart"/>
            <w:r w:rsidRPr="00C40E01">
              <w:rPr>
                <w:rFonts w:ascii="Arial" w:hAnsi="Arial" w:cs="Arial"/>
                <w:i/>
                <w:sz w:val="18"/>
                <w:szCs w:val="18"/>
              </w:rPr>
              <w:t>značek</w:t>
            </w:r>
            <w:proofErr w:type="gramEnd"/>
            <w:r w:rsidRPr="00C40E01">
              <w:rPr>
                <w:rFonts w:ascii="Arial" w:hAnsi="Arial" w:cs="Arial"/>
                <w:i/>
                <w:sz w:val="18"/>
                <w:szCs w:val="18"/>
              </w:rPr>
              <w:t xml:space="preserve"> dom. obyvatel/mld. PPP</w:t>
            </w:r>
            <w:r w:rsidRPr="00C40E01">
              <w:rPr>
                <w:rFonts w:ascii="Arial" w:hAnsi="Arial" w:cs="Arial"/>
                <w:i/>
                <w:sz w:val="18"/>
                <w:szCs w:val="18"/>
                <w:lang w:val="en-US"/>
              </w:rPr>
              <w:t>$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109,5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7.2 Kreativní zboží a služby</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41,6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12</w:t>
            </w:r>
          </w:p>
        </w:tc>
        <w:tc>
          <w:tcPr>
            <w:tcW w:w="1276" w:type="dxa"/>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 xml:space="preserve">vývozy kreativního zboží, % </w:t>
            </w:r>
            <w:proofErr w:type="spellStart"/>
            <w:r w:rsidRPr="00C40E01">
              <w:rPr>
                <w:rFonts w:ascii="Arial" w:hAnsi="Arial" w:cs="Arial"/>
                <w:i/>
                <w:sz w:val="18"/>
                <w:szCs w:val="18"/>
              </w:rPr>
              <w:t>celk</w:t>
            </w:r>
            <w:proofErr w:type="spellEnd"/>
            <w:r w:rsidRPr="00C40E01">
              <w:rPr>
                <w:rFonts w:ascii="Arial" w:hAnsi="Arial" w:cs="Arial"/>
                <w:i/>
                <w:sz w:val="18"/>
                <w:szCs w:val="18"/>
              </w:rPr>
              <w:t>. obchodu</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10,1%</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7.3 Online kreativita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48,6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24</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kód země – špičkové domény/tis. obyv. ve věku 15-69</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62,5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15</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 xml:space="preserve">nahrávky videí na </w:t>
            </w:r>
            <w:proofErr w:type="spellStart"/>
            <w:r w:rsidRPr="00C40E01">
              <w:rPr>
                <w:rFonts w:ascii="Arial" w:hAnsi="Arial" w:cs="Arial"/>
                <w:i/>
                <w:sz w:val="18"/>
                <w:szCs w:val="18"/>
              </w:rPr>
              <w:t>YouTube</w:t>
            </w:r>
            <w:proofErr w:type="spellEnd"/>
            <w:r w:rsidRPr="00C40E01">
              <w:rPr>
                <w:rFonts w:ascii="Arial" w:hAnsi="Arial" w:cs="Arial"/>
                <w:i/>
                <w:sz w:val="18"/>
                <w:szCs w:val="18"/>
              </w:rPr>
              <w:t>/obyv. ve věku 15-69</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89,0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16</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p>
        </w:tc>
      </w:tr>
    </w:tbl>
    <w:p w:rsidR="00D33F0D" w:rsidRPr="00C40E01" w:rsidRDefault="00D33F0D" w:rsidP="00D33F0D">
      <w:pPr>
        <w:pStyle w:val="Zdroj"/>
        <w:rPr>
          <w:rFonts w:cs="Arial"/>
        </w:rPr>
      </w:pPr>
      <w:r w:rsidRPr="00C40E01">
        <w:rPr>
          <w:rFonts w:cs="Arial"/>
        </w:rPr>
        <w:t>Zdroj: GII report 2016</w:t>
      </w:r>
    </w:p>
    <w:p w:rsidR="00D33F0D" w:rsidRDefault="00D33F0D" w:rsidP="00D33F0D">
      <w:pPr>
        <w:spacing w:after="0" w:line="360" w:lineRule="auto"/>
        <w:ind w:firstLine="708"/>
        <w:jc w:val="both"/>
        <w:rPr>
          <w:rFonts w:ascii="Arial" w:hAnsi="Arial" w:cs="Arial"/>
        </w:rPr>
      </w:pPr>
      <w:r>
        <w:rPr>
          <w:rFonts w:ascii="Arial" w:hAnsi="Arial" w:cs="Arial"/>
        </w:rPr>
        <w:t xml:space="preserve">Z tabulky 7.8 je patrné, že 9 indikátorů bylo hodnoceno jako silná stránka a 10 indikátorů jako slabá stránka. Ve srovnání s ostatními státy ČR dosahovala relativně vysoké pozice u pod-pilíře 3.3. Ekologická udržitelnost. Dále je ČR na 13. pozici u pod-pilíře 4.3 Obchod a konkurence. </w:t>
      </w:r>
      <w:r>
        <w:rPr>
          <w:rFonts w:ascii="Arial" w:hAnsi="Arial" w:cs="Arial"/>
        </w:rPr>
        <w:lastRenderedPageBreak/>
        <w:t>U indikátoru 6.3 D</w:t>
      </w:r>
      <w:r w:rsidRPr="001464BE">
        <w:rPr>
          <w:rFonts w:ascii="Arial" w:hAnsi="Arial" w:cs="Arial"/>
        </w:rPr>
        <w:t>ovozy špičkových techn</w:t>
      </w:r>
      <w:r w:rsidR="00300DC6">
        <w:rPr>
          <w:rFonts w:ascii="Arial" w:hAnsi="Arial" w:cs="Arial"/>
        </w:rPr>
        <w:t>ologií</w:t>
      </w:r>
      <w:r w:rsidRPr="001464BE">
        <w:rPr>
          <w:rFonts w:ascii="Arial" w:hAnsi="Arial" w:cs="Arial"/>
        </w:rPr>
        <w:t xml:space="preserve"> bez re-importu</w:t>
      </w:r>
      <w:r w:rsidR="00300DC6">
        <w:rPr>
          <w:rFonts w:ascii="Arial" w:hAnsi="Arial" w:cs="Arial"/>
        </w:rPr>
        <w:t xml:space="preserve"> </w:t>
      </w:r>
      <w:r>
        <w:rPr>
          <w:rFonts w:ascii="Arial" w:hAnsi="Arial" w:cs="Arial"/>
        </w:rPr>
        <w:t xml:space="preserve">se ČR umístila na 12. místě. Velmi dobrou pozici obsadila </w:t>
      </w:r>
      <w:r w:rsidR="00300DC6">
        <w:rPr>
          <w:rFonts w:ascii="Arial" w:hAnsi="Arial" w:cs="Arial"/>
        </w:rPr>
        <w:t>také v pilíři</w:t>
      </w:r>
      <w:r>
        <w:rPr>
          <w:rFonts w:ascii="Arial" w:hAnsi="Arial" w:cs="Arial"/>
        </w:rPr>
        <w:t xml:space="preserve"> </w:t>
      </w:r>
      <w:r w:rsidRPr="0090088E">
        <w:rPr>
          <w:rFonts w:ascii="Arial" w:hAnsi="Arial" w:cs="Arial"/>
        </w:rPr>
        <w:t>Znalostní a technologické výstupy</w:t>
      </w:r>
      <w:r>
        <w:rPr>
          <w:rFonts w:ascii="Arial" w:hAnsi="Arial" w:cs="Arial"/>
        </w:rPr>
        <w:t xml:space="preserve"> a pod-pilíř</w:t>
      </w:r>
      <w:r w:rsidR="00300DC6">
        <w:rPr>
          <w:rFonts w:ascii="Arial" w:hAnsi="Arial" w:cs="Arial"/>
        </w:rPr>
        <w:t>i</w:t>
      </w:r>
      <w:r>
        <w:rPr>
          <w:rFonts w:ascii="Arial" w:hAnsi="Arial" w:cs="Arial"/>
        </w:rPr>
        <w:t xml:space="preserve"> </w:t>
      </w:r>
      <w:r w:rsidRPr="0090088E">
        <w:rPr>
          <w:rFonts w:ascii="Arial" w:hAnsi="Arial" w:cs="Arial"/>
        </w:rPr>
        <w:t>Kreativní zboží a služby</w:t>
      </w:r>
      <w:r>
        <w:rPr>
          <w:rFonts w:ascii="Arial" w:hAnsi="Arial" w:cs="Arial"/>
        </w:rPr>
        <w:t xml:space="preserve">. Nejhůře se ČR umístila na 118. pozici, konkrétně </w:t>
      </w:r>
      <w:r w:rsidR="00300DC6">
        <w:rPr>
          <w:rFonts w:ascii="Arial" w:hAnsi="Arial" w:cs="Arial"/>
        </w:rPr>
        <w:t>v případě</w:t>
      </w:r>
      <w:r>
        <w:rPr>
          <w:rFonts w:ascii="Arial" w:hAnsi="Arial" w:cs="Arial"/>
        </w:rPr>
        <w:t xml:space="preserve"> </w:t>
      </w:r>
      <w:proofErr w:type="spellStart"/>
      <w:r>
        <w:rPr>
          <w:rFonts w:ascii="Arial" w:hAnsi="Arial" w:cs="Arial"/>
        </w:rPr>
        <w:t>podpilíře</w:t>
      </w:r>
      <w:proofErr w:type="spellEnd"/>
      <w:r>
        <w:rPr>
          <w:rFonts w:ascii="Arial" w:hAnsi="Arial" w:cs="Arial"/>
        </w:rPr>
        <w:t xml:space="preserve"> 4.2 Investice</w:t>
      </w:r>
      <w:r w:rsidR="00300DC6">
        <w:rPr>
          <w:rFonts w:ascii="Arial" w:hAnsi="Arial" w:cs="Arial"/>
        </w:rPr>
        <w:t>,</w:t>
      </w:r>
      <w:r>
        <w:rPr>
          <w:rFonts w:ascii="Arial" w:hAnsi="Arial" w:cs="Arial"/>
        </w:rPr>
        <w:t xml:space="preserve"> a dále na 110. pozici u indikátoru V</w:t>
      </w:r>
      <w:r w:rsidRPr="0039705B">
        <w:rPr>
          <w:rFonts w:ascii="Arial" w:hAnsi="Arial" w:cs="Arial"/>
        </w:rPr>
        <w:t>yužívání internetu pro komunikaci s</w:t>
      </w:r>
      <w:r w:rsidR="00300DC6">
        <w:rPr>
          <w:rFonts w:ascii="Arial" w:hAnsi="Arial" w:cs="Arial"/>
        </w:rPr>
        <w:t> </w:t>
      </w:r>
      <w:r w:rsidRPr="0039705B">
        <w:rPr>
          <w:rFonts w:ascii="Arial" w:hAnsi="Arial" w:cs="Arial"/>
        </w:rPr>
        <w:t>občany</w:t>
      </w:r>
      <w:r w:rsidR="00300DC6">
        <w:rPr>
          <w:rFonts w:ascii="Arial" w:hAnsi="Arial" w:cs="Arial"/>
        </w:rPr>
        <w:t xml:space="preserve"> náležejícího</w:t>
      </w:r>
      <w:r>
        <w:rPr>
          <w:rFonts w:ascii="Arial" w:hAnsi="Arial" w:cs="Arial"/>
        </w:rPr>
        <w:t xml:space="preserve"> do pilíře 3. Infrastruktura. Další slabé stránky byly detekovány prostřednictvím indikátorů: Z</w:t>
      </w:r>
      <w:r w:rsidRPr="00C51974">
        <w:rPr>
          <w:rFonts w:ascii="Arial" w:hAnsi="Arial" w:cs="Arial"/>
        </w:rPr>
        <w:t>amě</w:t>
      </w:r>
      <w:r w:rsidR="00300DC6">
        <w:rPr>
          <w:rFonts w:ascii="Arial" w:hAnsi="Arial" w:cs="Arial"/>
        </w:rPr>
        <w:t>stnané ženy s vyšším vzděláním</w:t>
      </w:r>
      <w:r>
        <w:rPr>
          <w:rFonts w:ascii="Arial" w:hAnsi="Arial" w:cs="Arial"/>
        </w:rPr>
        <w:t>, Snadnost podnikat</w:t>
      </w:r>
      <w:r w:rsidR="00300DC6">
        <w:rPr>
          <w:rFonts w:ascii="Arial" w:hAnsi="Arial" w:cs="Arial"/>
        </w:rPr>
        <w:t xml:space="preserve"> a</w:t>
      </w:r>
      <w:r>
        <w:rPr>
          <w:rFonts w:ascii="Arial" w:hAnsi="Arial" w:cs="Arial"/>
        </w:rPr>
        <w:t xml:space="preserve"> Tržní kapitalizace.</w:t>
      </w:r>
    </w:p>
    <w:p w:rsidR="00D33F0D" w:rsidRDefault="00D33F0D" w:rsidP="00D33F0D">
      <w:pPr>
        <w:spacing w:after="0" w:line="360" w:lineRule="auto"/>
        <w:ind w:firstLine="708"/>
        <w:jc w:val="both"/>
        <w:rPr>
          <w:rFonts w:ascii="Arial" w:hAnsi="Arial" w:cs="Arial"/>
        </w:rPr>
      </w:pPr>
      <w:r>
        <w:rPr>
          <w:rFonts w:ascii="Arial" w:hAnsi="Arial" w:cs="Arial"/>
        </w:rPr>
        <w:t xml:space="preserve">Obrázek </w:t>
      </w:r>
      <w:r w:rsidR="00912533">
        <w:rPr>
          <w:rFonts w:ascii="Arial" w:hAnsi="Arial" w:cs="Arial"/>
        </w:rPr>
        <w:t>8</w:t>
      </w:r>
      <w:r>
        <w:rPr>
          <w:rFonts w:ascii="Arial" w:hAnsi="Arial" w:cs="Arial"/>
        </w:rPr>
        <w:t xml:space="preserve">.9 zobrazuje GII, jeho 2 dílčí indexy a sedm pilířů a porovnává jejich hodnoty dosažené v České republice a Rakousku. Rakousko má vyšší celkový GII, ale </w:t>
      </w:r>
      <w:r w:rsidR="00071AE6">
        <w:rPr>
          <w:rFonts w:ascii="Arial" w:hAnsi="Arial" w:cs="Arial"/>
        </w:rPr>
        <w:t>při pohledu</w:t>
      </w:r>
      <w:r>
        <w:rPr>
          <w:rFonts w:ascii="Arial" w:hAnsi="Arial" w:cs="Arial"/>
        </w:rPr>
        <w:t xml:space="preserve"> na dílčí indexy</w:t>
      </w:r>
      <w:r w:rsidR="00071AE6">
        <w:rPr>
          <w:rFonts w:ascii="Arial" w:hAnsi="Arial" w:cs="Arial"/>
        </w:rPr>
        <w:t xml:space="preserve"> jsou patrné </w:t>
      </w:r>
      <w:r>
        <w:rPr>
          <w:rFonts w:ascii="Arial" w:hAnsi="Arial" w:cs="Arial"/>
        </w:rPr>
        <w:t xml:space="preserve">vyšší hodnoty </w:t>
      </w:r>
      <w:r w:rsidR="00071AE6">
        <w:rPr>
          <w:rFonts w:ascii="Arial" w:hAnsi="Arial" w:cs="Arial"/>
        </w:rPr>
        <w:t xml:space="preserve">ČR </w:t>
      </w:r>
      <w:r>
        <w:rPr>
          <w:rFonts w:ascii="Arial" w:hAnsi="Arial" w:cs="Arial"/>
        </w:rPr>
        <w:t xml:space="preserve">u tzv. output indexu. ČR je na tom oproti Rakousku relativně lépe z pohledu hodnoty pilíře 6. </w:t>
      </w:r>
      <w:r w:rsidRPr="0018593F">
        <w:rPr>
          <w:rFonts w:ascii="Arial" w:hAnsi="Arial" w:cs="Arial"/>
        </w:rPr>
        <w:t>Znalostní a technologické výstupy</w:t>
      </w:r>
      <w:r>
        <w:rPr>
          <w:rFonts w:ascii="Arial" w:hAnsi="Arial" w:cs="Arial"/>
        </w:rPr>
        <w:t>.</w:t>
      </w:r>
    </w:p>
    <w:p w:rsidR="00D33F0D" w:rsidRPr="00BF547F" w:rsidRDefault="00D33F0D" w:rsidP="00D33F0D">
      <w:pPr>
        <w:spacing w:after="0" w:line="360" w:lineRule="auto"/>
        <w:ind w:firstLine="708"/>
        <w:jc w:val="both"/>
        <w:rPr>
          <w:rFonts w:ascii="Arial" w:eastAsia="Times New Roman" w:hAnsi="Arial" w:cs="Arial"/>
          <w:lang w:eastAsia="cs-CZ"/>
        </w:rPr>
      </w:pPr>
    </w:p>
    <w:p w:rsidR="00D33F0D" w:rsidRDefault="00D33F0D">
      <w:pPr>
        <w:autoSpaceDE w:val="0"/>
        <w:autoSpaceDN w:val="0"/>
        <w:adjustRightInd w:val="0"/>
        <w:spacing w:after="120"/>
        <w:contextualSpacing/>
        <w:jc w:val="both"/>
        <w:rPr>
          <w:rFonts w:ascii="Arial" w:hAnsi="Arial" w:cs="Arial"/>
          <w:sz w:val="24"/>
          <w:szCs w:val="24"/>
        </w:rPr>
        <w:sectPr w:rsidR="00D33F0D" w:rsidSect="00995ED6">
          <w:pgSz w:w="11906" w:h="16838"/>
          <w:pgMar w:top="1134" w:right="1134" w:bottom="1134" w:left="1134" w:header="709" w:footer="709" w:gutter="0"/>
          <w:cols w:space="708"/>
          <w:docGrid w:linePitch="360"/>
        </w:sectPr>
        <w:pPrChange w:id="31" w:author="Kureková Lucie" w:date="2016-07-21T14:46:00Z">
          <w:pPr>
            <w:numPr>
              <w:numId w:val="5"/>
            </w:numPr>
            <w:autoSpaceDE w:val="0"/>
            <w:autoSpaceDN w:val="0"/>
            <w:adjustRightInd w:val="0"/>
            <w:spacing w:after="120"/>
            <w:ind w:left="284" w:hanging="284"/>
            <w:contextualSpacing/>
            <w:jc w:val="both"/>
          </w:pPr>
        </w:pPrChange>
      </w:pPr>
    </w:p>
    <w:p w:rsidR="00D33F0D" w:rsidRPr="00E86823" w:rsidRDefault="00D33F0D" w:rsidP="00D33F0D">
      <w:pPr>
        <w:rPr>
          <w:rFonts w:ascii="Arial" w:eastAsia="Times New Roman" w:hAnsi="Arial" w:cs="Times New Roman"/>
          <w:b/>
          <w:szCs w:val="24"/>
          <w:lang w:eastAsia="cs-CZ"/>
        </w:rPr>
      </w:pPr>
      <w:r>
        <w:rPr>
          <w:rFonts w:ascii="Arial" w:eastAsia="Times New Roman" w:hAnsi="Arial" w:cs="Times New Roman"/>
          <w:b/>
          <w:szCs w:val="24"/>
          <w:lang w:eastAsia="cs-CZ"/>
        </w:rPr>
        <w:lastRenderedPageBreak/>
        <w:t xml:space="preserve">Obr.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.9</w:t>
      </w:r>
      <w:r w:rsidRPr="00E86823">
        <w:rPr>
          <w:rFonts w:ascii="Arial" w:eastAsia="Times New Roman" w:hAnsi="Arial" w:cs="Times New Roman"/>
          <w:b/>
          <w:szCs w:val="24"/>
          <w:lang w:eastAsia="cs-CZ"/>
        </w:rPr>
        <w:t>: GII a kompozitní indikátory</w:t>
      </w:r>
    </w:p>
    <w:p w:rsidR="00D33F0D" w:rsidRDefault="00D33F0D" w:rsidP="00D33F0D">
      <w:r w:rsidRPr="009F56A2">
        <w:rPr>
          <w:noProof/>
          <w:lang w:eastAsia="cs-CZ"/>
        </w:rPr>
        <mc:AlternateContent>
          <mc:Choice Requires="wps">
            <w:drawing>
              <wp:anchor distT="0" distB="0" distL="114300" distR="114300" simplePos="0" relativeHeight="251671552" behindDoc="0" locked="0" layoutInCell="1" allowOverlap="1" wp14:anchorId="07EC497C" wp14:editId="0ECBDB76">
                <wp:simplePos x="0" y="0"/>
                <wp:positionH relativeFrom="column">
                  <wp:posOffset>4232275</wp:posOffset>
                </wp:positionH>
                <wp:positionV relativeFrom="paragraph">
                  <wp:posOffset>26670</wp:posOffset>
                </wp:positionV>
                <wp:extent cx="420370" cy="5180965"/>
                <wp:effectExtent l="952" t="0" r="18733" b="18732"/>
                <wp:wrapNone/>
                <wp:docPr id="76" name="Levá složená závorka 76"/>
                <wp:cNvGraphicFramePr/>
                <a:graphic xmlns:a="http://schemas.openxmlformats.org/drawingml/2006/main">
                  <a:graphicData uri="http://schemas.microsoft.com/office/word/2010/wordprocessingShape">
                    <wps:wsp>
                      <wps:cNvSpPr/>
                      <wps:spPr>
                        <a:xfrm rot="5400000">
                          <a:off x="0" y="0"/>
                          <a:ext cx="420370" cy="5180965"/>
                        </a:xfrm>
                        <a:prstGeom prst="leftBrace">
                          <a:avLst>
                            <a:gd name="adj1" fmla="val 225863"/>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vá složená závorka 76" o:spid="_x0000_s1026" type="#_x0000_t87" style="position:absolute;margin-left:333.25pt;margin-top:2.1pt;width:33.1pt;height:407.9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" adj="3958" strokecolor="#4a7ebb" strokeweight="1pt"/>
            </w:pict>
          </mc:Fallback>
        </mc:AlternateContent>
      </w:r>
      <w:r>
        <w:rPr>
          <w:noProof/>
          <w:lang w:eastAsia="cs-CZ"/>
        </w:rPr>
        <w:drawing>
          <wp:anchor distT="0" distB="0" distL="114300" distR="114300" simplePos="0" relativeHeight="251668480" behindDoc="0" locked="0" layoutInCell="1" allowOverlap="1" wp14:anchorId="3DAF074C" wp14:editId="7EB7C8BF">
            <wp:simplePos x="0" y="0"/>
            <wp:positionH relativeFrom="column">
              <wp:posOffset>2329180</wp:posOffset>
            </wp:positionH>
            <wp:positionV relativeFrom="paragraph">
              <wp:posOffset>110490</wp:posOffset>
            </wp:positionV>
            <wp:extent cx="4343400" cy="2295525"/>
            <wp:effectExtent l="0" t="0" r="0" b="0"/>
            <wp:wrapSquare wrapText="bothSides"/>
            <wp:docPr id="63" name="Graf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14:sizeRelH relativeFrom="page">
              <wp14:pctWidth>0</wp14:pctWidth>
            </wp14:sizeRelH>
            <wp14:sizeRelV relativeFrom="page">
              <wp14:pctHeight>0</wp14:pctHeight>
            </wp14:sizeRelV>
          </wp:anchor>
        </w:drawing>
      </w: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r>
        <w:rPr>
          <w:noProof/>
          <w:lang w:eastAsia="cs-CZ"/>
        </w:rPr>
        <w:drawing>
          <wp:anchor distT="0" distB="0" distL="114300" distR="114300" simplePos="0" relativeHeight="251661312" behindDoc="0" locked="0" layoutInCell="1" allowOverlap="1" wp14:anchorId="6B9D34EE" wp14:editId="09047DBC">
            <wp:simplePos x="0" y="0"/>
            <wp:positionH relativeFrom="column">
              <wp:posOffset>338455</wp:posOffset>
            </wp:positionH>
            <wp:positionV relativeFrom="paragraph">
              <wp:posOffset>135255</wp:posOffset>
            </wp:positionV>
            <wp:extent cx="3454400" cy="2343150"/>
            <wp:effectExtent l="0" t="0" r="0" b="0"/>
            <wp:wrapSquare wrapText="bothSides"/>
            <wp:docPr id="78" name="Graf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662336" behindDoc="0" locked="0" layoutInCell="1" allowOverlap="1" wp14:anchorId="0C583EBC" wp14:editId="306B76EF">
            <wp:simplePos x="0" y="0"/>
            <wp:positionH relativeFrom="column">
              <wp:posOffset>5462905</wp:posOffset>
            </wp:positionH>
            <wp:positionV relativeFrom="paragraph">
              <wp:posOffset>134620</wp:posOffset>
            </wp:positionV>
            <wp:extent cx="3324225" cy="2343150"/>
            <wp:effectExtent l="0" t="0" r="0" b="0"/>
            <wp:wrapSquare wrapText="bothSides"/>
            <wp:docPr id="79" name="Graf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14:sizeRelH relativeFrom="page">
              <wp14:pctWidth>0</wp14:pctWidth>
            </wp14:sizeRelH>
            <wp14:sizeRelV relativeFrom="page">
              <wp14:pctHeight>0</wp14:pctHeight>
            </wp14:sizeRelV>
          </wp:anchor>
        </w:drawing>
      </w:r>
    </w:p>
    <w:p w:rsidR="00D33F0D" w:rsidRDefault="00D33F0D" w:rsidP="00D33F0D">
      <w:pPr>
        <w:jc w:val="center"/>
      </w:pPr>
      <w:r w:rsidRPr="009F56A2">
        <w:rPr>
          <w:noProof/>
          <w:lang w:eastAsia="cs-CZ"/>
        </w:rPr>
        <mc:AlternateContent>
          <mc:Choice Requires="wps">
            <w:drawing>
              <wp:anchor distT="0" distB="0" distL="114300" distR="114300" simplePos="0" relativeHeight="251672576" behindDoc="0" locked="0" layoutInCell="1" allowOverlap="1" wp14:anchorId="25BE70FD" wp14:editId="16015C4D">
                <wp:simplePos x="0" y="0"/>
                <wp:positionH relativeFrom="column">
                  <wp:posOffset>-1582420</wp:posOffset>
                </wp:positionH>
                <wp:positionV relativeFrom="paragraph">
                  <wp:posOffset>240030</wp:posOffset>
                </wp:positionV>
                <wp:extent cx="695960" cy="4693920"/>
                <wp:effectExtent l="1270" t="0" r="10160" b="10160"/>
                <wp:wrapNone/>
                <wp:docPr id="42" name="Levá složená závorka 42"/>
                <wp:cNvGraphicFramePr/>
                <a:graphic xmlns:a="http://schemas.openxmlformats.org/drawingml/2006/main">
                  <a:graphicData uri="http://schemas.microsoft.com/office/word/2010/wordprocessingShape">
                    <wps:wsp>
                      <wps:cNvSpPr/>
                      <wps:spPr>
                        <a:xfrm rot="5400000">
                          <a:off x="0" y="0"/>
                          <a:ext cx="695960" cy="4693920"/>
                        </a:xfrm>
                        <a:prstGeom prst="leftBrace">
                          <a:avLst>
                            <a:gd name="adj1" fmla="val 225863"/>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vá složená závorka 42" o:spid="_x0000_s1026" type="#_x0000_t87" style="position:absolute;margin-left:-124.6pt;margin-top:18.9pt;width:54.8pt;height:369.6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" adj="7233" strokecolor="#4a7ebb" strokeweight="1pt"/>
            </w:pict>
          </mc:Fallback>
        </mc:AlternateContent>
      </w: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r w:rsidRPr="009F56A2">
        <w:rPr>
          <w:noProof/>
          <w:lang w:eastAsia="cs-CZ"/>
        </w:rPr>
        <mc:AlternateContent>
          <mc:Choice Requires="wps">
            <w:drawing>
              <wp:anchor distT="0" distB="0" distL="114300" distR="114300" simplePos="0" relativeHeight="251673600" behindDoc="0" locked="0" layoutInCell="1" allowOverlap="1" wp14:anchorId="4D3EA6E6" wp14:editId="7795B6D8">
                <wp:simplePos x="0" y="0"/>
                <wp:positionH relativeFrom="column">
                  <wp:posOffset>3178493</wp:posOffset>
                </wp:positionH>
                <wp:positionV relativeFrom="paragraph">
                  <wp:posOffset>89536</wp:posOffset>
                </wp:positionV>
                <wp:extent cx="695960" cy="2406015"/>
                <wp:effectExtent l="2222" t="0" r="11113" b="11112"/>
                <wp:wrapNone/>
                <wp:docPr id="43" name="Levá složená závorka 43"/>
                <wp:cNvGraphicFramePr/>
                <a:graphic xmlns:a="http://schemas.openxmlformats.org/drawingml/2006/main">
                  <a:graphicData uri="http://schemas.microsoft.com/office/word/2010/wordprocessingShape">
                    <wps:wsp>
                      <wps:cNvSpPr/>
                      <wps:spPr>
                        <a:xfrm rot="5400000">
                          <a:off x="0" y="0"/>
                          <a:ext cx="695960" cy="2406015"/>
                        </a:xfrm>
                        <a:prstGeom prst="leftBrace">
                          <a:avLst>
                            <a:gd name="adj1" fmla="val 225863"/>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vá složená závorka 43" o:spid="_x0000_s1026" type="#_x0000_t87" style="position:absolute;margin-left:250.3pt;margin-top:7.05pt;width:54.8pt;height:189.45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" adj="14112" strokecolor="#4a7ebb" strokeweight="1pt"/>
            </w:pict>
          </mc:Fallback>
        </mc:AlternateContent>
      </w: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r>
        <w:rPr>
          <w:noProof/>
          <w:lang w:eastAsia="cs-CZ"/>
        </w:rPr>
        <w:drawing>
          <wp:anchor distT="0" distB="0" distL="114300" distR="114300" simplePos="0" relativeHeight="251669504" behindDoc="0" locked="0" layoutInCell="1" allowOverlap="1" wp14:anchorId="45946EE2" wp14:editId="6A6EBC06">
            <wp:simplePos x="0" y="0"/>
            <wp:positionH relativeFrom="column">
              <wp:posOffset>27940</wp:posOffset>
            </wp:positionH>
            <wp:positionV relativeFrom="paragraph">
              <wp:posOffset>171450</wp:posOffset>
            </wp:positionV>
            <wp:extent cx="3038475" cy="2171700"/>
            <wp:effectExtent l="0" t="0" r="0" b="0"/>
            <wp:wrapNone/>
            <wp:docPr id="81" name="Graf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70528" behindDoc="0" locked="0" layoutInCell="1" allowOverlap="1" wp14:anchorId="35302FE9" wp14:editId="14AACF8B">
            <wp:simplePos x="0" y="0"/>
            <wp:positionH relativeFrom="column">
              <wp:posOffset>5951220</wp:posOffset>
            </wp:positionH>
            <wp:positionV relativeFrom="paragraph">
              <wp:posOffset>89535</wp:posOffset>
            </wp:positionV>
            <wp:extent cx="3000375" cy="2200275"/>
            <wp:effectExtent l="0" t="0" r="0" b="0"/>
            <wp:wrapSquare wrapText="bothSides"/>
            <wp:docPr id="82" name="Graf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64384" behindDoc="0" locked="0" layoutInCell="1" allowOverlap="1" wp14:anchorId="77E8CF6D" wp14:editId="396A70D3">
            <wp:simplePos x="0" y="0"/>
            <wp:positionH relativeFrom="column">
              <wp:posOffset>2748915</wp:posOffset>
            </wp:positionH>
            <wp:positionV relativeFrom="paragraph">
              <wp:posOffset>2546985</wp:posOffset>
            </wp:positionV>
            <wp:extent cx="3057525" cy="2152650"/>
            <wp:effectExtent l="0" t="0" r="0" b="0"/>
            <wp:wrapSquare wrapText="bothSides"/>
            <wp:docPr id="83" name="Graf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67456" behindDoc="0" locked="0" layoutInCell="1" allowOverlap="1" wp14:anchorId="43771B9B" wp14:editId="4B6AD1B0">
            <wp:simplePos x="0" y="0"/>
            <wp:positionH relativeFrom="column">
              <wp:posOffset>-351790</wp:posOffset>
            </wp:positionH>
            <wp:positionV relativeFrom="paragraph">
              <wp:posOffset>2443480</wp:posOffset>
            </wp:positionV>
            <wp:extent cx="3181350" cy="2257425"/>
            <wp:effectExtent l="0" t="0" r="0" b="0"/>
            <wp:wrapSquare wrapText="bothSides"/>
            <wp:docPr id="24" name="Graf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63360" behindDoc="0" locked="0" layoutInCell="1" allowOverlap="1" wp14:anchorId="5BFB389C" wp14:editId="4FB7932F">
            <wp:simplePos x="0" y="0"/>
            <wp:positionH relativeFrom="column">
              <wp:posOffset>2743835</wp:posOffset>
            </wp:positionH>
            <wp:positionV relativeFrom="paragraph">
              <wp:posOffset>135255</wp:posOffset>
            </wp:positionV>
            <wp:extent cx="2981325" cy="2152650"/>
            <wp:effectExtent l="0" t="0" r="0" b="0"/>
            <wp:wrapSquare wrapText="bothSides"/>
            <wp:docPr id="84" name="Graf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66432" behindDoc="0" locked="0" layoutInCell="1" allowOverlap="1" wp14:anchorId="50965C19" wp14:editId="335805BF">
            <wp:simplePos x="0" y="0"/>
            <wp:positionH relativeFrom="column">
              <wp:posOffset>-347345</wp:posOffset>
            </wp:positionH>
            <wp:positionV relativeFrom="paragraph">
              <wp:posOffset>91440</wp:posOffset>
            </wp:positionV>
            <wp:extent cx="3095625" cy="2257425"/>
            <wp:effectExtent l="0" t="0" r="0" b="0"/>
            <wp:wrapSquare wrapText="bothSides"/>
            <wp:docPr id="85" name="Graf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14:sizeRelH relativeFrom="page">
              <wp14:pctWidth>0</wp14:pctWidth>
            </wp14:sizeRelH>
            <wp14:sizeRelV relativeFrom="page">
              <wp14:pctHeight>0</wp14:pctHeight>
            </wp14:sizeRelV>
          </wp:anchor>
        </w:drawing>
      </w:r>
    </w:p>
    <w:p w:rsidR="00D33F0D" w:rsidRDefault="00D33F0D" w:rsidP="00D33F0D"/>
    <w:p w:rsidR="00D33F0D" w:rsidRDefault="00D33F0D" w:rsidP="00D33F0D">
      <w:pPr>
        <w:jc w:val="center"/>
        <w:rPr>
          <w:sz w:val="20"/>
        </w:rPr>
      </w:pPr>
    </w:p>
    <w:p w:rsidR="00D33F0D" w:rsidRDefault="00D33F0D" w:rsidP="00D33F0D">
      <w:pPr>
        <w:jc w:val="cente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r w:rsidRPr="0043053B">
        <w:rPr>
          <w:noProof/>
          <w:sz w:val="20"/>
          <w:lang w:eastAsia="cs-CZ"/>
        </w:rPr>
        <w:drawing>
          <wp:anchor distT="0" distB="0" distL="114300" distR="114300" simplePos="0" relativeHeight="251665408" behindDoc="0" locked="0" layoutInCell="1" allowOverlap="1" wp14:anchorId="52E141FC" wp14:editId="26AD32F8">
            <wp:simplePos x="0" y="0"/>
            <wp:positionH relativeFrom="column">
              <wp:posOffset>-4467860</wp:posOffset>
            </wp:positionH>
            <wp:positionV relativeFrom="paragraph">
              <wp:posOffset>285750</wp:posOffset>
            </wp:positionV>
            <wp:extent cx="2762250" cy="1990725"/>
            <wp:effectExtent l="0" t="0" r="0" b="0"/>
            <wp:wrapNone/>
            <wp:docPr id="86" name="Graf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14:sizeRelH relativeFrom="page">
              <wp14:pctWidth>0</wp14:pctWidth>
            </wp14:sizeRelH>
            <wp14:sizeRelV relativeFrom="page">
              <wp14:pctHeight>0</wp14:pctHeight>
            </wp14:sizeRelV>
          </wp:anchor>
        </w:drawing>
      </w: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Pr="00C40E01" w:rsidRDefault="00D33F0D" w:rsidP="00D33F0D">
      <w:pPr>
        <w:pStyle w:val="Zdroj"/>
        <w:rPr>
          <w:rFonts w:cs="Arial"/>
        </w:rPr>
      </w:pPr>
      <w:r w:rsidRPr="00C40E01">
        <w:rPr>
          <w:rFonts w:cs="Arial"/>
        </w:rPr>
        <w:t>Zdroj: GII report 2016</w:t>
      </w:r>
    </w:p>
    <w:p w:rsidR="00D33F0D" w:rsidRDefault="00D33F0D" w:rsidP="00D33F0D">
      <w:pPr>
        <w:rPr>
          <w:sz w:val="20"/>
        </w:rPr>
        <w:sectPr w:rsidR="00D33F0D" w:rsidSect="00995ED6">
          <w:pgSz w:w="16839" w:h="23814" w:code="8"/>
          <w:pgMar w:top="1417" w:right="1417" w:bottom="1417" w:left="1417" w:header="708" w:footer="708" w:gutter="0"/>
          <w:cols w:space="708"/>
          <w:docGrid w:linePitch="360"/>
        </w:sectPr>
      </w:pPr>
    </w:p>
    <w:p w:rsidR="00D33F0D" w:rsidRPr="00C40E01" w:rsidRDefault="00D33F0D" w:rsidP="00D33F0D">
      <w:pPr>
        <w:autoSpaceDE w:val="0"/>
        <w:autoSpaceDN w:val="0"/>
        <w:adjustRightInd w:val="0"/>
        <w:spacing w:after="120"/>
        <w:jc w:val="both"/>
        <w:rPr>
          <w:rFonts w:ascii="Arial" w:hAnsi="Arial" w:cs="Arial"/>
          <w:b/>
        </w:rPr>
      </w:pPr>
      <w:bookmarkStart w:id="32" w:name="Nový_evropský_indikátor_inovační_výkonno"/>
      <w:proofErr w:type="spellStart"/>
      <w:r w:rsidRPr="00C40E01">
        <w:rPr>
          <w:rFonts w:ascii="Arial" w:hAnsi="Arial" w:cs="Arial"/>
          <w:b/>
        </w:rPr>
        <w:lastRenderedPageBreak/>
        <w:t>Innovation</w:t>
      </w:r>
      <w:proofErr w:type="spellEnd"/>
      <w:r w:rsidRPr="00C40E01">
        <w:rPr>
          <w:rFonts w:ascii="Arial" w:hAnsi="Arial" w:cs="Arial"/>
          <w:b/>
        </w:rPr>
        <w:t xml:space="preserve"> Output </w:t>
      </w:r>
      <w:proofErr w:type="spellStart"/>
      <w:r w:rsidRPr="00C40E01">
        <w:rPr>
          <w:rFonts w:ascii="Arial" w:hAnsi="Arial" w:cs="Arial"/>
          <w:b/>
        </w:rPr>
        <w:t>Indicator</w:t>
      </w:r>
      <w:proofErr w:type="spellEnd"/>
    </w:p>
    <w:p w:rsidR="00D33F0D" w:rsidRPr="00C40E01" w:rsidRDefault="00D33F0D" w:rsidP="00D33F0D">
      <w:pPr>
        <w:spacing w:afterLines="60" w:after="144" w:line="360" w:lineRule="auto"/>
        <w:ind w:firstLine="410"/>
        <w:jc w:val="both"/>
        <w:rPr>
          <w:rFonts w:ascii="Arial" w:hAnsi="Arial" w:cs="Arial"/>
        </w:rPr>
      </w:pPr>
      <w:proofErr w:type="spellStart"/>
      <w:r w:rsidRPr="00C40E01">
        <w:rPr>
          <w:rFonts w:ascii="Arial" w:hAnsi="Arial" w:cs="Arial"/>
        </w:rPr>
        <w:t>Innovation</w:t>
      </w:r>
      <w:proofErr w:type="spellEnd"/>
      <w:r w:rsidRPr="00C40E01">
        <w:rPr>
          <w:rFonts w:ascii="Arial" w:hAnsi="Arial" w:cs="Arial"/>
        </w:rPr>
        <w:t xml:space="preserve"> Output </w:t>
      </w:r>
      <w:proofErr w:type="spellStart"/>
      <w:r w:rsidRPr="00C40E01">
        <w:rPr>
          <w:rFonts w:ascii="Arial" w:hAnsi="Arial" w:cs="Arial"/>
        </w:rPr>
        <w:t>Indicator</w:t>
      </w:r>
      <w:proofErr w:type="spellEnd"/>
      <w:r w:rsidRPr="00C40E01">
        <w:rPr>
          <w:rFonts w:ascii="Arial" w:hAnsi="Arial" w:cs="Arial"/>
        </w:rPr>
        <w:t xml:space="preserve"> byl zaveden Evropskou komisí v roce 2013 a slouží především ke srovnávání národních politik inovací. Tento kompozitní indikátor obsahuje </w:t>
      </w:r>
      <w:r>
        <w:rPr>
          <w:rFonts w:ascii="Arial" w:hAnsi="Arial" w:cs="Arial"/>
        </w:rPr>
        <w:t>čtyři</w:t>
      </w:r>
      <w:r w:rsidRPr="00C40E01">
        <w:rPr>
          <w:rFonts w:ascii="Arial" w:hAnsi="Arial" w:cs="Arial"/>
        </w:rPr>
        <w:t xml:space="preserve"> ukazatele týkající se výstupů inovačních aktivit:</w:t>
      </w:r>
    </w:p>
    <w:p w:rsidR="00D33F0D" w:rsidRPr="00C40E01" w:rsidRDefault="00D33F0D" w:rsidP="00D33F0D">
      <w:pPr>
        <w:numPr>
          <w:ilvl w:val="0"/>
          <w:numId w:val="5"/>
        </w:numPr>
        <w:spacing w:afterLines="60" w:after="144" w:line="360" w:lineRule="auto"/>
        <w:contextualSpacing/>
        <w:jc w:val="both"/>
        <w:rPr>
          <w:rFonts w:ascii="Arial" w:hAnsi="Arial" w:cs="Arial"/>
        </w:rPr>
      </w:pPr>
      <w:r w:rsidRPr="00C40E01">
        <w:rPr>
          <w:rFonts w:ascii="Arial" w:hAnsi="Arial" w:cs="Arial"/>
        </w:rPr>
        <w:t>technologickou inovativnost měřenou počtem PCT patentových přihlášek na miliardu HDP v PPS,</w:t>
      </w:r>
    </w:p>
    <w:p w:rsidR="00D33F0D" w:rsidRPr="00C40E01" w:rsidRDefault="00D33F0D" w:rsidP="00D33F0D">
      <w:pPr>
        <w:numPr>
          <w:ilvl w:val="0"/>
          <w:numId w:val="5"/>
        </w:numPr>
        <w:spacing w:afterLines="60" w:after="144" w:line="360" w:lineRule="auto"/>
        <w:contextualSpacing/>
        <w:jc w:val="both"/>
        <w:rPr>
          <w:rFonts w:ascii="Arial" w:hAnsi="Arial" w:cs="Arial"/>
        </w:rPr>
      </w:pPr>
      <w:r w:rsidRPr="00C40E01">
        <w:rPr>
          <w:rFonts w:ascii="Arial" w:hAnsi="Arial" w:cs="Arial"/>
        </w:rPr>
        <w:t>zaměstnanost ve znalostně intenzivních odvětvích měřenou jako procento z celkové zaměstnanosti,</w:t>
      </w:r>
    </w:p>
    <w:p w:rsidR="00D33F0D" w:rsidRPr="00C40E01" w:rsidRDefault="00D33F0D" w:rsidP="00D33F0D">
      <w:pPr>
        <w:numPr>
          <w:ilvl w:val="0"/>
          <w:numId w:val="5"/>
        </w:numPr>
        <w:spacing w:afterLines="60" w:after="144" w:line="360" w:lineRule="auto"/>
        <w:contextualSpacing/>
        <w:jc w:val="both"/>
        <w:rPr>
          <w:rFonts w:ascii="Arial" w:hAnsi="Arial" w:cs="Arial"/>
        </w:rPr>
      </w:pPr>
      <w:r w:rsidRPr="00C40E01">
        <w:rPr>
          <w:rFonts w:ascii="Arial" w:hAnsi="Arial" w:cs="Arial"/>
        </w:rPr>
        <w:t>inovativnost rychle rostoucích podniků měřenou jako vážený průměr zaměstnanosti,</w:t>
      </w:r>
    </w:p>
    <w:p w:rsidR="00D33F0D" w:rsidRPr="00C40E01" w:rsidRDefault="00D33F0D" w:rsidP="00D33F0D">
      <w:pPr>
        <w:numPr>
          <w:ilvl w:val="0"/>
          <w:numId w:val="5"/>
        </w:numPr>
        <w:spacing w:afterLines="60" w:after="144" w:line="360" w:lineRule="auto"/>
        <w:contextualSpacing/>
        <w:jc w:val="both"/>
        <w:rPr>
          <w:rFonts w:ascii="Arial" w:hAnsi="Arial" w:cs="Arial"/>
        </w:rPr>
      </w:pPr>
      <w:r w:rsidRPr="00C40E01">
        <w:rPr>
          <w:rFonts w:ascii="Arial" w:hAnsi="Arial" w:cs="Arial"/>
        </w:rPr>
        <w:t>kombinaci dvou dílčích ukazatelů vyjadřující export produktů a služeb znalostně intenzivních odvětví.</w:t>
      </w:r>
    </w:p>
    <w:bookmarkEnd w:id="32"/>
    <w:p w:rsidR="00D33F0D" w:rsidRDefault="00D33F0D" w:rsidP="00D33F0D">
      <w:pPr>
        <w:spacing w:afterLines="60" w:after="144" w:line="360" w:lineRule="auto"/>
        <w:ind w:left="50"/>
        <w:jc w:val="both"/>
        <w:rPr>
          <w:rFonts w:ascii="Arial" w:hAnsi="Arial" w:cs="Arial"/>
        </w:rPr>
      </w:pPr>
      <w:r w:rsidRPr="00C40E01">
        <w:rPr>
          <w:rFonts w:ascii="Arial" w:hAnsi="Arial" w:cs="Arial"/>
        </w:rPr>
        <w:t xml:space="preserve">Stejně jako v případě znalostní intenzity ekonomiky a SII i dle tohoto indikátoru ČR dosahuje o třetinu až polovinu nižších hodnot než země, které se pravidelně umisťují na předních místech žebříčků inovativnosti či konkurenceschopnosti. Vzhledem k tomu, že při kalkulaci IOI je kladen důraz na ukazatele inovačních výstupů, nemohou investice veřejného sektoru do </w:t>
      </w:r>
      <w:proofErr w:type="spellStart"/>
      <w:r w:rsidRPr="00C40E01">
        <w:rPr>
          <w:rFonts w:ascii="Arial" w:hAnsi="Arial" w:cs="Arial"/>
        </w:rPr>
        <w:t>VaV</w:t>
      </w:r>
      <w:proofErr w:type="spellEnd"/>
      <w:r w:rsidRPr="00C40E01">
        <w:rPr>
          <w:rFonts w:ascii="Arial" w:hAnsi="Arial" w:cs="Arial"/>
        </w:rPr>
        <w:t xml:space="preserve"> či vzdělávání, které jsou pouze nárazové, zkreslit hodnoty IOI. Odlišnost ve složení dílčích indikátorů mezi</w:t>
      </w:r>
      <w:r>
        <w:rPr>
          <w:rFonts w:ascii="Arial" w:hAnsi="Arial" w:cs="Arial"/>
        </w:rPr>
        <w:t xml:space="preserve"> IOI a SII ovlivní pořadí zemí.</w:t>
      </w:r>
    </w:p>
    <w:p w:rsidR="00D33F0D" w:rsidRDefault="00D33F0D" w:rsidP="00D33F0D">
      <w:pPr>
        <w:spacing w:afterLines="60" w:after="144" w:line="360" w:lineRule="auto"/>
        <w:ind w:left="50" w:firstLine="360"/>
        <w:jc w:val="both"/>
        <w:rPr>
          <w:rFonts w:ascii="Arial" w:hAnsi="Arial" w:cs="Arial"/>
        </w:rPr>
      </w:pPr>
      <w:r>
        <w:rPr>
          <w:rFonts w:ascii="Arial" w:hAnsi="Arial" w:cs="Arial"/>
        </w:rPr>
        <w:t xml:space="preserve">Rozdíly mezi ČR, evropským průměrem a Rakouskem v dílčích indikátorech (obr. </w:t>
      </w:r>
      <w:r w:rsidR="00912533">
        <w:rPr>
          <w:rFonts w:ascii="Arial" w:hAnsi="Arial" w:cs="Arial"/>
        </w:rPr>
        <w:t>8</w:t>
      </w:r>
      <w:r>
        <w:rPr>
          <w:rFonts w:ascii="Arial" w:hAnsi="Arial" w:cs="Arial"/>
        </w:rPr>
        <w:t xml:space="preserve">.10) nejsou příliš markantní, s výjimkou počtu mezinárodních patentových přihlášek (přibližně pětkrát nižší hodnota v ČR než v Rakousku a čtyřikrát nižší než je průměr EU). V případě exportu </w:t>
      </w:r>
      <w:proofErr w:type="spellStart"/>
      <w:r>
        <w:rPr>
          <w:rFonts w:ascii="Arial" w:hAnsi="Arial" w:cs="Arial"/>
        </w:rPr>
        <w:t>high-tech</w:t>
      </w:r>
      <w:proofErr w:type="spellEnd"/>
      <w:r>
        <w:rPr>
          <w:rFonts w:ascii="Arial" w:hAnsi="Arial" w:cs="Arial"/>
        </w:rPr>
        <w:t xml:space="preserve"> a medium-</w:t>
      </w:r>
      <w:proofErr w:type="spellStart"/>
      <w:r>
        <w:rPr>
          <w:rFonts w:ascii="Arial" w:hAnsi="Arial" w:cs="Arial"/>
        </w:rPr>
        <w:t>high</w:t>
      </w:r>
      <w:proofErr w:type="spellEnd"/>
      <w:r>
        <w:rPr>
          <w:rFonts w:ascii="Arial" w:hAnsi="Arial" w:cs="Arial"/>
        </w:rPr>
        <w:t>-</w:t>
      </w:r>
      <w:proofErr w:type="spellStart"/>
      <w:r>
        <w:rPr>
          <w:rFonts w:ascii="Arial" w:hAnsi="Arial" w:cs="Arial"/>
        </w:rPr>
        <w:t>tech</w:t>
      </w:r>
      <w:proofErr w:type="spellEnd"/>
      <w:r>
        <w:rPr>
          <w:rFonts w:ascii="Arial" w:hAnsi="Arial" w:cs="Arial"/>
        </w:rPr>
        <w:t xml:space="preserve"> zboží dokonce ČR je nad průměrem EU a překonává i Rakousko. V tomto aspektu se projevuje silné postavení automobilového průmyslu v ČR, který je řazen k medium-</w:t>
      </w:r>
      <w:proofErr w:type="spellStart"/>
      <w:r>
        <w:rPr>
          <w:rFonts w:ascii="Arial" w:hAnsi="Arial" w:cs="Arial"/>
        </w:rPr>
        <w:t>high</w:t>
      </w:r>
      <w:proofErr w:type="spellEnd"/>
      <w:r>
        <w:rPr>
          <w:rFonts w:ascii="Arial" w:hAnsi="Arial" w:cs="Arial"/>
        </w:rPr>
        <w:t>-</w:t>
      </w:r>
      <w:proofErr w:type="spellStart"/>
      <w:r>
        <w:rPr>
          <w:rFonts w:ascii="Arial" w:hAnsi="Arial" w:cs="Arial"/>
        </w:rPr>
        <w:t>tech</w:t>
      </w:r>
      <w:proofErr w:type="spellEnd"/>
      <w:r>
        <w:rPr>
          <w:rFonts w:ascii="Arial" w:hAnsi="Arial" w:cs="Arial"/>
        </w:rPr>
        <w:t xml:space="preserve"> průmyslům.</w:t>
      </w:r>
    </w:p>
    <w:p w:rsidR="00D33F0D" w:rsidRDefault="00D33F0D" w:rsidP="00D33F0D">
      <w:pPr>
        <w:spacing w:afterLines="60" w:after="144" w:line="360" w:lineRule="auto"/>
        <w:ind w:left="50" w:firstLine="360"/>
        <w:jc w:val="both"/>
        <w:rPr>
          <w:rFonts w:ascii="Arial" w:hAnsi="Arial" w:cs="Arial"/>
        </w:rPr>
        <w:sectPr w:rsidR="00D33F0D" w:rsidSect="00995ED6">
          <w:footerReference w:type="default" r:id="rId73"/>
          <w:pgSz w:w="11906" w:h="16838"/>
          <w:pgMar w:top="1134" w:right="1134" w:bottom="1134" w:left="1134" w:header="709" w:footer="709" w:gutter="0"/>
          <w:cols w:space="708"/>
          <w:docGrid w:linePitch="360"/>
        </w:sectPr>
      </w:pPr>
      <w:r>
        <w:rPr>
          <w:rFonts w:ascii="Arial" w:hAnsi="Arial" w:cs="Arial"/>
        </w:rPr>
        <w:t xml:space="preserve"> </w:t>
      </w:r>
    </w:p>
    <w:p w:rsidR="00D33F0D" w:rsidRPr="00C40E01" w:rsidRDefault="00D33F0D" w:rsidP="00D51389">
      <w:pPr>
        <w:keepNext/>
        <w:spacing w:before="120" w:after="120" w:line="240" w:lineRule="auto"/>
        <w:jc w:val="both"/>
        <w:rPr>
          <w:rFonts w:ascii="Arial" w:eastAsia="Times New Roman" w:hAnsi="Arial" w:cs="Times New Roman"/>
          <w:b/>
          <w:szCs w:val="24"/>
          <w:lang w:eastAsia="cs-CZ"/>
        </w:rPr>
      </w:pPr>
      <w:r w:rsidRPr="00C40E01">
        <w:rPr>
          <w:noProof/>
          <w:lang w:eastAsia="cs-CZ"/>
        </w:rPr>
        <w:lastRenderedPageBreak/>
        <mc:AlternateContent>
          <mc:Choice Requires="wps">
            <w:drawing>
              <wp:anchor distT="0" distB="0" distL="114300" distR="114300" simplePos="0" relativeHeight="251678720" behindDoc="0" locked="0" layoutInCell="1" allowOverlap="1" wp14:anchorId="5D892670" wp14:editId="7194886D">
                <wp:simplePos x="0" y="0"/>
                <wp:positionH relativeFrom="column">
                  <wp:posOffset>2590800</wp:posOffset>
                </wp:positionH>
                <wp:positionV relativeFrom="paragraph">
                  <wp:posOffset>356650</wp:posOffset>
                </wp:positionV>
                <wp:extent cx="660400" cy="4555490"/>
                <wp:effectExtent l="0" t="4445" r="20955" b="20955"/>
                <wp:wrapNone/>
                <wp:docPr id="75" name="Levá složená závorka 75"/>
                <wp:cNvGraphicFramePr/>
                <a:graphic xmlns:a="http://schemas.openxmlformats.org/drawingml/2006/main">
                  <a:graphicData uri="http://schemas.microsoft.com/office/word/2010/wordprocessingShape">
                    <wps:wsp>
                      <wps:cNvSpPr/>
                      <wps:spPr>
                        <a:xfrm rot="5400000">
                          <a:off x="0" y="0"/>
                          <a:ext cx="660400" cy="4555490"/>
                        </a:xfrm>
                        <a:prstGeom prst="leftBrace">
                          <a:avLst>
                            <a:gd name="adj1" fmla="val 215192"/>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vá složená závorka 75" o:spid="_x0000_s1026" type="#_x0000_t87" style="position:absolute;margin-left:204pt;margin-top:28.1pt;width:52pt;height:358.7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" adj="6738" strokecolor="#4a7ebb" strokeweight="1pt"/>
            </w:pict>
          </mc:Fallback>
        </mc:AlternateContent>
      </w:r>
      <w:r>
        <w:rPr>
          <w:rFonts w:ascii="Arial" w:eastAsia="Times New Roman" w:hAnsi="Arial" w:cs="Times New Roman"/>
          <w:b/>
          <w:szCs w:val="24"/>
          <w:lang w:eastAsia="cs-CZ"/>
        </w:rPr>
        <w:t>Obr.</w:t>
      </w:r>
      <w:r w:rsidR="00912533">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.10</w:t>
      </w:r>
      <w:r w:rsidRPr="00C40E01">
        <w:rPr>
          <w:rFonts w:ascii="Arial" w:eastAsia="Times New Roman" w:hAnsi="Arial" w:cs="Times New Roman"/>
          <w:b/>
          <w:szCs w:val="24"/>
          <w:lang w:eastAsia="cs-CZ"/>
        </w:rPr>
        <w:t xml:space="preserve">: Inovační výkon </w:t>
      </w:r>
      <w:r>
        <w:rPr>
          <w:rFonts w:ascii="Arial" w:eastAsia="Times New Roman" w:hAnsi="Arial" w:cs="Times New Roman"/>
          <w:b/>
          <w:szCs w:val="24"/>
          <w:lang w:eastAsia="cs-CZ"/>
        </w:rPr>
        <w:t>Č</w:t>
      </w:r>
      <w:r w:rsidRPr="00C40E01">
        <w:rPr>
          <w:rFonts w:ascii="Arial" w:eastAsia="Times New Roman" w:hAnsi="Arial" w:cs="Times New Roman"/>
          <w:b/>
          <w:szCs w:val="24"/>
          <w:lang w:eastAsia="cs-CZ"/>
        </w:rPr>
        <w:t xml:space="preserve">R stanovený na základě </w:t>
      </w:r>
      <w:r>
        <w:rPr>
          <w:rFonts w:ascii="Arial" w:eastAsia="Times New Roman" w:hAnsi="Arial" w:cs="Times New Roman"/>
          <w:b/>
          <w:szCs w:val="24"/>
          <w:lang w:eastAsia="cs-CZ"/>
        </w:rPr>
        <w:t>IOI</w:t>
      </w:r>
      <w:r w:rsidRPr="00C40E01">
        <w:rPr>
          <w:rFonts w:ascii="Arial" w:eastAsia="Times New Roman" w:hAnsi="Arial" w:cs="Times New Roman"/>
          <w:b/>
          <w:szCs w:val="24"/>
          <w:lang w:eastAsia="cs-CZ"/>
        </w:rPr>
        <w:t xml:space="preserve"> v roce 2014 ve srovnání s Rakouskem a průměrem EU</w:t>
      </w:r>
    </w:p>
    <w:p w:rsidR="00D33F0D" w:rsidRPr="00C40E01" w:rsidRDefault="00D33F0D" w:rsidP="00D33F0D">
      <w:pPr>
        <w:spacing w:afterLines="60" w:after="144" w:line="360" w:lineRule="auto"/>
        <w:jc w:val="center"/>
      </w:pPr>
      <w:r w:rsidRPr="00C40E01">
        <w:rPr>
          <w:noProof/>
          <w:lang w:eastAsia="cs-CZ"/>
        </w:rPr>
        <w:drawing>
          <wp:inline distT="0" distB="0" distL="0" distR="0" wp14:anchorId="6A42B375" wp14:editId="1BEB8512">
            <wp:extent cx="4826442" cy="1900362"/>
            <wp:effectExtent l="0" t="0" r="0" b="5080"/>
            <wp:docPr id="87" name="Graf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D33F0D" w:rsidRPr="00C40E01" w:rsidRDefault="00D33F0D" w:rsidP="00D33F0D">
      <w:pPr>
        <w:spacing w:afterLines="60" w:after="144" w:line="360" w:lineRule="auto"/>
      </w:pPr>
    </w:p>
    <w:p w:rsidR="00D33F0D" w:rsidRPr="00C40E01" w:rsidRDefault="00D33F0D" w:rsidP="00D33F0D">
      <w:pPr>
        <w:spacing w:afterLines="60" w:after="144" w:line="360" w:lineRule="auto"/>
        <w:jc w:val="center"/>
      </w:pPr>
      <w:r w:rsidRPr="00C40E01">
        <w:rPr>
          <w:noProof/>
          <w:lang w:eastAsia="cs-CZ"/>
        </w:rPr>
        <mc:AlternateContent>
          <mc:Choice Requires="wps">
            <w:drawing>
              <wp:anchor distT="0" distB="0" distL="114300" distR="114300" simplePos="0" relativeHeight="251679744" behindDoc="0" locked="0" layoutInCell="1" allowOverlap="1" wp14:anchorId="355CB6CA" wp14:editId="40DD4683">
                <wp:simplePos x="0" y="0"/>
                <wp:positionH relativeFrom="column">
                  <wp:posOffset>3853523</wp:posOffset>
                </wp:positionH>
                <wp:positionV relativeFrom="paragraph">
                  <wp:posOffset>1551527</wp:posOffset>
                </wp:positionV>
                <wp:extent cx="453710" cy="3478434"/>
                <wp:effectExtent l="0" t="7303" r="15558" b="15557"/>
                <wp:wrapNone/>
                <wp:docPr id="44" name="Levá složená závorka 44"/>
                <wp:cNvGraphicFramePr/>
                <a:graphic xmlns:a="http://schemas.openxmlformats.org/drawingml/2006/main">
                  <a:graphicData uri="http://schemas.microsoft.com/office/word/2010/wordprocessingShape">
                    <wps:wsp>
                      <wps:cNvSpPr/>
                      <wps:spPr>
                        <a:xfrm rot="5400000">
                          <a:off x="0" y="0"/>
                          <a:ext cx="453710" cy="3478434"/>
                        </a:xfrm>
                        <a:prstGeom prst="leftBrace">
                          <a:avLst>
                            <a:gd name="adj1" fmla="val 225863"/>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vá složená závorka 44" o:spid="_x0000_s1026" type="#_x0000_t87" style="position:absolute;margin-left:303.45pt;margin-top:122.15pt;width:35.75pt;height:273.9pt;rotation:9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" adj="6363" strokecolor="#4a7ebb" strokeweight="1pt"/>
            </w:pict>
          </mc:Fallback>
        </mc:AlternateContent>
      </w:r>
      <w:r w:rsidRPr="00C40E01">
        <w:rPr>
          <w:noProof/>
          <w:lang w:eastAsia="cs-CZ"/>
        </w:rPr>
        <w:drawing>
          <wp:inline distT="0" distB="0" distL="0" distR="0" wp14:anchorId="03E6F559" wp14:editId="4E5EFE12">
            <wp:extent cx="1804946" cy="1383527"/>
            <wp:effectExtent l="0" t="0" r="0" b="0"/>
            <wp:docPr id="88" name="Graf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Pr="00C40E01">
        <w:rPr>
          <w:noProof/>
          <w:lang w:eastAsia="cs-CZ"/>
        </w:rPr>
        <w:drawing>
          <wp:inline distT="0" distB="0" distL="0" distR="0" wp14:anchorId="2D45CEDC" wp14:editId="6A1D8AFC">
            <wp:extent cx="1971924" cy="1304014"/>
            <wp:effectExtent l="0" t="0" r="0" b="0"/>
            <wp:docPr id="89" name="Graf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D33F0D" w:rsidRPr="00C40E01" w:rsidRDefault="00D33F0D" w:rsidP="00D33F0D">
      <w:pPr>
        <w:spacing w:afterLines="60" w:after="144" w:line="360" w:lineRule="auto"/>
        <w:jc w:val="center"/>
      </w:pPr>
      <w:r w:rsidRPr="00C40E01">
        <w:rPr>
          <w:noProof/>
          <w:lang w:eastAsia="cs-CZ"/>
        </w:rPr>
        <w:drawing>
          <wp:inline distT="0" distB="0" distL="0" distR="0" wp14:anchorId="0A69E72D" wp14:editId="1BD665F8">
            <wp:extent cx="1781092" cy="1335819"/>
            <wp:effectExtent l="0" t="0" r="0" b="0"/>
            <wp:docPr id="90" name="Graf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C40E01">
        <w:rPr>
          <w:noProof/>
          <w:lang w:eastAsia="cs-CZ"/>
        </w:rPr>
        <w:drawing>
          <wp:inline distT="0" distB="0" distL="0" distR="0" wp14:anchorId="0B128C8D" wp14:editId="61A6AC33">
            <wp:extent cx="2003729" cy="1335819"/>
            <wp:effectExtent l="0" t="0" r="0" b="0"/>
            <wp:docPr id="91" name="Graf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D33F0D" w:rsidRPr="00C40E01" w:rsidRDefault="00D33F0D" w:rsidP="00D33F0D">
      <w:pPr>
        <w:spacing w:afterLines="60" w:after="144" w:line="360" w:lineRule="auto"/>
      </w:pPr>
    </w:p>
    <w:p w:rsidR="00D33F0D" w:rsidRPr="00C40E01" w:rsidRDefault="00D33F0D" w:rsidP="00D33F0D">
      <w:pPr>
        <w:spacing w:afterLines="60" w:after="144" w:line="360" w:lineRule="auto"/>
        <w:jc w:val="right"/>
      </w:pPr>
      <w:r w:rsidRPr="00C40E01">
        <w:rPr>
          <w:noProof/>
          <w:lang w:eastAsia="cs-CZ"/>
        </w:rPr>
        <w:drawing>
          <wp:inline distT="0" distB="0" distL="0" distR="0" wp14:anchorId="52291C75" wp14:editId="0E359EFB">
            <wp:extent cx="1892411" cy="1097280"/>
            <wp:effectExtent l="0" t="0" r="0" b="7620"/>
            <wp:docPr id="92" name="Graf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C40E01">
        <w:rPr>
          <w:noProof/>
          <w:lang w:eastAsia="cs-CZ"/>
        </w:rPr>
        <w:drawing>
          <wp:inline distT="0" distB="0" distL="0" distR="0" wp14:anchorId="3A20BAEE" wp14:editId="14B01BB3">
            <wp:extent cx="1956021" cy="1097280"/>
            <wp:effectExtent l="0" t="0" r="6350" b="7620"/>
            <wp:docPr id="93" name="Graf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D33F0D" w:rsidRPr="00C40E01" w:rsidRDefault="00D33F0D" w:rsidP="00D33F0D">
      <w:pPr>
        <w:spacing w:before="120" w:after="120" w:line="240" w:lineRule="auto"/>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 xml:space="preserve">Zdroj dat: DG </w:t>
      </w:r>
      <w:proofErr w:type="spellStart"/>
      <w:r w:rsidRPr="00C40E01">
        <w:rPr>
          <w:rFonts w:ascii="Arial" w:eastAsia="Times New Roman" w:hAnsi="Arial" w:cs="Times New Roman"/>
          <w:i/>
          <w:sz w:val="18"/>
          <w:szCs w:val="24"/>
          <w:lang w:eastAsia="cs-CZ"/>
        </w:rPr>
        <w:t>Research</w:t>
      </w:r>
      <w:proofErr w:type="spellEnd"/>
      <w:r w:rsidRPr="00C40E01">
        <w:rPr>
          <w:rFonts w:ascii="Arial" w:eastAsia="Times New Roman" w:hAnsi="Arial" w:cs="Times New Roman"/>
          <w:i/>
          <w:sz w:val="18"/>
          <w:szCs w:val="24"/>
          <w:lang w:eastAsia="cs-CZ"/>
        </w:rPr>
        <w:t xml:space="preserve"> and </w:t>
      </w:r>
      <w:proofErr w:type="spellStart"/>
      <w:r w:rsidRPr="00C40E01">
        <w:rPr>
          <w:rFonts w:ascii="Arial" w:eastAsia="Times New Roman" w:hAnsi="Arial" w:cs="Times New Roman"/>
          <w:i/>
          <w:sz w:val="18"/>
          <w:szCs w:val="24"/>
          <w:lang w:eastAsia="cs-CZ"/>
        </w:rPr>
        <w:t>Innovation</w:t>
      </w:r>
      <w:proofErr w:type="spellEnd"/>
      <w:r w:rsidRPr="00C40E01">
        <w:rPr>
          <w:rFonts w:ascii="Arial" w:eastAsia="Times New Roman" w:hAnsi="Arial" w:cs="Times New Roman"/>
          <w:i/>
          <w:sz w:val="18"/>
          <w:szCs w:val="24"/>
          <w:lang w:eastAsia="cs-CZ"/>
        </w:rPr>
        <w:t xml:space="preserve"> – Unit </w:t>
      </w:r>
      <w:proofErr w:type="spellStart"/>
      <w:r w:rsidRPr="00C40E01">
        <w:rPr>
          <w:rFonts w:ascii="Arial" w:eastAsia="Times New Roman" w:hAnsi="Arial" w:cs="Times New Roman"/>
          <w:i/>
          <w:sz w:val="18"/>
          <w:szCs w:val="24"/>
          <w:lang w:eastAsia="cs-CZ"/>
        </w:rPr>
        <w:t>for</w:t>
      </w:r>
      <w:proofErr w:type="spellEnd"/>
      <w:r w:rsidRPr="00C40E01">
        <w:rPr>
          <w:rFonts w:ascii="Arial" w:eastAsia="Times New Roman" w:hAnsi="Arial" w:cs="Times New Roman"/>
          <w:i/>
          <w:sz w:val="18"/>
          <w:szCs w:val="24"/>
          <w:lang w:eastAsia="cs-CZ"/>
        </w:rPr>
        <w:t xml:space="preserve"> </w:t>
      </w:r>
      <w:proofErr w:type="spellStart"/>
      <w:r w:rsidRPr="00C40E01">
        <w:rPr>
          <w:rFonts w:ascii="Arial" w:eastAsia="Times New Roman" w:hAnsi="Arial" w:cs="Times New Roman"/>
          <w:i/>
          <w:sz w:val="18"/>
          <w:szCs w:val="24"/>
          <w:lang w:eastAsia="cs-CZ"/>
        </w:rPr>
        <w:t>the</w:t>
      </w:r>
      <w:proofErr w:type="spellEnd"/>
      <w:r w:rsidRPr="00C40E01">
        <w:rPr>
          <w:rFonts w:ascii="Arial" w:eastAsia="Times New Roman" w:hAnsi="Arial" w:cs="Times New Roman"/>
          <w:i/>
          <w:sz w:val="18"/>
          <w:szCs w:val="24"/>
          <w:lang w:eastAsia="cs-CZ"/>
        </w:rPr>
        <w:t xml:space="preserve"> </w:t>
      </w:r>
      <w:proofErr w:type="spellStart"/>
      <w:r w:rsidRPr="00C40E01">
        <w:rPr>
          <w:rFonts w:ascii="Arial" w:eastAsia="Times New Roman" w:hAnsi="Arial" w:cs="Times New Roman"/>
          <w:i/>
          <w:sz w:val="18"/>
          <w:szCs w:val="24"/>
          <w:lang w:eastAsia="cs-CZ"/>
        </w:rPr>
        <w:t>Analysis</w:t>
      </w:r>
      <w:proofErr w:type="spellEnd"/>
      <w:r w:rsidRPr="00C40E01">
        <w:rPr>
          <w:rFonts w:ascii="Arial" w:eastAsia="Times New Roman" w:hAnsi="Arial" w:cs="Times New Roman"/>
          <w:i/>
          <w:sz w:val="18"/>
          <w:szCs w:val="24"/>
          <w:lang w:eastAsia="cs-CZ"/>
        </w:rPr>
        <w:t xml:space="preserve"> and Monitoring </w:t>
      </w:r>
      <w:proofErr w:type="spellStart"/>
      <w:r w:rsidRPr="00C40E01">
        <w:rPr>
          <w:rFonts w:ascii="Arial" w:eastAsia="Times New Roman" w:hAnsi="Arial" w:cs="Times New Roman"/>
          <w:i/>
          <w:sz w:val="18"/>
          <w:szCs w:val="24"/>
          <w:lang w:eastAsia="cs-CZ"/>
        </w:rPr>
        <w:t>of</w:t>
      </w:r>
      <w:proofErr w:type="spellEnd"/>
      <w:r w:rsidRPr="00C40E01">
        <w:rPr>
          <w:rFonts w:ascii="Arial" w:eastAsia="Times New Roman" w:hAnsi="Arial" w:cs="Times New Roman"/>
          <w:i/>
          <w:sz w:val="18"/>
          <w:szCs w:val="24"/>
          <w:lang w:eastAsia="cs-CZ"/>
        </w:rPr>
        <w:t xml:space="preserve"> </w:t>
      </w:r>
      <w:proofErr w:type="spellStart"/>
      <w:r w:rsidRPr="00C40E01">
        <w:rPr>
          <w:rFonts w:ascii="Arial" w:eastAsia="Times New Roman" w:hAnsi="Arial" w:cs="Times New Roman"/>
          <w:i/>
          <w:sz w:val="18"/>
          <w:szCs w:val="24"/>
          <w:lang w:eastAsia="cs-CZ"/>
        </w:rPr>
        <w:t>National</w:t>
      </w:r>
      <w:proofErr w:type="spellEnd"/>
      <w:r w:rsidRPr="00C40E01">
        <w:rPr>
          <w:rFonts w:ascii="Arial" w:eastAsia="Times New Roman" w:hAnsi="Arial" w:cs="Times New Roman"/>
          <w:i/>
          <w:sz w:val="18"/>
          <w:szCs w:val="24"/>
          <w:lang w:eastAsia="cs-CZ"/>
        </w:rPr>
        <w:t xml:space="preserve"> </w:t>
      </w:r>
      <w:proofErr w:type="spellStart"/>
      <w:r w:rsidRPr="00C40E01">
        <w:rPr>
          <w:rFonts w:ascii="Arial" w:eastAsia="Times New Roman" w:hAnsi="Arial" w:cs="Times New Roman"/>
          <w:i/>
          <w:sz w:val="18"/>
          <w:szCs w:val="24"/>
          <w:lang w:eastAsia="cs-CZ"/>
        </w:rPr>
        <w:t>Research</w:t>
      </w:r>
      <w:proofErr w:type="spellEnd"/>
      <w:r w:rsidRPr="00C40E01">
        <w:rPr>
          <w:rFonts w:ascii="Arial" w:eastAsia="Times New Roman" w:hAnsi="Arial" w:cs="Times New Roman"/>
          <w:i/>
          <w:sz w:val="18"/>
          <w:szCs w:val="24"/>
          <w:lang w:eastAsia="cs-CZ"/>
        </w:rPr>
        <w:t xml:space="preserve"> </w:t>
      </w:r>
      <w:proofErr w:type="spellStart"/>
      <w:r w:rsidRPr="00C40E01">
        <w:rPr>
          <w:rFonts w:ascii="Arial" w:eastAsia="Times New Roman" w:hAnsi="Arial" w:cs="Times New Roman"/>
          <w:i/>
          <w:sz w:val="18"/>
          <w:szCs w:val="24"/>
          <w:lang w:eastAsia="cs-CZ"/>
        </w:rPr>
        <w:t>Policies</w:t>
      </w:r>
      <w:proofErr w:type="spellEnd"/>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PCT = Počet PCT patentových přihlášek na miliardu HDP v PPS</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KIABI</w:t>
      </w:r>
      <w:r w:rsidRPr="00C40E01">
        <w:rPr>
          <w:rFonts w:ascii="Arial" w:eastAsia="Times New Roman" w:hAnsi="Arial" w:cs="Times New Roman"/>
          <w:i/>
          <w:sz w:val="18"/>
          <w:szCs w:val="24"/>
          <w:vertAlign w:val="superscript"/>
          <w:lang w:eastAsia="cs-CZ"/>
        </w:rPr>
        <w:footnoteReference w:id="37"/>
      </w:r>
      <w:r w:rsidRPr="00C40E01">
        <w:rPr>
          <w:rFonts w:ascii="Arial" w:eastAsia="Times New Roman" w:hAnsi="Arial" w:cs="Times New Roman"/>
          <w:i/>
          <w:sz w:val="18"/>
          <w:szCs w:val="24"/>
          <w:lang w:eastAsia="cs-CZ"/>
        </w:rPr>
        <w:t xml:space="preserve"> = Zaměstnanost ve znalostně intenzivních odvětvích měřenou jako % z celkové zaměstnanosti</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DYN = Inovativnost rychle rostoucích podniků měřená jako vážený průměr zaměstnanosti</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COMP = Kombinace dílčích ukazatelů zboží a služeb s použitím stejné váhy</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 xml:space="preserve">GOOD = Vývoz </w:t>
      </w:r>
      <w:proofErr w:type="spellStart"/>
      <w:r w:rsidRPr="00C40E01">
        <w:rPr>
          <w:rFonts w:ascii="Arial" w:eastAsia="Times New Roman" w:hAnsi="Arial" w:cs="Times New Roman"/>
          <w:i/>
          <w:sz w:val="18"/>
          <w:szCs w:val="24"/>
          <w:lang w:eastAsia="cs-CZ"/>
        </w:rPr>
        <w:t>High-tech</w:t>
      </w:r>
      <w:proofErr w:type="spellEnd"/>
      <w:r w:rsidRPr="00C40E01">
        <w:rPr>
          <w:rFonts w:ascii="Arial" w:eastAsia="Times New Roman" w:hAnsi="Arial" w:cs="Times New Roman"/>
          <w:i/>
          <w:sz w:val="18"/>
          <w:szCs w:val="24"/>
          <w:lang w:eastAsia="cs-CZ"/>
        </w:rPr>
        <w:t xml:space="preserve"> a Medium-</w:t>
      </w:r>
      <w:proofErr w:type="spellStart"/>
      <w:r w:rsidRPr="00C40E01">
        <w:rPr>
          <w:rFonts w:ascii="Arial" w:eastAsia="Times New Roman" w:hAnsi="Arial" w:cs="Times New Roman"/>
          <w:i/>
          <w:sz w:val="18"/>
          <w:szCs w:val="24"/>
          <w:lang w:eastAsia="cs-CZ"/>
        </w:rPr>
        <w:t>high</w:t>
      </w:r>
      <w:proofErr w:type="spellEnd"/>
      <w:r w:rsidRPr="00C40E01">
        <w:rPr>
          <w:rFonts w:ascii="Arial" w:eastAsia="Times New Roman" w:hAnsi="Arial" w:cs="Times New Roman"/>
          <w:i/>
          <w:sz w:val="18"/>
          <w:szCs w:val="24"/>
          <w:lang w:eastAsia="cs-CZ"/>
        </w:rPr>
        <w:t>-</w:t>
      </w:r>
      <w:proofErr w:type="spellStart"/>
      <w:r w:rsidRPr="00C40E01">
        <w:rPr>
          <w:rFonts w:ascii="Arial" w:eastAsia="Times New Roman" w:hAnsi="Arial" w:cs="Times New Roman"/>
          <w:i/>
          <w:sz w:val="18"/>
          <w:szCs w:val="24"/>
          <w:lang w:eastAsia="cs-CZ"/>
        </w:rPr>
        <w:t>tech</w:t>
      </w:r>
      <w:proofErr w:type="spellEnd"/>
      <w:r w:rsidRPr="00C40E01">
        <w:rPr>
          <w:rFonts w:ascii="Arial" w:eastAsia="Times New Roman" w:hAnsi="Arial" w:cs="Times New Roman"/>
          <w:i/>
          <w:sz w:val="18"/>
          <w:szCs w:val="24"/>
          <w:lang w:eastAsia="cs-CZ"/>
        </w:rPr>
        <w:t xml:space="preserve"> zboží jako% z celkového vývozu zboží</w:t>
      </w:r>
    </w:p>
    <w:p w:rsidR="00D33F0D" w:rsidRDefault="00D33F0D" w:rsidP="00D33F0D">
      <w:pPr>
        <w:spacing w:after="0" w:line="240" w:lineRule="auto"/>
        <w:jc w:val="both"/>
        <w:rPr>
          <w:rFonts w:ascii="Arial" w:hAnsi="Arial" w:cs="Arial"/>
          <w:sz w:val="24"/>
          <w:szCs w:val="24"/>
        </w:rPr>
      </w:pPr>
      <w:r w:rsidRPr="00C40E01">
        <w:rPr>
          <w:rFonts w:ascii="Arial" w:eastAsia="Times New Roman" w:hAnsi="Arial" w:cs="Times New Roman"/>
          <w:i/>
          <w:sz w:val="18"/>
          <w:szCs w:val="24"/>
          <w:lang w:eastAsia="cs-CZ"/>
        </w:rPr>
        <w:t>SERV = Vývoz znalostně intenzivních služeb jako% z celkového vývozu služeb</w:t>
      </w:r>
      <w:r>
        <w:rPr>
          <w:rFonts w:ascii="Arial" w:hAnsi="Arial" w:cs="Arial"/>
          <w:sz w:val="24"/>
          <w:szCs w:val="24"/>
        </w:rPr>
        <w:br w:type="page"/>
      </w:r>
    </w:p>
    <w:p w:rsidR="00D33F0D" w:rsidRPr="00C40E01" w:rsidRDefault="00D33F0D" w:rsidP="00D33F0D">
      <w:pPr>
        <w:spacing w:afterLines="60" w:after="144" w:line="360" w:lineRule="auto"/>
        <w:ind w:left="50" w:firstLine="360"/>
        <w:jc w:val="both"/>
        <w:rPr>
          <w:rFonts w:ascii="Arial" w:hAnsi="Arial" w:cs="Arial"/>
        </w:rPr>
      </w:pPr>
      <w:r w:rsidRPr="002020B9">
        <w:rPr>
          <w:rFonts w:ascii="Arial" w:hAnsi="Arial" w:cs="Arial"/>
        </w:rPr>
        <w:lastRenderedPageBreak/>
        <w:t>Pro srovnání pozice ČR lze využít hodnot všech složených indikátorů v roce 2014</w:t>
      </w:r>
      <w:r>
        <w:rPr>
          <w:rFonts w:ascii="Arial" w:hAnsi="Arial" w:cs="Arial"/>
        </w:rPr>
        <w:t xml:space="preserve"> </w:t>
      </w:r>
      <w:r w:rsidR="00863581">
        <w:rPr>
          <w:rFonts w:ascii="Arial" w:hAnsi="Arial" w:cs="Arial"/>
        </w:rPr>
        <w:t>(obr. 8</w:t>
      </w:r>
      <w:r w:rsidRPr="002020B9">
        <w:rPr>
          <w:rFonts w:ascii="Arial" w:hAnsi="Arial" w:cs="Arial"/>
        </w:rPr>
        <w:t>.11</w:t>
      </w:r>
      <w:r>
        <w:rPr>
          <w:rFonts w:ascii="Arial" w:hAnsi="Arial" w:cs="Arial"/>
        </w:rPr>
        <w:t xml:space="preserve">). V roce 2012 byly při srovnání na základě SII a IOI patrné relativně velké rozdíly v umístění ČR vůči ostatním zemím (viz Analýza 2014). Pokud se podíváme na umístění ČR v roce 2014 podle všech vybraných složených indikátorů, vidíme, že se pozice ČR téměř nezměnila. K výrazným změnám v umístění dochází spíše na předních a posledních místech. Například podle GII </w:t>
      </w:r>
      <w:r w:rsidR="00786C67">
        <w:rPr>
          <w:rFonts w:ascii="Arial" w:hAnsi="Arial" w:cs="Arial"/>
        </w:rPr>
        <w:t xml:space="preserve">je </w:t>
      </w:r>
      <w:r>
        <w:rPr>
          <w:rFonts w:ascii="Arial" w:hAnsi="Arial" w:cs="Arial"/>
        </w:rPr>
        <w:t>Velká Británie nejvíce „inovující“ zem</w:t>
      </w:r>
      <w:r w:rsidR="00786C67">
        <w:rPr>
          <w:rFonts w:ascii="Arial" w:hAnsi="Arial" w:cs="Arial"/>
        </w:rPr>
        <w:t>í</w:t>
      </w:r>
      <w:r>
        <w:rPr>
          <w:rFonts w:ascii="Arial" w:hAnsi="Arial" w:cs="Arial"/>
        </w:rPr>
        <w:t xml:space="preserve">, přestože podle SII a IOI nepatří </w:t>
      </w:r>
      <w:r w:rsidR="00786C67">
        <w:rPr>
          <w:rFonts w:ascii="Arial" w:hAnsi="Arial" w:cs="Arial"/>
        </w:rPr>
        <w:t>mezi nejlepší státy</w:t>
      </w:r>
      <w:r>
        <w:rPr>
          <w:rFonts w:ascii="Arial" w:hAnsi="Arial" w:cs="Arial"/>
        </w:rPr>
        <w:t xml:space="preserve">. </w:t>
      </w:r>
    </w:p>
    <w:p w:rsidR="00D33F0D" w:rsidRPr="00C40E01" w:rsidRDefault="00D33F0D" w:rsidP="00D33F0D">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t xml:space="preserve">Obr.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.1</w:t>
      </w:r>
      <w:r w:rsidR="006C2D75">
        <w:rPr>
          <w:rFonts w:ascii="Arial" w:eastAsia="Times New Roman" w:hAnsi="Arial" w:cs="Times New Roman"/>
          <w:b/>
          <w:szCs w:val="24"/>
          <w:lang w:eastAsia="cs-CZ"/>
        </w:rPr>
        <w:t>1</w:t>
      </w:r>
      <w:r>
        <w:rPr>
          <w:rFonts w:ascii="Arial" w:eastAsia="Times New Roman" w:hAnsi="Arial" w:cs="Times New Roman"/>
          <w:b/>
          <w:szCs w:val="24"/>
          <w:lang w:eastAsia="cs-CZ"/>
        </w:rPr>
        <w:t>: Srovnání SII,</w:t>
      </w:r>
      <w:r w:rsidRPr="00C40E01">
        <w:rPr>
          <w:rFonts w:ascii="Arial" w:eastAsia="Times New Roman" w:hAnsi="Arial" w:cs="Times New Roman"/>
          <w:b/>
          <w:szCs w:val="24"/>
          <w:lang w:eastAsia="cs-CZ"/>
        </w:rPr>
        <w:t xml:space="preserve"> IOI</w:t>
      </w:r>
      <w:r>
        <w:rPr>
          <w:rFonts w:ascii="Arial" w:eastAsia="Times New Roman" w:hAnsi="Arial" w:cs="Times New Roman"/>
          <w:b/>
          <w:szCs w:val="24"/>
          <w:lang w:eastAsia="cs-CZ"/>
        </w:rPr>
        <w:t xml:space="preserve"> a GII</w:t>
      </w:r>
      <w:r w:rsidRPr="00C40E01">
        <w:rPr>
          <w:rFonts w:ascii="Arial" w:eastAsia="Times New Roman" w:hAnsi="Arial" w:cs="Times New Roman"/>
          <w:b/>
          <w:szCs w:val="24"/>
          <w:lang w:eastAsia="cs-CZ"/>
        </w:rPr>
        <w:t xml:space="preserve"> v roce 2014</w:t>
      </w:r>
    </w:p>
    <w:p w:rsidR="00D33F0D" w:rsidRPr="00C40E01" w:rsidRDefault="00D33F0D" w:rsidP="00D33F0D">
      <w:pPr>
        <w:spacing w:afterLines="60" w:after="144" w:line="360" w:lineRule="auto"/>
        <w:jc w:val="center"/>
        <w:rPr>
          <w:rFonts w:cs="Times New Roman"/>
        </w:rPr>
      </w:pPr>
      <w:r w:rsidRPr="00C40E01">
        <w:rPr>
          <w:noProof/>
          <w:lang w:eastAsia="cs-CZ"/>
        </w:rPr>
        <mc:AlternateContent>
          <mc:Choice Requires="wps">
            <w:drawing>
              <wp:anchor distT="0" distB="0" distL="114300" distR="114300" simplePos="0" relativeHeight="251676672" behindDoc="0" locked="0" layoutInCell="1" allowOverlap="1" wp14:anchorId="43235055" wp14:editId="3CCDB076">
                <wp:simplePos x="0" y="0"/>
                <wp:positionH relativeFrom="column">
                  <wp:posOffset>3097530</wp:posOffset>
                </wp:positionH>
                <wp:positionV relativeFrom="paragraph">
                  <wp:posOffset>593725</wp:posOffset>
                </wp:positionV>
                <wp:extent cx="109220" cy="341630"/>
                <wp:effectExtent l="57150" t="38100" r="81280" b="96520"/>
                <wp:wrapNone/>
                <wp:docPr id="45" name="Šipka dolů 1"/>
                <wp:cNvGraphicFramePr/>
                <a:graphic xmlns:a="http://schemas.openxmlformats.org/drawingml/2006/main">
                  <a:graphicData uri="http://schemas.microsoft.com/office/word/2010/wordprocessingShape">
                    <wps:wsp>
                      <wps:cNvSpPr/>
                      <wps:spPr>
                        <a:xfrm>
                          <a:off x="0" y="0"/>
                          <a:ext cx="109220" cy="341630"/>
                        </a:xfrm>
                        <a:prstGeom prst="downArrow">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Overflow="clip"/>
                    </wps:wsp>
                  </a:graphicData>
                </a:graphic>
              </wp:anchor>
            </w:drawing>
          </mc:Choice>
          <mc:Fallback>
            <w:pict>
              <v:shape id="Šipka dolů 1" o:spid="_x0000_s1026" type="#_x0000_t67" style="position:absolute;margin-left:243.9pt;margin-top:46.75pt;width:8.6pt;height:26.9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" adj="18147" fillcolor="#ffa2a1" strokecolor="#be4b48">
                <v:fill color2="#ffe5e5" rotate="t" angle="180" colors="0 #ffa2a1;22938f #ffbebd;1 #ffe5e5" focus="100%" type="gradient"/>
                <v:shadow on="t" color="black" opacity="24903f" origin=",.5" offset="0,.55556mm"/>
              </v:shape>
            </w:pict>
          </mc:Fallback>
        </mc:AlternateContent>
      </w:r>
      <w:r>
        <w:rPr>
          <w:noProof/>
          <w:lang w:eastAsia="cs-CZ"/>
        </w:rPr>
        <w:drawing>
          <wp:inline distT="0" distB="0" distL="0" distR="0" wp14:anchorId="39F761B4" wp14:editId="626C1121">
            <wp:extent cx="5972810" cy="2098040"/>
            <wp:effectExtent l="0" t="0" r="8890" b="0"/>
            <wp:docPr id="94" name="Graf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D33F0D" w:rsidRPr="00C40E01" w:rsidRDefault="00D33F0D" w:rsidP="00D33F0D">
      <w:pPr>
        <w:spacing w:afterLines="60" w:after="144" w:line="360" w:lineRule="auto"/>
        <w:jc w:val="center"/>
        <w:rPr>
          <w:rFonts w:cs="Times New Roman"/>
        </w:rPr>
      </w:pPr>
      <w:r w:rsidRPr="00C40E01">
        <w:rPr>
          <w:noProof/>
          <w:lang w:eastAsia="cs-CZ"/>
        </w:rPr>
        <mc:AlternateContent>
          <mc:Choice Requires="wps">
            <w:drawing>
              <wp:anchor distT="0" distB="0" distL="114300" distR="114300" simplePos="0" relativeHeight="251674624" behindDoc="0" locked="0" layoutInCell="1" allowOverlap="1" wp14:anchorId="66D9F78D" wp14:editId="52FAD0E3">
                <wp:simplePos x="0" y="0"/>
                <wp:positionH relativeFrom="column">
                  <wp:posOffset>2909570</wp:posOffset>
                </wp:positionH>
                <wp:positionV relativeFrom="paragraph">
                  <wp:posOffset>499745</wp:posOffset>
                </wp:positionV>
                <wp:extent cx="109220" cy="341630"/>
                <wp:effectExtent l="57150" t="38100" r="81280" b="96520"/>
                <wp:wrapNone/>
                <wp:docPr id="74" name="Šipka dolů 1"/>
                <wp:cNvGraphicFramePr/>
                <a:graphic xmlns:a="http://schemas.openxmlformats.org/drawingml/2006/main">
                  <a:graphicData uri="http://schemas.microsoft.com/office/word/2010/wordprocessingShape">
                    <wps:wsp>
                      <wps:cNvSpPr/>
                      <wps:spPr>
                        <a:xfrm>
                          <a:off x="0" y="0"/>
                          <a:ext cx="109220" cy="341630"/>
                        </a:xfrm>
                        <a:prstGeom prst="downArrow">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Overflow="clip"/>
                    </wps:wsp>
                  </a:graphicData>
                </a:graphic>
              </wp:anchor>
            </w:drawing>
          </mc:Choice>
          <mc:Fallback>
            <w:pict>
              <v:shape id="Šipka dolů 1" o:spid="_x0000_s1026" type="#_x0000_t67" style="position:absolute;margin-left:229.1pt;margin-top:39.35pt;width:8.6pt;height:26.9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" adj="18147" fillcolor="#ffa2a1" strokecolor="#be4b48">
                <v:fill color2="#ffe5e5" rotate="t" angle="180" colors="0 #ffa2a1;22938f #ffbebd;1 #ffe5e5" focus="100%" type="gradient"/>
                <v:shadow on="t" color="black" opacity="24903f" origin=",.5" offset="0,.55556mm"/>
              </v:shape>
            </w:pict>
          </mc:Fallback>
        </mc:AlternateContent>
      </w:r>
      <w:r>
        <w:rPr>
          <w:noProof/>
          <w:lang w:eastAsia="cs-CZ"/>
        </w:rPr>
        <w:drawing>
          <wp:inline distT="0" distB="0" distL="0" distR="0" wp14:anchorId="7B2C672F" wp14:editId="717F644B">
            <wp:extent cx="5972810" cy="2092960"/>
            <wp:effectExtent l="0" t="0" r="8890" b="2540"/>
            <wp:docPr id="95" name="Graf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D33F0D" w:rsidRDefault="00D33F0D" w:rsidP="00D33F0D">
      <w:pPr>
        <w:spacing w:afterLines="60" w:after="144" w:line="360" w:lineRule="auto"/>
        <w:jc w:val="both"/>
        <w:rPr>
          <w:rFonts w:cs="Times New Roman"/>
        </w:rPr>
      </w:pPr>
      <w:r w:rsidRPr="00C40E01">
        <w:rPr>
          <w:noProof/>
          <w:lang w:eastAsia="cs-CZ"/>
        </w:rPr>
        <mc:AlternateContent>
          <mc:Choice Requires="wpg">
            <w:drawing>
              <wp:anchor distT="0" distB="0" distL="114300" distR="114300" simplePos="0" relativeHeight="251675648" behindDoc="0" locked="0" layoutInCell="1" allowOverlap="1" wp14:anchorId="3F377294" wp14:editId="4D336FCE">
                <wp:simplePos x="0" y="0"/>
                <wp:positionH relativeFrom="column">
                  <wp:posOffset>439420</wp:posOffset>
                </wp:positionH>
                <wp:positionV relativeFrom="paragraph">
                  <wp:posOffset>2145666</wp:posOffset>
                </wp:positionV>
                <wp:extent cx="5534660" cy="247650"/>
                <wp:effectExtent l="0" t="0" r="0" b="0"/>
                <wp:wrapNone/>
                <wp:docPr id="55" name="Skupina 55"/>
                <wp:cNvGraphicFramePr/>
                <a:graphic xmlns:a="http://schemas.openxmlformats.org/drawingml/2006/main">
                  <a:graphicData uri="http://schemas.microsoft.com/office/word/2010/wordprocessingGroup">
                    <wpg:wgp>
                      <wpg:cNvGrpSpPr/>
                      <wpg:grpSpPr>
                        <a:xfrm>
                          <a:off x="0" y="0"/>
                          <a:ext cx="5534660" cy="247650"/>
                          <a:chOff x="0" y="0"/>
                          <a:chExt cx="5534853" cy="247650"/>
                        </a:xfrm>
                      </wpg:grpSpPr>
                      <wpg:grpSp>
                        <wpg:cNvPr id="57" name="Skupina 2"/>
                        <wpg:cNvGrpSpPr/>
                        <wpg:grpSpPr>
                          <a:xfrm>
                            <a:off x="0" y="0"/>
                            <a:ext cx="1257300" cy="247650"/>
                            <a:chOff x="123825" y="0"/>
                            <a:chExt cx="1257300" cy="247650"/>
                          </a:xfrm>
                        </wpg:grpSpPr>
                        <wps:wsp>
                          <wps:cNvPr id="59" name="Zaoblený obdélník 59"/>
                          <wps:cNvSpPr/>
                          <wps:spPr>
                            <a:xfrm>
                              <a:off x="123825" y="47626"/>
                              <a:ext cx="114300" cy="114300"/>
                            </a:xfrm>
                            <a:prstGeom prst="roundRect">
                              <a:avLst/>
                            </a:prstGeom>
                            <a:solidFill>
                              <a:srgbClr val="F79646">
                                <a:lumMod val="75000"/>
                              </a:srgbClr>
                            </a:solidFill>
                            <a:ln w="25400" cap="flat" cmpd="sng" algn="ctr">
                              <a:noFill/>
                              <a:prstDash val="solid"/>
                            </a:ln>
                            <a:effectLst/>
                          </wps:spPr>
                          <wps:txbx>
                            <w:txbxContent>
                              <w:p w:rsidR="00206FAD" w:rsidRDefault="00206FAD" w:rsidP="00D33F0D">
                                <w:pPr>
                                  <w:rPr>
                                    <w:rFonts w:eastAsia="Times New Roman"/>
                                  </w:rPr>
                                </w:pPr>
                              </w:p>
                            </w:txbxContent>
                          </wps:txbx>
                          <wps:bodyPr rtlCol="0" anchor="t"/>
                        </wps:wsp>
                        <wps:wsp>
                          <wps:cNvPr id="60" name="TextovéPole 4"/>
                          <wps:cNvSpPr txBox="1"/>
                          <wps:spPr>
                            <a:xfrm>
                              <a:off x="238124" y="0"/>
                              <a:ext cx="1143001" cy="247650"/>
                            </a:xfrm>
                            <a:prstGeom prst="rect">
                              <a:avLst/>
                            </a:prstGeom>
                            <a:noFill/>
                            <a:ln w="9525" cmpd="sng">
                              <a:noFill/>
                            </a:ln>
                            <a:effectLst/>
                          </wps:spPr>
                          <wps:txbx>
                            <w:txbxContent>
                              <w:p w:rsidR="00206FAD" w:rsidRDefault="00206FAD" w:rsidP="00D33F0D">
                                <w:pPr>
                                  <w:pStyle w:val="Normlnweb"/>
                                  <w:spacing w:after="0"/>
                                </w:pPr>
                                <w:r>
                                  <w:rPr>
                                    <w:rFonts w:asciiTheme="minorHAnsi" w:hAnsi="Calibri" w:cstheme="minorBidi"/>
                                    <w:color w:val="000000" w:themeColor="dark1"/>
                                    <w:sz w:val="16"/>
                                    <w:szCs w:val="16"/>
                                  </w:rPr>
                                  <w:t>MODEST INNOVATORS</w:t>
                                </w:r>
                              </w:p>
                            </w:txbxContent>
                          </wps:txbx>
                          <wps:bodyPr wrap="square" rtlCol="0" anchor="t"/>
                        </wps:wsp>
                      </wpg:grpSp>
                      <wpg:grpSp>
                        <wpg:cNvPr id="65" name="Skupina 15"/>
                        <wpg:cNvGrpSpPr/>
                        <wpg:grpSpPr>
                          <a:xfrm>
                            <a:off x="1256306" y="0"/>
                            <a:ext cx="1552575" cy="247650"/>
                            <a:chOff x="123825" y="0"/>
                            <a:chExt cx="1552575" cy="247650"/>
                          </a:xfrm>
                        </wpg:grpSpPr>
                        <wps:wsp>
                          <wps:cNvPr id="66" name="Zaoblený obdélník 66"/>
                          <wps:cNvSpPr/>
                          <wps:spPr>
                            <a:xfrm>
                              <a:off x="123825" y="47626"/>
                              <a:ext cx="114300" cy="114300"/>
                            </a:xfrm>
                            <a:prstGeom prst="roundRect">
                              <a:avLst/>
                            </a:prstGeom>
                            <a:solidFill>
                              <a:srgbClr val="FFFF00"/>
                            </a:solidFill>
                            <a:ln w="25400" cap="flat" cmpd="sng" algn="ctr">
                              <a:noFill/>
                              <a:prstDash val="solid"/>
                            </a:ln>
                            <a:effectLst/>
                          </wps:spPr>
                          <wps:txbx>
                            <w:txbxContent>
                              <w:p w:rsidR="00206FAD" w:rsidRDefault="00206FAD" w:rsidP="00D33F0D">
                                <w:pPr>
                                  <w:rPr>
                                    <w:rFonts w:eastAsia="Times New Roman"/>
                                  </w:rPr>
                                </w:pPr>
                              </w:p>
                            </w:txbxContent>
                          </wps:txbx>
                          <wps:bodyPr rtlCol="0" anchor="t"/>
                        </wps:wsp>
                        <wps:wsp>
                          <wps:cNvPr id="67" name="TextovéPole 6"/>
                          <wps:cNvSpPr txBox="1"/>
                          <wps:spPr>
                            <a:xfrm>
                              <a:off x="238124" y="0"/>
                              <a:ext cx="1438276" cy="247650"/>
                            </a:xfrm>
                            <a:prstGeom prst="rect">
                              <a:avLst/>
                            </a:prstGeom>
                            <a:noFill/>
                            <a:ln w="9525" cmpd="sng">
                              <a:noFill/>
                            </a:ln>
                            <a:effectLst/>
                          </wps:spPr>
                          <wps:txbx>
                            <w:txbxContent>
                              <w:p w:rsidR="00206FAD" w:rsidRDefault="00206FAD" w:rsidP="00D33F0D">
                                <w:pPr>
                                  <w:pStyle w:val="Normlnweb"/>
                                  <w:spacing w:after="0"/>
                                </w:pPr>
                                <w:r>
                                  <w:rPr>
                                    <w:rFonts w:asciiTheme="minorHAnsi" w:hAnsi="Calibri" w:cstheme="minorBidi"/>
                                    <w:color w:val="000000" w:themeColor="dark1"/>
                                    <w:sz w:val="16"/>
                                    <w:szCs w:val="16"/>
                                  </w:rPr>
                                  <w:t>MODERATE INNOVATORS</w:t>
                                </w:r>
                              </w:p>
                            </w:txbxContent>
                          </wps:txbx>
                          <wps:bodyPr wrap="square" rtlCol="0" anchor="t"/>
                        </wps:wsp>
                      </wpg:grpSp>
                      <wpg:grpSp>
                        <wpg:cNvPr id="68" name="Skupina 16"/>
                        <wpg:cNvGrpSpPr/>
                        <wpg:grpSpPr>
                          <a:xfrm>
                            <a:off x="2695492" y="0"/>
                            <a:ext cx="1428750" cy="247650"/>
                            <a:chOff x="123825" y="0"/>
                            <a:chExt cx="1428750" cy="247650"/>
                          </a:xfrm>
                        </wpg:grpSpPr>
                        <wps:wsp>
                          <wps:cNvPr id="69" name="Zaoblený obdélník 69"/>
                          <wps:cNvSpPr/>
                          <wps:spPr>
                            <a:xfrm>
                              <a:off x="123825" y="47626"/>
                              <a:ext cx="114300" cy="114300"/>
                            </a:xfrm>
                            <a:prstGeom prst="roundRect">
                              <a:avLst/>
                            </a:prstGeom>
                            <a:solidFill>
                              <a:srgbClr val="8DE3B4"/>
                            </a:solidFill>
                            <a:ln w="25400" cap="flat" cmpd="sng" algn="ctr">
                              <a:noFill/>
                              <a:prstDash val="solid"/>
                            </a:ln>
                            <a:effectLst/>
                          </wps:spPr>
                          <wps:txbx>
                            <w:txbxContent>
                              <w:p w:rsidR="00206FAD" w:rsidRDefault="00206FAD" w:rsidP="00D33F0D">
                                <w:pPr>
                                  <w:rPr>
                                    <w:rFonts w:eastAsia="Times New Roman"/>
                                  </w:rPr>
                                </w:pPr>
                              </w:p>
                            </w:txbxContent>
                          </wps:txbx>
                          <wps:bodyPr rtlCol="0" anchor="t"/>
                        </wps:wsp>
                        <wps:wsp>
                          <wps:cNvPr id="70" name="TextovéPole 8"/>
                          <wps:cNvSpPr txBox="1"/>
                          <wps:spPr>
                            <a:xfrm>
                              <a:off x="238124" y="0"/>
                              <a:ext cx="1314451" cy="247650"/>
                            </a:xfrm>
                            <a:prstGeom prst="rect">
                              <a:avLst/>
                            </a:prstGeom>
                            <a:noFill/>
                            <a:ln w="9525" cmpd="sng">
                              <a:noFill/>
                            </a:ln>
                            <a:effectLst/>
                          </wps:spPr>
                          <wps:txbx>
                            <w:txbxContent>
                              <w:p w:rsidR="00206FAD" w:rsidRDefault="00206FAD" w:rsidP="00D33F0D">
                                <w:pPr>
                                  <w:pStyle w:val="Normlnweb"/>
                                  <w:spacing w:after="0"/>
                                </w:pPr>
                                <w:r>
                                  <w:rPr>
                                    <w:rFonts w:asciiTheme="minorHAnsi" w:hAnsi="Calibri" w:cstheme="minorBidi"/>
                                    <w:color w:val="000000" w:themeColor="dark1"/>
                                    <w:sz w:val="16"/>
                                    <w:szCs w:val="16"/>
                                  </w:rPr>
                                  <w:t>INNOVATION FOLLOWERS</w:t>
                                </w:r>
                              </w:p>
                            </w:txbxContent>
                          </wps:txbx>
                          <wps:bodyPr wrap="square" rtlCol="0" anchor="t"/>
                        </wps:wsp>
                      </wpg:grpSp>
                      <wpg:grpSp>
                        <wpg:cNvPr id="71" name="Skupina 17"/>
                        <wpg:cNvGrpSpPr/>
                        <wpg:grpSpPr>
                          <a:xfrm>
                            <a:off x="4134678" y="0"/>
                            <a:ext cx="1400175" cy="247650"/>
                            <a:chOff x="123825" y="0"/>
                            <a:chExt cx="1400175" cy="247650"/>
                          </a:xfrm>
                        </wpg:grpSpPr>
                        <wps:wsp>
                          <wps:cNvPr id="72" name="Zaoblený obdélník 72"/>
                          <wps:cNvSpPr/>
                          <wps:spPr>
                            <a:xfrm>
                              <a:off x="123825" y="47626"/>
                              <a:ext cx="114300" cy="114300"/>
                            </a:xfrm>
                            <a:prstGeom prst="roundRect">
                              <a:avLst/>
                            </a:prstGeom>
                            <a:solidFill>
                              <a:srgbClr val="0B970E"/>
                            </a:solidFill>
                            <a:ln w="25400" cap="flat" cmpd="sng" algn="ctr">
                              <a:noFill/>
                              <a:prstDash val="solid"/>
                            </a:ln>
                            <a:effectLst/>
                          </wps:spPr>
                          <wps:txbx>
                            <w:txbxContent>
                              <w:p w:rsidR="00206FAD" w:rsidRDefault="00206FAD" w:rsidP="00D33F0D">
                                <w:pPr>
                                  <w:rPr>
                                    <w:rFonts w:eastAsia="Times New Roman"/>
                                  </w:rPr>
                                </w:pPr>
                              </w:p>
                            </w:txbxContent>
                          </wps:txbx>
                          <wps:bodyPr rtlCol="0" anchor="t"/>
                        </wps:wsp>
                        <wps:wsp>
                          <wps:cNvPr id="73" name="TextovéPole 10"/>
                          <wps:cNvSpPr txBox="1"/>
                          <wps:spPr>
                            <a:xfrm>
                              <a:off x="238124" y="0"/>
                              <a:ext cx="1285876" cy="247650"/>
                            </a:xfrm>
                            <a:prstGeom prst="rect">
                              <a:avLst/>
                            </a:prstGeom>
                            <a:noFill/>
                            <a:ln w="9525" cmpd="sng">
                              <a:noFill/>
                            </a:ln>
                            <a:effectLst/>
                          </wps:spPr>
                          <wps:txbx>
                            <w:txbxContent>
                              <w:p w:rsidR="00206FAD" w:rsidRDefault="00206FAD" w:rsidP="00D33F0D">
                                <w:pPr>
                                  <w:pStyle w:val="Normlnweb"/>
                                  <w:spacing w:after="0"/>
                                </w:pPr>
                                <w:r>
                                  <w:rPr>
                                    <w:rFonts w:asciiTheme="minorHAnsi" w:hAnsi="Calibri" w:cstheme="minorBidi"/>
                                    <w:color w:val="000000" w:themeColor="dark1"/>
                                    <w:sz w:val="16"/>
                                    <w:szCs w:val="16"/>
                                  </w:rPr>
                                  <w:t>INNOVATION LEADERS</w:t>
                                </w:r>
                              </w:p>
                            </w:txbxContent>
                          </wps:txbx>
                          <wps:bodyPr wrap="square" rtlCol="0" anchor="t"/>
                        </wps:wsp>
                      </wpg:grpSp>
                    </wpg:wgp>
                  </a:graphicData>
                </a:graphic>
              </wp:anchor>
            </w:drawing>
          </mc:Choice>
          <mc:Fallback>
            <w:pict>
              <v:group id="Skupina 55" o:spid="_x0000_s1077" style="position:absolute;left:0;text-align:left;margin-left:34.6pt;margin-top:168.95pt;width:435.8pt;height:19.5pt;z-index:251675648" coordsize="55348,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">
                <v:group id="Skupina 2" o:spid="_x0000_s1078" style="position:absolute;width:12573;height:2476" coordorigin="1238" coordsize="12573,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oundrect id="Zaoblený obdélník 59" o:spid="_x0000_s1079"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J/GcQA&#10;AADbAAAADwAAAGRycy9kb3ducmV2LnhtbESPS4vCQBCE78L+h6EFbzpRWB9ZR5EFYfWg+FqvvZne&#10;JJjpCZkxxn/vCILHoqq+oqbzxhSipsrllhX0exEI4sTqnFMFx8OyOwbhPLLGwjIpuJOD+eyjNcVY&#10;2xvvqN77VAQIuxgVZN6XsZQuycig69mSOHj/tjLog6xSqSu8Bbgp5CCKhtJgzmEhw5K+M0ou+6tR&#10;UG9/L7weL7CW2Kw259HodF7/KdVpN4svEJ4a/w6/2j9awecEnl/CD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yfxnEAAAA2wAAAA8AAAAAAAAAAAAAAAAAmAIAAGRycy9k&#10;b3ducmV2LnhtbFBLBQYAAAAABAAEAPUAAACJAwAAAAA=&#10;" fillcolor="#e46c0a" stroked="f" strokeweight="2pt">
                    <v:textbox>
                      <w:txbxContent>
                        <w:p w:rsidR="00206FAD" w:rsidRDefault="00206FAD" w:rsidP="00D33F0D">
                          <w:pPr>
                            <w:rPr>
                              <w:rFonts w:eastAsia="Times New Roman"/>
                            </w:rPr>
                          </w:pPr>
                        </w:p>
                      </w:txbxContent>
                    </v:textbox>
                  </v:roundrect>
                  <v:shape id="TextovéPole 4" o:spid="_x0000_s1080" type="#_x0000_t202" style="position:absolute;left:2381;width:11430;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206FAD" w:rsidRDefault="00206FAD" w:rsidP="00D33F0D">
                          <w:pPr>
                            <w:pStyle w:val="Normlnweb"/>
                            <w:spacing w:after="0"/>
                          </w:pPr>
                          <w:r>
                            <w:rPr>
                              <w:rFonts w:asciiTheme="minorHAnsi" w:hAnsi="Calibri" w:cstheme="minorBidi"/>
                              <w:color w:val="000000" w:themeColor="dark1"/>
                              <w:sz w:val="16"/>
                              <w:szCs w:val="16"/>
                            </w:rPr>
                            <w:t>MODEST INNOVATORS</w:t>
                          </w:r>
                        </w:p>
                      </w:txbxContent>
                    </v:textbox>
                  </v:shape>
                </v:group>
                <v:group id="Skupina 15" o:spid="_x0000_s1081" style="position:absolute;left:12563;width:15525;height:2476" coordorigin="1238" coordsize="15525,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roundrect id="Zaoblený obdélník 66" o:spid="_x0000_s1082"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2hMMA&#10;AADbAAAADwAAAGRycy9kb3ducmV2LnhtbESPQWvCQBSE7wX/w/KE3uquikFSVxGpIMVLY/D8mn3N&#10;hmbfptk1pv++Wyj0OMzMN8xmN7pWDNSHxrOG+UyBIK68abjWUF6OT2sQISIbbD2Thm8KsNtOHjaY&#10;G3/nNxqKWIsE4ZCjBhtjl0sZKksOw8x3xMn78L3DmGRfS9PjPcFdKxdKZdJhw2nBYkcHS9VncXMa&#10;XtqVtZe9qouv13P5fh3Kpb0prR+n4/4ZRKQx/of/2iejIcvg90v6A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L2hMMAAADbAAAADwAAAAAAAAAAAAAAAACYAgAAZHJzL2Rv&#10;d25yZXYueG1sUEsFBgAAAAAEAAQA9QAAAIgDAAAAAA==&#10;" fillcolor="yellow" stroked="f" strokeweight="2pt">
                    <v:textbox>
                      <w:txbxContent>
                        <w:p w:rsidR="00206FAD" w:rsidRDefault="00206FAD" w:rsidP="00D33F0D">
                          <w:pPr>
                            <w:rPr>
                              <w:rFonts w:eastAsia="Times New Roman"/>
                            </w:rPr>
                          </w:pPr>
                        </w:p>
                      </w:txbxContent>
                    </v:textbox>
                  </v:roundrect>
                  <v:shape id="TextovéPole 6" o:spid="_x0000_s1083" type="#_x0000_t202" style="position:absolute;left:2381;width:14383;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206FAD" w:rsidRDefault="00206FAD" w:rsidP="00D33F0D">
                          <w:pPr>
                            <w:pStyle w:val="Normlnweb"/>
                            <w:spacing w:after="0"/>
                          </w:pPr>
                          <w:r>
                            <w:rPr>
                              <w:rFonts w:asciiTheme="minorHAnsi" w:hAnsi="Calibri" w:cstheme="minorBidi"/>
                              <w:color w:val="000000" w:themeColor="dark1"/>
                              <w:sz w:val="16"/>
                              <w:szCs w:val="16"/>
                            </w:rPr>
                            <w:t>MODERATE INNOVATORS</w:t>
                          </w:r>
                        </w:p>
                      </w:txbxContent>
                    </v:textbox>
                  </v:shape>
                </v:group>
                <v:group id="Skupina 16" o:spid="_x0000_s1084" style="position:absolute;left:26954;width:14288;height:2476" coordorigin="1238" coordsize="14287,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roundrect id="Zaoblený obdélník 69" o:spid="_x0000_s1085"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9u/sIA&#10;AADbAAAADwAAAGRycy9kb3ducmV2LnhtbESPQWvCQBSE7wX/w/IEb3WTHkSjqwRRkHpqLD0/ss8k&#10;JPt2yW5N6q93C4LHYWa+YTa70XTiRr1vLCtI5wkI4tLqhisF35fj+xKED8gaO8uk4I887LaTtw1m&#10;2g78RbciVCJC2GeooA7BZVL6siaDfm4dcfSutjcYouwrqXscItx08iNJFtJgw3GhRkf7msq2+DUK&#10;ikN3PA9tnqbLn8/CnFqX67tTajYd8zWIQGN4hZ/tk1awWMH/l/gD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n27+wgAAANsAAAAPAAAAAAAAAAAAAAAAAJgCAABkcnMvZG93&#10;bnJldi54bWxQSwUGAAAAAAQABAD1AAAAhwMAAAAA&#10;" fillcolor="#8de3b4" stroked="f" strokeweight="2pt">
                    <v:textbox>
                      <w:txbxContent>
                        <w:p w:rsidR="00206FAD" w:rsidRDefault="00206FAD" w:rsidP="00D33F0D">
                          <w:pPr>
                            <w:rPr>
                              <w:rFonts w:eastAsia="Times New Roman"/>
                            </w:rPr>
                          </w:pPr>
                        </w:p>
                      </w:txbxContent>
                    </v:textbox>
                  </v:roundrect>
                  <v:shape id="TextovéPole 8" o:spid="_x0000_s1086" type="#_x0000_t202" style="position:absolute;left:2381;width:1314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206FAD" w:rsidRDefault="00206FAD" w:rsidP="00D33F0D">
                          <w:pPr>
                            <w:pStyle w:val="Normlnweb"/>
                            <w:spacing w:after="0"/>
                          </w:pPr>
                          <w:r>
                            <w:rPr>
                              <w:rFonts w:asciiTheme="minorHAnsi" w:hAnsi="Calibri" w:cstheme="minorBidi"/>
                              <w:color w:val="000000" w:themeColor="dark1"/>
                              <w:sz w:val="16"/>
                              <w:szCs w:val="16"/>
                            </w:rPr>
                            <w:t>INNOVATION FOLLOWERS</w:t>
                          </w:r>
                        </w:p>
                      </w:txbxContent>
                    </v:textbox>
                  </v:shape>
                </v:group>
                <v:group id="Skupina 17" o:spid="_x0000_s1087" style="position:absolute;left:41346;width:14002;height:2476" coordorigin="1238" coordsize="14001,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roundrect id="Zaoblený obdélník 72" o:spid="_x0000_s1088"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1FWsEA&#10;AADbAAAADwAAAGRycy9kb3ducmV2LnhtbESPQYvCMBSE74L/IbwFL7KmurIrXaMYUfBqV++P5tkW&#10;m5fSxFr/vVkQPA4z8w2zXPe2Fh21vnKsYDpJQBDnzlRcKDj97T8XIHxANlg7JgUP8rBeDQdLTI27&#10;85G6LBQiQtinqKAMoUml9HlJFv3ENcTRu7jWYoiyLaRp8R7htpazJPmWFiuOCyU2tC0pv2Y3q0An&#10;426rq3lTXOXXeTfVujtordToo9/8ggjUh3f41T4YBT8z+P8Sf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dRVrBAAAA2wAAAA8AAAAAAAAAAAAAAAAAmAIAAGRycy9kb3du&#10;cmV2LnhtbFBLBQYAAAAABAAEAPUAAACGAwAAAAA=&#10;" fillcolor="#0b970e" stroked="f" strokeweight="2pt">
                    <v:textbox>
                      <w:txbxContent>
                        <w:p w:rsidR="00206FAD" w:rsidRDefault="00206FAD" w:rsidP="00D33F0D">
                          <w:pPr>
                            <w:rPr>
                              <w:rFonts w:eastAsia="Times New Roman"/>
                            </w:rPr>
                          </w:pPr>
                        </w:p>
                      </w:txbxContent>
                    </v:textbox>
                  </v:roundrect>
                  <v:shape id="TextovéPole 10" o:spid="_x0000_s1089" type="#_x0000_t202" style="position:absolute;left:2381;width:12859;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206FAD" w:rsidRDefault="00206FAD" w:rsidP="00D33F0D">
                          <w:pPr>
                            <w:pStyle w:val="Normlnweb"/>
                            <w:spacing w:after="0"/>
                          </w:pPr>
                          <w:r>
                            <w:rPr>
                              <w:rFonts w:asciiTheme="minorHAnsi" w:hAnsi="Calibri" w:cstheme="minorBidi"/>
                              <w:color w:val="000000" w:themeColor="dark1"/>
                              <w:sz w:val="16"/>
                              <w:szCs w:val="16"/>
                            </w:rPr>
                            <w:t>INNOVATION LEADERS</w:t>
                          </w:r>
                        </w:p>
                      </w:txbxContent>
                    </v:textbox>
                  </v:shape>
                </v:group>
              </v:group>
            </w:pict>
          </mc:Fallback>
        </mc:AlternateContent>
      </w:r>
      <w:r>
        <w:rPr>
          <w:noProof/>
          <w:lang w:eastAsia="cs-CZ"/>
        </w:rPr>
        <w:drawing>
          <wp:inline distT="0" distB="0" distL="0" distR="0" wp14:anchorId="49551C16" wp14:editId="61234132">
            <wp:extent cx="5972810" cy="2092960"/>
            <wp:effectExtent l="0" t="0" r="8890" b="2540"/>
            <wp:docPr id="96" name="Graf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D33F0D" w:rsidRDefault="00863581" w:rsidP="00786C67">
      <w:pPr>
        <w:pStyle w:val="NadpisurovemII"/>
      </w:pPr>
      <w:bookmarkStart w:id="33" w:name="_Toc464461112"/>
      <w:r>
        <w:lastRenderedPageBreak/>
        <w:t>8</w:t>
      </w:r>
      <w:r w:rsidR="00D33F0D" w:rsidRPr="00FD05C5">
        <w:t>.</w:t>
      </w:r>
      <w:r w:rsidR="00D33F0D">
        <w:t>3</w:t>
      </w:r>
      <w:r w:rsidR="00D33F0D" w:rsidRPr="00FD05C5">
        <w:t xml:space="preserve"> </w:t>
      </w:r>
      <w:r w:rsidR="00D33F0D">
        <w:t>detailní charakteristika inovujících podniků v ČR dle šetření o inovacích</w:t>
      </w:r>
      <w:bookmarkEnd w:id="33"/>
    </w:p>
    <w:p w:rsidR="00D33F0D" w:rsidRPr="00550455" w:rsidRDefault="00D33F0D" w:rsidP="00D33F0D">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Dle údajů ČSÚ bylo mezi lety 2012 a 2014 v České republice 9 063 inovujících podniků</w:t>
      </w:r>
      <w:r w:rsidRPr="00786C67">
        <w:rPr>
          <w:rFonts w:ascii="Arial" w:eastAsia="Times New Roman" w:hAnsi="Arial" w:cs="Arial"/>
          <w:vertAlign w:val="superscript"/>
          <w:lang w:eastAsia="cs-CZ"/>
        </w:rPr>
        <w:footnoteReference w:id="38"/>
      </w:r>
      <w:r w:rsidRPr="00550455">
        <w:rPr>
          <w:rFonts w:ascii="Arial" w:eastAsia="Times New Roman" w:hAnsi="Arial" w:cs="Arial"/>
          <w:lang w:eastAsia="cs-CZ"/>
        </w:rPr>
        <w:t xml:space="preserve">, což je zhruba o 4 tisíce méně než v období 2006 </w:t>
      </w:r>
      <w:r>
        <w:rPr>
          <w:rFonts w:ascii="Arial" w:eastAsia="Times New Roman" w:hAnsi="Arial" w:cs="Arial"/>
          <w:lang w:eastAsia="cs-CZ"/>
        </w:rPr>
        <w:t>-</w:t>
      </w:r>
      <w:r w:rsidRPr="00550455">
        <w:rPr>
          <w:rFonts w:ascii="Arial" w:eastAsia="Times New Roman" w:hAnsi="Arial" w:cs="Arial"/>
          <w:lang w:eastAsia="cs-CZ"/>
        </w:rPr>
        <w:t xml:space="preserve"> 2008. V letech 2012</w:t>
      </w:r>
      <w:r>
        <w:rPr>
          <w:rFonts w:ascii="Arial" w:eastAsia="Times New Roman" w:hAnsi="Arial" w:cs="Arial"/>
          <w:lang w:eastAsia="cs-CZ"/>
        </w:rPr>
        <w:t xml:space="preserve"> - </w:t>
      </w:r>
      <w:r w:rsidRPr="00550455">
        <w:rPr>
          <w:rFonts w:ascii="Arial" w:eastAsia="Times New Roman" w:hAnsi="Arial" w:cs="Arial"/>
          <w:lang w:eastAsia="cs-CZ"/>
        </w:rPr>
        <w:t>2014 vykázalo inovační aktivitu zhruba 42 % podniků. Tržby podniků s inovačními aktivitami v období 2012</w:t>
      </w:r>
      <w:r>
        <w:rPr>
          <w:rFonts w:ascii="Arial" w:eastAsia="Times New Roman" w:hAnsi="Arial" w:cs="Arial"/>
          <w:lang w:eastAsia="cs-CZ"/>
        </w:rPr>
        <w:t xml:space="preserve"> - </w:t>
      </w:r>
      <w:r w:rsidRPr="00550455">
        <w:rPr>
          <w:rFonts w:ascii="Arial" w:eastAsia="Times New Roman" w:hAnsi="Arial" w:cs="Arial"/>
          <w:lang w:eastAsia="cs-CZ"/>
        </w:rPr>
        <w:t>2014 narostly o 9 % oproti období 2006</w:t>
      </w:r>
      <w:r>
        <w:rPr>
          <w:rFonts w:ascii="Arial" w:eastAsia="Times New Roman" w:hAnsi="Arial" w:cs="Arial"/>
          <w:lang w:eastAsia="cs-CZ"/>
        </w:rPr>
        <w:t xml:space="preserve"> - </w:t>
      </w:r>
      <w:r w:rsidRPr="00550455">
        <w:rPr>
          <w:rFonts w:ascii="Arial" w:eastAsia="Times New Roman" w:hAnsi="Arial" w:cs="Arial"/>
          <w:lang w:eastAsia="cs-CZ"/>
        </w:rPr>
        <w:t>2008.</w:t>
      </w:r>
    </w:p>
    <w:p w:rsidR="00D33F0D" w:rsidRPr="00550455" w:rsidRDefault="00D33F0D" w:rsidP="00D33F0D">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 xml:space="preserve">Podniky pod zahraniční kontrolou jsou v ČR inovačně aktivnější: zhruba každá druhá zahraniční afiliace vykazovala inovační aktivitu, u domácích podniků tomu tak bylo pouze v 39 % případů. Nejvyšší počet podniků s inovačními aktivitami byl zaznamenán u malých podniků o 10 až 50 zaměstnancích (5 705 inovujících podniků), avšak jednalo se pouze o 35 % případů z jejich celkového počtu. Naopak v případě velkých podniků s více než 250 zaměstnanci jich inovaci vykázal malý počet (877), v relativním vyjádření však šlo o více než tři čtvrtiny všech velkých podniků. Střední podniky vykázaly inovaci v 59 % případů. </w:t>
      </w:r>
    </w:p>
    <w:p w:rsidR="00D33F0D" w:rsidRPr="00550455" w:rsidRDefault="00786C67" w:rsidP="00D33F0D">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t>Obr.</w:t>
      </w:r>
      <w:r w:rsidR="00D33F0D" w:rsidRPr="00550455">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.1</w:t>
      </w:r>
      <w:r w:rsidR="006C2D75">
        <w:rPr>
          <w:rFonts w:ascii="Arial" w:eastAsia="Times New Roman" w:hAnsi="Arial" w:cs="Times New Roman"/>
          <w:b/>
          <w:szCs w:val="24"/>
          <w:lang w:eastAsia="cs-CZ"/>
        </w:rPr>
        <w:t>2</w:t>
      </w:r>
      <w:r w:rsidR="00D33F0D" w:rsidRPr="00550455">
        <w:rPr>
          <w:rFonts w:ascii="Arial" w:eastAsia="Times New Roman" w:hAnsi="Arial" w:cs="Times New Roman"/>
          <w:b/>
          <w:szCs w:val="24"/>
          <w:lang w:eastAsia="cs-CZ"/>
        </w:rPr>
        <w:t>: Podniky s inovačními aktivitami v ČR v období 2012</w:t>
      </w:r>
      <w:r w:rsidR="00D33F0D">
        <w:rPr>
          <w:rFonts w:ascii="Arial" w:eastAsia="Times New Roman" w:hAnsi="Arial" w:cs="Times New Roman"/>
          <w:b/>
          <w:szCs w:val="24"/>
          <w:lang w:eastAsia="cs-CZ"/>
        </w:rPr>
        <w:t xml:space="preserve"> - </w:t>
      </w:r>
      <w:r w:rsidR="00D33F0D" w:rsidRPr="00550455">
        <w:rPr>
          <w:rFonts w:ascii="Arial" w:eastAsia="Times New Roman" w:hAnsi="Arial" w:cs="Times New Roman"/>
          <w:b/>
          <w:szCs w:val="24"/>
          <w:lang w:eastAsia="cs-CZ"/>
        </w:rPr>
        <w:t>2014 podle sekcí CZ-NACE</w:t>
      </w:r>
    </w:p>
    <w:p w:rsidR="00D33F0D" w:rsidRDefault="00D33F0D" w:rsidP="00D33F0D">
      <w:pPr>
        <w:jc w:val="center"/>
      </w:pPr>
      <w:r>
        <w:rPr>
          <w:noProof/>
          <w:lang w:eastAsia="cs-CZ"/>
        </w:rPr>
        <mc:AlternateContent>
          <mc:Choice Requires="wps">
            <w:drawing>
              <wp:anchor distT="0" distB="0" distL="114300" distR="114300" simplePos="0" relativeHeight="251682816" behindDoc="0" locked="0" layoutInCell="1" allowOverlap="1" wp14:anchorId="6A34F419" wp14:editId="0C855E31">
                <wp:simplePos x="0" y="0"/>
                <wp:positionH relativeFrom="column">
                  <wp:posOffset>2790825</wp:posOffset>
                </wp:positionH>
                <wp:positionV relativeFrom="paragraph">
                  <wp:posOffset>231140</wp:posOffset>
                </wp:positionV>
                <wp:extent cx="632460" cy="292100"/>
                <wp:effectExtent l="0" t="0" r="0" b="0"/>
                <wp:wrapNone/>
                <wp:docPr id="46" name="TextovéPole 3"/>
                <wp:cNvGraphicFramePr/>
                <a:graphic xmlns:a="http://schemas.openxmlformats.org/drawingml/2006/main">
                  <a:graphicData uri="http://schemas.microsoft.com/office/word/2010/wordprocessingShape">
                    <wps:wsp>
                      <wps:cNvSpPr txBox="1"/>
                      <wps:spPr>
                        <a:xfrm>
                          <a:off x="0" y="0"/>
                          <a:ext cx="632460" cy="292100"/>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rsidR="00206FAD" w:rsidRDefault="00206FAD" w:rsidP="00D33F0D">
                            <w:pPr>
                              <w:pStyle w:val="Normlnweb"/>
                              <w:spacing w:after="0"/>
                              <w:jc w:val="center"/>
                            </w:pPr>
                            <w:r>
                              <w:rPr>
                                <w:rFonts w:asciiTheme="minorHAnsi" w:hAnsi="Calibri" w:cstheme="minorBidi"/>
                                <w:color w:val="000000" w:themeColor="dark1"/>
                                <w:sz w:val="20"/>
                                <w:szCs w:val="20"/>
                              </w:rPr>
                              <w:t>1 588</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shape id="TextovéPole 3" o:spid="_x0000_s1090" type="#_x0000_t202" style="position:absolute;left:0;text-align:left;margin-left:219.75pt;margin-top:18.2pt;width:49.8pt;height:2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" fillcolor="white [3201]" stroked="f">
                <v:textbox>
                  <w:txbxContent>
                    <w:p w:rsidR="00206FAD" w:rsidRDefault="00206FAD" w:rsidP="00D33F0D">
                      <w:pPr>
                        <w:pStyle w:val="Normlnweb"/>
                        <w:spacing w:after="0"/>
                        <w:jc w:val="center"/>
                      </w:pPr>
                      <w:r>
                        <w:rPr>
                          <w:rFonts w:asciiTheme="minorHAnsi" w:hAnsi="Calibri" w:cstheme="minorBidi"/>
                          <w:color w:val="000000" w:themeColor="dark1"/>
                          <w:sz w:val="20"/>
                          <w:szCs w:val="20"/>
                        </w:rPr>
                        <w:t>1 588</w:t>
                      </w:r>
                    </w:p>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737B41FC" wp14:editId="5A9F45A0">
                <wp:simplePos x="0" y="0"/>
                <wp:positionH relativeFrom="column">
                  <wp:posOffset>1494790</wp:posOffset>
                </wp:positionH>
                <wp:positionV relativeFrom="paragraph">
                  <wp:posOffset>271145</wp:posOffset>
                </wp:positionV>
                <wp:extent cx="495300" cy="266700"/>
                <wp:effectExtent l="0" t="0" r="0" b="0"/>
                <wp:wrapNone/>
                <wp:docPr id="47" name="TextovéPole 2"/>
                <wp:cNvGraphicFramePr/>
                <a:graphic xmlns:a="http://schemas.openxmlformats.org/drawingml/2006/main">
                  <a:graphicData uri="http://schemas.microsoft.com/office/word/2010/wordprocessingShape">
                    <wps:wsp>
                      <wps:cNvSpPr txBox="1"/>
                      <wps:spPr>
                        <a:xfrm>
                          <a:off x="0" y="0"/>
                          <a:ext cx="495300" cy="266700"/>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rsidR="00206FAD" w:rsidRDefault="00206FAD" w:rsidP="00D33F0D">
                            <w:pPr>
                              <w:pStyle w:val="Normlnweb"/>
                              <w:spacing w:after="0"/>
                              <w:jc w:val="center"/>
                            </w:pPr>
                            <w:r>
                              <w:rPr>
                                <w:rFonts w:asciiTheme="minorHAnsi" w:hAnsi="Calibri" w:cstheme="minorBidi"/>
                                <w:color w:val="000000" w:themeColor="dark1"/>
                                <w:sz w:val="20"/>
                                <w:szCs w:val="20"/>
                              </w:rPr>
                              <w:t>5 276</w:t>
                            </w:r>
                          </w:p>
                        </w:txbxContent>
                      </wps:txbx>
                      <wps:bodyPr vertOverflow="clip" horzOverflow="clip" wrap="square" rtlCol="0" anchor="ctr"/>
                    </wps:wsp>
                  </a:graphicData>
                </a:graphic>
              </wp:anchor>
            </w:drawing>
          </mc:Choice>
          <mc:Fallback>
            <w:pict>
              <v:shape id="TextovéPole 2" o:spid="_x0000_s1091" type="#_x0000_t202" style="position:absolute;left:0;text-align:left;margin-left:117.7pt;margin-top:21.35pt;width:39pt;height:21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" fillcolor="white [3201]" stroked="f">
                <v:textbox>
                  <w:txbxContent>
                    <w:p w:rsidR="00206FAD" w:rsidRDefault="00206FAD" w:rsidP="00D33F0D">
                      <w:pPr>
                        <w:pStyle w:val="Normlnweb"/>
                        <w:spacing w:after="0"/>
                        <w:jc w:val="center"/>
                      </w:pPr>
                      <w:r>
                        <w:rPr>
                          <w:rFonts w:asciiTheme="minorHAnsi" w:hAnsi="Calibri" w:cstheme="minorBidi"/>
                          <w:color w:val="000000" w:themeColor="dark1"/>
                          <w:sz w:val="20"/>
                          <w:szCs w:val="20"/>
                        </w:rPr>
                        <w:t>5 276</w:t>
                      </w:r>
                    </w:p>
                  </w:txbxContent>
                </v:textbox>
              </v:shape>
            </w:pict>
          </mc:Fallback>
        </mc:AlternateContent>
      </w:r>
      <w:r>
        <w:rPr>
          <w:noProof/>
          <w:lang w:eastAsia="cs-CZ"/>
        </w:rPr>
        <w:drawing>
          <wp:inline distT="0" distB="0" distL="0" distR="0" wp14:anchorId="2B3EE650" wp14:editId="27166714">
            <wp:extent cx="5572664" cy="3942272"/>
            <wp:effectExtent l="0" t="0" r="0" b="1270"/>
            <wp:docPr id="97" name="Graf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D33F0D" w:rsidRPr="00550455" w:rsidRDefault="00D33F0D" w:rsidP="00D33F0D">
      <w:pPr>
        <w:spacing w:before="120" w:after="120" w:line="240" w:lineRule="auto"/>
        <w:rPr>
          <w:rFonts w:ascii="Arial" w:eastAsia="Times New Roman" w:hAnsi="Arial" w:cs="Times New Roman"/>
          <w:i/>
          <w:sz w:val="18"/>
          <w:szCs w:val="24"/>
          <w:lang w:eastAsia="cs-CZ"/>
        </w:rPr>
      </w:pPr>
      <w:r w:rsidRPr="00550455">
        <w:rPr>
          <w:rFonts w:ascii="Arial" w:eastAsia="Times New Roman" w:hAnsi="Arial" w:cs="Times New Roman"/>
          <w:i/>
          <w:sz w:val="18"/>
          <w:szCs w:val="24"/>
          <w:lang w:eastAsia="cs-CZ"/>
        </w:rPr>
        <w:t>Zdroj: ČSÚ – vlastní zpracování</w:t>
      </w:r>
    </w:p>
    <w:p w:rsidR="00D33F0D" w:rsidRPr="00550455" w:rsidRDefault="00786C67" w:rsidP="00786C67">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Obr.</w:t>
      </w:r>
      <w:r w:rsidR="00D33F0D" w:rsidRPr="00550455">
        <w:rPr>
          <w:rFonts w:ascii="Arial" w:eastAsia="Times New Roman" w:hAnsi="Arial" w:cs="Arial"/>
          <w:lang w:eastAsia="cs-CZ"/>
        </w:rPr>
        <w:t xml:space="preserve"> </w:t>
      </w:r>
      <w:r w:rsidR="00863581">
        <w:rPr>
          <w:rFonts w:ascii="Arial" w:eastAsia="Times New Roman" w:hAnsi="Arial" w:cs="Arial"/>
          <w:lang w:eastAsia="cs-CZ"/>
        </w:rPr>
        <w:t>8</w:t>
      </w:r>
      <w:r>
        <w:rPr>
          <w:rFonts w:ascii="Arial" w:eastAsia="Times New Roman" w:hAnsi="Arial" w:cs="Arial"/>
          <w:lang w:eastAsia="cs-CZ"/>
        </w:rPr>
        <w:t>.1</w:t>
      </w:r>
      <w:r w:rsidR="006C2D75">
        <w:rPr>
          <w:rFonts w:ascii="Arial" w:eastAsia="Times New Roman" w:hAnsi="Arial" w:cs="Arial"/>
          <w:lang w:eastAsia="cs-CZ"/>
        </w:rPr>
        <w:t>2</w:t>
      </w:r>
      <w:r w:rsidR="00D33F0D" w:rsidRPr="00550455">
        <w:rPr>
          <w:rFonts w:ascii="Arial" w:eastAsia="Times New Roman" w:hAnsi="Arial" w:cs="Arial"/>
          <w:lang w:eastAsia="cs-CZ"/>
        </w:rPr>
        <w:t xml:space="preserve"> ukazuje rozložení inovačních aktivit v podnicích na základě jejich hlavní ekonomické činnosti, tj. podle klasifikace CZ-NACE. Je patrné, že největší počet inovujících </w:t>
      </w:r>
      <w:r w:rsidR="00D33F0D" w:rsidRPr="00550455">
        <w:rPr>
          <w:rFonts w:ascii="Arial" w:eastAsia="Times New Roman" w:hAnsi="Arial" w:cs="Arial"/>
          <w:lang w:eastAsia="cs-CZ"/>
        </w:rPr>
        <w:lastRenderedPageBreak/>
        <w:t xml:space="preserve">podniků působí ve zpracovatelském průmyslu (sekce C). Z hlediska frekvence výskytu inovací však zpracovatelský průmysl se 47 % inovujících podniků </w:t>
      </w:r>
      <w:r w:rsidR="00D33F0D">
        <w:rPr>
          <w:rFonts w:ascii="Arial" w:eastAsia="Times New Roman" w:hAnsi="Arial" w:cs="Arial"/>
          <w:lang w:eastAsia="cs-CZ"/>
        </w:rPr>
        <w:t>zaostává</w:t>
      </w:r>
      <w:r w:rsidR="00D33F0D" w:rsidRPr="00550455">
        <w:rPr>
          <w:rFonts w:ascii="Arial" w:eastAsia="Times New Roman" w:hAnsi="Arial" w:cs="Arial"/>
          <w:lang w:eastAsia="cs-CZ"/>
        </w:rPr>
        <w:t xml:space="preserve"> za Informačními a komunikačními činnostmi (sekce J; 62 %) a peněžnictvím a pojišťovnictvím (sekce K; 54 %). </w:t>
      </w:r>
      <w:r>
        <w:rPr>
          <w:rFonts w:ascii="Arial" w:eastAsia="Times New Roman" w:hAnsi="Arial" w:cs="Arial"/>
          <w:lang w:eastAsia="cs-CZ"/>
        </w:rPr>
        <w:t>Obr. </w:t>
      </w:r>
      <w:r w:rsidR="00863581">
        <w:rPr>
          <w:rFonts w:ascii="Arial" w:eastAsia="Times New Roman" w:hAnsi="Arial" w:cs="Arial"/>
          <w:lang w:eastAsia="cs-CZ"/>
        </w:rPr>
        <w:t>8</w:t>
      </w:r>
      <w:r>
        <w:rPr>
          <w:rFonts w:ascii="Arial" w:eastAsia="Times New Roman" w:hAnsi="Arial" w:cs="Arial"/>
          <w:lang w:eastAsia="cs-CZ"/>
        </w:rPr>
        <w:t>.1</w:t>
      </w:r>
      <w:r w:rsidR="006C2D75">
        <w:rPr>
          <w:rFonts w:ascii="Arial" w:eastAsia="Times New Roman" w:hAnsi="Arial" w:cs="Arial"/>
          <w:lang w:eastAsia="cs-CZ"/>
        </w:rPr>
        <w:t>3</w:t>
      </w:r>
      <w:r w:rsidR="00D33F0D" w:rsidRPr="00550455">
        <w:rPr>
          <w:rFonts w:ascii="Arial" w:eastAsia="Times New Roman" w:hAnsi="Arial" w:cs="Arial"/>
          <w:lang w:eastAsia="cs-CZ"/>
        </w:rPr>
        <w:t xml:space="preserve"> dokumentuje poměr mezi počtem podniků s technickou a netechnickou inovací. Tento poměr je relativně vyrovnaný v celém hospodářství ČR. Počet podniků s technickými inovacemi významně převažuje v činnostech týkající se výroby a rozvodu elektřiny, plynu, tepla a klimatizovaného vzduchu (sekce D), dále ve zpracovatelském průmyslu (sekce C) a také v profesních, vědeckých a technických činnostech (sekce M, kam spadá i oddíl 72 - </w:t>
      </w:r>
      <w:proofErr w:type="spellStart"/>
      <w:r w:rsidR="00D33F0D" w:rsidRPr="00550455">
        <w:rPr>
          <w:rFonts w:ascii="Arial" w:eastAsia="Times New Roman" w:hAnsi="Arial" w:cs="Arial"/>
          <w:lang w:eastAsia="cs-CZ"/>
        </w:rPr>
        <w:t>VaV</w:t>
      </w:r>
      <w:proofErr w:type="spellEnd"/>
      <w:r w:rsidR="00D33F0D" w:rsidRPr="00550455">
        <w:rPr>
          <w:rFonts w:ascii="Arial" w:eastAsia="Times New Roman" w:hAnsi="Arial" w:cs="Arial"/>
          <w:lang w:eastAsia="cs-CZ"/>
        </w:rPr>
        <w:t>).</w:t>
      </w:r>
    </w:p>
    <w:p w:rsidR="00D33F0D" w:rsidRPr="00550455" w:rsidRDefault="00786C67" w:rsidP="00D33F0D">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t>Obr.</w:t>
      </w:r>
      <w:r w:rsidR="00D33F0D" w:rsidRPr="00550455">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.1</w:t>
      </w:r>
      <w:r w:rsidR="006C2D75">
        <w:rPr>
          <w:rFonts w:ascii="Arial" w:eastAsia="Times New Roman" w:hAnsi="Arial" w:cs="Times New Roman"/>
          <w:b/>
          <w:szCs w:val="24"/>
          <w:lang w:eastAsia="cs-CZ"/>
        </w:rPr>
        <w:t>3</w:t>
      </w:r>
      <w:r w:rsidR="00D33F0D" w:rsidRPr="00550455">
        <w:rPr>
          <w:rFonts w:ascii="Arial" w:eastAsia="Times New Roman" w:hAnsi="Arial" w:cs="Times New Roman"/>
          <w:b/>
          <w:szCs w:val="24"/>
          <w:lang w:eastAsia="cs-CZ"/>
        </w:rPr>
        <w:t>: Poměr mezi počtem podniků vykazujících technické a netechnické inovace</w:t>
      </w:r>
    </w:p>
    <w:p w:rsidR="00D33F0D" w:rsidRDefault="00D33F0D" w:rsidP="00D33F0D">
      <w:pPr>
        <w:jc w:val="center"/>
      </w:pPr>
      <w:r>
        <w:rPr>
          <w:noProof/>
          <w:lang w:eastAsia="cs-CZ"/>
        </w:rPr>
        <w:drawing>
          <wp:inline distT="0" distB="0" distL="0" distR="0" wp14:anchorId="205B5749" wp14:editId="6B30541F">
            <wp:extent cx="5520905" cy="3286664"/>
            <wp:effectExtent l="0" t="0" r="3810" b="0"/>
            <wp:docPr id="98" name="Graf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D33F0D" w:rsidRPr="00550455" w:rsidRDefault="00D33F0D" w:rsidP="00D33F0D">
      <w:pPr>
        <w:spacing w:before="120" w:after="120" w:line="240" w:lineRule="auto"/>
        <w:rPr>
          <w:rFonts w:ascii="Arial" w:eastAsia="Times New Roman" w:hAnsi="Arial" w:cs="Times New Roman"/>
          <w:i/>
          <w:sz w:val="18"/>
          <w:szCs w:val="24"/>
          <w:lang w:eastAsia="cs-CZ"/>
        </w:rPr>
      </w:pPr>
      <w:r w:rsidRPr="00550455">
        <w:rPr>
          <w:rFonts w:ascii="Arial" w:eastAsia="Times New Roman" w:hAnsi="Arial" w:cs="Times New Roman"/>
          <w:i/>
          <w:sz w:val="18"/>
          <w:szCs w:val="24"/>
          <w:lang w:eastAsia="cs-CZ"/>
        </w:rPr>
        <w:t>Zdroj: ČSÚ – vlastní zpracování</w:t>
      </w:r>
    </w:p>
    <w:p w:rsidR="00D33F0D" w:rsidRPr="00550455" w:rsidRDefault="00D33F0D" w:rsidP="00D33F0D">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Při podrobnějším rozboru zpracovatelského průmyslu (Sekce C) na základě podílu na celkových tržbách podniků s produktovou inovací, intenzity produktových inovací (</w:t>
      </w:r>
      <w:r w:rsidR="00786C67">
        <w:rPr>
          <w:rFonts w:ascii="Arial" w:eastAsia="Times New Roman" w:hAnsi="Arial" w:cs="Arial"/>
          <w:lang w:eastAsia="cs-CZ"/>
        </w:rPr>
        <w:t xml:space="preserve">obr. </w:t>
      </w:r>
      <w:r w:rsidR="006C2D75">
        <w:rPr>
          <w:rFonts w:ascii="Arial" w:eastAsia="Times New Roman" w:hAnsi="Arial" w:cs="Arial"/>
          <w:lang w:eastAsia="cs-CZ"/>
        </w:rPr>
        <w:t>8</w:t>
      </w:r>
      <w:r w:rsidR="00786C67">
        <w:rPr>
          <w:rFonts w:ascii="Arial" w:eastAsia="Times New Roman" w:hAnsi="Arial" w:cs="Arial"/>
          <w:lang w:eastAsia="cs-CZ"/>
        </w:rPr>
        <w:t>.1</w:t>
      </w:r>
      <w:r w:rsidR="006C2D75">
        <w:rPr>
          <w:rFonts w:ascii="Arial" w:eastAsia="Times New Roman" w:hAnsi="Arial" w:cs="Arial"/>
          <w:lang w:eastAsia="cs-CZ"/>
        </w:rPr>
        <w:t>4</w:t>
      </w:r>
      <w:r w:rsidR="00786C67">
        <w:rPr>
          <w:rFonts w:ascii="Arial" w:eastAsia="Times New Roman" w:hAnsi="Arial" w:cs="Arial"/>
          <w:lang w:eastAsia="cs-CZ"/>
        </w:rPr>
        <w:t>)</w:t>
      </w:r>
      <w:r w:rsidRPr="00550455">
        <w:rPr>
          <w:rFonts w:ascii="Arial" w:eastAsia="Times New Roman" w:hAnsi="Arial" w:cs="Arial"/>
          <w:lang w:eastAsia="cs-CZ"/>
        </w:rPr>
        <w:t xml:space="preserve"> a podílu produktových inovací na tržbách (</w:t>
      </w:r>
      <w:r w:rsidR="00786C67">
        <w:rPr>
          <w:rFonts w:ascii="Arial" w:eastAsia="Times New Roman" w:hAnsi="Arial" w:cs="Arial"/>
          <w:lang w:eastAsia="cs-CZ"/>
        </w:rPr>
        <w:t xml:space="preserve">obr. </w:t>
      </w:r>
      <w:r w:rsidR="006C2D75">
        <w:rPr>
          <w:rFonts w:ascii="Arial" w:eastAsia="Times New Roman" w:hAnsi="Arial" w:cs="Arial"/>
          <w:lang w:eastAsia="cs-CZ"/>
        </w:rPr>
        <w:t>8</w:t>
      </w:r>
      <w:r w:rsidR="00786C67">
        <w:rPr>
          <w:rFonts w:ascii="Arial" w:eastAsia="Times New Roman" w:hAnsi="Arial" w:cs="Arial"/>
          <w:lang w:eastAsia="cs-CZ"/>
        </w:rPr>
        <w:t>.1</w:t>
      </w:r>
      <w:r w:rsidR="006C2D75">
        <w:rPr>
          <w:rFonts w:ascii="Arial" w:eastAsia="Times New Roman" w:hAnsi="Arial" w:cs="Arial"/>
          <w:lang w:eastAsia="cs-CZ"/>
        </w:rPr>
        <w:t>5</w:t>
      </w:r>
      <w:r w:rsidRPr="00550455">
        <w:rPr>
          <w:rFonts w:ascii="Arial" w:eastAsia="Times New Roman" w:hAnsi="Arial" w:cs="Arial"/>
          <w:lang w:eastAsia="cs-CZ"/>
        </w:rPr>
        <w:t>) jsou významná především následující zjištění:</w:t>
      </w:r>
    </w:p>
    <w:p w:rsidR="00D33F0D" w:rsidRPr="00550455" w:rsidRDefault="00D33F0D" w:rsidP="00D33F0D">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 xml:space="preserve">Celkové tržby podniků s produktovou inovací činily 2 449 268 mil. Kč, přičemž největšího podílu dosáhla Výroba motorových vozidel (NACE 29) s participací 32 %. Druhý nevyšší podíl na celkových tržbách měl Strojírenský průmysl (samostatný oddíl NACE 28) s 10 % následovaný Gumárenským a plastovým průmyslem (NACE 22) a Výrobou elektrických zařízení (NACE 27), každý s podílem 8 %. Intenzita inovací se pohybovala v průměru kolem </w:t>
      </w:r>
      <w:r w:rsidRPr="00550455">
        <w:rPr>
          <w:rFonts w:ascii="Arial" w:eastAsia="Times New Roman" w:hAnsi="Arial" w:cs="Arial"/>
          <w:lang w:eastAsia="cs-CZ"/>
        </w:rPr>
        <w:lastRenderedPageBreak/>
        <w:t>3</w:t>
      </w:r>
      <w:r w:rsidR="00786C67">
        <w:rPr>
          <w:rFonts w:ascii="Arial" w:eastAsia="Times New Roman" w:hAnsi="Arial" w:cs="Arial"/>
          <w:lang w:eastAsia="cs-CZ"/>
        </w:rPr>
        <w:t> </w:t>
      </w:r>
      <w:r w:rsidRPr="00550455">
        <w:rPr>
          <w:rFonts w:ascii="Arial" w:eastAsia="Times New Roman" w:hAnsi="Arial" w:cs="Arial"/>
          <w:lang w:eastAsia="cs-CZ"/>
        </w:rPr>
        <w:t>%</w:t>
      </w:r>
      <w:r w:rsidRPr="00786C67">
        <w:rPr>
          <w:rFonts w:ascii="Arial" w:eastAsia="Times New Roman" w:hAnsi="Arial" w:cs="Arial"/>
          <w:vertAlign w:val="superscript"/>
          <w:lang w:eastAsia="cs-CZ"/>
        </w:rPr>
        <w:footnoteReference w:id="39"/>
      </w:r>
      <w:r w:rsidRPr="00550455">
        <w:rPr>
          <w:rFonts w:ascii="Arial" w:eastAsia="Times New Roman" w:hAnsi="Arial" w:cs="Arial"/>
          <w:lang w:eastAsia="cs-CZ"/>
        </w:rPr>
        <w:t>. Nicméně z tohoto ukazatele nelze posoudit, do jaké míry náklady ovlivnily výši tržeb ve sledovaném období nebo jak ovlivní výši tržeb v dalších obdobích.</w:t>
      </w:r>
    </w:p>
    <w:p w:rsidR="00D33F0D" w:rsidRPr="00550455" w:rsidRDefault="00786C67" w:rsidP="00D33F0D">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t>Obr.</w:t>
      </w:r>
      <w:r w:rsidR="00D33F0D" w:rsidRPr="00550455">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sidR="006C2D75">
        <w:rPr>
          <w:rFonts w:ascii="Arial" w:eastAsia="Times New Roman" w:hAnsi="Arial" w:cs="Times New Roman"/>
          <w:b/>
          <w:szCs w:val="24"/>
          <w:lang w:eastAsia="cs-CZ"/>
        </w:rPr>
        <w:t>.14</w:t>
      </w:r>
      <w:r w:rsidR="00D33F0D" w:rsidRPr="00550455">
        <w:rPr>
          <w:rFonts w:ascii="Arial" w:eastAsia="Times New Roman" w:hAnsi="Arial" w:cs="Times New Roman"/>
          <w:b/>
          <w:szCs w:val="24"/>
          <w:lang w:eastAsia="cs-CZ"/>
        </w:rPr>
        <w:t xml:space="preserve">: Tržby ve zpracovatelském průmyslu v roce 2014 a intenzita inovace podle inovativnosti produktů u podniků s produktovou inovací </w:t>
      </w:r>
    </w:p>
    <w:p w:rsidR="00D33F0D" w:rsidRDefault="00D33F0D" w:rsidP="00D33F0D">
      <w:pPr>
        <w:jc w:val="center"/>
      </w:pPr>
      <w:r>
        <w:rPr>
          <w:noProof/>
          <w:lang w:eastAsia="cs-CZ"/>
        </w:rPr>
        <mc:AlternateContent>
          <mc:Choice Requires="wps">
            <w:drawing>
              <wp:anchor distT="0" distB="0" distL="114300" distR="114300" simplePos="0" relativeHeight="251680768" behindDoc="0" locked="0" layoutInCell="1" allowOverlap="1" wp14:anchorId="6568BD40" wp14:editId="7E313A28">
                <wp:simplePos x="0" y="0"/>
                <wp:positionH relativeFrom="column">
                  <wp:posOffset>4542790</wp:posOffset>
                </wp:positionH>
                <wp:positionV relativeFrom="paragraph">
                  <wp:posOffset>4034155</wp:posOffset>
                </wp:positionV>
                <wp:extent cx="495300" cy="266700"/>
                <wp:effectExtent l="0" t="0" r="0" b="0"/>
                <wp:wrapNone/>
                <wp:docPr id="48" name="TextovéPole 3"/>
                <wp:cNvGraphicFramePr/>
                <a:graphic xmlns:a="http://schemas.openxmlformats.org/drawingml/2006/main">
                  <a:graphicData uri="http://schemas.microsoft.com/office/word/2010/wordprocessingShape">
                    <wps:wsp>
                      <wps:cNvSpPr txBox="1"/>
                      <wps:spPr>
                        <a:xfrm>
                          <a:off x="0" y="0"/>
                          <a:ext cx="495300" cy="266700"/>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rsidR="00206FAD" w:rsidRDefault="00206FAD" w:rsidP="00D33F0D">
                            <w:pPr>
                              <w:pStyle w:val="Normlnweb"/>
                              <w:spacing w:after="0"/>
                              <w:jc w:val="center"/>
                            </w:pPr>
                            <w:r>
                              <w:rPr>
                                <w:rFonts w:asciiTheme="minorHAnsi" w:hAnsi="Calibri" w:cstheme="minorBidi"/>
                                <w:color w:val="000000" w:themeColor="dark1"/>
                                <w:sz w:val="20"/>
                                <w:szCs w:val="20"/>
                              </w:rPr>
                              <w:t>32%</w:t>
                            </w:r>
                          </w:p>
                        </w:txbxContent>
                      </wps:txbx>
                      <wps:bodyPr vertOverflow="clip" horzOverflow="clip" wrap="square" rtlCol="0" anchor="ctr"/>
                    </wps:wsp>
                  </a:graphicData>
                </a:graphic>
                <wp14:sizeRelH relativeFrom="margin">
                  <wp14:pctWidth>0</wp14:pctWidth>
                </wp14:sizeRelH>
                <wp14:sizeRelV relativeFrom="margin">
                  <wp14:pctHeight>0</wp14:pctHeight>
                </wp14:sizeRelV>
              </wp:anchor>
            </w:drawing>
          </mc:Choice>
          <mc:Fallback>
            <w:pict>
              <v:shape id="_x0000_s1092" type="#_x0000_t202" style="position:absolute;left:0;text-align:left;margin-left:357.7pt;margin-top:317.65pt;width:39pt;height:2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" fillcolor="white [3201]" stroked="f">
                <v:textbox>
                  <w:txbxContent>
                    <w:p w:rsidR="00206FAD" w:rsidRDefault="00206FAD" w:rsidP="00D33F0D">
                      <w:pPr>
                        <w:pStyle w:val="Normlnweb"/>
                        <w:spacing w:after="0"/>
                        <w:jc w:val="center"/>
                      </w:pPr>
                      <w:r>
                        <w:rPr>
                          <w:rFonts w:asciiTheme="minorHAnsi" w:hAnsi="Calibri" w:cstheme="minorBidi"/>
                          <w:color w:val="000000" w:themeColor="dark1"/>
                          <w:sz w:val="20"/>
                          <w:szCs w:val="20"/>
                        </w:rPr>
                        <w:t>32%</w:t>
                      </w:r>
                    </w:p>
                  </w:txbxContent>
                </v:textbox>
              </v:shape>
            </w:pict>
          </mc:Fallback>
        </mc:AlternateContent>
      </w:r>
      <w:r>
        <w:rPr>
          <w:noProof/>
          <w:lang w:eastAsia="cs-CZ"/>
        </w:rPr>
        <w:drawing>
          <wp:inline distT="0" distB="0" distL="0" distR="0" wp14:anchorId="4190FEAD" wp14:editId="72870D22">
            <wp:extent cx="5477774" cy="5451895"/>
            <wp:effectExtent l="0" t="0" r="8890" b="0"/>
            <wp:docPr id="99" name="Graf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D33F0D" w:rsidRPr="00550455" w:rsidRDefault="00D33F0D" w:rsidP="00D33F0D">
      <w:pPr>
        <w:spacing w:before="120" w:after="120" w:line="240" w:lineRule="auto"/>
        <w:rPr>
          <w:rFonts w:ascii="Arial" w:eastAsia="Times New Roman" w:hAnsi="Arial" w:cs="Times New Roman"/>
          <w:i/>
          <w:sz w:val="18"/>
          <w:szCs w:val="24"/>
          <w:lang w:eastAsia="cs-CZ"/>
        </w:rPr>
      </w:pPr>
      <w:r w:rsidRPr="00550455">
        <w:rPr>
          <w:rFonts w:ascii="Arial" w:eastAsia="Times New Roman" w:hAnsi="Arial" w:cs="Times New Roman"/>
          <w:i/>
          <w:sz w:val="18"/>
          <w:szCs w:val="24"/>
          <w:lang w:eastAsia="cs-CZ"/>
        </w:rPr>
        <w:t>Zdroj: ČSÚ – vlastní zpracování</w:t>
      </w:r>
    </w:p>
    <w:p w:rsidR="00D33F0D" w:rsidRPr="00550455" w:rsidRDefault="00D33F0D" w:rsidP="00D33F0D">
      <w:pPr>
        <w:spacing w:before="120" w:after="120" w:line="240" w:lineRule="auto"/>
        <w:rPr>
          <w:rFonts w:ascii="Arial" w:eastAsia="Times New Roman" w:hAnsi="Arial" w:cs="Times New Roman"/>
          <w:i/>
          <w:sz w:val="18"/>
          <w:szCs w:val="24"/>
          <w:lang w:eastAsia="cs-CZ"/>
        </w:rPr>
      </w:pPr>
      <w:r w:rsidRPr="00550455">
        <w:rPr>
          <w:rFonts w:ascii="Arial" w:eastAsia="Times New Roman" w:hAnsi="Arial" w:cs="Times New Roman"/>
          <w:i/>
          <w:sz w:val="18"/>
          <w:szCs w:val="24"/>
          <w:lang w:eastAsia="cs-CZ"/>
        </w:rPr>
        <w:t>Poznámka: % z celkových tržeb = podíl NACE na celkových tržbách všech podniků s produktovou inovací ve zpracovatelském průmyslu.</w:t>
      </w:r>
    </w:p>
    <w:p w:rsidR="00D33F0D" w:rsidRPr="00550455" w:rsidRDefault="00D33F0D" w:rsidP="00D33F0D">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Ve většině odvětví mají nejvyšší podíl na tržbách jednoznačně nezměněné nebo jen málo modifikované produkty. To lze vysvětlit konzervativností firem (neochotou riskovat zavedení zcela nových produktů),</w:t>
      </w:r>
      <w:r w:rsidR="00786C67">
        <w:rPr>
          <w:rFonts w:ascii="Arial" w:eastAsia="Times New Roman" w:hAnsi="Arial" w:cs="Arial"/>
          <w:lang w:eastAsia="cs-CZ"/>
        </w:rPr>
        <w:t xml:space="preserve"> a rovněž</w:t>
      </w:r>
      <w:r w:rsidRPr="00550455">
        <w:rPr>
          <w:rFonts w:ascii="Arial" w:eastAsia="Times New Roman" w:hAnsi="Arial" w:cs="Arial"/>
          <w:lang w:eastAsia="cs-CZ"/>
        </w:rPr>
        <w:t xml:space="preserve"> konzervativností odběratelů (nedůvěrou ke koupi neznámých nových výrobků). Výjimku tvoří Výroba počítačů, elektronických a optických přístrojů a zařízení (NACE 26) a Automobilový průmysl (NACE 29) s relativně vysokým </w:t>
      </w:r>
      <w:r w:rsidRPr="00550455">
        <w:rPr>
          <w:rFonts w:ascii="Arial" w:eastAsia="Times New Roman" w:hAnsi="Arial" w:cs="Arial"/>
          <w:lang w:eastAsia="cs-CZ"/>
        </w:rPr>
        <w:lastRenderedPageBreak/>
        <w:t xml:space="preserve">podílem na tržbách z výrobků nových na trhu. Uvedená odvětví lze v rámci ČR považovat za nejvýznamnější z hlediska výskytu inovačních leaderů. </w:t>
      </w:r>
    </w:p>
    <w:p w:rsidR="00D33F0D" w:rsidRPr="00550455" w:rsidRDefault="00786C67" w:rsidP="00D33F0D">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t>Obr.</w:t>
      </w:r>
      <w:r w:rsidR="00D33F0D" w:rsidRPr="00550455">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sidR="006C2D75">
        <w:rPr>
          <w:rFonts w:ascii="Arial" w:eastAsia="Times New Roman" w:hAnsi="Arial" w:cs="Times New Roman"/>
          <w:b/>
          <w:szCs w:val="24"/>
          <w:lang w:eastAsia="cs-CZ"/>
        </w:rPr>
        <w:t>.15</w:t>
      </w:r>
      <w:r w:rsidR="00D33F0D" w:rsidRPr="00550455">
        <w:rPr>
          <w:rFonts w:ascii="Arial" w:eastAsia="Times New Roman" w:hAnsi="Arial" w:cs="Times New Roman"/>
          <w:b/>
          <w:szCs w:val="24"/>
          <w:lang w:eastAsia="cs-CZ"/>
        </w:rPr>
        <w:t>: Struktura tržeb ve zpracovatelském průmyslu (v %)</w:t>
      </w:r>
      <w:r w:rsidR="00D33F0D">
        <w:rPr>
          <w:rFonts w:ascii="Arial" w:eastAsia="Times New Roman" w:hAnsi="Arial" w:cs="Times New Roman"/>
          <w:b/>
          <w:szCs w:val="24"/>
          <w:lang w:eastAsia="cs-CZ"/>
        </w:rPr>
        <w:t xml:space="preserve"> </w:t>
      </w:r>
      <w:r w:rsidR="00D33F0D" w:rsidRPr="00550455">
        <w:rPr>
          <w:rFonts w:ascii="Arial" w:eastAsia="Times New Roman" w:hAnsi="Arial" w:cs="Times New Roman"/>
          <w:b/>
          <w:szCs w:val="24"/>
          <w:lang w:eastAsia="cs-CZ"/>
        </w:rPr>
        <w:t xml:space="preserve">podle novosti produktu podniků s produktovou inovací </w:t>
      </w:r>
    </w:p>
    <w:p w:rsidR="00D33F0D" w:rsidRDefault="00D33F0D" w:rsidP="00D33F0D">
      <w:pPr>
        <w:jc w:val="right"/>
      </w:pPr>
      <w:r>
        <w:rPr>
          <w:noProof/>
          <w:lang w:eastAsia="cs-CZ"/>
        </w:rPr>
        <w:drawing>
          <wp:inline distT="0" distB="0" distL="0" distR="0" wp14:anchorId="4F3EC65C" wp14:editId="364C9562">
            <wp:extent cx="5760720" cy="3486075"/>
            <wp:effectExtent l="0" t="0" r="0" b="635"/>
            <wp:docPr id="100" name="Graf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D33F0D" w:rsidRDefault="00D33F0D" w:rsidP="00D33F0D">
      <w:pPr>
        <w:spacing w:before="120" w:after="120" w:line="240" w:lineRule="auto"/>
        <w:rPr>
          <w:rFonts w:ascii="Arial" w:eastAsia="Times New Roman" w:hAnsi="Arial" w:cs="Times New Roman"/>
          <w:i/>
          <w:sz w:val="18"/>
          <w:szCs w:val="24"/>
          <w:lang w:eastAsia="cs-CZ"/>
        </w:rPr>
      </w:pPr>
      <w:r w:rsidRPr="00280F09">
        <w:rPr>
          <w:rFonts w:ascii="Arial" w:eastAsia="Times New Roman" w:hAnsi="Arial" w:cs="Times New Roman"/>
          <w:i/>
          <w:sz w:val="18"/>
          <w:szCs w:val="24"/>
          <w:lang w:eastAsia="cs-CZ"/>
        </w:rPr>
        <w:t>Zdroj: ČSÚ – vlastní zpracování</w:t>
      </w:r>
    </w:p>
    <w:p w:rsidR="002442BB" w:rsidRDefault="002442BB">
      <w:pPr>
        <w:rPr>
          <w:rFonts w:ascii="Arial" w:eastAsia="Times New Roman" w:hAnsi="Arial" w:cs="Times New Roman"/>
          <w:i/>
          <w:sz w:val="18"/>
          <w:szCs w:val="24"/>
          <w:lang w:eastAsia="cs-CZ"/>
        </w:rPr>
      </w:pPr>
      <w:r>
        <w:rPr>
          <w:rFonts w:ascii="Arial" w:eastAsia="Times New Roman" w:hAnsi="Arial" w:cs="Times New Roman"/>
          <w:i/>
          <w:sz w:val="18"/>
          <w:szCs w:val="24"/>
          <w:lang w:eastAsia="cs-CZ"/>
        </w:rPr>
        <w:br w:type="page"/>
      </w:r>
    </w:p>
    <w:p w:rsidR="00D51389" w:rsidRPr="00C41DE7" w:rsidRDefault="00D51389" w:rsidP="00D51389">
      <w:pPr>
        <w:pStyle w:val="Nadpis2"/>
      </w:pPr>
      <w:bookmarkStart w:id="34" w:name="_Toc427676907"/>
      <w:bookmarkStart w:id="35" w:name="_Toc464461113"/>
      <w:r>
        <w:lastRenderedPageBreak/>
        <w:t xml:space="preserve">9. </w:t>
      </w:r>
      <w:r w:rsidRPr="00FD7117">
        <w:t>Odvětví národního hospodářství</w:t>
      </w:r>
      <w:r w:rsidRPr="00C41DE7">
        <w:t xml:space="preserve"> ve vazbě na </w:t>
      </w:r>
      <w:proofErr w:type="spellStart"/>
      <w:r w:rsidRPr="00C41DE7">
        <w:t>VaVaI</w:t>
      </w:r>
      <w:bookmarkEnd w:id="34"/>
      <w:bookmarkEnd w:id="35"/>
      <w:proofErr w:type="spellEnd"/>
    </w:p>
    <w:p w:rsidR="00D51389" w:rsidRDefault="00D51389" w:rsidP="00D51389">
      <w:pPr>
        <w:spacing w:after="0" w:line="360" w:lineRule="auto"/>
        <w:ind w:firstLine="709"/>
        <w:jc w:val="both"/>
        <w:rPr>
          <w:rFonts w:ascii="Arial" w:eastAsia="Times New Roman" w:hAnsi="Arial" w:cs="Arial"/>
          <w:lang w:eastAsia="cs-CZ"/>
        </w:rPr>
      </w:pPr>
      <w:r w:rsidRPr="00315AA2">
        <w:rPr>
          <w:rFonts w:ascii="Arial" w:eastAsia="Times New Roman" w:hAnsi="Arial" w:cs="Arial"/>
          <w:lang w:eastAsia="cs-CZ"/>
        </w:rPr>
        <w:t xml:space="preserve">Intervence </w:t>
      </w:r>
      <w:proofErr w:type="spellStart"/>
      <w:r w:rsidRPr="00315AA2">
        <w:rPr>
          <w:rFonts w:ascii="Arial" w:eastAsia="Times New Roman" w:hAnsi="Arial" w:cs="Arial"/>
          <w:lang w:eastAsia="cs-CZ"/>
        </w:rPr>
        <w:t>VaVaI</w:t>
      </w:r>
      <w:proofErr w:type="spellEnd"/>
      <w:r w:rsidRPr="00315AA2">
        <w:rPr>
          <w:rFonts w:ascii="Arial" w:eastAsia="Times New Roman" w:hAnsi="Arial" w:cs="Arial"/>
          <w:lang w:eastAsia="cs-CZ"/>
        </w:rPr>
        <w:t xml:space="preserve">, chápána jako nástroj pro řízení, má být orientována na dosažení specifických </w:t>
      </w:r>
      <w:r>
        <w:rPr>
          <w:rFonts w:ascii="Arial" w:eastAsia="Times New Roman" w:hAnsi="Arial" w:cs="Arial"/>
          <w:lang w:eastAsia="cs-CZ"/>
        </w:rPr>
        <w:t xml:space="preserve">celospolečenských </w:t>
      </w:r>
      <w:r w:rsidRPr="00315AA2">
        <w:rPr>
          <w:rFonts w:ascii="Arial" w:eastAsia="Times New Roman" w:hAnsi="Arial" w:cs="Arial"/>
          <w:lang w:eastAsia="cs-CZ"/>
        </w:rPr>
        <w:t>cílů</w:t>
      </w:r>
      <w:r>
        <w:rPr>
          <w:rFonts w:ascii="Arial" w:eastAsia="Times New Roman" w:hAnsi="Arial" w:cs="Arial"/>
          <w:lang w:eastAsia="cs-CZ"/>
        </w:rPr>
        <w:t xml:space="preserve"> včetně cílů ekonomických</w:t>
      </w:r>
      <w:r w:rsidRPr="00315AA2">
        <w:rPr>
          <w:rFonts w:ascii="Arial" w:eastAsia="Times New Roman" w:hAnsi="Arial" w:cs="Arial"/>
          <w:lang w:eastAsia="cs-CZ"/>
        </w:rPr>
        <w:t xml:space="preserve">. </w:t>
      </w:r>
      <w:r>
        <w:rPr>
          <w:rFonts w:ascii="Arial" w:eastAsia="Times New Roman" w:hAnsi="Arial" w:cs="Arial"/>
          <w:lang w:eastAsia="cs-CZ"/>
        </w:rPr>
        <w:t>Pro e</w:t>
      </w:r>
      <w:r w:rsidRPr="008E7BFB">
        <w:rPr>
          <w:rFonts w:ascii="Arial" w:eastAsia="Times New Roman" w:hAnsi="Arial" w:cs="Arial"/>
          <w:lang w:eastAsia="cs-CZ"/>
        </w:rPr>
        <w:t xml:space="preserve">konomiku ČR </w:t>
      </w:r>
      <w:r>
        <w:rPr>
          <w:rFonts w:ascii="Arial" w:eastAsia="Times New Roman" w:hAnsi="Arial" w:cs="Arial"/>
          <w:lang w:eastAsia="cs-CZ"/>
        </w:rPr>
        <w:t>mají zásadní význam</w:t>
      </w:r>
      <w:r w:rsidRPr="008E7BFB">
        <w:rPr>
          <w:rFonts w:ascii="Arial" w:eastAsia="Times New Roman" w:hAnsi="Arial" w:cs="Arial"/>
          <w:lang w:eastAsia="cs-CZ"/>
        </w:rPr>
        <w:t xml:space="preserve"> podniky, které vyrábějí produkty s vysokou přidanou hodnotou a</w:t>
      </w:r>
      <w:r>
        <w:rPr>
          <w:rFonts w:ascii="Arial" w:eastAsia="Times New Roman" w:hAnsi="Arial" w:cs="Arial"/>
          <w:lang w:eastAsia="cs-CZ"/>
        </w:rPr>
        <w:t> </w:t>
      </w:r>
      <w:r w:rsidRPr="008E7BFB">
        <w:rPr>
          <w:rFonts w:ascii="Arial" w:eastAsia="Times New Roman" w:hAnsi="Arial" w:cs="Arial"/>
          <w:lang w:eastAsia="cs-CZ"/>
        </w:rPr>
        <w:t>v</w:t>
      </w:r>
      <w:r>
        <w:rPr>
          <w:rFonts w:ascii="Arial" w:eastAsia="Times New Roman" w:hAnsi="Arial" w:cs="Arial"/>
          <w:lang w:eastAsia="cs-CZ"/>
        </w:rPr>
        <w:t> </w:t>
      </w:r>
      <w:r w:rsidRPr="008E7BFB">
        <w:rPr>
          <w:rFonts w:ascii="Arial" w:eastAsia="Times New Roman" w:hAnsi="Arial" w:cs="Arial"/>
          <w:lang w:eastAsia="cs-CZ"/>
        </w:rPr>
        <w:t>této souvislosti investují velký objem finančních prostředků do vlastního výzkumu, vývoje a</w:t>
      </w:r>
      <w:r>
        <w:rPr>
          <w:rFonts w:ascii="Arial" w:eastAsia="Times New Roman" w:hAnsi="Arial" w:cs="Arial"/>
          <w:lang w:eastAsia="cs-CZ"/>
        </w:rPr>
        <w:t> </w:t>
      </w:r>
      <w:r w:rsidRPr="008E7BFB">
        <w:rPr>
          <w:rFonts w:ascii="Arial" w:eastAsia="Times New Roman" w:hAnsi="Arial" w:cs="Arial"/>
          <w:lang w:eastAsia="cs-CZ"/>
        </w:rPr>
        <w:t xml:space="preserve">inovací. </w:t>
      </w:r>
      <w:r w:rsidRPr="00315AA2">
        <w:rPr>
          <w:rFonts w:ascii="Arial" w:eastAsia="Times New Roman" w:hAnsi="Arial" w:cs="Arial"/>
          <w:lang w:eastAsia="cs-CZ"/>
        </w:rPr>
        <w:t>Pro mezinárodní srovnání jsou významné rovněž finanční toky mezi podnikatelským sektorem a sektory veřejnými (vysokoškolským a vládním).</w:t>
      </w:r>
      <w:r>
        <w:rPr>
          <w:rFonts w:ascii="Arial" w:eastAsia="Times New Roman" w:hAnsi="Arial" w:cs="Arial"/>
          <w:lang w:eastAsia="cs-CZ"/>
        </w:rPr>
        <w:t xml:space="preserve"> </w:t>
      </w:r>
      <w:r w:rsidRPr="00315AA2">
        <w:rPr>
          <w:rFonts w:ascii="Arial" w:eastAsia="Times New Roman" w:hAnsi="Arial" w:cs="Arial"/>
          <w:lang w:eastAsia="cs-CZ"/>
        </w:rPr>
        <w:t xml:space="preserve">Postavení českých subjektů v globálním produkčním řetězci lze odvozovat mimo jiné od intenzity provádění </w:t>
      </w:r>
      <w:proofErr w:type="spellStart"/>
      <w:r w:rsidRPr="00315AA2">
        <w:rPr>
          <w:rFonts w:ascii="Arial" w:eastAsia="Times New Roman" w:hAnsi="Arial" w:cs="Arial"/>
          <w:lang w:eastAsia="cs-CZ"/>
        </w:rPr>
        <w:t>VaVaI</w:t>
      </w:r>
      <w:proofErr w:type="spellEnd"/>
      <w:r w:rsidRPr="00315AA2">
        <w:rPr>
          <w:rFonts w:ascii="Arial" w:eastAsia="Times New Roman" w:hAnsi="Arial" w:cs="Arial"/>
          <w:lang w:eastAsia="cs-CZ"/>
        </w:rPr>
        <w:t xml:space="preserve"> (viz </w:t>
      </w:r>
      <w:r>
        <w:rPr>
          <w:rFonts w:ascii="Arial" w:eastAsia="Times New Roman" w:hAnsi="Arial" w:cs="Arial"/>
          <w:lang w:eastAsia="cs-CZ"/>
        </w:rPr>
        <w:t>obr.</w:t>
      </w:r>
      <w:r w:rsidRPr="00315AA2">
        <w:rPr>
          <w:rFonts w:ascii="Arial" w:eastAsia="Times New Roman" w:hAnsi="Arial" w:cs="Arial"/>
          <w:lang w:eastAsia="cs-CZ"/>
        </w:rPr>
        <w:t xml:space="preserve"> </w:t>
      </w:r>
      <w:r>
        <w:rPr>
          <w:rFonts w:ascii="Arial" w:eastAsia="Times New Roman" w:hAnsi="Arial" w:cs="Arial"/>
          <w:lang w:eastAsia="cs-CZ"/>
        </w:rPr>
        <w:t>8.1)</w:t>
      </w:r>
      <w:r w:rsidRPr="00315AA2">
        <w:rPr>
          <w:rFonts w:ascii="Arial" w:eastAsia="Times New Roman" w:hAnsi="Arial" w:cs="Arial"/>
          <w:lang w:eastAsia="cs-CZ"/>
        </w:rPr>
        <w:t xml:space="preserve">. Ten lze měřit finančně, nebo prostřednictvím lidských zdrojů. Finanční pojetí je založeno na výdajích podnikatelského sektoru na </w:t>
      </w:r>
      <w:proofErr w:type="spellStart"/>
      <w:r w:rsidRPr="00315AA2">
        <w:rPr>
          <w:rFonts w:ascii="Arial" w:eastAsia="Times New Roman" w:hAnsi="Arial" w:cs="Arial"/>
          <w:lang w:eastAsia="cs-CZ"/>
        </w:rPr>
        <w:t>VaVaI</w:t>
      </w:r>
      <w:proofErr w:type="spellEnd"/>
      <w:r w:rsidRPr="00315AA2">
        <w:rPr>
          <w:rFonts w:ascii="Arial" w:eastAsia="Times New Roman" w:hAnsi="Arial" w:cs="Arial"/>
          <w:lang w:eastAsia="cs-CZ"/>
        </w:rPr>
        <w:t xml:space="preserve">. </w:t>
      </w:r>
    </w:p>
    <w:p w:rsidR="00D51389" w:rsidRPr="006862CE" w:rsidRDefault="00D51389" w:rsidP="00D51389">
      <w:pPr>
        <w:pStyle w:val="Obrzek-nadpis"/>
      </w:pPr>
      <w:r>
        <w:t>Obr. 8.1</w:t>
      </w:r>
      <w:r w:rsidRPr="006862CE">
        <w:t>: Rozložení přidané hodnoty v hodnotovém řetězci</w:t>
      </w:r>
    </w:p>
    <w:p w:rsidR="00D51389" w:rsidRPr="00CD4A97" w:rsidRDefault="00D51389" w:rsidP="00D51389">
      <w:pPr>
        <w:spacing w:after="0" w:line="360" w:lineRule="auto"/>
        <w:ind w:firstLine="709"/>
        <w:rPr>
          <w:rFonts w:ascii="Arial" w:hAnsi="Arial" w:cs="Arial"/>
          <w:noProof/>
          <w:sz w:val="20"/>
          <w:lang w:eastAsia="cs-CZ"/>
        </w:rPr>
      </w:pPr>
      <w:r>
        <w:rPr>
          <w:rFonts w:ascii="Arial" w:hAnsi="Arial" w:cs="Arial"/>
          <w:noProof/>
          <w:sz w:val="20"/>
          <w:lang w:eastAsia="cs-CZ"/>
        </w:rPr>
        <w:drawing>
          <wp:inline distT="0" distB="0" distL="0" distR="0" wp14:anchorId="48B55D85" wp14:editId="70D18C82">
            <wp:extent cx="4858385" cy="2830830"/>
            <wp:effectExtent l="19050" t="19050" r="18415" b="26670"/>
            <wp:docPr id="16" name="Obrázek 16" descr="Smiling_curve_pub268-exhibit1-e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miling_curve_pub268-exhibit1-e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58385" cy="2830830"/>
                    </a:xfrm>
                    <a:prstGeom prst="rect">
                      <a:avLst/>
                    </a:prstGeom>
                    <a:noFill/>
                    <a:ln>
                      <a:solidFill>
                        <a:schemeClr val="tx1"/>
                      </a:solidFill>
                    </a:ln>
                  </pic:spPr>
                </pic:pic>
              </a:graphicData>
            </a:graphic>
          </wp:inline>
        </w:drawing>
      </w:r>
    </w:p>
    <w:p w:rsidR="00D51389" w:rsidRPr="00E75217" w:rsidRDefault="00D51389" w:rsidP="00D51389">
      <w:pPr>
        <w:rPr>
          <w:rFonts w:ascii="Arial" w:hAnsi="Arial" w:cs="Arial"/>
          <w:sz w:val="18"/>
          <w:szCs w:val="18"/>
        </w:rPr>
      </w:pPr>
      <w:r w:rsidRPr="00E75217">
        <w:rPr>
          <w:rFonts w:ascii="Arial" w:hAnsi="Arial" w:cs="Arial"/>
          <w:sz w:val="18"/>
          <w:szCs w:val="18"/>
        </w:rPr>
        <w:t xml:space="preserve">Zdroj: </w:t>
      </w:r>
      <w:proofErr w:type="spellStart"/>
      <w:r w:rsidRPr="00E75217">
        <w:rPr>
          <w:rFonts w:ascii="Arial" w:hAnsi="Arial" w:cs="Arial"/>
          <w:sz w:val="18"/>
          <w:szCs w:val="18"/>
        </w:rPr>
        <w:t>The</w:t>
      </w:r>
      <w:proofErr w:type="spellEnd"/>
      <w:r w:rsidRPr="00E75217">
        <w:rPr>
          <w:rFonts w:ascii="Arial" w:hAnsi="Arial" w:cs="Arial"/>
          <w:sz w:val="18"/>
          <w:szCs w:val="18"/>
        </w:rPr>
        <w:t xml:space="preserve"> Stan </w:t>
      </w:r>
      <w:proofErr w:type="spellStart"/>
      <w:r w:rsidRPr="00E75217">
        <w:rPr>
          <w:rFonts w:ascii="Arial" w:hAnsi="Arial" w:cs="Arial"/>
          <w:sz w:val="18"/>
          <w:szCs w:val="18"/>
        </w:rPr>
        <w:t>Shih</w:t>
      </w:r>
      <w:proofErr w:type="spellEnd"/>
      <w:r w:rsidRPr="00E75217">
        <w:rPr>
          <w:rFonts w:ascii="Arial" w:hAnsi="Arial" w:cs="Arial"/>
          <w:sz w:val="18"/>
          <w:szCs w:val="18"/>
        </w:rPr>
        <w:t xml:space="preserve"> </w:t>
      </w:r>
      <w:proofErr w:type="spellStart"/>
      <w:r w:rsidRPr="00E75217">
        <w:rPr>
          <w:rFonts w:ascii="Arial" w:hAnsi="Arial" w:cs="Arial"/>
          <w:sz w:val="18"/>
          <w:szCs w:val="18"/>
        </w:rPr>
        <w:t>Smiling</w:t>
      </w:r>
      <w:proofErr w:type="spellEnd"/>
      <w:r w:rsidRPr="00E75217">
        <w:rPr>
          <w:rFonts w:ascii="Arial" w:hAnsi="Arial" w:cs="Arial"/>
          <w:sz w:val="18"/>
          <w:szCs w:val="18"/>
        </w:rPr>
        <w:t xml:space="preserve"> </w:t>
      </w:r>
      <w:proofErr w:type="spellStart"/>
      <w:r w:rsidRPr="00E75217">
        <w:rPr>
          <w:rFonts w:ascii="Arial" w:hAnsi="Arial" w:cs="Arial"/>
          <w:sz w:val="18"/>
          <w:szCs w:val="18"/>
        </w:rPr>
        <w:t>Curve</w:t>
      </w:r>
      <w:proofErr w:type="spellEnd"/>
    </w:p>
    <w:p w:rsidR="00D51389" w:rsidRDefault="00D51389" w:rsidP="00D51389">
      <w:pPr>
        <w:spacing w:after="0" w:line="360" w:lineRule="auto"/>
        <w:ind w:firstLine="709"/>
        <w:jc w:val="both"/>
        <w:rPr>
          <w:rFonts w:ascii="Arial" w:eastAsia="Times New Roman" w:hAnsi="Arial" w:cs="Arial"/>
          <w:lang w:eastAsia="cs-CZ"/>
        </w:rPr>
      </w:pPr>
      <w:r w:rsidRPr="00315AA2">
        <w:rPr>
          <w:rFonts w:ascii="Arial" w:eastAsia="Times New Roman" w:hAnsi="Arial" w:cs="Arial"/>
          <w:lang w:eastAsia="cs-CZ"/>
        </w:rPr>
        <w:t xml:space="preserve">Ve smyslu NP </w:t>
      </w:r>
      <w:proofErr w:type="spellStart"/>
      <w:r w:rsidRPr="00315AA2">
        <w:rPr>
          <w:rFonts w:ascii="Arial" w:eastAsia="Times New Roman" w:hAnsi="Arial" w:cs="Arial"/>
          <w:lang w:eastAsia="cs-CZ"/>
        </w:rPr>
        <w:t>VaVaI</w:t>
      </w:r>
      <w:proofErr w:type="spellEnd"/>
      <w:r w:rsidRPr="00315AA2">
        <w:rPr>
          <w:rFonts w:ascii="Arial" w:eastAsia="Times New Roman" w:hAnsi="Arial" w:cs="Arial"/>
          <w:lang w:eastAsia="cs-CZ"/>
        </w:rPr>
        <w:t xml:space="preserve"> a RIS3 je pro </w:t>
      </w:r>
      <w:r>
        <w:rPr>
          <w:rFonts w:ascii="Arial" w:eastAsia="Times New Roman" w:hAnsi="Arial" w:cs="Arial"/>
          <w:lang w:eastAsia="cs-CZ"/>
        </w:rPr>
        <w:t>zacílení intervencí</w:t>
      </w:r>
      <w:r w:rsidRPr="00315AA2">
        <w:rPr>
          <w:rFonts w:ascii="Arial" w:eastAsia="Times New Roman" w:hAnsi="Arial" w:cs="Arial"/>
          <w:lang w:eastAsia="cs-CZ"/>
        </w:rPr>
        <w:t xml:space="preserve"> možné kombinovat dva přístupy: </w:t>
      </w:r>
      <w:r w:rsidRPr="00C33B65">
        <w:rPr>
          <w:rFonts w:ascii="Arial" w:eastAsia="Times New Roman" w:hAnsi="Arial" w:cs="Arial"/>
          <w:b/>
          <w:lang w:eastAsia="cs-CZ"/>
        </w:rPr>
        <w:t>specializaci odvětvovou</w:t>
      </w:r>
      <w:r w:rsidRPr="00315AA2">
        <w:rPr>
          <w:rFonts w:ascii="Arial" w:eastAsia="Times New Roman" w:hAnsi="Arial" w:cs="Arial"/>
          <w:lang w:eastAsia="cs-CZ"/>
        </w:rPr>
        <w:t xml:space="preserve"> a </w:t>
      </w:r>
      <w:r w:rsidRPr="00C33B65">
        <w:rPr>
          <w:rFonts w:ascii="Arial" w:eastAsia="Times New Roman" w:hAnsi="Arial" w:cs="Arial"/>
          <w:b/>
          <w:lang w:eastAsia="cs-CZ"/>
        </w:rPr>
        <w:t>specializaci znalostní</w:t>
      </w:r>
      <w:r w:rsidRPr="00315AA2">
        <w:rPr>
          <w:rFonts w:ascii="Arial" w:eastAsia="Times New Roman" w:hAnsi="Arial" w:cs="Arial"/>
          <w:lang w:eastAsia="cs-CZ"/>
        </w:rPr>
        <w:t>.</w:t>
      </w:r>
      <w:r>
        <w:rPr>
          <w:rFonts w:ascii="Arial" w:eastAsia="Times New Roman" w:hAnsi="Arial" w:cs="Arial"/>
          <w:lang w:eastAsia="cs-CZ"/>
        </w:rPr>
        <w:t xml:space="preserve"> </w:t>
      </w:r>
      <w:r w:rsidRPr="00543D2F">
        <w:rPr>
          <w:rFonts w:ascii="Arial" w:eastAsia="Times New Roman" w:hAnsi="Arial" w:cs="Arial"/>
          <w:b/>
          <w:lang w:eastAsia="cs-CZ"/>
        </w:rPr>
        <w:t>Odvětvová specializace</w:t>
      </w:r>
      <w:r>
        <w:rPr>
          <w:rFonts w:ascii="Arial" w:eastAsia="Times New Roman" w:hAnsi="Arial" w:cs="Arial"/>
          <w:lang w:eastAsia="cs-CZ"/>
        </w:rPr>
        <w:t xml:space="preserve"> je založena na faktu, že v</w:t>
      </w:r>
      <w:r w:rsidRPr="008E7BFB">
        <w:rPr>
          <w:rFonts w:ascii="Arial" w:eastAsia="Times New Roman" w:hAnsi="Arial" w:cs="Arial"/>
          <w:lang w:eastAsia="cs-CZ"/>
        </w:rPr>
        <w:t>ýznamná odvětví národního hospodářství představují prostředí, ve kterých se vědecké poznatky jejich využitím zhodnocují v ekonomické a</w:t>
      </w:r>
      <w:r>
        <w:rPr>
          <w:rFonts w:ascii="Arial" w:eastAsia="Times New Roman" w:hAnsi="Arial" w:cs="Arial"/>
          <w:lang w:eastAsia="cs-CZ"/>
        </w:rPr>
        <w:t> </w:t>
      </w:r>
      <w:r w:rsidRPr="008E7BFB">
        <w:rPr>
          <w:rFonts w:ascii="Arial" w:eastAsia="Times New Roman" w:hAnsi="Arial" w:cs="Arial"/>
          <w:lang w:eastAsia="cs-CZ"/>
        </w:rPr>
        <w:t xml:space="preserve">celospolečenské přínosy. </w:t>
      </w:r>
      <w:r w:rsidRPr="008109C0">
        <w:rPr>
          <w:rFonts w:ascii="Arial" w:eastAsia="Times New Roman" w:hAnsi="Arial" w:cs="Arial"/>
          <w:lang w:eastAsia="cs-CZ"/>
        </w:rPr>
        <w:t>Významnost odvětví pro českou ekonomiku lze identifikovat na základě různých parametrů (například podíl odvětví na HPH, zaměstnanosti, exportu apod.). Odvětví s</w:t>
      </w:r>
      <w:r>
        <w:rPr>
          <w:rFonts w:ascii="Arial" w:eastAsia="Times New Roman" w:hAnsi="Arial" w:cs="Arial"/>
          <w:lang w:eastAsia="cs-CZ"/>
        </w:rPr>
        <w:t> </w:t>
      </w:r>
      <w:r w:rsidRPr="008109C0">
        <w:rPr>
          <w:rFonts w:ascii="Arial" w:eastAsia="Times New Roman" w:hAnsi="Arial" w:cs="Arial"/>
          <w:lang w:eastAsia="cs-CZ"/>
        </w:rPr>
        <w:t xml:space="preserve">relativně vysokými výdaji na </w:t>
      </w:r>
      <w:proofErr w:type="spellStart"/>
      <w:r w:rsidRPr="008109C0">
        <w:rPr>
          <w:rFonts w:ascii="Arial" w:eastAsia="Times New Roman" w:hAnsi="Arial" w:cs="Arial"/>
          <w:lang w:eastAsia="cs-CZ"/>
        </w:rPr>
        <w:t>VaVaI</w:t>
      </w:r>
      <w:proofErr w:type="spellEnd"/>
      <w:r w:rsidRPr="008109C0">
        <w:rPr>
          <w:rFonts w:ascii="Arial" w:eastAsia="Times New Roman" w:hAnsi="Arial" w:cs="Arial"/>
          <w:lang w:eastAsia="cs-CZ"/>
        </w:rPr>
        <w:t xml:space="preserve"> mají dobrý předpoklad pro efektivní využití prostředků pro výzkum a vývoj ve spolupráci s veřejnými výzkumnými subjekty za využití moderních výzkumných infrastruktur, k jejichž vybudování přispěly prostředky ESIF.</w:t>
      </w:r>
    </w:p>
    <w:p w:rsidR="00D51389" w:rsidRDefault="00D51389" w:rsidP="00D51389">
      <w:pPr>
        <w:spacing w:after="0" w:line="360" w:lineRule="auto"/>
        <w:ind w:firstLine="709"/>
        <w:jc w:val="both"/>
        <w:rPr>
          <w:rFonts w:ascii="Arial" w:eastAsia="Times New Roman" w:hAnsi="Arial" w:cs="Arial"/>
          <w:lang w:eastAsia="cs-CZ"/>
        </w:rPr>
      </w:pPr>
      <w:r w:rsidRPr="008109C0">
        <w:rPr>
          <w:rFonts w:ascii="Arial" w:eastAsia="Times New Roman" w:hAnsi="Arial" w:cs="Arial"/>
          <w:lang w:eastAsia="cs-CZ"/>
        </w:rPr>
        <w:lastRenderedPageBreak/>
        <w:t xml:space="preserve">V tabulkách </w:t>
      </w:r>
      <w:r>
        <w:rPr>
          <w:rFonts w:ascii="Arial" w:eastAsia="Times New Roman" w:hAnsi="Arial" w:cs="Arial"/>
          <w:lang w:eastAsia="cs-CZ"/>
        </w:rPr>
        <w:t>8.3</w:t>
      </w:r>
      <w:r w:rsidRPr="008109C0">
        <w:rPr>
          <w:rFonts w:ascii="Arial" w:eastAsia="Times New Roman" w:hAnsi="Arial" w:cs="Arial"/>
          <w:lang w:eastAsia="cs-CZ"/>
        </w:rPr>
        <w:t xml:space="preserve"> a </w:t>
      </w:r>
      <w:r>
        <w:rPr>
          <w:rFonts w:ascii="Arial" w:eastAsia="Times New Roman" w:hAnsi="Arial" w:cs="Arial"/>
          <w:lang w:eastAsia="cs-CZ"/>
        </w:rPr>
        <w:t>8.4</w:t>
      </w:r>
      <w:r w:rsidRPr="008109C0">
        <w:rPr>
          <w:rFonts w:ascii="Arial" w:eastAsia="Times New Roman" w:hAnsi="Arial" w:cs="Arial"/>
          <w:lang w:eastAsia="cs-CZ"/>
        </w:rPr>
        <w:t xml:space="preserve"> jsou prezentovány vybrané </w:t>
      </w:r>
      <w:r w:rsidRPr="00C33B65">
        <w:rPr>
          <w:rFonts w:ascii="Arial" w:eastAsia="Times New Roman" w:hAnsi="Arial" w:cs="Arial"/>
          <w:b/>
          <w:lang w:eastAsia="cs-CZ"/>
        </w:rPr>
        <w:t>sociálně-ekonomické parametry</w:t>
      </w:r>
      <w:r>
        <w:rPr>
          <w:rStyle w:val="Znakapoznpodarou"/>
          <w:rFonts w:ascii="Arial" w:eastAsia="Times New Roman" w:hAnsi="Arial" w:cs="Arial"/>
          <w:lang w:eastAsia="cs-CZ"/>
        </w:rPr>
        <w:footnoteReference w:id="40"/>
      </w:r>
      <w:r w:rsidRPr="008109C0">
        <w:rPr>
          <w:rFonts w:ascii="Arial" w:eastAsia="Times New Roman" w:hAnsi="Arial" w:cs="Arial"/>
          <w:lang w:eastAsia="cs-CZ"/>
        </w:rPr>
        <w:t xml:space="preserve">, které by měly </w:t>
      </w:r>
      <w:r>
        <w:rPr>
          <w:rFonts w:ascii="Arial" w:eastAsia="Times New Roman" w:hAnsi="Arial" w:cs="Arial"/>
          <w:lang w:eastAsia="cs-CZ"/>
        </w:rPr>
        <w:t>umožnit charakterizovat</w:t>
      </w:r>
      <w:r w:rsidRPr="008109C0">
        <w:rPr>
          <w:rFonts w:ascii="Arial" w:eastAsia="Times New Roman" w:hAnsi="Arial" w:cs="Arial"/>
          <w:lang w:eastAsia="cs-CZ"/>
        </w:rPr>
        <w:t xml:space="preserve"> </w:t>
      </w:r>
      <w:r w:rsidRPr="00C33B65">
        <w:rPr>
          <w:rFonts w:ascii="Arial" w:eastAsia="Times New Roman" w:hAnsi="Arial" w:cs="Arial"/>
          <w:b/>
          <w:lang w:eastAsia="cs-CZ"/>
        </w:rPr>
        <w:t>významnost daného odvětví na národní úrovni</w:t>
      </w:r>
      <w:r w:rsidRPr="008109C0">
        <w:rPr>
          <w:rFonts w:ascii="Arial" w:eastAsia="Times New Roman" w:hAnsi="Arial" w:cs="Arial"/>
          <w:lang w:eastAsia="cs-CZ"/>
        </w:rPr>
        <w:t xml:space="preserve">. </w:t>
      </w:r>
      <w:r>
        <w:rPr>
          <w:rFonts w:ascii="Arial" w:eastAsia="Times New Roman" w:hAnsi="Arial" w:cs="Arial"/>
          <w:lang w:eastAsia="cs-CZ"/>
        </w:rPr>
        <w:t>Při stanovení odvětvové specializace</w:t>
      </w:r>
      <w:r w:rsidRPr="008109C0">
        <w:rPr>
          <w:rFonts w:ascii="Arial" w:eastAsia="Times New Roman" w:hAnsi="Arial" w:cs="Arial"/>
          <w:lang w:eastAsia="cs-CZ"/>
        </w:rPr>
        <w:t xml:space="preserve"> </w:t>
      </w:r>
      <w:r>
        <w:rPr>
          <w:rFonts w:ascii="Arial" w:eastAsia="Times New Roman" w:hAnsi="Arial" w:cs="Arial"/>
          <w:lang w:eastAsia="cs-CZ"/>
        </w:rPr>
        <w:t xml:space="preserve">je však nutno brát v potaz řadu </w:t>
      </w:r>
      <w:r w:rsidRPr="00C33B65">
        <w:rPr>
          <w:rFonts w:ascii="Arial" w:eastAsia="Times New Roman" w:hAnsi="Arial" w:cs="Arial"/>
          <w:b/>
          <w:lang w:eastAsia="cs-CZ"/>
        </w:rPr>
        <w:t>interpretačních omezení</w:t>
      </w:r>
      <w:r>
        <w:rPr>
          <w:rFonts w:ascii="Arial" w:eastAsia="Times New Roman" w:hAnsi="Arial" w:cs="Arial"/>
          <w:lang w:eastAsia="cs-CZ"/>
        </w:rPr>
        <w:t>:</w:t>
      </w:r>
    </w:p>
    <w:p w:rsidR="00D51389" w:rsidRPr="008E7BFB" w:rsidRDefault="00D51389" w:rsidP="00D51389">
      <w:pPr>
        <w:numPr>
          <w:ilvl w:val="0"/>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Omezení</w:t>
      </w:r>
      <w:r>
        <w:rPr>
          <w:rFonts w:ascii="Arial" w:eastAsia="Times New Roman" w:hAnsi="Arial" w:cs="Arial"/>
          <w:i/>
          <w:lang w:eastAsia="cs-CZ"/>
        </w:rPr>
        <w:t xml:space="preserve"> spojená s klasifikací CZ-NACE:</w:t>
      </w:r>
    </w:p>
    <w:p w:rsidR="00D51389" w:rsidRPr="008E7BFB" w:rsidRDefault="00D51389" w:rsidP="00D51389">
      <w:pPr>
        <w:numPr>
          <w:ilvl w:val="1"/>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 xml:space="preserve">Klasifikace nemusí odpovídat současným trendům, kdy na základě progresivního rozvoje </w:t>
      </w:r>
      <w:r>
        <w:rPr>
          <w:rFonts w:ascii="Arial" w:eastAsia="Times New Roman" w:hAnsi="Arial" w:cs="Arial"/>
          <w:i/>
          <w:lang w:eastAsia="cs-CZ"/>
        </w:rPr>
        <w:t>znalostí v oborech</w:t>
      </w:r>
      <w:r w:rsidRPr="008E7BFB">
        <w:rPr>
          <w:rFonts w:ascii="Arial" w:eastAsia="Times New Roman" w:hAnsi="Arial" w:cs="Arial"/>
          <w:i/>
          <w:lang w:eastAsia="cs-CZ"/>
        </w:rPr>
        <w:t>,</w:t>
      </w:r>
      <w:r>
        <w:rPr>
          <w:rFonts w:ascii="Arial" w:eastAsia="Times New Roman" w:hAnsi="Arial" w:cs="Arial"/>
          <w:i/>
          <w:lang w:eastAsia="cs-CZ"/>
        </w:rPr>
        <w:t xml:space="preserve"> jako jsou</w:t>
      </w:r>
      <w:r w:rsidRPr="008E7BFB">
        <w:rPr>
          <w:rFonts w:ascii="Arial" w:eastAsia="Times New Roman" w:hAnsi="Arial" w:cs="Arial"/>
          <w:i/>
          <w:lang w:eastAsia="cs-CZ"/>
        </w:rPr>
        <w:t xml:space="preserve"> např. nanotechnologie</w:t>
      </w:r>
      <w:r>
        <w:rPr>
          <w:rFonts w:ascii="Arial" w:eastAsia="Times New Roman" w:hAnsi="Arial" w:cs="Arial"/>
          <w:i/>
          <w:lang w:eastAsia="cs-CZ"/>
        </w:rPr>
        <w:t>,</w:t>
      </w:r>
      <w:r w:rsidRPr="008E7BFB">
        <w:rPr>
          <w:rFonts w:ascii="Arial" w:eastAsia="Times New Roman" w:hAnsi="Arial" w:cs="Arial"/>
          <w:i/>
          <w:lang w:eastAsia="cs-CZ"/>
        </w:rPr>
        <w:t xml:space="preserve"> biotechnologie, </w:t>
      </w:r>
      <w:r>
        <w:rPr>
          <w:rFonts w:ascii="Arial" w:eastAsia="Times New Roman" w:hAnsi="Arial" w:cs="Arial"/>
          <w:i/>
          <w:lang w:eastAsia="cs-CZ"/>
        </w:rPr>
        <w:t xml:space="preserve">molekulární biologie, </w:t>
      </w:r>
      <w:r w:rsidRPr="008E7BFB">
        <w:rPr>
          <w:rFonts w:ascii="Arial" w:eastAsia="Times New Roman" w:hAnsi="Arial" w:cs="Arial"/>
          <w:i/>
          <w:lang w:eastAsia="cs-CZ"/>
        </w:rPr>
        <w:t>mohou vznikat zcela nová odvětví.</w:t>
      </w:r>
    </w:p>
    <w:p w:rsidR="00D51389" w:rsidRPr="008E7BFB" w:rsidRDefault="00D51389" w:rsidP="00D51389">
      <w:pPr>
        <w:numPr>
          <w:ilvl w:val="1"/>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O zařazení subjektu k určitému odvětví rozhoduje převažující činnost v daném roce, nejsou zohledněny další činnosti, přestože mohou být téměř stejně významné a</w:t>
      </w:r>
      <w:r>
        <w:rPr>
          <w:rFonts w:ascii="Arial" w:eastAsia="Times New Roman" w:hAnsi="Arial" w:cs="Arial"/>
          <w:i/>
          <w:lang w:eastAsia="cs-CZ"/>
        </w:rPr>
        <w:t> </w:t>
      </w:r>
      <w:r w:rsidRPr="008E7BFB">
        <w:rPr>
          <w:rFonts w:ascii="Arial" w:eastAsia="Times New Roman" w:hAnsi="Arial" w:cs="Arial"/>
          <w:i/>
          <w:lang w:eastAsia="cs-CZ"/>
        </w:rPr>
        <w:t xml:space="preserve">v krajním případě mohou způsobit meziroční přesun do jiného odvětví (např. společnosti, jako je IBM nebo </w:t>
      </w:r>
      <w:proofErr w:type="spellStart"/>
      <w:r w:rsidRPr="008E7BFB">
        <w:rPr>
          <w:rFonts w:ascii="Arial" w:eastAsia="Times New Roman" w:hAnsi="Arial" w:cs="Arial"/>
          <w:i/>
          <w:lang w:eastAsia="cs-CZ"/>
        </w:rPr>
        <w:t>Alza</w:t>
      </w:r>
      <w:proofErr w:type="spellEnd"/>
      <w:r w:rsidRPr="008E7BFB">
        <w:rPr>
          <w:rFonts w:ascii="Arial" w:eastAsia="Times New Roman" w:hAnsi="Arial" w:cs="Arial"/>
          <w:i/>
          <w:lang w:eastAsia="cs-CZ"/>
        </w:rPr>
        <w:t>, spadají podle hlavní ekonomické činnosti do</w:t>
      </w:r>
      <w:r>
        <w:rPr>
          <w:rFonts w:ascii="Arial" w:eastAsia="Times New Roman" w:hAnsi="Arial" w:cs="Arial"/>
          <w:i/>
          <w:lang w:eastAsia="cs-CZ"/>
        </w:rPr>
        <w:t> </w:t>
      </w:r>
      <w:r w:rsidRPr="008E7BFB">
        <w:rPr>
          <w:rFonts w:ascii="Arial" w:eastAsia="Times New Roman" w:hAnsi="Arial" w:cs="Arial"/>
          <w:i/>
          <w:lang w:eastAsia="cs-CZ"/>
        </w:rPr>
        <w:t>odvětví Velkoobchod a maloobchod, přesto mohou být vnímány jako významné subjekty v oblasti informačních a komunikačních technologií).</w:t>
      </w:r>
    </w:p>
    <w:p w:rsidR="00D51389" w:rsidRPr="008E7BFB" w:rsidRDefault="00D51389" w:rsidP="00D51389">
      <w:pPr>
        <w:numPr>
          <w:ilvl w:val="1"/>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Do odvětví výzkum a vývoj jsou řazeny všechny subjekty, v jejichž činnosti převažuje výzkum a vývoj, bez ohledu na jeho zaměření.</w:t>
      </w:r>
    </w:p>
    <w:p w:rsidR="00D51389" w:rsidRPr="008E7BFB" w:rsidRDefault="00D51389" w:rsidP="00D51389">
      <w:pPr>
        <w:numPr>
          <w:ilvl w:val="1"/>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Klasifikace nezachycuje celý segment subdodavatelů, kteří jsou mnohdy na odvětví navázáni</w:t>
      </w:r>
      <w:r>
        <w:rPr>
          <w:rFonts w:ascii="Arial" w:eastAsia="Times New Roman" w:hAnsi="Arial" w:cs="Arial"/>
          <w:i/>
          <w:lang w:eastAsia="cs-CZ"/>
        </w:rPr>
        <w:t xml:space="preserve"> (viz obr. 8.2)</w:t>
      </w:r>
      <w:r w:rsidRPr="008E7BFB">
        <w:rPr>
          <w:rFonts w:ascii="Arial" w:eastAsia="Times New Roman" w:hAnsi="Arial" w:cs="Arial"/>
          <w:i/>
          <w:lang w:eastAsia="cs-CZ"/>
        </w:rPr>
        <w:t>.</w:t>
      </w:r>
    </w:p>
    <w:p w:rsidR="00D51389" w:rsidRPr="008E7BFB" w:rsidRDefault="00D51389" w:rsidP="00D51389">
      <w:pPr>
        <w:numPr>
          <w:ilvl w:val="0"/>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Omezení spojená s volbou ukazatelů:</w:t>
      </w:r>
    </w:p>
    <w:p w:rsidR="00D51389" w:rsidRPr="008C498C" w:rsidRDefault="00D51389" w:rsidP="00D51389">
      <w:pPr>
        <w:numPr>
          <w:ilvl w:val="1"/>
          <w:numId w:val="8"/>
        </w:numPr>
        <w:spacing w:after="0" w:line="360" w:lineRule="auto"/>
        <w:contextualSpacing/>
        <w:jc w:val="both"/>
        <w:rPr>
          <w:rFonts w:ascii="Arial" w:eastAsia="Times New Roman" w:hAnsi="Arial" w:cs="Arial"/>
          <w:i/>
          <w:lang w:eastAsia="cs-CZ"/>
        </w:rPr>
      </w:pPr>
      <w:r w:rsidRPr="008C498C">
        <w:rPr>
          <w:rFonts w:ascii="Arial" w:eastAsia="Times New Roman" w:hAnsi="Arial" w:cs="Arial"/>
          <w:i/>
          <w:lang w:eastAsia="cs-CZ"/>
        </w:rPr>
        <w:t>Nejsou zohledněny nově vznikající subjekty typu start-up a spin-</w:t>
      </w:r>
      <w:proofErr w:type="spellStart"/>
      <w:r w:rsidRPr="008C498C">
        <w:rPr>
          <w:rFonts w:ascii="Arial" w:eastAsia="Times New Roman" w:hAnsi="Arial" w:cs="Arial"/>
          <w:i/>
          <w:lang w:eastAsia="cs-CZ"/>
        </w:rPr>
        <w:t>off</w:t>
      </w:r>
      <w:proofErr w:type="spellEnd"/>
      <w:r w:rsidRPr="008C498C">
        <w:rPr>
          <w:rFonts w:ascii="Arial" w:eastAsia="Times New Roman" w:hAnsi="Arial" w:cs="Arial"/>
          <w:i/>
          <w:lang w:eastAsia="cs-CZ"/>
        </w:rPr>
        <w:t xml:space="preserve">, jež se projeví ve vztahu k HPH až za několik let po jejich vzniku, navíc na počátku své existence nevykazují vysoké výdaje na </w:t>
      </w:r>
      <w:proofErr w:type="spellStart"/>
      <w:r w:rsidRPr="008C498C">
        <w:rPr>
          <w:rFonts w:ascii="Arial" w:eastAsia="Times New Roman" w:hAnsi="Arial" w:cs="Arial"/>
          <w:i/>
          <w:lang w:eastAsia="cs-CZ"/>
        </w:rPr>
        <w:t>VaVaI</w:t>
      </w:r>
      <w:proofErr w:type="spellEnd"/>
      <w:r w:rsidRPr="008C498C">
        <w:rPr>
          <w:rFonts w:ascii="Arial" w:eastAsia="Times New Roman" w:hAnsi="Arial" w:cs="Arial"/>
          <w:i/>
          <w:lang w:eastAsia="cs-CZ"/>
        </w:rPr>
        <w:t>.</w:t>
      </w:r>
    </w:p>
    <w:p w:rsidR="00D51389" w:rsidRDefault="00D51389" w:rsidP="00D51389">
      <w:pPr>
        <w:numPr>
          <w:ilvl w:val="1"/>
          <w:numId w:val="8"/>
        </w:numPr>
        <w:spacing w:after="0" w:line="360" w:lineRule="auto"/>
        <w:contextualSpacing/>
        <w:jc w:val="both"/>
        <w:rPr>
          <w:rFonts w:ascii="Arial" w:eastAsia="Times New Roman" w:hAnsi="Arial" w:cs="Arial"/>
          <w:i/>
          <w:lang w:eastAsia="cs-CZ"/>
        </w:rPr>
      </w:pPr>
      <w:r w:rsidRPr="008C498C">
        <w:rPr>
          <w:rFonts w:ascii="Arial" w:eastAsia="Times New Roman" w:hAnsi="Arial" w:cs="Arial"/>
          <w:i/>
          <w:lang w:eastAsia="cs-CZ"/>
        </w:rPr>
        <w:t xml:space="preserve">Nemusí být zahrnuty subjekty (zejména z řad MSP), které jsou v určitém odvětví významné např. vysokou přidanou hodnotou výrobku na bázi nových poznatků </w:t>
      </w:r>
      <w:proofErr w:type="spellStart"/>
      <w:r w:rsidRPr="008C498C">
        <w:rPr>
          <w:rFonts w:ascii="Arial" w:eastAsia="Times New Roman" w:hAnsi="Arial" w:cs="Arial"/>
          <w:i/>
          <w:lang w:eastAsia="cs-CZ"/>
        </w:rPr>
        <w:t>VaVaI</w:t>
      </w:r>
      <w:proofErr w:type="spellEnd"/>
      <w:r w:rsidRPr="008C498C">
        <w:rPr>
          <w:rFonts w:ascii="Arial" w:eastAsia="Times New Roman" w:hAnsi="Arial" w:cs="Arial"/>
          <w:i/>
          <w:lang w:eastAsia="cs-CZ"/>
        </w:rPr>
        <w:t xml:space="preserve">, intenzitou zavádění inovací a to i v nadnárodním měřítku, avšak s ohledem na minoritní objemy finančních toků </w:t>
      </w:r>
      <w:r>
        <w:rPr>
          <w:rFonts w:ascii="Arial" w:eastAsia="Times New Roman" w:hAnsi="Arial" w:cs="Arial"/>
          <w:i/>
          <w:lang w:eastAsia="cs-CZ"/>
        </w:rPr>
        <w:t xml:space="preserve">a počty zaměstnanců </w:t>
      </w:r>
      <w:r w:rsidRPr="008C498C">
        <w:rPr>
          <w:rFonts w:ascii="Arial" w:eastAsia="Times New Roman" w:hAnsi="Arial" w:cs="Arial"/>
          <w:i/>
          <w:lang w:eastAsia="cs-CZ"/>
        </w:rPr>
        <w:t>v rámci odvětví v ČR nemohou ovlivnit pozici odvětví.</w:t>
      </w:r>
    </w:p>
    <w:p w:rsidR="00D51389" w:rsidRDefault="00D51389" w:rsidP="00D51389">
      <w:pPr>
        <w:spacing w:after="0" w:line="360" w:lineRule="auto"/>
        <w:ind w:left="360"/>
        <w:contextualSpacing/>
        <w:jc w:val="both"/>
        <w:rPr>
          <w:rFonts w:ascii="Arial" w:eastAsia="Times New Roman" w:hAnsi="Arial" w:cs="Arial"/>
          <w:i/>
          <w:lang w:eastAsia="cs-CZ"/>
        </w:rPr>
        <w:sectPr w:rsidR="00D51389" w:rsidSect="00D51389">
          <w:footerReference w:type="default" r:id="rId89"/>
          <w:pgSz w:w="11906" w:h="16838"/>
          <w:pgMar w:top="1417" w:right="1417" w:bottom="1417" w:left="1417" w:header="708" w:footer="708" w:gutter="0"/>
          <w:cols w:space="708"/>
          <w:docGrid w:linePitch="360"/>
        </w:sectPr>
      </w:pPr>
    </w:p>
    <w:p w:rsidR="00D51389" w:rsidRPr="00C17206" w:rsidRDefault="00D51389" w:rsidP="00D51389">
      <w:pPr>
        <w:pStyle w:val="Obrzek-nadpis"/>
      </w:pPr>
      <w:r w:rsidRPr="00C17206">
        <w:lastRenderedPageBreak/>
        <w:t>Obr. 8.2: Zastoupení odvětví v</w:t>
      </w:r>
      <w:r>
        <w:t> </w:t>
      </w:r>
      <w:r w:rsidRPr="00C17206">
        <w:t>dodavatelsko</w:t>
      </w:r>
      <w:r>
        <w:t>-</w:t>
      </w:r>
      <w:r w:rsidRPr="00C17206">
        <w:t xml:space="preserve">odběratelském řetězci na příkladu výroby motorových vozidel </w:t>
      </w:r>
    </w:p>
    <w:p w:rsidR="00D51389" w:rsidRDefault="00D51389" w:rsidP="00D51389">
      <w:pPr>
        <w:spacing w:after="0" w:line="360" w:lineRule="auto"/>
        <w:ind w:left="360"/>
        <w:contextualSpacing/>
        <w:jc w:val="center"/>
        <w:rPr>
          <w:rFonts w:ascii="Arial" w:eastAsia="Times New Roman" w:hAnsi="Arial" w:cs="Arial"/>
          <w:i/>
          <w:lang w:eastAsia="cs-CZ"/>
        </w:rPr>
      </w:pPr>
      <w:r w:rsidRPr="00376D92">
        <w:rPr>
          <w:noProof/>
          <w:lang w:eastAsia="cs-CZ"/>
        </w:rPr>
        <w:drawing>
          <wp:inline distT="0" distB="0" distL="0" distR="0" wp14:anchorId="32084539" wp14:editId="02546810">
            <wp:extent cx="8153112" cy="4855210"/>
            <wp:effectExtent l="0" t="0" r="635" b="254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153072" cy="4855186"/>
                    </a:xfrm>
                    <a:prstGeom prst="rect">
                      <a:avLst/>
                    </a:prstGeom>
                    <a:noFill/>
                    <a:ln>
                      <a:noFill/>
                    </a:ln>
                  </pic:spPr>
                </pic:pic>
              </a:graphicData>
            </a:graphic>
          </wp:inline>
        </w:drawing>
      </w:r>
    </w:p>
    <w:p w:rsidR="00D51389" w:rsidRPr="00E75217" w:rsidRDefault="00D51389" w:rsidP="00D51389">
      <w:pPr>
        <w:spacing w:after="0" w:line="360" w:lineRule="auto"/>
        <w:ind w:left="360"/>
        <w:contextualSpacing/>
        <w:jc w:val="both"/>
        <w:rPr>
          <w:rFonts w:ascii="Arial" w:eastAsia="Times New Roman" w:hAnsi="Arial" w:cs="Arial"/>
          <w:sz w:val="18"/>
          <w:szCs w:val="18"/>
          <w:lang w:eastAsia="cs-CZ"/>
        </w:rPr>
      </w:pPr>
      <w:r w:rsidRPr="00E75217">
        <w:rPr>
          <w:rFonts w:ascii="Arial" w:eastAsia="Times New Roman" w:hAnsi="Arial" w:cs="Arial"/>
          <w:sz w:val="18"/>
          <w:szCs w:val="18"/>
          <w:lang w:eastAsia="cs-CZ"/>
        </w:rPr>
        <w:t>Zdroj: MPO</w:t>
      </w:r>
    </w:p>
    <w:p w:rsidR="00D51389" w:rsidRDefault="00D51389" w:rsidP="00D51389">
      <w:pPr>
        <w:spacing w:after="0" w:line="360" w:lineRule="auto"/>
        <w:ind w:left="360"/>
        <w:contextualSpacing/>
        <w:jc w:val="both"/>
        <w:rPr>
          <w:rFonts w:ascii="Arial" w:eastAsia="Times New Roman" w:hAnsi="Arial" w:cs="Arial"/>
          <w:i/>
          <w:lang w:eastAsia="cs-CZ"/>
        </w:rPr>
      </w:pPr>
    </w:p>
    <w:p w:rsidR="00D51389" w:rsidRDefault="00D51389" w:rsidP="00D51389">
      <w:pPr>
        <w:spacing w:after="0" w:line="360" w:lineRule="auto"/>
        <w:ind w:left="1080"/>
        <w:contextualSpacing/>
        <w:jc w:val="both"/>
        <w:rPr>
          <w:rFonts w:ascii="Arial" w:eastAsia="Times New Roman" w:hAnsi="Arial" w:cs="Arial"/>
          <w:i/>
          <w:lang w:eastAsia="cs-CZ"/>
        </w:rPr>
        <w:sectPr w:rsidR="00D51389" w:rsidSect="00D51389">
          <w:pgSz w:w="16838" w:h="11906" w:orient="landscape"/>
          <w:pgMar w:top="1417" w:right="1417" w:bottom="1417" w:left="1417" w:header="708" w:footer="708" w:gutter="0"/>
          <w:cols w:space="708"/>
          <w:docGrid w:linePitch="360"/>
        </w:sectPr>
      </w:pPr>
    </w:p>
    <w:p w:rsidR="00D51389" w:rsidRDefault="00D51389" w:rsidP="00D51389">
      <w:pPr>
        <w:pStyle w:val="Obrzek-nadpis"/>
      </w:pPr>
      <w:r w:rsidRPr="005A11FA">
        <w:lastRenderedPageBreak/>
        <w:t xml:space="preserve">Tab. </w:t>
      </w:r>
      <w:r>
        <w:t>8.3:</w:t>
      </w:r>
      <w:r w:rsidRPr="005A11FA">
        <w:t xml:space="preserve"> Přehled vybraných ukazatelů podle odvětví v oblasti zemědělství a průmyslu (Sekce A-F)</w:t>
      </w:r>
    </w:p>
    <w:p w:rsidR="00D51389" w:rsidRPr="005A11FA" w:rsidRDefault="00D51389" w:rsidP="00D51389">
      <w:pPr>
        <w:pStyle w:val="Obrzek-nadpis"/>
      </w:pPr>
      <w:r w:rsidRPr="00A42CDE">
        <w:rPr>
          <w:noProof/>
        </w:rPr>
        <w:drawing>
          <wp:inline distT="0" distB="0" distL="0" distR="0" wp14:anchorId="7B28E4CE" wp14:editId="6ADEBF7A">
            <wp:extent cx="8892540" cy="9763705"/>
            <wp:effectExtent l="0" t="0" r="3810" b="9525"/>
            <wp:docPr id="161" name="Obráze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892540" cy="9763705"/>
                    </a:xfrm>
                    <a:prstGeom prst="rect">
                      <a:avLst/>
                    </a:prstGeom>
                    <a:noFill/>
                    <a:ln>
                      <a:noFill/>
                    </a:ln>
                  </pic:spPr>
                </pic:pic>
              </a:graphicData>
            </a:graphic>
          </wp:inline>
        </w:drawing>
      </w:r>
    </w:p>
    <w:p w:rsidR="00D51389" w:rsidRPr="00A42CDE" w:rsidRDefault="00D51389" w:rsidP="00D51389">
      <w:r w:rsidRPr="00A42CDE">
        <w:t>Zdroj: ČSÚ, MPO</w:t>
      </w:r>
    </w:p>
    <w:p w:rsidR="00D51389" w:rsidRDefault="00D51389" w:rsidP="00D51389">
      <w:pPr>
        <w:jc w:val="both"/>
      </w:pPr>
      <w:r w:rsidRPr="00C725CD">
        <w:rPr>
          <w:i/>
        </w:rPr>
        <w:t>Pozn</w:t>
      </w:r>
      <w:r>
        <w:rPr>
          <w:i/>
        </w:rPr>
        <w:t>.</w:t>
      </w:r>
      <w:r w:rsidRPr="00C725CD">
        <w:rPr>
          <w:i/>
        </w:rPr>
        <w:t>: Parametr Dovoz pro vývoz vypovídá o intenzitě zapojení firem na území ČR do globálních hodnotových řetězců (počítače, motorová vozidla), o</w:t>
      </w:r>
      <w:r>
        <w:rPr>
          <w:i/>
        </w:rPr>
        <w:t> </w:t>
      </w:r>
      <w:r w:rsidRPr="00C725CD">
        <w:rPr>
          <w:i/>
        </w:rPr>
        <w:t>závislosti produkce na surovinových a energetických zdrojích (rafinerie, hutě), popřípadě o kombinaci obou vlivů. Zdrojem dat jsou Input-Output tabulky, které umožňují dovoz a vývoz přiřadit jednotlivým odvětvím. Jedná se o hodnoty dovozu a vývozu, bez ohledu na komoditní a teritoriální členění. Tím se liší od běžně užívaných dat o zahraničním obchodě, která jsou členěna komoditně, a i když mají jednotlivé oddíly, či skupiny podle CZ- CPA stejné názvy s oddíly a</w:t>
      </w:r>
      <w:r>
        <w:rPr>
          <w:i/>
        </w:rPr>
        <w:t> </w:t>
      </w:r>
      <w:r w:rsidRPr="00C725CD">
        <w:rPr>
          <w:i/>
        </w:rPr>
        <w:t>skupinami podle CZ-NACE, obsahově jsou rozdílné. Podniky jsou zařazeny do CZ-NACE podle převažující činnosti, což nevylučuje, že vyváží i produkci, kterou nemají jako svou hlavní činnost. Data o vývozu komodit podle CZ-CPA mají dost blízký vztah k datům o činnostech podniků podle CZ-NACE. Avšak data o</w:t>
      </w:r>
      <w:r>
        <w:rPr>
          <w:i/>
        </w:rPr>
        <w:t> </w:t>
      </w:r>
      <w:r w:rsidRPr="00C725CD">
        <w:rPr>
          <w:i/>
        </w:rPr>
        <w:t>dovozu se podstatně liší, neboť dovážené komodity směřují převážně do jiných odvětví, než která je vyrábějí, velká část jde do obchodu.</w:t>
      </w:r>
    </w:p>
    <w:p w:rsidR="00D51389" w:rsidRDefault="00D51389" w:rsidP="00D51389">
      <w:pPr>
        <w:keepNext/>
        <w:spacing w:after="100" w:afterAutospacing="1"/>
        <w:rPr>
          <w:rFonts w:ascii="Arial" w:eastAsia="Times New Roman" w:hAnsi="Arial" w:cs="Times New Roman"/>
          <w:b/>
          <w:szCs w:val="24"/>
          <w:lang w:eastAsia="cs-CZ"/>
        </w:rPr>
      </w:pPr>
      <w:r w:rsidRPr="005A11FA">
        <w:rPr>
          <w:rFonts w:ascii="Arial" w:eastAsia="Times New Roman" w:hAnsi="Arial" w:cs="Times New Roman"/>
          <w:b/>
          <w:szCs w:val="24"/>
          <w:lang w:eastAsia="cs-CZ"/>
        </w:rPr>
        <w:lastRenderedPageBreak/>
        <w:t xml:space="preserve">Tab. </w:t>
      </w:r>
      <w:r>
        <w:rPr>
          <w:rFonts w:ascii="Arial" w:eastAsia="Times New Roman" w:hAnsi="Arial" w:cs="Times New Roman"/>
          <w:b/>
          <w:szCs w:val="24"/>
          <w:lang w:eastAsia="cs-CZ"/>
        </w:rPr>
        <w:t>8.4:</w:t>
      </w:r>
      <w:r w:rsidRPr="005A11FA">
        <w:rPr>
          <w:rFonts w:ascii="Arial" w:eastAsia="Times New Roman" w:hAnsi="Arial" w:cs="Times New Roman"/>
          <w:b/>
          <w:szCs w:val="24"/>
          <w:lang w:eastAsia="cs-CZ"/>
        </w:rPr>
        <w:t xml:space="preserve"> Přehled vybraných ukazatelů podle odvětví v oblasti služeb (Sekce G-U)</w:t>
      </w:r>
    </w:p>
    <w:p w:rsidR="00D51389" w:rsidRDefault="00D51389" w:rsidP="00D51389">
      <w:pPr>
        <w:keepNext/>
        <w:spacing w:after="0"/>
      </w:pPr>
      <w:r w:rsidRPr="00A42CDE">
        <w:rPr>
          <w:noProof/>
          <w:lang w:eastAsia="cs-CZ"/>
        </w:rPr>
        <w:drawing>
          <wp:inline distT="0" distB="0" distL="0" distR="0" wp14:anchorId="7E6499D6" wp14:editId="746EA3F2">
            <wp:extent cx="8893175" cy="11743424"/>
            <wp:effectExtent l="0" t="0" r="3175" b="0"/>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893175" cy="11743424"/>
                    </a:xfrm>
                    <a:prstGeom prst="rect">
                      <a:avLst/>
                    </a:prstGeom>
                    <a:noFill/>
                    <a:ln>
                      <a:noFill/>
                    </a:ln>
                  </pic:spPr>
                </pic:pic>
              </a:graphicData>
            </a:graphic>
          </wp:inline>
        </w:drawing>
      </w:r>
    </w:p>
    <w:p w:rsidR="00D51389" w:rsidRPr="00A42CDE" w:rsidRDefault="00D51389" w:rsidP="00D51389">
      <w:pPr>
        <w:spacing w:before="120" w:after="0"/>
      </w:pPr>
      <w:r w:rsidRPr="00A42CDE">
        <w:t>Zdroj: ČSÚ, MPO</w:t>
      </w:r>
    </w:p>
    <w:p w:rsidR="00D51389" w:rsidRDefault="00D51389" w:rsidP="00D51389">
      <w:pPr>
        <w:spacing w:after="0"/>
        <w:jc w:val="both"/>
        <w:rPr>
          <w:i/>
        </w:rPr>
      </w:pPr>
      <w:r w:rsidRPr="00C725CD">
        <w:rPr>
          <w:i/>
        </w:rPr>
        <w:t>Pozn</w:t>
      </w:r>
      <w:r>
        <w:rPr>
          <w:i/>
        </w:rPr>
        <w:t>.</w:t>
      </w:r>
      <w:r w:rsidRPr="00C725CD">
        <w:rPr>
          <w:i/>
        </w:rPr>
        <w:t>:</w:t>
      </w:r>
      <w:r>
        <w:rPr>
          <w:i/>
        </w:rPr>
        <w:t xml:space="preserve"> Průměrné hodnoty za celou ČR ve sledovaném období:</w:t>
      </w:r>
      <w:r>
        <w:rPr>
          <w:i/>
        </w:rPr>
        <w:tab/>
        <w:t>HPH</w:t>
      </w:r>
      <w:r>
        <w:rPr>
          <w:i/>
        </w:rPr>
        <w:tab/>
      </w:r>
      <w:r>
        <w:rPr>
          <w:i/>
        </w:rPr>
        <w:tab/>
      </w:r>
      <w:r>
        <w:rPr>
          <w:i/>
        </w:rPr>
        <w:tab/>
      </w:r>
      <w:r>
        <w:rPr>
          <w:i/>
        </w:rPr>
        <w:tab/>
      </w:r>
      <w:r>
        <w:rPr>
          <w:i/>
        </w:rPr>
        <w:tab/>
      </w:r>
      <w:r>
        <w:rPr>
          <w:i/>
        </w:rPr>
        <w:tab/>
      </w:r>
      <w:r w:rsidRPr="00FC5D33">
        <w:rPr>
          <w:i/>
        </w:rPr>
        <w:t>3</w:t>
      </w:r>
      <w:r>
        <w:rPr>
          <w:i/>
        </w:rPr>
        <w:t xml:space="preserve"> </w:t>
      </w:r>
      <w:r w:rsidRPr="00FC5D33">
        <w:rPr>
          <w:i/>
        </w:rPr>
        <w:t>673</w:t>
      </w:r>
      <w:r>
        <w:rPr>
          <w:i/>
        </w:rPr>
        <w:t xml:space="preserve"> </w:t>
      </w:r>
      <w:r w:rsidRPr="00FC5D33">
        <w:rPr>
          <w:i/>
        </w:rPr>
        <w:t>725</w:t>
      </w:r>
      <w:r>
        <w:rPr>
          <w:i/>
        </w:rPr>
        <w:t xml:space="preserve"> mil Kč, </w:t>
      </w:r>
    </w:p>
    <w:p w:rsidR="00D51389" w:rsidRDefault="00D51389" w:rsidP="00D51389">
      <w:pPr>
        <w:spacing w:after="0"/>
        <w:ind w:left="5670"/>
        <w:jc w:val="both"/>
        <w:rPr>
          <w:i/>
        </w:rPr>
      </w:pPr>
      <w:r w:rsidRPr="00FC5D33">
        <w:rPr>
          <w:i/>
        </w:rPr>
        <w:t xml:space="preserve">Výdaje na </w:t>
      </w:r>
      <w:proofErr w:type="spellStart"/>
      <w:r w:rsidRPr="00FC5D33">
        <w:rPr>
          <w:i/>
        </w:rPr>
        <w:t>VaV</w:t>
      </w:r>
      <w:proofErr w:type="spellEnd"/>
      <w:r w:rsidRPr="00FC5D33">
        <w:rPr>
          <w:i/>
        </w:rPr>
        <w:t xml:space="preserve"> v podnikatelském sektoru</w:t>
      </w:r>
      <w:r>
        <w:rPr>
          <w:i/>
        </w:rPr>
        <w:t xml:space="preserve"> </w:t>
      </w:r>
      <w:r>
        <w:rPr>
          <w:i/>
        </w:rPr>
        <w:tab/>
      </w:r>
      <w:r w:rsidRPr="00FC5D33">
        <w:rPr>
          <w:i/>
        </w:rPr>
        <w:t>38</w:t>
      </w:r>
      <w:r>
        <w:rPr>
          <w:i/>
        </w:rPr>
        <w:t> </w:t>
      </w:r>
      <w:r w:rsidRPr="00FC5D33">
        <w:rPr>
          <w:i/>
        </w:rPr>
        <w:t>766</w:t>
      </w:r>
      <w:r>
        <w:rPr>
          <w:i/>
        </w:rPr>
        <w:t xml:space="preserve"> mil Kč, </w:t>
      </w:r>
    </w:p>
    <w:p w:rsidR="00D51389" w:rsidRDefault="00D51389" w:rsidP="00D51389">
      <w:pPr>
        <w:spacing w:after="0"/>
        <w:ind w:left="5670"/>
        <w:jc w:val="both"/>
        <w:rPr>
          <w:i/>
        </w:rPr>
      </w:pPr>
      <w:r>
        <w:rPr>
          <w:i/>
        </w:rPr>
        <w:t>celkový počet zaměstnanců</w:t>
      </w:r>
      <w:r>
        <w:rPr>
          <w:i/>
        </w:rPr>
        <w:tab/>
      </w:r>
      <w:r>
        <w:rPr>
          <w:i/>
        </w:rPr>
        <w:tab/>
      </w:r>
      <w:r>
        <w:rPr>
          <w:i/>
        </w:rPr>
        <w:tab/>
        <w:t>4 235 057 FTE,</w:t>
      </w:r>
    </w:p>
    <w:p w:rsidR="00D51389" w:rsidRDefault="00D51389" w:rsidP="00D51389">
      <w:pPr>
        <w:ind w:left="5672"/>
        <w:jc w:val="both"/>
        <w:rPr>
          <w:rFonts w:ascii="Arial" w:eastAsia="Times New Roman" w:hAnsi="Arial" w:cs="Arial"/>
          <w:i/>
          <w:lang w:eastAsia="cs-CZ"/>
        </w:rPr>
      </w:pPr>
      <w:r>
        <w:rPr>
          <w:i/>
        </w:rPr>
        <w:t>počet výzkumníků</w:t>
      </w:r>
      <w:r>
        <w:rPr>
          <w:i/>
        </w:rPr>
        <w:tab/>
      </w:r>
      <w:r>
        <w:rPr>
          <w:i/>
        </w:rPr>
        <w:tab/>
      </w:r>
      <w:r>
        <w:rPr>
          <w:i/>
        </w:rPr>
        <w:tab/>
      </w:r>
      <w:r>
        <w:rPr>
          <w:i/>
        </w:rPr>
        <w:tab/>
        <w:t>15 422 FTE.</w:t>
      </w:r>
    </w:p>
    <w:p w:rsidR="00D51389" w:rsidRDefault="00D51389" w:rsidP="00D51389">
      <w:pPr>
        <w:spacing w:after="0" w:line="360" w:lineRule="auto"/>
        <w:ind w:left="1080"/>
        <w:contextualSpacing/>
        <w:jc w:val="both"/>
        <w:rPr>
          <w:rFonts w:ascii="Arial" w:eastAsia="Times New Roman" w:hAnsi="Arial" w:cs="Arial"/>
          <w:i/>
          <w:lang w:eastAsia="cs-CZ"/>
        </w:rPr>
        <w:sectPr w:rsidR="00D51389" w:rsidSect="00D51389">
          <w:pgSz w:w="16839" w:h="23814" w:code="8"/>
          <w:pgMar w:top="1417" w:right="1417" w:bottom="1417" w:left="1417" w:header="708" w:footer="708" w:gutter="0"/>
          <w:cols w:space="708"/>
          <w:docGrid w:linePitch="360"/>
        </w:sectPr>
      </w:pPr>
    </w:p>
    <w:p w:rsidR="00D51389" w:rsidRPr="008E7BFB" w:rsidRDefault="00D51389" w:rsidP="00D51389">
      <w:pPr>
        <w:spacing w:after="0" w:line="360" w:lineRule="auto"/>
        <w:ind w:firstLine="709"/>
        <w:jc w:val="both"/>
        <w:rPr>
          <w:rFonts w:ascii="Arial" w:eastAsia="Times New Roman" w:hAnsi="Arial" w:cs="Arial"/>
          <w:lang w:eastAsia="cs-CZ"/>
        </w:rPr>
      </w:pPr>
      <w:r w:rsidRPr="008E7BFB">
        <w:rPr>
          <w:rFonts w:ascii="Arial" w:eastAsia="Times New Roman" w:hAnsi="Arial" w:cs="Arial"/>
          <w:lang w:eastAsia="cs-CZ"/>
        </w:rPr>
        <w:lastRenderedPageBreak/>
        <w:t>Kromě zmíněných interpretačních nedostatků v souvislosti s využitím agregovaných dat k definici významných odvětví vykazuje NH</w:t>
      </w:r>
      <w:r>
        <w:rPr>
          <w:rFonts w:ascii="Arial" w:eastAsia="Times New Roman" w:hAnsi="Arial" w:cs="Arial"/>
          <w:lang w:eastAsia="cs-CZ"/>
        </w:rPr>
        <w:t xml:space="preserve"> v </w:t>
      </w:r>
      <w:r w:rsidRPr="008E7BFB">
        <w:rPr>
          <w:rFonts w:ascii="Arial" w:eastAsia="Times New Roman" w:hAnsi="Arial" w:cs="Arial"/>
          <w:lang w:eastAsia="cs-CZ"/>
        </w:rPr>
        <w:t>ČR další specifika:</w:t>
      </w:r>
    </w:p>
    <w:p w:rsidR="00D51389" w:rsidRPr="008E7BFB" w:rsidRDefault="00D51389" w:rsidP="00D51389">
      <w:pPr>
        <w:numPr>
          <w:ilvl w:val="0"/>
          <w:numId w:val="9"/>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 xml:space="preserve">struktura ekonomiky ČR </w:t>
      </w:r>
      <w:r>
        <w:rPr>
          <w:rFonts w:ascii="Arial" w:eastAsia="Times New Roman" w:hAnsi="Arial" w:cs="Arial"/>
          <w:i/>
          <w:lang w:eastAsia="cs-CZ"/>
        </w:rPr>
        <w:t>je specifická</w:t>
      </w:r>
      <w:r w:rsidRPr="008E7BFB">
        <w:rPr>
          <w:rFonts w:ascii="Arial" w:eastAsia="Times New Roman" w:hAnsi="Arial" w:cs="Arial"/>
          <w:i/>
          <w:lang w:eastAsia="cs-CZ"/>
        </w:rPr>
        <w:t xml:space="preserve"> poměrně velkou četnost</w:t>
      </w:r>
      <w:r>
        <w:rPr>
          <w:rFonts w:ascii="Arial" w:eastAsia="Times New Roman" w:hAnsi="Arial" w:cs="Arial"/>
          <w:i/>
          <w:lang w:eastAsia="cs-CZ"/>
        </w:rPr>
        <w:t>í</w:t>
      </w:r>
      <w:r w:rsidRPr="008E7BFB">
        <w:rPr>
          <w:rFonts w:ascii="Arial" w:eastAsia="Times New Roman" w:hAnsi="Arial" w:cs="Arial"/>
          <w:i/>
          <w:lang w:eastAsia="cs-CZ"/>
        </w:rPr>
        <w:t xml:space="preserve"> podniků, které patří v</w:t>
      </w:r>
      <w:r>
        <w:rPr>
          <w:rFonts w:ascii="Arial" w:eastAsia="Times New Roman" w:hAnsi="Arial" w:cs="Arial"/>
          <w:i/>
          <w:lang w:eastAsia="cs-CZ"/>
        </w:rPr>
        <w:t> určité</w:t>
      </w:r>
      <w:r w:rsidRPr="008E7BFB">
        <w:rPr>
          <w:rFonts w:ascii="Arial" w:eastAsia="Times New Roman" w:hAnsi="Arial" w:cs="Arial"/>
          <w:i/>
          <w:lang w:eastAsia="cs-CZ"/>
        </w:rPr>
        <w:t xml:space="preserve"> nice mezi globální či mezinárodní lídry,</w:t>
      </w:r>
    </w:p>
    <w:p w:rsidR="00D51389" w:rsidRPr="000F625B" w:rsidRDefault="00D51389" w:rsidP="00D51389">
      <w:pPr>
        <w:numPr>
          <w:ilvl w:val="0"/>
          <w:numId w:val="9"/>
        </w:numPr>
        <w:spacing w:after="0" w:line="360" w:lineRule="auto"/>
        <w:contextualSpacing/>
        <w:jc w:val="both"/>
        <w:rPr>
          <w:rFonts w:ascii="Arial" w:eastAsia="Times New Roman" w:hAnsi="Arial" w:cs="Arial"/>
          <w:i/>
          <w:lang w:eastAsia="cs-CZ"/>
        </w:rPr>
      </w:pPr>
      <w:r w:rsidRPr="000F625B">
        <w:rPr>
          <w:rFonts w:ascii="Arial" w:eastAsia="Times New Roman" w:hAnsi="Arial" w:cs="Arial"/>
          <w:i/>
          <w:lang w:eastAsia="cs-CZ"/>
        </w:rPr>
        <w:t>jiný strategický význam kromě finančního – zaměstnanost v regionu, tradice, cestovní ruch například v případě energetiky, hutnictví, ocelářství a slévárenství nebo v tzv. tradičních kulturních a kreativních průmyslech,</w:t>
      </w:r>
    </w:p>
    <w:p w:rsidR="00D51389" w:rsidRPr="008E7BFB" w:rsidRDefault="00D51389" w:rsidP="00D51389">
      <w:pPr>
        <w:numPr>
          <w:ilvl w:val="0"/>
          <w:numId w:val="9"/>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nově vznikající průmysly, které jsou založeny na nejnovějších technologiích a jsou jedním z</w:t>
      </w:r>
      <w:r>
        <w:rPr>
          <w:rFonts w:ascii="Arial" w:eastAsia="Times New Roman" w:hAnsi="Arial" w:cs="Arial"/>
          <w:i/>
          <w:lang w:eastAsia="cs-CZ"/>
        </w:rPr>
        <w:t> </w:t>
      </w:r>
      <w:r w:rsidRPr="008E7BFB">
        <w:rPr>
          <w:rFonts w:ascii="Arial" w:eastAsia="Times New Roman" w:hAnsi="Arial" w:cs="Arial"/>
          <w:i/>
          <w:lang w:eastAsia="cs-CZ"/>
        </w:rPr>
        <w:t>inovačních driverů zavedených či dlouhodobě fungujících průmyslových sektorů.</w:t>
      </w:r>
    </w:p>
    <w:p w:rsidR="00D51389" w:rsidRPr="008E7BFB" w:rsidRDefault="00D51389" w:rsidP="00D51389">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Proto by </w:t>
      </w:r>
      <w:r w:rsidRPr="008109C0">
        <w:rPr>
          <w:rFonts w:ascii="Arial" w:eastAsia="Times New Roman" w:hAnsi="Arial" w:cs="Arial"/>
          <w:lang w:eastAsia="cs-CZ"/>
        </w:rPr>
        <w:t xml:space="preserve">měla být </w:t>
      </w:r>
      <w:r>
        <w:rPr>
          <w:rFonts w:ascii="Arial" w:eastAsia="Times New Roman" w:hAnsi="Arial" w:cs="Arial"/>
          <w:lang w:eastAsia="cs-CZ"/>
        </w:rPr>
        <w:t>v</w:t>
      </w:r>
      <w:r w:rsidRPr="008109C0">
        <w:rPr>
          <w:rFonts w:ascii="Arial" w:eastAsia="Times New Roman" w:hAnsi="Arial" w:cs="Arial"/>
          <w:lang w:eastAsia="cs-CZ"/>
        </w:rPr>
        <w:t xml:space="preserve">edle odvětví identifikovaných jako </w:t>
      </w:r>
      <w:r>
        <w:rPr>
          <w:rFonts w:ascii="Arial" w:eastAsia="Times New Roman" w:hAnsi="Arial" w:cs="Arial"/>
          <w:lang w:eastAsia="cs-CZ"/>
        </w:rPr>
        <w:t xml:space="preserve">hlavní </w:t>
      </w:r>
      <w:r w:rsidRPr="008109C0">
        <w:rPr>
          <w:rFonts w:ascii="Arial" w:eastAsia="Times New Roman" w:hAnsi="Arial" w:cs="Arial"/>
          <w:lang w:eastAsia="cs-CZ"/>
        </w:rPr>
        <w:t>oblasti specializace na národní úrovni věnována pozornost i dalším odvětvím identifikovaným z regionální úrovně</w:t>
      </w:r>
      <w:r>
        <w:rPr>
          <w:rFonts w:ascii="Arial" w:eastAsia="Times New Roman" w:hAnsi="Arial" w:cs="Arial"/>
          <w:lang w:eastAsia="cs-CZ"/>
        </w:rPr>
        <w:t xml:space="preserve">. </w:t>
      </w:r>
      <w:r w:rsidRPr="008109C0">
        <w:rPr>
          <w:rFonts w:ascii="Arial" w:eastAsia="Times New Roman" w:hAnsi="Arial" w:cs="Arial"/>
          <w:lang w:eastAsia="cs-CZ"/>
        </w:rPr>
        <w:t xml:space="preserve">Některá odvětví nemusí ve srovnání s ostatními u zvolených indikátorů vykazovat významných hodnot na národní úrovni, přesto mohou být zcela zásadní pro daný region. </w:t>
      </w:r>
      <w:r>
        <w:rPr>
          <w:rFonts w:ascii="Arial" w:eastAsia="Times New Roman" w:hAnsi="Arial" w:cs="Arial"/>
          <w:lang w:eastAsia="cs-CZ"/>
        </w:rPr>
        <w:t xml:space="preserve">Detailnější analýzu uvedených parametrů </w:t>
      </w:r>
      <w:r w:rsidRPr="008109C0">
        <w:rPr>
          <w:rFonts w:ascii="Arial" w:eastAsia="Times New Roman" w:hAnsi="Arial" w:cs="Arial"/>
          <w:lang w:eastAsia="cs-CZ"/>
        </w:rPr>
        <w:t xml:space="preserve">v národní </w:t>
      </w:r>
      <w:r>
        <w:rPr>
          <w:rFonts w:ascii="Arial" w:eastAsia="Times New Roman" w:hAnsi="Arial" w:cs="Arial"/>
          <w:lang w:eastAsia="cs-CZ"/>
        </w:rPr>
        <w:t>i</w:t>
      </w:r>
      <w:r w:rsidRPr="008109C0">
        <w:rPr>
          <w:rFonts w:ascii="Arial" w:eastAsia="Times New Roman" w:hAnsi="Arial" w:cs="Arial"/>
          <w:lang w:eastAsia="cs-CZ"/>
        </w:rPr>
        <w:t xml:space="preserve"> v regionální dimenzi </w:t>
      </w:r>
      <w:r>
        <w:rPr>
          <w:rFonts w:ascii="Arial" w:eastAsia="Times New Roman" w:hAnsi="Arial" w:cs="Arial"/>
          <w:lang w:eastAsia="cs-CZ"/>
        </w:rPr>
        <w:t>obsahuje publikace Podkladový analytický materiál k podpoře implementace RIS3</w:t>
      </w:r>
      <w:r>
        <w:rPr>
          <w:rStyle w:val="Znakapoznpodarou"/>
          <w:rFonts w:ascii="Arial" w:eastAsia="Times New Roman" w:hAnsi="Arial" w:cs="Arial"/>
          <w:lang w:eastAsia="cs-CZ"/>
        </w:rPr>
        <w:footnoteReference w:id="41"/>
      </w:r>
      <w:r w:rsidRPr="008109C0">
        <w:rPr>
          <w:rFonts w:ascii="Arial" w:eastAsia="Times New Roman" w:hAnsi="Arial" w:cs="Arial"/>
          <w:lang w:eastAsia="cs-CZ"/>
        </w:rPr>
        <w:t xml:space="preserve">. </w:t>
      </w:r>
    </w:p>
    <w:p w:rsidR="00D51389" w:rsidRPr="007106F3" w:rsidRDefault="00D51389" w:rsidP="00D51389">
      <w:pPr>
        <w:spacing w:after="0" w:line="360" w:lineRule="auto"/>
        <w:ind w:firstLine="709"/>
        <w:jc w:val="both"/>
        <w:rPr>
          <w:rFonts w:ascii="Arial" w:eastAsia="Times New Roman" w:hAnsi="Arial" w:cs="Arial"/>
          <w:lang w:eastAsia="cs-CZ"/>
        </w:rPr>
      </w:pPr>
      <w:r w:rsidRPr="007106F3">
        <w:rPr>
          <w:rFonts w:ascii="Arial" w:eastAsia="Times New Roman" w:hAnsi="Arial" w:cs="Arial"/>
          <w:b/>
          <w:lang w:eastAsia="cs-CZ"/>
        </w:rPr>
        <w:t xml:space="preserve">Znalostní specializace </w:t>
      </w:r>
      <w:r>
        <w:rPr>
          <w:rFonts w:ascii="Arial" w:eastAsia="Times New Roman" w:hAnsi="Arial" w:cs="Arial"/>
          <w:lang w:eastAsia="cs-CZ"/>
        </w:rPr>
        <w:t xml:space="preserve">je založena na informacích </w:t>
      </w:r>
      <w:r w:rsidRPr="008E7BFB">
        <w:rPr>
          <w:rFonts w:ascii="Arial" w:eastAsia="Times New Roman" w:hAnsi="Arial" w:cs="Arial"/>
          <w:lang w:eastAsia="cs-CZ"/>
        </w:rPr>
        <w:t>o tom, které vědecké poznatky (v</w:t>
      </w:r>
      <w:r>
        <w:rPr>
          <w:rFonts w:ascii="Arial" w:eastAsia="Times New Roman" w:hAnsi="Arial" w:cs="Arial"/>
          <w:lang w:eastAsia="cs-CZ"/>
        </w:rPr>
        <w:t> </w:t>
      </w:r>
      <w:r w:rsidRPr="008E7BFB">
        <w:rPr>
          <w:rFonts w:ascii="Arial" w:eastAsia="Times New Roman" w:hAnsi="Arial" w:cs="Arial"/>
          <w:lang w:eastAsia="cs-CZ"/>
        </w:rPr>
        <w:t>návaznosti na členění oborů) jsou nezbytné pro rozvoj odvětví a tím i konkurenceschopnosti a</w:t>
      </w:r>
      <w:r>
        <w:rPr>
          <w:rFonts w:ascii="Arial" w:eastAsia="Times New Roman" w:hAnsi="Arial" w:cs="Arial"/>
          <w:lang w:eastAsia="cs-CZ"/>
        </w:rPr>
        <w:t> </w:t>
      </w:r>
      <w:r w:rsidRPr="008E7BFB">
        <w:rPr>
          <w:rFonts w:ascii="Arial" w:eastAsia="Times New Roman" w:hAnsi="Arial" w:cs="Arial"/>
          <w:lang w:eastAsia="cs-CZ"/>
        </w:rPr>
        <w:t xml:space="preserve">zvyšování ekonomických přínosů. </w:t>
      </w:r>
      <w:r>
        <w:rPr>
          <w:rFonts w:ascii="Arial" w:eastAsia="Times New Roman" w:hAnsi="Arial" w:cs="Arial"/>
          <w:lang w:eastAsia="cs-CZ"/>
        </w:rPr>
        <w:t>Z dosud realizovaných intervencí (národních i ESF) vyplývá</w:t>
      </w:r>
      <w:r w:rsidRPr="008E7BFB">
        <w:rPr>
          <w:rFonts w:ascii="Arial" w:eastAsia="Times New Roman" w:hAnsi="Arial" w:cs="Arial"/>
          <w:lang w:eastAsia="cs-CZ"/>
        </w:rPr>
        <w:t>, že většina průmyslových odvětví využívá vědecké poznatky napříč vědními obory, přičemž vazbu mezi odvětvím a vědními obory nelze ze</w:t>
      </w:r>
      <w:r>
        <w:rPr>
          <w:rFonts w:ascii="Arial" w:eastAsia="Times New Roman" w:hAnsi="Arial" w:cs="Arial"/>
          <w:lang w:eastAsia="cs-CZ"/>
        </w:rPr>
        <w:t> </w:t>
      </w:r>
      <w:r w:rsidRPr="008E7BFB">
        <w:rPr>
          <w:rFonts w:ascii="Arial" w:eastAsia="Times New Roman" w:hAnsi="Arial" w:cs="Arial"/>
          <w:lang w:eastAsia="cs-CZ"/>
        </w:rPr>
        <w:t>statistických údajů určit.</w:t>
      </w:r>
    </w:p>
    <w:p w:rsidR="00D51389" w:rsidRDefault="00D51389" w:rsidP="00D51389">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Zejména z těchto důvodů </w:t>
      </w:r>
      <w:r w:rsidRPr="008E7BFB">
        <w:rPr>
          <w:rFonts w:ascii="Arial" w:eastAsia="Times New Roman" w:hAnsi="Arial" w:cs="Arial"/>
          <w:lang w:eastAsia="cs-CZ"/>
        </w:rPr>
        <w:t xml:space="preserve">Úřad Vlády – Sekce VVI sestavila </w:t>
      </w:r>
      <w:r>
        <w:rPr>
          <w:rFonts w:ascii="Arial" w:eastAsia="Times New Roman" w:hAnsi="Arial" w:cs="Arial"/>
          <w:lang w:eastAsia="cs-CZ"/>
        </w:rPr>
        <w:t xml:space="preserve">v letech 2014 - 2015 na základě externích ukazatelů </w:t>
      </w:r>
      <w:r w:rsidRPr="008E7BFB">
        <w:rPr>
          <w:rFonts w:ascii="Arial" w:eastAsia="Times New Roman" w:hAnsi="Arial" w:cs="Arial"/>
          <w:lang w:eastAsia="cs-CZ"/>
        </w:rPr>
        <w:t>sektorové platfo</w:t>
      </w:r>
      <w:r>
        <w:rPr>
          <w:rFonts w:ascii="Arial" w:eastAsia="Times New Roman" w:hAnsi="Arial" w:cs="Arial"/>
          <w:lang w:eastAsia="cs-CZ"/>
        </w:rPr>
        <w:t xml:space="preserve">rmy, ve kterých byli zastoupeni představitelé významných aktivních </w:t>
      </w:r>
      <w:r w:rsidRPr="000F625B">
        <w:rPr>
          <w:rFonts w:ascii="Arial" w:eastAsia="Times New Roman" w:hAnsi="Arial" w:cs="Arial"/>
          <w:lang w:eastAsia="cs-CZ"/>
        </w:rPr>
        <w:t>subjektů sektoru</w:t>
      </w:r>
      <w:r>
        <w:rPr>
          <w:rFonts w:ascii="Arial" w:eastAsia="Times New Roman" w:hAnsi="Arial" w:cs="Arial"/>
          <w:lang w:eastAsia="cs-CZ"/>
        </w:rPr>
        <w:t xml:space="preserve"> / odvětví s </w:t>
      </w:r>
      <w:r w:rsidRPr="008E7BFB">
        <w:rPr>
          <w:rFonts w:ascii="Arial" w:eastAsia="Times New Roman" w:hAnsi="Arial" w:cs="Arial"/>
          <w:lang w:eastAsia="cs-CZ"/>
        </w:rPr>
        <w:t>cílem získat od</w:t>
      </w:r>
      <w:r>
        <w:rPr>
          <w:rFonts w:ascii="Arial" w:eastAsia="Times New Roman" w:hAnsi="Arial" w:cs="Arial"/>
          <w:lang w:eastAsia="cs-CZ"/>
        </w:rPr>
        <w:t> </w:t>
      </w:r>
      <w:r w:rsidRPr="008E7BFB">
        <w:rPr>
          <w:rFonts w:ascii="Arial" w:eastAsia="Times New Roman" w:hAnsi="Arial" w:cs="Arial"/>
          <w:lang w:eastAsia="cs-CZ"/>
        </w:rPr>
        <w:t>vybraných subjektů informace</w:t>
      </w:r>
      <w:r>
        <w:rPr>
          <w:rFonts w:ascii="Arial" w:eastAsia="Times New Roman" w:hAnsi="Arial" w:cs="Arial"/>
          <w:lang w:eastAsia="cs-CZ"/>
        </w:rPr>
        <w:t xml:space="preserve"> o prioritách v oblasti </w:t>
      </w:r>
      <w:proofErr w:type="spellStart"/>
      <w:r>
        <w:rPr>
          <w:rFonts w:ascii="Arial" w:eastAsia="Times New Roman" w:hAnsi="Arial" w:cs="Arial"/>
          <w:lang w:eastAsia="cs-CZ"/>
        </w:rPr>
        <w:t>VaVaI</w:t>
      </w:r>
      <w:proofErr w:type="spellEnd"/>
      <w:r>
        <w:rPr>
          <w:rFonts w:ascii="Arial" w:eastAsia="Times New Roman" w:hAnsi="Arial" w:cs="Arial"/>
          <w:lang w:eastAsia="cs-CZ"/>
        </w:rPr>
        <w:t>, trendech směřování sektorů a klíčových tématech v </w:t>
      </w:r>
      <w:r w:rsidRPr="007106F3">
        <w:rPr>
          <w:rFonts w:ascii="Arial" w:eastAsia="Times New Roman" w:hAnsi="Arial" w:cs="Arial"/>
          <w:lang w:eastAsia="cs-CZ"/>
        </w:rPr>
        <w:t xml:space="preserve">oblasti </w:t>
      </w:r>
      <w:proofErr w:type="spellStart"/>
      <w:r w:rsidRPr="007106F3">
        <w:rPr>
          <w:rFonts w:ascii="Arial" w:eastAsia="Times New Roman" w:hAnsi="Arial" w:cs="Arial"/>
          <w:lang w:eastAsia="cs-CZ"/>
        </w:rPr>
        <w:t>VaVaI</w:t>
      </w:r>
      <w:proofErr w:type="spellEnd"/>
      <w:r w:rsidRPr="007106F3">
        <w:rPr>
          <w:rFonts w:ascii="Arial" w:eastAsia="Times New Roman" w:hAnsi="Arial" w:cs="Arial"/>
          <w:lang w:eastAsia="cs-CZ"/>
        </w:rPr>
        <w:t xml:space="preserve"> v dlouhodobém horizontu</w:t>
      </w:r>
      <w:r>
        <w:rPr>
          <w:rFonts w:ascii="Arial" w:eastAsia="Times New Roman" w:hAnsi="Arial" w:cs="Arial"/>
          <w:lang w:eastAsia="cs-CZ"/>
        </w:rPr>
        <w:t xml:space="preserve">. </w:t>
      </w:r>
      <w:r w:rsidRPr="00C21902">
        <w:rPr>
          <w:rFonts w:ascii="Arial" w:eastAsia="Times New Roman" w:hAnsi="Arial" w:cs="Arial"/>
          <w:lang w:eastAsia="cs-CZ"/>
        </w:rPr>
        <w:t xml:space="preserve">Sektorové platformy </w:t>
      </w:r>
      <w:r>
        <w:rPr>
          <w:rFonts w:ascii="Arial" w:eastAsia="Times New Roman" w:hAnsi="Arial" w:cs="Arial"/>
          <w:lang w:eastAsia="cs-CZ"/>
        </w:rPr>
        <w:t xml:space="preserve">byly v roce 2016 </w:t>
      </w:r>
      <w:r w:rsidRPr="00C21902">
        <w:rPr>
          <w:rFonts w:ascii="Arial" w:eastAsia="Times New Roman" w:hAnsi="Arial" w:cs="Arial"/>
          <w:lang w:eastAsia="cs-CZ"/>
        </w:rPr>
        <w:t>transformovány</w:t>
      </w:r>
      <w:r>
        <w:rPr>
          <w:rFonts w:ascii="Arial" w:eastAsia="Times New Roman" w:hAnsi="Arial" w:cs="Arial"/>
          <w:lang w:eastAsia="cs-CZ"/>
        </w:rPr>
        <w:t xml:space="preserve"> v</w:t>
      </w:r>
      <w:r w:rsidRPr="00C21902">
        <w:rPr>
          <w:rFonts w:ascii="Arial" w:eastAsia="Times New Roman" w:hAnsi="Arial" w:cs="Arial"/>
          <w:lang w:eastAsia="cs-CZ"/>
        </w:rPr>
        <w:t xml:space="preserve"> Pracovní skupiny za účelem poskytování vstupů do rozhodovacích procesů vážících se na činnost R</w:t>
      </w:r>
      <w:r>
        <w:rPr>
          <w:rFonts w:ascii="Arial" w:eastAsia="Times New Roman" w:hAnsi="Arial" w:cs="Arial"/>
          <w:lang w:eastAsia="cs-CZ"/>
        </w:rPr>
        <w:t>ady vlády pro konkurenceschopnost a hospodářský růst (R</w:t>
      </w:r>
      <w:r w:rsidRPr="00C21902">
        <w:rPr>
          <w:rFonts w:ascii="Arial" w:eastAsia="Times New Roman" w:hAnsi="Arial" w:cs="Arial"/>
          <w:lang w:eastAsia="cs-CZ"/>
        </w:rPr>
        <w:t>VKHR</w:t>
      </w:r>
      <w:r>
        <w:rPr>
          <w:rFonts w:ascii="Arial" w:eastAsia="Times New Roman" w:hAnsi="Arial" w:cs="Arial"/>
          <w:lang w:eastAsia="cs-CZ"/>
        </w:rPr>
        <w:t>)</w:t>
      </w:r>
      <w:r w:rsidRPr="00C21902">
        <w:rPr>
          <w:rFonts w:ascii="Arial" w:eastAsia="Times New Roman" w:hAnsi="Arial" w:cs="Arial"/>
          <w:lang w:eastAsia="cs-CZ"/>
        </w:rPr>
        <w:t xml:space="preserve"> a RVVI. Zároveň </w:t>
      </w:r>
      <w:r>
        <w:rPr>
          <w:rFonts w:ascii="Arial" w:eastAsia="Times New Roman" w:hAnsi="Arial" w:cs="Arial"/>
          <w:lang w:eastAsia="cs-CZ"/>
        </w:rPr>
        <w:t>byly</w:t>
      </w:r>
      <w:r w:rsidRPr="00C21902">
        <w:rPr>
          <w:rFonts w:ascii="Arial" w:eastAsia="Times New Roman" w:hAnsi="Arial" w:cs="Arial"/>
          <w:lang w:eastAsia="cs-CZ"/>
        </w:rPr>
        <w:t xml:space="preserve"> personálně propojeny s</w:t>
      </w:r>
      <w:r>
        <w:rPr>
          <w:rFonts w:ascii="Arial" w:eastAsia="Times New Roman" w:hAnsi="Arial" w:cs="Arial"/>
          <w:lang w:eastAsia="cs-CZ"/>
        </w:rPr>
        <w:t> </w:t>
      </w:r>
      <w:r w:rsidRPr="00C21902">
        <w:rPr>
          <w:rFonts w:ascii="Arial" w:eastAsia="Times New Roman" w:hAnsi="Arial" w:cs="Arial"/>
          <w:lang w:eastAsia="cs-CZ"/>
        </w:rPr>
        <w:t xml:space="preserve">Národními inovačními platformami, které </w:t>
      </w:r>
      <w:r>
        <w:rPr>
          <w:rFonts w:ascii="Arial" w:eastAsia="Times New Roman" w:hAnsi="Arial" w:cs="Arial"/>
          <w:lang w:eastAsia="cs-CZ"/>
        </w:rPr>
        <w:t>existovaly</w:t>
      </w:r>
      <w:r w:rsidRPr="00C21902">
        <w:rPr>
          <w:rFonts w:ascii="Arial" w:eastAsia="Times New Roman" w:hAnsi="Arial" w:cs="Arial"/>
          <w:lang w:eastAsia="cs-CZ"/>
        </w:rPr>
        <w:t xml:space="preserve"> v rámci RIS3</w:t>
      </w:r>
      <w:r>
        <w:rPr>
          <w:rFonts w:ascii="Arial" w:eastAsia="Times New Roman" w:hAnsi="Arial" w:cs="Arial"/>
          <w:lang w:eastAsia="cs-CZ"/>
        </w:rPr>
        <w:t>. Uvedené propojení charakterizuje obr. 8.5.</w:t>
      </w:r>
    </w:p>
    <w:p w:rsidR="00D51389" w:rsidRDefault="00D51389" w:rsidP="00D51389">
      <w:pPr>
        <w:spacing w:after="0" w:line="360" w:lineRule="auto"/>
        <w:ind w:firstLine="709"/>
        <w:jc w:val="both"/>
        <w:rPr>
          <w:rFonts w:ascii="Arial" w:eastAsia="Times New Roman" w:hAnsi="Arial" w:cs="Arial"/>
          <w:lang w:eastAsia="cs-CZ"/>
        </w:rPr>
        <w:sectPr w:rsidR="00D51389" w:rsidSect="00D51389">
          <w:pgSz w:w="11906" w:h="16838"/>
          <w:pgMar w:top="1417" w:right="1417" w:bottom="1417" w:left="1417" w:header="708" w:footer="708" w:gutter="0"/>
          <w:cols w:space="708"/>
          <w:docGrid w:linePitch="360"/>
        </w:sectPr>
      </w:pPr>
    </w:p>
    <w:p w:rsidR="00D51389" w:rsidRPr="008C498C" w:rsidRDefault="00D51389" w:rsidP="00D51389">
      <w:pPr>
        <w:pStyle w:val="Obrzek-nadpis"/>
        <w:spacing w:before="0" w:after="120"/>
      </w:pPr>
      <w:r>
        <w:lastRenderedPageBreak/>
        <w:t>Obr. 8.5</w:t>
      </w:r>
      <w:r w:rsidRPr="008C498C">
        <w:t xml:space="preserve">: Přehled Národních inovačních platforem </w:t>
      </w:r>
      <w:r>
        <w:t>a jejich vazeb</w:t>
      </w:r>
      <w:r w:rsidRPr="008C498C">
        <w:t xml:space="preserve"> na Sektorové pracovní skupiny</w:t>
      </w:r>
    </w:p>
    <w:p w:rsidR="00D51389" w:rsidRDefault="00D51389" w:rsidP="00D51389">
      <w:pPr>
        <w:jc w:val="center"/>
        <w:rPr>
          <w:i/>
        </w:rPr>
      </w:pPr>
      <w:r>
        <w:rPr>
          <w:noProof/>
          <w:lang w:eastAsia="cs-CZ"/>
        </w:rPr>
        <w:drawing>
          <wp:inline distT="0" distB="0" distL="0" distR="0" wp14:anchorId="4A92E456" wp14:editId="004E9A60">
            <wp:extent cx="7513983" cy="4879307"/>
            <wp:effectExtent l="0" t="0" r="0" b="0"/>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62608" t="27569" r="12419" b="14763"/>
                    <a:stretch/>
                  </pic:blipFill>
                  <pic:spPr bwMode="auto">
                    <a:xfrm>
                      <a:off x="0" y="0"/>
                      <a:ext cx="7534423" cy="4892580"/>
                    </a:xfrm>
                    <a:prstGeom prst="rect">
                      <a:avLst/>
                    </a:prstGeom>
                    <a:ln>
                      <a:noFill/>
                    </a:ln>
                    <a:extLst>
                      <a:ext uri="{53640926-AAD7-44D8-BBD7-CCE9431645EC}">
                        <a14:shadowObscured xmlns:a14="http://schemas.microsoft.com/office/drawing/2010/main"/>
                      </a:ext>
                    </a:extLst>
                  </pic:spPr>
                </pic:pic>
              </a:graphicData>
            </a:graphic>
          </wp:inline>
        </w:drawing>
      </w:r>
    </w:p>
    <w:p w:rsidR="00D51389" w:rsidRDefault="00D51389" w:rsidP="00D51389">
      <w:pPr>
        <w:jc w:val="both"/>
        <w:rPr>
          <w:rFonts w:ascii="Arial" w:eastAsia="Times New Roman" w:hAnsi="Arial" w:cs="Arial"/>
          <w:lang w:eastAsia="cs-CZ"/>
        </w:rPr>
      </w:pPr>
      <w:r w:rsidRPr="003F12D7">
        <w:rPr>
          <w:i/>
        </w:rPr>
        <w:t>Pozn</w:t>
      </w:r>
      <w:r>
        <w:rPr>
          <w:i/>
        </w:rPr>
        <w:t>.</w:t>
      </w:r>
      <w:r w:rsidRPr="003F12D7">
        <w:rPr>
          <w:i/>
        </w:rPr>
        <w:t xml:space="preserve">: Sektorová skupina Nanotechnologie nebyla zahrnuta </w:t>
      </w:r>
      <w:r>
        <w:rPr>
          <w:i/>
        </w:rPr>
        <w:t>do schématu z důvodu neexistence</w:t>
      </w:r>
      <w:r w:rsidRPr="003F12D7">
        <w:rPr>
          <w:i/>
        </w:rPr>
        <w:t xml:space="preserve"> unikátní vazby pouze na</w:t>
      </w:r>
      <w:r>
        <w:rPr>
          <w:i/>
        </w:rPr>
        <w:t xml:space="preserve"> jednu</w:t>
      </w:r>
      <w:r w:rsidRPr="003F12D7">
        <w:rPr>
          <w:i/>
        </w:rPr>
        <w:t xml:space="preserve"> konkrétní NIP. </w:t>
      </w:r>
      <w:r>
        <w:rPr>
          <w:i/>
        </w:rPr>
        <w:t>Nanotechnologie představuje v pojetí RIS3 národní domén</w:t>
      </w:r>
      <w:r w:rsidRPr="003F12D7">
        <w:rPr>
          <w:i/>
        </w:rPr>
        <w:t>u specializace a je identifikován</w:t>
      </w:r>
      <w:r>
        <w:rPr>
          <w:i/>
        </w:rPr>
        <w:t>a</w:t>
      </w:r>
      <w:r w:rsidRPr="003F12D7">
        <w:rPr>
          <w:i/>
        </w:rPr>
        <w:t>, sledován</w:t>
      </w:r>
      <w:r>
        <w:rPr>
          <w:i/>
        </w:rPr>
        <w:t>a</w:t>
      </w:r>
      <w:r w:rsidRPr="003F12D7">
        <w:rPr>
          <w:i/>
        </w:rPr>
        <w:t xml:space="preserve"> a podporován</w:t>
      </w:r>
      <w:r>
        <w:rPr>
          <w:i/>
        </w:rPr>
        <w:t>a</w:t>
      </w:r>
      <w:r w:rsidRPr="003F12D7">
        <w:rPr>
          <w:i/>
        </w:rPr>
        <w:t xml:space="preserve"> průřezově.</w:t>
      </w:r>
    </w:p>
    <w:p w:rsidR="00D51389" w:rsidRDefault="00D51389" w:rsidP="00D51389">
      <w:pPr>
        <w:spacing w:after="0" w:line="360" w:lineRule="auto"/>
        <w:ind w:firstLine="709"/>
        <w:jc w:val="both"/>
        <w:rPr>
          <w:rFonts w:ascii="Arial" w:eastAsia="Times New Roman" w:hAnsi="Arial" w:cs="Arial"/>
          <w:lang w:eastAsia="cs-CZ"/>
        </w:rPr>
        <w:sectPr w:rsidR="00D51389" w:rsidSect="002442BB">
          <w:footerReference w:type="default" r:id="rId94"/>
          <w:headerReference w:type="first" r:id="rId95"/>
          <w:pgSz w:w="16838" w:h="11906" w:orient="landscape"/>
          <w:pgMar w:top="1134" w:right="1134" w:bottom="1134" w:left="1134" w:header="709" w:footer="709" w:gutter="0"/>
          <w:cols w:space="708"/>
          <w:titlePg/>
          <w:docGrid w:linePitch="360"/>
        </w:sectPr>
      </w:pPr>
    </w:p>
    <w:p w:rsidR="00D51389" w:rsidRPr="007106F3" w:rsidRDefault="00D51389" w:rsidP="00D51389">
      <w:pPr>
        <w:spacing w:after="0" w:line="360" w:lineRule="auto"/>
        <w:ind w:firstLine="709"/>
        <w:jc w:val="both"/>
        <w:rPr>
          <w:rFonts w:ascii="Arial" w:eastAsia="Times New Roman" w:hAnsi="Arial" w:cs="Arial"/>
          <w:i/>
          <w:lang w:eastAsia="cs-CZ"/>
        </w:rPr>
      </w:pPr>
      <w:r>
        <w:rPr>
          <w:rFonts w:ascii="Arial" w:eastAsia="Times New Roman" w:hAnsi="Arial" w:cs="Arial"/>
          <w:lang w:eastAsia="cs-CZ"/>
        </w:rPr>
        <w:lastRenderedPageBreak/>
        <w:t xml:space="preserve">Národní inovační platformy byly v roce 2016 rovněž významným způsobem doplněny, zejména v oblasti zemědělství, životního prostředí a celospolečenských výzev, neboť původně byly zaměřeny především na Průmysl, Informační a komunikační technologie a Biotechnologie (zejména v oblasti medicíny). </w:t>
      </w:r>
    </w:p>
    <w:p w:rsidR="00D51389" w:rsidRDefault="00D51389" w:rsidP="00D51389">
      <w:pPr>
        <w:spacing w:after="0" w:line="360" w:lineRule="auto"/>
        <w:ind w:firstLine="708"/>
        <w:jc w:val="both"/>
        <w:rPr>
          <w:rFonts w:ascii="Arial" w:eastAsia="Times New Roman" w:hAnsi="Arial" w:cs="Arial"/>
          <w:lang w:eastAsia="cs-CZ"/>
        </w:rPr>
      </w:pPr>
      <w:r w:rsidRPr="00C21902">
        <w:rPr>
          <w:rFonts w:ascii="Arial" w:eastAsia="Times New Roman" w:hAnsi="Arial" w:cs="Arial"/>
          <w:lang w:eastAsia="cs-CZ"/>
        </w:rPr>
        <w:t xml:space="preserve">Pracovní skupiny, stejně tak i Národní inovační platformy, nabízejí významnou zpětnou vazbu k poskytování veřejné podpory na </w:t>
      </w:r>
      <w:proofErr w:type="spellStart"/>
      <w:r w:rsidRPr="00C21902">
        <w:rPr>
          <w:rFonts w:ascii="Arial" w:eastAsia="Times New Roman" w:hAnsi="Arial" w:cs="Arial"/>
          <w:lang w:eastAsia="cs-CZ"/>
        </w:rPr>
        <w:t>VaVaI</w:t>
      </w:r>
      <w:proofErr w:type="spellEnd"/>
      <w:r w:rsidRPr="00C21902">
        <w:rPr>
          <w:rFonts w:ascii="Arial" w:eastAsia="Times New Roman" w:hAnsi="Arial" w:cs="Arial"/>
          <w:lang w:eastAsia="cs-CZ"/>
        </w:rPr>
        <w:t xml:space="preserve"> v ČR a zároveň poskytují věcné vstupy v podobě potřeb definování dlouhodobých výzkumných témat sektorů a v oblasti lidských zdrojů. Takto definované a široce prodiskutované priority sektorů </w:t>
      </w:r>
      <w:r>
        <w:rPr>
          <w:rFonts w:ascii="Arial" w:eastAsia="Times New Roman" w:hAnsi="Arial" w:cs="Arial"/>
          <w:lang w:eastAsia="cs-CZ"/>
        </w:rPr>
        <w:t>jsou</w:t>
      </w:r>
      <w:r w:rsidRPr="00C21902">
        <w:rPr>
          <w:rFonts w:ascii="Arial" w:eastAsia="Times New Roman" w:hAnsi="Arial" w:cs="Arial"/>
          <w:lang w:eastAsia="cs-CZ"/>
        </w:rPr>
        <w:t xml:space="preserve"> základem pro</w:t>
      </w:r>
      <w:r>
        <w:rPr>
          <w:rFonts w:ascii="Arial" w:eastAsia="Times New Roman" w:hAnsi="Arial" w:cs="Arial"/>
          <w:lang w:eastAsia="cs-CZ"/>
        </w:rPr>
        <w:t xml:space="preserve"> aplikaci</w:t>
      </w:r>
      <w:r w:rsidRPr="00C21902">
        <w:rPr>
          <w:rFonts w:ascii="Arial" w:eastAsia="Times New Roman" w:hAnsi="Arial" w:cs="Arial"/>
          <w:lang w:eastAsia="cs-CZ"/>
        </w:rPr>
        <w:t xml:space="preserve"> </w:t>
      </w:r>
      <w:proofErr w:type="spellStart"/>
      <w:r w:rsidRPr="00C21902">
        <w:rPr>
          <w:rFonts w:ascii="Arial" w:eastAsia="Times New Roman" w:hAnsi="Arial" w:cs="Arial"/>
          <w:lang w:eastAsia="cs-CZ"/>
        </w:rPr>
        <w:t>vertikalizac</w:t>
      </w:r>
      <w:r>
        <w:rPr>
          <w:rFonts w:ascii="Arial" w:eastAsia="Times New Roman" w:hAnsi="Arial" w:cs="Arial"/>
          <w:lang w:eastAsia="cs-CZ"/>
        </w:rPr>
        <w:t>e</w:t>
      </w:r>
      <w:proofErr w:type="spellEnd"/>
      <w:r>
        <w:rPr>
          <w:rFonts w:ascii="Arial" w:eastAsia="Times New Roman" w:hAnsi="Arial" w:cs="Arial"/>
          <w:lang w:eastAsia="cs-CZ"/>
        </w:rPr>
        <w:t xml:space="preserve"> v intervencích Národní </w:t>
      </w:r>
      <w:r w:rsidRPr="00C21902">
        <w:rPr>
          <w:rFonts w:ascii="Arial" w:eastAsia="Times New Roman" w:hAnsi="Arial" w:cs="Arial"/>
          <w:lang w:eastAsia="cs-CZ"/>
        </w:rPr>
        <w:t>RIS3</w:t>
      </w:r>
      <w:r>
        <w:rPr>
          <w:rFonts w:ascii="Arial" w:eastAsia="Times New Roman" w:hAnsi="Arial" w:cs="Arial"/>
          <w:lang w:eastAsia="cs-CZ"/>
        </w:rPr>
        <w:t xml:space="preserve"> strategie.</w:t>
      </w:r>
      <w:r w:rsidRPr="00C21902">
        <w:rPr>
          <w:rFonts w:ascii="Arial" w:eastAsia="Times New Roman" w:hAnsi="Arial" w:cs="Arial"/>
          <w:lang w:eastAsia="cs-CZ"/>
        </w:rPr>
        <w:t xml:space="preserve"> </w:t>
      </w:r>
      <w:r w:rsidRPr="000F625B">
        <w:rPr>
          <w:rFonts w:ascii="Arial" w:eastAsia="Times New Roman" w:hAnsi="Arial" w:cs="Arial"/>
          <w:lang w:eastAsia="cs-CZ"/>
        </w:rPr>
        <w:t xml:space="preserve">Cílem celého procesu je mít představu o dlouhodobých potřebách sektorů s významným podílem soukromých investic do </w:t>
      </w:r>
      <w:proofErr w:type="spellStart"/>
      <w:r w:rsidRPr="000F625B">
        <w:rPr>
          <w:rFonts w:ascii="Arial" w:eastAsia="Times New Roman" w:hAnsi="Arial" w:cs="Arial"/>
          <w:lang w:eastAsia="cs-CZ"/>
        </w:rPr>
        <w:t>VaVaI</w:t>
      </w:r>
      <w:proofErr w:type="spellEnd"/>
      <w:r w:rsidRPr="000F625B">
        <w:rPr>
          <w:rFonts w:ascii="Arial" w:eastAsia="Times New Roman" w:hAnsi="Arial" w:cs="Arial"/>
          <w:lang w:eastAsia="cs-CZ"/>
        </w:rPr>
        <w:t>, díky kterým budou nastaveny státní politiky tak, aby byly vytvářeny podmínky pro jejich další rozvoj.</w:t>
      </w:r>
    </w:p>
    <w:p w:rsidR="00D51389" w:rsidRPr="008077C9" w:rsidRDefault="00D51389" w:rsidP="00D51389">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 xml:space="preserve">V loňské Analýze 2014 byla formou přílohy uvedena </w:t>
      </w:r>
      <w:r w:rsidRPr="008E7BFB">
        <w:rPr>
          <w:rFonts w:ascii="Arial" w:eastAsia="Times New Roman" w:hAnsi="Arial" w:cs="Arial"/>
          <w:lang w:eastAsia="cs-CZ"/>
        </w:rPr>
        <w:t xml:space="preserve">klíčová výzkumná témata nezbytná pro </w:t>
      </w:r>
      <w:r>
        <w:rPr>
          <w:rFonts w:ascii="Arial" w:eastAsia="Times New Roman" w:hAnsi="Arial" w:cs="Arial"/>
          <w:lang w:eastAsia="cs-CZ"/>
        </w:rPr>
        <w:t>d</w:t>
      </w:r>
      <w:r w:rsidRPr="008E7BFB">
        <w:rPr>
          <w:rFonts w:ascii="Arial" w:eastAsia="Times New Roman" w:hAnsi="Arial" w:cs="Arial"/>
          <w:lang w:eastAsia="cs-CZ"/>
        </w:rPr>
        <w:t>alší rozvoj</w:t>
      </w:r>
      <w:r>
        <w:rPr>
          <w:rFonts w:ascii="Arial" w:eastAsia="Times New Roman" w:hAnsi="Arial" w:cs="Arial"/>
          <w:lang w:eastAsia="cs-CZ"/>
        </w:rPr>
        <w:t xml:space="preserve"> vymezených odvětví, která vzešla z jednání sektorových platforem. Tento prvotní a neuzavřený seznam byl v průběhu roku 2016 dále zpřesňován a doplňován v rámci probíhajícího „</w:t>
      </w:r>
      <w:proofErr w:type="spellStart"/>
      <w:r>
        <w:rPr>
          <w:rFonts w:ascii="Arial" w:eastAsia="Times New Roman" w:hAnsi="Arial" w:cs="Arial"/>
          <w:lang w:eastAsia="cs-CZ"/>
        </w:rPr>
        <w:t>Entrepreneurial</w:t>
      </w:r>
      <w:proofErr w:type="spellEnd"/>
      <w:r>
        <w:rPr>
          <w:rFonts w:ascii="Arial" w:eastAsia="Times New Roman" w:hAnsi="Arial" w:cs="Arial"/>
          <w:lang w:eastAsia="cs-CZ"/>
        </w:rPr>
        <w:t xml:space="preserve"> </w:t>
      </w:r>
      <w:proofErr w:type="spellStart"/>
      <w:r>
        <w:rPr>
          <w:rFonts w:ascii="Arial" w:eastAsia="Times New Roman" w:hAnsi="Arial" w:cs="Arial"/>
          <w:lang w:eastAsia="cs-CZ"/>
        </w:rPr>
        <w:t>Discovery</w:t>
      </w:r>
      <w:proofErr w:type="spellEnd"/>
      <w:r>
        <w:rPr>
          <w:rFonts w:ascii="Arial" w:eastAsia="Times New Roman" w:hAnsi="Arial" w:cs="Arial"/>
          <w:lang w:eastAsia="cs-CZ"/>
        </w:rPr>
        <w:t>“ procesu. Zpřesněné výzkumné potřeby významných odvětví národního hospodářství v kontextu znalostních domén</w:t>
      </w:r>
      <w:r>
        <w:rPr>
          <w:rStyle w:val="Znakapoznpodarou"/>
          <w:rFonts w:ascii="Arial" w:eastAsia="Times New Roman" w:hAnsi="Arial" w:cs="Arial"/>
          <w:lang w:eastAsia="cs-CZ"/>
        </w:rPr>
        <w:footnoteReference w:id="42"/>
      </w:r>
      <w:r>
        <w:rPr>
          <w:rFonts w:ascii="Arial" w:eastAsia="Times New Roman" w:hAnsi="Arial" w:cs="Arial"/>
          <w:lang w:eastAsia="cs-CZ"/>
        </w:rPr>
        <w:t xml:space="preserve"> a možných finančních zdrojů se staly předmětem aktualizované Národní RIS3 strategie, kterou v aktualizované podobě schválila vláda</w:t>
      </w:r>
      <w:r>
        <w:rPr>
          <w:rStyle w:val="Znakapoznpodarou"/>
          <w:rFonts w:ascii="Arial" w:eastAsia="Times New Roman" w:hAnsi="Arial" w:cs="Arial"/>
          <w:lang w:eastAsia="cs-CZ"/>
        </w:rPr>
        <w:footnoteReference w:id="43"/>
      </w:r>
      <w:r>
        <w:rPr>
          <w:rFonts w:ascii="Arial" w:eastAsia="Times New Roman" w:hAnsi="Arial" w:cs="Arial"/>
          <w:lang w:eastAsia="cs-CZ"/>
        </w:rPr>
        <w:t xml:space="preserve"> a akceptovala EK. V širším a detailnějším analytickém kontextu byla uvedená problematika publikována jako Podkladový analytický materiál k podpoře implementace RIS3</w:t>
      </w:r>
      <w:r>
        <w:rPr>
          <w:rStyle w:val="Znakapoznpodarou"/>
          <w:rFonts w:ascii="Arial" w:eastAsia="Times New Roman" w:hAnsi="Arial" w:cs="Arial"/>
          <w:lang w:eastAsia="cs-CZ"/>
        </w:rPr>
        <w:footnoteReference w:id="44"/>
      </w:r>
      <w:r>
        <w:rPr>
          <w:rFonts w:ascii="Arial" w:eastAsia="Times New Roman" w:hAnsi="Arial" w:cs="Arial"/>
          <w:lang w:eastAsia="cs-CZ"/>
        </w:rPr>
        <w:t>, který je v současnosti využíván především Ministerstvem průmyslu a obchodu pro zacílení výzev OP PIK.</w:t>
      </w:r>
    </w:p>
    <w:p w:rsidR="00206FAD" w:rsidRDefault="00206FAD">
      <w:pPr>
        <w:rPr>
          <w:rFonts w:ascii="Arial" w:eastAsia="Times New Roman" w:hAnsi="Arial" w:cs="Times New Roman"/>
          <w:sz w:val="18"/>
          <w:szCs w:val="24"/>
          <w:lang w:eastAsia="cs-CZ"/>
        </w:rPr>
      </w:pPr>
      <w:r>
        <w:rPr>
          <w:rFonts w:ascii="Arial" w:eastAsia="Times New Roman" w:hAnsi="Arial" w:cs="Times New Roman"/>
          <w:sz w:val="18"/>
          <w:szCs w:val="24"/>
          <w:lang w:eastAsia="cs-CZ"/>
        </w:rPr>
        <w:br w:type="page"/>
      </w:r>
    </w:p>
    <w:p w:rsidR="00206FAD" w:rsidRDefault="00206FAD" w:rsidP="00206FAD">
      <w:pPr>
        <w:pStyle w:val="Nadpis2"/>
      </w:pPr>
      <w:bookmarkStart w:id="36" w:name="_Toc464461114"/>
      <w:r>
        <w:lastRenderedPageBreak/>
        <w:t xml:space="preserve">10. Datové zdroje ve </w:t>
      </w:r>
      <w:proofErr w:type="spellStart"/>
      <w:r>
        <w:t>VaVaI</w:t>
      </w:r>
      <w:bookmarkEnd w:id="36"/>
      <w:proofErr w:type="spellEnd"/>
    </w:p>
    <w:p w:rsidR="00206FAD" w:rsidRPr="00381AF1" w:rsidRDefault="00206FAD" w:rsidP="00206FAD">
      <w:pPr>
        <w:spacing w:after="0" w:line="360" w:lineRule="auto"/>
        <w:ind w:firstLine="357"/>
        <w:jc w:val="both"/>
        <w:rPr>
          <w:rFonts w:ascii="Arial" w:eastAsia="Times New Roman" w:hAnsi="Arial" w:cs="Arial"/>
          <w:lang w:eastAsia="cs-CZ"/>
        </w:rPr>
      </w:pPr>
      <w:r w:rsidRPr="00CB4BFE">
        <w:rPr>
          <w:rFonts w:ascii="Arial" w:eastAsia="Times New Roman" w:hAnsi="Arial" w:cs="Arial"/>
          <w:lang w:eastAsia="cs-CZ"/>
        </w:rPr>
        <w:t xml:space="preserve">Základem každé kvalitní empirické analýzy by měla být aktuální a relevantní data. Rovněž při tvorbě tohoto dokumentu je cílem použití takových statisticko-matematických nástrojů, aby bylo možné nejen hodnotit minulý a současný stav i vývoj </w:t>
      </w:r>
      <w:proofErr w:type="spellStart"/>
      <w:r w:rsidRPr="00CB4BFE">
        <w:rPr>
          <w:rFonts w:ascii="Arial" w:eastAsia="Times New Roman" w:hAnsi="Arial" w:cs="Arial"/>
          <w:lang w:eastAsia="cs-CZ"/>
        </w:rPr>
        <w:t>VaVaI</w:t>
      </w:r>
      <w:proofErr w:type="spellEnd"/>
      <w:r w:rsidRPr="00CB4BFE">
        <w:rPr>
          <w:rFonts w:ascii="Arial" w:eastAsia="Times New Roman" w:hAnsi="Arial" w:cs="Arial"/>
          <w:lang w:eastAsia="cs-CZ"/>
        </w:rPr>
        <w:t xml:space="preserve">, </w:t>
      </w:r>
      <w:r w:rsidRPr="00FC6C7A">
        <w:rPr>
          <w:rFonts w:ascii="Arial" w:eastAsia="Times New Roman" w:hAnsi="Arial" w:cs="Arial"/>
          <w:lang w:eastAsia="cs-CZ"/>
        </w:rPr>
        <w:t xml:space="preserve">ale také predikovat vývoj budoucí </w:t>
      </w:r>
      <w:r w:rsidRPr="00924504">
        <w:rPr>
          <w:rFonts w:ascii="Arial" w:eastAsia="Times New Roman" w:hAnsi="Arial" w:cs="Arial"/>
          <w:lang w:eastAsia="cs-CZ"/>
        </w:rPr>
        <w:t xml:space="preserve">či evaluovat intervence. K použití těchto sofistikovaných metod je však nutné mít k dispozici kvalitní datovou základnu. Ukazuje se totiž, že pro analýzy </w:t>
      </w:r>
      <w:proofErr w:type="spellStart"/>
      <w:r w:rsidRPr="00924504">
        <w:rPr>
          <w:rFonts w:ascii="Arial" w:eastAsia="Times New Roman" w:hAnsi="Arial" w:cs="Arial"/>
          <w:lang w:eastAsia="cs-CZ"/>
        </w:rPr>
        <w:t>VaVaI</w:t>
      </w:r>
      <w:proofErr w:type="spellEnd"/>
      <w:r w:rsidRPr="00924504">
        <w:rPr>
          <w:rFonts w:ascii="Arial" w:eastAsia="Times New Roman" w:hAnsi="Arial" w:cs="Arial"/>
          <w:lang w:eastAsia="cs-CZ"/>
        </w:rPr>
        <w:t xml:space="preserve"> jsou data v agregované podobě nedostačující, neboť pro komple</w:t>
      </w:r>
      <w:r w:rsidRPr="00CB4BFE">
        <w:rPr>
          <w:rFonts w:ascii="Arial" w:eastAsia="Times New Roman" w:hAnsi="Arial" w:cs="Arial"/>
          <w:lang w:eastAsia="cs-CZ"/>
        </w:rPr>
        <w:t xml:space="preserve">xní zhodnocení je nutné analyzovat individuální data o jednotlivých subjektech </w:t>
      </w:r>
      <w:proofErr w:type="spellStart"/>
      <w:r w:rsidRPr="00CB4BFE">
        <w:rPr>
          <w:rFonts w:ascii="Arial" w:eastAsia="Times New Roman" w:hAnsi="Arial" w:cs="Arial"/>
          <w:lang w:eastAsia="cs-CZ"/>
        </w:rPr>
        <w:t>VaVaI</w:t>
      </w:r>
      <w:proofErr w:type="spellEnd"/>
      <w:r w:rsidRPr="00CB4BFE">
        <w:rPr>
          <w:rFonts w:ascii="Arial" w:eastAsia="Times New Roman" w:hAnsi="Arial" w:cs="Arial"/>
          <w:lang w:eastAsia="cs-CZ"/>
        </w:rPr>
        <w:t>.</w:t>
      </w:r>
    </w:p>
    <w:p w:rsidR="00206FAD" w:rsidRPr="00381AF1" w:rsidRDefault="00206FAD" w:rsidP="00206FAD">
      <w:pPr>
        <w:spacing w:after="0" w:line="360" w:lineRule="auto"/>
        <w:ind w:firstLine="357"/>
        <w:jc w:val="both"/>
        <w:rPr>
          <w:rFonts w:ascii="Arial" w:eastAsia="Times New Roman" w:hAnsi="Arial" w:cs="Arial"/>
          <w:lang w:eastAsia="cs-CZ"/>
        </w:rPr>
      </w:pPr>
      <w:r w:rsidRPr="00381AF1">
        <w:rPr>
          <w:rFonts w:ascii="Arial" w:eastAsia="Times New Roman" w:hAnsi="Arial" w:cs="Arial"/>
          <w:lang w:eastAsia="cs-CZ"/>
        </w:rPr>
        <w:t>Tab</w:t>
      </w:r>
      <w:r>
        <w:rPr>
          <w:rFonts w:ascii="Arial" w:eastAsia="Times New Roman" w:hAnsi="Arial" w:cs="Arial"/>
          <w:lang w:eastAsia="cs-CZ"/>
        </w:rPr>
        <w:t>ulka</w:t>
      </w:r>
      <w:r w:rsidRPr="00381AF1">
        <w:rPr>
          <w:rFonts w:ascii="Arial" w:eastAsia="Times New Roman" w:hAnsi="Arial" w:cs="Arial"/>
          <w:lang w:eastAsia="cs-CZ"/>
        </w:rPr>
        <w:t xml:space="preserve"> </w:t>
      </w:r>
      <w:r>
        <w:rPr>
          <w:rFonts w:ascii="Arial" w:eastAsia="Times New Roman" w:hAnsi="Arial" w:cs="Arial"/>
          <w:lang w:eastAsia="cs-CZ"/>
        </w:rPr>
        <w:t>10</w:t>
      </w:r>
      <w:r w:rsidRPr="00381AF1">
        <w:rPr>
          <w:rFonts w:ascii="Arial" w:eastAsia="Times New Roman" w:hAnsi="Arial" w:cs="Arial"/>
          <w:lang w:eastAsia="cs-CZ"/>
        </w:rPr>
        <w:t xml:space="preserve">.1 stručně shrnuje datové zdroje využitelné pro analýzu </w:t>
      </w:r>
      <w:proofErr w:type="spellStart"/>
      <w:r w:rsidRPr="00381AF1">
        <w:rPr>
          <w:rFonts w:ascii="Arial" w:eastAsia="Times New Roman" w:hAnsi="Arial" w:cs="Arial"/>
          <w:lang w:eastAsia="cs-CZ"/>
        </w:rPr>
        <w:t>VaVaI</w:t>
      </w:r>
      <w:proofErr w:type="spellEnd"/>
      <w:r w:rsidRPr="00381AF1">
        <w:rPr>
          <w:rFonts w:ascii="Arial" w:eastAsia="Times New Roman" w:hAnsi="Arial" w:cs="Arial"/>
          <w:lang w:eastAsia="cs-CZ"/>
        </w:rPr>
        <w:t xml:space="preserve"> v ČR. V zásadě lze datové zdroje rozdělit na národní a zahraniční. Důležitými národními institucemi, které spravují primární statistiky o </w:t>
      </w:r>
      <w:proofErr w:type="spellStart"/>
      <w:r w:rsidRPr="00381AF1">
        <w:rPr>
          <w:rFonts w:ascii="Arial" w:eastAsia="Times New Roman" w:hAnsi="Arial" w:cs="Arial"/>
          <w:lang w:eastAsia="cs-CZ"/>
        </w:rPr>
        <w:t>VaVaI</w:t>
      </w:r>
      <w:proofErr w:type="spellEnd"/>
      <w:r w:rsidRPr="00381AF1">
        <w:rPr>
          <w:rFonts w:ascii="Arial" w:eastAsia="Times New Roman" w:hAnsi="Arial" w:cs="Arial"/>
          <w:lang w:eastAsia="cs-CZ"/>
        </w:rPr>
        <w:t xml:space="preserve">, jsou RVVI a ČSÚ. </w:t>
      </w:r>
      <w:r w:rsidRPr="00CB4BFE">
        <w:rPr>
          <w:rFonts w:ascii="Arial" w:eastAsia="Times New Roman" w:hAnsi="Arial" w:cs="Arial"/>
          <w:lang w:eastAsia="cs-CZ"/>
        </w:rPr>
        <w:t xml:space="preserve">RVVI je správcem IS </w:t>
      </w:r>
      <w:proofErr w:type="spellStart"/>
      <w:r w:rsidRPr="00CB4BFE">
        <w:rPr>
          <w:rFonts w:ascii="Arial" w:eastAsia="Times New Roman" w:hAnsi="Arial" w:cs="Arial"/>
          <w:lang w:eastAsia="cs-CZ"/>
        </w:rPr>
        <w:t>VaVaI</w:t>
      </w:r>
      <w:proofErr w:type="spellEnd"/>
      <w:r w:rsidRPr="00CB4BFE">
        <w:rPr>
          <w:rFonts w:ascii="Arial" w:eastAsia="Times New Roman" w:hAnsi="Arial" w:cs="Arial"/>
          <w:lang w:eastAsia="cs-CZ"/>
        </w:rPr>
        <w:t xml:space="preserve"> a provozovatelem informačního systému je Úřad vlády ČR, IS</w:t>
      </w:r>
      <w:r w:rsidRPr="00381AF1">
        <w:rPr>
          <w:rFonts w:ascii="Arial" w:eastAsia="Times New Roman" w:hAnsi="Arial" w:cs="Arial"/>
          <w:lang w:eastAsia="cs-CZ"/>
        </w:rPr>
        <w:t xml:space="preserve"> </w:t>
      </w:r>
      <w:proofErr w:type="spellStart"/>
      <w:r w:rsidRPr="00381AF1">
        <w:rPr>
          <w:rFonts w:ascii="Arial" w:eastAsia="Times New Roman" w:hAnsi="Arial" w:cs="Arial"/>
          <w:lang w:eastAsia="cs-CZ"/>
        </w:rPr>
        <w:t>VaVaI</w:t>
      </w:r>
      <w:proofErr w:type="spellEnd"/>
      <w:r w:rsidRPr="00381AF1">
        <w:rPr>
          <w:rFonts w:ascii="Arial" w:eastAsia="Times New Roman" w:hAnsi="Arial" w:cs="Arial"/>
          <w:lang w:eastAsia="cs-CZ"/>
        </w:rPr>
        <w:t xml:space="preserve"> zajišťuje shromažďování, zpracování, poskytování a využívání údajů o </w:t>
      </w:r>
      <w:proofErr w:type="spellStart"/>
      <w:r w:rsidRPr="00381AF1">
        <w:rPr>
          <w:rFonts w:ascii="Arial" w:eastAsia="Times New Roman" w:hAnsi="Arial" w:cs="Arial"/>
          <w:lang w:eastAsia="cs-CZ"/>
        </w:rPr>
        <w:t>VaVaI</w:t>
      </w:r>
      <w:proofErr w:type="spellEnd"/>
      <w:r w:rsidRPr="00381AF1">
        <w:rPr>
          <w:rFonts w:ascii="Arial" w:eastAsia="Times New Roman" w:hAnsi="Arial" w:cs="Arial"/>
          <w:lang w:eastAsia="cs-CZ"/>
        </w:rPr>
        <w:t xml:space="preserve"> podporovaných z veřejných prostředků. Cíle a obsah IS</w:t>
      </w:r>
      <w:r>
        <w:rPr>
          <w:rFonts w:ascii="Arial" w:eastAsia="Times New Roman" w:hAnsi="Arial" w:cs="Arial"/>
          <w:lang w:eastAsia="cs-CZ"/>
        </w:rPr>
        <w:t> </w:t>
      </w:r>
      <w:proofErr w:type="spellStart"/>
      <w:r w:rsidRPr="00381AF1">
        <w:rPr>
          <w:rFonts w:ascii="Arial" w:eastAsia="Times New Roman" w:hAnsi="Arial" w:cs="Arial"/>
          <w:lang w:eastAsia="cs-CZ"/>
        </w:rPr>
        <w:t>VaVaI</w:t>
      </w:r>
      <w:proofErr w:type="spellEnd"/>
      <w:r w:rsidRPr="00381AF1">
        <w:rPr>
          <w:rFonts w:ascii="Arial" w:eastAsia="Times New Roman" w:hAnsi="Arial" w:cs="Arial"/>
          <w:lang w:eastAsia="cs-CZ"/>
        </w:rPr>
        <w:t xml:space="preserve">, dále práva, povinnosti a postup při předání, zařazení, zpracování a poskytování údajů jsou stanoveny </w:t>
      </w:r>
      <w:r w:rsidRPr="00696880">
        <w:rPr>
          <w:rFonts w:ascii="Arial" w:eastAsia="Times New Roman" w:hAnsi="Arial" w:cs="Arial"/>
          <w:lang w:eastAsia="cs-CZ"/>
        </w:rPr>
        <w:t>Zákonem o podpoře výzkumu, experimentálního vývoje a inovací, dále pak nařízením vlády č. 397/2009 Sb., o informačním systému výzkumu, experimentálního vývoje a inovací, zvláštními právními předpisy a Provozním řádem IS </w:t>
      </w:r>
      <w:proofErr w:type="spellStart"/>
      <w:r w:rsidRPr="00696880">
        <w:rPr>
          <w:rFonts w:ascii="Arial" w:eastAsia="Times New Roman" w:hAnsi="Arial" w:cs="Arial"/>
          <w:lang w:eastAsia="cs-CZ"/>
        </w:rPr>
        <w:t>VaVaI</w:t>
      </w:r>
      <w:proofErr w:type="spellEnd"/>
      <w:r w:rsidRPr="00696880">
        <w:rPr>
          <w:rFonts w:ascii="Arial" w:eastAsia="Times New Roman" w:hAnsi="Arial" w:cs="Arial"/>
          <w:lang w:eastAsia="cs-CZ"/>
        </w:rPr>
        <w:t xml:space="preserve">. </w:t>
      </w:r>
      <w:r w:rsidRPr="008C149D">
        <w:rPr>
          <w:rFonts w:ascii="Arial" w:eastAsia="Times New Roman" w:hAnsi="Arial" w:cs="Arial"/>
          <w:lang w:eastAsia="cs-CZ"/>
        </w:rPr>
        <w:t xml:space="preserve">Databáze IS </w:t>
      </w:r>
      <w:proofErr w:type="spellStart"/>
      <w:r w:rsidRPr="008C149D">
        <w:rPr>
          <w:rFonts w:ascii="Arial" w:eastAsia="Times New Roman" w:hAnsi="Arial" w:cs="Arial"/>
          <w:lang w:eastAsia="cs-CZ"/>
        </w:rPr>
        <w:t>VaVaI</w:t>
      </w:r>
      <w:proofErr w:type="spellEnd"/>
      <w:r w:rsidRPr="008C149D">
        <w:rPr>
          <w:rFonts w:ascii="Arial" w:eastAsia="Times New Roman" w:hAnsi="Arial" w:cs="Arial"/>
          <w:lang w:eastAsia="cs-CZ"/>
        </w:rPr>
        <w:t xml:space="preserve"> obsahuje Centrální evidenci aktivit </w:t>
      </w:r>
      <w:proofErr w:type="spellStart"/>
      <w:r w:rsidRPr="008C149D">
        <w:rPr>
          <w:rFonts w:ascii="Arial" w:eastAsia="Times New Roman" w:hAnsi="Arial" w:cs="Arial"/>
          <w:lang w:eastAsia="cs-CZ"/>
        </w:rPr>
        <w:t>VaVaI</w:t>
      </w:r>
      <w:proofErr w:type="spellEnd"/>
      <w:r w:rsidRPr="008C149D">
        <w:rPr>
          <w:rFonts w:ascii="Arial" w:eastAsia="Times New Roman" w:hAnsi="Arial" w:cs="Arial"/>
          <w:lang w:eastAsia="cs-CZ"/>
        </w:rPr>
        <w:t xml:space="preserve"> (CEA), Evidenci veřejných soutěží ve </w:t>
      </w:r>
      <w:proofErr w:type="spellStart"/>
      <w:r w:rsidRPr="008C149D">
        <w:rPr>
          <w:rFonts w:ascii="Arial" w:eastAsia="Times New Roman" w:hAnsi="Arial" w:cs="Arial"/>
          <w:lang w:eastAsia="cs-CZ"/>
        </w:rPr>
        <w:t>VaVaI</w:t>
      </w:r>
      <w:proofErr w:type="spellEnd"/>
      <w:r w:rsidRPr="008C149D">
        <w:rPr>
          <w:rFonts w:ascii="Arial" w:eastAsia="Times New Roman" w:hAnsi="Arial" w:cs="Arial"/>
          <w:lang w:eastAsia="cs-CZ"/>
        </w:rPr>
        <w:t xml:space="preserve"> (VES), Centrální evidenci projektů </w:t>
      </w:r>
      <w:proofErr w:type="spellStart"/>
      <w:r w:rsidRPr="008C149D">
        <w:rPr>
          <w:rFonts w:ascii="Arial" w:eastAsia="Times New Roman" w:hAnsi="Arial" w:cs="Arial"/>
          <w:lang w:eastAsia="cs-CZ"/>
        </w:rPr>
        <w:t>VaVaI</w:t>
      </w:r>
      <w:proofErr w:type="spellEnd"/>
      <w:r w:rsidRPr="008C149D">
        <w:rPr>
          <w:rFonts w:ascii="Arial" w:eastAsia="Times New Roman" w:hAnsi="Arial" w:cs="Arial"/>
          <w:lang w:eastAsia="cs-CZ"/>
        </w:rPr>
        <w:t xml:space="preserve"> (CEP) a Rejstřík informací o výsledcích (RIV). V roce 2016 byl spuštěn nový informační systém IS </w:t>
      </w:r>
      <w:proofErr w:type="spellStart"/>
      <w:r w:rsidRPr="008C149D">
        <w:rPr>
          <w:rFonts w:ascii="Arial" w:eastAsia="Times New Roman" w:hAnsi="Arial" w:cs="Arial"/>
          <w:lang w:eastAsia="cs-CZ"/>
        </w:rPr>
        <w:t>VaVaI</w:t>
      </w:r>
      <w:proofErr w:type="spellEnd"/>
      <w:r w:rsidRPr="008C149D">
        <w:rPr>
          <w:rFonts w:ascii="Arial" w:eastAsia="Times New Roman" w:hAnsi="Arial" w:cs="Arial"/>
          <w:lang w:eastAsia="cs-CZ"/>
        </w:rPr>
        <w:t xml:space="preserve"> 2.0 na webových stránkách www.rvvi.cz a byl kladen důraz na maximální uživatelský komfort, přehlednost a přístupnost dat pro veřejnost.</w:t>
      </w:r>
      <w:r>
        <w:rPr>
          <w:rFonts w:ascii="Arial" w:eastAsia="Times New Roman" w:hAnsi="Arial" w:cs="Arial"/>
          <w:lang w:eastAsia="cs-CZ"/>
        </w:rPr>
        <w:t xml:space="preserve"> </w:t>
      </w:r>
      <w:r w:rsidRPr="00381AF1">
        <w:rPr>
          <w:rFonts w:ascii="Arial" w:eastAsia="Times New Roman" w:hAnsi="Arial" w:cs="Arial"/>
          <w:lang w:eastAsia="cs-CZ"/>
        </w:rPr>
        <w:t xml:space="preserve">ČSÚ sleduje charakteristiky </w:t>
      </w:r>
      <w:proofErr w:type="spellStart"/>
      <w:r w:rsidRPr="00381AF1">
        <w:rPr>
          <w:rFonts w:ascii="Arial" w:eastAsia="Times New Roman" w:hAnsi="Arial" w:cs="Arial"/>
          <w:lang w:eastAsia="cs-CZ"/>
        </w:rPr>
        <w:t>VaV</w:t>
      </w:r>
      <w:proofErr w:type="spellEnd"/>
      <w:r w:rsidRPr="00381AF1">
        <w:rPr>
          <w:rFonts w:ascii="Arial" w:eastAsia="Times New Roman" w:hAnsi="Arial" w:cs="Arial"/>
          <w:lang w:eastAsia="cs-CZ"/>
        </w:rPr>
        <w:t xml:space="preserve"> pomocí přímého dotazníkového statistického šetření, dále zpracovává data dalších institucí. </w:t>
      </w:r>
      <w:r w:rsidRPr="008C149D">
        <w:rPr>
          <w:rFonts w:ascii="Arial" w:eastAsia="Times New Roman" w:hAnsi="Arial" w:cs="Arial"/>
          <w:lang w:eastAsia="cs-CZ"/>
        </w:rPr>
        <w:t xml:space="preserve">Šetření je v souladu s principy EU a OECD, které jsou uvedeny ve </w:t>
      </w:r>
      <w:proofErr w:type="spellStart"/>
      <w:r w:rsidRPr="008C149D">
        <w:rPr>
          <w:rFonts w:ascii="Arial" w:eastAsia="Times New Roman" w:hAnsi="Arial" w:cs="Arial"/>
          <w:lang w:eastAsia="cs-CZ"/>
        </w:rPr>
        <w:t>Frascati</w:t>
      </w:r>
      <w:proofErr w:type="spellEnd"/>
      <w:r w:rsidRPr="008C149D">
        <w:rPr>
          <w:rFonts w:ascii="Arial" w:eastAsia="Times New Roman" w:hAnsi="Arial" w:cs="Arial"/>
          <w:lang w:eastAsia="cs-CZ"/>
        </w:rPr>
        <w:t xml:space="preserve"> manuálu a v prováděcím nařízení Komise (EU) č. 995/2012.</w:t>
      </w:r>
      <w:r>
        <w:rPr>
          <w:rFonts w:ascii="Arial" w:eastAsia="Times New Roman" w:hAnsi="Arial" w:cs="Arial"/>
          <w:lang w:eastAsia="cs-CZ"/>
        </w:rPr>
        <w:t xml:space="preserve"> </w:t>
      </w:r>
      <w:r w:rsidRPr="00381AF1">
        <w:rPr>
          <w:rFonts w:ascii="Arial" w:eastAsia="Times New Roman" w:hAnsi="Arial" w:cs="Arial"/>
          <w:lang w:eastAsia="cs-CZ"/>
        </w:rPr>
        <w:t>Dlouhodobým cílem ČSÚ je vytváření komplexního obrazu o</w:t>
      </w:r>
      <w:r>
        <w:rPr>
          <w:rFonts w:ascii="Arial" w:eastAsia="Times New Roman" w:hAnsi="Arial" w:cs="Arial"/>
          <w:lang w:eastAsia="cs-CZ"/>
        </w:rPr>
        <w:t> </w:t>
      </w:r>
      <w:r w:rsidRPr="00381AF1">
        <w:rPr>
          <w:rFonts w:ascii="Arial" w:eastAsia="Times New Roman" w:hAnsi="Arial" w:cs="Arial"/>
          <w:lang w:eastAsia="cs-CZ"/>
        </w:rPr>
        <w:t xml:space="preserve">rozvoji </w:t>
      </w:r>
      <w:proofErr w:type="spellStart"/>
      <w:r w:rsidRPr="00381AF1">
        <w:rPr>
          <w:rFonts w:ascii="Arial" w:eastAsia="Times New Roman" w:hAnsi="Arial" w:cs="Arial"/>
          <w:lang w:eastAsia="cs-CZ"/>
        </w:rPr>
        <w:t>VaV</w:t>
      </w:r>
      <w:proofErr w:type="spellEnd"/>
      <w:r w:rsidRPr="00381AF1">
        <w:rPr>
          <w:rFonts w:ascii="Arial" w:eastAsia="Times New Roman" w:hAnsi="Arial" w:cs="Arial"/>
          <w:lang w:eastAsia="cs-CZ"/>
        </w:rPr>
        <w:t xml:space="preserve"> v České republice statistickými nástroji, informacemi a analytickou činností v</w:t>
      </w:r>
      <w:r>
        <w:rPr>
          <w:rFonts w:ascii="Arial" w:eastAsia="Times New Roman" w:hAnsi="Arial" w:cs="Arial"/>
          <w:lang w:eastAsia="cs-CZ"/>
        </w:rPr>
        <w:t> </w:t>
      </w:r>
      <w:r w:rsidRPr="00381AF1">
        <w:rPr>
          <w:rFonts w:ascii="Arial" w:eastAsia="Times New Roman" w:hAnsi="Arial" w:cs="Arial"/>
          <w:lang w:eastAsia="cs-CZ"/>
        </w:rPr>
        <w:t>kontextu dalších makroekonomických a strukturálních ukazatelů. Konkrétně od roku 19</w:t>
      </w:r>
      <w:r>
        <w:rPr>
          <w:rFonts w:ascii="Arial" w:eastAsia="Times New Roman" w:hAnsi="Arial" w:cs="Arial"/>
          <w:lang w:eastAsia="cs-CZ"/>
        </w:rPr>
        <w:t xml:space="preserve">95 je každoročně prováděno </w:t>
      </w:r>
      <w:r w:rsidRPr="00381AF1">
        <w:rPr>
          <w:rFonts w:ascii="Arial" w:eastAsia="Times New Roman" w:hAnsi="Arial" w:cs="Arial"/>
          <w:lang w:eastAsia="cs-CZ"/>
        </w:rPr>
        <w:t xml:space="preserve">výběrové dotazníkové šetření </w:t>
      </w:r>
      <w:r w:rsidRPr="00FF34CA">
        <w:rPr>
          <w:rFonts w:ascii="Arial" w:eastAsia="Times New Roman" w:hAnsi="Arial" w:cs="Arial"/>
          <w:lang w:eastAsia="cs-CZ"/>
        </w:rPr>
        <w:t>VTR 5-01</w:t>
      </w:r>
      <w:r>
        <w:rPr>
          <w:rFonts w:ascii="Arial" w:eastAsia="Times New Roman" w:hAnsi="Arial" w:cs="Arial"/>
          <w:lang w:eastAsia="cs-CZ"/>
        </w:rPr>
        <w:t>.</w:t>
      </w:r>
    </w:p>
    <w:p w:rsidR="00206FAD" w:rsidRPr="00381AF1" w:rsidRDefault="00206FAD" w:rsidP="00206FAD">
      <w:pPr>
        <w:spacing w:after="0" w:line="360" w:lineRule="auto"/>
        <w:ind w:firstLine="357"/>
        <w:jc w:val="both"/>
        <w:rPr>
          <w:rFonts w:ascii="Arial" w:eastAsia="Times New Roman" w:hAnsi="Arial" w:cs="Arial"/>
          <w:lang w:eastAsia="cs-CZ"/>
        </w:rPr>
      </w:pPr>
      <w:proofErr w:type="spellStart"/>
      <w:r w:rsidRPr="00381AF1">
        <w:rPr>
          <w:rFonts w:ascii="Arial" w:eastAsia="Times New Roman" w:hAnsi="Arial" w:cs="Arial"/>
          <w:lang w:eastAsia="cs-CZ"/>
        </w:rPr>
        <w:t>E</w:t>
      </w:r>
      <w:r>
        <w:rPr>
          <w:rFonts w:ascii="Arial" w:eastAsia="Times New Roman" w:hAnsi="Arial" w:cs="Arial"/>
          <w:lang w:eastAsia="cs-CZ"/>
        </w:rPr>
        <w:t>urostat</w:t>
      </w:r>
      <w:proofErr w:type="spellEnd"/>
      <w:r w:rsidRPr="00381AF1">
        <w:rPr>
          <w:rFonts w:ascii="Arial" w:eastAsia="Times New Roman" w:hAnsi="Arial" w:cs="Arial"/>
          <w:lang w:eastAsia="cs-CZ"/>
        </w:rPr>
        <w:t xml:space="preserve"> a OECD patří mezi hlavní zahraniční instituce provozující databáze poskytující informace o </w:t>
      </w:r>
      <w:proofErr w:type="spellStart"/>
      <w:r w:rsidRPr="00381AF1">
        <w:rPr>
          <w:rFonts w:ascii="Arial" w:eastAsia="Times New Roman" w:hAnsi="Arial" w:cs="Arial"/>
          <w:lang w:eastAsia="cs-CZ"/>
        </w:rPr>
        <w:t>VaVaI</w:t>
      </w:r>
      <w:proofErr w:type="spellEnd"/>
      <w:r w:rsidRPr="00381AF1">
        <w:rPr>
          <w:rFonts w:ascii="Arial" w:eastAsia="Times New Roman" w:hAnsi="Arial" w:cs="Arial"/>
          <w:lang w:eastAsia="cs-CZ"/>
        </w:rPr>
        <w:t>. Po vstupu ČR do EU vznikla potřeba i povinnost vést evidenci, kontrolovat průběh realizace jednotlivých projektů a monitorovat průběh čerpání finančních prostředků ze</w:t>
      </w:r>
      <w:r>
        <w:rPr>
          <w:rFonts w:ascii="Arial" w:eastAsia="Times New Roman" w:hAnsi="Arial" w:cs="Arial"/>
          <w:lang w:eastAsia="cs-CZ"/>
        </w:rPr>
        <w:t> </w:t>
      </w:r>
      <w:r w:rsidRPr="00381AF1">
        <w:rPr>
          <w:rFonts w:ascii="Arial" w:eastAsia="Times New Roman" w:hAnsi="Arial" w:cs="Arial"/>
          <w:lang w:eastAsia="cs-CZ"/>
        </w:rPr>
        <w:t>strukturálních fondů a Fondu soudržnosti. Tuto evidenci má v gesci především MMR. V průběhu Programového období 2007–2013 byl využíván informační systém MSC2007. Následně byl nově spuštěn systém MS2014+, který je určený pro monitorování Evropských strukturálních a</w:t>
      </w:r>
      <w:r>
        <w:rPr>
          <w:rFonts w:ascii="Arial" w:eastAsia="Times New Roman" w:hAnsi="Arial" w:cs="Arial"/>
          <w:lang w:eastAsia="cs-CZ"/>
        </w:rPr>
        <w:t> </w:t>
      </w:r>
      <w:r w:rsidRPr="00381AF1">
        <w:rPr>
          <w:rFonts w:ascii="Arial" w:eastAsia="Times New Roman" w:hAnsi="Arial" w:cs="Arial"/>
          <w:lang w:eastAsia="cs-CZ"/>
        </w:rPr>
        <w:t>investičních fondů (tzv. ESI fondy) v programovém období 2014–2020.</w:t>
      </w:r>
      <w:r w:rsidRPr="00381AF1">
        <w:rPr>
          <w:rFonts w:ascii="Arial" w:eastAsia="Times New Roman" w:hAnsi="Arial" w:cs="Arial"/>
          <w:lang w:eastAsia="cs-CZ"/>
        </w:rPr>
        <w:br w:type="page"/>
      </w:r>
    </w:p>
    <w:p w:rsidR="00206FAD" w:rsidRDefault="00206FAD" w:rsidP="00206FAD">
      <w:pPr>
        <w:keepNext/>
        <w:spacing w:before="120" w:after="240" w:line="240" w:lineRule="auto"/>
        <w:jc w:val="both"/>
        <w:rPr>
          <w:rFonts w:ascii="Arial" w:eastAsia="Times New Roman" w:hAnsi="Arial" w:cs="Times New Roman"/>
          <w:b/>
          <w:szCs w:val="24"/>
          <w:lang w:eastAsia="cs-CZ"/>
        </w:rPr>
      </w:pPr>
      <w:proofErr w:type="spellStart"/>
      <w:r w:rsidRPr="00321EEC">
        <w:rPr>
          <w:rFonts w:ascii="Arial" w:eastAsia="Times New Roman" w:hAnsi="Arial" w:cs="Times New Roman"/>
          <w:b/>
          <w:szCs w:val="24"/>
          <w:lang w:eastAsia="cs-CZ"/>
        </w:rPr>
        <w:lastRenderedPageBreak/>
        <w:t>Tab</w:t>
      </w:r>
      <w:proofErr w:type="spellEnd"/>
      <w:r>
        <w:rPr>
          <w:rFonts w:ascii="Arial" w:eastAsia="Times New Roman" w:hAnsi="Arial" w:cs="Times New Roman"/>
          <w:b/>
          <w:szCs w:val="24"/>
          <w:lang w:eastAsia="cs-CZ"/>
        </w:rPr>
        <w:t xml:space="preserve"> 10.1: </w:t>
      </w:r>
      <w:r w:rsidRPr="00321EEC">
        <w:rPr>
          <w:rFonts w:ascii="Arial" w:eastAsia="Times New Roman" w:hAnsi="Arial" w:cs="Times New Roman"/>
          <w:b/>
          <w:szCs w:val="24"/>
          <w:lang w:eastAsia="cs-CZ"/>
        </w:rPr>
        <w:t xml:space="preserve">Datové zdroje </w:t>
      </w:r>
      <w:proofErr w:type="spellStart"/>
      <w:r w:rsidRPr="00321EEC">
        <w:rPr>
          <w:rFonts w:ascii="Arial" w:eastAsia="Times New Roman" w:hAnsi="Arial" w:cs="Times New Roman"/>
          <w:b/>
          <w:szCs w:val="24"/>
          <w:lang w:eastAsia="cs-CZ"/>
        </w:rPr>
        <w:t>VaVaI</w:t>
      </w:r>
      <w:proofErr w:type="spellEnd"/>
    </w:p>
    <w:tbl>
      <w:tblPr>
        <w:tblW w:w="10206" w:type="dxa"/>
        <w:jc w:val="center"/>
        <w:tblInd w:w="55" w:type="dxa"/>
        <w:tblLayout w:type="fixed"/>
        <w:tblCellMar>
          <w:left w:w="70" w:type="dxa"/>
          <w:right w:w="70" w:type="dxa"/>
        </w:tblCellMar>
        <w:tblLook w:val="04A0" w:firstRow="1" w:lastRow="0" w:firstColumn="1" w:lastColumn="0" w:noHBand="0" w:noVBand="1"/>
      </w:tblPr>
      <w:tblGrid>
        <w:gridCol w:w="425"/>
        <w:gridCol w:w="852"/>
        <w:gridCol w:w="991"/>
        <w:gridCol w:w="2410"/>
        <w:gridCol w:w="5528"/>
      </w:tblGrid>
      <w:tr w:rsidR="00206FAD" w:rsidRPr="00321EEC" w:rsidTr="00206FAD">
        <w:trPr>
          <w:trHeight w:val="303"/>
          <w:jc w:val="center"/>
        </w:trPr>
        <w:tc>
          <w:tcPr>
            <w:tcW w:w="425" w:type="dxa"/>
            <w:tcBorders>
              <w:top w:val="nil"/>
              <w:left w:val="nil"/>
              <w:bottom w:val="nil"/>
              <w:right w:val="nil"/>
            </w:tcBorders>
            <w:shd w:val="clear" w:color="auto" w:fill="auto"/>
            <w:vAlign w:val="center"/>
            <w:hideMark/>
          </w:tcPr>
          <w:p w:rsidR="00206FAD" w:rsidRDefault="00206FAD" w:rsidP="00206FAD">
            <w:pPr>
              <w:spacing w:after="0" w:line="240" w:lineRule="auto"/>
              <w:rPr>
                <w:rFonts w:ascii="Arial" w:eastAsia="Times New Roman" w:hAnsi="Arial" w:cs="Arial"/>
                <w:color w:val="000000"/>
                <w:lang w:eastAsia="cs-CZ"/>
              </w:rPr>
            </w:pPr>
          </w:p>
          <w:p w:rsidR="00206FAD" w:rsidRPr="00321EEC" w:rsidRDefault="00206FAD" w:rsidP="00206FAD">
            <w:pPr>
              <w:spacing w:after="0" w:line="240" w:lineRule="auto"/>
              <w:rPr>
                <w:rFonts w:ascii="Arial" w:eastAsia="Times New Roman" w:hAnsi="Arial" w:cs="Arial"/>
                <w:color w:val="000000"/>
                <w:lang w:eastAsia="cs-CZ"/>
              </w:rPr>
            </w:pPr>
          </w:p>
        </w:tc>
        <w:tc>
          <w:tcPr>
            <w:tcW w:w="852"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 </w:t>
            </w: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Data</w:t>
            </w:r>
          </w:p>
        </w:tc>
        <w:tc>
          <w:tcPr>
            <w:tcW w:w="5528" w:type="dxa"/>
            <w:tcBorders>
              <w:top w:val="single" w:sz="8" w:space="0" w:color="auto"/>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Poznámka</w:t>
            </w:r>
          </w:p>
        </w:tc>
      </w:tr>
      <w:tr w:rsidR="00206FAD" w:rsidRPr="00321EEC" w:rsidTr="00206FAD">
        <w:trPr>
          <w:trHeight w:val="505"/>
          <w:jc w:val="center"/>
        </w:trPr>
        <w:tc>
          <w:tcPr>
            <w:tcW w:w="425"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206FAD" w:rsidRPr="00321EEC" w:rsidRDefault="00206FAD" w:rsidP="00206FAD">
            <w:pPr>
              <w:spacing w:after="0" w:line="240" w:lineRule="auto"/>
              <w:jc w:val="center"/>
              <w:rPr>
                <w:rFonts w:ascii="Arial" w:eastAsia="Times New Roman" w:hAnsi="Arial" w:cs="Arial"/>
                <w:color w:val="000000"/>
                <w:sz w:val="20"/>
                <w:szCs w:val="20"/>
                <w:lang w:eastAsia="cs-CZ"/>
              </w:rPr>
            </w:pPr>
            <w:r w:rsidRPr="00321EEC">
              <w:rPr>
                <w:rFonts w:ascii="Arial" w:eastAsia="Times New Roman" w:hAnsi="Arial" w:cs="Arial"/>
                <w:color w:val="000000"/>
                <w:sz w:val="20"/>
                <w:szCs w:val="20"/>
                <w:lang w:eastAsia="cs-CZ"/>
              </w:rPr>
              <w:t>NÁRODNÍ</w:t>
            </w:r>
          </w:p>
        </w:tc>
        <w:tc>
          <w:tcPr>
            <w:tcW w:w="852" w:type="dxa"/>
            <w:vMerge w:val="restart"/>
            <w:tcBorders>
              <w:top w:val="nil"/>
              <w:left w:val="single" w:sz="8" w:space="0" w:color="auto"/>
              <w:bottom w:val="single" w:sz="8" w:space="0" w:color="000000"/>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b/>
                <w:bCs/>
                <w:color w:val="000000"/>
                <w:sz w:val="18"/>
                <w:szCs w:val="18"/>
                <w:lang w:eastAsia="cs-CZ"/>
              </w:rPr>
            </w:pPr>
            <w:r w:rsidRPr="00321EEC">
              <w:rPr>
                <w:rFonts w:ascii="Arial" w:eastAsia="Times New Roman" w:hAnsi="Arial" w:cs="Arial"/>
                <w:b/>
                <w:bCs/>
                <w:color w:val="000000"/>
                <w:sz w:val="18"/>
                <w:szCs w:val="18"/>
                <w:lang w:eastAsia="cs-CZ"/>
              </w:rPr>
              <w:t>RVVI</w:t>
            </w:r>
          </w:p>
          <w:p w:rsidR="00206FAD" w:rsidRPr="00321EEC" w:rsidRDefault="00206FAD" w:rsidP="00206FAD">
            <w:pPr>
              <w:spacing w:after="0" w:line="240" w:lineRule="auto"/>
              <w:jc w:val="center"/>
              <w:rPr>
                <w:rFonts w:ascii="Arial" w:eastAsia="Times New Roman" w:hAnsi="Arial" w:cs="Arial"/>
                <w:b/>
                <w:bCs/>
                <w:color w:val="000000"/>
                <w:sz w:val="16"/>
                <w:szCs w:val="16"/>
                <w:lang w:eastAsia="cs-CZ"/>
              </w:rPr>
            </w:pPr>
            <w:r w:rsidRPr="00321EEC">
              <w:rPr>
                <w:rFonts w:ascii="Arial" w:eastAsia="Times New Roman" w:hAnsi="Arial" w:cs="Arial"/>
                <w:b/>
                <w:bCs/>
                <w:color w:val="000000"/>
                <w:sz w:val="16"/>
                <w:szCs w:val="16"/>
                <w:lang w:eastAsia="cs-CZ"/>
              </w:rPr>
              <w:t>(ÚV ČR)</w:t>
            </w:r>
          </w:p>
        </w:tc>
        <w:tc>
          <w:tcPr>
            <w:tcW w:w="991" w:type="dxa"/>
            <w:vMerge w:val="restart"/>
            <w:tcBorders>
              <w:top w:val="nil"/>
              <w:left w:val="single" w:sz="8" w:space="0" w:color="auto"/>
              <w:bottom w:val="single" w:sz="8" w:space="0" w:color="000000"/>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IS </w:t>
            </w:r>
            <w:proofErr w:type="spellStart"/>
            <w:r w:rsidRPr="00321EEC">
              <w:rPr>
                <w:rFonts w:ascii="Arial" w:eastAsia="Times New Roman" w:hAnsi="Arial" w:cs="Arial"/>
                <w:color w:val="000000"/>
                <w:sz w:val="18"/>
                <w:szCs w:val="18"/>
                <w:lang w:eastAsia="cs-CZ"/>
              </w:rPr>
              <w:t>VaVaI</w:t>
            </w:r>
            <w:proofErr w:type="spellEnd"/>
          </w:p>
        </w:tc>
        <w:tc>
          <w:tcPr>
            <w:tcW w:w="2410"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CEA</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Informace o poskytovatelích podpory </w:t>
            </w:r>
            <w:proofErr w:type="spellStart"/>
            <w:r w:rsidRPr="00321EEC">
              <w:rPr>
                <w:rFonts w:ascii="Arial" w:eastAsia="Times New Roman" w:hAnsi="Arial" w:cs="Arial"/>
                <w:color w:val="000000"/>
                <w:sz w:val="18"/>
                <w:szCs w:val="18"/>
                <w:lang w:eastAsia="cs-CZ"/>
              </w:rPr>
              <w:t>VaVaI</w:t>
            </w:r>
            <w:proofErr w:type="spellEnd"/>
            <w:r w:rsidRPr="00321EEC">
              <w:rPr>
                <w:rFonts w:ascii="Arial" w:eastAsia="Times New Roman" w:hAnsi="Arial" w:cs="Arial"/>
                <w:color w:val="000000"/>
                <w:sz w:val="18"/>
                <w:szCs w:val="18"/>
                <w:lang w:eastAsia="cs-CZ"/>
              </w:rPr>
              <w:t xml:space="preserve">, o programech </w:t>
            </w:r>
            <w:proofErr w:type="spellStart"/>
            <w:r w:rsidRPr="00321EEC">
              <w:rPr>
                <w:rFonts w:ascii="Arial" w:eastAsia="Times New Roman" w:hAnsi="Arial" w:cs="Arial"/>
                <w:color w:val="000000"/>
                <w:sz w:val="18"/>
                <w:szCs w:val="18"/>
                <w:lang w:eastAsia="cs-CZ"/>
              </w:rPr>
              <w:t>VaVaI</w:t>
            </w:r>
            <w:proofErr w:type="spellEnd"/>
            <w:r w:rsidRPr="00321EEC">
              <w:rPr>
                <w:rFonts w:ascii="Arial" w:eastAsia="Times New Roman" w:hAnsi="Arial" w:cs="Arial"/>
                <w:color w:val="000000"/>
                <w:sz w:val="18"/>
                <w:szCs w:val="18"/>
                <w:lang w:eastAsia="cs-CZ"/>
              </w:rPr>
              <w:t xml:space="preserve"> </w:t>
            </w:r>
            <w:r w:rsidRPr="00321EEC">
              <w:rPr>
                <w:rFonts w:ascii="Arial" w:eastAsia="Times New Roman" w:hAnsi="Arial" w:cs="Arial"/>
                <w:color w:val="000000"/>
                <w:sz w:val="18"/>
                <w:szCs w:val="18"/>
                <w:lang w:eastAsia="cs-CZ"/>
              </w:rPr>
              <w:br/>
              <w:t xml:space="preserve">a subjektech ve </w:t>
            </w:r>
            <w:proofErr w:type="spellStart"/>
            <w:r w:rsidRPr="00321EEC">
              <w:rPr>
                <w:rFonts w:ascii="Arial" w:eastAsia="Times New Roman" w:hAnsi="Arial" w:cs="Arial"/>
                <w:color w:val="000000"/>
                <w:sz w:val="18"/>
                <w:szCs w:val="18"/>
                <w:lang w:eastAsia="cs-CZ"/>
              </w:rPr>
              <w:t>VaVaI</w:t>
            </w:r>
            <w:proofErr w:type="spellEnd"/>
            <w:r w:rsidRPr="00321EEC">
              <w:rPr>
                <w:rFonts w:ascii="Arial" w:eastAsia="Times New Roman" w:hAnsi="Arial" w:cs="Arial"/>
                <w:color w:val="000000"/>
                <w:sz w:val="18"/>
                <w:szCs w:val="18"/>
                <w:lang w:eastAsia="cs-CZ"/>
              </w:rPr>
              <w:t xml:space="preserve"> (od roku 2010)</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991"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c>
          <w:tcPr>
            <w:tcW w:w="2410"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VES</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Informace o veřejných soutěžích ve </w:t>
            </w:r>
            <w:proofErr w:type="spellStart"/>
            <w:r w:rsidRPr="00321EEC">
              <w:rPr>
                <w:rFonts w:ascii="Arial" w:eastAsia="Times New Roman" w:hAnsi="Arial" w:cs="Arial"/>
                <w:color w:val="000000"/>
                <w:sz w:val="18"/>
                <w:szCs w:val="18"/>
                <w:lang w:eastAsia="cs-CZ"/>
              </w:rPr>
              <w:t>VaVaI</w:t>
            </w:r>
            <w:proofErr w:type="spellEnd"/>
            <w:r w:rsidRPr="00321EEC">
              <w:rPr>
                <w:rFonts w:ascii="Arial" w:eastAsia="Times New Roman" w:hAnsi="Arial" w:cs="Arial"/>
                <w:color w:val="000000"/>
                <w:sz w:val="18"/>
                <w:szCs w:val="18"/>
                <w:lang w:eastAsia="cs-CZ"/>
              </w:rPr>
              <w:t xml:space="preserve"> (od roku 2000)</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991"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c>
          <w:tcPr>
            <w:tcW w:w="2410"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CEP</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Informace o projektech </w:t>
            </w:r>
            <w:proofErr w:type="spellStart"/>
            <w:r w:rsidRPr="00321EEC">
              <w:rPr>
                <w:rFonts w:ascii="Arial" w:eastAsia="Times New Roman" w:hAnsi="Arial" w:cs="Arial"/>
                <w:color w:val="000000"/>
                <w:sz w:val="18"/>
                <w:szCs w:val="18"/>
                <w:lang w:eastAsia="cs-CZ"/>
              </w:rPr>
              <w:t>VaVaI</w:t>
            </w:r>
            <w:proofErr w:type="spellEnd"/>
            <w:r w:rsidRPr="00321EEC">
              <w:rPr>
                <w:rFonts w:ascii="Arial" w:eastAsia="Times New Roman" w:hAnsi="Arial" w:cs="Arial"/>
                <w:color w:val="000000"/>
                <w:sz w:val="18"/>
                <w:szCs w:val="18"/>
                <w:lang w:eastAsia="cs-CZ"/>
              </w:rPr>
              <w:t xml:space="preserve"> (od roku 1994)</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991"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c>
          <w:tcPr>
            <w:tcW w:w="2410" w:type="dxa"/>
            <w:tcBorders>
              <w:top w:val="nil"/>
              <w:left w:val="nil"/>
              <w:bottom w:val="single" w:sz="8" w:space="0" w:color="auto"/>
              <w:right w:val="single" w:sz="8" w:space="0" w:color="auto"/>
            </w:tcBorders>
            <w:shd w:val="clear" w:color="auto" w:fill="auto"/>
            <w:vAlign w:val="center"/>
            <w:hideMark/>
          </w:tcPr>
          <w:p w:rsidR="00206FAD" w:rsidRPr="00A70302" w:rsidRDefault="00206FAD" w:rsidP="00206FAD">
            <w:pPr>
              <w:spacing w:after="0" w:line="240" w:lineRule="auto"/>
              <w:jc w:val="center"/>
              <w:rPr>
                <w:rFonts w:ascii="Arial" w:eastAsia="Times New Roman" w:hAnsi="Arial" w:cs="Arial"/>
                <w:color w:val="000000"/>
                <w:sz w:val="18"/>
                <w:szCs w:val="18"/>
                <w:lang w:eastAsia="cs-CZ"/>
              </w:rPr>
            </w:pPr>
            <w:r w:rsidRPr="00A70302">
              <w:rPr>
                <w:rFonts w:ascii="Arial" w:eastAsia="Times New Roman" w:hAnsi="Arial" w:cs="Arial"/>
                <w:color w:val="000000"/>
                <w:sz w:val="18"/>
                <w:szCs w:val="18"/>
                <w:lang w:eastAsia="cs-CZ"/>
              </w:rPr>
              <w:t>CEZ</w:t>
            </w:r>
          </w:p>
        </w:tc>
        <w:tc>
          <w:tcPr>
            <w:tcW w:w="5528" w:type="dxa"/>
            <w:tcBorders>
              <w:top w:val="nil"/>
              <w:left w:val="nil"/>
              <w:bottom w:val="single" w:sz="8" w:space="0" w:color="auto"/>
              <w:right w:val="single" w:sz="8" w:space="0" w:color="auto"/>
            </w:tcBorders>
            <w:shd w:val="clear" w:color="auto" w:fill="auto"/>
            <w:vAlign w:val="center"/>
            <w:hideMark/>
          </w:tcPr>
          <w:p w:rsidR="00206FAD" w:rsidRPr="00A70302" w:rsidRDefault="00206FAD" w:rsidP="00206FAD">
            <w:pPr>
              <w:spacing w:after="0" w:line="240" w:lineRule="auto"/>
              <w:jc w:val="both"/>
              <w:rPr>
                <w:rFonts w:ascii="Arial" w:eastAsia="Times New Roman" w:hAnsi="Arial" w:cs="Arial"/>
                <w:color w:val="000000"/>
                <w:sz w:val="18"/>
                <w:szCs w:val="18"/>
                <w:lang w:eastAsia="cs-CZ"/>
              </w:rPr>
            </w:pPr>
            <w:r w:rsidRPr="00A70302">
              <w:rPr>
                <w:rFonts w:ascii="Arial" w:eastAsia="Times New Roman" w:hAnsi="Arial" w:cs="Arial"/>
                <w:color w:val="000000"/>
                <w:sz w:val="18"/>
                <w:szCs w:val="18"/>
                <w:lang w:eastAsia="cs-CZ"/>
              </w:rPr>
              <w:t>Informace o výzkumných záměrech (do roku 2009)</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991"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c>
          <w:tcPr>
            <w:tcW w:w="2410"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RIV</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8C149D">
              <w:rPr>
                <w:rFonts w:ascii="Arial" w:eastAsia="Times New Roman" w:hAnsi="Arial" w:cs="Arial"/>
                <w:color w:val="000000"/>
                <w:sz w:val="18"/>
                <w:szCs w:val="18"/>
                <w:lang w:eastAsia="cs-CZ"/>
              </w:rPr>
              <w:t xml:space="preserve">Informace o výsledcích </w:t>
            </w:r>
            <w:proofErr w:type="spellStart"/>
            <w:r w:rsidRPr="008C149D">
              <w:rPr>
                <w:rFonts w:ascii="Arial" w:eastAsia="Times New Roman" w:hAnsi="Arial" w:cs="Arial"/>
                <w:color w:val="000000"/>
                <w:sz w:val="18"/>
                <w:szCs w:val="18"/>
                <w:lang w:eastAsia="cs-CZ"/>
              </w:rPr>
              <w:t>VaVaI</w:t>
            </w:r>
            <w:proofErr w:type="spellEnd"/>
            <w:r w:rsidRPr="008C149D">
              <w:rPr>
                <w:rFonts w:ascii="Arial" w:eastAsia="Times New Roman" w:hAnsi="Arial" w:cs="Arial"/>
                <w:color w:val="000000"/>
                <w:sz w:val="18"/>
                <w:szCs w:val="18"/>
                <w:lang w:eastAsia="cs-CZ"/>
              </w:rPr>
              <w:t xml:space="preserve"> uplatněných od roku 1993</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val="restart"/>
            <w:tcBorders>
              <w:top w:val="nil"/>
              <w:left w:val="single" w:sz="8" w:space="0" w:color="auto"/>
              <w:bottom w:val="single" w:sz="8" w:space="0" w:color="000000"/>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b/>
                <w:bCs/>
                <w:color w:val="000000"/>
                <w:sz w:val="18"/>
                <w:szCs w:val="18"/>
                <w:lang w:eastAsia="cs-CZ"/>
              </w:rPr>
            </w:pPr>
            <w:r w:rsidRPr="00321EEC">
              <w:rPr>
                <w:rFonts w:ascii="Arial" w:eastAsia="Times New Roman" w:hAnsi="Arial" w:cs="Arial"/>
                <w:b/>
                <w:bCs/>
                <w:color w:val="000000"/>
                <w:sz w:val="18"/>
                <w:szCs w:val="18"/>
                <w:lang w:eastAsia="cs-CZ"/>
              </w:rPr>
              <w:t>ČSÚ</w:t>
            </w: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EF2233" w:rsidRDefault="00206FAD" w:rsidP="00206FAD">
            <w:pPr>
              <w:spacing w:after="0" w:line="240" w:lineRule="auto"/>
              <w:rPr>
                <w:rFonts w:ascii="Arial" w:eastAsia="Times New Roman" w:hAnsi="Arial" w:cs="Arial"/>
                <w:color w:val="000000"/>
                <w:sz w:val="18"/>
                <w:szCs w:val="18"/>
                <w:highlight w:val="yellow"/>
                <w:lang w:eastAsia="cs-CZ"/>
              </w:rPr>
            </w:pPr>
            <w:r w:rsidRPr="004C69D2">
              <w:rPr>
                <w:rFonts w:ascii="Arial" w:eastAsia="Times New Roman" w:hAnsi="Arial" w:cs="Arial"/>
                <w:color w:val="000000"/>
                <w:sz w:val="18"/>
                <w:szCs w:val="18"/>
                <w:lang w:eastAsia="cs-CZ"/>
              </w:rPr>
              <w:t>Ukazatele výzkumu a vývoje</w:t>
            </w:r>
          </w:p>
        </w:tc>
        <w:tc>
          <w:tcPr>
            <w:tcW w:w="5528" w:type="dxa"/>
            <w:tcBorders>
              <w:top w:val="nil"/>
              <w:left w:val="nil"/>
              <w:bottom w:val="single" w:sz="8" w:space="0" w:color="auto"/>
              <w:right w:val="single" w:sz="8" w:space="0" w:color="auto"/>
            </w:tcBorders>
            <w:shd w:val="clear" w:color="auto" w:fill="auto"/>
            <w:vAlign w:val="center"/>
            <w:hideMark/>
          </w:tcPr>
          <w:p w:rsidR="00206FAD" w:rsidRPr="00EF2233" w:rsidRDefault="00206FAD" w:rsidP="00206FAD">
            <w:pPr>
              <w:spacing w:after="0" w:line="240" w:lineRule="auto"/>
              <w:jc w:val="both"/>
              <w:rPr>
                <w:rFonts w:ascii="Arial" w:eastAsia="Times New Roman" w:hAnsi="Arial" w:cs="Arial"/>
                <w:color w:val="000000"/>
                <w:sz w:val="18"/>
                <w:szCs w:val="18"/>
                <w:highlight w:val="yellow"/>
                <w:lang w:eastAsia="cs-CZ"/>
              </w:rPr>
            </w:pPr>
            <w:r w:rsidRPr="004C69D2">
              <w:rPr>
                <w:rFonts w:ascii="Arial" w:eastAsia="Times New Roman" w:hAnsi="Arial" w:cs="Arial"/>
                <w:color w:val="000000"/>
                <w:sz w:val="18"/>
                <w:szCs w:val="18"/>
                <w:lang w:eastAsia="cs-CZ"/>
              </w:rPr>
              <w:t>Pravidelné roční dotazníkové šetření (VTR 5-01)</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r w:rsidRPr="00A330A8">
              <w:rPr>
                <w:rFonts w:ascii="Arial" w:eastAsia="Times New Roman" w:hAnsi="Arial" w:cs="Arial"/>
                <w:color w:val="000000"/>
                <w:sz w:val="18"/>
                <w:szCs w:val="18"/>
                <w:lang w:eastAsia="cs-CZ"/>
              </w:rPr>
              <w:t>Nepřímá veřejná podpora výzkumu</w:t>
            </w:r>
            <w:r w:rsidRPr="00321EEC">
              <w:rPr>
                <w:rFonts w:ascii="Arial" w:eastAsia="Times New Roman" w:hAnsi="Arial" w:cs="Arial"/>
                <w:color w:val="000000"/>
                <w:sz w:val="18"/>
                <w:szCs w:val="18"/>
                <w:lang w:eastAsia="cs-CZ"/>
              </w:rPr>
              <w:t xml:space="preserve"> a vývoje v ČR</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Metadata</w:t>
            </w:r>
            <w:proofErr w:type="spellEnd"/>
            <w:r w:rsidRPr="00321EEC">
              <w:rPr>
                <w:rFonts w:ascii="Arial" w:eastAsia="Times New Roman" w:hAnsi="Arial" w:cs="Arial"/>
                <w:color w:val="000000"/>
                <w:sz w:val="18"/>
                <w:szCs w:val="18"/>
                <w:lang w:eastAsia="cs-CZ"/>
              </w:rPr>
              <w:t xml:space="preserve"> z databáze GFŘ - MF</w:t>
            </w:r>
          </w:p>
        </w:tc>
      </w:tr>
      <w:tr w:rsidR="00206FAD" w:rsidRPr="00321EEC" w:rsidTr="00206FAD">
        <w:trPr>
          <w:trHeight w:val="750"/>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Statistické šetření o inovacích</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Poslední zveřejněné šetření </w:t>
            </w:r>
            <w:r w:rsidRPr="008C149D">
              <w:rPr>
                <w:rFonts w:ascii="Arial" w:eastAsia="Times New Roman" w:hAnsi="Arial" w:cs="Arial"/>
                <w:color w:val="000000"/>
                <w:sz w:val="18"/>
                <w:szCs w:val="18"/>
                <w:lang w:eastAsia="cs-CZ"/>
              </w:rPr>
              <w:t>(TI2014)</w:t>
            </w:r>
            <w:r w:rsidRPr="00321EEC">
              <w:rPr>
                <w:rFonts w:ascii="Arial" w:eastAsia="Times New Roman" w:hAnsi="Arial" w:cs="Arial"/>
                <w:color w:val="000000"/>
                <w:sz w:val="18"/>
                <w:szCs w:val="18"/>
                <w:lang w:eastAsia="cs-CZ"/>
              </w:rPr>
              <w:t xml:space="preserve"> se vztahuje k období v letech </w:t>
            </w:r>
            <w:r w:rsidRPr="008C149D">
              <w:rPr>
                <w:rFonts w:ascii="Arial" w:eastAsia="Times New Roman" w:hAnsi="Arial" w:cs="Arial"/>
                <w:color w:val="000000"/>
                <w:sz w:val="18"/>
                <w:szCs w:val="18"/>
                <w:lang w:eastAsia="cs-CZ"/>
              </w:rPr>
              <w:t>2012 až 2014</w:t>
            </w:r>
            <w:r w:rsidRPr="00321EEC">
              <w:rPr>
                <w:rFonts w:ascii="Arial" w:eastAsia="Times New Roman" w:hAnsi="Arial" w:cs="Arial"/>
                <w:color w:val="000000"/>
                <w:sz w:val="18"/>
                <w:szCs w:val="18"/>
                <w:lang w:eastAsia="cs-CZ"/>
              </w:rPr>
              <w:t>. Ke sběru dat je využit harmonizovaný dotazník zemí EU k inovačnímu šetření společenství CIS.</w:t>
            </w:r>
          </w:p>
        </w:tc>
      </w:tr>
      <w:tr w:rsidR="00206FAD" w:rsidRPr="00321EEC" w:rsidTr="00206FAD">
        <w:trPr>
          <w:trHeight w:val="750"/>
          <w:jc w:val="center"/>
        </w:trPr>
        <w:tc>
          <w:tcPr>
            <w:tcW w:w="425" w:type="dxa"/>
            <w:vMerge/>
            <w:tcBorders>
              <w:top w:val="single" w:sz="8" w:space="0" w:color="auto"/>
              <w:left w:val="single" w:sz="8" w:space="0" w:color="auto"/>
              <w:bottom w:val="single" w:sz="8" w:space="0" w:color="000000"/>
              <w:right w:val="single" w:sz="8" w:space="0" w:color="auto"/>
            </w:tcBorders>
            <w:vAlign w:val="center"/>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tcPr>
          <w:p w:rsidR="00206FAD" w:rsidRPr="00A330A8" w:rsidRDefault="00206FAD" w:rsidP="00206FAD">
            <w:pPr>
              <w:spacing w:after="0" w:line="240" w:lineRule="auto"/>
              <w:rPr>
                <w:rFonts w:ascii="Arial" w:eastAsia="Times New Roman" w:hAnsi="Arial" w:cs="Arial"/>
                <w:color w:val="000000"/>
                <w:sz w:val="18"/>
                <w:szCs w:val="18"/>
                <w:highlight w:val="lightGray"/>
                <w:lang w:eastAsia="cs-CZ"/>
              </w:rPr>
            </w:pPr>
            <w:r w:rsidRPr="00FA0590">
              <w:rPr>
                <w:rFonts w:ascii="Arial" w:eastAsia="Times New Roman" w:hAnsi="Arial" w:cs="Arial"/>
                <w:color w:val="000000"/>
                <w:sz w:val="18"/>
                <w:szCs w:val="18"/>
                <w:lang w:eastAsia="cs-CZ"/>
              </w:rPr>
              <w:t>Přímá veřejná podpora výzkumu a vývoje v České republice</w:t>
            </w:r>
          </w:p>
        </w:tc>
        <w:tc>
          <w:tcPr>
            <w:tcW w:w="5528" w:type="dxa"/>
            <w:tcBorders>
              <w:top w:val="nil"/>
              <w:left w:val="nil"/>
              <w:bottom w:val="single" w:sz="8" w:space="0" w:color="auto"/>
              <w:right w:val="single" w:sz="8" w:space="0" w:color="auto"/>
            </w:tcBorders>
            <w:shd w:val="clear" w:color="auto" w:fill="auto"/>
            <w:vAlign w:val="center"/>
          </w:tcPr>
          <w:p w:rsidR="00206FAD" w:rsidRPr="00A330A8" w:rsidRDefault="00206FAD" w:rsidP="00206FAD">
            <w:pPr>
              <w:spacing w:after="0" w:line="240" w:lineRule="auto"/>
              <w:jc w:val="both"/>
              <w:rPr>
                <w:rFonts w:ascii="Arial" w:eastAsia="Times New Roman" w:hAnsi="Arial" w:cs="Arial"/>
                <w:color w:val="000000"/>
                <w:sz w:val="18"/>
                <w:szCs w:val="18"/>
                <w:highlight w:val="lightGray"/>
                <w:lang w:eastAsia="cs-CZ"/>
              </w:rPr>
            </w:pPr>
            <w:r w:rsidRPr="00FA0590">
              <w:rPr>
                <w:rFonts w:ascii="Arial" w:eastAsia="Times New Roman" w:hAnsi="Arial" w:cs="Arial"/>
                <w:color w:val="000000"/>
                <w:sz w:val="18"/>
                <w:szCs w:val="18"/>
                <w:lang w:eastAsia="cs-CZ"/>
              </w:rPr>
              <w:t xml:space="preserve">Vychází z výdajů schválených v zákoně o státním rozpočtu pro dané fiskální období (předběžné údaje) a výdajů závěrečného státního účtu pro oblast </w:t>
            </w:r>
            <w:proofErr w:type="spellStart"/>
            <w:r w:rsidRPr="00FA0590">
              <w:rPr>
                <w:rFonts w:ascii="Arial" w:eastAsia="Times New Roman" w:hAnsi="Arial" w:cs="Arial"/>
                <w:color w:val="000000"/>
                <w:sz w:val="18"/>
                <w:szCs w:val="18"/>
                <w:lang w:eastAsia="cs-CZ"/>
              </w:rPr>
              <w:t>VaV</w:t>
            </w:r>
            <w:proofErr w:type="spellEnd"/>
            <w:r w:rsidRPr="00FA0590">
              <w:rPr>
                <w:rFonts w:ascii="Arial" w:eastAsia="Times New Roman" w:hAnsi="Arial" w:cs="Arial"/>
                <w:color w:val="000000"/>
                <w:sz w:val="18"/>
                <w:szCs w:val="18"/>
                <w:lang w:eastAsia="cs-CZ"/>
              </w:rPr>
              <w:t xml:space="preserve"> (konečné údaje).</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4C69D2" w:rsidRDefault="00206FAD" w:rsidP="00206FAD">
            <w:pPr>
              <w:spacing w:after="0" w:line="240" w:lineRule="auto"/>
              <w:rPr>
                <w:rFonts w:ascii="Arial" w:eastAsia="Times New Roman" w:hAnsi="Arial" w:cs="Arial"/>
                <w:color w:val="000000"/>
                <w:sz w:val="18"/>
                <w:szCs w:val="18"/>
                <w:lang w:eastAsia="cs-CZ"/>
              </w:rPr>
            </w:pPr>
            <w:proofErr w:type="spellStart"/>
            <w:r w:rsidRPr="004C69D2">
              <w:rPr>
                <w:rFonts w:ascii="Arial" w:eastAsia="Times New Roman" w:hAnsi="Arial" w:cs="Arial"/>
                <w:color w:val="000000"/>
                <w:sz w:val="18"/>
                <w:szCs w:val="18"/>
                <w:lang w:eastAsia="cs-CZ"/>
              </w:rPr>
              <w:t>Bibliometrie</w:t>
            </w:r>
            <w:proofErr w:type="spellEnd"/>
          </w:p>
        </w:tc>
        <w:tc>
          <w:tcPr>
            <w:tcW w:w="5528" w:type="dxa"/>
            <w:tcBorders>
              <w:top w:val="nil"/>
              <w:left w:val="nil"/>
              <w:bottom w:val="single" w:sz="8" w:space="0" w:color="auto"/>
              <w:right w:val="single" w:sz="8" w:space="0" w:color="auto"/>
            </w:tcBorders>
            <w:shd w:val="clear" w:color="auto" w:fill="auto"/>
            <w:vAlign w:val="center"/>
            <w:hideMark/>
          </w:tcPr>
          <w:p w:rsidR="00206FAD" w:rsidRPr="004C69D2" w:rsidRDefault="00206FAD" w:rsidP="00206FAD">
            <w:pPr>
              <w:spacing w:after="0" w:line="240" w:lineRule="auto"/>
              <w:jc w:val="both"/>
              <w:rPr>
                <w:rFonts w:ascii="Arial" w:eastAsia="Times New Roman" w:hAnsi="Arial" w:cs="Arial"/>
                <w:color w:val="000000"/>
                <w:sz w:val="18"/>
                <w:szCs w:val="18"/>
                <w:lang w:eastAsia="cs-CZ"/>
              </w:rPr>
            </w:pPr>
            <w:proofErr w:type="spellStart"/>
            <w:r w:rsidRPr="004C69D2">
              <w:rPr>
                <w:rFonts w:ascii="Arial" w:eastAsia="Times New Roman" w:hAnsi="Arial" w:cs="Arial"/>
                <w:color w:val="000000"/>
                <w:sz w:val="18"/>
                <w:szCs w:val="18"/>
                <w:lang w:eastAsia="cs-CZ"/>
              </w:rPr>
              <w:t>Metadata</w:t>
            </w:r>
            <w:proofErr w:type="spellEnd"/>
            <w:r w:rsidRPr="004C69D2">
              <w:rPr>
                <w:rFonts w:ascii="Arial" w:eastAsia="Times New Roman" w:hAnsi="Arial" w:cs="Arial"/>
                <w:color w:val="000000"/>
                <w:sz w:val="18"/>
                <w:szCs w:val="18"/>
                <w:lang w:eastAsia="cs-CZ"/>
              </w:rPr>
              <w:t xml:space="preserve"> z citačního rejstříku: Thomson Reuters/(in-</w:t>
            </w:r>
            <w:proofErr w:type="spellStart"/>
            <w:r w:rsidRPr="004C69D2">
              <w:rPr>
                <w:rFonts w:ascii="Arial" w:eastAsia="Times New Roman" w:hAnsi="Arial" w:cs="Arial"/>
                <w:color w:val="000000"/>
                <w:sz w:val="18"/>
                <w:szCs w:val="18"/>
                <w:lang w:eastAsia="cs-CZ"/>
              </w:rPr>
              <w:t>Cites</w:t>
            </w:r>
            <w:proofErr w:type="spellEnd"/>
            <w:r w:rsidRPr="004C69D2">
              <w:rPr>
                <w:rFonts w:ascii="Arial" w:eastAsia="Times New Roman" w:hAnsi="Arial" w:cs="Arial"/>
                <w:color w:val="000000"/>
                <w:sz w:val="18"/>
                <w:szCs w:val="18"/>
                <w:lang w:eastAsia="cs-CZ"/>
              </w:rPr>
              <w:t>)</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4C69D2" w:rsidRDefault="00206FAD" w:rsidP="00206FAD">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Patentová statistika</w:t>
            </w:r>
          </w:p>
        </w:tc>
        <w:tc>
          <w:tcPr>
            <w:tcW w:w="5528" w:type="dxa"/>
            <w:tcBorders>
              <w:top w:val="nil"/>
              <w:left w:val="nil"/>
              <w:bottom w:val="single" w:sz="8" w:space="0" w:color="auto"/>
              <w:right w:val="single" w:sz="8" w:space="0" w:color="auto"/>
            </w:tcBorders>
            <w:shd w:val="clear" w:color="auto" w:fill="auto"/>
            <w:vAlign w:val="center"/>
            <w:hideMark/>
          </w:tcPr>
          <w:p w:rsidR="00206FAD" w:rsidRPr="004C69D2" w:rsidRDefault="00206FAD" w:rsidP="00206FAD">
            <w:pPr>
              <w:spacing w:after="0" w:line="240" w:lineRule="auto"/>
              <w:jc w:val="both"/>
              <w:rPr>
                <w:rFonts w:ascii="Arial" w:eastAsia="Times New Roman" w:hAnsi="Arial" w:cs="Arial"/>
                <w:color w:val="000000"/>
                <w:sz w:val="18"/>
                <w:szCs w:val="18"/>
                <w:lang w:eastAsia="cs-CZ"/>
              </w:rPr>
            </w:pPr>
            <w:proofErr w:type="spellStart"/>
            <w:r w:rsidRPr="004C69D2">
              <w:rPr>
                <w:rFonts w:ascii="Arial" w:eastAsia="Times New Roman" w:hAnsi="Arial" w:cs="Arial"/>
                <w:color w:val="000000"/>
                <w:sz w:val="18"/>
                <w:szCs w:val="18"/>
                <w:lang w:eastAsia="cs-CZ"/>
              </w:rPr>
              <w:t>Metadata</w:t>
            </w:r>
            <w:proofErr w:type="spellEnd"/>
            <w:r w:rsidRPr="004C69D2">
              <w:rPr>
                <w:rFonts w:ascii="Arial" w:eastAsia="Times New Roman" w:hAnsi="Arial" w:cs="Arial"/>
                <w:color w:val="000000"/>
                <w:sz w:val="18"/>
                <w:szCs w:val="18"/>
                <w:lang w:eastAsia="cs-CZ"/>
              </w:rPr>
              <w:t xml:space="preserve"> ÚPV ČR a EPO</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4C69D2" w:rsidRDefault="00206FAD" w:rsidP="00206FAD">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Licence</w:t>
            </w:r>
          </w:p>
        </w:tc>
        <w:tc>
          <w:tcPr>
            <w:tcW w:w="5528" w:type="dxa"/>
            <w:tcBorders>
              <w:top w:val="nil"/>
              <w:left w:val="nil"/>
              <w:bottom w:val="single" w:sz="8" w:space="0" w:color="auto"/>
              <w:right w:val="single" w:sz="8" w:space="0" w:color="auto"/>
            </w:tcBorders>
            <w:shd w:val="clear" w:color="auto" w:fill="auto"/>
            <w:vAlign w:val="center"/>
            <w:hideMark/>
          </w:tcPr>
          <w:p w:rsidR="00206FAD" w:rsidRPr="004C69D2" w:rsidRDefault="00206FAD" w:rsidP="00206FAD">
            <w:pPr>
              <w:spacing w:after="0" w:line="240" w:lineRule="auto"/>
              <w:jc w:val="both"/>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Pravidelné roční statistické šetření (Lic 5-01)</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4C69D2" w:rsidRDefault="00206FAD" w:rsidP="00206FAD">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Státní rozpočtové výdaje a dotace na výzkum a vývoj</w:t>
            </w:r>
          </w:p>
        </w:tc>
        <w:tc>
          <w:tcPr>
            <w:tcW w:w="5528" w:type="dxa"/>
            <w:tcBorders>
              <w:top w:val="nil"/>
              <w:left w:val="nil"/>
              <w:bottom w:val="single" w:sz="8" w:space="0" w:color="auto"/>
              <w:right w:val="single" w:sz="8" w:space="0" w:color="auto"/>
            </w:tcBorders>
            <w:shd w:val="clear" w:color="auto" w:fill="auto"/>
            <w:vAlign w:val="center"/>
            <w:hideMark/>
          </w:tcPr>
          <w:p w:rsidR="00206FAD" w:rsidRPr="004C69D2" w:rsidRDefault="00206FAD" w:rsidP="00206FAD">
            <w:pPr>
              <w:spacing w:after="0" w:line="240" w:lineRule="auto"/>
              <w:jc w:val="both"/>
              <w:rPr>
                <w:rFonts w:ascii="Arial" w:eastAsia="Times New Roman" w:hAnsi="Arial" w:cs="Arial"/>
                <w:color w:val="000000"/>
                <w:sz w:val="18"/>
                <w:szCs w:val="18"/>
                <w:lang w:eastAsia="cs-CZ"/>
              </w:rPr>
            </w:pPr>
            <w:proofErr w:type="spellStart"/>
            <w:r w:rsidRPr="004C69D2">
              <w:rPr>
                <w:rFonts w:ascii="Arial" w:eastAsia="Times New Roman" w:hAnsi="Arial" w:cs="Arial"/>
                <w:color w:val="000000"/>
                <w:sz w:val="18"/>
                <w:szCs w:val="18"/>
                <w:lang w:eastAsia="cs-CZ"/>
              </w:rPr>
              <w:t>Metadata</w:t>
            </w:r>
            <w:proofErr w:type="spellEnd"/>
            <w:r w:rsidRPr="004C69D2">
              <w:rPr>
                <w:rFonts w:ascii="Arial" w:eastAsia="Times New Roman" w:hAnsi="Arial" w:cs="Arial"/>
                <w:color w:val="000000"/>
                <w:sz w:val="18"/>
                <w:szCs w:val="18"/>
                <w:lang w:eastAsia="cs-CZ"/>
              </w:rPr>
              <w:t xml:space="preserve"> IS </w:t>
            </w:r>
            <w:proofErr w:type="spellStart"/>
            <w:r w:rsidRPr="004C69D2">
              <w:rPr>
                <w:rFonts w:ascii="Arial" w:eastAsia="Times New Roman" w:hAnsi="Arial" w:cs="Arial"/>
                <w:color w:val="000000"/>
                <w:sz w:val="18"/>
                <w:szCs w:val="18"/>
                <w:lang w:eastAsia="cs-CZ"/>
              </w:rPr>
              <w:t>VaVaI</w:t>
            </w:r>
            <w:proofErr w:type="spellEnd"/>
            <w:r w:rsidRPr="004C69D2">
              <w:rPr>
                <w:rFonts w:ascii="Arial" w:eastAsia="Times New Roman" w:hAnsi="Arial" w:cs="Arial"/>
                <w:color w:val="000000"/>
                <w:sz w:val="18"/>
                <w:szCs w:val="18"/>
                <w:lang w:eastAsia="cs-CZ"/>
              </w:rPr>
              <w:t xml:space="preserve"> a resortní statistiky</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Zahraniční obchod s </w:t>
            </w:r>
            <w:proofErr w:type="spellStart"/>
            <w:r w:rsidRPr="00321EEC">
              <w:rPr>
                <w:rFonts w:ascii="Arial" w:eastAsia="Times New Roman" w:hAnsi="Arial" w:cs="Arial"/>
                <w:color w:val="000000"/>
                <w:sz w:val="18"/>
                <w:szCs w:val="18"/>
                <w:lang w:eastAsia="cs-CZ"/>
              </w:rPr>
              <w:t>high-tech</w:t>
            </w:r>
            <w:proofErr w:type="spellEnd"/>
            <w:r w:rsidRPr="00321EEC">
              <w:rPr>
                <w:rFonts w:ascii="Arial" w:eastAsia="Times New Roman" w:hAnsi="Arial" w:cs="Arial"/>
                <w:color w:val="000000"/>
                <w:sz w:val="18"/>
                <w:szCs w:val="18"/>
                <w:lang w:eastAsia="cs-CZ"/>
              </w:rPr>
              <w:t xml:space="preserve"> zbožím</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Databáze zahraničního obchodu a </w:t>
            </w:r>
            <w:proofErr w:type="spellStart"/>
            <w:r w:rsidRPr="00321EEC">
              <w:rPr>
                <w:rFonts w:ascii="Arial" w:eastAsia="Times New Roman" w:hAnsi="Arial" w:cs="Arial"/>
                <w:color w:val="000000"/>
                <w:sz w:val="18"/>
                <w:szCs w:val="18"/>
                <w:lang w:eastAsia="cs-CZ"/>
              </w:rPr>
              <w:t>metadata</w:t>
            </w:r>
            <w:proofErr w:type="spellEnd"/>
            <w:r w:rsidRPr="00321EEC">
              <w:rPr>
                <w:rFonts w:ascii="Arial" w:eastAsia="Times New Roman" w:hAnsi="Arial" w:cs="Arial"/>
                <w:color w:val="000000"/>
                <w:sz w:val="18"/>
                <w:szCs w:val="18"/>
                <w:lang w:eastAsia="cs-CZ"/>
              </w:rPr>
              <w:t xml:space="preserve"> z </w:t>
            </w:r>
            <w:proofErr w:type="spellStart"/>
            <w:r w:rsidRPr="00321EEC">
              <w:rPr>
                <w:rFonts w:ascii="Arial" w:eastAsia="Times New Roman" w:hAnsi="Arial" w:cs="Arial"/>
                <w:color w:val="000000"/>
                <w:sz w:val="18"/>
                <w:szCs w:val="18"/>
                <w:lang w:eastAsia="cs-CZ"/>
              </w:rPr>
              <w:t>Eurostatu</w:t>
            </w:r>
            <w:proofErr w:type="spellEnd"/>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Technologická platební bilance - zahraniční obchod s technologickými službami</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Čtvrtletní výkaz o dovozu a vývozu služeb (ZO 1-04) a </w:t>
            </w:r>
            <w:proofErr w:type="spellStart"/>
            <w:r w:rsidRPr="00321EEC">
              <w:rPr>
                <w:rFonts w:ascii="Arial" w:eastAsia="Times New Roman" w:hAnsi="Arial" w:cs="Arial"/>
                <w:color w:val="000000"/>
                <w:sz w:val="18"/>
                <w:szCs w:val="18"/>
                <w:lang w:eastAsia="cs-CZ"/>
              </w:rPr>
              <w:t>metadata</w:t>
            </w:r>
            <w:proofErr w:type="spellEnd"/>
            <w:r w:rsidRPr="00321EEC">
              <w:rPr>
                <w:rFonts w:ascii="Arial" w:eastAsia="Times New Roman" w:hAnsi="Arial" w:cs="Arial"/>
                <w:color w:val="000000"/>
                <w:sz w:val="18"/>
                <w:szCs w:val="18"/>
                <w:lang w:eastAsia="cs-CZ"/>
              </w:rPr>
              <w:t xml:space="preserve"> </w:t>
            </w:r>
            <w:r w:rsidRPr="00321EEC">
              <w:rPr>
                <w:rFonts w:ascii="Arial" w:eastAsia="Times New Roman" w:hAnsi="Arial" w:cs="Arial"/>
                <w:color w:val="000000"/>
                <w:sz w:val="18"/>
                <w:szCs w:val="18"/>
                <w:lang w:eastAsia="cs-CZ"/>
              </w:rPr>
              <w:br/>
              <w:t>z ČNB</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val="restart"/>
            <w:tcBorders>
              <w:top w:val="nil"/>
              <w:left w:val="single" w:sz="8" w:space="0" w:color="auto"/>
              <w:bottom w:val="single" w:sz="8" w:space="0" w:color="000000"/>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b/>
                <w:bCs/>
                <w:color w:val="000000"/>
                <w:sz w:val="18"/>
                <w:szCs w:val="18"/>
                <w:lang w:eastAsia="cs-CZ"/>
              </w:rPr>
            </w:pPr>
            <w:r w:rsidRPr="00321EEC">
              <w:rPr>
                <w:rFonts w:ascii="Arial" w:eastAsia="Times New Roman" w:hAnsi="Arial" w:cs="Arial"/>
                <w:b/>
                <w:bCs/>
                <w:color w:val="000000"/>
                <w:sz w:val="18"/>
                <w:szCs w:val="18"/>
                <w:lang w:eastAsia="cs-CZ"/>
              </w:rPr>
              <w:t>MMR</w:t>
            </w:r>
          </w:p>
        </w:tc>
        <w:tc>
          <w:tcPr>
            <w:tcW w:w="3401" w:type="dxa"/>
            <w:gridSpan w:val="2"/>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MSC2007</w:t>
            </w:r>
          </w:p>
        </w:tc>
        <w:tc>
          <w:tcPr>
            <w:tcW w:w="5528" w:type="dxa"/>
            <w:tcBorders>
              <w:top w:val="nil"/>
              <w:left w:val="single" w:sz="8" w:space="0" w:color="auto"/>
              <w:bottom w:val="single" w:sz="8" w:space="0" w:color="000000"/>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Slouží pro věcný a finanční monitoring všech programů a projektů hrazených z fondů EU.</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b/>
                <w:bCs/>
                <w:color w:val="000000"/>
                <w:sz w:val="18"/>
                <w:szCs w:val="18"/>
                <w:lang w:eastAsia="cs-CZ"/>
              </w:rPr>
            </w:pPr>
          </w:p>
        </w:tc>
        <w:tc>
          <w:tcPr>
            <w:tcW w:w="3401" w:type="dxa"/>
            <w:gridSpan w:val="2"/>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MS2014+</w:t>
            </w:r>
          </w:p>
        </w:tc>
        <w:tc>
          <w:tcPr>
            <w:tcW w:w="5528" w:type="dxa"/>
            <w:tcBorders>
              <w:top w:val="nil"/>
              <w:left w:val="single" w:sz="8" w:space="0" w:color="auto"/>
              <w:bottom w:val="single" w:sz="8" w:space="0" w:color="000000"/>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Slouží pro věcný a finanční monitoring všech programů a projektů hrazených z ESI fondů.</w:t>
            </w:r>
          </w:p>
        </w:tc>
      </w:tr>
      <w:tr w:rsidR="00206FAD" w:rsidRPr="00321EEC" w:rsidTr="00206FAD">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9781" w:type="dxa"/>
            <w:gridSpan w:val="4"/>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další statistiky poskytovatelů nebo resortů a jiných organizací*</w:t>
            </w:r>
          </w:p>
        </w:tc>
      </w:tr>
      <w:tr w:rsidR="00206FAD" w:rsidRPr="00321EEC" w:rsidTr="00206FAD">
        <w:trPr>
          <w:trHeight w:val="303"/>
          <w:jc w:val="center"/>
        </w:trPr>
        <w:tc>
          <w:tcPr>
            <w:tcW w:w="42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206FAD" w:rsidRPr="00321EEC" w:rsidRDefault="00206FAD" w:rsidP="00206FAD">
            <w:pPr>
              <w:spacing w:after="0" w:line="240" w:lineRule="auto"/>
              <w:jc w:val="center"/>
              <w:rPr>
                <w:rFonts w:ascii="Arial" w:eastAsia="Times New Roman" w:hAnsi="Arial" w:cs="Arial"/>
                <w:color w:val="000000"/>
                <w:sz w:val="20"/>
                <w:szCs w:val="20"/>
                <w:lang w:eastAsia="cs-CZ"/>
              </w:rPr>
            </w:pPr>
            <w:r w:rsidRPr="00321EEC">
              <w:rPr>
                <w:rFonts w:ascii="Arial" w:eastAsia="Times New Roman" w:hAnsi="Arial" w:cs="Arial"/>
                <w:color w:val="000000"/>
                <w:sz w:val="20"/>
                <w:szCs w:val="20"/>
                <w:lang w:eastAsia="cs-CZ"/>
              </w:rPr>
              <w:t>ZAHRANIČNÍ</w:t>
            </w:r>
          </w:p>
        </w:tc>
        <w:tc>
          <w:tcPr>
            <w:tcW w:w="4253" w:type="dxa"/>
            <w:gridSpan w:val="3"/>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Data</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Poznámka</w:t>
            </w:r>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4253"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EUROSTAT</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Government</w:t>
            </w:r>
            <w:proofErr w:type="spellEnd"/>
            <w:r w:rsidRPr="00321EEC">
              <w:rPr>
                <w:rFonts w:ascii="Arial" w:eastAsia="Times New Roman" w:hAnsi="Arial" w:cs="Arial"/>
                <w:color w:val="000000"/>
                <w:sz w:val="18"/>
                <w:szCs w:val="18"/>
                <w:lang w:eastAsia="cs-CZ"/>
              </w:rPr>
              <w:t xml:space="preserve"> budget </w:t>
            </w:r>
            <w:proofErr w:type="spellStart"/>
            <w:r w:rsidRPr="00321EEC">
              <w:rPr>
                <w:rFonts w:ascii="Arial" w:eastAsia="Times New Roman" w:hAnsi="Arial" w:cs="Arial"/>
                <w:color w:val="000000"/>
                <w:sz w:val="18"/>
                <w:szCs w:val="18"/>
                <w:lang w:eastAsia="cs-CZ"/>
              </w:rPr>
              <w:t>appropriations</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or</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outlays</w:t>
            </w:r>
            <w:proofErr w:type="spellEnd"/>
            <w:r w:rsidRPr="00321EEC">
              <w:rPr>
                <w:rFonts w:ascii="Arial" w:eastAsia="Times New Roman" w:hAnsi="Arial" w:cs="Arial"/>
                <w:color w:val="000000"/>
                <w:sz w:val="18"/>
                <w:szCs w:val="18"/>
                <w:lang w:eastAsia="cs-CZ"/>
              </w:rPr>
              <w:t xml:space="preserve"> on R&amp;D </w:t>
            </w:r>
            <w:proofErr w:type="spellStart"/>
            <w:r w:rsidRPr="00321EEC">
              <w:rPr>
                <w:rFonts w:ascii="Arial" w:eastAsia="Times New Roman" w:hAnsi="Arial" w:cs="Arial"/>
                <w:color w:val="000000"/>
                <w:sz w:val="18"/>
                <w:szCs w:val="18"/>
                <w:lang w:eastAsia="cs-CZ"/>
              </w:rPr>
              <w:t>statistics</w:t>
            </w:r>
            <w:proofErr w:type="spellEnd"/>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4253" w:type="dxa"/>
            <w:gridSpan w:val="3"/>
            <w:vMerge/>
            <w:tcBorders>
              <w:top w:val="single" w:sz="8" w:space="0" w:color="auto"/>
              <w:left w:val="single" w:sz="8" w:space="0" w:color="auto"/>
              <w:bottom w:val="single" w:sz="8" w:space="0" w:color="000000"/>
              <w:right w:val="single" w:sz="8" w:space="0" w:color="000000"/>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Community</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innovation</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survey</w:t>
            </w:r>
            <w:proofErr w:type="spellEnd"/>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4253" w:type="dxa"/>
            <w:gridSpan w:val="3"/>
            <w:vMerge/>
            <w:tcBorders>
              <w:top w:val="single" w:sz="8" w:space="0" w:color="auto"/>
              <w:left w:val="single" w:sz="8" w:space="0" w:color="auto"/>
              <w:bottom w:val="single" w:sz="8" w:space="0" w:color="000000"/>
              <w:right w:val="single" w:sz="8" w:space="0" w:color="000000"/>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High-tech</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industry</w:t>
            </w:r>
            <w:proofErr w:type="spellEnd"/>
            <w:r w:rsidRPr="00321EEC">
              <w:rPr>
                <w:rFonts w:ascii="Arial" w:eastAsia="Times New Roman" w:hAnsi="Arial" w:cs="Arial"/>
                <w:color w:val="000000"/>
                <w:sz w:val="18"/>
                <w:szCs w:val="18"/>
                <w:lang w:eastAsia="cs-CZ"/>
              </w:rPr>
              <w:t xml:space="preserve"> and </w:t>
            </w:r>
            <w:proofErr w:type="spellStart"/>
            <w:r w:rsidRPr="00321EEC">
              <w:rPr>
                <w:rFonts w:ascii="Arial" w:eastAsia="Times New Roman" w:hAnsi="Arial" w:cs="Arial"/>
                <w:color w:val="000000"/>
                <w:sz w:val="18"/>
                <w:szCs w:val="18"/>
                <w:lang w:eastAsia="cs-CZ"/>
              </w:rPr>
              <w:t>knowledge-intensive</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services</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statistics</w:t>
            </w:r>
            <w:proofErr w:type="spellEnd"/>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4253" w:type="dxa"/>
            <w:gridSpan w:val="3"/>
            <w:vMerge/>
            <w:tcBorders>
              <w:top w:val="single" w:sz="8" w:space="0" w:color="auto"/>
              <w:left w:val="single" w:sz="8" w:space="0" w:color="auto"/>
              <w:bottom w:val="single" w:sz="8" w:space="0" w:color="000000"/>
              <w:right w:val="single" w:sz="8" w:space="0" w:color="000000"/>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Patent </w:t>
            </w:r>
            <w:proofErr w:type="spellStart"/>
            <w:r w:rsidRPr="00321EEC">
              <w:rPr>
                <w:rFonts w:ascii="Arial" w:eastAsia="Times New Roman" w:hAnsi="Arial" w:cs="Arial"/>
                <w:color w:val="000000"/>
                <w:sz w:val="18"/>
                <w:szCs w:val="18"/>
                <w:lang w:eastAsia="cs-CZ"/>
              </w:rPr>
              <w:t>statistics</w:t>
            </w:r>
            <w:proofErr w:type="spellEnd"/>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4253" w:type="dxa"/>
            <w:gridSpan w:val="3"/>
            <w:vMerge/>
            <w:tcBorders>
              <w:top w:val="single" w:sz="8" w:space="0" w:color="auto"/>
              <w:left w:val="single" w:sz="8" w:space="0" w:color="auto"/>
              <w:bottom w:val="single" w:sz="8" w:space="0" w:color="000000"/>
              <w:right w:val="single" w:sz="8" w:space="0" w:color="000000"/>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Statistics</w:t>
            </w:r>
            <w:proofErr w:type="spellEnd"/>
            <w:r w:rsidRPr="00321EEC">
              <w:rPr>
                <w:rFonts w:ascii="Arial" w:eastAsia="Times New Roman" w:hAnsi="Arial" w:cs="Arial"/>
                <w:color w:val="000000"/>
                <w:sz w:val="18"/>
                <w:szCs w:val="18"/>
                <w:lang w:eastAsia="cs-CZ"/>
              </w:rPr>
              <w:t xml:space="preserve"> on </w:t>
            </w:r>
            <w:proofErr w:type="spellStart"/>
            <w:r w:rsidRPr="00321EEC">
              <w:rPr>
                <w:rFonts w:ascii="Arial" w:eastAsia="Times New Roman" w:hAnsi="Arial" w:cs="Arial"/>
                <w:color w:val="000000"/>
                <w:sz w:val="18"/>
                <w:szCs w:val="18"/>
                <w:lang w:eastAsia="cs-CZ"/>
              </w:rPr>
              <w:t>Human</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Resources</w:t>
            </w:r>
            <w:proofErr w:type="spellEnd"/>
            <w:r w:rsidRPr="00321EEC">
              <w:rPr>
                <w:rFonts w:ascii="Arial" w:eastAsia="Times New Roman" w:hAnsi="Arial" w:cs="Arial"/>
                <w:color w:val="000000"/>
                <w:sz w:val="18"/>
                <w:szCs w:val="18"/>
                <w:lang w:eastAsia="cs-CZ"/>
              </w:rPr>
              <w:t xml:space="preserve"> in Science &amp; Technology</w:t>
            </w:r>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4253" w:type="dxa"/>
            <w:gridSpan w:val="3"/>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OECD</w:t>
            </w:r>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Research</w:t>
            </w:r>
            <w:proofErr w:type="spellEnd"/>
            <w:r w:rsidRPr="00321EEC">
              <w:rPr>
                <w:rFonts w:ascii="Arial" w:eastAsia="Times New Roman" w:hAnsi="Arial" w:cs="Arial"/>
                <w:color w:val="000000"/>
                <w:sz w:val="18"/>
                <w:szCs w:val="18"/>
                <w:lang w:eastAsia="cs-CZ"/>
              </w:rPr>
              <w:t xml:space="preserve"> and </w:t>
            </w:r>
            <w:proofErr w:type="spellStart"/>
            <w:r w:rsidRPr="00321EEC">
              <w:rPr>
                <w:rFonts w:ascii="Arial" w:eastAsia="Times New Roman" w:hAnsi="Arial" w:cs="Arial"/>
                <w:color w:val="000000"/>
                <w:sz w:val="18"/>
                <w:szCs w:val="18"/>
                <w:lang w:eastAsia="cs-CZ"/>
              </w:rPr>
              <w:t>Development</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Statistics</w:t>
            </w:r>
            <w:proofErr w:type="spellEnd"/>
            <w:r w:rsidRPr="00321EEC">
              <w:rPr>
                <w:rFonts w:ascii="Arial" w:eastAsia="Times New Roman" w:hAnsi="Arial" w:cs="Arial"/>
                <w:color w:val="000000"/>
                <w:sz w:val="18"/>
                <w:szCs w:val="18"/>
                <w:lang w:eastAsia="cs-CZ"/>
              </w:rPr>
              <w:t xml:space="preserve"> </w:t>
            </w:r>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4253" w:type="dxa"/>
            <w:gridSpan w:val="3"/>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Cordis</w:t>
            </w:r>
            <w:proofErr w:type="spellEnd"/>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Informace o projektech Rámcových programů</w:t>
            </w:r>
          </w:p>
        </w:tc>
      </w:tr>
      <w:tr w:rsidR="00206FAD" w:rsidRPr="00321EEC" w:rsidTr="00206FAD">
        <w:trPr>
          <w:trHeight w:val="505"/>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E-CORDA</w:t>
            </w:r>
          </w:p>
        </w:tc>
        <w:tc>
          <w:tcPr>
            <w:tcW w:w="2410"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External</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Common</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Research</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DAta</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Warehouse</w:t>
            </w:r>
            <w:proofErr w:type="spellEnd"/>
          </w:p>
        </w:tc>
        <w:tc>
          <w:tcPr>
            <w:tcW w:w="5528"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Umožnuje zpracovávat statistiky účasti RP (databáze grantových dohod a databáze návrhu projektů a žadatelů).</w:t>
            </w:r>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Thomson Reuters</w:t>
            </w:r>
          </w:p>
        </w:tc>
        <w:tc>
          <w:tcPr>
            <w:tcW w:w="2410"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Web </w:t>
            </w:r>
            <w:proofErr w:type="spellStart"/>
            <w:r w:rsidRPr="00321EEC">
              <w:rPr>
                <w:rFonts w:ascii="Arial" w:eastAsia="Times New Roman" w:hAnsi="Arial" w:cs="Arial"/>
                <w:color w:val="000000"/>
                <w:sz w:val="18"/>
                <w:szCs w:val="18"/>
                <w:lang w:eastAsia="cs-CZ"/>
              </w:rPr>
              <w:t>of</w:t>
            </w:r>
            <w:proofErr w:type="spellEnd"/>
            <w:r w:rsidRPr="00321EEC">
              <w:rPr>
                <w:rFonts w:ascii="Arial" w:eastAsia="Times New Roman" w:hAnsi="Arial" w:cs="Arial"/>
                <w:color w:val="000000"/>
                <w:sz w:val="18"/>
                <w:szCs w:val="18"/>
                <w:lang w:eastAsia="cs-CZ"/>
              </w:rPr>
              <w:t xml:space="preserve"> Science</w:t>
            </w:r>
          </w:p>
        </w:tc>
        <w:tc>
          <w:tcPr>
            <w:tcW w:w="5528" w:type="dxa"/>
            <w:vMerge w:val="restart"/>
            <w:tcBorders>
              <w:top w:val="nil"/>
              <w:left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Citační rejstříky</w:t>
            </w:r>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Thomson Reuters</w:t>
            </w:r>
          </w:p>
        </w:tc>
        <w:tc>
          <w:tcPr>
            <w:tcW w:w="2410"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Journal</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Citation</w:t>
            </w:r>
            <w:proofErr w:type="spellEnd"/>
            <w:r w:rsidRPr="00321EEC">
              <w:rPr>
                <w:rFonts w:ascii="Arial" w:eastAsia="Times New Roman" w:hAnsi="Arial" w:cs="Arial"/>
                <w:color w:val="000000"/>
                <w:sz w:val="18"/>
                <w:szCs w:val="18"/>
                <w:lang w:eastAsia="cs-CZ"/>
              </w:rPr>
              <w:t xml:space="preserve"> </w:t>
            </w:r>
            <w:proofErr w:type="spellStart"/>
            <w:r w:rsidRPr="00321EEC">
              <w:rPr>
                <w:rFonts w:ascii="Arial" w:eastAsia="Times New Roman" w:hAnsi="Arial" w:cs="Arial"/>
                <w:color w:val="000000"/>
                <w:sz w:val="18"/>
                <w:szCs w:val="18"/>
                <w:lang w:eastAsia="cs-CZ"/>
              </w:rPr>
              <w:t>Reports</w:t>
            </w:r>
            <w:proofErr w:type="spellEnd"/>
          </w:p>
        </w:tc>
        <w:tc>
          <w:tcPr>
            <w:tcW w:w="5528" w:type="dxa"/>
            <w:vMerge/>
            <w:tcBorders>
              <w:left w:val="single" w:sz="8" w:space="0" w:color="auto"/>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Elsevier</w:t>
            </w:r>
            <w:proofErr w:type="spellEnd"/>
          </w:p>
        </w:tc>
        <w:tc>
          <w:tcPr>
            <w:tcW w:w="2410" w:type="dxa"/>
            <w:tcBorders>
              <w:top w:val="nil"/>
              <w:left w:val="nil"/>
              <w:bottom w:val="single" w:sz="8" w:space="0" w:color="auto"/>
              <w:right w:val="single" w:sz="8" w:space="0" w:color="auto"/>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Scopus</w:t>
            </w:r>
            <w:proofErr w:type="spellEnd"/>
          </w:p>
        </w:tc>
        <w:tc>
          <w:tcPr>
            <w:tcW w:w="5528" w:type="dxa"/>
            <w:vMerge/>
            <w:tcBorders>
              <w:left w:val="single" w:sz="8" w:space="0" w:color="auto"/>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18"/>
                <w:szCs w:val="18"/>
                <w:lang w:eastAsia="cs-CZ"/>
              </w:rPr>
            </w:pPr>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proofErr w:type="spellStart"/>
            <w:r w:rsidRPr="00321EEC">
              <w:rPr>
                <w:rFonts w:ascii="Arial" w:eastAsia="Times New Roman" w:hAnsi="Arial" w:cs="Arial"/>
                <w:color w:val="000000"/>
                <w:sz w:val="18"/>
                <w:szCs w:val="18"/>
                <w:lang w:eastAsia="cs-CZ"/>
              </w:rPr>
              <w:t>European</w:t>
            </w:r>
            <w:proofErr w:type="spellEnd"/>
            <w:r w:rsidRPr="00321EEC">
              <w:rPr>
                <w:rFonts w:ascii="Arial" w:eastAsia="Times New Roman" w:hAnsi="Arial" w:cs="Arial"/>
                <w:color w:val="000000"/>
                <w:sz w:val="18"/>
                <w:szCs w:val="18"/>
                <w:lang w:eastAsia="cs-CZ"/>
              </w:rPr>
              <w:t xml:space="preserve"> science </w:t>
            </w:r>
            <w:proofErr w:type="spellStart"/>
            <w:r w:rsidRPr="00321EEC">
              <w:rPr>
                <w:rFonts w:ascii="Arial" w:eastAsia="Times New Roman" w:hAnsi="Arial" w:cs="Arial"/>
                <w:color w:val="000000"/>
                <w:sz w:val="18"/>
                <w:szCs w:val="18"/>
                <w:lang w:eastAsia="cs-CZ"/>
              </w:rPr>
              <w:t>foundation</w:t>
            </w:r>
            <w:proofErr w:type="spellEnd"/>
          </w:p>
        </w:tc>
        <w:tc>
          <w:tcPr>
            <w:tcW w:w="2410" w:type="dxa"/>
            <w:tcBorders>
              <w:top w:val="nil"/>
              <w:left w:val="nil"/>
              <w:bottom w:val="single" w:sz="8" w:space="0" w:color="auto"/>
              <w:right w:val="single" w:sz="8" w:space="0" w:color="auto"/>
            </w:tcBorders>
            <w:shd w:val="clear" w:color="auto" w:fill="auto"/>
            <w:vAlign w:val="center"/>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ERIH</w:t>
            </w:r>
          </w:p>
        </w:tc>
        <w:tc>
          <w:tcPr>
            <w:tcW w:w="5528" w:type="dxa"/>
            <w:vMerge/>
            <w:tcBorders>
              <w:left w:val="single" w:sz="8" w:space="0" w:color="auto"/>
              <w:bottom w:val="single" w:sz="8" w:space="0" w:color="000000"/>
              <w:right w:val="single" w:sz="8" w:space="0" w:color="auto"/>
            </w:tcBorders>
            <w:vAlign w:val="center"/>
          </w:tcPr>
          <w:p w:rsidR="00206FAD" w:rsidRPr="00321EEC" w:rsidRDefault="00206FAD" w:rsidP="00206FAD">
            <w:pPr>
              <w:spacing w:after="0" w:line="240" w:lineRule="auto"/>
              <w:rPr>
                <w:rFonts w:ascii="Arial" w:eastAsia="Times New Roman" w:hAnsi="Arial" w:cs="Arial"/>
                <w:color w:val="000000"/>
                <w:sz w:val="18"/>
                <w:szCs w:val="18"/>
                <w:lang w:eastAsia="cs-CZ"/>
              </w:rPr>
            </w:pPr>
          </w:p>
        </w:tc>
      </w:tr>
      <w:tr w:rsidR="00206FAD" w:rsidRPr="00321EEC" w:rsidTr="00206FAD">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206FAD" w:rsidRPr="00321EEC" w:rsidRDefault="00206FAD" w:rsidP="00206FAD">
            <w:pPr>
              <w:spacing w:after="0" w:line="240" w:lineRule="auto"/>
              <w:rPr>
                <w:rFonts w:ascii="Arial" w:eastAsia="Times New Roman" w:hAnsi="Arial" w:cs="Arial"/>
                <w:color w:val="000000"/>
                <w:sz w:val="20"/>
                <w:szCs w:val="20"/>
                <w:lang w:eastAsia="cs-CZ"/>
              </w:rPr>
            </w:pPr>
          </w:p>
        </w:tc>
        <w:tc>
          <w:tcPr>
            <w:tcW w:w="9781" w:type="dxa"/>
            <w:gridSpan w:val="4"/>
            <w:tcBorders>
              <w:top w:val="nil"/>
              <w:left w:val="nil"/>
              <w:bottom w:val="single" w:sz="8" w:space="0" w:color="auto"/>
              <w:right w:val="single" w:sz="8" w:space="0" w:color="000000"/>
            </w:tcBorders>
            <w:shd w:val="clear" w:color="auto" w:fill="auto"/>
            <w:vAlign w:val="center"/>
            <w:hideMark/>
          </w:tcPr>
          <w:p w:rsidR="00206FAD" w:rsidRPr="00321EEC" w:rsidRDefault="00206FAD" w:rsidP="00206FAD">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další statistiky a studie**</w:t>
            </w:r>
          </w:p>
        </w:tc>
      </w:tr>
    </w:tbl>
    <w:p w:rsidR="00206FAD" w:rsidRPr="00381AF1" w:rsidRDefault="00206FAD" w:rsidP="00206FAD">
      <w:pPr>
        <w:pStyle w:val="Zdroj"/>
      </w:pPr>
      <w:r w:rsidRPr="00381AF1">
        <w:t>Zdroj dat: Vlastní zpracování</w:t>
      </w:r>
    </w:p>
    <w:p w:rsidR="00206FAD" w:rsidRPr="00381AF1" w:rsidRDefault="00206FAD" w:rsidP="00206FAD">
      <w:pPr>
        <w:pStyle w:val="komentzaobrzkem"/>
        <w:tabs>
          <w:tab w:val="left" w:pos="426"/>
        </w:tabs>
      </w:pPr>
      <w:r w:rsidRPr="00381AF1">
        <w:t>*</w:t>
      </w:r>
      <w:r w:rsidRPr="00381AF1">
        <w:tab/>
        <w:t>např. Rejstřík veřejných výzkumných institucí; Databáze akreditovaných studijních programů</w:t>
      </w:r>
    </w:p>
    <w:p w:rsidR="00206FAD" w:rsidRPr="00381AF1" w:rsidRDefault="00206FAD" w:rsidP="00206FAD">
      <w:pPr>
        <w:pStyle w:val="komentzaobrzkem"/>
        <w:tabs>
          <w:tab w:val="left" w:pos="426"/>
        </w:tabs>
      </w:pPr>
      <w:r w:rsidRPr="00381AF1">
        <w:t>**</w:t>
      </w:r>
      <w:r w:rsidRPr="00381AF1">
        <w:tab/>
        <w:t xml:space="preserve">např. </w:t>
      </w:r>
      <w:proofErr w:type="spellStart"/>
      <w:r w:rsidRPr="00381AF1">
        <w:t>Innovation</w:t>
      </w:r>
      <w:proofErr w:type="spellEnd"/>
      <w:r w:rsidRPr="00381AF1">
        <w:t xml:space="preserve"> Union </w:t>
      </w:r>
      <w:proofErr w:type="spellStart"/>
      <w:r w:rsidRPr="00381AF1">
        <w:t>Scoreboard</w:t>
      </w:r>
      <w:proofErr w:type="spellEnd"/>
    </w:p>
    <w:p w:rsidR="00206FAD" w:rsidRPr="00381AF1" w:rsidRDefault="00206FAD" w:rsidP="00206FAD">
      <w:pPr>
        <w:pStyle w:val="komentzaobrzkem"/>
      </w:pPr>
      <w:r w:rsidRPr="00381AF1">
        <w:lastRenderedPageBreak/>
        <w:t>V</w:t>
      </w:r>
      <w:r>
        <w:t>zhledem k současným potřebám</w:t>
      </w:r>
      <w:r w:rsidRPr="00381AF1">
        <w:t xml:space="preserve"> by bylo dobré statistiky doplnit o evidenci institucionálních prostředků podle oborů </w:t>
      </w:r>
      <w:proofErr w:type="spellStart"/>
      <w:r w:rsidRPr="00381AF1">
        <w:t>VaVaI</w:t>
      </w:r>
      <w:proofErr w:type="spellEnd"/>
      <w:r w:rsidRPr="00381AF1">
        <w:t xml:space="preserve">, které byly podpořeny, a dále evidovat </w:t>
      </w:r>
      <w:r w:rsidRPr="005D6ACA">
        <w:t xml:space="preserve">podporu </w:t>
      </w:r>
      <w:proofErr w:type="spellStart"/>
      <w:r w:rsidRPr="005D6ACA">
        <w:t>VaVaI</w:t>
      </w:r>
      <w:proofErr w:type="spellEnd"/>
      <w:r w:rsidRPr="005D6ACA">
        <w:t xml:space="preserve"> na národní úrovni v účetním členění na přímé a nepřímé náklady za jednotlivé finanční nástroje. Zatím chybí sjednocení číselníků vědních oborů používaných v ČR se strukturou definovanou OECD - </w:t>
      </w:r>
      <w:proofErr w:type="spellStart"/>
      <w:r w:rsidRPr="005D6ACA">
        <w:t>Fields</w:t>
      </w:r>
      <w:proofErr w:type="spellEnd"/>
      <w:r w:rsidRPr="005D6ACA">
        <w:t xml:space="preserve"> </w:t>
      </w:r>
      <w:proofErr w:type="spellStart"/>
      <w:r w:rsidRPr="005D6ACA">
        <w:t>of</w:t>
      </w:r>
      <w:proofErr w:type="spellEnd"/>
      <w:r w:rsidRPr="005D6ACA">
        <w:t xml:space="preserve"> Science </w:t>
      </w:r>
      <w:r w:rsidRPr="005D6ACA">
        <w:rPr>
          <w:rFonts w:cs="Arial"/>
          <w:szCs w:val="18"/>
        </w:rPr>
        <w:t xml:space="preserve">jak na úrovni evidence IS </w:t>
      </w:r>
      <w:proofErr w:type="spellStart"/>
      <w:r w:rsidRPr="005D6ACA">
        <w:rPr>
          <w:rFonts w:cs="Arial"/>
          <w:szCs w:val="18"/>
        </w:rPr>
        <w:t>VaVaI</w:t>
      </w:r>
      <w:proofErr w:type="spellEnd"/>
      <w:r w:rsidRPr="005D6ACA">
        <w:rPr>
          <w:rFonts w:cs="Arial"/>
          <w:szCs w:val="18"/>
        </w:rPr>
        <w:t xml:space="preserve"> (skupiny oborů </w:t>
      </w:r>
      <w:r w:rsidRPr="00FA577E">
        <w:rPr>
          <w:rFonts w:cs="Arial"/>
          <w:szCs w:val="18"/>
        </w:rPr>
        <w:t>CEP</w:t>
      </w:r>
      <w:r w:rsidRPr="00FA577E">
        <w:rPr>
          <w:rFonts w:cs="Arial"/>
          <w:color w:val="454545"/>
          <w:kern w:val="36"/>
          <w:szCs w:val="18"/>
        </w:rPr>
        <w:t>&amp;</w:t>
      </w:r>
      <w:r w:rsidRPr="00A330A8">
        <w:rPr>
          <w:rFonts w:cs="Arial"/>
          <w:color w:val="454545"/>
          <w:kern w:val="36"/>
          <w:szCs w:val="18"/>
        </w:rPr>
        <w:t>CEZ&amp;</w:t>
      </w:r>
      <w:r w:rsidRPr="00FA577E">
        <w:rPr>
          <w:rFonts w:cs="Arial"/>
          <w:szCs w:val="18"/>
        </w:rPr>
        <w:t>RIV</w:t>
      </w:r>
      <w:r w:rsidRPr="005D6ACA">
        <w:rPr>
          <w:rFonts w:cs="Arial"/>
          <w:szCs w:val="18"/>
        </w:rPr>
        <w:t>) tak oborových skupin pro hodnocení dle Metodiky hodnocení výsledků</w:t>
      </w:r>
      <w:r>
        <w:rPr>
          <w:rFonts w:cs="Arial"/>
          <w:szCs w:val="18"/>
        </w:rPr>
        <w:t>, p</w:t>
      </w:r>
      <w:r w:rsidRPr="005D6ACA">
        <w:rPr>
          <w:rFonts w:cs="Arial"/>
          <w:szCs w:val="18"/>
        </w:rPr>
        <w:t>říloh</w:t>
      </w:r>
      <w:r>
        <w:rPr>
          <w:rFonts w:cs="Arial"/>
          <w:szCs w:val="18"/>
        </w:rPr>
        <w:t>y</w:t>
      </w:r>
      <w:r w:rsidRPr="005D6ACA">
        <w:rPr>
          <w:rFonts w:cs="Arial"/>
          <w:szCs w:val="18"/>
        </w:rPr>
        <w:t xml:space="preserve"> č. 7).</w:t>
      </w:r>
      <w:r w:rsidRPr="005D6ACA">
        <w:t xml:space="preserve"> Bylo by dobré na národní úrovni sledovat a mít k</w:t>
      </w:r>
      <w:r>
        <w:t> </w:t>
      </w:r>
      <w:r w:rsidRPr="005D6ACA">
        <w:t>dispozici statistiky o využití výsledků. V oblasti</w:t>
      </w:r>
      <w:r w:rsidRPr="00381AF1">
        <w:t xml:space="preserve"> lidských zdrojů by bylo vhodné propojit dat</w:t>
      </w:r>
      <w:r>
        <w:t>a s daty z oblasti trhu práce a </w:t>
      </w:r>
      <w:r w:rsidRPr="00381AF1">
        <w:t>rozšířit je o genderové statistiky.</w:t>
      </w:r>
    </w:p>
    <w:p w:rsidR="00D51389" w:rsidRPr="006338C7" w:rsidRDefault="00D51389" w:rsidP="00D33F0D">
      <w:pPr>
        <w:spacing w:before="120" w:after="120" w:line="240" w:lineRule="auto"/>
        <w:rPr>
          <w:rFonts w:ascii="Arial" w:eastAsia="Times New Roman" w:hAnsi="Arial" w:cs="Times New Roman"/>
          <w:sz w:val="18"/>
          <w:szCs w:val="24"/>
          <w:lang w:eastAsia="cs-CZ"/>
        </w:rPr>
      </w:pPr>
    </w:p>
    <w:sectPr w:rsidR="00D51389" w:rsidRPr="006338C7" w:rsidSect="00CD7774">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6FAD" w:rsidRDefault="00206FAD" w:rsidP="000822A0">
      <w:pPr>
        <w:spacing w:after="0" w:line="240" w:lineRule="auto"/>
      </w:pPr>
      <w:r>
        <w:separator/>
      </w:r>
    </w:p>
  </w:endnote>
  <w:endnote w:type="continuationSeparator" w:id="0">
    <w:p w:rsidR="00206FAD" w:rsidRDefault="00206FAD" w:rsidP="000822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BemboStd">
    <w:altName w:val="Times New Roman"/>
    <w:panose1 w:val="00000000000000000000"/>
    <w:charset w:val="00"/>
    <w:family w:val="roman"/>
    <w:notTrueType/>
    <w:pitch w:val="default"/>
    <w:sig w:usb0="00000007"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font279">
    <w:altName w:val="Times New Roman"/>
    <w:charset w:val="EE"/>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2323486"/>
      <w:docPartObj>
        <w:docPartGallery w:val="Page Numbers (Bottom of Page)"/>
        <w:docPartUnique/>
      </w:docPartObj>
    </w:sdtPr>
    <w:sdtContent>
      <w:p w:rsidR="00206FAD" w:rsidRDefault="00206FAD">
        <w:pPr>
          <w:pStyle w:val="Zpat"/>
          <w:jc w:val="right"/>
        </w:pPr>
        <w:r>
          <w:fldChar w:fldCharType="begin"/>
        </w:r>
        <w:r>
          <w:instrText>PAGE   \* MERGEFORMAT</w:instrText>
        </w:r>
        <w:r>
          <w:fldChar w:fldCharType="separate"/>
        </w:r>
        <w:r w:rsidR="00316A5E">
          <w:rPr>
            <w:noProof/>
          </w:rPr>
          <w:t>14</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6281503"/>
      <w:docPartObj>
        <w:docPartGallery w:val="Page Numbers (Bottom of Page)"/>
        <w:docPartUnique/>
      </w:docPartObj>
    </w:sdtPr>
    <w:sdtContent>
      <w:p w:rsidR="00206FAD" w:rsidRDefault="00206FAD">
        <w:pPr>
          <w:pStyle w:val="Zpat"/>
          <w:jc w:val="right"/>
        </w:pPr>
        <w:r>
          <w:fldChar w:fldCharType="begin"/>
        </w:r>
        <w:r>
          <w:instrText>PAGE   \* MERGEFORMAT</w:instrText>
        </w:r>
        <w:r>
          <w:fldChar w:fldCharType="separate"/>
        </w:r>
        <w:r w:rsidR="00316A5E">
          <w:rPr>
            <w:noProof/>
          </w:rPr>
          <w:t>20</w:t>
        </w:r>
        <w:r>
          <w:fldChar w:fldCharType="end"/>
        </w:r>
      </w:p>
    </w:sdtContent>
  </w:sdt>
  <w:p w:rsidR="00206FAD" w:rsidRDefault="00206FAD"/>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568758"/>
      <w:docPartObj>
        <w:docPartGallery w:val="Page Numbers (Bottom of Page)"/>
        <w:docPartUnique/>
      </w:docPartObj>
    </w:sdtPr>
    <w:sdtContent>
      <w:p w:rsidR="00206FAD" w:rsidRDefault="00206FAD">
        <w:pPr>
          <w:pStyle w:val="Zpat"/>
          <w:jc w:val="right"/>
        </w:pPr>
        <w:r>
          <w:fldChar w:fldCharType="begin"/>
        </w:r>
        <w:r>
          <w:instrText>PAGE   \* MERGEFORMAT</w:instrText>
        </w:r>
        <w:r>
          <w:fldChar w:fldCharType="separate"/>
        </w:r>
        <w:r w:rsidR="00316A5E">
          <w:rPr>
            <w:noProof/>
          </w:rPr>
          <w:t>49</w:t>
        </w:r>
        <w:r>
          <w:fldChar w:fldCharType="end"/>
        </w:r>
      </w:p>
    </w:sdtContent>
  </w:sdt>
  <w:p w:rsidR="00206FAD" w:rsidRDefault="00206FAD">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4836263"/>
      <w:docPartObj>
        <w:docPartGallery w:val="Page Numbers (Bottom of Page)"/>
        <w:docPartUnique/>
      </w:docPartObj>
    </w:sdtPr>
    <w:sdtContent>
      <w:p w:rsidR="00206FAD" w:rsidRDefault="00206FAD">
        <w:pPr>
          <w:pStyle w:val="Zpat"/>
          <w:jc w:val="right"/>
        </w:pPr>
        <w:r>
          <w:fldChar w:fldCharType="begin"/>
        </w:r>
        <w:r>
          <w:instrText>PAGE   \* MERGEFORMAT</w:instrText>
        </w:r>
        <w:r>
          <w:fldChar w:fldCharType="separate"/>
        </w:r>
        <w:r w:rsidR="00316A5E">
          <w:rPr>
            <w:noProof/>
          </w:rPr>
          <w:t>76</w:t>
        </w:r>
        <w:r>
          <w:fldChar w:fldCharType="end"/>
        </w:r>
      </w:p>
    </w:sdtContent>
  </w:sdt>
  <w:p w:rsidR="00206FAD" w:rsidRDefault="00206FA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4784750"/>
      <w:docPartObj>
        <w:docPartGallery w:val="Page Numbers (Bottom of Page)"/>
        <w:docPartUnique/>
      </w:docPartObj>
    </w:sdtPr>
    <w:sdtContent>
      <w:p w:rsidR="00206FAD" w:rsidRDefault="00206FAD">
        <w:pPr>
          <w:pStyle w:val="Zpat"/>
          <w:jc w:val="right"/>
        </w:pPr>
        <w:r>
          <w:fldChar w:fldCharType="begin"/>
        </w:r>
        <w:r>
          <w:instrText>PAGE   \* MERGEFORMAT</w:instrText>
        </w:r>
        <w:r>
          <w:fldChar w:fldCharType="separate"/>
        </w:r>
        <w:r w:rsidR="00316A5E">
          <w:rPr>
            <w:noProof/>
          </w:rPr>
          <w:t>88</w:t>
        </w:r>
        <w:r>
          <w:fldChar w:fldCharType="end"/>
        </w:r>
      </w:p>
    </w:sdtContent>
  </w:sdt>
  <w:p w:rsidR="00206FAD" w:rsidRDefault="00206FAD">
    <w:pPr>
      <w:pStyle w:val="Zpa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9345820"/>
      <w:docPartObj>
        <w:docPartGallery w:val="Page Numbers (Bottom of Page)"/>
        <w:docPartUnique/>
      </w:docPartObj>
    </w:sdtPr>
    <w:sdtContent>
      <w:p w:rsidR="00206FAD" w:rsidRDefault="00206FAD">
        <w:pPr>
          <w:pStyle w:val="Zpat"/>
          <w:jc w:val="right"/>
        </w:pPr>
        <w:r>
          <w:fldChar w:fldCharType="begin"/>
        </w:r>
        <w:r>
          <w:instrText>PAGE   \* MERGEFORMAT</w:instrText>
        </w:r>
        <w:r>
          <w:fldChar w:fldCharType="separate"/>
        </w:r>
        <w:r w:rsidR="00316A5E">
          <w:rPr>
            <w:noProof/>
          </w:rPr>
          <w:t>93</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6FAD" w:rsidRDefault="00206FAD" w:rsidP="000822A0">
      <w:pPr>
        <w:spacing w:after="0" w:line="240" w:lineRule="auto"/>
      </w:pPr>
      <w:r>
        <w:separator/>
      </w:r>
    </w:p>
  </w:footnote>
  <w:footnote w:type="continuationSeparator" w:id="0">
    <w:p w:rsidR="00206FAD" w:rsidRDefault="00206FAD" w:rsidP="000822A0">
      <w:pPr>
        <w:spacing w:after="0" w:line="240" w:lineRule="auto"/>
      </w:pPr>
      <w:r>
        <w:continuationSeparator/>
      </w:r>
    </w:p>
  </w:footnote>
  <w:footnote w:id="1">
    <w:p w:rsidR="00206FAD" w:rsidRDefault="00206FAD">
      <w:pPr>
        <w:pStyle w:val="Textpoznpodarou"/>
      </w:pPr>
      <w:r>
        <w:rPr>
          <w:rStyle w:val="Znakapoznpodarou"/>
        </w:rPr>
        <w:footnoteRef/>
      </w:r>
      <w:r>
        <w:t xml:space="preserve"> ČSÚ v současnosti nepublikuje soukromé zdroje v členění na tuzemské a zahraniční pro nejednoznačnost jejich vykazování u podnikatelských subjektů. Z důvodu možnosti srovnání s předchozími roky bylo původní členění zachováno na základě údajů z databáze EUROSTAT</w:t>
      </w:r>
    </w:p>
  </w:footnote>
  <w:footnote w:id="2">
    <w:p w:rsidR="00206FAD" w:rsidRPr="00775EA7" w:rsidRDefault="00206FAD" w:rsidP="00775EA7">
      <w:pPr>
        <w:pStyle w:val="Textpoznpodarou"/>
      </w:pPr>
      <w:r>
        <w:rPr>
          <w:rStyle w:val="Znakapoznpodarou"/>
        </w:rPr>
        <w:footnoteRef/>
      </w:r>
      <w:r>
        <w:t xml:space="preserve"> </w:t>
      </w:r>
      <w:hyperlink r:id="rId1" w:history="1">
        <w:r w:rsidRPr="00775EA7">
          <w:rPr>
            <w:rFonts w:eastAsiaTheme="majorEastAsia"/>
          </w:rPr>
          <w:t>http://www.mfcr.cz/cs/verejny-sektor/hospodareni/rozpoctove-ramce-statisticke-informace/verejny-sektor/verejne-spolecnosti/2014/seznam-verejnych-spolecnosti-v-cr-rijen-17019</w:t>
        </w:r>
      </w:hyperlink>
    </w:p>
  </w:footnote>
  <w:footnote w:id="3">
    <w:p w:rsidR="00206FAD" w:rsidRPr="00775EA7" w:rsidRDefault="00206FAD" w:rsidP="00775EA7">
      <w:pPr>
        <w:pStyle w:val="Textpoznpodarou"/>
      </w:pPr>
      <w:r>
        <w:rPr>
          <w:rStyle w:val="Znakapoznpodarou"/>
        </w:rPr>
        <w:footnoteRef/>
      </w:r>
      <w:r>
        <w:t xml:space="preserve"> </w:t>
      </w:r>
      <w:r w:rsidRPr="00775EA7">
        <w:t xml:space="preserve">IS </w:t>
      </w:r>
      <w:proofErr w:type="spellStart"/>
      <w:r w:rsidRPr="00775EA7">
        <w:t>VaVaI</w:t>
      </w:r>
      <w:proofErr w:type="spellEnd"/>
      <w:r w:rsidRPr="00775EA7">
        <w:t xml:space="preserve"> zařazuje subjekty do odlišných kategorií. Údaje z IS </w:t>
      </w:r>
      <w:proofErr w:type="spellStart"/>
      <w:r w:rsidRPr="00775EA7">
        <w:t>VaVaI</w:t>
      </w:r>
      <w:proofErr w:type="spellEnd"/>
      <w:r w:rsidRPr="00775EA7">
        <w:t xml:space="preserve"> byly převedeny na kategorie ČSÚ využívané v</w:t>
      </w:r>
      <w:r>
        <w:t> </w:t>
      </w:r>
      <w:r w:rsidRPr="00775EA7">
        <w:t>Roční</w:t>
      </w:r>
      <w:r>
        <w:t>m</w:t>
      </w:r>
      <w:r w:rsidRPr="00775EA7">
        <w:t xml:space="preserve"> šetření o výzkumu a vývoji.</w:t>
      </w:r>
    </w:p>
  </w:footnote>
  <w:footnote w:id="4">
    <w:p w:rsidR="00206FAD" w:rsidRPr="00F91A7F" w:rsidRDefault="00206FAD" w:rsidP="00775EA7">
      <w:pPr>
        <w:pStyle w:val="Textpoznpodarou"/>
      </w:pPr>
      <w:r>
        <w:rPr>
          <w:rStyle w:val="Znakapoznpodarou"/>
        </w:rPr>
        <w:footnoteRef/>
      </w:r>
      <w:r>
        <w:t xml:space="preserve"> </w:t>
      </w:r>
      <w:r w:rsidRPr="00F91A7F">
        <w:t>podle Postupu při posuzování výzkumných organizací schváleného Radou pro výzkum, vývoj a inovace na jejím 261. zasedání dne 28. ledna 2011</w:t>
      </w:r>
    </w:p>
  </w:footnote>
  <w:footnote w:id="5">
    <w:p w:rsidR="00206FAD" w:rsidRDefault="00206FAD" w:rsidP="00815C21">
      <w:pPr>
        <w:pStyle w:val="Textpoznpodarou"/>
      </w:pPr>
      <w:r>
        <w:rPr>
          <w:rStyle w:val="Znakapoznpodarou"/>
        </w:rPr>
        <w:footnoteRef/>
      </w:r>
      <w:r>
        <w:t xml:space="preserve"> Uvedený subjekt uvádí ve své výroční zprávě za rok 2014, že jeho hlavním zdrojem finančních příjmů byly licenční poplatky od firmy </w:t>
      </w:r>
      <w:proofErr w:type="spellStart"/>
      <w:r>
        <w:t>Gilead</w:t>
      </w:r>
      <w:proofErr w:type="spellEnd"/>
      <w:r>
        <w:t xml:space="preserve"> </w:t>
      </w:r>
      <w:proofErr w:type="spellStart"/>
      <w:r>
        <w:t>Sciences</w:t>
      </w:r>
      <w:proofErr w:type="spellEnd"/>
      <w:r>
        <w:t xml:space="preserve"> a dále uvádí výnosy vztahující se k příjmům z licencí 2 384 614 tis. Kč a náklady vztahující se k příjmům z licencí 542 383 tis. Kč.</w:t>
      </w:r>
    </w:p>
  </w:footnote>
  <w:footnote w:id="6">
    <w:p w:rsidR="00206FAD" w:rsidRDefault="00206FAD">
      <w:pPr>
        <w:pStyle w:val="Textpoznpodarou"/>
      </w:pPr>
      <w:r>
        <w:rPr>
          <w:rStyle w:val="Znakapoznpodarou"/>
        </w:rPr>
        <w:footnoteRef/>
      </w:r>
      <w:r>
        <w:t xml:space="preserve"> Je pravděpodobné, že po odečtení </w:t>
      </w:r>
      <w:r w:rsidRPr="00DD6F06">
        <w:rPr>
          <w:rFonts w:cs="Arial"/>
        </w:rPr>
        <w:t>licenční</w:t>
      </w:r>
      <w:r>
        <w:rPr>
          <w:rFonts w:cs="Arial"/>
        </w:rPr>
        <w:t>ch</w:t>
      </w:r>
      <w:r w:rsidRPr="00DD6F06">
        <w:rPr>
          <w:rFonts w:cs="Arial"/>
        </w:rPr>
        <w:t xml:space="preserve"> poplatk</w:t>
      </w:r>
      <w:r>
        <w:rPr>
          <w:rFonts w:cs="Arial"/>
        </w:rPr>
        <w:t>ů</w:t>
      </w:r>
      <w:r w:rsidRPr="00DD6F06">
        <w:rPr>
          <w:rFonts w:cs="Arial"/>
        </w:rPr>
        <w:t xml:space="preserve"> Ústavu organické chemie a biochemie AV ČR, </w:t>
      </w:r>
      <w:proofErr w:type="spellStart"/>
      <w:proofErr w:type="gramStart"/>
      <w:r w:rsidRPr="00DD6F06">
        <w:rPr>
          <w:rFonts w:cs="Arial"/>
        </w:rPr>
        <w:t>v.v.</w:t>
      </w:r>
      <w:proofErr w:type="gramEnd"/>
      <w:r w:rsidRPr="00DD6F06">
        <w:rPr>
          <w:rFonts w:cs="Arial"/>
        </w:rPr>
        <w:t>i</w:t>
      </w:r>
      <w:proofErr w:type="spellEnd"/>
      <w:r w:rsidRPr="00DD6F06">
        <w:rPr>
          <w:rFonts w:cs="Arial"/>
        </w:rPr>
        <w:t>.</w:t>
      </w:r>
      <w:r>
        <w:rPr>
          <w:rFonts w:cs="Arial"/>
        </w:rPr>
        <w:t xml:space="preserve"> by byl uvedený podíl podstatně nižší.</w:t>
      </w:r>
    </w:p>
  </w:footnote>
  <w:footnote w:id="7">
    <w:p w:rsidR="00206FAD" w:rsidRDefault="00206FAD" w:rsidP="00775EA7">
      <w:pPr>
        <w:pStyle w:val="Textpoznpodarou"/>
      </w:pPr>
      <w:r>
        <w:rPr>
          <w:rStyle w:val="Znakapoznpodarou"/>
        </w:rPr>
        <w:footnoteRef/>
      </w:r>
      <w:r>
        <w:t xml:space="preserve"> </w:t>
      </w:r>
      <w:r w:rsidRPr="00E8670C">
        <w:t>Podle § 34 odst. 4 zákona č. 586/1992 Sb., o daních z příjmů.</w:t>
      </w:r>
    </w:p>
  </w:footnote>
  <w:footnote w:id="8">
    <w:p w:rsidR="00206FAD" w:rsidRDefault="00206FAD" w:rsidP="009B21E1">
      <w:pPr>
        <w:pStyle w:val="Textpoznpodarou"/>
      </w:pPr>
      <w:r>
        <w:rPr>
          <w:rStyle w:val="Znakapoznpodarou"/>
        </w:rPr>
        <w:footnoteRef/>
      </w:r>
      <w:r>
        <w:t xml:space="preserve"> </w:t>
      </w:r>
      <w:r w:rsidRPr="00AC50DD">
        <w:t xml:space="preserve">Státní vysoké školy jsou v IS </w:t>
      </w:r>
      <w:proofErr w:type="spellStart"/>
      <w:r w:rsidRPr="00AC50DD">
        <w:t>VaVaI</w:t>
      </w:r>
      <w:proofErr w:type="spellEnd"/>
      <w:r w:rsidRPr="00AC50DD">
        <w:t xml:space="preserve"> řazeny do skupiny SP, proto směřují prostředky SVV rovněž skupině příjemců SP</w:t>
      </w:r>
      <w:r>
        <w:t>.</w:t>
      </w:r>
    </w:p>
  </w:footnote>
  <w:footnote w:id="9">
    <w:p w:rsidR="00206FAD" w:rsidRDefault="00206FAD" w:rsidP="009B21E1">
      <w:pPr>
        <w:pStyle w:val="Textpoznpodarou"/>
      </w:pPr>
      <w:r>
        <w:rPr>
          <w:rStyle w:val="Znakapoznpodarou"/>
        </w:rPr>
        <w:footnoteRef/>
      </w:r>
      <w:r>
        <w:t xml:space="preserve"> </w:t>
      </w:r>
      <w:r w:rsidRPr="004F4CF5">
        <w:t>Výzkumnou základnou</w:t>
      </w:r>
      <w:r>
        <w:t xml:space="preserve"> jsou míněny lidské zdroje v oblasti </w:t>
      </w:r>
      <w:proofErr w:type="spellStart"/>
      <w:r>
        <w:t>VaVaI</w:t>
      </w:r>
      <w:proofErr w:type="spellEnd"/>
      <w:r>
        <w:t xml:space="preserve"> a infrastruktury ve smyslu Sdělení Komise 214/C 198/01 - Rámec pro státní podporu výzkumu, vývoje a inovací, které jsou koncentrovány v organizacích provádějících výzkum, vývoj, inovace a přenos znalostí.</w:t>
      </w:r>
    </w:p>
  </w:footnote>
  <w:footnote w:id="10">
    <w:p w:rsidR="00206FAD" w:rsidRDefault="00206FAD" w:rsidP="009B21E1">
      <w:pPr>
        <w:pStyle w:val="Textpoznpodarou"/>
      </w:pPr>
      <w:r>
        <w:rPr>
          <w:rStyle w:val="Znakapoznpodarou"/>
        </w:rPr>
        <w:footnoteRef/>
      </w:r>
      <w:r>
        <w:t xml:space="preserve"> Např. Národní priority orientovaného výzkumu, experimentálního vývoje a inovací, resortní nebo meziresortní koncepce rozvoje výzkumu, vývoje a inovací.</w:t>
      </w:r>
    </w:p>
  </w:footnote>
  <w:footnote w:id="11">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Přepočet podle aktuálního měnového kurzu k 9. 5. 2016. Částka uvedená v dokumentu činí 23 831 060 602 mil. EUR.</w:t>
      </w:r>
    </w:p>
  </w:footnote>
  <w:footnote w:id="12">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Zdroj: Dohoda o partnerství v programovém období 2014 – 2020, </w:t>
      </w:r>
    </w:p>
  </w:footnote>
  <w:footnote w:id="13">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Zdroj: Čtvrtletní zpráva o implementaci ESI fondů v ČR v programovém období 2014 – 2020, I. čtvrtletí 2016, MMR.</w:t>
      </w:r>
    </w:p>
  </w:footnote>
  <w:footnote w:id="14">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V době tvorby dokumentu Analýza byla k dispozici monitorovací zpráva za I. čtvrtletí 2016.</w:t>
      </w:r>
    </w:p>
  </w:footnote>
  <w:footnote w:id="15">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Zdroj: Čtvrtletní zpráva o implementaci ESI fondů v ČR v programovém období 2014 – 2020, I. čtvrtletí 2016, MMR</w:t>
      </w:r>
    </w:p>
  </w:footnote>
  <w:footnote w:id="16">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Viz graf Operační program Praha – pól růstu ČR, spolufinancování ČR a EU zveřejněný na http://www.praha12.cz/praha-spousti-novy-operacni-program-praha-pol-rustu-cr.</w:t>
      </w:r>
    </w:p>
  </w:footnote>
  <w:footnote w:id="17">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Tj. průběžné zjišťování potřeb v oblasti </w:t>
      </w:r>
      <w:proofErr w:type="spellStart"/>
      <w:r w:rsidRPr="00E60893">
        <w:rPr>
          <w:rFonts w:cs="Arial"/>
          <w:szCs w:val="18"/>
        </w:rPr>
        <w:t>VaVaI</w:t>
      </w:r>
      <w:proofErr w:type="spellEnd"/>
      <w:r w:rsidRPr="00E60893">
        <w:rPr>
          <w:rFonts w:cs="Arial"/>
          <w:szCs w:val="18"/>
        </w:rPr>
        <w:t xml:space="preserve"> a lidských zdrojů a definování cílů z pohledu podniků a výzkumníků a jejich následná </w:t>
      </w:r>
      <w:proofErr w:type="spellStart"/>
      <w:r w:rsidRPr="00E60893">
        <w:rPr>
          <w:rFonts w:cs="Arial"/>
          <w:szCs w:val="18"/>
        </w:rPr>
        <w:t>vertikalizace</w:t>
      </w:r>
      <w:proofErr w:type="spellEnd"/>
      <w:r w:rsidRPr="00E60893">
        <w:rPr>
          <w:rFonts w:cs="Arial"/>
          <w:szCs w:val="18"/>
        </w:rPr>
        <w:t>.</w:t>
      </w:r>
    </w:p>
  </w:footnote>
  <w:footnote w:id="18">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Podle kapitoly 7 </w:t>
      </w:r>
      <w:r>
        <w:rPr>
          <w:rFonts w:cs="Arial"/>
          <w:szCs w:val="18"/>
        </w:rPr>
        <w:t>N</w:t>
      </w:r>
      <w:r w:rsidRPr="00E60893">
        <w:rPr>
          <w:rFonts w:cs="Arial"/>
          <w:szCs w:val="18"/>
        </w:rPr>
        <w:t>árodní RIS3 se mají setkávat jedenkrát za půl roku, případně častěji.</w:t>
      </w:r>
    </w:p>
  </w:footnote>
  <w:footnote w:id="19">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Program H2020 doplňuje také program EURATOM, jehož celkový rozpočet činí 1,603 mld. Eur na období 2014 - 2018.</w:t>
      </w:r>
    </w:p>
  </w:footnote>
  <w:footnote w:id="20">
    <w:p w:rsidR="00206FAD" w:rsidRPr="00E60893" w:rsidRDefault="00206FAD" w:rsidP="006338C7">
      <w:pPr>
        <w:pStyle w:val="Textpoznpodarou"/>
        <w:rPr>
          <w:rFonts w:cs="Arial"/>
          <w:szCs w:val="18"/>
        </w:rPr>
      </w:pPr>
      <w:r w:rsidRPr="00E60893">
        <w:rPr>
          <w:rStyle w:val="Znakapoznpodarou"/>
          <w:rFonts w:cs="Arial"/>
          <w:szCs w:val="18"/>
        </w:rPr>
        <w:footnoteRef/>
      </w:r>
      <w:r w:rsidRPr="00E60893">
        <w:rPr>
          <w:rFonts w:cs="Arial"/>
          <w:szCs w:val="18"/>
        </w:rPr>
        <w:t xml:space="preserve"> Viz http://www.h2020.cz/cs.</w:t>
      </w:r>
    </w:p>
  </w:footnote>
  <w:footnote w:id="21">
    <w:p w:rsidR="00206FAD" w:rsidRDefault="00206FAD" w:rsidP="006338C7">
      <w:pPr>
        <w:pStyle w:val="Textpoznpodarou"/>
      </w:pPr>
      <w:r>
        <w:rPr>
          <w:rStyle w:val="Znakapoznpodarou"/>
        </w:rPr>
        <w:footnoteRef/>
      </w:r>
      <w:r>
        <w:t xml:space="preserve"> Při přepočtu na plný pracovní úvazek zaměstnanců se započítává pouze část pracovní kapacity věnovaná výzkumu a vývoji, nikoliv další činnosti, jako je např. výuka.</w:t>
      </w:r>
    </w:p>
  </w:footnote>
  <w:footnote w:id="22">
    <w:p w:rsidR="00206FAD" w:rsidRDefault="00206FAD" w:rsidP="006338C7">
      <w:pPr>
        <w:pStyle w:val="Textpoznpodarou"/>
      </w:pPr>
      <w:r>
        <w:rPr>
          <w:rStyle w:val="Znakapoznpodarou"/>
        </w:rPr>
        <w:footnoteRef/>
      </w:r>
      <w:r>
        <w:t xml:space="preserve"> Zdroj dat: OECD, </w:t>
      </w:r>
      <w:proofErr w:type="spellStart"/>
      <w:r>
        <w:t>Main</w:t>
      </w:r>
      <w:proofErr w:type="spellEnd"/>
      <w:r>
        <w:t xml:space="preserve"> Science and Technology </w:t>
      </w:r>
      <w:proofErr w:type="spellStart"/>
      <w:r>
        <w:t>Indicators</w:t>
      </w:r>
      <w:proofErr w:type="spellEnd"/>
      <w:r>
        <w:t xml:space="preserve">, </w:t>
      </w:r>
      <w:proofErr w:type="spellStart"/>
      <w:r>
        <w:t>Percentage</w:t>
      </w:r>
      <w:proofErr w:type="spellEnd"/>
      <w:r>
        <w:t xml:space="preserve"> </w:t>
      </w:r>
      <w:proofErr w:type="spellStart"/>
      <w:r>
        <w:t>of</w:t>
      </w:r>
      <w:proofErr w:type="spellEnd"/>
      <w:r>
        <w:t xml:space="preserve"> GERD </w:t>
      </w:r>
      <w:proofErr w:type="spellStart"/>
      <w:r>
        <w:t>financed</w:t>
      </w:r>
      <w:proofErr w:type="spellEnd"/>
      <w:r>
        <w:t xml:space="preserve"> by </w:t>
      </w:r>
      <w:proofErr w:type="spellStart"/>
      <w:r>
        <w:t>industry</w:t>
      </w:r>
      <w:proofErr w:type="spellEnd"/>
      <w:r>
        <w:t>.</w:t>
      </w:r>
    </w:p>
  </w:footnote>
  <w:footnote w:id="23">
    <w:p w:rsidR="00206FAD" w:rsidRPr="0099196D" w:rsidRDefault="00206FAD" w:rsidP="006338C7">
      <w:pPr>
        <w:pStyle w:val="Textpoznpodarou"/>
        <w:rPr>
          <w:rFonts w:cs="Arial"/>
          <w:szCs w:val="18"/>
        </w:rPr>
      </w:pPr>
      <w:r>
        <w:rPr>
          <w:rStyle w:val="Znakapoznpodarou"/>
        </w:rPr>
        <w:footnoteRef/>
      </w:r>
      <w:r>
        <w:t xml:space="preserve"> </w:t>
      </w:r>
      <w:r w:rsidRPr="0099196D">
        <w:rPr>
          <w:rFonts w:cs="Arial"/>
          <w:szCs w:val="18"/>
        </w:rPr>
        <w:t xml:space="preserve">Zatímco v minulých letech byly informace </w:t>
      </w:r>
      <w:r>
        <w:rPr>
          <w:rFonts w:cs="Arial"/>
          <w:szCs w:val="18"/>
        </w:rPr>
        <w:t xml:space="preserve">ČSÚ </w:t>
      </w:r>
      <w:r w:rsidRPr="0099196D">
        <w:rPr>
          <w:rFonts w:cs="Arial"/>
          <w:szCs w:val="18"/>
        </w:rPr>
        <w:t xml:space="preserve">za podnikatelský sektor </w:t>
      </w:r>
      <w:r>
        <w:rPr>
          <w:rFonts w:cs="Arial"/>
          <w:szCs w:val="18"/>
        </w:rPr>
        <w:t xml:space="preserve">dostupné </w:t>
      </w:r>
      <w:r w:rsidRPr="0099196D">
        <w:rPr>
          <w:rFonts w:cs="Arial"/>
          <w:szCs w:val="18"/>
        </w:rPr>
        <w:t>v odvětvovém členění (CZ-NACE), od roku 2014 jsou uváděny údaje v členění dle vědních oblastí, stejně jako ve vysokoškolském a vládním sektoru.</w:t>
      </w:r>
    </w:p>
  </w:footnote>
  <w:footnote w:id="24">
    <w:p w:rsidR="00206FAD" w:rsidRPr="0099196D" w:rsidRDefault="00206FAD" w:rsidP="006338C7">
      <w:pPr>
        <w:pStyle w:val="Textvysvtlivek"/>
        <w:jc w:val="both"/>
        <w:rPr>
          <w:rFonts w:ascii="Arial" w:hAnsi="Arial" w:cs="Arial"/>
          <w:sz w:val="18"/>
          <w:szCs w:val="18"/>
        </w:rPr>
      </w:pPr>
      <w:r w:rsidRPr="0099196D">
        <w:rPr>
          <w:rStyle w:val="Znakapoznpodarou"/>
          <w:rFonts w:ascii="Arial" w:hAnsi="Arial" w:cs="Arial"/>
          <w:sz w:val="18"/>
          <w:szCs w:val="18"/>
        </w:rPr>
        <w:footnoteRef/>
      </w:r>
      <w:r w:rsidRPr="0099196D">
        <w:rPr>
          <w:rFonts w:ascii="Arial" w:hAnsi="Arial" w:cs="Arial"/>
          <w:sz w:val="18"/>
          <w:szCs w:val="18"/>
        </w:rPr>
        <w:t xml:space="preserve"> Nárůst je vyvozován z růstu ve zpracovatelském průmyslu, kde dominantní postavení zaujímá automobilový průmysl a strojírenství.</w:t>
      </w:r>
    </w:p>
  </w:footnote>
  <w:footnote w:id="25">
    <w:p w:rsidR="00206FAD" w:rsidRDefault="00206FAD" w:rsidP="006338C7">
      <w:pPr>
        <w:pStyle w:val="Textpoznpodarou"/>
      </w:pPr>
      <w:r>
        <w:rPr>
          <w:rStyle w:val="Znakapoznpodarou"/>
        </w:rPr>
        <w:footnoteRef/>
      </w:r>
      <w:r>
        <w:t xml:space="preserve"> Definice jsou uvedeny v dokumentu Metodika hodnocení výsledků výzkumných organizací a hodnocení výsledků ukončených programů (platná pro léta 2013 až 2016).</w:t>
      </w:r>
    </w:p>
  </w:footnote>
  <w:footnote w:id="26">
    <w:p w:rsidR="00206FAD" w:rsidRDefault="00206FAD" w:rsidP="006338C7">
      <w:pPr>
        <w:pStyle w:val="Textpoznpodarou"/>
      </w:pPr>
      <w:r>
        <w:rPr>
          <w:rStyle w:val="Znakapoznpodarou"/>
        </w:rPr>
        <w:footnoteRef/>
      </w:r>
      <w:r>
        <w:t xml:space="preserve"> Pro účely hodnocení výzkumných organizací jsou dle M</w:t>
      </w:r>
      <w:r w:rsidRPr="00786BDE">
        <w:t>etodiky hodnocení výsledků výzkumných organizací a</w:t>
      </w:r>
      <w:r>
        <w:t> </w:t>
      </w:r>
      <w:r w:rsidRPr="00786BDE">
        <w:t>hodnocení výsledků ukončených programů (platné pro léta 2013 až 201</w:t>
      </w:r>
      <w:r>
        <w:t>6</w:t>
      </w:r>
      <w:r w:rsidRPr="00786BDE">
        <w:t>)</w:t>
      </w:r>
      <w:r>
        <w:t xml:space="preserve"> jsou výsledky kategorizovány odlišně. Patenty jsou vyčleňovány mimo aplikované výsledky jako samostatná kategorie a výsledky zahrnuté v obrázku 6.1 do kategorie ostatní jsou řazeny mezi aplikované, byť nejsou bodově oceňovány.</w:t>
      </w:r>
    </w:p>
  </w:footnote>
  <w:footnote w:id="27">
    <w:p w:rsidR="00206FAD" w:rsidRDefault="00206FAD" w:rsidP="006338C7">
      <w:pPr>
        <w:pStyle w:val="Textpoznpodarou"/>
      </w:pPr>
      <w:r>
        <w:rPr>
          <w:rStyle w:val="Znakapoznpodarou"/>
        </w:rPr>
        <w:footnoteRef/>
      </w:r>
      <w:r>
        <w:t xml:space="preserve"> Např. </w:t>
      </w:r>
      <w:r w:rsidRPr="00681D11">
        <w:t>Národní politik</w:t>
      </w:r>
      <w:r>
        <w:t>a</w:t>
      </w:r>
      <w:r w:rsidRPr="00681D11">
        <w:t xml:space="preserve"> výzkumu, vývoje a inovací České republiky na léta </w:t>
      </w:r>
      <w:r>
        <w:t>2016 -</w:t>
      </w:r>
      <w:r w:rsidRPr="00681D11">
        <w:t xml:space="preserve"> 20</w:t>
      </w:r>
      <w:r>
        <w:t>20</w:t>
      </w:r>
      <w:r w:rsidRPr="00681D11">
        <w:t xml:space="preserve"> </w:t>
      </w:r>
      <w:r>
        <w:t xml:space="preserve">schválená usnesením vlády </w:t>
      </w:r>
      <w:r w:rsidRPr="00681D11">
        <w:t xml:space="preserve">ze dne </w:t>
      </w:r>
      <w:r>
        <w:t>17</w:t>
      </w:r>
      <w:r w:rsidRPr="00681D11">
        <w:t xml:space="preserve">. </w:t>
      </w:r>
      <w:r>
        <w:t>února</w:t>
      </w:r>
      <w:r w:rsidRPr="00681D11">
        <w:t xml:space="preserve"> 201</w:t>
      </w:r>
      <w:r>
        <w:t>6</w:t>
      </w:r>
      <w:r w:rsidRPr="00681D11">
        <w:t xml:space="preserve"> č. </w:t>
      </w:r>
      <w:r>
        <w:t>135</w:t>
      </w:r>
      <w:r w:rsidRPr="00681D11">
        <w:t xml:space="preserve"> </w:t>
      </w:r>
      <w:r>
        <w:t>a Národní priority orientovaného výzkumu, experimentálního vývoje a inovací schválené vládou dne</w:t>
      </w:r>
      <w:r w:rsidRPr="00681D11">
        <w:t xml:space="preserve"> 19. července 2012 č. 552</w:t>
      </w:r>
      <w:r>
        <w:t>.</w:t>
      </w:r>
    </w:p>
  </w:footnote>
  <w:footnote w:id="28">
    <w:p w:rsidR="00206FAD" w:rsidRDefault="00206FAD" w:rsidP="001B11DC">
      <w:pPr>
        <w:pStyle w:val="Textpoznpodarou"/>
      </w:pPr>
      <w:r>
        <w:rPr>
          <w:rStyle w:val="Znakapoznpodarou"/>
        </w:rPr>
        <w:footnoteRef/>
      </w:r>
      <w:r>
        <w:t xml:space="preserve"> Jak je detailně popsáno v příloze, nejedná se příliš vhodný způsob určování kvality publikací</w:t>
      </w:r>
    </w:p>
  </w:footnote>
  <w:footnote w:id="29">
    <w:p w:rsidR="00206FAD" w:rsidRDefault="00206FAD" w:rsidP="00FC5CCD">
      <w:pPr>
        <w:pStyle w:val="Textpoznpodarou"/>
      </w:pPr>
      <w:r>
        <w:rPr>
          <w:rStyle w:val="Znakapoznpodarou"/>
        </w:rPr>
        <w:footnoteRef/>
      </w:r>
      <w:r>
        <w:t xml:space="preserve"> </w:t>
      </w:r>
      <w:r w:rsidRPr="00681D11">
        <w:t>Národní politik</w:t>
      </w:r>
      <w:r>
        <w:t>a</w:t>
      </w:r>
      <w:r w:rsidRPr="00681D11">
        <w:t xml:space="preserve"> výzkumu, vývoje a inovací České republiky na léta </w:t>
      </w:r>
      <w:r>
        <w:t>2016 -</w:t>
      </w:r>
      <w:r w:rsidRPr="00681D11">
        <w:t xml:space="preserve"> 20</w:t>
      </w:r>
      <w:r>
        <w:t>20</w:t>
      </w:r>
      <w:r w:rsidRPr="00681D11">
        <w:t xml:space="preserve"> </w:t>
      </w:r>
      <w:r>
        <w:t xml:space="preserve">schválená usnesením vlády </w:t>
      </w:r>
      <w:r w:rsidRPr="00681D11">
        <w:t xml:space="preserve">ze dne </w:t>
      </w:r>
      <w:r>
        <w:t>17</w:t>
      </w:r>
      <w:r w:rsidRPr="00681D11">
        <w:t xml:space="preserve">. </w:t>
      </w:r>
      <w:r>
        <w:t>února</w:t>
      </w:r>
      <w:r w:rsidRPr="00681D11">
        <w:t xml:space="preserve"> 201</w:t>
      </w:r>
      <w:r>
        <w:t>6</w:t>
      </w:r>
      <w:r w:rsidRPr="00681D11">
        <w:t xml:space="preserve"> č. </w:t>
      </w:r>
      <w:r>
        <w:t>13, opatření 6 a 10</w:t>
      </w:r>
    </w:p>
  </w:footnote>
  <w:footnote w:id="30">
    <w:p w:rsidR="00206FAD" w:rsidRPr="00BD39B1" w:rsidRDefault="00206FAD" w:rsidP="00FC5CCD">
      <w:pPr>
        <w:autoSpaceDE w:val="0"/>
        <w:autoSpaceDN w:val="0"/>
        <w:adjustRightInd w:val="0"/>
        <w:spacing w:before="240" w:after="0" w:line="240" w:lineRule="auto"/>
        <w:rPr>
          <w:rFonts w:ascii="Arial" w:hAnsi="Arial" w:cs="Arial"/>
          <w:sz w:val="20"/>
          <w:szCs w:val="20"/>
        </w:rPr>
      </w:pPr>
      <w:r w:rsidRPr="00BD39B1">
        <w:rPr>
          <w:rStyle w:val="Znakapoznpodarou"/>
          <w:rFonts w:ascii="Arial" w:hAnsi="Arial" w:cs="Arial"/>
          <w:sz w:val="20"/>
          <w:szCs w:val="20"/>
        </w:rPr>
        <w:footnoteRef/>
      </w:r>
      <w:r w:rsidRPr="00BD39B1">
        <w:rPr>
          <w:rFonts w:ascii="Arial" w:hAnsi="Arial" w:cs="Arial"/>
          <w:bCs/>
          <w:sz w:val="20"/>
          <w:szCs w:val="20"/>
          <w:lang w:eastAsia="cs-CZ"/>
        </w:rPr>
        <w:t xml:space="preserve"> G</w:t>
      </w:r>
      <w:r w:rsidRPr="00BD39B1">
        <w:rPr>
          <w:rFonts w:ascii="Arial" w:hAnsi="Arial" w:cs="Arial"/>
          <w:sz w:val="20"/>
          <w:szCs w:val="20"/>
        </w:rPr>
        <w:t>ranty Evropské výzkumné rady (</w:t>
      </w:r>
      <w:proofErr w:type="spellStart"/>
      <w:r w:rsidRPr="00BD39B1">
        <w:rPr>
          <w:rStyle w:val="st1"/>
          <w:rFonts w:ascii="Arial" w:hAnsi="Arial" w:cs="Arial"/>
          <w:sz w:val="20"/>
          <w:szCs w:val="20"/>
        </w:rPr>
        <w:t>European</w:t>
      </w:r>
      <w:proofErr w:type="spellEnd"/>
      <w:r w:rsidRPr="00BD39B1">
        <w:rPr>
          <w:rStyle w:val="st1"/>
          <w:rFonts w:ascii="Arial" w:hAnsi="Arial" w:cs="Arial"/>
          <w:sz w:val="20"/>
          <w:szCs w:val="20"/>
        </w:rPr>
        <w:t xml:space="preserve"> </w:t>
      </w:r>
      <w:proofErr w:type="spellStart"/>
      <w:r w:rsidRPr="00BD39B1">
        <w:rPr>
          <w:rStyle w:val="st1"/>
          <w:rFonts w:ascii="Arial" w:hAnsi="Arial" w:cs="Arial"/>
          <w:sz w:val="20"/>
          <w:szCs w:val="20"/>
        </w:rPr>
        <w:t>Research</w:t>
      </w:r>
      <w:proofErr w:type="spellEnd"/>
      <w:r w:rsidRPr="00BD39B1">
        <w:rPr>
          <w:rStyle w:val="st1"/>
          <w:rFonts w:ascii="Arial" w:hAnsi="Arial" w:cs="Arial"/>
          <w:sz w:val="20"/>
          <w:szCs w:val="20"/>
        </w:rPr>
        <w:t xml:space="preserve"> </w:t>
      </w:r>
      <w:proofErr w:type="spellStart"/>
      <w:r w:rsidRPr="00BD39B1">
        <w:rPr>
          <w:rStyle w:val="st1"/>
          <w:rFonts w:ascii="Arial" w:hAnsi="Arial" w:cs="Arial"/>
          <w:sz w:val="20"/>
          <w:szCs w:val="20"/>
        </w:rPr>
        <w:t>Council</w:t>
      </w:r>
      <w:proofErr w:type="spellEnd"/>
      <w:r w:rsidRPr="00BD39B1">
        <w:rPr>
          <w:rStyle w:val="st1"/>
          <w:rFonts w:ascii="Arial" w:hAnsi="Arial" w:cs="Arial"/>
          <w:sz w:val="20"/>
          <w:szCs w:val="20"/>
        </w:rPr>
        <w:t>).</w:t>
      </w:r>
    </w:p>
  </w:footnote>
  <w:footnote w:id="31">
    <w:p w:rsidR="00206FAD" w:rsidRDefault="00206FAD" w:rsidP="00FC5CCD">
      <w:pPr>
        <w:pStyle w:val="Textpoznpodarou"/>
      </w:pPr>
      <w:r>
        <w:rPr>
          <w:rStyle w:val="Znakapoznpodarou"/>
        </w:rPr>
        <w:footnoteRef/>
      </w:r>
      <w:r>
        <w:t xml:space="preserve"> Rozdělení základního a aplikovaného výzkumu chybně vychází ze striktního oddělení druhů výsledků</w:t>
      </w:r>
    </w:p>
  </w:footnote>
  <w:footnote w:id="32">
    <w:p w:rsidR="00206FAD" w:rsidRPr="00BD39B1" w:rsidRDefault="00206FAD" w:rsidP="00FC5CCD">
      <w:pPr>
        <w:autoSpaceDE w:val="0"/>
        <w:autoSpaceDN w:val="0"/>
        <w:adjustRightInd w:val="0"/>
        <w:spacing w:before="120" w:after="0" w:line="240" w:lineRule="auto"/>
        <w:rPr>
          <w:rFonts w:ascii="Arial" w:hAnsi="Arial" w:cs="Arial"/>
          <w:sz w:val="20"/>
          <w:szCs w:val="20"/>
        </w:rPr>
      </w:pPr>
      <w:r w:rsidRPr="00BD39B1">
        <w:rPr>
          <w:rStyle w:val="Znakapoznpodarou"/>
          <w:rFonts w:ascii="Arial" w:hAnsi="Arial" w:cs="Arial"/>
          <w:sz w:val="20"/>
          <w:szCs w:val="20"/>
        </w:rPr>
        <w:footnoteRef/>
      </w:r>
      <w:r w:rsidRPr="00BD39B1">
        <w:rPr>
          <w:rFonts w:ascii="Arial" w:hAnsi="Arial" w:cs="Arial"/>
          <w:bCs/>
          <w:sz w:val="20"/>
          <w:szCs w:val="20"/>
          <w:lang w:eastAsia="cs-CZ"/>
        </w:rPr>
        <w:t xml:space="preserve"> Dle pořadí ve větě: Česká zemědělská univerzita v Praze, České vysoké učení technické v Praze, </w:t>
      </w:r>
      <w:r>
        <w:rPr>
          <w:rFonts w:ascii="Arial" w:hAnsi="Arial" w:cs="Arial"/>
          <w:bCs/>
          <w:sz w:val="20"/>
          <w:szCs w:val="20"/>
          <w:lang w:eastAsia="cs-CZ"/>
        </w:rPr>
        <w:t xml:space="preserve">všechny VŠ čerpající položku specifický výzkum, </w:t>
      </w:r>
      <w:r w:rsidRPr="00BD39B1">
        <w:rPr>
          <w:rFonts w:ascii="Arial" w:hAnsi="Arial" w:cs="Arial"/>
          <w:bCs/>
          <w:sz w:val="20"/>
          <w:szCs w:val="20"/>
          <w:lang w:eastAsia="cs-CZ"/>
        </w:rPr>
        <w:t>Fakulta aplikované informaticky Univerzity Tomáše Bati ve Zlíně, Mendelova univerzita v Brně (Agronomická fakulta).</w:t>
      </w:r>
    </w:p>
  </w:footnote>
  <w:footnote w:id="33">
    <w:p w:rsidR="00206FAD" w:rsidRDefault="00206FAD" w:rsidP="00FC5CCD">
      <w:pPr>
        <w:pStyle w:val="Textpoznpodarou"/>
        <w:spacing w:before="120"/>
      </w:pPr>
      <w:r>
        <w:rPr>
          <w:rStyle w:val="Znakapoznpodarou"/>
        </w:rPr>
        <w:footnoteRef/>
      </w:r>
      <w:r>
        <w:t xml:space="preserve"> FORD </w:t>
      </w:r>
      <w:proofErr w:type="spellStart"/>
      <w:r>
        <w:rPr>
          <w:rFonts w:cs="Arial"/>
          <w:bCs/>
        </w:rPr>
        <w:t>Fields</w:t>
      </w:r>
      <w:proofErr w:type="spellEnd"/>
      <w:r>
        <w:rPr>
          <w:rFonts w:cs="Arial"/>
          <w:bCs/>
        </w:rPr>
        <w:t xml:space="preserve"> </w:t>
      </w:r>
      <w:proofErr w:type="spellStart"/>
      <w:r>
        <w:rPr>
          <w:rFonts w:cs="Arial"/>
          <w:bCs/>
        </w:rPr>
        <w:t>of</w:t>
      </w:r>
      <w:proofErr w:type="spellEnd"/>
      <w:r>
        <w:rPr>
          <w:rFonts w:cs="Arial"/>
          <w:bCs/>
        </w:rPr>
        <w:t xml:space="preserve"> </w:t>
      </w:r>
      <w:proofErr w:type="spellStart"/>
      <w:r>
        <w:rPr>
          <w:rFonts w:cs="Arial"/>
          <w:bCs/>
        </w:rPr>
        <w:t>Research</w:t>
      </w:r>
      <w:proofErr w:type="spellEnd"/>
      <w:r>
        <w:rPr>
          <w:rFonts w:cs="Arial"/>
          <w:bCs/>
        </w:rPr>
        <w:t xml:space="preserve"> and </w:t>
      </w:r>
      <w:proofErr w:type="spellStart"/>
      <w:r>
        <w:rPr>
          <w:rFonts w:cs="Arial"/>
          <w:bCs/>
        </w:rPr>
        <w:t>Development</w:t>
      </w:r>
      <w:proofErr w:type="spellEnd"/>
      <w:r>
        <w:rPr>
          <w:rFonts w:cs="Arial"/>
          <w:bCs/>
        </w:rPr>
        <w:t xml:space="preserve">, dříve FOS - </w:t>
      </w:r>
      <w:proofErr w:type="spellStart"/>
      <w:r>
        <w:rPr>
          <w:rFonts w:cs="Arial"/>
          <w:bCs/>
        </w:rPr>
        <w:t>Fields</w:t>
      </w:r>
      <w:proofErr w:type="spellEnd"/>
      <w:r>
        <w:rPr>
          <w:rFonts w:cs="Arial"/>
          <w:bCs/>
        </w:rPr>
        <w:t xml:space="preserve"> </w:t>
      </w:r>
      <w:proofErr w:type="spellStart"/>
      <w:r>
        <w:rPr>
          <w:rFonts w:cs="Arial"/>
          <w:bCs/>
        </w:rPr>
        <w:t>of</w:t>
      </w:r>
      <w:proofErr w:type="spellEnd"/>
      <w:r>
        <w:rPr>
          <w:rFonts w:cs="Arial"/>
          <w:bCs/>
        </w:rPr>
        <w:t xml:space="preserve"> Science dle </w:t>
      </w:r>
      <w:proofErr w:type="spellStart"/>
      <w:r w:rsidRPr="00893307">
        <w:rPr>
          <w:rFonts w:cs="Arial"/>
          <w:bCs/>
          <w:i/>
        </w:rPr>
        <w:t>Frascati</w:t>
      </w:r>
      <w:proofErr w:type="spellEnd"/>
      <w:r w:rsidRPr="00893307">
        <w:rPr>
          <w:rFonts w:cs="Arial"/>
          <w:bCs/>
          <w:i/>
        </w:rPr>
        <w:t xml:space="preserve"> </w:t>
      </w:r>
      <w:proofErr w:type="spellStart"/>
      <w:r w:rsidRPr="00893307">
        <w:rPr>
          <w:rFonts w:cs="Arial"/>
          <w:bCs/>
          <w:i/>
        </w:rPr>
        <w:t>manual</w:t>
      </w:r>
      <w:proofErr w:type="spellEnd"/>
      <w:r>
        <w:rPr>
          <w:rFonts w:cs="Arial"/>
          <w:bCs/>
          <w:i/>
        </w:rPr>
        <w:t xml:space="preserve"> 2015.</w:t>
      </w:r>
      <w:r w:rsidRPr="00893307">
        <w:rPr>
          <w:rFonts w:cs="Arial"/>
          <w:bCs/>
          <w:i/>
        </w:rPr>
        <w:t xml:space="preserve"> </w:t>
      </w:r>
      <w:proofErr w:type="spellStart"/>
      <w:r>
        <w:rPr>
          <w:rFonts w:cs="Arial"/>
          <w:bCs/>
          <w:i/>
        </w:rPr>
        <w:t>G</w:t>
      </w:r>
      <w:r w:rsidRPr="00893307">
        <w:rPr>
          <w:rFonts w:cs="Arial"/>
          <w:bCs/>
          <w:i/>
        </w:rPr>
        <w:t>uidelines</w:t>
      </w:r>
      <w:proofErr w:type="spellEnd"/>
      <w:r w:rsidRPr="00893307">
        <w:rPr>
          <w:rFonts w:cs="Arial"/>
          <w:bCs/>
          <w:i/>
        </w:rPr>
        <w:t xml:space="preserve"> </w:t>
      </w:r>
      <w:proofErr w:type="spellStart"/>
      <w:r w:rsidRPr="00893307">
        <w:rPr>
          <w:rFonts w:cs="Arial"/>
          <w:bCs/>
          <w:i/>
        </w:rPr>
        <w:t>for</w:t>
      </w:r>
      <w:proofErr w:type="spellEnd"/>
      <w:r w:rsidRPr="00893307">
        <w:rPr>
          <w:rFonts w:cs="Arial"/>
          <w:bCs/>
          <w:i/>
        </w:rPr>
        <w:t xml:space="preserve"> </w:t>
      </w:r>
      <w:proofErr w:type="spellStart"/>
      <w:r w:rsidRPr="00893307">
        <w:rPr>
          <w:rFonts w:cs="Arial"/>
          <w:bCs/>
          <w:i/>
        </w:rPr>
        <w:t>collecting</w:t>
      </w:r>
      <w:proofErr w:type="spellEnd"/>
      <w:r w:rsidRPr="00893307">
        <w:rPr>
          <w:rFonts w:cs="Arial"/>
          <w:bCs/>
          <w:i/>
        </w:rPr>
        <w:t xml:space="preserve"> and reporting data on </w:t>
      </w:r>
      <w:proofErr w:type="spellStart"/>
      <w:r w:rsidRPr="00893307">
        <w:rPr>
          <w:rFonts w:cs="Arial"/>
          <w:bCs/>
          <w:i/>
        </w:rPr>
        <w:t>research</w:t>
      </w:r>
      <w:proofErr w:type="spellEnd"/>
      <w:r w:rsidRPr="00893307">
        <w:rPr>
          <w:rFonts w:cs="Arial"/>
          <w:bCs/>
          <w:i/>
        </w:rPr>
        <w:t xml:space="preserve"> and </w:t>
      </w:r>
      <w:proofErr w:type="spellStart"/>
      <w:r w:rsidRPr="00893307">
        <w:rPr>
          <w:rFonts w:cs="Arial"/>
          <w:bCs/>
          <w:i/>
        </w:rPr>
        <w:t>experimental</w:t>
      </w:r>
      <w:proofErr w:type="spellEnd"/>
      <w:r w:rsidRPr="00893307">
        <w:rPr>
          <w:rFonts w:cs="Arial"/>
          <w:bCs/>
          <w:i/>
        </w:rPr>
        <w:t xml:space="preserve"> </w:t>
      </w:r>
      <w:proofErr w:type="spellStart"/>
      <w:r w:rsidRPr="00893307">
        <w:rPr>
          <w:rFonts w:cs="Arial"/>
          <w:bCs/>
          <w:i/>
        </w:rPr>
        <w:t>development</w:t>
      </w:r>
      <w:proofErr w:type="spellEnd"/>
      <w:r>
        <w:rPr>
          <w:rFonts w:cs="Arial"/>
          <w:bCs/>
          <w:i/>
        </w:rPr>
        <w:t xml:space="preserve">. </w:t>
      </w:r>
      <w:r w:rsidRPr="00893307">
        <w:rPr>
          <w:rFonts w:cs="Arial"/>
          <w:bCs/>
        </w:rPr>
        <w:t>OECD, 2015</w:t>
      </w:r>
      <w:r>
        <w:rPr>
          <w:rFonts w:cs="Arial"/>
          <w:bCs/>
        </w:rPr>
        <w:t xml:space="preserve">. </w:t>
      </w:r>
    </w:p>
  </w:footnote>
  <w:footnote w:id="34">
    <w:p w:rsidR="00206FAD" w:rsidRPr="0047471C" w:rsidRDefault="00206FAD" w:rsidP="00FC5CCD">
      <w:pPr>
        <w:pStyle w:val="Textpoznpodarou"/>
        <w:spacing w:before="120"/>
        <w:rPr>
          <w:rFonts w:cs="Arial"/>
        </w:rPr>
      </w:pPr>
      <w:r w:rsidRPr="00F96312">
        <w:rPr>
          <w:rStyle w:val="Znakapoznpodarou"/>
          <w:rFonts w:cs="Arial"/>
        </w:rPr>
        <w:footnoteRef/>
      </w:r>
      <w:r w:rsidRPr="00F96312">
        <w:rPr>
          <w:rFonts w:cs="Arial"/>
        </w:rPr>
        <w:t xml:space="preserve"> Požadavek na sjednocení číselníků deklaruje </w:t>
      </w:r>
      <w:r w:rsidRPr="00F96312">
        <w:rPr>
          <w:rFonts w:cs="Arial"/>
          <w:i/>
        </w:rPr>
        <w:t xml:space="preserve">Koncepce IS </w:t>
      </w:r>
      <w:proofErr w:type="spellStart"/>
      <w:r w:rsidRPr="00F96312">
        <w:rPr>
          <w:rFonts w:cs="Arial"/>
          <w:i/>
        </w:rPr>
        <w:t>VaVaI</w:t>
      </w:r>
      <w:proofErr w:type="spellEnd"/>
      <w:r w:rsidRPr="00F96312">
        <w:rPr>
          <w:rFonts w:cs="Arial"/>
          <w:i/>
        </w:rPr>
        <w:t xml:space="preserve"> na období </w:t>
      </w:r>
      <w:r w:rsidRPr="00F96312">
        <w:rPr>
          <w:rFonts w:cs="Arial"/>
        </w:rPr>
        <w:t>2016 až 2020, schválená usnesením vlády č. 8 ze dne 13. ledna 2016.</w:t>
      </w:r>
      <w:r w:rsidRPr="0047471C">
        <w:rPr>
          <w:rFonts w:cs="Arial"/>
          <w:sz w:val="22"/>
          <w:szCs w:val="22"/>
        </w:rPr>
        <w:t xml:space="preserve"> </w:t>
      </w:r>
      <w:r w:rsidRPr="0047471C">
        <w:rPr>
          <w:rFonts w:cs="Arial"/>
        </w:rPr>
        <w:t xml:space="preserve"> </w:t>
      </w:r>
    </w:p>
  </w:footnote>
  <w:footnote w:id="35">
    <w:p w:rsidR="00206FAD" w:rsidRPr="007C291E" w:rsidRDefault="00206FAD" w:rsidP="00D33F0D">
      <w:pPr>
        <w:pStyle w:val="Textpoznpodarou"/>
      </w:pPr>
      <w:r w:rsidRPr="008F025E">
        <w:rPr>
          <w:rStyle w:val="Znakapoznpodarou"/>
        </w:rPr>
        <w:footnoteRef/>
      </w:r>
      <w:r w:rsidRPr="008F025E">
        <w:t xml:space="preserve"> </w:t>
      </w:r>
      <w:r>
        <w:t>V některých analýzách bývají k výdajům na vědu a výzkum</w:t>
      </w:r>
      <w:r w:rsidRPr="007C291E">
        <w:t xml:space="preserve"> připočítávány i výdaje na vzdělávání.</w:t>
      </w:r>
    </w:p>
  </w:footnote>
  <w:footnote w:id="36">
    <w:p w:rsidR="00206FAD" w:rsidRDefault="00206FAD" w:rsidP="00D33F0D">
      <w:pPr>
        <w:pStyle w:val="Textpoznpodarou"/>
      </w:pPr>
      <w:r>
        <w:rPr>
          <w:rStyle w:val="Znakapoznpodarou"/>
        </w:rPr>
        <w:footnoteRef/>
      </w:r>
      <w:r>
        <w:t xml:space="preserve"> </w:t>
      </w:r>
      <w:proofErr w:type="spellStart"/>
      <w:r w:rsidRPr="005828E4">
        <w:t>Purchasing</w:t>
      </w:r>
      <w:proofErr w:type="spellEnd"/>
      <w:r w:rsidRPr="005828E4">
        <w:t xml:space="preserve"> </w:t>
      </w:r>
      <w:proofErr w:type="spellStart"/>
      <w:r w:rsidRPr="005828E4">
        <w:t>Power</w:t>
      </w:r>
      <w:proofErr w:type="spellEnd"/>
      <w:r w:rsidRPr="005828E4">
        <w:t xml:space="preserve"> Standard</w:t>
      </w:r>
      <w:r>
        <w:t xml:space="preserve"> (PPS) </w:t>
      </w:r>
      <w:r w:rsidRPr="004B34C0">
        <w:t xml:space="preserve">je </w:t>
      </w:r>
      <w:r>
        <w:t xml:space="preserve">uměle vytvořená měnová jednotka, která vyjadřuje kurz mezi dvěma měnami umožňující v obou zemích nákup stejného množství zboží. </w:t>
      </w:r>
    </w:p>
  </w:footnote>
  <w:footnote w:id="37">
    <w:p w:rsidR="00206FAD" w:rsidRPr="000A6817" w:rsidRDefault="00206FAD" w:rsidP="00D33F0D">
      <w:pPr>
        <w:pStyle w:val="Textpoznpodarou"/>
        <w:rPr>
          <w:rFonts w:asciiTheme="minorHAnsi" w:eastAsiaTheme="minorHAnsi" w:hAnsiTheme="minorHAnsi" w:cstheme="minorBidi"/>
          <w:szCs w:val="18"/>
          <w:lang w:eastAsia="en-US"/>
        </w:rPr>
      </w:pPr>
      <w:r>
        <w:rPr>
          <w:rStyle w:val="Znakapoznpodarou"/>
        </w:rPr>
        <w:footnoteRef/>
      </w:r>
      <w:r>
        <w:t xml:space="preserve"> </w:t>
      </w:r>
      <w:r w:rsidRPr="000A6817">
        <w:rPr>
          <w:rFonts w:asciiTheme="minorHAnsi" w:eastAsiaTheme="minorHAnsi" w:hAnsiTheme="minorHAnsi" w:cstheme="minorBidi"/>
          <w:szCs w:val="18"/>
          <w:lang w:eastAsia="en-US"/>
        </w:rPr>
        <w:t>Indikátor KIABI byl v předchozích publikacích označován jako KIA, definice však zůstala stejná.</w:t>
      </w:r>
    </w:p>
  </w:footnote>
  <w:footnote w:id="38">
    <w:p w:rsidR="00206FAD" w:rsidRDefault="00206FAD" w:rsidP="00D33F0D">
      <w:pPr>
        <w:pStyle w:val="Textpoznpodarou"/>
      </w:pPr>
      <w:r>
        <w:rPr>
          <w:rStyle w:val="Znakapoznpodarou"/>
        </w:rPr>
        <w:footnoteRef/>
      </w:r>
      <w:r>
        <w:t xml:space="preserve"> </w:t>
      </w:r>
      <w:r w:rsidRPr="008E7D12">
        <w:rPr>
          <w:szCs w:val="18"/>
        </w:rPr>
        <w:t xml:space="preserve">Podle aktualizované metodiky </w:t>
      </w:r>
      <w:proofErr w:type="spellStart"/>
      <w:r w:rsidRPr="008E7D12">
        <w:rPr>
          <w:szCs w:val="18"/>
        </w:rPr>
        <w:t>Eurostatu</w:t>
      </w:r>
      <w:proofErr w:type="spellEnd"/>
      <w:r w:rsidRPr="008E7D12">
        <w:rPr>
          <w:szCs w:val="18"/>
        </w:rPr>
        <w:t xml:space="preserve"> z roku 2010 se za inovační/inovující podniky považují ty podniky, které </w:t>
      </w:r>
      <w:r>
        <w:rPr>
          <w:szCs w:val="18"/>
        </w:rPr>
        <w:br/>
      </w:r>
      <w:r w:rsidRPr="008E7D12">
        <w:rPr>
          <w:szCs w:val="18"/>
        </w:rPr>
        <w:t>v uvedeném období buď zavedly produktovou inovaci nebo procesní inovaci nebo měly probíhající nebo přerušené inovační aktivity (technické inovace) anebo zavedly marketingovou nebo organizační inovaci (netechnické inovace.)</w:t>
      </w:r>
    </w:p>
  </w:footnote>
  <w:footnote w:id="39">
    <w:p w:rsidR="00206FAD" w:rsidRDefault="00206FAD" w:rsidP="00D33F0D">
      <w:pPr>
        <w:jc w:val="both"/>
      </w:pPr>
      <w:r>
        <w:rPr>
          <w:rStyle w:val="Znakapoznpodarou"/>
        </w:rPr>
        <w:footnoteRef/>
      </w:r>
      <w:r>
        <w:t xml:space="preserve"> </w:t>
      </w:r>
      <w:r w:rsidRPr="00AA3247">
        <w:rPr>
          <w:sz w:val="18"/>
          <w:szCs w:val="18"/>
        </w:rPr>
        <w:t>Intenzit</w:t>
      </w:r>
      <w:r>
        <w:rPr>
          <w:sz w:val="18"/>
          <w:szCs w:val="18"/>
        </w:rPr>
        <w:t>ou</w:t>
      </w:r>
      <w:r w:rsidRPr="00AA3247">
        <w:rPr>
          <w:sz w:val="18"/>
          <w:szCs w:val="18"/>
        </w:rPr>
        <w:t xml:space="preserve"> inovace </w:t>
      </w:r>
      <w:r>
        <w:rPr>
          <w:sz w:val="18"/>
          <w:szCs w:val="18"/>
        </w:rPr>
        <w:t xml:space="preserve">se rozumí </w:t>
      </w:r>
      <w:r w:rsidRPr="00AA3247">
        <w:rPr>
          <w:sz w:val="18"/>
          <w:szCs w:val="18"/>
        </w:rPr>
        <w:t>podíl nákladů na inovace na celkových tržbách podniků s technickou inovací.</w:t>
      </w:r>
    </w:p>
  </w:footnote>
  <w:footnote w:id="40">
    <w:p w:rsidR="00206FAD" w:rsidRDefault="00206FAD" w:rsidP="00D51389">
      <w:pPr>
        <w:pStyle w:val="Textpoznpodarou"/>
      </w:pPr>
      <w:r>
        <w:rPr>
          <w:rStyle w:val="Znakapoznpodarou"/>
        </w:rPr>
        <w:footnoteRef/>
      </w:r>
      <w:r>
        <w:t xml:space="preserve"> Agregovaná data </w:t>
      </w:r>
      <w:r w:rsidRPr="008109C0">
        <w:rPr>
          <w:rFonts w:cs="Arial"/>
        </w:rPr>
        <w:t>podle klasifikace CZ-NACE ve členění na 2 místa</w:t>
      </w:r>
    </w:p>
  </w:footnote>
  <w:footnote w:id="41">
    <w:p w:rsidR="00206FAD" w:rsidRDefault="00206FAD" w:rsidP="00D51389">
      <w:pPr>
        <w:pStyle w:val="Textpoznpodarou"/>
      </w:pPr>
      <w:r>
        <w:rPr>
          <w:rStyle w:val="Znakapoznpodarou"/>
        </w:rPr>
        <w:footnoteRef/>
      </w:r>
      <w:r>
        <w:t xml:space="preserve"> Podkladový analytický materiál - Podklad k naplňování NP </w:t>
      </w:r>
      <w:proofErr w:type="spellStart"/>
      <w:r>
        <w:t>VaVaI</w:t>
      </w:r>
      <w:proofErr w:type="spellEnd"/>
      <w:r>
        <w:t xml:space="preserve"> 2016 – 2020 a k zaměření </w:t>
      </w:r>
      <w:proofErr w:type="spellStart"/>
      <w:r>
        <w:t>vertikalizace</w:t>
      </w:r>
      <w:proofErr w:type="spellEnd"/>
      <w:r>
        <w:t xml:space="preserve"> ESF a NP v kontextu implementace RIS3 strategie. Sekce pro vědu, výzkum a inovace ÚV ČR, 2016, 211 s.</w:t>
      </w:r>
    </w:p>
  </w:footnote>
  <w:footnote w:id="42">
    <w:p w:rsidR="00206FAD" w:rsidRDefault="00206FAD" w:rsidP="00D51389">
      <w:pPr>
        <w:pStyle w:val="Textpoznpodarou"/>
      </w:pPr>
      <w:r>
        <w:rPr>
          <w:rStyle w:val="Znakapoznpodarou"/>
        </w:rPr>
        <w:footnoteRef/>
      </w:r>
      <w:r>
        <w:t xml:space="preserve"> Při formulaci znalostních domén se vycházelo z globálně stanovených </w:t>
      </w:r>
      <w:proofErr w:type="spellStart"/>
      <w:r>
        <w:t>KETs</w:t>
      </w:r>
      <w:proofErr w:type="spellEnd"/>
      <w:r>
        <w:t xml:space="preserve">, kterými jsou nanotechnologie, mikroelektronika, pokročilé materiály, </w:t>
      </w:r>
      <w:proofErr w:type="spellStart"/>
      <w:r>
        <w:t>fotonika</w:t>
      </w:r>
      <w:proofErr w:type="spellEnd"/>
      <w:r>
        <w:t xml:space="preserve">, průmyslové biotechnologie a pokročilé výrobní technologie. Jako specifika ČR byly </w:t>
      </w:r>
      <w:proofErr w:type="spellStart"/>
      <w:r>
        <w:t>KETs</w:t>
      </w:r>
      <w:proofErr w:type="spellEnd"/>
      <w:r>
        <w:t xml:space="preserve"> doplněny o společenskovědní znalosti nezbytné pro netechnické inovace a znalosti pro digitální ekonomiku a kulturní a kreativní průmysly.</w:t>
      </w:r>
    </w:p>
  </w:footnote>
  <w:footnote w:id="43">
    <w:p w:rsidR="00206FAD" w:rsidRDefault="00206FAD" w:rsidP="00D51389">
      <w:pPr>
        <w:pStyle w:val="Textpoznpodarou"/>
      </w:pPr>
      <w:r>
        <w:rPr>
          <w:rStyle w:val="Znakapoznpodarou"/>
        </w:rPr>
        <w:footnoteRef/>
      </w:r>
      <w:r>
        <w:t xml:space="preserve"> Usnesení vlády č. 634 ze dne 11. 7. 2016</w:t>
      </w:r>
    </w:p>
  </w:footnote>
  <w:footnote w:id="44">
    <w:p w:rsidR="00206FAD" w:rsidRDefault="00206FAD" w:rsidP="00D51389">
      <w:pPr>
        <w:pStyle w:val="Textpoznpodarou"/>
      </w:pPr>
      <w:r>
        <w:rPr>
          <w:rStyle w:val="Znakapoznpodarou"/>
        </w:rPr>
        <w:footnoteRef/>
      </w:r>
      <w:r>
        <w:t xml:space="preserve"> Podkladový analytický materiál - Podklad k naplňování NP </w:t>
      </w:r>
      <w:proofErr w:type="spellStart"/>
      <w:r>
        <w:t>VaVaI</w:t>
      </w:r>
      <w:proofErr w:type="spellEnd"/>
      <w:r>
        <w:t xml:space="preserve"> 2016 – 2020 a k zaměření </w:t>
      </w:r>
      <w:proofErr w:type="spellStart"/>
      <w:r>
        <w:t>vertikalizace</w:t>
      </w:r>
      <w:proofErr w:type="spellEnd"/>
      <w:r>
        <w:t xml:space="preserve"> ESF a NP v kontextu implementace RIS3 strategie. Sekce pro vědu, výzkum a inovace ÚV ČR, 2016, 211 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6FAD" w:rsidRPr="0083134A" w:rsidRDefault="00206FAD" w:rsidP="001911CA">
    <w:pPr>
      <w:pStyle w:val="Zhlav"/>
      <w:rPr>
        <w:rFonts w:ascii="Cambria" w:eastAsia="Times New Roman" w:hAnsi="Cambria" w:cs="Arial"/>
        <w:i/>
        <w:color w:val="1F497D"/>
        <w:sz w:val="18"/>
        <w:szCs w:val="18"/>
        <w:lang w:eastAsia="cs-CZ"/>
      </w:rPr>
    </w:pPr>
    <w:r w:rsidRPr="0083134A">
      <w:rPr>
        <w:rFonts w:ascii="Cambria" w:eastAsia="Times New Roman" w:hAnsi="Cambria" w:cs="Arial"/>
        <w:i/>
        <w:color w:val="1F497D"/>
        <w:sz w:val="18"/>
        <w:szCs w:val="18"/>
        <w:lang w:eastAsia="cs-CZ"/>
      </w:rPr>
      <w:t>Analýza stavu výzkumu, vývoje a inovací v České republice a jejich srovnání se zahraničím v roce 201</w:t>
    </w:r>
    <w:r>
      <w:rPr>
        <w:rFonts w:ascii="Cambria" w:eastAsia="Times New Roman" w:hAnsi="Cambria" w:cs="Arial"/>
        <w:i/>
        <w:color w:val="1F497D"/>
        <w:sz w:val="18"/>
        <w:szCs w:val="18"/>
        <w:lang w:eastAsia="cs-CZ"/>
      </w:rPr>
      <w:t>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6FAD" w:rsidRPr="002442BB" w:rsidRDefault="00206FAD">
    <w:pPr>
      <w:pStyle w:val="Zhlav"/>
      <w:rPr>
        <w:rFonts w:ascii="Cambria" w:eastAsia="Times New Roman" w:hAnsi="Cambria" w:cs="Arial"/>
        <w:i/>
        <w:color w:val="1F497D"/>
        <w:sz w:val="18"/>
        <w:szCs w:val="18"/>
        <w:lang w:eastAsia="cs-CZ"/>
      </w:rPr>
    </w:pPr>
    <w:r w:rsidRPr="0083134A">
      <w:rPr>
        <w:rFonts w:ascii="Cambria" w:eastAsia="Times New Roman" w:hAnsi="Cambria" w:cs="Arial"/>
        <w:i/>
        <w:color w:val="1F497D"/>
        <w:sz w:val="18"/>
        <w:szCs w:val="18"/>
        <w:lang w:eastAsia="cs-CZ"/>
      </w:rPr>
      <w:t>Analýza stavu výzkumu, vývoje a inovací v České republice a jejich srovnání se zahraničím v roce 201</w:t>
    </w:r>
    <w:r>
      <w:rPr>
        <w:rFonts w:ascii="Cambria" w:eastAsia="Times New Roman" w:hAnsi="Cambria" w:cs="Arial"/>
        <w:i/>
        <w:color w:val="1F497D"/>
        <w:sz w:val="18"/>
        <w:szCs w:val="18"/>
        <w:lang w:eastAsia="cs-CZ"/>
      </w:rPr>
      <w:t>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D464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1F95A9B"/>
    <w:multiLevelType w:val="hybridMultilevel"/>
    <w:tmpl w:val="B0AAE986"/>
    <w:lvl w:ilvl="0" w:tplc="5BC85CBA">
      <w:start w:val="2"/>
      <w:numFmt w:val="decimal"/>
      <w:lvlText w:val="%1."/>
      <w:lvlJc w:val="left"/>
      <w:pPr>
        <w:ind w:left="720" w:hanging="360"/>
      </w:pPr>
      <w:rPr>
        <w:rFonts w:hint="default"/>
      </w:rPr>
    </w:lvl>
    <w:lvl w:ilvl="1" w:tplc="04050019">
      <w:start w:val="1"/>
      <w:numFmt w:val="lowerLetter"/>
      <w:lvlText w:val="%2."/>
      <w:lvlJc w:val="left"/>
      <w:pPr>
        <w:ind w:left="1440" w:hanging="360"/>
      </w:pPr>
    </w:lvl>
    <w:lvl w:ilvl="2" w:tplc="8E526E46">
      <w:start w:val="1"/>
      <w:numFmt w:val="bullet"/>
      <w:pStyle w:val="komentzaobrzkem-odrky"/>
      <w:lvlText w:val=""/>
      <w:lvlJc w:val="left"/>
      <w:pPr>
        <w:ind w:left="2160" w:hanging="180"/>
      </w:pPr>
      <w:rPr>
        <w:rFonts w:ascii="Symbol" w:hAnsi="Symbol"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5F7761A"/>
    <w:multiLevelType w:val="hybridMultilevel"/>
    <w:tmpl w:val="1FF2CF9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E2859A6"/>
    <w:multiLevelType w:val="hybridMultilevel"/>
    <w:tmpl w:val="4D12078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1AC2ED9"/>
    <w:multiLevelType w:val="multilevel"/>
    <w:tmpl w:val="FBF6B59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7363355"/>
    <w:multiLevelType w:val="hybridMultilevel"/>
    <w:tmpl w:val="1988E2E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7D2783E"/>
    <w:multiLevelType w:val="hybridMultilevel"/>
    <w:tmpl w:val="62EEDA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9657530"/>
    <w:multiLevelType w:val="hybridMultilevel"/>
    <w:tmpl w:val="B6F2DE04"/>
    <w:lvl w:ilvl="0" w:tplc="0405000F">
      <w:start w:val="8"/>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BD20136"/>
    <w:multiLevelType w:val="hybridMultilevel"/>
    <w:tmpl w:val="F5C64F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E72216C"/>
    <w:multiLevelType w:val="hybridMultilevel"/>
    <w:tmpl w:val="AF5E159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26C21529"/>
    <w:multiLevelType w:val="hybridMultilevel"/>
    <w:tmpl w:val="D4E02D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2C4F154C"/>
    <w:multiLevelType w:val="hybridMultilevel"/>
    <w:tmpl w:val="4FFE46F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2CEE6212"/>
    <w:multiLevelType w:val="multilevel"/>
    <w:tmpl w:val="4C6EA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F6F77E9"/>
    <w:multiLevelType w:val="hybridMultilevel"/>
    <w:tmpl w:val="E05230BA"/>
    <w:lvl w:ilvl="0" w:tplc="0405000F">
      <w:start w:val="1"/>
      <w:numFmt w:val="decimal"/>
      <w:lvlText w:val="%1."/>
      <w:lvlJc w:val="left"/>
      <w:pPr>
        <w:ind w:left="770" w:hanging="360"/>
      </w:pPr>
    </w:lvl>
    <w:lvl w:ilvl="1" w:tplc="04050019" w:tentative="1">
      <w:start w:val="1"/>
      <w:numFmt w:val="lowerLetter"/>
      <w:lvlText w:val="%2."/>
      <w:lvlJc w:val="left"/>
      <w:pPr>
        <w:ind w:left="1490" w:hanging="360"/>
      </w:pPr>
    </w:lvl>
    <w:lvl w:ilvl="2" w:tplc="0405001B" w:tentative="1">
      <w:start w:val="1"/>
      <w:numFmt w:val="lowerRoman"/>
      <w:lvlText w:val="%3."/>
      <w:lvlJc w:val="right"/>
      <w:pPr>
        <w:ind w:left="2210" w:hanging="180"/>
      </w:pPr>
    </w:lvl>
    <w:lvl w:ilvl="3" w:tplc="0405000F" w:tentative="1">
      <w:start w:val="1"/>
      <w:numFmt w:val="decimal"/>
      <w:lvlText w:val="%4."/>
      <w:lvlJc w:val="left"/>
      <w:pPr>
        <w:ind w:left="2930" w:hanging="360"/>
      </w:pPr>
    </w:lvl>
    <w:lvl w:ilvl="4" w:tplc="04050019" w:tentative="1">
      <w:start w:val="1"/>
      <w:numFmt w:val="lowerLetter"/>
      <w:lvlText w:val="%5."/>
      <w:lvlJc w:val="left"/>
      <w:pPr>
        <w:ind w:left="3650" w:hanging="360"/>
      </w:pPr>
    </w:lvl>
    <w:lvl w:ilvl="5" w:tplc="0405001B" w:tentative="1">
      <w:start w:val="1"/>
      <w:numFmt w:val="lowerRoman"/>
      <w:lvlText w:val="%6."/>
      <w:lvlJc w:val="right"/>
      <w:pPr>
        <w:ind w:left="4370" w:hanging="180"/>
      </w:pPr>
    </w:lvl>
    <w:lvl w:ilvl="6" w:tplc="0405000F" w:tentative="1">
      <w:start w:val="1"/>
      <w:numFmt w:val="decimal"/>
      <w:lvlText w:val="%7."/>
      <w:lvlJc w:val="left"/>
      <w:pPr>
        <w:ind w:left="5090" w:hanging="360"/>
      </w:pPr>
    </w:lvl>
    <w:lvl w:ilvl="7" w:tplc="04050019" w:tentative="1">
      <w:start w:val="1"/>
      <w:numFmt w:val="lowerLetter"/>
      <w:lvlText w:val="%8."/>
      <w:lvlJc w:val="left"/>
      <w:pPr>
        <w:ind w:left="5810" w:hanging="360"/>
      </w:pPr>
    </w:lvl>
    <w:lvl w:ilvl="8" w:tplc="0405001B" w:tentative="1">
      <w:start w:val="1"/>
      <w:numFmt w:val="lowerRoman"/>
      <w:lvlText w:val="%9."/>
      <w:lvlJc w:val="right"/>
      <w:pPr>
        <w:ind w:left="6530" w:hanging="180"/>
      </w:pPr>
    </w:lvl>
  </w:abstractNum>
  <w:abstractNum w:abstractNumId="14">
    <w:nsid w:val="34A550B4"/>
    <w:multiLevelType w:val="hybridMultilevel"/>
    <w:tmpl w:val="8E6AFBDC"/>
    <w:lvl w:ilvl="0" w:tplc="5BC85CBA">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378533C2"/>
    <w:multiLevelType w:val="hybridMultilevel"/>
    <w:tmpl w:val="4A868E8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3C33228D"/>
    <w:multiLevelType w:val="multilevel"/>
    <w:tmpl w:val="65E6B81C"/>
    <w:lvl w:ilvl="0">
      <w:start w:val="1"/>
      <w:numFmt w:val="decimal"/>
      <w:lvlText w:val="%1."/>
      <w:lvlJc w:val="left"/>
      <w:pPr>
        <w:ind w:left="360" w:hanging="360"/>
      </w:pPr>
    </w:lvl>
    <w:lvl w:ilvl="1">
      <w:start w:val="1"/>
      <w:numFmt w:val="decimal"/>
      <w:pStyle w:val="Podtitu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D7A3B05"/>
    <w:multiLevelType w:val="hybridMultilevel"/>
    <w:tmpl w:val="DD989BE0"/>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
    <w:nsid w:val="42283996"/>
    <w:multiLevelType w:val="hybridMultilevel"/>
    <w:tmpl w:val="42B21D44"/>
    <w:lvl w:ilvl="0" w:tplc="0405000F">
      <w:start w:val="1"/>
      <w:numFmt w:val="decimal"/>
      <w:lvlText w:val="%1."/>
      <w:lvlJc w:val="left"/>
      <w:pPr>
        <w:ind w:left="720" w:hanging="360"/>
      </w:pPr>
    </w:lvl>
    <w:lvl w:ilvl="1" w:tplc="1C901626">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441E0294"/>
    <w:multiLevelType w:val="hybridMultilevel"/>
    <w:tmpl w:val="0AE8EBB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0">
    <w:nsid w:val="44D30D09"/>
    <w:multiLevelType w:val="hybridMultilevel"/>
    <w:tmpl w:val="1A58E3B4"/>
    <w:lvl w:ilvl="0" w:tplc="5A8E6968">
      <w:start w:val="4"/>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45E17AD5"/>
    <w:multiLevelType w:val="hybridMultilevel"/>
    <w:tmpl w:val="07F82542"/>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466E214A"/>
    <w:multiLevelType w:val="hybridMultilevel"/>
    <w:tmpl w:val="4CA49B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4CF10C1D"/>
    <w:multiLevelType w:val="hybridMultilevel"/>
    <w:tmpl w:val="9F2A934E"/>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4">
    <w:nsid w:val="52676D74"/>
    <w:multiLevelType w:val="hybridMultilevel"/>
    <w:tmpl w:val="B20E63CC"/>
    <w:lvl w:ilvl="0" w:tplc="0405000F">
      <w:start w:val="1"/>
      <w:numFmt w:val="decimal"/>
      <w:lvlText w:val="%1."/>
      <w:lvlJc w:val="left"/>
      <w:pPr>
        <w:ind w:left="1130" w:hanging="360"/>
      </w:pPr>
    </w:lvl>
    <w:lvl w:ilvl="1" w:tplc="04050019" w:tentative="1">
      <w:start w:val="1"/>
      <w:numFmt w:val="lowerLetter"/>
      <w:lvlText w:val="%2."/>
      <w:lvlJc w:val="left"/>
      <w:pPr>
        <w:ind w:left="1850" w:hanging="360"/>
      </w:pPr>
    </w:lvl>
    <w:lvl w:ilvl="2" w:tplc="0405001B" w:tentative="1">
      <w:start w:val="1"/>
      <w:numFmt w:val="lowerRoman"/>
      <w:lvlText w:val="%3."/>
      <w:lvlJc w:val="right"/>
      <w:pPr>
        <w:ind w:left="2570" w:hanging="180"/>
      </w:pPr>
    </w:lvl>
    <w:lvl w:ilvl="3" w:tplc="0405000F" w:tentative="1">
      <w:start w:val="1"/>
      <w:numFmt w:val="decimal"/>
      <w:lvlText w:val="%4."/>
      <w:lvlJc w:val="left"/>
      <w:pPr>
        <w:ind w:left="3290" w:hanging="360"/>
      </w:pPr>
    </w:lvl>
    <w:lvl w:ilvl="4" w:tplc="04050019" w:tentative="1">
      <w:start w:val="1"/>
      <w:numFmt w:val="lowerLetter"/>
      <w:lvlText w:val="%5."/>
      <w:lvlJc w:val="left"/>
      <w:pPr>
        <w:ind w:left="4010" w:hanging="360"/>
      </w:pPr>
    </w:lvl>
    <w:lvl w:ilvl="5" w:tplc="0405001B" w:tentative="1">
      <w:start w:val="1"/>
      <w:numFmt w:val="lowerRoman"/>
      <w:lvlText w:val="%6."/>
      <w:lvlJc w:val="right"/>
      <w:pPr>
        <w:ind w:left="4730" w:hanging="180"/>
      </w:pPr>
    </w:lvl>
    <w:lvl w:ilvl="6" w:tplc="0405000F" w:tentative="1">
      <w:start w:val="1"/>
      <w:numFmt w:val="decimal"/>
      <w:lvlText w:val="%7."/>
      <w:lvlJc w:val="left"/>
      <w:pPr>
        <w:ind w:left="5450" w:hanging="360"/>
      </w:pPr>
    </w:lvl>
    <w:lvl w:ilvl="7" w:tplc="04050019" w:tentative="1">
      <w:start w:val="1"/>
      <w:numFmt w:val="lowerLetter"/>
      <w:lvlText w:val="%8."/>
      <w:lvlJc w:val="left"/>
      <w:pPr>
        <w:ind w:left="6170" w:hanging="360"/>
      </w:pPr>
    </w:lvl>
    <w:lvl w:ilvl="8" w:tplc="0405001B" w:tentative="1">
      <w:start w:val="1"/>
      <w:numFmt w:val="lowerRoman"/>
      <w:lvlText w:val="%9."/>
      <w:lvlJc w:val="right"/>
      <w:pPr>
        <w:ind w:left="6890" w:hanging="180"/>
      </w:pPr>
    </w:lvl>
  </w:abstractNum>
  <w:abstractNum w:abstractNumId="25">
    <w:nsid w:val="52B118C4"/>
    <w:multiLevelType w:val="hybridMultilevel"/>
    <w:tmpl w:val="BE64ABA0"/>
    <w:lvl w:ilvl="0" w:tplc="256624E8">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5AFB136F"/>
    <w:multiLevelType w:val="hybridMultilevel"/>
    <w:tmpl w:val="8F366D3A"/>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7">
    <w:nsid w:val="66D54321"/>
    <w:multiLevelType w:val="hybridMultilevel"/>
    <w:tmpl w:val="E8407A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67C41225"/>
    <w:multiLevelType w:val="hybridMultilevel"/>
    <w:tmpl w:val="A5760A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69D26A88"/>
    <w:multiLevelType w:val="hybridMultilevel"/>
    <w:tmpl w:val="4E383ADC"/>
    <w:lvl w:ilvl="0" w:tplc="04050001">
      <w:start w:val="1"/>
      <w:numFmt w:val="bullet"/>
      <w:lvlText w:val=""/>
      <w:lvlJc w:val="left"/>
      <w:pPr>
        <w:ind w:left="1130" w:hanging="360"/>
      </w:pPr>
      <w:rPr>
        <w:rFonts w:ascii="Symbol" w:hAnsi="Symbol" w:hint="default"/>
      </w:rPr>
    </w:lvl>
    <w:lvl w:ilvl="1" w:tplc="04050003" w:tentative="1">
      <w:start w:val="1"/>
      <w:numFmt w:val="bullet"/>
      <w:lvlText w:val="o"/>
      <w:lvlJc w:val="left"/>
      <w:pPr>
        <w:ind w:left="1850" w:hanging="360"/>
      </w:pPr>
      <w:rPr>
        <w:rFonts w:ascii="Courier New" w:hAnsi="Courier New" w:cs="Courier New" w:hint="default"/>
      </w:rPr>
    </w:lvl>
    <w:lvl w:ilvl="2" w:tplc="04050005" w:tentative="1">
      <w:start w:val="1"/>
      <w:numFmt w:val="bullet"/>
      <w:lvlText w:val=""/>
      <w:lvlJc w:val="left"/>
      <w:pPr>
        <w:ind w:left="2570" w:hanging="360"/>
      </w:pPr>
      <w:rPr>
        <w:rFonts w:ascii="Wingdings" w:hAnsi="Wingdings" w:hint="default"/>
      </w:rPr>
    </w:lvl>
    <w:lvl w:ilvl="3" w:tplc="04050001" w:tentative="1">
      <w:start w:val="1"/>
      <w:numFmt w:val="bullet"/>
      <w:lvlText w:val=""/>
      <w:lvlJc w:val="left"/>
      <w:pPr>
        <w:ind w:left="3290" w:hanging="360"/>
      </w:pPr>
      <w:rPr>
        <w:rFonts w:ascii="Symbol" w:hAnsi="Symbol" w:hint="default"/>
      </w:rPr>
    </w:lvl>
    <w:lvl w:ilvl="4" w:tplc="04050003" w:tentative="1">
      <w:start w:val="1"/>
      <w:numFmt w:val="bullet"/>
      <w:lvlText w:val="o"/>
      <w:lvlJc w:val="left"/>
      <w:pPr>
        <w:ind w:left="4010" w:hanging="360"/>
      </w:pPr>
      <w:rPr>
        <w:rFonts w:ascii="Courier New" w:hAnsi="Courier New" w:cs="Courier New" w:hint="default"/>
      </w:rPr>
    </w:lvl>
    <w:lvl w:ilvl="5" w:tplc="04050005" w:tentative="1">
      <w:start w:val="1"/>
      <w:numFmt w:val="bullet"/>
      <w:lvlText w:val=""/>
      <w:lvlJc w:val="left"/>
      <w:pPr>
        <w:ind w:left="4730" w:hanging="360"/>
      </w:pPr>
      <w:rPr>
        <w:rFonts w:ascii="Wingdings" w:hAnsi="Wingdings" w:hint="default"/>
      </w:rPr>
    </w:lvl>
    <w:lvl w:ilvl="6" w:tplc="04050001" w:tentative="1">
      <w:start w:val="1"/>
      <w:numFmt w:val="bullet"/>
      <w:lvlText w:val=""/>
      <w:lvlJc w:val="left"/>
      <w:pPr>
        <w:ind w:left="5450" w:hanging="360"/>
      </w:pPr>
      <w:rPr>
        <w:rFonts w:ascii="Symbol" w:hAnsi="Symbol" w:hint="default"/>
      </w:rPr>
    </w:lvl>
    <w:lvl w:ilvl="7" w:tplc="04050003" w:tentative="1">
      <w:start w:val="1"/>
      <w:numFmt w:val="bullet"/>
      <w:lvlText w:val="o"/>
      <w:lvlJc w:val="left"/>
      <w:pPr>
        <w:ind w:left="6170" w:hanging="360"/>
      </w:pPr>
      <w:rPr>
        <w:rFonts w:ascii="Courier New" w:hAnsi="Courier New" w:cs="Courier New" w:hint="default"/>
      </w:rPr>
    </w:lvl>
    <w:lvl w:ilvl="8" w:tplc="04050005" w:tentative="1">
      <w:start w:val="1"/>
      <w:numFmt w:val="bullet"/>
      <w:lvlText w:val=""/>
      <w:lvlJc w:val="left"/>
      <w:pPr>
        <w:ind w:left="6890" w:hanging="360"/>
      </w:pPr>
      <w:rPr>
        <w:rFonts w:ascii="Wingdings" w:hAnsi="Wingdings" w:hint="default"/>
      </w:rPr>
    </w:lvl>
  </w:abstractNum>
  <w:abstractNum w:abstractNumId="30">
    <w:nsid w:val="6C361F51"/>
    <w:multiLevelType w:val="hybridMultilevel"/>
    <w:tmpl w:val="8332A5B6"/>
    <w:lvl w:ilvl="0" w:tplc="F01AA8F6">
      <w:start w:val="1"/>
      <w:numFmt w:val="bullet"/>
      <w:lvlText w:val="-"/>
      <w:lvlJc w:val="left"/>
      <w:pPr>
        <w:ind w:left="928" w:hanging="360"/>
      </w:pPr>
      <w:rPr>
        <w:rFonts w:ascii="Calibri" w:eastAsiaTheme="minorHAnsi" w:hAnsi="Calibri" w:cs="BemboStd" w:hint="default"/>
      </w:rPr>
    </w:lvl>
    <w:lvl w:ilvl="1" w:tplc="04050003" w:tentative="1">
      <w:start w:val="1"/>
      <w:numFmt w:val="bullet"/>
      <w:lvlText w:val="o"/>
      <w:lvlJc w:val="left"/>
      <w:pPr>
        <w:ind w:left="1380" w:hanging="360"/>
      </w:pPr>
      <w:rPr>
        <w:rFonts w:ascii="Courier New" w:hAnsi="Courier New" w:cs="Courier New" w:hint="default"/>
      </w:rPr>
    </w:lvl>
    <w:lvl w:ilvl="2" w:tplc="04050005" w:tentative="1">
      <w:start w:val="1"/>
      <w:numFmt w:val="bullet"/>
      <w:lvlText w:val=""/>
      <w:lvlJc w:val="left"/>
      <w:pPr>
        <w:ind w:left="2100" w:hanging="360"/>
      </w:pPr>
      <w:rPr>
        <w:rFonts w:ascii="Wingdings" w:hAnsi="Wingdings" w:hint="default"/>
      </w:rPr>
    </w:lvl>
    <w:lvl w:ilvl="3" w:tplc="04050001" w:tentative="1">
      <w:start w:val="1"/>
      <w:numFmt w:val="bullet"/>
      <w:lvlText w:val=""/>
      <w:lvlJc w:val="left"/>
      <w:pPr>
        <w:ind w:left="2820" w:hanging="360"/>
      </w:pPr>
      <w:rPr>
        <w:rFonts w:ascii="Symbol" w:hAnsi="Symbol" w:hint="default"/>
      </w:rPr>
    </w:lvl>
    <w:lvl w:ilvl="4" w:tplc="04050003" w:tentative="1">
      <w:start w:val="1"/>
      <w:numFmt w:val="bullet"/>
      <w:lvlText w:val="o"/>
      <w:lvlJc w:val="left"/>
      <w:pPr>
        <w:ind w:left="3540" w:hanging="360"/>
      </w:pPr>
      <w:rPr>
        <w:rFonts w:ascii="Courier New" w:hAnsi="Courier New" w:cs="Courier New" w:hint="default"/>
      </w:rPr>
    </w:lvl>
    <w:lvl w:ilvl="5" w:tplc="04050005" w:tentative="1">
      <w:start w:val="1"/>
      <w:numFmt w:val="bullet"/>
      <w:lvlText w:val=""/>
      <w:lvlJc w:val="left"/>
      <w:pPr>
        <w:ind w:left="4260" w:hanging="360"/>
      </w:pPr>
      <w:rPr>
        <w:rFonts w:ascii="Wingdings" w:hAnsi="Wingdings" w:hint="default"/>
      </w:rPr>
    </w:lvl>
    <w:lvl w:ilvl="6" w:tplc="04050001" w:tentative="1">
      <w:start w:val="1"/>
      <w:numFmt w:val="bullet"/>
      <w:lvlText w:val=""/>
      <w:lvlJc w:val="left"/>
      <w:pPr>
        <w:ind w:left="4980" w:hanging="360"/>
      </w:pPr>
      <w:rPr>
        <w:rFonts w:ascii="Symbol" w:hAnsi="Symbol" w:hint="default"/>
      </w:rPr>
    </w:lvl>
    <w:lvl w:ilvl="7" w:tplc="04050003" w:tentative="1">
      <w:start w:val="1"/>
      <w:numFmt w:val="bullet"/>
      <w:lvlText w:val="o"/>
      <w:lvlJc w:val="left"/>
      <w:pPr>
        <w:ind w:left="5700" w:hanging="360"/>
      </w:pPr>
      <w:rPr>
        <w:rFonts w:ascii="Courier New" w:hAnsi="Courier New" w:cs="Courier New" w:hint="default"/>
      </w:rPr>
    </w:lvl>
    <w:lvl w:ilvl="8" w:tplc="04050005" w:tentative="1">
      <w:start w:val="1"/>
      <w:numFmt w:val="bullet"/>
      <w:lvlText w:val=""/>
      <w:lvlJc w:val="left"/>
      <w:pPr>
        <w:ind w:left="6420" w:hanging="360"/>
      </w:pPr>
      <w:rPr>
        <w:rFonts w:ascii="Wingdings" w:hAnsi="Wingdings" w:hint="default"/>
      </w:rPr>
    </w:lvl>
  </w:abstractNum>
  <w:abstractNum w:abstractNumId="31">
    <w:nsid w:val="774C63A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797A2312"/>
    <w:multiLevelType w:val="hybridMultilevel"/>
    <w:tmpl w:val="B7BE96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7E5F47C1"/>
    <w:multiLevelType w:val="hybridMultilevel"/>
    <w:tmpl w:val="F970D19E"/>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7F510E69"/>
    <w:multiLevelType w:val="multilevel"/>
    <w:tmpl w:val="19FC1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
  </w:num>
  <w:num w:numId="3">
    <w:abstractNumId w:val="16"/>
  </w:num>
  <w:num w:numId="4">
    <w:abstractNumId w:val="5"/>
  </w:num>
  <w:num w:numId="5">
    <w:abstractNumId w:val="13"/>
  </w:num>
  <w:num w:numId="6">
    <w:abstractNumId w:val="20"/>
  </w:num>
  <w:num w:numId="7">
    <w:abstractNumId w:val="32"/>
  </w:num>
  <w:num w:numId="8">
    <w:abstractNumId w:val="2"/>
  </w:num>
  <w:num w:numId="9">
    <w:abstractNumId w:val="21"/>
  </w:num>
  <w:num w:numId="10">
    <w:abstractNumId w:val="33"/>
  </w:num>
  <w:num w:numId="11">
    <w:abstractNumId w:val="18"/>
  </w:num>
  <w:num w:numId="12">
    <w:abstractNumId w:val="9"/>
  </w:num>
  <w:num w:numId="13">
    <w:abstractNumId w:val="7"/>
  </w:num>
  <w:num w:numId="14">
    <w:abstractNumId w:val="25"/>
  </w:num>
  <w:num w:numId="15">
    <w:abstractNumId w:val="23"/>
  </w:num>
  <w:num w:numId="16">
    <w:abstractNumId w:val="28"/>
  </w:num>
  <w:num w:numId="17">
    <w:abstractNumId w:val="3"/>
  </w:num>
  <w:num w:numId="18">
    <w:abstractNumId w:val="6"/>
  </w:num>
  <w:num w:numId="19">
    <w:abstractNumId w:val="24"/>
  </w:num>
  <w:num w:numId="20">
    <w:abstractNumId w:val="29"/>
  </w:num>
  <w:num w:numId="21">
    <w:abstractNumId w:val="8"/>
  </w:num>
  <w:num w:numId="22">
    <w:abstractNumId w:val="22"/>
  </w:num>
  <w:num w:numId="23">
    <w:abstractNumId w:val="17"/>
  </w:num>
  <w:num w:numId="24">
    <w:abstractNumId w:val="27"/>
  </w:num>
  <w:num w:numId="25">
    <w:abstractNumId w:val="1"/>
  </w:num>
  <w:num w:numId="26">
    <w:abstractNumId w:val="34"/>
  </w:num>
  <w:num w:numId="27">
    <w:abstractNumId w:val="12"/>
  </w:num>
  <w:num w:numId="28">
    <w:abstractNumId w:val="14"/>
  </w:num>
  <w:num w:numId="29">
    <w:abstractNumId w:val="15"/>
  </w:num>
  <w:num w:numId="30">
    <w:abstractNumId w:val="0"/>
  </w:num>
  <w:num w:numId="31">
    <w:abstractNumId w:val="31"/>
  </w:num>
  <w:num w:numId="32">
    <w:abstractNumId w:val="4"/>
  </w:num>
  <w:num w:numId="33">
    <w:abstractNumId w:val="10"/>
  </w:num>
  <w:num w:numId="34">
    <w:abstractNumId w:val="30"/>
  </w:num>
  <w:num w:numId="35">
    <w:abstractNumId w:val="19"/>
  </w:num>
  <w:num w:numId="3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0"/>
  <w:defaultTabStop w:val="709"/>
  <w:hyphenationZone w:val="425"/>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22A0"/>
    <w:rsid w:val="00000A2A"/>
    <w:rsid w:val="000021AE"/>
    <w:rsid w:val="00003A86"/>
    <w:rsid w:val="0000648C"/>
    <w:rsid w:val="00010F88"/>
    <w:rsid w:val="000163C3"/>
    <w:rsid w:val="000178D6"/>
    <w:rsid w:val="00022F9D"/>
    <w:rsid w:val="00024C1D"/>
    <w:rsid w:val="000300B7"/>
    <w:rsid w:val="00030DDA"/>
    <w:rsid w:val="00040353"/>
    <w:rsid w:val="00042809"/>
    <w:rsid w:val="00042E86"/>
    <w:rsid w:val="00045BFF"/>
    <w:rsid w:val="0005325C"/>
    <w:rsid w:val="00055617"/>
    <w:rsid w:val="00056656"/>
    <w:rsid w:val="000566E0"/>
    <w:rsid w:val="00060D84"/>
    <w:rsid w:val="0007004F"/>
    <w:rsid w:val="00071A9A"/>
    <w:rsid w:val="00071AE6"/>
    <w:rsid w:val="00072077"/>
    <w:rsid w:val="00074540"/>
    <w:rsid w:val="00076B14"/>
    <w:rsid w:val="000822A0"/>
    <w:rsid w:val="00082875"/>
    <w:rsid w:val="00083A27"/>
    <w:rsid w:val="00092146"/>
    <w:rsid w:val="000A34E0"/>
    <w:rsid w:val="000A3889"/>
    <w:rsid w:val="000B10EB"/>
    <w:rsid w:val="000B429D"/>
    <w:rsid w:val="000C142B"/>
    <w:rsid w:val="000C1800"/>
    <w:rsid w:val="000C5E1E"/>
    <w:rsid w:val="000D1BED"/>
    <w:rsid w:val="000D3A18"/>
    <w:rsid w:val="000F3766"/>
    <w:rsid w:val="000F625B"/>
    <w:rsid w:val="00100AF0"/>
    <w:rsid w:val="0011270C"/>
    <w:rsid w:val="00115228"/>
    <w:rsid w:val="00115879"/>
    <w:rsid w:val="00123AC7"/>
    <w:rsid w:val="00124427"/>
    <w:rsid w:val="001309B5"/>
    <w:rsid w:val="00131475"/>
    <w:rsid w:val="00133488"/>
    <w:rsid w:val="001354D7"/>
    <w:rsid w:val="00136E58"/>
    <w:rsid w:val="00144229"/>
    <w:rsid w:val="00145813"/>
    <w:rsid w:val="00150AD1"/>
    <w:rsid w:val="00152549"/>
    <w:rsid w:val="00152FE4"/>
    <w:rsid w:val="001530DA"/>
    <w:rsid w:val="00156F20"/>
    <w:rsid w:val="00160322"/>
    <w:rsid w:val="00162477"/>
    <w:rsid w:val="00166EF7"/>
    <w:rsid w:val="00174CF2"/>
    <w:rsid w:val="001911CA"/>
    <w:rsid w:val="00195AA5"/>
    <w:rsid w:val="001B11DC"/>
    <w:rsid w:val="001B49AF"/>
    <w:rsid w:val="001B4C6E"/>
    <w:rsid w:val="001B7601"/>
    <w:rsid w:val="001B7A08"/>
    <w:rsid w:val="001C051F"/>
    <w:rsid w:val="001C57AC"/>
    <w:rsid w:val="001D4333"/>
    <w:rsid w:val="001D61E1"/>
    <w:rsid w:val="001E0782"/>
    <w:rsid w:val="001E2F51"/>
    <w:rsid w:val="001E7576"/>
    <w:rsid w:val="001F7718"/>
    <w:rsid w:val="0020345F"/>
    <w:rsid w:val="00204058"/>
    <w:rsid w:val="00206FAD"/>
    <w:rsid w:val="002072CE"/>
    <w:rsid w:val="00210083"/>
    <w:rsid w:val="002122C6"/>
    <w:rsid w:val="00214E69"/>
    <w:rsid w:val="00216024"/>
    <w:rsid w:val="002239EE"/>
    <w:rsid w:val="00232C91"/>
    <w:rsid w:val="00234BAC"/>
    <w:rsid w:val="00240D52"/>
    <w:rsid w:val="002442BB"/>
    <w:rsid w:val="00257DF1"/>
    <w:rsid w:val="0026271A"/>
    <w:rsid w:val="00263B24"/>
    <w:rsid w:val="00264555"/>
    <w:rsid w:val="002701E4"/>
    <w:rsid w:val="00271B9E"/>
    <w:rsid w:val="0027278C"/>
    <w:rsid w:val="00272ED4"/>
    <w:rsid w:val="002750C6"/>
    <w:rsid w:val="00276399"/>
    <w:rsid w:val="0028584E"/>
    <w:rsid w:val="00285947"/>
    <w:rsid w:val="002900BB"/>
    <w:rsid w:val="00291BB8"/>
    <w:rsid w:val="00292E9D"/>
    <w:rsid w:val="00293B7A"/>
    <w:rsid w:val="002978DA"/>
    <w:rsid w:val="00297B96"/>
    <w:rsid w:val="002A09E8"/>
    <w:rsid w:val="002A55DE"/>
    <w:rsid w:val="002B2C14"/>
    <w:rsid w:val="002B3E07"/>
    <w:rsid w:val="002B7005"/>
    <w:rsid w:val="002B71BE"/>
    <w:rsid w:val="002C2F44"/>
    <w:rsid w:val="002C43B6"/>
    <w:rsid w:val="002C43D5"/>
    <w:rsid w:val="002D458C"/>
    <w:rsid w:val="002E0A8A"/>
    <w:rsid w:val="002E2024"/>
    <w:rsid w:val="00300DC6"/>
    <w:rsid w:val="00301801"/>
    <w:rsid w:val="00304A96"/>
    <w:rsid w:val="0031089A"/>
    <w:rsid w:val="003117B8"/>
    <w:rsid w:val="00314675"/>
    <w:rsid w:val="00315538"/>
    <w:rsid w:val="00316A5E"/>
    <w:rsid w:val="00320A19"/>
    <w:rsid w:val="00321772"/>
    <w:rsid w:val="00321A9B"/>
    <w:rsid w:val="003227BD"/>
    <w:rsid w:val="0033063D"/>
    <w:rsid w:val="0033168C"/>
    <w:rsid w:val="00334C28"/>
    <w:rsid w:val="00350176"/>
    <w:rsid w:val="0036547D"/>
    <w:rsid w:val="003659EC"/>
    <w:rsid w:val="00380080"/>
    <w:rsid w:val="00381AF1"/>
    <w:rsid w:val="00391634"/>
    <w:rsid w:val="00396B00"/>
    <w:rsid w:val="00397889"/>
    <w:rsid w:val="003A46D4"/>
    <w:rsid w:val="003A7DA3"/>
    <w:rsid w:val="003C7372"/>
    <w:rsid w:val="003E38D2"/>
    <w:rsid w:val="003E60D8"/>
    <w:rsid w:val="003F54A7"/>
    <w:rsid w:val="003F5D8D"/>
    <w:rsid w:val="00402800"/>
    <w:rsid w:val="00404437"/>
    <w:rsid w:val="0040494A"/>
    <w:rsid w:val="00407F77"/>
    <w:rsid w:val="0041213B"/>
    <w:rsid w:val="0042088A"/>
    <w:rsid w:val="00420ADA"/>
    <w:rsid w:val="00421E43"/>
    <w:rsid w:val="00434802"/>
    <w:rsid w:val="004353DE"/>
    <w:rsid w:val="00441A5E"/>
    <w:rsid w:val="00452BAE"/>
    <w:rsid w:val="00455C72"/>
    <w:rsid w:val="00457DCE"/>
    <w:rsid w:val="00465F3A"/>
    <w:rsid w:val="00471FC6"/>
    <w:rsid w:val="00473D34"/>
    <w:rsid w:val="004743B7"/>
    <w:rsid w:val="004751CC"/>
    <w:rsid w:val="004765EE"/>
    <w:rsid w:val="004857AA"/>
    <w:rsid w:val="00486796"/>
    <w:rsid w:val="00490AF1"/>
    <w:rsid w:val="00493BC6"/>
    <w:rsid w:val="00493D2B"/>
    <w:rsid w:val="00496F66"/>
    <w:rsid w:val="004B323E"/>
    <w:rsid w:val="004B4CC4"/>
    <w:rsid w:val="004B5329"/>
    <w:rsid w:val="004C23E0"/>
    <w:rsid w:val="004C65F1"/>
    <w:rsid w:val="004D0A5E"/>
    <w:rsid w:val="004D1D71"/>
    <w:rsid w:val="004D353F"/>
    <w:rsid w:val="004D56D7"/>
    <w:rsid w:val="004D7263"/>
    <w:rsid w:val="004E69B8"/>
    <w:rsid w:val="004E7ED9"/>
    <w:rsid w:val="004F4CF5"/>
    <w:rsid w:val="004F7E1A"/>
    <w:rsid w:val="005030AA"/>
    <w:rsid w:val="0050729D"/>
    <w:rsid w:val="0051083C"/>
    <w:rsid w:val="00514F3C"/>
    <w:rsid w:val="0052062F"/>
    <w:rsid w:val="005230AC"/>
    <w:rsid w:val="00524C5A"/>
    <w:rsid w:val="00527788"/>
    <w:rsid w:val="0053104B"/>
    <w:rsid w:val="0053116E"/>
    <w:rsid w:val="00531A2B"/>
    <w:rsid w:val="0053476C"/>
    <w:rsid w:val="00542059"/>
    <w:rsid w:val="00542E1E"/>
    <w:rsid w:val="005460F9"/>
    <w:rsid w:val="00547DC1"/>
    <w:rsid w:val="00551F63"/>
    <w:rsid w:val="0055255A"/>
    <w:rsid w:val="00554186"/>
    <w:rsid w:val="00557D4B"/>
    <w:rsid w:val="00572EEF"/>
    <w:rsid w:val="00586FBE"/>
    <w:rsid w:val="00587FB6"/>
    <w:rsid w:val="0059344E"/>
    <w:rsid w:val="005A1090"/>
    <w:rsid w:val="005A2034"/>
    <w:rsid w:val="005C4B3F"/>
    <w:rsid w:val="005D6ACA"/>
    <w:rsid w:val="005D7511"/>
    <w:rsid w:val="005E2134"/>
    <w:rsid w:val="005F1913"/>
    <w:rsid w:val="005F2F7D"/>
    <w:rsid w:val="005F4EF5"/>
    <w:rsid w:val="00600503"/>
    <w:rsid w:val="00602ECB"/>
    <w:rsid w:val="00604316"/>
    <w:rsid w:val="00606882"/>
    <w:rsid w:val="00606DBB"/>
    <w:rsid w:val="00611C08"/>
    <w:rsid w:val="00612C45"/>
    <w:rsid w:val="00613032"/>
    <w:rsid w:val="00621308"/>
    <w:rsid w:val="00626787"/>
    <w:rsid w:val="006311EE"/>
    <w:rsid w:val="00632838"/>
    <w:rsid w:val="006338C7"/>
    <w:rsid w:val="00641255"/>
    <w:rsid w:val="0065031E"/>
    <w:rsid w:val="0066071D"/>
    <w:rsid w:val="00661D52"/>
    <w:rsid w:val="006640BF"/>
    <w:rsid w:val="0067007E"/>
    <w:rsid w:val="00684FB3"/>
    <w:rsid w:val="006A04BF"/>
    <w:rsid w:val="006A3F07"/>
    <w:rsid w:val="006A469E"/>
    <w:rsid w:val="006B4254"/>
    <w:rsid w:val="006C2D75"/>
    <w:rsid w:val="006C6AB2"/>
    <w:rsid w:val="006D0E44"/>
    <w:rsid w:val="006D2C52"/>
    <w:rsid w:val="006D7EC7"/>
    <w:rsid w:val="006E07FF"/>
    <w:rsid w:val="006F4FD1"/>
    <w:rsid w:val="006F678C"/>
    <w:rsid w:val="007009FC"/>
    <w:rsid w:val="00700A78"/>
    <w:rsid w:val="007216D4"/>
    <w:rsid w:val="007237F2"/>
    <w:rsid w:val="00725AE5"/>
    <w:rsid w:val="00733FB3"/>
    <w:rsid w:val="00735C8E"/>
    <w:rsid w:val="0073634D"/>
    <w:rsid w:val="0074008A"/>
    <w:rsid w:val="00747D4B"/>
    <w:rsid w:val="0075032C"/>
    <w:rsid w:val="00753198"/>
    <w:rsid w:val="00754195"/>
    <w:rsid w:val="007578D2"/>
    <w:rsid w:val="00760ECB"/>
    <w:rsid w:val="007622FB"/>
    <w:rsid w:val="00766076"/>
    <w:rsid w:val="00767440"/>
    <w:rsid w:val="00772C66"/>
    <w:rsid w:val="00775EA7"/>
    <w:rsid w:val="00786C67"/>
    <w:rsid w:val="007A1384"/>
    <w:rsid w:val="007A1CCD"/>
    <w:rsid w:val="007A5A89"/>
    <w:rsid w:val="007B7CB8"/>
    <w:rsid w:val="007C4434"/>
    <w:rsid w:val="007C5BE3"/>
    <w:rsid w:val="007D5B7F"/>
    <w:rsid w:val="007D5E4D"/>
    <w:rsid w:val="007D6BEF"/>
    <w:rsid w:val="007E308E"/>
    <w:rsid w:val="007E6226"/>
    <w:rsid w:val="007E6EC6"/>
    <w:rsid w:val="007E740F"/>
    <w:rsid w:val="007F374B"/>
    <w:rsid w:val="0081050E"/>
    <w:rsid w:val="00815C21"/>
    <w:rsid w:val="0083134A"/>
    <w:rsid w:val="008353E1"/>
    <w:rsid w:val="00837270"/>
    <w:rsid w:val="00845A88"/>
    <w:rsid w:val="00845AD8"/>
    <w:rsid w:val="008511E8"/>
    <w:rsid w:val="0086227B"/>
    <w:rsid w:val="00863581"/>
    <w:rsid w:val="00870955"/>
    <w:rsid w:val="00872A16"/>
    <w:rsid w:val="00877B95"/>
    <w:rsid w:val="00887C8D"/>
    <w:rsid w:val="00891C14"/>
    <w:rsid w:val="008A6D1D"/>
    <w:rsid w:val="008B16EC"/>
    <w:rsid w:val="008B7162"/>
    <w:rsid w:val="008C2C72"/>
    <w:rsid w:val="008C6A06"/>
    <w:rsid w:val="008D1D76"/>
    <w:rsid w:val="008D3600"/>
    <w:rsid w:val="008E5A5C"/>
    <w:rsid w:val="008E7BFB"/>
    <w:rsid w:val="008F198C"/>
    <w:rsid w:val="008F5CD4"/>
    <w:rsid w:val="008F7EB9"/>
    <w:rsid w:val="00910955"/>
    <w:rsid w:val="00912533"/>
    <w:rsid w:val="00922748"/>
    <w:rsid w:val="009234A3"/>
    <w:rsid w:val="009239D0"/>
    <w:rsid w:val="00924504"/>
    <w:rsid w:val="00925AC6"/>
    <w:rsid w:val="00934D86"/>
    <w:rsid w:val="0093608E"/>
    <w:rsid w:val="00937F92"/>
    <w:rsid w:val="00946D8B"/>
    <w:rsid w:val="00956D00"/>
    <w:rsid w:val="009775AE"/>
    <w:rsid w:val="00995ED6"/>
    <w:rsid w:val="009A04A4"/>
    <w:rsid w:val="009A1D5A"/>
    <w:rsid w:val="009B21E1"/>
    <w:rsid w:val="009B2333"/>
    <w:rsid w:val="009B6940"/>
    <w:rsid w:val="009B7CC9"/>
    <w:rsid w:val="009D5AD6"/>
    <w:rsid w:val="009E474E"/>
    <w:rsid w:val="009E6F86"/>
    <w:rsid w:val="009F0AB6"/>
    <w:rsid w:val="009F10F4"/>
    <w:rsid w:val="009F1B1F"/>
    <w:rsid w:val="009F506E"/>
    <w:rsid w:val="009F6F59"/>
    <w:rsid w:val="00A05A14"/>
    <w:rsid w:val="00A07D1D"/>
    <w:rsid w:val="00A138F2"/>
    <w:rsid w:val="00A20F5B"/>
    <w:rsid w:val="00A2152F"/>
    <w:rsid w:val="00A23AE8"/>
    <w:rsid w:val="00A24B39"/>
    <w:rsid w:val="00A31C25"/>
    <w:rsid w:val="00A31DB5"/>
    <w:rsid w:val="00A3564C"/>
    <w:rsid w:val="00A361AA"/>
    <w:rsid w:val="00A377E2"/>
    <w:rsid w:val="00A404BD"/>
    <w:rsid w:val="00A46703"/>
    <w:rsid w:val="00A46B2F"/>
    <w:rsid w:val="00A52530"/>
    <w:rsid w:val="00A623DC"/>
    <w:rsid w:val="00A75D97"/>
    <w:rsid w:val="00A810AB"/>
    <w:rsid w:val="00A83D36"/>
    <w:rsid w:val="00A844E8"/>
    <w:rsid w:val="00A85849"/>
    <w:rsid w:val="00A973AD"/>
    <w:rsid w:val="00AA218C"/>
    <w:rsid w:val="00AA4A0F"/>
    <w:rsid w:val="00AA7631"/>
    <w:rsid w:val="00AB6FDB"/>
    <w:rsid w:val="00AC4AFF"/>
    <w:rsid w:val="00AD09A4"/>
    <w:rsid w:val="00AD2A64"/>
    <w:rsid w:val="00AD6656"/>
    <w:rsid w:val="00AD665F"/>
    <w:rsid w:val="00AD7092"/>
    <w:rsid w:val="00AD7DF3"/>
    <w:rsid w:val="00AE707D"/>
    <w:rsid w:val="00AF05C7"/>
    <w:rsid w:val="00AF50F1"/>
    <w:rsid w:val="00AF76BB"/>
    <w:rsid w:val="00B028FD"/>
    <w:rsid w:val="00B167F1"/>
    <w:rsid w:val="00B20909"/>
    <w:rsid w:val="00B22FB2"/>
    <w:rsid w:val="00B23D06"/>
    <w:rsid w:val="00B258CC"/>
    <w:rsid w:val="00B26577"/>
    <w:rsid w:val="00B2739B"/>
    <w:rsid w:val="00B36DC6"/>
    <w:rsid w:val="00B434E5"/>
    <w:rsid w:val="00B53C4C"/>
    <w:rsid w:val="00B5551C"/>
    <w:rsid w:val="00B63B09"/>
    <w:rsid w:val="00B70635"/>
    <w:rsid w:val="00B717D5"/>
    <w:rsid w:val="00B930C2"/>
    <w:rsid w:val="00B96E06"/>
    <w:rsid w:val="00B97278"/>
    <w:rsid w:val="00BA0384"/>
    <w:rsid w:val="00BA29FC"/>
    <w:rsid w:val="00BB40FD"/>
    <w:rsid w:val="00BC2054"/>
    <w:rsid w:val="00BC2124"/>
    <w:rsid w:val="00BC69C9"/>
    <w:rsid w:val="00BD5138"/>
    <w:rsid w:val="00BD71D2"/>
    <w:rsid w:val="00BF1621"/>
    <w:rsid w:val="00BF5EAF"/>
    <w:rsid w:val="00C051F5"/>
    <w:rsid w:val="00C21902"/>
    <w:rsid w:val="00C33479"/>
    <w:rsid w:val="00C41DE7"/>
    <w:rsid w:val="00C43BA9"/>
    <w:rsid w:val="00C45BA8"/>
    <w:rsid w:val="00C5505C"/>
    <w:rsid w:val="00C57316"/>
    <w:rsid w:val="00C65884"/>
    <w:rsid w:val="00C668F1"/>
    <w:rsid w:val="00C66E6E"/>
    <w:rsid w:val="00C76C3F"/>
    <w:rsid w:val="00C817CE"/>
    <w:rsid w:val="00C841A9"/>
    <w:rsid w:val="00C867C8"/>
    <w:rsid w:val="00C87292"/>
    <w:rsid w:val="00C90DA6"/>
    <w:rsid w:val="00CA1CD5"/>
    <w:rsid w:val="00CA2AAC"/>
    <w:rsid w:val="00CA4E15"/>
    <w:rsid w:val="00CA5023"/>
    <w:rsid w:val="00CB07B9"/>
    <w:rsid w:val="00CB4BFE"/>
    <w:rsid w:val="00CD0A39"/>
    <w:rsid w:val="00CD2B35"/>
    <w:rsid w:val="00CD5F7C"/>
    <w:rsid w:val="00CD7774"/>
    <w:rsid w:val="00CF346C"/>
    <w:rsid w:val="00CF4535"/>
    <w:rsid w:val="00D10B03"/>
    <w:rsid w:val="00D10E2E"/>
    <w:rsid w:val="00D21714"/>
    <w:rsid w:val="00D238B7"/>
    <w:rsid w:val="00D23EB5"/>
    <w:rsid w:val="00D24DDF"/>
    <w:rsid w:val="00D25C7B"/>
    <w:rsid w:val="00D3305F"/>
    <w:rsid w:val="00D33F0D"/>
    <w:rsid w:val="00D34BA2"/>
    <w:rsid w:val="00D35C9F"/>
    <w:rsid w:val="00D3654A"/>
    <w:rsid w:val="00D36A6E"/>
    <w:rsid w:val="00D40556"/>
    <w:rsid w:val="00D417C3"/>
    <w:rsid w:val="00D459EF"/>
    <w:rsid w:val="00D51389"/>
    <w:rsid w:val="00D5450B"/>
    <w:rsid w:val="00D55CFD"/>
    <w:rsid w:val="00D57C7F"/>
    <w:rsid w:val="00D617E7"/>
    <w:rsid w:val="00D6317B"/>
    <w:rsid w:val="00D653B6"/>
    <w:rsid w:val="00D67B29"/>
    <w:rsid w:val="00D72475"/>
    <w:rsid w:val="00D72528"/>
    <w:rsid w:val="00D774E6"/>
    <w:rsid w:val="00D80689"/>
    <w:rsid w:val="00D8259B"/>
    <w:rsid w:val="00D831E6"/>
    <w:rsid w:val="00D8692E"/>
    <w:rsid w:val="00D93393"/>
    <w:rsid w:val="00D95892"/>
    <w:rsid w:val="00D96182"/>
    <w:rsid w:val="00DA0D17"/>
    <w:rsid w:val="00DA2744"/>
    <w:rsid w:val="00DA3248"/>
    <w:rsid w:val="00DA646C"/>
    <w:rsid w:val="00DB316D"/>
    <w:rsid w:val="00DB5657"/>
    <w:rsid w:val="00DD6F06"/>
    <w:rsid w:val="00DE7EF5"/>
    <w:rsid w:val="00E01F99"/>
    <w:rsid w:val="00E02893"/>
    <w:rsid w:val="00E03AF6"/>
    <w:rsid w:val="00E07BB5"/>
    <w:rsid w:val="00E14F8F"/>
    <w:rsid w:val="00E1519E"/>
    <w:rsid w:val="00E15D9A"/>
    <w:rsid w:val="00E20504"/>
    <w:rsid w:val="00E243A7"/>
    <w:rsid w:val="00E2654D"/>
    <w:rsid w:val="00E26E21"/>
    <w:rsid w:val="00E3147D"/>
    <w:rsid w:val="00E4712D"/>
    <w:rsid w:val="00E47653"/>
    <w:rsid w:val="00E50D47"/>
    <w:rsid w:val="00E51021"/>
    <w:rsid w:val="00E540D1"/>
    <w:rsid w:val="00E54BB7"/>
    <w:rsid w:val="00E604F0"/>
    <w:rsid w:val="00E621CC"/>
    <w:rsid w:val="00E63598"/>
    <w:rsid w:val="00E76BA4"/>
    <w:rsid w:val="00E81A42"/>
    <w:rsid w:val="00EA4F74"/>
    <w:rsid w:val="00EB12E2"/>
    <w:rsid w:val="00EB1462"/>
    <w:rsid w:val="00EB3508"/>
    <w:rsid w:val="00EB4BAA"/>
    <w:rsid w:val="00EB7966"/>
    <w:rsid w:val="00EC1071"/>
    <w:rsid w:val="00EC48D7"/>
    <w:rsid w:val="00ED3592"/>
    <w:rsid w:val="00ED40E3"/>
    <w:rsid w:val="00EE35DA"/>
    <w:rsid w:val="00EE6F3D"/>
    <w:rsid w:val="00EF31D3"/>
    <w:rsid w:val="00F00AD5"/>
    <w:rsid w:val="00F027A4"/>
    <w:rsid w:val="00F045EB"/>
    <w:rsid w:val="00F07665"/>
    <w:rsid w:val="00F10606"/>
    <w:rsid w:val="00F110FD"/>
    <w:rsid w:val="00F1475C"/>
    <w:rsid w:val="00F202B5"/>
    <w:rsid w:val="00F224E6"/>
    <w:rsid w:val="00F24CFB"/>
    <w:rsid w:val="00F301D1"/>
    <w:rsid w:val="00F3107D"/>
    <w:rsid w:val="00F31FAE"/>
    <w:rsid w:val="00F3273E"/>
    <w:rsid w:val="00F335CF"/>
    <w:rsid w:val="00F45410"/>
    <w:rsid w:val="00F53673"/>
    <w:rsid w:val="00F54E2A"/>
    <w:rsid w:val="00F55574"/>
    <w:rsid w:val="00F56DCC"/>
    <w:rsid w:val="00F57510"/>
    <w:rsid w:val="00F57A5E"/>
    <w:rsid w:val="00F63B9E"/>
    <w:rsid w:val="00F67712"/>
    <w:rsid w:val="00F77A9A"/>
    <w:rsid w:val="00F807F8"/>
    <w:rsid w:val="00FA0210"/>
    <w:rsid w:val="00FA686C"/>
    <w:rsid w:val="00FC0B1B"/>
    <w:rsid w:val="00FC5CCD"/>
    <w:rsid w:val="00FC6C7A"/>
    <w:rsid w:val="00FD4467"/>
    <w:rsid w:val="00FD696D"/>
    <w:rsid w:val="00FD7117"/>
    <w:rsid w:val="00FE2895"/>
    <w:rsid w:val="00FE45D8"/>
    <w:rsid w:val="00FE680D"/>
    <w:rsid w:val="00FF41AA"/>
    <w:rsid w:val="00FF7D5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822A0"/>
  </w:style>
  <w:style w:type="paragraph" w:styleId="Nadpis1">
    <w:name w:val="heading 1"/>
    <w:basedOn w:val="Normln"/>
    <w:next w:val="Normln"/>
    <w:link w:val="Nadpis1Char"/>
    <w:uiPriority w:val="9"/>
    <w:qFormat/>
    <w:rsid w:val="00514F3C"/>
    <w:pPr>
      <w:keepNext/>
      <w:keepLines/>
      <w:spacing w:before="480" w:after="120"/>
      <w:outlineLvl w:val="0"/>
    </w:pPr>
    <w:rPr>
      <w:rFonts w:asciiTheme="majorHAnsi" w:eastAsiaTheme="majorEastAsia" w:hAnsiTheme="majorHAnsi" w:cstheme="majorBidi"/>
      <w:b/>
      <w:bCs/>
      <w:color w:val="365F91" w:themeColor="accent1" w:themeShade="BF"/>
      <w:sz w:val="36"/>
      <w:szCs w:val="28"/>
    </w:rPr>
  </w:style>
  <w:style w:type="paragraph" w:styleId="Nadpis2">
    <w:name w:val="heading 2"/>
    <w:basedOn w:val="Normln"/>
    <w:next w:val="Normln"/>
    <w:link w:val="Nadpis2Char"/>
    <w:uiPriority w:val="9"/>
    <w:unhideWhenUsed/>
    <w:qFormat/>
    <w:rsid w:val="00514F3C"/>
    <w:pPr>
      <w:keepNext/>
      <w:keepLines/>
      <w:spacing w:before="200" w:after="120"/>
      <w:outlineLvl w:val="1"/>
    </w:pPr>
    <w:rPr>
      <w:rFonts w:asciiTheme="majorHAnsi" w:eastAsiaTheme="majorEastAsia" w:hAnsiTheme="majorHAnsi" w:cstheme="majorBidi"/>
      <w:b/>
      <w:bCs/>
      <w:color w:val="4F81BD" w:themeColor="accent1"/>
      <w:sz w:val="32"/>
      <w:szCs w:val="26"/>
    </w:rPr>
  </w:style>
  <w:style w:type="paragraph" w:styleId="Nadpis3">
    <w:name w:val="heading 3"/>
    <w:basedOn w:val="Normln"/>
    <w:next w:val="Normln"/>
    <w:link w:val="Nadpis3Char"/>
    <w:uiPriority w:val="9"/>
    <w:unhideWhenUsed/>
    <w:qFormat/>
    <w:rsid w:val="00514F3C"/>
    <w:pPr>
      <w:keepNext/>
      <w:keepLines/>
      <w:spacing w:before="200" w:after="120"/>
      <w:outlineLvl w:val="2"/>
    </w:pPr>
    <w:rPr>
      <w:rFonts w:asciiTheme="majorHAnsi" w:eastAsiaTheme="majorEastAsia" w:hAnsiTheme="majorHAnsi" w:cstheme="majorBidi"/>
      <w:b/>
      <w:bCs/>
      <w:color w:val="4F81BD" w:themeColor="accent1"/>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514F3C"/>
    <w:rPr>
      <w:rFonts w:asciiTheme="majorHAnsi" w:eastAsiaTheme="majorEastAsia" w:hAnsiTheme="majorHAnsi" w:cstheme="majorBidi"/>
      <w:b/>
      <w:bCs/>
      <w:color w:val="365F91" w:themeColor="accent1" w:themeShade="BF"/>
      <w:sz w:val="36"/>
      <w:szCs w:val="28"/>
    </w:rPr>
  </w:style>
  <w:style w:type="paragraph" w:styleId="Odstavecseseznamem">
    <w:name w:val="List Paragraph"/>
    <w:basedOn w:val="Normln"/>
    <w:uiPriority w:val="34"/>
    <w:qFormat/>
    <w:rsid w:val="000822A0"/>
    <w:pPr>
      <w:ind w:left="720"/>
      <w:contextualSpacing/>
    </w:pPr>
  </w:style>
  <w:style w:type="paragraph" w:styleId="Zhlav">
    <w:name w:val="header"/>
    <w:basedOn w:val="Normln"/>
    <w:link w:val="ZhlavChar"/>
    <w:uiPriority w:val="99"/>
    <w:unhideWhenUsed/>
    <w:rsid w:val="000822A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822A0"/>
  </w:style>
  <w:style w:type="paragraph" w:styleId="Zpat">
    <w:name w:val="footer"/>
    <w:basedOn w:val="Normln"/>
    <w:link w:val="ZpatChar"/>
    <w:uiPriority w:val="99"/>
    <w:unhideWhenUsed/>
    <w:rsid w:val="000822A0"/>
    <w:pPr>
      <w:tabs>
        <w:tab w:val="center" w:pos="4536"/>
        <w:tab w:val="right" w:pos="9072"/>
      </w:tabs>
      <w:spacing w:after="0" w:line="240" w:lineRule="auto"/>
    </w:pPr>
  </w:style>
  <w:style w:type="character" w:customStyle="1" w:styleId="ZpatChar">
    <w:name w:val="Zápatí Char"/>
    <w:basedOn w:val="Standardnpsmoodstavce"/>
    <w:link w:val="Zpat"/>
    <w:uiPriority w:val="99"/>
    <w:rsid w:val="000822A0"/>
  </w:style>
  <w:style w:type="character" w:styleId="Hypertextovodkaz">
    <w:name w:val="Hyperlink"/>
    <w:basedOn w:val="Standardnpsmoodstavce"/>
    <w:uiPriority w:val="99"/>
    <w:unhideWhenUsed/>
    <w:rsid w:val="00956D00"/>
    <w:rPr>
      <w:rFonts w:ascii="Arial" w:hAnsi="Arial"/>
      <w:strike w:val="0"/>
      <w:dstrike w:val="0"/>
      <w:color w:val="00559A"/>
      <w:u w:val="none"/>
      <w:effect w:val="none"/>
    </w:rPr>
  </w:style>
  <w:style w:type="paragraph" w:styleId="Podtitul">
    <w:name w:val="Subtitle"/>
    <w:aliases w:val="nadpis 2"/>
    <w:basedOn w:val="Normln"/>
    <w:next w:val="Normln"/>
    <w:link w:val="PodtitulChar"/>
    <w:qFormat/>
    <w:rsid w:val="000822A0"/>
    <w:pPr>
      <w:keepNext/>
      <w:numPr>
        <w:ilvl w:val="1"/>
        <w:numId w:val="3"/>
      </w:numPr>
      <w:spacing w:before="120" w:after="120" w:line="240" w:lineRule="auto"/>
      <w:ind w:left="788" w:hanging="431"/>
    </w:pPr>
    <w:rPr>
      <w:rFonts w:asciiTheme="majorHAnsi" w:eastAsiaTheme="majorEastAsia" w:hAnsiTheme="majorHAnsi" w:cstheme="majorBidi"/>
      <w:b/>
      <w:iCs/>
      <w:spacing w:val="15"/>
      <w:sz w:val="24"/>
      <w:szCs w:val="24"/>
      <w:lang w:eastAsia="cs-CZ"/>
    </w:rPr>
  </w:style>
  <w:style w:type="character" w:customStyle="1" w:styleId="PodtitulChar">
    <w:name w:val="Podtitul Char"/>
    <w:aliases w:val="nadpis 2 Char"/>
    <w:basedOn w:val="Standardnpsmoodstavce"/>
    <w:link w:val="Podtitul"/>
    <w:rsid w:val="000822A0"/>
    <w:rPr>
      <w:rFonts w:asciiTheme="majorHAnsi" w:eastAsiaTheme="majorEastAsia" w:hAnsiTheme="majorHAnsi" w:cstheme="majorBidi"/>
      <w:b/>
      <w:iCs/>
      <w:spacing w:val="15"/>
      <w:sz w:val="24"/>
      <w:szCs w:val="24"/>
      <w:lang w:eastAsia="cs-CZ"/>
    </w:rPr>
  </w:style>
  <w:style w:type="paragraph" w:styleId="Nzev">
    <w:name w:val="Title"/>
    <w:basedOn w:val="Normln"/>
    <w:next w:val="Normln"/>
    <w:link w:val="NzevChar"/>
    <w:qFormat/>
    <w:rsid w:val="000822A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cs-CZ"/>
    </w:rPr>
  </w:style>
  <w:style w:type="character" w:customStyle="1" w:styleId="NzevChar">
    <w:name w:val="Název Char"/>
    <w:basedOn w:val="Standardnpsmoodstavce"/>
    <w:link w:val="Nzev"/>
    <w:rsid w:val="000822A0"/>
    <w:rPr>
      <w:rFonts w:asciiTheme="majorHAnsi" w:eastAsiaTheme="majorEastAsia" w:hAnsiTheme="majorHAnsi" w:cstheme="majorBidi"/>
      <w:color w:val="17365D" w:themeColor="text2" w:themeShade="BF"/>
      <w:spacing w:val="5"/>
      <w:kern w:val="28"/>
      <w:sz w:val="52"/>
      <w:szCs w:val="52"/>
      <w:lang w:eastAsia="cs-CZ"/>
    </w:rPr>
  </w:style>
  <w:style w:type="paragraph" w:styleId="Textpoznpodarou">
    <w:name w:val="footnote text"/>
    <w:basedOn w:val="Normln"/>
    <w:link w:val="TextpoznpodarouChar"/>
    <w:rsid w:val="00145813"/>
    <w:pPr>
      <w:spacing w:after="0" w:line="240" w:lineRule="auto"/>
      <w:jc w:val="both"/>
    </w:pPr>
    <w:rPr>
      <w:rFonts w:ascii="Arial" w:eastAsia="Times New Roman" w:hAnsi="Arial" w:cs="Times New Roman"/>
      <w:sz w:val="18"/>
      <w:szCs w:val="20"/>
      <w:lang w:eastAsia="cs-CZ"/>
    </w:rPr>
  </w:style>
  <w:style w:type="character" w:customStyle="1" w:styleId="TextpoznpodarouChar">
    <w:name w:val="Text pozn. pod čarou Char"/>
    <w:basedOn w:val="Standardnpsmoodstavce"/>
    <w:link w:val="Textpoznpodarou"/>
    <w:rsid w:val="00145813"/>
    <w:rPr>
      <w:rFonts w:ascii="Arial" w:eastAsia="Times New Roman" w:hAnsi="Arial" w:cs="Times New Roman"/>
      <w:sz w:val="18"/>
      <w:szCs w:val="20"/>
      <w:lang w:eastAsia="cs-CZ"/>
    </w:rPr>
  </w:style>
  <w:style w:type="character" w:styleId="Znakapoznpodarou">
    <w:name w:val="footnote reference"/>
    <w:basedOn w:val="Standardnpsmoodstavce"/>
    <w:rsid w:val="000822A0"/>
    <w:rPr>
      <w:vertAlign w:val="superscript"/>
    </w:rPr>
  </w:style>
  <w:style w:type="paragraph" w:styleId="Textbubliny">
    <w:name w:val="Balloon Text"/>
    <w:basedOn w:val="Normln"/>
    <w:link w:val="TextbublinyChar"/>
    <w:uiPriority w:val="99"/>
    <w:semiHidden/>
    <w:unhideWhenUsed/>
    <w:rsid w:val="000822A0"/>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822A0"/>
    <w:rPr>
      <w:rFonts w:ascii="Tahoma" w:hAnsi="Tahoma" w:cs="Tahoma"/>
      <w:sz w:val="16"/>
      <w:szCs w:val="16"/>
    </w:rPr>
  </w:style>
  <w:style w:type="paragraph" w:styleId="Normlnweb">
    <w:name w:val="Normal (Web)"/>
    <w:basedOn w:val="Normln"/>
    <w:uiPriority w:val="99"/>
    <w:semiHidden/>
    <w:unhideWhenUsed/>
    <w:rsid w:val="000822A0"/>
    <w:rPr>
      <w:rFonts w:ascii="Times New Roman" w:hAnsi="Times New Roman" w:cs="Times New Roman"/>
      <w:sz w:val="24"/>
      <w:szCs w:val="24"/>
    </w:rPr>
  </w:style>
  <w:style w:type="character" w:styleId="Odkaznakoment">
    <w:name w:val="annotation reference"/>
    <w:basedOn w:val="Standardnpsmoodstavce"/>
    <w:uiPriority w:val="99"/>
    <w:rsid w:val="00C41DE7"/>
    <w:rPr>
      <w:sz w:val="16"/>
      <w:szCs w:val="16"/>
    </w:rPr>
  </w:style>
  <w:style w:type="paragraph" w:styleId="Textkomente">
    <w:name w:val="annotation text"/>
    <w:basedOn w:val="Normln"/>
    <w:link w:val="TextkomenteChar"/>
    <w:uiPriority w:val="99"/>
    <w:rsid w:val="00C41DE7"/>
    <w:pPr>
      <w:spacing w:after="0" w:line="240" w:lineRule="auto"/>
    </w:pPr>
    <w:rPr>
      <w:rFonts w:ascii="Times New Roman" w:eastAsia="Times New Roman" w:hAnsi="Times New Roman" w:cs="Times New Roman"/>
      <w:sz w:val="20"/>
      <w:szCs w:val="20"/>
      <w:lang w:eastAsia="cs-CZ"/>
    </w:rPr>
  </w:style>
  <w:style w:type="character" w:customStyle="1" w:styleId="TextkomenteChar">
    <w:name w:val="Text komentáře Char"/>
    <w:basedOn w:val="Standardnpsmoodstavce"/>
    <w:link w:val="Textkomente"/>
    <w:uiPriority w:val="99"/>
    <w:rsid w:val="00C41DE7"/>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6A04BF"/>
    <w:pPr>
      <w:spacing w:after="200"/>
    </w:pPr>
    <w:rPr>
      <w:rFonts w:asciiTheme="minorHAnsi" w:eastAsiaTheme="minorHAnsi" w:hAnsiTheme="minorHAnsi" w:cstheme="minorBidi"/>
      <w:b/>
      <w:bCs/>
      <w:lang w:eastAsia="en-US"/>
    </w:rPr>
  </w:style>
  <w:style w:type="character" w:customStyle="1" w:styleId="PedmtkomenteChar">
    <w:name w:val="Předmět komentáře Char"/>
    <w:basedOn w:val="TextkomenteChar"/>
    <w:link w:val="Pedmtkomente"/>
    <w:uiPriority w:val="99"/>
    <w:semiHidden/>
    <w:rsid w:val="006A04BF"/>
    <w:rPr>
      <w:rFonts w:ascii="Times New Roman" w:eastAsia="Times New Roman" w:hAnsi="Times New Roman" w:cs="Times New Roman"/>
      <w:b/>
      <w:bCs/>
      <w:sz w:val="20"/>
      <w:szCs w:val="20"/>
      <w:lang w:eastAsia="cs-CZ"/>
    </w:rPr>
  </w:style>
  <w:style w:type="paragraph" w:styleId="Revize">
    <w:name w:val="Revision"/>
    <w:hidden/>
    <w:uiPriority w:val="99"/>
    <w:semiHidden/>
    <w:rsid w:val="006A04BF"/>
    <w:pPr>
      <w:spacing w:after="0" w:line="240" w:lineRule="auto"/>
    </w:pPr>
  </w:style>
  <w:style w:type="paragraph" w:customStyle="1" w:styleId="Obrzek-nadpis">
    <w:name w:val="Obrázek - nadpis"/>
    <w:basedOn w:val="Normln"/>
    <w:qFormat/>
    <w:rsid w:val="00E15D9A"/>
    <w:pPr>
      <w:keepNext/>
      <w:spacing w:before="120" w:after="240" w:line="240" w:lineRule="auto"/>
      <w:jc w:val="both"/>
    </w:pPr>
    <w:rPr>
      <w:rFonts w:ascii="Arial" w:eastAsia="Times New Roman" w:hAnsi="Arial" w:cs="Times New Roman"/>
      <w:b/>
      <w:szCs w:val="24"/>
      <w:lang w:eastAsia="cs-CZ"/>
    </w:rPr>
  </w:style>
  <w:style w:type="paragraph" w:customStyle="1" w:styleId="Zdroj">
    <w:name w:val="Zdroj"/>
    <w:basedOn w:val="Normln"/>
    <w:qFormat/>
    <w:rsid w:val="00AD6656"/>
    <w:pPr>
      <w:spacing w:before="120" w:after="120" w:line="240" w:lineRule="auto"/>
    </w:pPr>
    <w:rPr>
      <w:rFonts w:ascii="Arial" w:eastAsia="Times New Roman" w:hAnsi="Arial" w:cs="Times New Roman"/>
      <w:i/>
      <w:sz w:val="18"/>
      <w:szCs w:val="24"/>
      <w:lang w:eastAsia="cs-CZ"/>
    </w:rPr>
  </w:style>
  <w:style w:type="paragraph" w:customStyle="1" w:styleId="komentzaobrzkem">
    <w:name w:val="komentář za obrázkem"/>
    <w:basedOn w:val="Normln"/>
    <w:qFormat/>
    <w:rsid w:val="00055617"/>
    <w:pPr>
      <w:spacing w:after="60" w:line="240" w:lineRule="auto"/>
      <w:jc w:val="both"/>
    </w:pPr>
    <w:rPr>
      <w:rFonts w:ascii="Arial" w:eastAsia="Times New Roman" w:hAnsi="Arial" w:cs="Times New Roman"/>
      <w:i/>
      <w:sz w:val="18"/>
      <w:szCs w:val="24"/>
      <w:lang w:eastAsia="cs-CZ"/>
    </w:rPr>
  </w:style>
  <w:style w:type="paragraph" w:customStyle="1" w:styleId="komentzaobrzkem-odrky">
    <w:name w:val="komentář za obrázkem - odrážky"/>
    <w:basedOn w:val="komentzaobrzkem"/>
    <w:qFormat/>
    <w:rsid w:val="00055617"/>
    <w:pPr>
      <w:numPr>
        <w:ilvl w:val="2"/>
        <w:numId w:val="2"/>
      </w:numPr>
      <w:spacing w:after="0"/>
    </w:pPr>
  </w:style>
  <w:style w:type="paragraph" w:customStyle="1" w:styleId="NadpisurovenI">
    <w:name w:val="Nadpis_uroven_I"/>
    <w:basedOn w:val="Normln"/>
    <w:qFormat/>
    <w:rsid w:val="00DA646C"/>
    <w:pPr>
      <w:keepNext/>
      <w:keepLines/>
      <w:spacing w:before="240" w:after="240" w:line="240" w:lineRule="auto"/>
      <w:outlineLvl w:val="0"/>
    </w:pPr>
    <w:rPr>
      <w:rFonts w:asciiTheme="majorHAnsi" w:eastAsiaTheme="majorEastAsia" w:hAnsiTheme="majorHAnsi" w:cstheme="majorBidi"/>
      <w:b/>
      <w:bCs/>
      <w:color w:val="365F91" w:themeColor="accent1" w:themeShade="BF"/>
      <w:sz w:val="28"/>
      <w:szCs w:val="28"/>
      <w:lang w:eastAsia="cs-CZ"/>
    </w:rPr>
  </w:style>
  <w:style w:type="paragraph" w:customStyle="1" w:styleId="NadpisurovemII">
    <w:name w:val="Nadpis_urovem_II"/>
    <w:basedOn w:val="NadpisurovenI"/>
    <w:qFormat/>
    <w:rsid w:val="000C142B"/>
    <w:pPr>
      <w:spacing w:before="120" w:after="120"/>
    </w:pPr>
    <w:rPr>
      <w:sz w:val="24"/>
    </w:rPr>
  </w:style>
  <w:style w:type="paragraph" w:customStyle="1" w:styleId="Platformanadpis">
    <w:name w:val="Platforma_nadpis"/>
    <w:basedOn w:val="Normln"/>
    <w:qFormat/>
    <w:rsid w:val="00613032"/>
    <w:pPr>
      <w:spacing w:before="120" w:after="120" w:line="240" w:lineRule="auto"/>
      <w:jc w:val="both"/>
    </w:pPr>
    <w:rPr>
      <w:rFonts w:ascii="Arial" w:eastAsia="Times New Roman" w:hAnsi="Arial" w:cs="Arial"/>
      <w:b/>
      <w:lang w:eastAsia="cs-CZ"/>
    </w:rPr>
  </w:style>
  <w:style w:type="paragraph" w:styleId="Nadpisobsahu">
    <w:name w:val="TOC Heading"/>
    <w:basedOn w:val="Nadpis1"/>
    <w:next w:val="Normln"/>
    <w:uiPriority w:val="39"/>
    <w:semiHidden/>
    <w:unhideWhenUsed/>
    <w:qFormat/>
    <w:rsid w:val="001309B5"/>
    <w:pPr>
      <w:outlineLvl w:val="9"/>
    </w:pPr>
    <w:rPr>
      <w:lang w:eastAsia="cs-CZ"/>
    </w:rPr>
  </w:style>
  <w:style w:type="paragraph" w:styleId="Obsah1">
    <w:name w:val="toc 1"/>
    <w:basedOn w:val="Normln"/>
    <w:next w:val="Normln"/>
    <w:autoRedefine/>
    <w:uiPriority w:val="39"/>
    <w:unhideWhenUsed/>
    <w:qFormat/>
    <w:rsid w:val="00956D00"/>
    <w:pPr>
      <w:spacing w:after="100"/>
    </w:pPr>
    <w:rPr>
      <w:rFonts w:ascii="Arial" w:hAnsi="Arial"/>
    </w:rPr>
  </w:style>
  <w:style w:type="paragraph" w:styleId="Obsah2">
    <w:name w:val="toc 2"/>
    <w:basedOn w:val="Normln"/>
    <w:next w:val="Normln"/>
    <w:autoRedefine/>
    <w:uiPriority w:val="39"/>
    <w:unhideWhenUsed/>
    <w:qFormat/>
    <w:rsid w:val="00956D00"/>
    <w:pPr>
      <w:spacing w:after="100"/>
      <w:ind w:left="220"/>
    </w:pPr>
    <w:rPr>
      <w:rFonts w:ascii="Arial" w:eastAsiaTheme="minorEastAsia" w:hAnsi="Arial"/>
      <w:lang w:eastAsia="cs-CZ"/>
    </w:rPr>
  </w:style>
  <w:style w:type="paragraph" w:styleId="Obsah3">
    <w:name w:val="toc 3"/>
    <w:basedOn w:val="Normln"/>
    <w:next w:val="Normln"/>
    <w:autoRedefine/>
    <w:uiPriority w:val="39"/>
    <w:unhideWhenUsed/>
    <w:qFormat/>
    <w:rsid w:val="00956D00"/>
    <w:pPr>
      <w:spacing w:after="100"/>
      <w:ind w:left="440"/>
    </w:pPr>
    <w:rPr>
      <w:rFonts w:ascii="Arial" w:eastAsiaTheme="minorEastAsia" w:hAnsi="Arial"/>
      <w:lang w:eastAsia="cs-CZ"/>
    </w:rPr>
  </w:style>
  <w:style w:type="character" w:customStyle="1" w:styleId="Nadpis2Char">
    <w:name w:val="Nadpis 2 Char"/>
    <w:basedOn w:val="Standardnpsmoodstavce"/>
    <w:link w:val="Nadpis2"/>
    <w:uiPriority w:val="9"/>
    <w:rsid w:val="00514F3C"/>
    <w:rPr>
      <w:rFonts w:asciiTheme="majorHAnsi" w:eastAsiaTheme="majorEastAsia" w:hAnsiTheme="majorHAnsi" w:cstheme="majorBidi"/>
      <w:b/>
      <w:bCs/>
      <w:color w:val="4F81BD" w:themeColor="accent1"/>
      <w:sz w:val="32"/>
      <w:szCs w:val="26"/>
    </w:rPr>
  </w:style>
  <w:style w:type="character" w:customStyle="1" w:styleId="Nadpis3Char">
    <w:name w:val="Nadpis 3 Char"/>
    <w:basedOn w:val="Standardnpsmoodstavce"/>
    <w:link w:val="Nadpis3"/>
    <w:uiPriority w:val="9"/>
    <w:rsid w:val="00514F3C"/>
    <w:rPr>
      <w:rFonts w:asciiTheme="majorHAnsi" w:eastAsiaTheme="majorEastAsia" w:hAnsiTheme="majorHAnsi" w:cstheme="majorBidi"/>
      <w:b/>
      <w:bCs/>
      <w:color w:val="4F81BD" w:themeColor="accent1"/>
      <w:sz w:val="28"/>
    </w:rPr>
  </w:style>
  <w:style w:type="character" w:styleId="Zstupntext">
    <w:name w:val="Placeholder Text"/>
    <w:basedOn w:val="Standardnpsmoodstavce"/>
    <w:uiPriority w:val="99"/>
    <w:semiHidden/>
    <w:rsid w:val="006338C7"/>
    <w:rPr>
      <w:color w:val="808080"/>
    </w:rPr>
  </w:style>
  <w:style w:type="paragraph" w:styleId="Bezmezer">
    <w:name w:val="No Spacing"/>
    <w:uiPriority w:val="1"/>
    <w:qFormat/>
    <w:rsid w:val="006338C7"/>
    <w:pPr>
      <w:spacing w:after="0" w:line="240" w:lineRule="auto"/>
    </w:pPr>
  </w:style>
  <w:style w:type="paragraph" w:styleId="Textvysvtlivek">
    <w:name w:val="endnote text"/>
    <w:basedOn w:val="Normln"/>
    <w:link w:val="TextvysvtlivekChar"/>
    <w:uiPriority w:val="99"/>
    <w:unhideWhenUsed/>
    <w:rsid w:val="006338C7"/>
    <w:pPr>
      <w:spacing w:after="0" w:line="240" w:lineRule="auto"/>
    </w:pPr>
    <w:rPr>
      <w:sz w:val="20"/>
      <w:szCs w:val="20"/>
    </w:rPr>
  </w:style>
  <w:style w:type="character" w:customStyle="1" w:styleId="TextvysvtlivekChar">
    <w:name w:val="Text vysvětlivek Char"/>
    <w:basedOn w:val="Standardnpsmoodstavce"/>
    <w:link w:val="Textvysvtlivek"/>
    <w:uiPriority w:val="99"/>
    <w:rsid w:val="006338C7"/>
    <w:rPr>
      <w:sz w:val="20"/>
      <w:szCs w:val="20"/>
    </w:rPr>
  </w:style>
  <w:style w:type="table" w:styleId="Mkatabulky">
    <w:name w:val="Table Grid"/>
    <w:basedOn w:val="Normlntabulka"/>
    <w:uiPriority w:val="59"/>
    <w:rsid w:val="00D33F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AD70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822A0"/>
  </w:style>
  <w:style w:type="paragraph" w:styleId="Nadpis1">
    <w:name w:val="heading 1"/>
    <w:basedOn w:val="Normln"/>
    <w:next w:val="Normln"/>
    <w:link w:val="Nadpis1Char"/>
    <w:uiPriority w:val="9"/>
    <w:qFormat/>
    <w:rsid w:val="00514F3C"/>
    <w:pPr>
      <w:keepNext/>
      <w:keepLines/>
      <w:spacing w:before="480" w:after="120"/>
      <w:outlineLvl w:val="0"/>
    </w:pPr>
    <w:rPr>
      <w:rFonts w:asciiTheme="majorHAnsi" w:eastAsiaTheme="majorEastAsia" w:hAnsiTheme="majorHAnsi" w:cstheme="majorBidi"/>
      <w:b/>
      <w:bCs/>
      <w:color w:val="365F91" w:themeColor="accent1" w:themeShade="BF"/>
      <w:sz w:val="36"/>
      <w:szCs w:val="28"/>
    </w:rPr>
  </w:style>
  <w:style w:type="paragraph" w:styleId="Nadpis2">
    <w:name w:val="heading 2"/>
    <w:basedOn w:val="Normln"/>
    <w:next w:val="Normln"/>
    <w:link w:val="Nadpis2Char"/>
    <w:uiPriority w:val="9"/>
    <w:unhideWhenUsed/>
    <w:qFormat/>
    <w:rsid w:val="00514F3C"/>
    <w:pPr>
      <w:keepNext/>
      <w:keepLines/>
      <w:spacing w:before="200" w:after="120"/>
      <w:outlineLvl w:val="1"/>
    </w:pPr>
    <w:rPr>
      <w:rFonts w:asciiTheme="majorHAnsi" w:eastAsiaTheme="majorEastAsia" w:hAnsiTheme="majorHAnsi" w:cstheme="majorBidi"/>
      <w:b/>
      <w:bCs/>
      <w:color w:val="4F81BD" w:themeColor="accent1"/>
      <w:sz w:val="32"/>
      <w:szCs w:val="26"/>
    </w:rPr>
  </w:style>
  <w:style w:type="paragraph" w:styleId="Nadpis3">
    <w:name w:val="heading 3"/>
    <w:basedOn w:val="Normln"/>
    <w:next w:val="Normln"/>
    <w:link w:val="Nadpis3Char"/>
    <w:uiPriority w:val="9"/>
    <w:unhideWhenUsed/>
    <w:qFormat/>
    <w:rsid w:val="00514F3C"/>
    <w:pPr>
      <w:keepNext/>
      <w:keepLines/>
      <w:spacing w:before="200" w:after="120"/>
      <w:outlineLvl w:val="2"/>
    </w:pPr>
    <w:rPr>
      <w:rFonts w:asciiTheme="majorHAnsi" w:eastAsiaTheme="majorEastAsia" w:hAnsiTheme="majorHAnsi" w:cstheme="majorBidi"/>
      <w:b/>
      <w:bCs/>
      <w:color w:val="4F81BD" w:themeColor="accent1"/>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514F3C"/>
    <w:rPr>
      <w:rFonts w:asciiTheme="majorHAnsi" w:eastAsiaTheme="majorEastAsia" w:hAnsiTheme="majorHAnsi" w:cstheme="majorBidi"/>
      <w:b/>
      <w:bCs/>
      <w:color w:val="365F91" w:themeColor="accent1" w:themeShade="BF"/>
      <w:sz w:val="36"/>
      <w:szCs w:val="28"/>
    </w:rPr>
  </w:style>
  <w:style w:type="paragraph" w:styleId="Odstavecseseznamem">
    <w:name w:val="List Paragraph"/>
    <w:basedOn w:val="Normln"/>
    <w:uiPriority w:val="34"/>
    <w:qFormat/>
    <w:rsid w:val="000822A0"/>
    <w:pPr>
      <w:ind w:left="720"/>
      <w:contextualSpacing/>
    </w:pPr>
  </w:style>
  <w:style w:type="paragraph" w:styleId="Zhlav">
    <w:name w:val="header"/>
    <w:basedOn w:val="Normln"/>
    <w:link w:val="ZhlavChar"/>
    <w:uiPriority w:val="99"/>
    <w:unhideWhenUsed/>
    <w:rsid w:val="000822A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822A0"/>
  </w:style>
  <w:style w:type="paragraph" w:styleId="Zpat">
    <w:name w:val="footer"/>
    <w:basedOn w:val="Normln"/>
    <w:link w:val="ZpatChar"/>
    <w:uiPriority w:val="99"/>
    <w:unhideWhenUsed/>
    <w:rsid w:val="000822A0"/>
    <w:pPr>
      <w:tabs>
        <w:tab w:val="center" w:pos="4536"/>
        <w:tab w:val="right" w:pos="9072"/>
      </w:tabs>
      <w:spacing w:after="0" w:line="240" w:lineRule="auto"/>
    </w:pPr>
  </w:style>
  <w:style w:type="character" w:customStyle="1" w:styleId="ZpatChar">
    <w:name w:val="Zápatí Char"/>
    <w:basedOn w:val="Standardnpsmoodstavce"/>
    <w:link w:val="Zpat"/>
    <w:uiPriority w:val="99"/>
    <w:rsid w:val="000822A0"/>
  </w:style>
  <w:style w:type="character" w:styleId="Hypertextovodkaz">
    <w:name w:val="Hyperlink"/>
    <w:basedOn w:val="Standardnpsmoodstavce"/>
    <w:uiPriority w:val="99"/>
    <w:unhideWhenUsed/>
    <w:rsid w:val="00956D00"/>
    <w:rPr>
      <w:rFonts w:ascii="Arial" w:hAnsi="Arial"/>
      <w:strike w:val="0"/>
      <w:dstrike w:val="0"/>
      <w:color w:val="00559A"/>
      <w:u w:val="none"/>
      <w:effect w:val="none"/>
    </w:rPr>
  </w:style>
  <w:style w:type="paragraph" w:styleId="Podtitul">
    <w:name w:val="Subtitle"/>
    <w:aliases w:val="nadpis 2"/>
    <w:basedOn w:val="Normln"/>
    <w:next w:val="Normln"/>
    <w:link w:val="PodtitulChar"/>
    <w:qFormat/>
    <w:rsid w:val="000822A0"/>
    <w:pPr>
      <w:keepNext/>
      <w:numPr>
        <w:ilvl w:val="1"/>
        <w:numId w:val="3"/>
      </w:numPr>
      <w:spacing w:before="120" w:after="120" w:line="240" w:lineRule="auto"/>
      <w:ind w:left="788" w:hanging="431"/>
    </w:pPr>
    <w:rPr>
      <w:rFonts w:asciiTheme="majorHAnsi" w:eastAsiaTheme="majorEastAsia" w:hAnsiTheme="majorHAnsi" w:cstheme="majorBidi"/>
      <w:b/>
      <w:iCs/>
      <w:spacing w:val="15"/>
      <w:sz w:val="24"/>
      <w:szCs w:val="24"/>
      <w:lang w:eastAsia="cs-CZ"/>
    </w:rPr>
  </w:style>
  <w:style w:type="character" w:customStyle="1" w:styleId="PodtitulChar">
    <w:name w:val="Podtitul Char"/>
    <w:aliases w:val="nadpis 2 Char"/>
    <w:basedOn w:val="Standardnpsmoodstavce"/>
    <w:link w:val="Podtitul"/>
    <w:rsid w:val="000822A0"/>
    <w:rPr>
      <w:rFonts w:asciiTheme="majorHAnsi" w:eastAsiaTheme="majorEastAsia" w:hAnsiTheme="majorHAnsi" w:cstheme="majorBidi"/>
      <w:b/>
      <w:iCs/>
      <w:spacing w:val="15"/>
      <w:sz w:val="24"/>
      <w:szCs w:val="24"/>
      <w:lang w:eastAsia="cs-CZ"/>
    </w:rPr>
  </w:style>
  <w:style w:type="paragraph" w:styleId="Nzev">
    <w:name w:val="Title"/>
    <w:basedOn w:val="Normln"/>
    <w:next w:val="Normln"/>
    <w:link w:val="NzevChar"/>
    <w:qFormat/>
    <w:rsid w:val="000822A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cs-CZ"/>
    </w:rPr>
  </w:style>
  <w:style w:type="character" w:customStyle="1" w:styleId="NzevChar">
    <w:name w:val="Název Char"/>
    <w:basedOn w:val="Standardnpsmoodstavce"/>
    <w:link w:val="Nzev"/>
    <w:rsid w:val="000822A0"/>
    <w:rPr>
      <w:rFonts w:asciiTheme="majorHAnsi" w:eastAsiaTheme="majorEastAsia" w:hAnsiTheme="majorHAnsi" w:cstheme="majorBidi"/>
      <w:color w:val="17365D" w:themeColor="text2" w:themeShade="BF"/>
      <w:spacing w:val="5"/>
      <w:kern w:val="28"/>
      <w:sz w:val="52"/>
      <w:szCs w:val="52"/>
      <w:lang w:eastAsia="cs-CZ"/>
    </w:rPr>
  </w:style>
  <w:style w:type="paragraph" w:styleId="Textpoznpodarou">
    <w:name w:val="footnote text"/>
    <w:basedOn w:val="Normln"/>
    <w:link w:val="TextpoznpodarouChar"/>
    <w:rsid w:val="00145813"/>
    <w:pPr>
      <w:spacing w:after="0" w:line="240" w:lineRule="auto"/>
      <w:jc w:val="both"/>
    </w:pPr>
    <w:rPr>
      <w:rFonts w:ascii="Arial" w:eastAsia="Times New Roman" w:hAnsi="Arial" w:cs="Times New Roman"/>
      <w:sz w:val="18"/>
      <w:szCs w:val="20"/>
      <w:lang w:eastAsia="cs-CZ"/>
    </w:rPr>
  </w:style>
  <w:style w:type="character" w:customStyle="1" w:styleId="TextpoznpodarouChar">
    <w:name w:val="Text pozn. pod čarou Char"/>
    <w:basedOn w:val="Standardnpsmoodstavce"/>
    <w:link w:val="Textpoznpodarou"/>
    <w:rsid w:val="00145813"/>
    <w:rPr>
      <w:rFonts w:ascii="Arial" w:eastAsia="Times New Roman" w:hAnsi="Arial" w:cs="Times New Roman"/>
      <w:sz w:val="18"/>
      <w:szCs w:val="20"/>
      <w:lang w:eastAsia="cs-CZ"/>
    </w:rPr>
  </w:style>
  <w:style w:type="character" w:styleId="Znakapoznpodarou">
    <w:name w:val="footnote reference"/>
    <w:basedOn w:val="Standardnpsmoodstavce"/>
    <w:rsid w:val="000822A0"/>
    <w:rPr>
      <w:vertAlign w:val="superscript"/>
    </w:rPr>
  </w:style>
  <w:style w:type="paragraph" w:styleId="Textbubliny">
    <w:name w:val="Balloon Text"/>
    <w:basedOn w:val="Normln"/>
    <w:link w:val="TextbublinyChar"/>
    <w:uiPriority w:val="99"/>
    <w:semiHidden/>
    <w:unhideWhenUsed/>
    <w:rsid w:val="000822A0"/>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822A0"/>
    <w:rPr>
      <w:rFonts w:ascii="Tahoma" w:hAnsi="Tahoma" w:cs="Tahoma"/>
      <w:sz w:val="16"/>
      <w:szCs w:val="16"/>
    </w:rPr>
  </w:style>
  <w:style w:type="paragraph" w:styleId="Normlnweb">
    <w:name w:val="Normal (Web)"/>
    <w:basedOn w:val="Normln"/>
    <w:uiPriority w:val="99"/>
    <w:semiHidden/>
    <w:unhideWhenUsed/>
    <w:rsid w:val="000822A0"/>
    <w:rPr>
      <w:rFonts w:ascii="Times New Roman" w:hAnsi="Times New Roman" w:cs="Times New Roman"/>
      <w:sz w:val="24"/>
      <w:szCs w:val="24"/>
    </w:rPr>
  </w:style>
  <w:style w:type="character" w:styleId="Odkaznakoment">
    <w:name w:val="annotation reference"/>
    <w:basedOn w:val="Standardnpsmoodstavce"/>
    <w:uiPriority w:val="99"/>
    <w:rsid w:val="00C41DE7"/>
    <w:rPr>
      <w:sz w:val="16"/>
      <w:szCs w:val="16"/>
    </w:rPr>
  </w:style>
  <w:style w:type="paragraph" w:styleId="Textkomente">
    <w:name w:val="annotation text"/>
    <w:basedOn w:val="Normln"/>
    <w:link w:val="TextkomenteChar"/>
    <w:uiPriority w:val="99"/>
    <w:rsid w:val="00C41DE7"/>
    <w:pPr>
      <w:spacing w:after="0" w:line="240" w:lineRule="auto"/>
    </w:pPr>
    <w:rPr>
      <w:rFonts w:ascii="Times New Roman" w:eastAsia="Times New Roman" w:hAnsi="Times New Roman" w:cs="Times New Roman"/>
      <w:sz w:val="20"/>
      <w:szCs w:val="20"/>
      <w:lang w:eastAsia="cs-CZ"/>
    </w:rPr>
  </w:style>
  <w:style w:type="character" w:customStyle="1" w:styleId="TextkomenteChar">
    <w:name w:val="Text komentáře Char"/>
    <w:basedOn w:val="Standardnpsmoodstavce"/>
    <w:link w:val="Textkomente"/>
    <w:uiPriority w:val="99"/>
    <w:rsid w:val="00C41DE7"/>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6A04BF"/>
    <w:pPr>
      <w:spacing w:after="200"/>
    </w:pPr>
    <w:rPr>
      <w:rFonts w:asciiTheme="minorHAnsi" w:eastAsiaTheme="minorHAnsi" w:hAnsiTheme="minorHAnsi" w:cstheme="minorBidi"/>
      <w:b/>
      <w:bCs/>
      <w:lang w:eastAsia="en-US"/>
    </w:rPr>
  </w:style>
  <w:style w:type="character" w:customStyle="1" w:styleId="PedmtkomenteChar">
    <w:name w:val="Předmět komentáře Char"/>
    <w:basedOn w:val="TextkomenteChar"/>
    <w:link w:val="Pedmtkomente"/>
    <w:uiPriority w:val="99"/>
    <w:semiHidden/>
    <w:rsid w:val="006A04BF"/>
    <w:rPr>
      <w:rFonts w:ascii="Times New Roman" w:eastAsia="Times New Roman" w:hAnsi="Times New Roman" w:cs="Times New Roman"/>
      <w:b/>
      <w:bCs/>
      <w:sz w:val="20"/>
      <w:szCs w:val="20"/>
      <w:lang w:eastAsia="cs-CZ"/>
    </w:rPr>
  </w:style>
  <w:style w:type="paragraph" w:styleId="Revize">
    <w:name w:val="Revision"/>
    <w:hidden/>
    <w:uiPriority w:val="99"/>
    <w:semiHidden/>
    <w:rsid w:val="006A04BF"/>
    <w:pPr>
      <w:spacing w:after="0" w:line="240" w:lineRule="auto"/>
    </w:pPr>
  </w:style>
  <w:style w:type="paragraph" w:customStyle="1" w:styleId="Obrzek-nadpis">
    <w:name w:val="Obrázek - nadpis"/>
    <w:basedOn w:val="Normln"/>
    <w:qFormat/>
    <w:rsid w:val="00E15D9A"/>
    <w:pPr>
      <w:keepNext/>
      <w:spacing w:before="120" w:after="240" w:line="240" w:lineRule="auto"/>
      <w:jc w:val="both"/>
    </w:pPr>
    <w:rPr>
      <w:rFonts w:ascii="Arial" w:eastAsia="Times New Roman" w:hAnsi="Arial" w:cs="Times New Roman"/>
      <w:b/>
      <w:szCs w:val="24"/>
      <w:lang w:eastAsia="cs-CZ"/>
    </w:rPr>
  </w:style>
  <w:style w:type="paragraph" w:customStyle="1" w:styleId="Zdroj">
    <w:name w:val="Zdroj"/>
    <w:basedOn w:val="Normln"/>
    <w:qFormat/>
    <w:rsid w:val="00AD6656"/>
    <w:pPr>
      <w:spacing w:before="120" w:after="120" w:line="240" w:lineRule="auto"/>
    </w:pPr>
    <w:rPr>
      <w:rFonts w:ascii="Arial" w:eastAsia="Times New Roman" w:hAnsi="Arial" w:cs="Times New Roman"/>
      <w:i/>
      <w:sz w:val="18"/>
      <w:szCs w:val="24"/>
      <w:lang w:eastAsia="cs-CZ"/>
    </w:rPr>
  </w:style>
  <w:style w:type="paragraph" w:customStyle="1" w:styleId="komentzaobrzkem">
    <w:name w:val="komentář za obrázkem"/>
    <w:basedOn w:val="Normln"/>
    <w:qFormat/>
    <w:rsid w:val="00055617"/>
    <w:pPr>
      <w:spacing w:after="60" w:line="240" w:lineRule="auto"/>
      <w:jc w:val="both"/>
    </w:pPr>
    <w:rPr>
      <w:rFonts w:ascii="Arial" w:eastAsia="Times New Roman" w:hAnsi="Arial" w:cs="Times New Roman"/>
      <w:i/>
      <w:sz w:val="18"/>
      <w:szCs w:val="24"/>
      <w:lang w:eastAsia="cs-CZ"/>
    </w:rPr>
  </w:style>
  <w:style w:type="paragraph" w:customStyle="1" w:styleId="komentzaobrzkem-odrky">
    <w:name w:val="komentář za obrázkem - odrážky"/>
    <w:basedOn w:val="komentzaobrzkem"/>
    <w:qFormat/>
    <w:rsid w:val="00055617"/>
    <w:pPr>
      <w:numPr>
        <w:ilvl w:val="2"/>
        <w:numId w:val="2"/>
      </w:numPr>
      <w:spacing w:after="0"/>
    </w:pPr>
  </w:style>
  <w:style w:type="paragraph" w:customStyle="1" w:styleId="NadpisurovenI">
    <w:name w:val="Nadpis_uroven_I"/>
    <w:basedOn w:val="Normln"/>
    <w:qFormat/>
    <w:rsid w:val="00DA646C"/>
    <w:pPr>
      <w:keepNext/>
      <w:keepLines/>
      <w:spacing w:before="240" w:after="240" w:line="240" w:lineRule="auto"/>
      <w:outlineLvl w:val="0"/>
    </w:pPr>
    <w:rPr>
      <w:rFonts w:asciiTheme="majorHAnsi" w:eastAsiaTheme="majorEastAsia" w:hAnsiTheme="majorHAnsi" w:cstheme="majorBidi"/>
      <w:b/>
      <w:bCs/>
      <w:color w:val="365F91" w:themeColor="accent1" w:themeShade="BF"/>
      <w:sz w:val="28"/>
      <w:szCs w:val="28"/>
      <w:lang w:eastAsia="cs-CZ"/>
    </w:rPr>
  </w:style>
  <w:style w:type="paragraph" w:customStyle="1" w:styleId="NadpisurovemII">
    <w:name w:val="Nadpis_urovem_II"/>
    <w:basedOn w:val="NadpisurovenI"/>
    <w:qFormat/>
    <w:rsid w:val="000C142B"/>
    <w:pPr>
      <w:spacing w:before="120" w:after="120"/>
    </w:pPr>
    <w:rPr>
      <w:sz w:val="24"/>
    </w:rPr>
  </w:style>
  <w:style w:type="paragraph" w:customStyle="1" w:styleId="Platformanadpis">
    <w:name w:val="Platforma_nadpis"/>
    <w:basedOn w:val="Normln"/>
    <w:qFormat/>
    <w:rsid w:val="00613032"/>
    <w:pPr>
      <w:spacing w:before="120" w:after="120" w:line="240" w:lineRule="auto"/>
      <w:jc w:val="both"/>
    </w:pPr>
    <w:rPr>
      <w:rFonts w:ascii="Arial" w:eastAsia="Times New Roman" w:hAnsi="Arial" w:cs="Arial"/>
      <w:b/>
      <w:lang w:eastAsia="cs-CZ"/>
    </w:rPr>
  </w:style>
  <w:style w:type="paragraph" w:styleId="Nadpisobsahu">
    <w:name w:val="TOC Heading"/>
    <w:basedOn w:val="Nadpis1"/>
    <w:next w:val="Normln"/>
    <w:uiPriority w:val="39"/>
    <w:semiHidden/>
    <w:unhideWhenUsed/>
    <w:qFormat/>
    <w:rsid w:val="001309B5"/>
    <w:pPr>
      <w:outlineLvl w:val="9"/>
    </w:pPr>
    <w:rPr>
      <w:lang w:eastAsia="cs-CZ"/>
    </w:rPr>
  </w:style>
  <w:style w:type="paragraph" w:styleId="Obsah1">
    <w:name w:val="toc 1"/>
    <w:basedOn w:val="Normln"/>
    <w:next w:val="Normln"/>
    <w:autoRedefine/>
    <w:uiPriority w:val="39"/>
    <w:unhideWhenUsed/>
    <w:qFormat/>
    <w:rsid w:val="00956D00"/>
    <w:pPr>
      <w:spacing w:after="100"/>
    </w:pPr>
    <w:rPr>
      <w:rFonts w:ascii="Arial" w:hAnsi="Arial"/>
    </w:rPr>
  </w:style>
  <w:style w:type="paragraph" w:styleId="Obsah2">
    <w:name w:val="toc 2"/>
    <w:basedOn w:val="Normln"/>
    <w:next w:val="Normln"/>
    <w:autoRedefine/>
    <w:uiPriority w:val="39"/>
    <w:unhideWhenUsed/>
    <w:qFormat/>
    <w:rsid w:val="00956D00"/>
    <w:pPr>
      <w:spacing w:after="100"/>
      <w:ind w:left="220"/>
    </w:pPr>
    <w:rPr>
      <w:rFonts w:ascii="Arial" w:eastAsiaTheme="minorEastAsia" w:hAnsi="Arial"/>
      <w:lang w:eastAsia="cs-CZ"/>
    </w:rPr>
  </w:style>
  <w:style w:type="paragraph" w:styleId="Obsah3">
    <w:name w:val="toc 3"/>
    <w:basedOn w:val="Normln"/>
    <w:next w:val="Normln"/>
    <w:autoRedefine/>
    <w:uiPriority w:val="39"/>
    <w:unhideWhenUsed/>
    <w:qFormat/>
    <w:rsid w:val="00956D00"/>
    <w:pPr>
      <w:spacing w:after="100"/>
      <w:ind w:left="440"/>
    </w:pPr>
    <w:rPr>
      <w:rFonts w:ascii="Arial" w:eastAsiaTheme="minorEastAsia" w:hAnsi="Arial"/>
      <w:lang w:eastAsia="cs-CZ"/>
    </w:rPr>
  </w:style>
  <w:style w:type="character" w:customStyle="1" w:styleId="Nadpis2Char">
    <w:name w:val="Nadpis 2 Char"/>
    <w:basedOn w:val="Standardnpsmoodstavce"/>
    <w:link w:val="Nadpis2"/>
    <w:uiPriority w:val="9"/>
    <w:rsid w:val="00514F3C"/>
    <w:rPr>
      <w:rFonts w:asciiTheme="majorHAnsi" w:eastAsiaTheme="majorEastAsia" w:hAnsiTheme="majorHAnsi" w:cstheme="majorBidi"/>
      <w:b/>
      <w:bCs/>
      <w:color w:val="4F81BD" w:themeColor="accent1"/>
      <w:sz w:val="32"/>
      <w:szCs w:val="26"/>
    </w:rPr>
  </w:style>
  <w:style w:type="character" w:customStyle="1" w:styleId="Nadpis3Char">
    <w:name w:val="Nadpis 3 Char"/>
    <w:basedOn w:val="Standardnpsmoodstavce"/>
    <w:link w:val="Nadpis3"/>
    <w:uiPriority w:val="9"/>
    <w:rsid w:val="00514F3C"/>
    <w:rPr>
      <w:rFonts w:asciiTheme="majorHAnsi" w:eastAsiaTheme="majorEastAsia" w:hAnsiTheme="majorHAnsi" w:cstheme="majorBidi"/>
      <w:b/>
      <w:bCs/>
      <w:color w:val="4F81BD" w:themeColor="accent1"/>
      <w:sz w:val="28"/>
    </w:rPr>
  </w:style>
  <w:style w:type="character" w:styleId="Zstupntext">
    <w:name w:val="Placeholder Text"/>
    <w:basedOn w:val="Standardnpsmoodstavce"/>
    <w:uiPriority w:val="99"/>
    <w:semiHidden/>
    <w:rsid w:val="006338C7"/>
    <w:rPr>
      <w:color w:val="808080"/>
    </w:rPr>
  </w:style>
  <w:style w:type="paragraph" w:styleId="Bezmezer">
    <w:name w:val="No Spacing"/>
    <w:uiPriority w:val="1"/>
    <w:qFormat/>
    <w:rsid w:val="006338C7"/>
    <w:pPr>
      <w:spacing w:after="0" w:line="240" w:lineRule="auto"/>
    </w:pPr>
  </w:style>
  <w:style w:type="paragraph" w:styleId="Textvysvtlivek">
    <w:name w:val="endnote text"/>
    <w:basedOn w:val="Normln"/>
    <w:link w:val="TextvysvtlivekChar"/>
    <w:uiPriority w:val="99"/>
    <w:unhideWhenUsed/>
    <w:rsid w:val="006338C7"/>
    <w:pPr>
      <w:spacing w:after="0" w:line="240" w:lineRule="auto"/>
    </w:pPr>
    <w:rPr>
      <w:sz w:val="20"/>
      <w:szCs w:val="20"/>
    </w:rPr>
  </w:style>
  <w:style w:type="character" w:customStyle="1" w:styleId="TextvysvtlivekChar">
    <w:name w:val="Text vysvětlivek Char"/>
    <w:basedOn w:val="Standardnpsmoodstavce"/>
    <w:link w:val="Textvysvtlivek"/>
    <w:uiPriority w:val="99"/>
    <w:rsid w:val="006338C7"/>
    <w:rPr>
      <w:sz w:val="20"/>
      <w:szCs w:val="20"/>
    </w:rPr>
  </w:style>
  <w:style w:type="table" w:styleId="Mkatabulky">
    <w:name w:val="Table Grid"/>
    <w:basedOn w:val="Normlntabulka"/>
    <w:uiPriority w:val="59"/>
    <w:rsid w:val="00D33F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AD70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376794">
      <w:bodyDiv w:val="1"/>
      <w:marLeft w:val="0"/>
      <w:marRight w:val="0"/>
      <w:marTop w:val="0"/>
      <w:marBottom w:val="0"/>
      <w:divBdr>
        <w:top w:val="none" w:sz="0" w:space="0" w:color="auto"/>
        <w:left w:val="none" w:sz="0" w:space="0" w:color="auto"/>
        <w:bottom w:val="none" w:sz="0" w:space="0" w:color="auto"/>
        <w:right w:val="none" w:sz="0" w:space="0" w:color="auto"/>
      </w:divBdr>
    </w:div>
    <w:div w:id="106121003">
      <w:bodyDiv w:val="1"/>
      <w:marLeft w:val="0"/>
      <w:marRight w:val="0"/>
      <w:marTop w:val="0"/>
      <w:marBottom w:val="0"/>
      <w:divBdr>
        <w:top w:val="none" w:sz="0" w:space="0" w:color="auto"/>
        <w:left w:val="none" w:sz="0" w:space="0" w:color="auto"/>
        <w:bottom w:val="none" w:sz="0" w:space="0" w:color="auto"/>
        <w:right w:val="none" w:sz="0" w:space="0" w:color="auto"/>
      </w:divBdr>
    </w:div>
    <w:div w:id="120459216">
      <w:bodyDiv w:val="1"/>
      <w:marLeft w:val="0"/>
      <w:marRight w:val="0"/>
      <w:marTop w:val="0"/>
      <w:marBottom w:val="0"/>
      <w:divBdr>
        <w:top w:val="none" w:sz="0" w:space="0" w:color="auto"/>
        <w:left w:val="none" w:sz="0" w:space="0" w:color="auto"/>
        <w:bottom w:val="none" w:sz="0" w:space="0" w:color="auto"/>
        <w:right w:val="none" w:sz="0" w:space="0" w:color="auto"/>
      </w:divBdr>
    </w:div>
    <w:div w:id="492113238">
      <w:bodyDiv w:val="1"/>
      <w:marLeft w:val="0"/>
      <w:marRight w:val="0"/>
      <w:marTop w:val="0"/>
      <w:marBottom w:val="0"/>
      <w:divBdr>
        <w:top w:val="none" w:sz="0" w:space="0" w:color="auto"/>
        <w:left w:val="none" w:sz="0" w:space="0" w:color="auto"/>
        <w:bottom w:val="none" w:sz="0" w:space="0" w:color="auto"/>
        <w:right w:val="none" w:sz="0" w:space="0" w:color="auto"/>
      </w:divBdr>
    </w:div>
    <w:div w:id="858857940">
      <w:bodyDiv w:val="1"/>
      <w:marLeft w:val="0"/>
      <w:marRight w:val="0"/>
      <w:marTop w:val="0"/>
      <w:marBottom w:val="0"/>
      <w:divBdr>
        <w:top w:val="none" w:sz="0" w:space="0" w:color="auto"/>
        <w:left w:val="none" w:sz="0" w:space="0" w:color="auto"/>
        <w:bottom w:val="none" w:sz="0" w:space="0" w:color="auto"/>
        <w:right w:val="none" w:sz="0" w:space="0" w:color="auto"/>
      </w:divBdr>
    </w:div>
    <w:div w:id="1039891816">
      <w:bodyDiv w:val="1"/>
      <w:marLeft w:val="0"/>
      <w:marRight w:val="0"/>
      <w:marTop w:val="0"/>
      <w:marBottom w:val="0"/>
      <w:divBdr>
        <w:top w:val="none" w:sz="0" w:space="0" w:color="auto"/>
        <w:left w:val="none" w:sz="0" w:space="0" w:color="auto"/>
        <w:bottom w:val="none" w:sz="0" w:space="0" w:color="auto"/>
        <w:right w:val="none" w:sz="0" w:space="0" w:color="auto"/>
      </w:divBdr>
    </w:div>
    <w:div w:id="1090153636">
      <w:bodyDiv w:val="1"/>
      <w:marLeft w:val="0"/>
      <w:marRight w:val="0"/>
      <w:marTop w:val="0"/>
      <w:marBottom w:val="0"/>
      <w:divBdr>
        <w:top w:val="none" w:sz="0" w:space="0" w:color="auto"/>
        <w:left w:val="none" w:sz="0" w:space="0" w:color="auto"/>
        <w:bottom w:val="none" w:sz="0" w:space="0" w:color="auto"/>
        <w:right w:val="none" w:sz="0" w:space="0" w:color="auto"/>
      </w:divBdr>
    </w:div>
    <w:div w:id="1101802817">
      <w:bodyDiv w:val="1"/>
      <w:marLeft w:val="0"/>
      <w:marRight w:val="0"/>
      <w:marTop w:val="0"/>
      <w:marBottom w:val="0"/>
      <w:divBdr>
        <w:top w:val="none" w:sz="0" w:space="0" w:color="auto"/>
        <w:left w:val="none" w:sz="0" w:space="0" w:color="auto"/>
        <w:bottom w:val="none" w:sz="0" w:space="0" w:color="auto"/>
        <w:right w:val="none" w:sz="0" w:space="0" w:color="auto"/>
      </w:divBdr>
    </w:div>
    <w:div w:id="1211721786">
      <w:bodyDiv w:val="1"/>
      <w:marLeft w:val="0"/>
      <w:marRight w:val="0"/>
      <w:marTop w:val="0"/>
      <w:marBottom w:val="0"/>
      <w:divBdr>
        <w:top w:val="none" w:sz="0" w:space="0" w:color="auto"/>
        <w:left w:val="none" w:sz="0" w:space="0" w:color="auto"/>
        <w:bottom w:val="none" w:sz="0" w:space="0" w:color="auto"/>
        <w:right w:val="none" w:sz="0" w:space="0" w:color="auto"/>
      </w:divBdr>
    </w:div>
    <w:div w:id="1213539165">
      <w:bodyDiv w:val="1"/>
      <w:marLeft w:val="0"/>
      <w:marRight w:val="0"/>
      <w:marTop w:val="0"/>
      <w:marBottom w:val="0"/>
      <w:divBdr>
        <w:top w:val="none" w:sz="0" w:space="0" w:color="auto"/>
        <w:left w:val="none" w:sz="0" w:space="0" w:color="auto"/>
        <w:bottom w:val="none" w:sz="0" w:space="0" w:color="auto"/>
        <w:right w:val="none" w:sz="0" w:space="0" w:color="auto"/>
      </w:divBdr>
    </w:div>
    <w:div w:id="1426537762">
      <w:bodyDiv w:val="1"/>
      <w:marLeft w:val="0"/>
      <w:marRight w:val="0"/>
      <w:marTop w:val="0"/>
      <w:marBottom w:val="0"/>
      <w:divBdr>
        <w:top w:val="none" w:sz="0" w:space="0" w:color="auto"/>
        <w:left w:val="none" w:sz="0" w:space="0" w:color="auto"/>
        <w:bottom w:val="none" w:sz="0" w:space="0" w:color="auto"/>
        <w:right w:val="none" w:sz="0" w:space="0" w:color="auto"/>
      </w:divBdr>
      <w:divsChild>
        <w:div w:id="1287472619">
          <w:marLeft w:val="1800"/>
          <w:marRight w:val="0"/>
          <w:marTop w:val="100"/>
          <w:marBottom w:val="0"/>
          <w:divBdr>
            <w:top w:val="none" w:sz="0" w:space="0" w:color="auto"/>
            <w:left w:val="none" w:sz="0" w:space="0" w:color="auto"/>
            <w:bottom w:val="none" w:sz="0" w:space="0" w:color="auto"/>
            <w:right w:val="none" w:sz="0" w:space="0" w:color="auto"/>
          </w:divBdr>
        </w:div>
      </w:divsChild>
    </w:div>
    <w:div w:id="1717850830">
      <w:bodyDiv w:val="1"/>
      <w:marLeft w:val="0"/>
      <w:marRight w:val="0"/>
      <w:marTop w:val="0"/>
      <w:marBottom w:val="0"/>
      <w:divBdr>
        <w:top w:val="none" w:sz="0" w:space="0" w:color="auto"/>
        <w:left w:val="none" w:sz="0" w:space="0" w:color="auto"/>
        <w:bottom w:val="none" w:sz="0" w:space="0" w:color="auto"/>
        <w:right w:val="none" w:sz="0" w:space="0" w:color="auto"/>
      </w:divBdr>
    </w:div>
    <w:div w:id="1741974266">
      <w:bodyDiv w:val="1"/>
      <w:marLeft w:val="0"/>
      <w:marRight w:val="0"/>
      <w:marTop w:val="0"/>
      <w:marBottom w:val="0"/>
      <w:divBdr>
        <w:top w:val="none" w:sz="0" w:space="0" w:color="auto"/>
        <w:left w:val="none" w:sz="0" w:space="0" w:color="auto"/>
        <w:bottom w:val="none" w:sz="0" w:space="0" w:color="auto"/>
        <w:right w:val="none" w:sz="0" w:space="0" w:color="auto"/>
      </w:divBdr>
    </w:div>
    <w:div w:id="1753775779">
      <w:bodyDiv w:val="1"/>
      <w:marLeft w:val="0"/>
      <w:marRight w:val="0"/>
      <w:marTop w:val="0"/>
      <w:marBottom w:val="0"/>
      <w:divBdr>
        <w:top w:val="none" w:sz="0" w:space="0" w:color="auto"/>
        <w:left w:val="none" w:sz="0" w:space="0" w:color="auto"/>
        <w:bottom w:val="none" w:sz="0" w:space="0" w:color="auto"/>
        <w:right w:val="none" w:sz="0" w:space="0" w:color="auto"/>
      </w:divBdr>
    </w:div>
    <w:div w:id="1915358619">
      <w:bodyDiv w:val="1"/>
      <w:marLeft w:val="0"/>
      <w:marRight w:val="0"/>
      <w:marTop w:val="0"/>
      <w:marBottom w:val="0"/>
      <w:divBdr>
        <w:top w:val="none" w:sz="0" w:space="0" w:color="auto"/>
        <w:left w:val="none" w:sz="0" w:space="0" w:color="auto"/>
        <w:bottom w:val="none" w:sz="0" w:space="0" w:color="auto"/>
        <w:right w:val="none" w:sz="0" w:space="0" w:color="auto"/>
      </w:divBdr>
    </w:div>
    <w:div w:id="205488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emf"/><Relationship Id="rId34" Type="http://schemas.openxmlformats.org/officeDocument/2006/relationships/image" Target="media/image19.emf"/><Relationship Id="rId42" Type="http://schemas.openxmlformats.org/officeDocument/2006/relationships/image" Target="media/image27.png"/><Relationship Id="rId47" Type="http://schemas.openxmlformats.org/officeDocument/2006/relationships/image" Target="media/image31.emf"/><Relationship Id="rId50" Type="http://schemas.openxmlformats.org/officeDocument/2006/relationships/image" Target="media/image33.jpeg"/><Relationship Id="rId55" Type="http://schemas.openxmlformats.org/officeDocument/2006/relationships/image" Target="media/image36.emf"/><Relationship Id="rId63" Type="http://schemas.openxmlformats.org/officeDocument/2006/relationships/chart" Target="charts/chart13.xml"/><Relationship Id="rId68" Type="http://schemas.openxmlformats.org/officeDocument/2006/relationships/chart" Target="charts/chart18.xml"/><Relationship Id="rId76" Type="http://schemas.openxmlformats.org/officeDocument/2006/relationships/chart" Target="charts/chart25.xml"/><Relationship Id="rId84" Type="http://schemas.openxmlformats.org/officeDocument/2006/relationships/chart" Target="charts/chart33.xml"/><Relationship Id="rId89" Type="http://schemas.openxmlformats.org/officeDocument/2006/relationships/footer" Target="footer5.xml"/><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chart" Target="charts/chart21.xml"/><Relationship Id="rId92" Type="http://schemas.openxmlformats.org/officeDocument/2006/relationships/image" Target="media/image40.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chart" Target="charts/chart3.xml"/><Relationship Id="rId11" Type="http://schemas.openxmlformats.org/officeDocument/2006/relationships/image" Target="media/image3.emf"/><Relationship Id="rId24" Type="http://schemas.openxmlformats.org/officeDocument/2006/relationships/footer" Target="footer2.xml"/><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oleObject" Target="embeddings/oleObject1.bin"/><Relationship Id="rId53" Type="http://schemas.openxmlformats.org/officeDocument/2006/relationships/chart" Target="charts/chart4.xml"/><Relationship Id="rId58" Type="http://schemas.openxmlformats.org/officeDocument/2006/relationships/chart" Target="charts/chart8.xml"/><Relationship Id="rId66" Type="http://schemas.openxmlformats.org/officeDocument/2006/relationships/chart" Target="charts/chart16.xml"/><Relationship Id="rId74" Type="http://schemas.openxmlformats.org/officeDocument/2006/relationships/chart" Target="charts/chart23.xml"/><Relationship Id="rId79" Type="http://schemas.openxmlformats.org/officeDocument/2006/relationships/chart" Target="charts/chart28.xml"/><Relationship Id="rId87" Type="http://schemas.openxmlformats.org/officeDocument/2006/relationships/chart" Target="charts/chart36.xml"/><Relationship Id="rId5" Type="http://schemas.openxmlformats.org/officeDocument/2006/relationships/settings" Target="settings.xml"/><Relationship Id="rId61" Type="http://schemas.openxmlformats.org/officeDocument/2006/relationships/chart" Target="charts/chart11.xml"/><Relationship Id="rId82" Type="http://schemas.openxmlformats.org/officeDocument/2006/relationships/chart" Target="charts/chart31.xml"/><Relationship Id="rId90" Type="http://schemas.openxmlformats.org/officeDocument/2006/relationships/image" Target="media/image38.emf"/><Relationship Id="rId95" Type="http://schemas.openxmlformats.org/officeDocument/2006/relationships/header" Target="header2.xml"/><Relationship Id="rId1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image" Target="media/image12.emf"/><Relationship Id="rId27" Type="http://schemas.openxmlformats.org/officeDocument/2006/relationships/image" Target="media/image15.emf"/><Relationship Id="rId30" Type="http://schemas.openxmlformats.org/officeDocument/2006/relationships/image" Target="media/image16.png"/><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oleObject" Target="embeddings/oleObject2.bin"/><Relationship Id="rId56" Type="http://schemas.openxmlformats.org/officeDocument/2006/relationships/chart" Target="charts/chart6.xml"/><Relationship Id="rId64" Type="http://schemas.openxmlformats.org/officeDocument/2006/relationships/chart" Target="charts/chart14.xml"/><Relationship Id="rId69" Type="http://schemas.openxmlformats.org/officeDocument/2006/relationships/chart" Target="charts/chart19.xml"/><Relationship Id="rId77" Type="http://schemas.openxmlformats.org/officeDocument/2006/relationships/chart" Target="charts/chart26.xml"/><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chart" Target="charts/chart22.xml"/><Relationship Id="rId80" Type="http://schemas.openxmlformats.org/officeDocument/2006/relationships/chart" Target="charts/chart29.xml"/><Relationship Id="rId85" Type="http://schemas.openxmlformats.org/officeDocument/2006/relationships/chart" Target="charts/chart34.xml"/><Relationship Id="rId93"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footer" Target="footer3.xml"/><Relationship Id="rId38" Type="http://schemas.openxmlformats.org/officeDocument/2006/relationships/image" Target="media/image23.emf"/><Relationship Id="rId46" Type="http://schemas.openxmlformats.org/officeDocument/2006/relationships/image" Target="media/image30.emf"/><Relationship Id="rId59" Type="http://schemas.openxmlformats.org/officeDocument/2006/relationships/chart" Target="charts/chart9.xml"/><Relationship Id="rId67" Type="http://schemas.openxmlformats.org/officeDocument/2006/relationships/chart" Target="charts/chart17.xml"/><Relationship Id="rId20" Type="http://schemas.openxmlformats.org/officeDocument/2006/relationships/footer" Target="footer1.xml"/><Relationship Id="rId41" Type="http://schemas.openxmlformats.org/officeDocument/2006/relationships/image" Target="media/image26.emf"/><Relationship Id="rId54" Type="http://schemas.openxmlformats.org/officeDocument/2006/relationships/chart" Target="charts/chart5.xml"/><Relationship Id="rId62" Type="http://schemas.openxmlformats.org/officeDocument/2006/relationships/chart" Target="charts/chart12.xml"/><Relationship Id="rId70" Type="http://schemas.openxmlformats.org/officeDocument/2006/relationships/chart" Target="charts/chart20.xml"/><Relationship Id="rId75" Type="http://schemas.openxmlformats.org/officeDocument/2006/relationships/chart" Target="charts/chart24.xml"/><Relationship Id="rId83" Type="http://schemas.openxmlformats.org/officeDocument/2006/relationships/chart" Target="charts/chart32.xml"/><Relationship Id="rId88" Type="http://schemas.openxmlformats.org/officeDocument/2006/relationships/image" Target="media/image37.png"/><Relationship Id="rId91" Type="http://schemas.openxmlformats.org/officeDocument/2006/relationships/image" Target="media/image39.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chart" Target="charts/chart1.xml"/><Relationship Id="rId28" Type="http://schemas.openxmlformats.org/officeDocument/2006/relationships/chart" Target="charts/chart2.xml"/><Relationship Id="rId36" Type="http://schemas.openxmlformats.org/officeDocument/2006/relationships/image" Target="media/image21.emf"/><Relationship Id="rId49" Type="http://schemas.openxmlformats.org/officeDocument/2006/relationships/image" Target="media/image32.tiff"/><Relationship Id="rId57" Type="http://schemas.openxmlformats.org/officeDocument/2006/relationships/chart" Target="charts/chart7.xml"/><Relationship Id="rId10" Type="http://schemas.openxmlformats.org/officeDocument/2006/relationships/image" Target="media/image2.emf"/><Relationship Id="rId31" Type="http://schemas.openxmlformats.org/officeDocument/2006/relationships/image" Target="media/image17.emf"/><Relationship Id="rId44" Type="http://schemas.openxmlformats.org/officeDocument/2006/relationships/image" Target="media/image29.emf"/><Relationship Id="rId52" Type="http://schemas.openxmlformats.org/officeDocument/2006/relationships/image" Target="media/image35.jpeg"/><Relationship Id="rId60" Type="http://schemas.openxmlformats.org/officeDocument/2006/relationships/chart" Target="charts/chart10.xml"/><Relationship Id="rId65" Type="http://schemas.openxmlformats.org/officeDocument/2006/relationships/chart" Target="charts/chart15.xml"/><Relationship Id="rId73" Type="http://schemas.openxmlformats.org/officeDocument/2006/relationships/footer" Target="footer4.xml"/><Relationship Id="rId78" Type="http://schemas.openxmlformats.org/officeDocument/2006/relationships/chart" Target="charts/chart27.xml"/><Relationship Id="rId81" Type="http://schemas.openxmlformats.org/officeDocument/2006/relationships/chart" Target="charts/chart30.xml"/><Relationship Id="rId86" Type="http://schemas.openxmlformats.org/officeDocument/2006/relationships/chart" Target="charts/chart35.xml"/><Relationship Id="rId94"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24.emf"/></Relationships>
</file>

<file path=word/_rels/footnotes.xml.rels><?xml version="1.0" encoding="UTF-8" standalone="yes"?>
<Relationships xmlns="http://schemas.openxmlformats.org/package/2006/relationships"><Relationship Id="rId1" Type="http://schemas.openxmlformats.org/officeDocument/2006/relationships/hyperlink" Target="http://www.mfcr.cz/cs/verejny-sektor/hospodareni/rozpoctove-ramce-statisticke-informace/verejny-sektor/verejne-spolecnosti/2014/seznam-verejnych-spolecnosti-v-cr-rijen-17019"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kadnero\AppData\Local\Temp\notesDEC5B8\graf_aktualizace_ve&#345;ejn&#233;%20v&#253;daje.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S\MPR\Odd&#283;len&#237;%20anal&#253;z\Anal&#253;za%20VaVaI_2015\Kapitola_Struktur&#225;ln&#237;%20fondy\H2020_CZ_grafy.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3.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3.xml"/></Relationships>
</file>

<file path=word/charts/_rels/chart24.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4.xml"/></Relationships>
</file>

<file path=word/charts/_rels/chart25.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5.xml"/></Relationships>
</file>

<file path=word/charts/_rels/chart26.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6.xml"/></Relationships>
</file>

<file path=word/charts/_rels/chart27.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7.xml"/></Relationships>
</file>

<file path=word/charts/_rels/chart28.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8.xml"/></Relationships>
</file>

<file path=word/charts/_rels/chart29.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9.xml"/></Relationships>
</file>

<file path=word/charts/_rels/chart3.xml.rels><?xml version="1.0" encoding="UTF-8" standalone="yes"?>
<Relationships xmlns="http://schemas.openxmlformats.org/package/2006/relationships"><Relationship Id="rId1" Type="http://schemas.openxmlformats.org/officeDocument/2006/relationships/oleObject" Target="file:///\\FS\MPR\Odd&#283;len&#237;%20anal&#253;z\Anal&#253;za%20VaVaI_2015\Kapitola_Struktur&#225;ln&#237;%20fondy\H2020_CZ_grafy.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innovation_output_indicator_01-07-2016.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innovation_output_indicator_01-07-2016.xlsx"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S\MPR\Odd&#283;len&#237;%20anal&#253;z\Anal&#253;za%20VaVaI_2015\Kapitola_Inovace\innovation_output_indicator_01-07-2016.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ti2014_data_2016_04_18%20(1).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ti2014_data_2016_04_18%20(1).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ti2014_data_2016_04_18%20(1).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ti2014_data_2016_04_18%20(1).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F:\gtafy%20atd\P&#345;&#237;lohy%20grafy%20O.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F:\gtafy%20atd\P&#345;&#237;lohy%20grafy%20O.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1_Eurostat_GERD.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EUROSTAT_GERD_per%20CApita_PPS_rd_e_gerdtot.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1"/>
          <c:order val="2"/>
          <c:tx>
            <c:strRef>
              <c:f>graf_final!$E$15</c:f>
              <c:strCache>
                <c:ptCount val="1"/>
                <c:pt idx="0">
                  <c:v>dif</c:v>
                </c:pt>
              </c:strCache>
            </c:strRef>
          </c:tx>
          <c:spPr>
            <a:solidFill>
              <a:schemeClr val="accent5">
                <a:lumMod val="40000"/>
                <a:lumOff val="60000"/>
                <a:alpha val="41000"/>
              </a:schemeClr>
            </a:solidFill>
          </c:spPr>
          <c:invertIfNegative val="0"/>
          <c:dPt>
            <c:idx val="5"/>
            <c:invertIfNegative val="0"/>
            <c:bubble3D val="0"/>
            <c:spPr>
              <a:solidFill>
                <a:schemeClr val="accent2">
                  <a:lumMod val="60000"/>
                  <a:lumOff val="40000"/>
                  <a:alpha val="41000"/>
                </a:schemeClr>
              </a:solidFill>
            </c:spPr>
          </c:dPt>
          <c:dPt>
            <c:idx val="6"/>
            <c:invertIfNegative val="0"/>
            <c:bubble3D val="0"/>
            <c:spPr>
              <a:solidFill>
                <a:schemeClr val="accent2">
                  <a:lumMod val="60000"/>
                  <a:lumOff val="40000"/>
                  <a:alpha val="41000"/>
                </a:schemeClr>
              </a:solidFill>
            </c:spPr>
          </c:dPt>
          <c:dPt>
            <c:idx val="7"/>
            <c:invertIfNegative val="0"/>
            <c:bubble3D val="0"/>
            <c:spPr>
              <a:solidFill>
                <a:schemeClr val="accent2">
                  <a:lumMod val="60000"/>
                  <a:lumOff val="40000"/>
                  <a:alpha val="41000"/>
                </a:schemeClr>
              </a:solidFill>
            </c:spPr>
          </c:dPt>
          <c:dLbls>
            <c:dLbl>
              <c:idx val="2"/>
              <c:layout>
                <c:manualLayout>
                  <c:x val="-5.5325034578146614E-3"/>
                  <c:y val="0.23667211888369027"/>
                </c:manualLayout>
              </c:layout>
              <c:dLblPos val="outEnd"/>
              <c:showLegendKey val="0"/>
              <c:showVal val="1"/>
              <c:showCatName val="0"/>
              <c:showSerName val="0"/>
              <c:showPercent val="0"/>
              <c:showBubbleSize val="0"/>
            </c:dLbl>
            <c:dLbl>
              <c:idx val="4"/>
              <c:layout>
                <c:manualLayout>
                  <c:x val="6.761870556956677E-17"/>
                  <c:y val="-3.7419706594646683E-2"/>
                </c:manualLayout>
              </c:layout>
              <c:dLblPos val="outEnd"/>
              <c:showLegendKey val="0"/>
              <c:showVal val="1"/>
              <c:showCatName val="0"/>
              <c:showSerName val="0"/>
              <c:showPercent val="0"/>
              <c:showBubbleSize val="0"/>
            </c:dLbl>
            <c:dLblPos val="ctr"/>
            <c:showLegendKey val="0"/>
            <c:showVal val="1"/>
            <c:showCatName val="0"/>
            <c:showSerName val="0"/>
            <c:showPercent val="0"/>
            <c:showBubbleSize val="0"/>
            <c:showLeaderLines val="0"/>
          </c:dLbls>
          <c:cat>
            <c:numRef>
              <c:f>graf_final!$B$16:$B$23</c:f>
              <c:numCache>
                <c:formatCode>General</c:formatCode>
                <c:ptCount val="8"/>
                <c:pt idx="0">
                  <c:v>2007</c:v>
                </c:pt>
                <c:pt idx="1">
                  <c:v>2008</c:v>
                </c:pt>
                <c:pt idx="2">
                  <c:v>2009</c:v>
                </c:pt>
                <c:pt idx="3">
                  <c:v>2010</c:v>
                </c:pt>
                <c:pt idx="4">
                  <c:v>2011</c:v>
                </c:pt>
                <c:pt idx="5">
                  <c:v>2012</c:v>
                </c:pt>
                <c:pt idx="6">
                  <c:v>2013</c:v>
                </c:pt>
                <c:pt idx="7">
                  <c:v>2014</c:v>
                </c:pt>
              </c:numCache>
            </c:numRef>
          </c:cat>
          <c:val>
            <c:numRef>
              <c:f>graf_final!$E$16:$E$23</c:f>
              <c:numCache>
                <c:formatCode>#,##0.00</c:formatCode>
                <c:ptCount val="8"/>
                <c:pt idx="0">
                  <c:v>1.7820684299999998</c:v>
                </c:pt>
                <c:pt idx="1">
                  <c:v>2.5029707349999994</c:v>
                </c:pt>
                <c:pt idx="2">
                  <c:v>3.1259489899999986</c:v>
                </c:pt>
                <c:pt idx="3">
                  <c:v>2.9443936300000009</c:v>
                </c:pt>
                <c:pt idx="4">
                  <c:v>0.14923976999999056</c:v>
                </c:pt>
                <c:pt idx="5">
                  <c:v>-4.4857951700000127</c:v>
                </c:pt>
                <c:pt idx="6">
                  <c:v>-4.0126735800000084</c:v>
                </c:pt>
                <c:pt idx="7">
                  <c:v>-0.56500000000000128</c:v>
                </c:pt>
              </c:numCache>
            </c:numRef>
          </c:val>
        </c:ser>
        <c:dLbls>
          <c:showLegendKey val="0"/>
          <c:showVal val="0"/>
          <c:showCatName val="0"/>
          <c:showSerName val="0"/>
          <c:showPercent val="0"/>
          <c:showBubbleSize val="0"/>
        </c:dLbls>
        <c:gapWidth val="150"/>
        <c:axId val="87736704"/>
        <c:axId val="87689472"/>
      </c:barChart>
      <c:lineChart>
        <c:grouping val="standard"/>
        <c:varyColors val="0"/>
        <c:ser>
          <c:idx val="0"/>
          <c:order val="0"/>
          <c:tx>
            <c:strRef>
              <c:f>graf_final!$D$15</c:f>
              <c:strCache>
                <c:ptCount val="1"/>
                <c:pt idx="0">
                  <c:v>Veřejné</c:v>
                </c:pt>
              </c:strCache>
            </c:strRef>
          </c:tx>
          <c:spPr>
            <a:ln>
              <a:solidFill>
                <a:schemeClr val="accent2"/>
              </a:solidFill>
            </a:ln>
          </c:spPr>
          <c:marker>
            <c:symbol val="circle"/>
            <c:size val="5"/>
            <c:spPr>
              <a:solidFill>
                <a:schemeClr val="accent2"/>
              </a:solidFill>
              <a:ln>
                <a:solidFill>
                  <a:schemeClr val="accent2"/>
                </a:solidFill>
              </a:ln>
            </c:spPr>
          </c:marker>
          <c:cat>
            <c:numRef>
              <c:f>graf_final!$B$16:$B$23</c:f>
              <c:numCache>
                <c:formatCode>General</c:formatCode>
                <c:ptCount val="8"/>
                <c:pt idx="0">
                  <c:v>2007</c:v>
                </c:pt>
                <c:pt idx="1">
                  <c:v>2008</c:v>
                </c:pt>
                <c:pt idx="2">
                  <c:v>2009</c:v>
                </c:pt>
                <c:pt idx="3">
                  <c:v>2010</c:v>
                </c:pt>
                <c:pt idx="4">
                  <c:v>2011</c:v>
                </c:pt>
                <c:pt idx="5">
                  <c:v>2012</c:v>
                </c:pt>
                <c:pt idx="6">
                  <c:v>2013</c:v>
                </c:pt>
                <c:pt idx="7">
                  <c:v>2014</c:v>
                </c:pt>
              </c:numCache>
            </c:numRef>
          </c:cat>
          <c:val>
            <c:numRef>
              <c:f>graf_final!$D$16:$D$23</c:f>
              <c:numCache>
                <c:formatCode>#,##0.00</c:formatCode>
                <c:ptCount val="8"/>
                <c:pt idx="0">
                  <c:v>0.92517299999999991</c:v>
                </c:pt>
                <c:pt idx="1">
                  <c:v>0.96407999999999994</c:v>
                </c:pt>
                <c:pt idx="2">
                  <c:v>1.3051842600000005</c:v>
                </c:pt>
                <c:pt idx="3">
                  <c:v>2.2160030699999997</c:v>
                </c:pt>
                <c:pt idx="4">
                  <c:v>6.0931831400000096</c:v>
                </c:pt>
                <c:pt idx="5">
                  <c:v>11.622015260000014</c:v>
                </c:pt>
                <c:pt idx="6">
                  <c:v>12.575684980000005</c:v>
                </c:pt>
                <c:pt idx="7">
                  <c:v>13.252000000000001</c:v>
                </c:pt>
              </c:numCache>
            </c:numRef>
          </c:val>
          <c:smooth val="0"/>
        </c:ser>
        <c:ser>
          <c:idx val="2"/>
          <c:order val="1"/>
          <c:tx>
            <c:strRef>
              <c:f>graf_final!$C$15</c:f>
              <c:strCache>
                <c:ptCount val="1"/>
                <c:pt idx="0">
                  <c:v>Soukromé</c:v>
                </c:pt>
              </c:strCache>
            </c:strRef>
          </c:tx>
          <c:spPr>
            <a:ln>
              <a:solidFill>
                <a:schemeClr val="accent1"/>
              </a:solidFill>
            </a:ln>
          </c:spPr>
          <c:marker>
            <c:spPr>
              <a:solidFill>
                <a:schemeClr val="accent1"/>
              </a:solidFill>
              <a:ln>
                <a:solidFill>
                  <a:schemeClr val="accent1"/>
                </a:solidFill>
              </a:ln>
            </c:spPr>
          </c:marker>
          <c:cat>
            <c:numRef>
              <c:f>graf_final!$B$16:$B$23</c:f>
              <c:numCache>
                <c:formatCode>General</c:formatCode>
                <c:ptCount val="8"/>
                <c:pt idx="0">
                  <c:v>2007</c:v>
                </c:pt>
                <c:pt idx="1">
                  <c:v>2008</c:v>
                </c:pt>
                <c:pt idx="2">
                  <c:v>2009</c:v>
                </c:pt>
                <c:pt idx="3">
                  <c:v>2010</c:v>
                </c:pt>
                <c:pt idx="4">
                  <c:v>2011</c:v>
                </c:pt>
                <c:pt idx="5">
                  <c:v>2012</c:v>
                </c:pt>
                <c:pt idx="6">
                  <c:v>2013</c:v>
                </c:pt>
                <c:pt idx="7">
                  <c:v>2014</c:v>
                </c:pt>
              </c:numCache>
            </c:numRef>
          </c:cat>
          <c:val>
            <c:numRef>
              <c:f>graf_final!$C$16:$C$23</c:f>
              <c:numCache>
                <c:formatCode>#,##0.00</c:formatCode>
                <c:ptCount val="8"/>
                <c:pt idx="0">
                  <c:v>2.7072414299999998</c:v>
                </c:pt>
                <c:pt idx="1">
                  <c:v>3.4670507349999995</c:v>
                </c:pt>
                <c:pt idx="2">
                  <c:v>4.4311332499999994</c:v>
                </c:pt>
                <c:pt idx="3">
                  <c:v>5.1603967000000006</c:v>
                </c:pt>
                <c:pt idx="4">
                  <c:v>6.2424229100000002</c:v>
                </c:pt>
                <c:pt idx="5">
                  <c:v>7.136220090000001</c:v>
                </c:pt>
                <c:pt idx="6">
                  <c:v>8.5630113999999971</c:v>
                </c:pt>
                <c:pt idx="7">
                  <c:v>12.686999999999999</c:v>
                </c:pt>
              </c:numCache>
            </c:numRef>
          </c:val>
          <c:smooth val="0"/>
        </c:ser>
        <c:ser>
          <c:idx val="3"/>
          <c:order val="3"/>
          <c:tx>
            <c:strRef>
              <c:f>graf_final!$F$15</c:f>
              <c:strCache>
                <c:ptCount val="1"/>
                <c:pt idx="0">
                  <c:v>Celkem</c:v>
                </c:pt>
              </c:strCache>
            </c:strRef>
          </c:tx>
          <c:dLbls>
            <c:dLblPos val="t"/>
            <c:showLegendKey val="0"/>
            <c:showVal val="1"/>
            <c:showCatName val="0"/>
            <c:showSerName val="0"/>
            <c:showPercent val="0"/>
            <c:showBubbleSize val="0"/>
            <c:showLeaderLines val="0"/>
          </c:dLbls>
          <c:val>
            <c:numRef>
              <c:f>graf_final!$F$16:$F$23</c:f>
              <c:numCache>
                <c:formatCode>#,##0.00</c:formatCode>
                <c:ptCount val="8"/>
                <c:pt idx="0">
                  <c:v>3.6324144299999999</c:v>
                </c:pt>
                <c:pt idx="1">
                  <c:v>4.4311307349999991</c:v>
                </c:pt>
                <c:pt idx="2">
                  <c:v>5.7363175100000001</c:v>
                </c:pt>
                <c:pt idx="3">
                  <c:v>7.3763997700000008</c:v>
                </c:pt>
                <c:pt idx="4">
                  <c:v>12.33560605000001</c:v>
                </c:pt>
                <c:pt idx="5">
                  <c:v>18.758235350000014</c:v>
                </c:pt>
                <c:pt idx="6">
                  <c:v>21.138696380000003</c:v>
                </c:pt>
                <c:pt idx="7">
                  <c:v>25.939</c:v>
                </c:pt>
              </c:numCache>
            </c:numRef>
          </c:val>
          <c:smooth val="0"/>
        </c:ser>
        <c:dLbls>
          <c:showLegendKey val="0"/>
          <c:showVal val="0"/>
          <c:showCatName val="0"/>
          <c:showSerName val="0"/>
          <c:showPercent val="0"/>
          <c:showBubbleSize val="0"/>
        </c:dLbls>
        <c:marker val="1"/>
        <c:smooth val="0"/>
        <c:axId val="87665280"/>
        <c:axId val="87687552"/>
      </c:lineChart>
      <c:catAx>
        <c:axId val="87665280"/>
        <c:scaling>
          <c:orientation val="minMax"/>
        </c:scaling>
        <c:delete val="1"/>
        <c:axPos val="b"/>
        <c:numFmt formatCode="General" sourceLinked="1"/>
        <c:majorTickMark val="out"/>
        <c:minorTickMark val="none"/>
        <c:tickLblPos val="nextTo"/>
        <c:crossAx val="87687552"/>
        <c:crosses val="autoZero"/>
        <c:auto val="1"/>
        <c:lblAlgn val="ctr"/>
        <c:lblOffset val="100"/>
        <c:noMultiLvlLbl val="0"/>
      </c:catAx>
      <c:valAx>
        <c:axId val="87687552"/>
        <c:scaling>
          <c:orientation val="minMax"/>
          <c:max val="26"/>
          <c:min val="0"/>
        </c:scaling>
        <c:delete val="0"/>
        <c:axPos val="l"/>
        <c:title>
          <c:tx>
            <c:rich>
              <a:bodyPr rot="-5400000" vert="horz"/>
              <a:lstStyle/>
              <a:p>
                <a:pPr>
                  <a:defRPr/>
                </a:pPr>
                <a:r>
                  <a:rPr lang="cs-CZ"/>
                  <a:t>Výdaje na VaV fiancované ze zahraničních zdrojů v mld. Kč</a:t>
                </a:r>
              </a:p>
            </c:rich>
          </c:tx>
          <c:layout/>
          <c:overlay val="0"/>
        </c:title>
        <c:numFmt formatCode="#,##0.00" sourceLinked="1"/>
        <c:majorTickMark val="cross"/>
        <c:minorTickMark val="none"/>
        <c:tickLblPos val="nextTo"/>
        <c:crossAx val="87665280"/>
        <c:crosses val="autoZero"/>
        <c:crossBetween val="between"/>
      </c:valAx>
      <c:valAx>
        <c:axId val="87689472"/>
        <c:scaling>
          <c:orientation val="minMax"/>
        </c:scaling>
        <c:delete val="0"/>
        <c:axPos val="r"/>
        <c:title>
          <c:tx>
            <c:rich>
              <a:bodyPr rot="-5400000" vert="horz"/>
              <a:lstStyle/>
              <a:p>
                <a:pPr>
                  <a:defRPr/>
                </a:pPr>
                <a:r>
                  <a:rPr lang="cs-CZ"/>
                  <a:t>absolutní rozdíl v mld. Kč</a:t>
                </a:r>
              </a:p>
            </c:rich>
          </c:tx>
          <c:layout/>
          <c:overlay val="0"/>
        </c:title>
        <c:numFmt formatCode="#,##0.00" sourceLinked="1"/>
        <c:majorTickMark val="out"/>
        <c:minorTickMark val="none"/>
        <c:tickLblPos val="nextTo"/>
        <c:crossAx val="87736704"/>
        <c:crosses val="max"/>
        <c:crossBetween val="between"/>
      </c:valAx>
      <c:catAx>
        <c:axId val="87736704"/>
        <c:scaling>
          <c:orientation val="minMax"/>
        </c:scaling>
        <c:delete val="0"/>
        <c:axPos val="b"/>
        <c:numFmt formatCode="General" sourceLinked="1"/>
        <c:majorTickMark val="out"/>
        <c:minorTickMark val="none"/>
        <c:tickLblPos val="nextTo"/>
        <c:crossAx val="87689472"/>
        <c:crossesAt val="0"/>
        <c:auto val="1"/>
        <c:lblAlgn val="ctr"/>
        <c:lblOffset val="100"/>
        <c:noMultiLvlLbl val="0"/>
      </c:catAx>
      <c:spPr>
        <a:noFill/>
        <a:ln w="25400">
          <a:noFill/>
        </a:ln>
      </c:spPr>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cs-C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3203766811275619E-2"/>
          <c:y val="6.4737724111016734E-2"/>
          <c:w val="0.95840953411104257"/>
          <c:h val="0.81444434388230202"/>
        </c:manualLayout>
      </c:layout>
      <c:barChart>
        <c:barDir val="col"/>
        <c:grouping val="clustered"/>
        <c:varyColors val="0"/>
        <c:ser>
          <c:idx val="0"/>
          <c:order val="0"/>
          <c:tx>
            <c:strRef>
              <c:f>'05_disagreg innovatin index'!$B$4</c:f>
              <c:strCache>
                <c:ptCount val="1"/>
                <c:pt idx="0">
                  <c:v>CZ</c:v>
                </c:pt>
              </c:strCache>
            </c:strRef>
          </c:tx>
          <c:spPr>
            <a:solidFill>
              <a:srgbClr val="C00000"/>
            </a:solidFill>
          </c:spPr>
          <c:invertIfNegative val="0"/>
          <c:val>
            <c:numRef>
              <c:f>'05_disagreg innovatin index'!$C$4:$K$4</c:f>
              <c:numCache>
                <c:formatCode>General</c:formatCode>
                <c:ptCount val="9"/>
                <c:pt idx="0">
                  <c:v>0.44705186905054251</c:v>
                </c:pt>
                <c:pt idx="1">
                  <c:v>0.59493721594429705</c:v>
                </c:pt>
                <c:pt idx="2">
                  <c:v>0.25815354826694475</c:v>
                </c:pt>
                <c:pt idx="3">
                  <c:v>0.41959108959755731</c:v>
                </c:pt>
                <c:pt idx="4">
                  <c:v>0.41027678702332648</c:v>
                </c:pt>
                <c:pt idx="5">
                  <c:v>0.42462552557653249</c:v>
                </c:pt>
                <c:pt idx="6">
                  <c:v>0.40894599020363542</c:v>
                </c:pt>
                <c:pt idx="7">
                  <c:v>0.49046846294200575</c:v>
                </c:pt>
                <c:pt idx="8">
                  <c:v>0.51524455080358256</c:v>
                </c:pt>
              </c:numCache>
            </c:numRef>
          </c:val>
        </c:ser>
        <c:ser>
          <c:idx val="2"/>
          <c:order val="1"/>
          <c:tx>
            <c:strRef>
              <c:f>'05_disagreg innovatin index'!$B$5</c:f>
              <c:strCache>
                <c:ptCount val="1"/>
                <c:pt idx="0">
                  <c:v>AT</c:v>
                </c:pt>
              </c:strCache>
            </c:strRef>
          </c:tx>
          <c:spPr>
            <a:solidFill>
              <a:schemeClr val="tx2">
                <a:lumMod val="75000"/>
              </a:schemeClr>
            </a:solidFill>
          </c:spPr>
          <c:invertIfNegative val="0"/>
          <c:val>
            <c:numRef>
              <c:f>'05_disagreg innovatin index'!$C$5:$K$5</c:f>
              <c:numCache>
                <c:formatCode>General</c:formatCode>
                <c:ptCount val="9"/>
                <c:pt idx="0">
                  <c:v>0.58512820071503857</c:v>
                </c:pt>
                <c:pt idx="1">
                  <c:v>0.62152742353371793</c:v>
                </c:pt>
                <c:pt idx="2">
                  <c:v>0.55087041231320444</c:v>
                </c:pt>
                <c:pt idx="3">
                  <c:v>0.51139277275022477</c:v>
                </c:pt>
                <c:pt idx="4">
                  <c:v>0.5268675370994863</c:v>
                </c:pt>
                <c:pt idx="5">
                  <c:v>0.61419215016886797</c:v>
                </c:pt>
                <c:pt idx="6">
                  <c:v>0.77580626863426871</c:v>
                </c:pt>
                <c:pt idx="7">
                  <c:v>0.58545449106632474</c:v>
                </c:pt>
                <c:pt idx="8">
                  <c:v>0.4664651784786244</c:v>
                </c:pt>
              </c:numCache>
            </c:numRef>
          </c:val>
        </c:ser>
        <c:ser>
          <c:idx val="1"/>
          <c:order val="2"/>
          <c:tx>
            <c:strRef>
              <c:f>'05_disagreg innovatin index'!$B$3</c:f>
              <c:strCache>
                <c:ptCount val="1"/>
                <c:pt idx="0">
                  <c:v>EU</c:v>
                </c:pt>
              </c:strCache>
            </c:strRef>
          </c:tx>
          <c:spPr>
            <a:solidFill>
              <a:schemeClr val="tx2">
                <a:lumMod val="40000"/>
                <a:lumOff val="60000"/>
              </a:schemeClr>
            </a:solidFill>
          </c:spPr>
          <c:invertIfNegative val="0"/>
          <c:cat>
            <c:strRef>
              <c:f>'05_disagreg innovatin index'!$C$1:$K$1</c:f>
              <c:strCache>
                <c:ptCount val="9"/>
                <c:pt idx="0">
                  <c:v>SII</c:v>
                </c:pt>
                <c:pt idx="1">
                  <c:v>Human resources</c:v>
                </c:pt>
                <c:pt idx="2">
                  <c:v>Research systems</c:v>
                </c:pt>
                <c:pt idx="3">
                  <c:v>Finance and support</c:v>
                </c:pt>
                <c:pt idx="4">
                  <c:v>Firm investments</c:v>
                </c:pt>
                <c:pt idx="5">
                  <c:v>Linkages &amp; entrepreneurship</c:v>
                </c:pt>
                <c:pt idx="6">
                  <c:v>Intellectual assets</c:v>
                </c:pt>
                <c:pt idx="7">
                  <c:v>Innovators</c:v>
                </c:pt>
                <c:pt idx="8">
                  <c:v>Economic effects</c:v>
                </c:pt>
              </c:strCache>
            </c:strRef>
          </c:cat>
          <c:val>
            <c:numRef>
              <c:f>'05_disagreg innovatin index'!$C$3:$K$3</c:f>
              <c:numCache>
                <c:formatCode>General</c:formatCode>
                <c:ptCount val="9"/>
                <c:pt idx="0">
                  <c:v>0.55510766724328642</c:v>
                </c:pt>
                <c:pt idx="1">
                  <c:v>0.59795739272529203</c:v>
                </c:pt>
                <c:pt idx="2">
                  <c:v>0.54224892976351358</c:v>
                </c:pt>
                <c:pt idx="3">
                  <c:v>0.5564498478223121</c:v>
                </c:pt>
                <c:pt idx="4">
                  <c:v>0.45441481358727687</c:v>
                </c:pt>
                <c:pt idx="5">
                  <c:v>0.47337829151559546</c:v>
                </c:pt>
                <c:pt idx="6">
                  <c:v>0.62376432730596476</c:v>
                </c:pt>
                <c:pt idx="7">
                  <c:v>0.5053016148513837</c:v>
                </c:pt>
                <c:pt idx="8">
                  <c:v>0.60084927249435383</c:v>
                </c:pt>
              </c:numCache>
            </c:numRef>
          </c:val>
        </c:ser>
        <c:dLbls>
          <c:showLegendKey val="0"/>
          <c:showVal val="0"/>
          <c:showCatName val="0"/>
          <c:showSerName val="0"/>
          <c:showPercent val="0"/>
          <c:showBubbleSize val="0"/>
        </c:dLbls>
        <c:gapWidth val="150"/>
        <c:axId val="135089152"/>
        <c:axId val="135095040"/>
      </c:barChart>
      <c:catAx>
        <c:axId val="135089152"/>
        <c:scaling>
          <c:orientation val="minMax"/>
        </c:scaling>
        <c:delete val="0"/>
        <c:axPos val="b"/>
        <c:majorTickMark val="out"/>
        <c:minorTickMark val="none"/>
        <c:tickLblPos val="nextTo"/>
        <c:txPr>
          <a:bodyPr/>
          <a:lstStyle/>
          <a:p>
            <a:pPr>
              <a:defRPr sz="720"/>
            </a:pPr>
            <a:endParaRPr lang="cs-CZ"/>
          </a:p>
        </c:txPr>
        <c:crossAx val="135095040"/>
        <c:crosses val="autoZero"/>
        <c:auto val="1"/>
        <c:lblAlgn val="ctr"/>
        <c:lblOffset val="100"/>
        <c:noMultiLvlLbl val="0"/>
      </c:catAx>
      <c:valAx>
        <c:axId val="135095040"/>
        <c:scaling>
          <c:orientation val="minMax"/>
          <c:max val="0.8"/>
        </c:scaling>
        <c:delete val="0"/>
        <c:axPos val="l"/>
        <c:numFmt formatCode="General" sourceLinked="1"/>
        <c:majorTickMark val="out"/>
        <c:minorTickMark val="none"/>
        <c:tickLblPos val="nextTo"/>
        <c:txPr>
          <a:bodyPr/>
          <a:lstStyle/>
          <a:p>
            <a:pPr>
              <a:defRPr sz="700"/>
            </a:pPr>
            <a:endParaRPr lang="cs-CZ"/>
          </a:p>
        </c:txPr>
        <c:crossAx val="135089152"/>
        <c:crosses val="autoZero"/>
        <c:crossBetween val="between"/>
      </c:valAx>
      <c:spPr>
        <a:noFill/>
        <a:ln w="25400">
          <a:noFill/>
        </a:ln>
      </c:spPr>
    </c:plotArea>
    <c:legend>
      <c:legendPos val="b"/>
      <c:layout>
        <c:manualLayout>
          <c:xMode val="edge"/>
          <c:yMode val="edge"/>
          <c:x val="0.39518024678703628"/>
          <c:y val="0.11184647885243235"/>
          <c:w val="0.16681836642040113"/>
          <c:h val="9.724721770303929E-2"/>
        </c:manualLayout>
      </c:layout>
      <c:overlay val="0"/>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2738639640388693"/>
          <c:y val="5.2630039027141612E-2"/>
          <c:w val="0.5440467894269122"/>
          <c:h val="0.93323276868082594"/>
        </c:manualLayout>
      </c:layout>
      <c:barChart>
        <c:barDir val="bar"/>
        <c:grouping val="clustered"/>
        <c:varyColors val="0"/>
        <c:ser>
          <c:idx val="5"/>
          <c:order val="0"/>
          <c:tx>
            <c:strRef>
              <c:f>'03_CZ vs AT'!$C$1</c:f>
              <c:strCache>
                <c:ptCount val="1"/>
                <c:pt idx="0">
                  <c:v>CZ</c:v>
                </c:pt>
              </c:strCache>
            </c:strRef>
          </c:tx>
          <c:spPr>
            <a:solidFill>
              <a:srgbClr val="C00000"/>
            </a:solidFill>
          </c:spPr>
          <c:invertIfNegative val="0"/>
          <c:cat>
            <c:strRef>
              <c:f>'03_CZ vs AT'!$A$2:$A$37</c:f>
              <c:strCache>
                <c:ptCount val="36"/>
                <c:pt idx="0">
                  <c:v>ENABLERS</c:v>
                </c:pt>
                <c:pt idx="1">
                  <c:v>Human resources</c:v>
                </c:pt>
                <c:pt idx="2">
                  <c:v>1.1.1 New doctorate graduates</c:v>
                </c:pt>
                <c:pt idx="3">
                  <c:v>1.1.2 Population completed tertiary education</c:v>
                </c:pt>
                <c:pt idx="4">
                  <c:v>1.1.3 Youth with upper secondary level education</c:v>
                </c:pt>
                <c:pt idx="5">
                  <c:v>Open, excellent and attractive research systems</c:v>
                </c:pt>
                <c:pt idx="6">
                  <c:v>1.2.1 International scientific co-publications</c:v>
                </c:pt>
                <c:pt idx="7">
                  <c:v>1.2.2 Scientific publications among top 10% most cited</c:v>
                </c:pt>
                <c:pt idx="8">
                  <c:v>1.2.3 Non-EU doctorate students</c:v>
                </c:pt>
                <c:pt idx="9">
                  <c:v>Finance and support</c:v>
                </c:pt>
                <c:pt idx="10">
                  <c:v>1.3.1 Public R&amp;D expenditure</c:v>
                </c:pt>
                <c:pt idx="11">
                  <c:v>1.3.2 Venture capital</c:v>
                </c:pt>
                <c:pt idx="12">
                  <c:v>FIRM ACTIVITIES</c:v>
                </c:pt>
                <c:pt idx="13">
                  <c:v>Firm investments</c:v>
                </c:pt>
                <c:pt idx="14">
                  <c:v>2.1.1 Business R&amp;D expenditure</c:v>
                </c:pt>
                <c:pt idx="15">
                  <c:v>2.1.2 Non-R&amp;D innovation expenditure</c:v>
                </c:pt>
                <c:pt idx="16">
                  <c:v>Linkages &amp; entrepreneurship</c:v>
                </c:pt>
                <c:pt idx="17">
                  <c:v>2.2.1 SMEs innovating in-house</c:v>
                </c:pt>
                <c:pt idx="18">
                  <c:v>2.2.2 Innovative SMEs collaborating with others</c:v>
                </c:pt>
                <c:pt idx="19">
                  <c:v>2.2.3 Public-private co-publications</c:v>
                </c:pt>
                <c:pt idx="20">
                  <c:v>Intellectual Assets</c:v>
                </c:pt>
                <c:pt idx="21">
                  <c:v>2.3.1 PCT patent applications</c:v>
                </c:pt>
                <c:pt idx="22">
                  <c:v>2.3.2 PCT patent applications in societal challenges</c:v>
                </c:pt>
                <c:pt idx="23">
                  <c:v>2.3.3 Community trademarks</c:v>
                </c:pt>
                <c:pt idx="24">
                  <c:v>2.3.4 Community designs</c:v>
                </c:pt>
                <c:pt idx="25">
                  <c:v>OUTPUTS</c:v>
                </c:pt>
                <c:pt idx="26">
                  <c:v>Innovators</c:v>
                </c:pt>
                <c:pt idx="27">
                  <c:v>3.1.1 SMEs introducing product or process innovations</c:v>
                </c:pt>
                <c:pt idx="28">
                  <c:v>3.1.2 SMEs introducing marketing/organisational innovations</c:v>
                </c:pt>
                <c:pt idx="29">
                  <c:v>3.1.3 Fast-growing firms in innovative industries</c:v>
                </c:pt>
                <c:pt idx="30">
                  <c:v>Economic effects</c:v>
                </c:pt>
                <c:pt idx="31">
                  <c:v>3.2.1 Employment in knowledge-intensive activities</c:v>
                </c:pt>
                <c:pt idx="32">
                  <c:v>3.2.2 Contribution of MHT product exports to trade balance</c:v>
                </c:pt>
                <c:pt idx="33">
                  <c:v>3.2.3 Knowledge-intensive services exports</c:v>
                </c:pt>
                <c:pt idx="34">
                  <c:v>3.2.4 Sales of new to market and new to firm innovations</c:v>
                </c:pt>
                <c:pt idx="35">
                  <c:v>3.2.5 Licence and patent revenues from abroad</c:v>
                </c:pt>
              </c:strCache>
            </c:strRef>
          </c:cat>
          <c:val>
            <c:numRef>
              <c:f>'03_CZ vs AT'!$G$2:$G$37</c:f>
              <c:numCache>
                <c:formatCode>General</c:formatCode>
                <c:ptCount val="36"/>
                <c:pt idx="2" formatCode="0.00">
                  <c:v>94.444444444444443</c:v>
                </c:pt>
                <c:pt idx="3" formatCode="0.00">
                  <c:v>72.357723577235774</c:v>
                </c:pt>
                <c:pt idx="4" formatCode="0.00">
                  <c:v>112.22222222222223</c:v>
                </c:pt>
                <c:pt idx="6" formatCode="0.00">
                  <c:v>164.65342669013953</c:v>
                </c:pt>
                <c:pt idx="7" formatCode="0.00">
                  <c:v>51.366120218579226</c:v>
                </c:pt>
                <c:pt idx="8" formatCode="0.00">
                  <c:v>17.290286101436241</c:v>
                </c:pt>
                <c:pt idx="10" formatCode="0.00">
                  <c:v>120.83333333333334</c:v>
                </c:pt>
                <c:pt idx="11" formatCode="0.00">
                  <c:v>2.4694333854416488</c:v>
                </c:pt>
                <c:pt idx="14" formatCode="0.00">
                  <c:v>79.84496124031007</c:v>
                </c:pt>
                <c:pt idx="15" formatCode="0.00">
                  <c:v>106.38124962351149</c:v>
                </c:pt>
                <c:pt idx="17" formatCode="0.00">
                  <c:v>95.306698683811078</c:v>
                </c:pt>
                <c:pt idx="18" formatCode="0.00">
                  <c:v>112.7416945625135</c:v>
                </c:pt>
                <c:pt idx="19" formatCode="0.00">
                  <c:v>49.81568916040807</c:v>
                </c:pt>
                <c:pt idx="21" formatCode="0.00">
                  <c:v>20.884655656499028</c:v>
                </c:pt>
                <c:pt idx="22" formatCode="0.00">
                  <c:v>19.949393674161179</c:v>
                </c:pt>
                <c:pt idx="23" formatCode="0.00">
                  <c:v>66.750116311724469</c:v>
                </c:pt>
                <c:pt idx="24" formatCode="0.00">
                  <c:v>100.36052226816219</c:v>
                </c:pt>
                <c:pt idx="27" formatCode="0.00">
                  <c:v>100.8588417002431</c:v>
                </c:pt>
                <c:pt idx="28" formatCode="0.00">
                  <c:v>83.404625350066155</c:v>
                </c:pt>
                <c:pt idx="29" formatCode="0.00">
                  <c:v>104.46927374301676</c:v>
                </c:pt>
                <c:pt idx="31" formatCode="0.00">
                  <c:v>93.478260869565204</c:v>
                </c:pt>
                <c:pt idx="32" formatCode="0.00">
                  <c:v>117.99083202547776</c:v>
                </c:pt>
                <c:pt idx="33" formatCode="0.00">
                  <c:v>70.986373287555693</c:v>
                </c:pt>
                <c:pt idx="34" formatCode="0.00">
                  <c:v>108.02428618261284</c:v>
                </c:pt>
                <c:pt idx="35" formatCode="0.00">
                  <c:v>20.762893280267921</c:v>
                </c:pt>
              </c:numCache>
            </c:numRef>
          </c:val>
        </c:ser>
        <c:ser>
          <c:idx val="6"/>
          <c:order val="1"/>
          <c:tx>
            <c:strRef>
              <c:f>'03_CZ vs AT'!$D$1</c:f>
              <c:strCache>
                <c:ptCount val="1"/>
                <c:pt idx="0">
                  <c:v>AT</c:v>
                </c:pt>
              </c:strCache>
            </c:strRef>
          </c:tx>
          <c:spPr>
            <a:solidFill>
              <a:schemeClr val="accent1">
                <a:lumMod val="75000"/>
              </a:schemeClr>
            </a:solidFill>
          </c:spPr>
          <c:invertIfNegative val="0"/>
          <c:cat>
            <c:strRef>
              <c:f>'03_CZ vs AT'!$A$2:$A$37</c:f>
              <c:strCache>
                <c:ptCount val="36"/>
                <c:pt idx="0">
                  <c:v>ENABLERS</c:v>
                </c:pt>
                <c:pt idx="1">
                  <c:v>Human resources</c:v>
                </c:pt>
                <c:pt idx="2">
                  <c:v>1.1.1 New doctorate graduates</c:v>
                </c:pt>
                <c:pt idx="3">
                  <c:v>1.1.2 Population completed tertiary education</c:v>
                </c:pt>
                <c:pt idx="4">
                  <c:v>1.1.3 Youth with upper secondary level education</c:v>
                </c:pt>
                <c:pt idx="5">
                  <c:v>Open, excellent and attractive research systems</c:v>
                </c:pt>
                <c:pt idx="6">
                  <c:v>1.2.1 International scientific co-publications</c:v>
                </c:pt>
                <c:pt idx="7">
                  <c:v>1.2.2 Scientific publications among top 10% most cited</c:v>
                </c:pt>
                <c:pt idx="8">
                  <c:v>1.2.3 Non-EU doctorate students</c:v>
                </c:pt>
                <c:pt idx="9">
                  <c:v>Finance and support</c:v>
                </c:pt>
                <c:pt idx="10">
                  <c:v>1.3.1 Public R&amp;D expenditure</c:v>
                </c:pt>
                <c:pt idx="11">
                  <c:v>1.3.2 Venture capital</c:v>
                </c:pt>
                <c:pt idx="12">
                  <c:v>FIRM ACTIVITIES</c:v>
                </c:pt>
                <c:pt idx="13">
                  <c:v>Firm investments</c:v>
                </c:pt>
                <c:pt idx="14">
                  <c:v>2.1.1 Business R&amp;D expenditure</c:v>
                </c:pt>
                <c:pt idx="15">
                  <c:v>2.1.2 Non-R&amp;D innovation expenditure</c:v>
                </c:pt>
                <c:pt idx="16">
                  <c:v>Linkages &amp; entrepreneurship</c:v>
                </c:pt>
                <c:pt idx="17">
                  <c:v>2.2.1 SMEs innovating in-house</c:v>
                </c:pt>
                <c:pt idx="18">
                  <c:v>2.2.2 Innovative SMEs collaborating with others</c:v>
                </c:pt>
                <c:pt idx="19">
                  <c:v>2.2.3 Public-private co-publications</c:v>
                </c:pt>
                <c:pt idx="20">
                  <c:v>Intellectual Assets</c:v>
                </c:pt>
                <c:pt idx="21">
                  <c:v>2.3.1 PCT patent applications</c:v>
                </c:pt>
                <c:pt idx="22">
                  <c:v>2.3.2 PCT patent applications in societal challenges</c:v>
                </c:pt>
                <c:pt idx="23">
                  <c:v>2.3.3 Community trademarks</c:v>
                </c:pt>
                <c:pt idx="24">
                  <c:v>2.3.4 Community designs</c:v>
                </c:pt>
                <c:pt idx="25">
                  <c:v>OUTPUTS</c:v>
                </c:pt>
                <c:pt idx="26">
                  <c:v>Innovators</c:v>
                </c:pt>
                <c:pt idx="27">
                  <c:v>3.1.1 SMEs introducing product or process innovations</c:v>
                </c:pt>
                <c:pt idx="28">
                  <c:v>3.1.2 SMEs introducing marketing/organisational innovations</c:v>
                </c:pt>
                <c:pt idx="29">
                  <c:v>3.1.3 Fast-growing firms in innovative industries</c:v>
                </c:pt>
                <c:pt idx="30">
                  <c:v>Economic effects</c:v>
                </c:pt>
                <c:pt idx="31">
                  <c:v>3.2.1 Employment in knowledge-intensive activities</c:v>
                </c:pt>
                <c:pt idx="32">
                  <c:v>3.2.2 Contribution of MHT product exports to trade balance</c:v>
                </c:pt>
                <c:pt idx="33">
                  <c:v>3.2.3 Knowledge-intensive services exports</c:v>
                </c:pt>
                <c:pt idx="34">
                  <c:v>3.2.4 Sales of new to market and new to firm innovations</c:v>
                </c:pt>
                <c:pt idx="35">
                  <c:v>3.2.5 Licence and patent revenues from abroad</c:v>
                </c:pt>
              </c:strCache>
            </c:strRef>
          </c:cat>
          <c:val>
            <c:numRef>
              <c:f>'03_CZ vs AT'!$H$2:$H$37</c:f>
              <c:numCache>
                <c:formatCode>General</c:formatCode>
                <c:ptCount val="36"/>
                <c:pt idx="2" formatCode="0.00">
                  <c:v>122.22222222222223</c:v>
                </c:pt>
                <c:pt idx="3" formatCode="0.00">
                  <c:v>73.983739837398375</c:v>
                </c:pt>
                <c:pt idx="4" formatCode="0.00">
                  <c:v>107.90123456790124</c:v>
                </c:pt>
                <c:pt idx="6" formatCode="0.00">
                  <c:v>361.58950586405865</c:v>
                </c:pt>
                <c:pt idx="7" formatCode="0.00">
                  <c:v>100.63752276867031</c:v>
                </c:pt>
                <c:pt idx="8" formatCode="0.00">
                  <c:v>35.313809884619261</c:v>
                </c:pt>
                <c:pt idx="10" formatCode="0.00">
                  <c:v>119.44444444444444</c:v>
                </c:pt>
                <c:pt idx="11" formatCode="0.00">
                  <c:v>28.348771573596409</c:v>
                </c:pt>
                <c:pt idx="14" formatCode="0.00">
                  <c:v>149.6124031007752</c:v>
                </c:pt>
                <c:pt idx="15" formatCode="0.00">
                  <c:v>66.70241189901634</c:v>
                </c:pt>
                <c:pt idx="17" formatCode="0.00">
                  <c:v>110.91029828533168</c:v>
                </c:pt>
                <c:pt idx="18" formatCode="0.00">
                  <c:v>147.82830576159287</c:v>
                </c:pt>
                <c:pt idx="19" formatCode="0.00">
                  <c:v>141.06885112142814</c:v>
                </c:pt>
                <c:pt idx="21" formatCode="0.00">
                  <c:v>131.15374046915517</c:v>
                </c:pt>
                <c:pt idx="22" formatCode="0.00">
                  <c:v>111.66525471683448</c:v>
                </c:pt>
                <c:pt idx="23" formatCode="0.00">
                  <c:v>172.72951626968702</c:v>
                </c:pt>
                <c:pt idx="24" formatCode="0.00">
                  <c:v>145.81329855942315</c:v>
                </c:pt>
                <c:pt idx="27" formatCode="0.00">
                  <c:v>116.63901567617488</c:v>
                </c:pt>
                <c:pt idx="28" formatCode="0.00">
                  <c:v>123.5270694207826</c:v>
                </c:pt>
                <c:pt idx="29" formatCode="0.00">
                  <c:v>96.089385474860336</c:v>
                </c:pt>
                <c:pt idx="31" formatCode="0.00">
                  <c:v>105.79710144927535</c:v>
                </c:pt>
                <c:pt idx="32" formatCode="0.00">
                  <c:v>106.79118107513059</c:v>
                </c:pt>
                <c:pt idx="33" formatCode="0.00">
                  <c:v>53.737227003856646</c:v>
                </c:pt>
                <c:pt idx="34" formatCode="0.00">
                  <c:v>79.407884387800948</c:v>
                </c:pt>
                <c:pt idx="35" formatCode="0.00">
                  <c:v>37.675469677344793</c:v>
                </c:pt>
              </c:numCache>
            </c:numRef>
          </c:val>
        </c:ser>
        <c:dLbls>
          <c:showLegendKey val="0"/>
          <c:showVal val="0"/>
          <c:showCatName val="0"/>
          <c:showSerName val="0"/>
          <c:showPercent val="0"/>
          <c:showBubbleSize val="0"/>
        </c:dLbls>
        <c:gapWidth val="150"/>
        <c:axId val="135112192"/>
        <c:axId val="135113728"/>
      </c:barChart>
      <c:catAx>
        <c:axId val="135112192"/>
        <c:scaling>
          <c:orientation val="maxMin"/>
        </c:scaling>
        <c:delete val="0"/>
        <c:axPos val="l"/>
        <c:majorTickMark val="out"/>
        <c:minorTickMark val="none"/>
        <c:tickLblPos val="nextTo"/>
        <c:txPr>
          <a:bodyPr/>
          <a:lstStyle/>
          <a:p>
            <a:pPr>
              <a:defRPr sz="720"/>
            </a:pPr>
            <a:endParaRPr lang="cs-CZ"/>
          </a:p>
        </c:txPr>
        <c:crossAx val="135113728"/>
        <c:crosses val="autoZero"/>
        <c:auto val="1"/>
        <c:lblAlgn val="ctr"/>
        <c:lblOffset val="100"/>
        <c:noMultiLvlLbl val="0"/>
      </c:catAx>
      <c:valAx>
        <c:axId val="135113728"/>
        <c:scaling>
          <c:orientation val="minMax"/>
        </c:scaling>
        <c:delete val="0"/>
        <c:axPos val="t"/>
        <c:majorGridlines/>
        <c:numFmt formatCode="General" sourceLinked="1"/>
        <c:majorTickMark val="out"/>
        <c:minorTickMark val="none"/>
        <c:tickLblPos val="nextTo"/>
        <c:crossAx val="135112192"/>
        <c:crosses val="autoZero"/>
        <c:crossBetween val="between"/>
      </c:valAx>
    </c:plotArea>
    <c:legend>
      <c:legendPos val="b"/>
      <c:layout>
        <c:manualLayout>
          <c:xMode val="edge"/>
          <c:yMode val="edge"/>
          <c:x val="8.7219955773244887E-2"/>
          <c:y val="3.6749010117885034E-2"/>
          <c:w val="0.1074496868993738"/>
          <c:h val="3.7613964401095726E-2"/>
        </c:manualLayout>
      </c:layout>
      <c:overlay val="0"/>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9741702143691371"/>
          <c:y val="4.2174500914658394E-2"/>
          <c:w val="0.54940923953716925"/>
          <c:h val="0.94469501948941581"/>
        </c:manualLayout>
      </c:layout>
      <c:barChart>
        <c:barDir val="bar"/>
        <c:grouping val="clustered"/>
        <c:varyColors val="0"/>
        <c:ser>
          <c:idx val="0"/>
          <c:order val="0"/>
          <c:tx>
            <c:strRef>
              <c:f>'04_growth performance'!$B$1</c:f>
              <c:strCache>
                <c:ptCount val="1"/>
                <c:pt idx="0">
                  <c:v>CZ</c:v>
                </c:pt>
              </c:strCache>
            </c:strRef>
          </c:tx>
          <c:spPr>
            <a:solidFill>
              <a:srgbClr val="C00000"/>
            </a:solidFill>
          </c:spPr>
          <c:invertIfNegative val="0"/>
          <c:cat>
            <c:strRef>
              <c:f>'04_growth performance'!$A$2:$A$37</c:f>
              <c:strCache>
                <c:ptCount val="36"/>
                <c:pt idx="0">
                  <c:v>ENABLERS</c:v>
                </c:pt>
                <c:pt idx="1">
                  <c:v>Human resources</c:v>
                </c:pt>
                <c:pt idx="2">
                  <c:v>1.1.1 New doctorate graduates</c:v>
                </c:pt>
                <c:pt idx="3">
                  <c:v>1.1.2 Population completed tertiary education</c:v>
                </c:pt>
                <c:pt idx="4">
                  <c:v>1.1.3 Youth with upper secondary level education</c:v>
                </c:pt>
                <c:pt idx="5">
                  <c:v>Open, excellent and attractive research systems</c:v>
                </c:pt>
                <c:pt idx="6">
                  <c:v>1.2.1 International scientific co-publications</c:v>
                </c:pt>
                <c:pt idx="7">
                  <c:v>1.2.2 Scientific publications among top 10% most cited</c:v>
                </c:pt>
                <c:pt idx="8">
                  <c:v>1.2.3 Non-EU doctorate students</c:v>
                </c:pt>
                <c:pt idx="9">
                  <c:v>Finance and support</c:v>
                </c:pt>
                <c:pt idx="10">
                  <c:v>1.3.1 Public R&amp;D expenditure</c:v>
                </c:pt>
                <c:pt idx="11">
                  <c:v>1.3.2 Venture capital</c:v>
                </c:pt>
                <c:pt idx="12">
                  <c:v>FIRM ACTIVITIES</c:v>
                </c:pt>
                <c:pt idx="13">
                  <c:v>Firm investments</c:v>
                </c:pt>
                <c:pt idx="14">
                  <c:v>2.1.1 Business R&amp;D expenditure</c:v>
                </c:pt>
                <c:pt idx="15">
                  <c:v>2.1.2 Non-R&amp;D innovation expenditure</c:v>
                </c:pt>
                <c:pt idx="16">
                  <c:v>Linkages &amp; entrepreneurship</c:v>
                </c:pt>
                <c:pt idx="17">
                  <c:v>2.2.1 SMEs innovating in-house</c:v>
                </c:pt>
                <c:pt idx="18">
                  <c:v>2.2.2 Innovative SMEs collaborating with others</c:v>
                </c:pt>
                <c:pt idx="19">
                  <c:v>2.2.3 Public-private co-publications</c:v>
                </c:pt>
                <c:pt idx="20">
                  <c:v>Intellectual Assets</c:v>
                </c:pt>
                <c:pt idx="21">
                  <c:v>2.3.1 PCT patent applications</c:v>
                </c:pt>
                <c:pt idx="22">
                  <c:v>2.3.2 PCT patent applications in societal challenges</c:v>
                </c:pt>
                <c:pt idx="23">
                  <c:v>2.3.3 Community trademarks</c:v>
                </c:pt>
                <c:pt idx="24">
                  <c:v>2.3.4 Community designs</c:v>
                </c:pt>
                <c:pt idx="25">
                  <c:v>OUTPUTS</c:v>
                </c:pt>
                <c:pt idx="26">
                  <c:v>Innovators</c:v>
                </c:pt>
                <c:pt idx="27">
                  <c:v>3.1.1 SMEs introducing product or process innovations</c:v>
                </c:pt>
                <c:pt idx="28">
                  <c:v>3.1.2 SMEs introducing marketing/organisational innovations</c:v>
                </c:pt>
                <c:pt idx="29">
                  <c:v>3.1.3 Fast-growing firms in innovative industries</c:v>
                </c:pt>
                <c:pt idx="30">
                  <c:v>Economic effects</c:v>
                </c:pt>
                <c:pt idx="31">
                  <c:v>3.2.1 Employment in knowledge-intensive activities</c:v>
                </c:pt>
                <c:pt idx="32">
                  <c:v>3.2.2 Contribution of MHT product exports to trade balance</c:v>
                </c:pt>
                <c:pt idx="33">
                  <c:v>3.2.3 Knowledge-intensive services exports</c:v>
                </c:pt>
                <c:pt idx="34">
                  <c:v>3.2.4 Sales of new to market and new to firm innovations</c:v>
                </c:pt>
                <c:pt idx="35">
                  <c:v>3.2.5 Licence and patent revenues from abroad</c:v>
                </c:pt>
              </c:strCache>
            </c:strRef>
          </c:cat>
          <c:val>
            <c:numRef>
              <c:f>'04_growth performance'!$B$2:$B$37</c:f>
              <c:numCache>
                <c:formatCode>General</c:formatCode>
                <c:ptCount val="36"/>
                <c:pt idx="2" formatCode="0.00%">
                  <c:v>6.4162703331652304E-2</c:v>
                </c:pt>
                <c:pt idx="3" formatCode="0.00%">
                  <c:v>0.10707524046238848</c:v>
                </c:pt>
                <c:pt idx="4" formatCode="0.00%">
                  <c:v>-1.4064808977648502E-3</c:v>
                </c:pt>
                <c:pt idx="6" formatCode="0.00%">
                  <c:v>7.860493189642459E-2</c:v>
                </c:pt>
                <c:pt idx="7" formatCode="0.00%">
                  <c:v>4.5520907122001963E-2</c:v>
                </c:pt>
                <c:pt idx="8" formatCode="0.00%">
                  <c:v>4.2664346139747344E-2</c:v>
                </c:pt>
                <c:pt idx="10" formatCode="0.00%">
                  <c:v>8.234116977327921E-2</c:v>
                </c:pt>
                <c:pt idx="11" formatCode="0.00%">
                  <c:v>-0.29744520054958257</c:v>
                </c:pt>
                <c:pt idx="14" formatCode="0.00%">
                  <c:v>4.83711765486603E-2</c:v>
                </c:pt>
                <c:pt idx="15" formatCode="0.00%">
                  <c:v>-2.6556626804171923E-2</c:v>
                </c:pt>
                <c:pt idx="17" formatCode="0.00%">
                  <c:v>-3.2968625345859426E-3</c:v>
                </c:pt>
                <c:pt idx="18" formatCode="0.00%">
                  <c:v>-9.7384445092152383E-4</c:v>
                </c:pt>
                <c:pt idx="19" formatCode="0.00%">
                  <c:v>7.9089793924700835E-2</c:v>
                </c:pt>
                <c:pt idx="21" formatCode="0.00%">
                  <c:v>1.8956919995858579E-2</c:v>
                </c:pt>
                <c:pt idx="22" formatCode="0.00%">
                  <c:v>-1.8546126463601542E-2</c:v>
                </c:pt>
                <c:pt idx="23" formatCode="0.00%">
                  <c:v>0.15501207540719286</c:v>
                </c:pt>
                <c:pt idx="24" formatCode="0.00%">
                  <c:v>0.1000964778369251</c:v>
                </c:pt>
                <c:pt idx="27" formatCode="0.00%">
                  <c:v>-5.0362875557772302E-3</c:v>
                </c:pt>
                <c:pt idx="28" formatCode="0.00%">
                  <c:v>-2.563786447854921E-2</c:v>
                </c:pt>
                <c:pt idx="29" formatCode="0.00%">
                  <c:v>1.8925748080241167E-2</c:v>
                </c:pt>
                <c:pt idx="31" formatCode="0.00%">
                  <c:v>2.0392796302874938E-2</c:v>
                </c:pt>
                <c:pt idx="32" formatCode="0.00%">
                  <c:v>1.6087341503614461E-3</c:v>
                </c:pt>
                <c:pt idx="33" formatCode="0.00%">
                  <c:v>-8.8724964900597225E-3</c:v>
                </c:pt>
                <c:pt idx="34" formatCode="0.00%">
                  <c:v>-1.2704558797143717E-2</c:v>
                </c:pt>
                <c:pt idx="35" formatCode="0.00%">
                  <c:v>0.31135390328946477</c:v>
                </c:pt>
              </c:numCache>
            </c:numRef>
          </c:val>
        </c:ser>
        <c:ser>
          <c:idx val="1"/>
          <c:order val="1"/>
          <c:tx>
            <c:strRef>
              <c:f>'04_growth performance'!$C$1</c:f>
              <c:strCache>
                <c:ptCount val="1"/>
                <c:pt idx="0">
                  <c:v>AT</c:v>
                </c:pt>
              </c:strCache>
            </c:strRef>
          </c:tx>
          <c:spPr>
            <a:solidFill>
              <a:srgbClr val="002060"/>
            </a:solidFill>
          </c:spPr>
          <c:invertIfNegative val="0"/>
          <c:cat>
            <c:strRef>
              <c:f>'04_growth performance'!$A$2:$A$37</c:f>
              <c:strCache>
                <c:ptCount val="36"/>
                <c:pt idx="0">
                  <c:v>ENABLERS</c:v>
                </c:pt>
                <c:pt idx="1">
                  <c:v>Human resources</c:v>
                </c:pt>
                <c:pt idx="2">
                  <c:v>1.1.1 New doctorate graduates</c:v>
                </c:pt>
                <c:pt idx="3">
                  <c:v>1.1.2 Population completed tertiary education</c:v>
                </c:pt>
                <c:pt idx="4">
                  <c:v>1.1.3 Youth with upper secondary level education</c:v>
                </c:pt>
                <c:pt idx="5">
                  <c:v>Open, excellent and attractive research systems</c:v>
                </c:pt>
                <c:pt idx="6">
                  <c:v>1.2.1 International scientific co-publications</c:v>
                </c:pt>
                <c:pt idx="7">
                  <c:v>1.2.2 Scientific publications among top 10% most cited</c:v>
                </c:pt>
                <c:pt idx="8">
                  <c:v>1.2.3 Non-EU doctorate students</c:v>
                </c:pt>
                <c:pt idx="9">
                  <c:v>Finance and support</c:v>
                </c:pt>
                <c:pt idx="10">
                  <c:v>1.3.1 Public R&amp;D expenditure</c:v>
                </c:pt>
                <c:pt idx="11">
                  <c:v>1.3.2 Venture capital</c:v>
                </c:pt>
                <c:pt idx="12">
                  <c:v>FIRM ACTIVITIES</c:v>
                </c:pt>
                <c:pt idx="13">
                  <c:v>Firm investments</c:v>
                </c:pt>
                <c:pt idx="14">
                  <c:v>2.1.1 Business R&amp;D expenditure</c:v>
                </c:pt>
                <c:pt idx="15">
                  <c:v>2.1.2 Non-R&amp;D innovation expenditure</c:v>
                </c:pt>
                <c:pt idx="16">
                  <c:v>Linkages &amp; entrepreneurship</c:v>
                </c:pt>
                <c:pt idx="17">
                  <c:v>2.2.1 SMEs innovating in-house</c:v>
                </c:pt>
                <c:pt idx="18">
                  <c:v>2.2.2 Innovative SMEs collaborating with others</c:v>
                </c:pt>
                <c:pt idx="19">
                  <c:v>2.2.3 Public-private co-publications</c:v>
                </c:pt>
                <c:pt idx="20">
                  <c:v>Intellectual Assets</c:v>
                </c:pt>
                <c:pt idx="21">
                  <c:v>2.3.1 PCT patent applications</c:v>
                </c:pt>
                <c:pt idx="22">
                  <c:v>2.3.2 PCT patent applications in societal challenges</c:v>
                </c:pt>
                <c:pt idx="23">
                  <c:v>2.3.3 Community trademarks</c:v>
                </c:pt>
                <c:pt idx="24">
                  <c:v>2.3.4 Community designs</c:v>
                </c:pt>
                <c:pt idx="25">
                  <c:v>OUTPUTS</c:v>
                </c:pt>
                <c:pt idx="26">
                  <c:v>Innovators</c:v>
                </c:pt>
                <c:pt idx="27">
                  <c:v>3.1.1 SMEs introducing product or process innovations</c:v>
                </c:pt>
                <c:pt idx="28">
                  <c:v>3.1.2 SMEs introducing marketing/organisational innovations</c:v>
                </c:pt>
                <c:pt idx="29">
                  <c:v>3.1.3 Fast-growing firms in innovative industries</c:v>
                </c:pt>
                <c:pt idx="30">
                  <c:v>Economic effects</c:v>
                </c:pt>
                <c:pt idx="31">
                  <c:v>3.2.1 Employment in knowledge-intensive activities</c:v>
                </c:pt>
                <c:pt idx="32">
                  <c:v>3.2.2 Contribution of MHT product exports to trade balance</c:v>
                </c:pt>
                <c:pt idx="33">
                  <c:v>3.2.3 Knowledge-intensive services exports</c:v>
                </c:pt>
                <c:pt idx="34">
                  <c:v>3.2.4 Sales of new to market and new to firm innovations</c:v>
                </c:pt>
                <c:pt idx="35">
                  <c:v>3.2.5 Licence and patent revenues from abroad</c:v>
                </c:pt>
              </c:strCache>
            </c:strRef>
          </c:cat>
          <c:val>
            <c:numRef>
              <c:f>'04_growth performance'!$C$2:$C$37</c:f>
              <c:numCache>
                <c:formatCode>General</c:formatCode>
                <c:ptCount val="36"/>
                <c:pt idx="2" formatCode="0.00%">
                  <c:v>1.3708856295468141E-2</c:v>
                </c:pt>
                <c:pt idx="3" formatCode="0.00%">
                  <c:v>3.6786994788490013E-2</c:v>
                </c:pt>
                <c:pt idx="4" formatCode="0.00%">
                  <c:v>2.6429544864576826E-3</c:v>
                </c:pt>
                <c:pt idx="6" formatCode="0.00%">
                  <c:v>7.8151636577751704E-2</c:v>
                </c:pt>
                <c:pt idx="7" formatCode="0.00%">
                  <c:v>1.8939403673529531E-2</c:v>
                </c:pt>
                <c:pt idx="8" formatCode="0.00%">
                  <c:v>3.5525389085834247E-2</c:v>
                </c:pt>
                <c:pt idx="10" formatCode="0.00%">
                  <c:v>3.1963161536419316E-2</c:v>
                </c:pt>
                <c:pt idx="11" formatCode="0.00%">
                  <c:v>-3.5616422249998059E-2</c:v>
                </c:pt>
                <c:pt idx="14" formatCode="0.00%">
                  <c:v>2.0886033912014712E-2</c:v>
                </c:pt>
                <c:pt idx="15" formatCode="0.00%">
                  <c:v>-3.6547505071499176E-3</c:v>
                </c:pt>
                <c:pt idx="17" formatCode="0.00%">
                  <c:v>-3.5794130154361836E-2</c:v>
                </c:pt>
                <c:pt idx="18" formatCode="0.00%">
                  <c:v>-2.3748025882174728E-2</c:v>
                </c:pt>
                <c:pt idx="19" formatCode="0.00%">
                  <c:v>4.6497035441319889E-2</c:v>
                </c:pt>
                <c:pt idx="21" formatCode="0.00%">
                  <c:v>9.286945960175208E-3</c:v>
                </c:pt>
                <c:pt idx="22" formatCode="0.00%">
                  <c:v>3.2435989595057446E-2</c:v>
                </c:pt>
                <c:pt idx="23" formatCode="0.00%">
                  <c:v>6.4178282236942552E-2</c:v>
                </c:pt>
                <c:pt idx="24" formatCode="0.00%">
                  <c:v>2.9171929911399941E-2</c:v>
                </c:pt>
                <c:pt idx="27" formatCode="0.00%">
                  <c:v>-4.1015713976547019E-2</c:v>
                </c:pt>
                <c:pt idx="28" formatCode="0.00%">
                  <c:v>-2.8874370863545606E-2</c:v>
                </c:pt>
                <c:pt idx="29" formatCode="0.00%">
                  <c:v>1.0385077541552379E-2</c:v>
                </c:pt>
                <c:pt idx="31" formatCode="0.00%">
                  <c:v>8.0829112666658265E-3</c:v>
                </c:pt>
                <c:pt idx="32" formatCode="0.00%">
                  <c:v>1.843094232000464E-3</c:v>
                </c:pt>
                <c:pt idx="33" formatCode="0.00%">
                  <c:v>1.7814506116454076E-2</c:v>
                </c:pt>
                <c:pt idx="34" formatCode="0.00%">
                  <c:v>-4.5505678274885164E-2</c:v>
                </c:pt>
                <c:pt idx="35" formatCode="0.00%">
                  <c:v>6.2273137510139742E-2</c:v>
                </c:pt>
              </c:numCache>
            </c:numRef>
          </c:val>
        </c:ser>
        <c:dLbls>
          <c:showLegendKey val="0"/>
          <c:showVal val="0"/>
          <c:showCatName val="0"/>
          <c:showSerName val="0"/>
          <c:showPercent val="0"/>
          <c:showBubbleSize val="0"/>
        </c:dLbls>
        <c:gapWidth val="150"/>
        <c:axId val="135134592"/>
        <c:axId val="149750912"/>
      </c:barChart>
      <c:catAx>
        <c:axId val="135134592"/>
        <c:scaling>
          <c:orientation val="maxMin"/>
        </c:scaling>
        <c:delete val="0"/>
        <c:axPos val="l"/>
        <c:majorTickMark val="out"/>
        <c:minorTickMark val="none"/>
        <c:tickLblPos val="low"/>
        <c:txPr>
          <a:bodyPr/>
          <a:lstStyle/>
          <a:p>
            <a:pPr>
              <a:defRPr sz="720"/>
            </a:pPr>
            <a:endParaRPr lang="cs-CZ"/>
          </a:p>
        </c:txPr>
        <c:crossAx val="149750912"/>
        <c:crosses val="autoZero"/>
        <c:auto val="1"/>
        <c:lblAlgn val="ctr"/>
        <c:lblOffset val="100"/>
        <c:noMultiLvlLbl val="0"/>
      </c:catAx>
      <c:valAx>
        <c:axId val="149750912"/>
        <c:scaling>
          <c:orientation val="minMax"/>
          <c:max val="0.2"/>
          <c:min val="-0.2"/>
        </c:scaling>
        <c:delete val="0"/>
        <c:axPos val="t"/>
        <c:majorGridlines/>
        <c:numFmt formatCode="0.00%" sourceLinked="0"/>
        <c:majorTickMark val="out"/>
        <c:minorTickMark val="none"/>
        <c:tickLblPos val="nextTo"/>
        <c:crossAx val="135134592"/>
        <c:crosses val="autoZero"/>
        <c:crossBetween val="between"/>
        <c:majorUnit val="0.1"/>
        <c:minorUnit val="5.000000000000001E-2"/>
      </c:valAx>
    </c:plotArea>
    <c:legend>
      <c:legendPos val="b"/>
      <c:layout>
        <c:manualLayout>
          <c:xMode val="edge"/>
          <c:yMode val="edge"/>
          <c:x val="0.10751338147371169"/>
          <c:y val="3.9779495728774164E-2"/>
          <c:w val="0.1088090865103695"/>
          <c:h val="3.0457997954904451E-2"/>
        </c:manualLayout>
      </c:layout>
      <c:overlay val="0"/>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a:pPr>
            <a:r>
              <a:rPr lang="cs-CZ"/>
              <a:t>GII</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List1!$C$58</c:f>
              <c:numCache>
                <c:formatCode>General</c:formatCode>
                <c:ptCount val="1"/>
                <c:pt idx="0">
                  <c:v>51.3</c:v>
                </c:pt>
              </c:numCache>
            </c:numRef>
          </c:val>
        </c:ser>
        <c:ser>
          <c:idx val="1"/>
          <c:order val="1"/>
          <c:tx>
            <c:strRef>
              <c:f>List1!$D$1</c:f>
              <c:strCache>
                <c:ptCount val="1"/>
                <c:pt idx="0">
                  <c:v>AT</c:v>
                </c:pt>
              </c:strCache>
            </c:strRef>
          </c:tx>
          <c:invertIfNegative val="0"/>
          <c:val>
            <c:numRef>
              <c:f>List1!$D$58</c:f>
              <c:numCache>
                <c:formatCode>General</c:formatCode>
                <c:ptCount val="1"/>
                <c:pt idx="0">
                  <c:v>54.1</c:v>
                </c:pt>
              </c:numCache>
            </c:numRef>
          </c:val>
        </c:ser>
        <c:dLbls>
          <c:showLegendKey val="0"/>
          <c:showVal val="1"/>
          <c:showCatName val="0"/>
          <c:showSerName val="0"/>
          <c:showPercent val="0"/>
          <c:showBubbleSize val="0"/>
        </c:dLbls>
        <c:gapWidth val="150"/>
        <c:overlap val="-25"/>
        <c:axId val="149794176"/>
        <c:axId val="149800064"/>
      </c:barChart>
      <c:catAx>
        <c:axId val="149794176"/>
        <c:scaling>
          <c:orientation val="minMax"/>
        </c:scaling>
        <c:delete val="1"/>
        <c:axPos val="b"/>
        <c:majorTickMark val="none"/>
        <c:minorTickMark val="none"/>
        <c:tickLblPos val="nextTo"/>
        <c:crossAx val="149800064"/>
        <c:crosses val="autoZero"/>
        <c:auto val="1"/>
        <c:lblAlgn val="ctr"/>
        <c:lblOffset val="100"/>
        <c:noMultiLvlLbl val="0"/>
      </c:catAx>
      <c:valAx>
        <c:axId val="149800064"/>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49794176"/>
        <c:crosses val="autoZero"/>
        <c:crossBetween val="between"/>
      </c:valAx>
    </c:plotArea>
    <c:legend>
      <c:legendPos val="t"/>
      <c:layout/>
      <c:overlay val="0"/>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Innovation Input Sub-index</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List1!$C$62</c:f>
              <c:numCache>
                <c:formatCode>General</c:formatCode>
                <c:ptCount val="1"/>
                <c:pt idx="0">
                  <c:v>54.2</c:v>
                </c:pt>
              </c:numCache>
            </c:numRef>
          </c:val>
        </c:ser>
        <c:ser>
          <c:idx val="1"/>
          <c:order val="1"/>
          <c:tx>
            <c:strRef>
              <c:f>List1!$D$1</c:f>
              <c:strCache>
                <c:ptCount val="1"/>
                <c:pt idx="0">
                  <c:v>AT</c:v>
                </c:pt>
              </c:strCache>
            </c:strRef>
          </c:tx>
          <c:invertIfNegative val="0"/>
          <c:val>
            <c:numRef>
              <c:f>List1!$D$62</c:f>
              <c:numCache>
                <c:formatCode>General</c:formatCode>
                <c:ptCount val="1"/>
                <c:pt idx="0">
                  <c:v>61</c:v>
                </c:pt>
              </c:numCache>
            </c:numRef>
          </c:val>
        </c:ser>
        <c:dLbls>
          <c:showLegendKey val="0"/>
          <c:showVal val="1"/>
          <c:showCatName val="0"/>
          <c:showSerName val="0"/>
          <c:showPercent val="0"/>
          <c:showBubbleSize val="0"/>
        </c:dLbls>
        <c:gapWidth val="150"/>
        <c:overlap val="-25"/>
        <c:axId val="134814720"/>
        <c:axId val="134824704"/>
      </c:barChart>
      <c:catAx>
        <c:axId val="134814720"/>
        <c:scaling>
          <c:orientation val="minMax"/>
        </c:scaling>
        <c:delete val="1"/>
        <c:axPos val="b"/>
        <c:majorTickMark val="none"/>
        <c:minorTickMark val="none"/>
        <c:tickLblPos val="nextTo"/>
        <c:crossAx val="134824704"/>
        <c:crosses val="autoZero"/>
        <c:auto val="1"/>
        <c:lblAlgn val="ctr"/>
        <c:lblOffset val="100"/>
        <c:noMultiLvlLbl val="0"/>
      </c:catAx>
      <c:valAx>
        <c:axId val="134824704"/>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4814720"/>
        <c:crosses val="autoZero"/>
        <c:crossBetween val="between"/>
      </c:valAx>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Innovation Output Sub-index</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List1!$C$64</c:f>
              <c:numCache>
                <c:formatCode>General</c:formatCode>
                <c:ptCount val="1"/>
                <c:pt idx="0">
                  <c:v>48.5</c:v>
                </c:pt>
              </c:numCache>
            </c:numRef>
          </c:val>
        </c:ser>
        <c:ser>
          <c:idx val="1"/>
          <c:order val="1"/>
          <c:tx>
            <c:strRef>
              <c:f>List1!$D$1</c:f>
              <c:strCache>
                <c:ptCount val="1"/>
                <c:pt idx="0">
                  <c:v>AT</c:v>
                </c:pt>
              </c:strCache>
            </c:strRef>
          </c:tx>
          <c:invertIfNegative val="0"/>
          <c:val>
            <c:numRef>
              <c:f>List1!$D$64</c:f>
              <c:numCache>
                <c:formatCode>General</c:formatCode>
                <c:ptCount val="1"/>
                <c:pt idx="0">
                  <c:v>47.2</c:v>
                </c:pt>
              </c:numCache>
            </c:numRef>
          </c:val>
        </c:ser>
        <c:dLbls>
          <c:showLegendKey val="0"/>
          <c:showVal val="1"/>
          <c:showCatName val="0"/>
          <c:showSerName val="0"/>
          <c:showPercent val="0"/>
          <c:showBubbleSize val="0"/>
        </c:dLbls>
        <c:gapWidth val="150"/>
        <c:overlap val="-25"/>
        <c:axId val="134851584"/>
        <c:axId val="134853376"/>
      </c:barChart>
      <c:catAx>
        <c:axId val="134851584"/>
        <c:scaling>
          <c:orientation val="minMax"/>
        </c:scaling>
        <c:delete val="1"/>
        <c:axPos val="b"/>
        <c:majorTickMark val="none"/>
        <c:minorTickMark val="none"/>
        <c:tickLblPos val="nextTo"/>
        <c:crossAx val="134853376"/>
        <c:crosses val="autoZero"/>
        <c:auto val="1"/>
        <c:lblAlgn val="ctr"/>
        <c:lblOffset val="100"/>
        <c:noMultiLvlLbl val="0"/>
      </c:catAx>
      <c:valAx>
        <c:axId val="134853376"/>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4851584"/>
        <c:crosses val="autoZero"/>
        <c:crossBetween val="between"/>
      </c:valAx>
    </c:plotArea>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Creative outputs</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List1!$C$50</c:f>
              <c:numCache>
                <c:formatCode>General</c:formatCode>
                <c:ptCount val="1"/>
                <c:pt idx="0">
                  <c:v>50.3</c:v>
                </c:pt>
              </c:numCache>
            </c:numRef>
          </c:val>
        </c:ser>
        <c:ser>
          <c:idx val="1"/>
          <c:order val="1"/>
          <c:tx>
            <c:strRef>
              <c:f>List1!$D$1</c:f>
              <c:strCache>
                <c:ptCount val="1"/>
                <c:pt idx="0">
                  <c:v>AT</c:v>
                </c:pt>
              </c:strCache>
            </c:strRef>
          </c:tx>
          <c:invertIfNegative val="0"/>
          <c:val>
            <c:numRef>
              <c:f>List1!$D$50</c:f>
              <c:numCache>
                <c:formatCode>General</c:formatCode>
                <c:ptCount val="1"/>
                <c:pt idx="0">
                  <c:v>51.3</c:v>
                </c:pt>
              </c:numCache>
            </c:numRef>
          </c:val>
        </c:ser>
        <c:dLbls>
          <c:showLegendKey val="0"/>
          <c:showVal val="1"/>
          <c:showCatName val="0"/>
          <c:showSerName val="0"/>
          <c:showPercent val="0"/>
          <c:showBubbleSize val="0"/>
        </c:dLbls>
        <c:gapWidth val="150"/>
        <c:overlap val="-25"/>
        <c:axId val="134970752"/>
        <c:axId val="134976640"/>
      </c:barChart>
      <c:catAx>
        <c:axId val="134970752"/>
        <c:scaling>
          <c:orientation val="minMax"/>
        </c:scaling>
        <c:delete val="1"/>
        <c:axPos val="b"/>
        <c:majorTickMark val="none"/>
        <c:minorTickMark val="none"/>
        <c:tickLblPos val="nextTo"/>
        <c:crossAx val="134976640"/>
        <c:crosses val="autoZero"/>
        <c:auto val="1"/>
        <c:lblAlgn val="ctr"/>
        <c:lblOffset val="100"/>
        <c:noMultiLvlLbl val="0"/>
      </c:catAx>
      <c:valAx>
        <c:axId val="134976640"/>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4970752"/>
        <c:crosses val="autoZero"/>
        <c:crossBetween val="between"/>
      </c:valAx>
    </c:plotArea>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Knowledge and technology outputs</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List1!$C$42</c:f>
              <c:numCache>
                <c:formatCode>General</c:formatCode>
                <c:ptCount val="1"/>
                <c:pt idx="0">
                  <c:v>46.7</c:v>
                </c:pt>
              </c:numCache>
            </c:numRef>
          </c:val>
        </c:ser>
        <c:ser>
          <c:idx val="1"/>
          <c:order val="1"/>
          <c:tx>
            <c:strRef>
              <c:f>List1!$D$1</c:f>
              <c:strCache>
                <c:ptCount val="1"/>
                <c:pt idx="0">
                  <c:v>AT</c:v>
                </c:pt>
              </c:strCache>
            </c:strRef>
          </c:tx>
          <c:invertIfNegative val="0"/>
          <c:val>
            <c:numRef>
              <c:f>List1!$D$42</c:f>
              <c:numCache>
                <c:formatCode>General</c:formatCode>
                <c:ptCount val="1"/>
                <c:pt idx="0">
                  <c:v>43</c:v>
                </c:pt>
              </c:numCache>
            </c:numRef>
          </c:val>
        </c:ser>
        <c:dLbls>
          <c:showLegendKey val="0"/>
          <c:showVal val="1"/>
          <c:showCatName val="0"/>
          <c:showSerName val="0"/>
          <c:showPercent val="0"/>
          <c:showBubbleSize val="0"/>
        </c:dLbls>
        <c:gapWidth val="150"/>
        <c:overlap val="-25"/>
        <c:axId val="135011328"/>
        <c:axId val="135025408"/>
      </c:barChart>
      <c:catAx>
        <c:axId val="135011328"/>
        <c:scaling>
          <c:orientation val="minMax"/>
        </c:scaling>
        <c:delete val="1"/>
        <c:axPos val="b"/>
        <c:majorTickMark val="none"/>
        <c:minorTickMark val="none"/>
        <c:tickLblPos val="nextTo"/>
        <c:crossAx val="135025408"/>
        <c:crosses val="autoZero"/>
        <c:auto val="1"/>
        <c:lblAlgn val="ctr"/>
        <c:lblOffset val="100"/>
        <c:noMultiLvlLbl val="0"/>
      </c:catAx>
      <c:valAx>
        <c:axId val="135025408"/>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5011328"/>
        <c:crosses val="autoZero"/>
        <c:crossBetween val="between"/>
      </c:valAx>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Market sophistication</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List1!$C$26</c:f>
              <c:numCache>
                <c:formatCode>General</c:formatCode>
                <c:ptCount val="1"/>
                <c:pt idx="0">
                  <c:v>52.4</c:v>
                </c:pt>
              </c:numCache>
            </c:numRef>
          </c:val>
        </c:ser>
        <c:ser>
          <c:idx val="1"/>
          <c:order val="1"/>
          <c:tx>
            <c:strRef>
              <c:f>List1!$D$1</c:f>
              <c:strCache>
                <c:ptCount val="1"/>
                <c:pt idx="0">
                  <c:v>AT</c:v>
                </c:pt>
              </c:strCache>
            </c:strRef>
          </c:tx>
          <c:invertIfNegative val="0"/>
          <c:val>
            <c:numRef>
              <c:f>List1!$D$26</c:f>
              <c:numCache>
                <c:formatCode>General</c:formatCode>
                <c:ptCount val="1"/>
                <c:pt idx="0">
                  <c:v>56.5</c:v>
                </c:pt>
              </c:numCache>
            </c:numRef>
          </c:val>
        </c:ser>
        <c:dLbls>
          <c:showLegendKey val="0"/>
          <c:showVal val="1"/>
          <c:showCatName val="0"/>
          <c:showSerName val="0"/>
          <c:showPercent val="0"/>
          <c:showBubbleSize val="0"/>
        </c:dLbls>
        <c:gapWidth val="150"/>
        <c:overlap val="-25"/>
        <c:axId val="135047808"/>
        <c:axId val="135065984"/>
      </c:barChart>
      <c:catAx>
        <c:axId val="135047808"/>
        <c:scaling>
          <c:orientation val="minMax"/>
        </c:scaling>
        <c:delete val="1"/>
        <c:axPos val="b"/>
        <c:majorTickMark val="none"/>
        <c:minorTickMark val="none"/>
        <c:tickLblPos val="nextTo"/>
        <c:crossAx val="135065984"/>
        <c:crosses val="autoZero"/>
        <c:auto val="1"/>
        <c:lblAlgn val="ctr"/>
        <c:lblOffset val="100"/>
        <c:noMultiLvlLbl val="0"/>
      </c:catAx>
      <c:valAx>
        <c:axId val="135065984"/>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5047808"/>
        <c:crosses val="autoZero"/>
        <c:crossBetween val="between"/>
      </c:valAx>
    </c:plotArea>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Infrastructure</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List1!$C$18</c:f>
              <c:numCache>
                <c:formatCode>General</c:formatCode>
                <c:ptCount val="1"/>
                <c:pt idx="0">
                  <c:v>51</c:v>
                </c:pt>
              </c:numCache>
            </c:numRef>
          </c:val>
        </c:ser>
        <c:ser>
          <c:idx val="1"/>
          <c:order val="1"/>
          <c:tx>
            <c:strRef>
              <c:f>List1!$D$1</c:f>
              <c:strCache>
                <c:ptCount val="1"/>
                <c:pt idx="0">
                  <c:v>AT</c:v>
                </c:pt>
              </c:strCache>
            </c:strRef>
          </c:tx>
          <c:invertIfNegative val="0"/>
          <c:val>
            <c:numRef>
              <c:f>List1!$D$18</c:f>
              <c:numCache>
                <c:formatCode>General</c:formatCode>
                <c:ptCount val="1"/>
                <c:pt idx="0">
                  <c:v>55.2</c:v>
                </c:pt>
              </c:numCache>
            </c:numRef>
          </c:val>
        </c:ser>
        <c:dLbls>
          <c:showLegendKey val="0"/>
          <c:showVal val="1"/>
          <c:showCatName val="0"/>
          <c:showSerName val="0"/>
          <c:showPercent val="0"/>
          <c:showBubbleSize val="0"/>
        </c:dLbls>
        <c:gapWidth val="150"/>
        <c:overlap val="-25"/>
        <c:axId val="149825792"/>
        <c:axId val="149827584"/>
      </c:barChart>
      <c:catAx>
        <c:axId val="149825792"/>
        <c:scaling>
          <c:orientation val="minMax"/>
        </c:scaling>
        <c:delete val="1"/>
        <c:axPos val="b"/>
        <c:majorTickMark val="none"/>
        <c:minorTickMark val="none"/>
        <c:tickLblPos val="nextTo"/>
        <c:crossAx val="149827584"/>
        <c:crosses val="autoZero"/>
        <c:auto val="1"/>
        <c:lblAlgn val="ctr"/>
        <c:lblOffset val="100"/>
        <c:noMultiLvlLbl val="0"/>
      </c:catAx>
      <c:valAx>
        <c:axId val="149827584"/>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49825792"/>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Projektová úspěšnost</a:t>
            </a:r>
          </a:p>
        </c:rich>
      </c:tx>
      <c:layout/>
      <c:overlay val="0"/>
    </c:title>
    <c:autoTitleDeleted val="0"/>
    <c:plotArea>
      <c:layout/>
      <c:radarChart>
        <c:radarStyle val="marker"/>
        <c:varyColors val="0"/>
        <c:ser>
          <c:idx val="0"/>
          <c:order val="0"/>
          <c:tx>
            <c:strRef>
              <c:f>'upravené pro graf'!$A$2</c:f>
              <c:strCache>
                <c:ptCount val="1"/>
                <c:pt idx="0">
                  <c:v>ALL</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graf'!$N$2:$N$30</c:f>
              <c:numCache>
                <c:formatCode>General</c:formatCode>
                <c:ptCount val="29"/>
                <c:pt idx="0">
                  <c:v>1.089979332661084</c:v>
                </c:pt>
                <c:pt idx="1">
                  <c:v>0.67912568770341009</c:v>
                </c:pt>
                <c:pt idx="2">
                  <c:v>1.1849771062774732</c:v>
                </c:pt>
                <c:pt idx="3">
                  <c:v>1.3887690453468715</c:v>
                </c:pt>
                <c:pt idx="4">
                  <c:v>0.89490387717263142</c:v>
                </c:pt>
                <c:pt idx="5">
                  <c:v>0.85211297252104801</c:v>
                </c:pt>
                <c:pt idx="6">
                  <c:v>1.3248329103366059</c:v>
                </c:pt>
                <c:pt idx="7">
                  <c:v>0.83649786825233929</c:v>
                </c:pt>
                <c:pt idx="8">
                  <c:v>1.0524648745676617</c:v>
                </c:pt>
                <c:pt idx="9">
                  <c:v>1.2150307998298882</c:v>
                </c:pt>
                <c:pt idx="10">
                  <c:v>1.8621313793130372</c:v>
                </c:pt>
                <c:pt idx="11">
                  <c:v>1.1616007223344453</c:v>
                </c:pt>
                <c:pt idx="12">
                  <c:v>0.98412648922893697</c:v>
                </c:pt>
                <c:pt idx="13">
                  <c:v>1.0969100130080565</c:v>
                </c:pt>
                <c:pt idx="14">
                  <c:v>1.0594703511048993</c:v>
                </c:pt>
                <c:pt idx="15">
                  <c:v>1.2032664720990582</c:v>
                </c:pt>
                <c:pt idx="16">
                  <c:v>1.0033132443998285</c:v>
                </c:pt>
                <c:pt idx="17">
                  <c:v>0.72072721849292742</c:v>
                </c:pt>
                <c:pt idx="18">
                  <c:v>0.98750145450102689</c:v>
                </c:pt>
                <c:pt idx="19">
                  <c:v>1.1922568768232347</c:v>
                </c:pt>
                <c:pt idx="20">
                  <c:v>1.0757207139381182</c:v>
                </c:pt>
                <c:pt idx="21">
                  <c:v>2</c:v>
                </c:pt>
                <c:pt idx="22">
                  <c:v>2</c:v>
                </c:pt>
                <c:pt idx="23">
                  <c:v>0.60956959310670789</c:v>
                </c:pt>
                <c:pt idx="24">
                  <c:v>0.94884747755261878</c:v>
                </c:pt>
                <c:pt idx="25">
                  <c:v>0.8794260687941502</c:v>
                </c:pt>
                <c:pt idx="26">
                  <c:v>1.3089989253352565</c:v>
                </c:pt>
                <c:pt idx="27">
                  <c:v>0.82390874094431876</c:v>
                </c:pt>
                <c:pt idx="28">
                  <c:v>1.5356530333167664</c:v>
                </c:pt>
              </c:numCache>
            </c:numRef>
          </c:val>
        </c:ser>
        <c:ser>
          <c:idx val="1"/>
          <c:order val="1"/>
          <c:tx>
            <c:strRef>
              <c:f>'upravené pro graf'!$A$31</c:f>
              <c:strCache>
                <c:ptCount val="1"/>
                <c:pt idx="0">
                  <c:v>AT</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graf'!$N$31:$N$59</c:f>
              <c:numCache>
                <c:formatCode>General</c:formatCode>
                <c:ptCount val="29"/>
                <c:pt idx="0">
                  <c:v>1.100316261699968</c:v>
                </c:pt>
                <c:pt idx="1">
                  <c:v>0.9076857386810927</c:v>
                </c:pt>
                <c:pt idx="2">
                  <c:v>1.2456755587888304</c:v>
                </c:pt>
                <c:pt idx="3">
                  <c:v>1.3309932190414244</c:v>
                </c:pt>
                <c:pt idx="4">
                  <c:v>1.1266452004223171</c:v>
                </c:pt>
                <c:pt idx="5">
                  <c:v>1.1329076662795754</c:v>
                </c:pt>
                <c:pt idx="6">
                  <c:v>1.4301246920434389</c:v>
                </c:pt>
                <c:pt idx="7">
                  <c:v>1.2218487496163564</c:v>
                </c:pt>
                <c:pt idx="8">
                  <c:v>1.0665659965488712</c:v>
                </c:pt>
                <c:pt idx="9">
                  <c:v>1.1747362049707151</c:v>
                </c:pt>
                <c:pt idx="10">
                  <c:v>1.6197887582883941</c:v>
                </c:pt>
                <c:pt idx="11">
                  <c:v>1.2116295844346703</c:v>
                </c:pt>
                <c:pt idx="12">
                  <c:v>1.1201398537265312</c:v>
                </c:pt>
                <c:pt idx="13">
                  <c:v>1.2070249732993319</c:v>
                </c:pt>
                <c:pt idx="14">
                  <c:v>1.2571456543200197</c:v>
                </c:pt>
                <c:pt idx="15">
                  <c:v>1.4623093754148402</c:v>
                </c:pt>
                <c:pt idx="16">
                  <c:v>1.2816169546198461</c:v>
                </c:pt>
                <c:pt idx="17">
                  <c:v>0.88739499846542547</c:v>
                </c:pt>
                <c:pt idx="18">
                  <c:v>1.0633426653617879</c:v>
                </c:pt>
                <c:pt idx="19">
                  <c:v>1.3716110699496884</c:v>
                </c:pt>
                <c:pt idx="20">
                  <c:v>1.1153934187020695</c:v>
                </c:pt>
                <c:pt idx="23">
                  <c:v>0.97197127639975645</c:v>
                </c:pt>
                <c:pt idx="24">
                  <c:v>1.1153934187020695</c:v>
                </c:pt>
                <c:pt idx="25">
                  <c:v>1.1461280356782382</c:v>
                </c:pt>
                <c:pt idx="26">
                  <c:v>1.6243363860391147</c:v>
                </c:pt>
                <c:pt idx="27">
                  <c:v>0.769551078621726</c:v>
                </c:pt>
                <c:pt idx="28">
                  <c:v>1.4559319556497243</c:v>
                </c:pt>
              </c:numCache>
            </c:numRef>
          </c:val>
        </c:ser>
        <c:ser>
          <c:idx val="2"/>
          <c:order val="2"/>
          <c:tx>
            <c:strRef>
              <c:f>'upravené pro graf'!$A$60</c:f>
              <c:strCache>
                <c:ptCount val="1"/>
                <c:pt idx="0">
                  <c:v>CZ</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graf'!$N$60:$N$88</c:f>
              <c:numCache>
                <c:formatCode>General</c:formatCode>
                <c:ptCount val="29"/>
                <c:pt idx="0">
                  <c:v>0.97469413473522981</c:v>
                </c:pt>
                <c:pt idx="1">
                  <c:v>0.8096683018297085</c:v>
                </c:pt>
                <c:pt idx="2">
                  <c:v>1.0118992232997077</c:v>
                </c:pt>
                <c:pt idx="3">
                  <c:v>1.6020599913279623</c:v>
                </c:pt>
                <c:pt idx="4">
                  <c:v>1.0347621062592121</c:v>
                </c:pt>
                <c:pt idx="5">
                  <c:v>0.61978875828839397</c:v>
                </c:pt>
                <c:pt idx="6">
                  <c:v>1.2218487496163564</c:v>
                </c:pt>
                <c:pt idx="7">
                  <c:v>0.9393021596463883</c:v>
                </c:pt>
                <c:pt idx="8">
                  <c:v>1.1153934187020695</c:v>
                </c:pt>
                <c:pt idx="9">
                  <c:v>1.2218487496163564</c:v>
                </c:pt>
                <c:pt idx="10">
                  <c:v>1.6989700043360187</c:v>
                </c:pt>
                <c:pt idx="11">
                  <c:v>0.88605664769316328</c:v>
                </c:pt>
                <c:pt idx="12">
                  <c:v>1.0211892990699381</c:v>
                </c:pt>
                <c:pt idx="13">
                  <c:v>1.2850418902798508</c:v>
                </c:pt>
                <c:pt idx="14">
                  <c:v>1.1848651833631865</c:v>
                </c:pt>
                <c:pt idx="15">
                  <c:v>1.2619659728243389</c:v>
                </c:pt>
                <c:pt idx="16">
                  <c:v>1.2267012524107686</c:v>
                </c:pt>
                <c:pt idx="17">
                  <c:v>0.69897000433601886</c:v>
                </c:pt>
                <c:pt idx="18">
                  <c:v>0.77691217826809522</c:v>
                </c:pt>
                <c:pt idx="19">
                  <c:v>1.3631779024128257</c:v>
                </c:pt>
                <c:pt idx="20">
                  <c:v>0.89962945488243706</c:v>
                </c:pt>
                <c:pt idx="21">
                  <c:v>2</c:v>
                </c:pt>
                <c:pt idx="23">
                  <c:v>0.91186391129944877</c:v>
                </c:pt>
                <c:pt idx="24">
                  <c:v>0.79588001734407521</c:v>
                </c:pt>
                <c:pt idx="25">
                  <c:v>0.6777807052660807</c:v>
                </c:pt>
                <c:pt idx="26">
                  <c:v>1.6989700043360187</c:v>
                </c:pt>
                <c:pt idx="27">
                  <c:v>1.0147232568207063</c:v>
                </c:pt>
                <c:pt idx="28">
                  <c:v>1.6393843143517748</c:v>
                </c:pt>
              </c:numCache>
            </c:numRef>
          </c:val>
        </c:ser>
        <c:dLbls>
          <c:showLegendKey val="0"/>
          <c:showVal val="0"/>
          <c:showCatName val="0"/>
          <c:showSerName val="0"/>
          <c:showPercent val="0"/>
          <c:showBubbleSize val="0"/>
        </c:dLbls>
        <c:axId val="130466560"/>
        <c:axId val="130468096"/>
      </c:radarChart>
      <c:catAx>
        <c:axId val="130466560"/>
        <c:scaling>
          <c:orientation val="minMax"/>
        </c:scaling>
        <c:delete val="0"/>
        <c:axPos val="b"/>
        <c:majorGridlines/>
        <c:majorTickMark val="out"/>
        <c:minorTickMark val="none"/>
        <c:tickLblPos val="nextTo"/>
        <c:txPr>
          <a:bodyPr/>
          <a:lstStyle/>
          <a:p>
            <a:pPr>
              <a:defRPr sz="800"/>
            </a:pPr>
            <a:endParaRPr lang="cs-CZ"/>
          </a:p>
        </c:txPr>
        <c:crossAx val="130468096"/>
        <c:crosses val="autoZero"/>
        <c:auto val="1"/>
        <c:lblAlgn val="ctr"/>
        <c:lblOffset val="100"/>
        <c:noMultiLvlLbl val="0"/>
      </c:catAx>
      <c:valAx>
        <c:axId val="130468096"/>
        <c:scaling>
          <c:orientation val="minMax"/>
        </c:scaling>
        <c:delete val="0"/>
        <c:axPos val="l"/>
        <c:numFmt formatCode="General" sourceLinked="1"/>
        <c:majorTickMark val="cross"/>
        <c:minorTickMark val="none"/>
        <c:tickLblPos val="nextTo"/>
        <c:txPr>
          <a:bodyPr/>
          <a:lstStyle/>
          <a:p>
            <a:pPr>
              <a:defRPr sz="800"/>
            </a:pPr>
            <a:endParaRPr lang="cs-CZ"/>
          </a:p>
        </c:txPr>
        <c:crossAx val="130466560"/>
        <c:crosses val="autoZero"/>
        <c:crossBetween val="between"/>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cs-C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Human capital and research</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List1!$C$10</c:f>
              <c:numCache>
                <c:formatCode>General</c:formatCode>
                <c:ptCount val="1"/>
                <c:pt idx="0">
                  <c:v>45.8</c:v>
                </c:pt>
              </c:numCache>
            </c:numRef>
          </c:val>
        </c:ser>
        <c:ser>
          <c:idx val="1"/>
          <c:order val="1"/>
          <c:tx>
            <c:strRef>
              <c:f>List1!$D$1</c:f>
              <c:strCache>
                <c:ptCount val="1"/>
                <c:pt idx="0">
                  <c:v>AT</c:v>
                </c:pt>
              </c:strCache>
            </c:strRef>
          </c:tx>
          <c:invertIfNegative val="0"/>
          <c:val>
            <c:numRef>
              <c:f>List1!$D$10</c:f>
              <c:numCache>
                <c:formatCode>General</c:formatCode>
                <c:ptCount val="1"/>
                <c:pt idx="0">
                  <c:v>57.4</c:v>
                </c:pt>
              </c:numCache>
            </c:numRef>
          </c:val>
        </c:ser>
        <c:dLbls>
          <c:showLegendKey val="0"/>
          <c:showVal val="1"/>
          <c:showCatName val="0"/>
          <c:showSerName val="0"/>
          <c:showPercent val="0"/>
          <c:showBubbleSize val="0"/>
        </c:dLbls>
        <c:gapWidth val="150"/>
        <c:overlap val="-25"/>
        <c:axId val="149882752"/>
        <c:axId val="149884288"/>
      </c:barChart>
      <c:catAx>
        <c:axId val="149882752"/>
        <c:scaling>
          <c:orientation val="minMax"/>
        </c:scaling>
        <c:delete val="1"/>
        <c:axPos val="b"/>
        <c:majorTickMark val="none"/>
        <c:minorTickMark val="none"/>
        <c:tickLblPos val="nextTo"/>
        <c:crossAx val="149884288"/>
        <c:crosses val="autoZero"/>
        <c:auto val="1"/>
        <c:lblAlgn val="ctr"/>
        <c:lblOffset val="100"/>
        <c:noMultiLvlLbl val="0"/>
      </c:catAx>
      <c:valAx>
        <c:axId val="149884288"/>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49882752"/>
        <c:crosses val="autoZero"/>
        <c:crossBetween val="between"/>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Institutions</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List1!$C$2</c:f>
              <c:numCache>
                <c:formatCode>General</c:formatCode>
                <c:ptCount val="1"/>
                <c:pt idx="0">
                  <c:v>76.400000000000006</c:v>
                </c:pt>
              </c:numCache>
            </c:numRef>
          </c:val>
        </c:ser>
        <c:ser>
          <c:idx val="1"/>
          <c:order val="1"/>
          <c:tx>
            <c:strRef>
              <c:f>List1!$D$1</c:f>
              <c:strCache>
                <c:ptCount val="1"/>
                <c:pt idx="0">
                  <c:v>AT</c:v>
                </c:pt>
              </c:strCache>
            </c:strRef>
          </c:tx>
          <c:invertIfNegative val="0"/>
          <c:val>
            <c:numRef>
              <c:f>List1!$D$2</c:f>
              <c:numCache>
                <c:formatCode>General</c:formatCode>
                <c:ptCount val="1"/>
                <c:pt idx="0">
                  <c:v>88.7</c:v>
                </c:pt>
              </c:numCache>
            </c:numRef>
          </c:val>
        </c:ser>
        <c:dLbls>
          <c:showLegendKey val="0"/>
          <c:showVal val="1"/>
          <c:showCatName val="0"/>
          <c:showSerName val="0"/>
          <c:showPercent val="0"/>
          <c:showBubbleSize val="0"/>
        </c:dLbls>
        <c:gapWidth val="150"/>
        <c:overlap val="-25"/>
        <c:axId val="149911040"/>
        <c:axId val="149912576"/>
      </c:barChart>
      <c:catAx>
        <c:axId val="149911040"/>
        <c:scaling>
          <c:orientation val="minMax"/>
        </c:scaling>
        <c:delete val="1"/>
        <c:axPos val="b"/>
        <c:majorTickMark val="none"/>
        <c:minorTickMark val="none"/>
        <c:tickLblPos val="nextTo"/>
        <c:crossAx val="149912576"/>
        <c:crosses val="autoZero"/>
        <c:auto val="1"/>
        <c:lblAlgn val="ctr"/>
        <c:lblOffset val="100"/>
        <c:noMultiLvlLbl val="0"/>
      </c:catAx>
      <c:valAx>
        <c:axId val="149912576"/>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49911040"/>
        <c:crosses val="autoZero"/>
        <c:crossBetween val="between"/>
      </c:valAx>
    </c:plotArea>
    <c:plotVisOnly val="1"/>
    <c:dispBlanksAs val="gap"/>
    <c:showDLblsOverMax val="0"/>
  </c:chart>
  <c:spPr>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Business sophistication</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List1!$C$34</c:f>
              <c:numCache>
                <c:formatCode>General</c:formatCode>
                <c:ptCount val="1"/>
                <c:pt idx="0">
                  <c:v>45.3</c:v>
                </c:pt>
              </c:numCache>
            </c:numRef>
          </c:val>
        </c:ser>
        <c:ser>
          <c:idx val="1"/>
          <c:order val="1"/>
          <c:tx>
            <c:strRef>
              <c:f>List1!$D$1</c:f>
              <c:strCache>
                <c:ptCount val="1"/>
                <c:pt idx="0">
                  <c:v>AT</c:v>
                </c:pt>
              </c:strCache>
            </c:strRef>
          </c:tx>
          <c:invertIfNegative val="0"/>
          <c:val>
            <c:numRef>
              <c:f>List1!$D$34</c:f>
              <c:numCache>
                <c:formatCode>General</c:formatCode>
                <c:ptCount val="1"/>
                <c:pt idx="0">
                  <c:v>47</c:v>
                </c:pt>
              </c:numCache>
            </c:numRef>
          </c:val>
        </c:ser>
        <c:dLbls>
          <c:showLegendKey val="0"/>
          <c:showVal val="1"/>
          <c:showCatName val="0"/>
          <c:showSerName val="0"/>
          <c:showPercent val="0"/>
          <c:showBubbleSize val="0"/>
        </c:dLbls>
        <c:gapWidth val="150"/>
        <c:overlap val="-25"/>
        <c:axId val="149939328"/>
        <c:axId val="149940864"/>
      </c:barChart>
      <c:catAx>
        <c:axId val="149939328"/>
        <c:scaling>
          <c:orientation val="minMax"/>
        </c:scaling>
        <c:delete val="1"/>
        <c:axPos val="b"/>
        <c:majorTickMark val="none"/>
        <c:minorTickMark val="none"/>
        <c:tickLblPos val="nextTo"/>
        <c:crossAx val="149940864"/>
        <c:crosses val="autoZero"/>
        <c:auto val="1"/>
        <c:lblAlgn val="ctr"/>
        <c:lblOffset val="100"/>
        <c:noMultiLvlLbl val="0"/>
      </c:catAx>
      <c:valAx>
        <c:axId val="149940864"/>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49939328"/>
        <c:crosses val="autoZero"/>
        <c:crossBetween val="between"/>
      </c:valAx>
    </c:plotArea>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DATA!$D$6</c:f>
              <c:numCache>
                <c:formatCode>General</c:formatCode>
                <c:ptCount val="1"/>
                <c:pt idx="0">
                  <c:v>90.4</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DATA!$D$22</c:f>
              <c:numCache>
                <c:formatCode>General</c:formatCode>
                <c:ptCount val="1"/>
                <c:pt idx="0">
                  <c:v>104</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DATA!$D$2</c:f>
              <c:numCache>
                <c:formatCode>General</c:formatCode>
                <c:ptCount val="1"/>
                <c:pt idx="0">
                  <c:v>103.6</c:v>
                </c:pt>
              </c:numCache>
            </c:numRef>
          </c:val>
        </c:ser>
        <c:dLbls>
          <c:showLegendKey val="0"/>
          <c:showVal val="1"/>
          <c:showCatName val="0"/>
          <c:showSerName val="0"/>
          <c:showPercent val="0"/>
          <c:showBubbleSize val="0"/>
        </c:dLbls>
        <c:gapWidth val="150"/>
        <c:overlap val="-25"/>
        <c:axId val="152226048"/>
        <c:axId val="152240128"/>
      </c:barChart>
      <c:catAx>
        <c:axId val="152226048"/>
        <c:scaling>
          <c:orientation val="minMax"/>
        </c:scaling>
        <c:delete val="0"/>
        <c:axPos val="b"/>
        <c:numFmt formatCode="General" sourceLinked="1"/>
        <c:majorTickMark val="none"/>
        <c:minorTickMark val="none"/>
        <c:tickLblPos val="none"/>
        <c:crossAx val="152240128"/>
        <c:crosses val="autoZero"/>
        <c:auto val="1"/>
        <c:lblAlgn val="ctr"/>
        <c:lblOffset val="100"/>
        <c:noMultiLvlLbl val="0"/>
      </c:catAx>
      <c:valAx>
        <c:axId val="152240128"/>
        <c:scaling>
          <c:orientation val="minMax"/>
          <c:max val="120"/>
          <c:min val="0"/>
        </c:scaling>
        <c:delete val="0"/>
        <c:axPos val="l"/>
        <c:numFmt formatCode="General" sourceLinked="1"/>
        <c:majorTickMark val="out"/>
        <c:minorTickMark val="none"/>
        <c:tickLblPos val="nextTo"/>
        <c:crossAx val="152226048"/>
        <c:crosses val="autoZero"/>
        <c:crossBetween val="between"/>
      </c:valAx>
    </c:plotArea>
    <c:legend>
      <c:legendPos val="t"/>
      <c:layout/>
      <c:overlay val="0"/>
    </c:legend>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PCT</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DATA!$E$6</c:f>
              <c:numCache>
                <c:formatCode>General</c:formatCode>
                <c:ptCount val="1"/>
                <c:pt idx="0">
                  <c:v>0.9</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DATA!$E$22</c:f>
              <c:numCache>
                <c:formatCode>General</c:formatCode>
                <c:ptCount val="1"/>
                <c:pt idx="0">
                  <c:v>4.8</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DATA!$E$2</c:f>
              <c:numCache>
                <c:formatCode>General</c:formatCode>
                <c:ptCount val="1"/>
                <c:pt idx="0">
                  <c:v>3.7</c:v>
                </c:pt>
              </c:numCache>
            </c:numRef>
          </c:val>
        </c:ser>
        <c:dLbls>
          <c:showLegendKey val="0"/>
          <c:showVal val="1"/>
          <c:showCatName val="0"/>
          <c:showSerName val="0"/>
          <c:showPercent val="0"/>
          <c:showBubbleSize val="0"/>
        </c:dLbls>
        <c:gapWidth val="150"/>
        <c:overlap val="-25"/>
        <c:axId val="152288256"/>
        <c:axId val="152298240"/>
      </c:barChart>
      <c:catAx>
        <c:axId val="152288256"/>
        <c:scaling>
          <c:orientation val="minMax"/>
        </c:scaling>
        <c:delete val="0"/>
        <c:axPos val="b"/>
        <c:numFmt formatCode="General" sourceLinked="1"/>
        <c:majorTickMark val="none"/>
        <c:minorTickMark val="none"/>
        <c:tickLblPos val="none"/>
        <c:crossAx val="152298240"/>
        <c:crosses val="autoZero"/>
        <c:auto val="1"/>
        <c:lblAlgn val="ctr"/>
        <c:lblOffset val="100"/>
        <c:noMultiLvlLbl val="0"/>
      </c:catAx>
      <c:valAx>
        <c:axId val="152298240"/>
        <c:scaling>
          <c:orientation val="minMax"/>
          <c:max val="6"/>
          <c:min val="0"/>
        </c:scaling>
        <c:delete val="0"/>
        <c:axPos val="l"/>
        <c:numFmt formatCode="General" sourceLinked="1"/>
        <c:majorTickMark val="out"/>
        <c:minorTickMark val="none"/>
        <c:tickLblPos val="nextTo"/>
        <c:crossAx val="152288256"/>
        <c:crosses val="autoZero"/>
        <c:crossBetween val="between"/>
      </c:valAx>
      <c:spPr>
        <a:ln>
          <a:noFill/>
        </a:ln>
      </c:spPr>
    </c:plotArea>
    <c:plotVisOnly val="1"/>
    <c:dispBlanksAs val="gap"/>
    <c:showDLblsOverMax val="0"/>
  </c:chart>
  <c:spPr>
    <a:noFill/>
    <a:ln w="0">
      <a:noFill/>
    </a:ln>
  </c:sp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KIABI</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DATA!$F$6</c:f>
              <c:numCache>
                <c:formatCode>General</c:formatCode>
                <c:ptCount val="1"/>
                <c:pt idx="0">
                  <c:v>12.3</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DATA!$F$22</c:f>
              <c:numCache>
                <c:formatCode>General</c:formatCode>
                <c:ptCount val="1"/>
                <c:pt idx="0">
                  <c:v>14.7</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DATA!$F$2</c:f>
              <c:numCache>
                <c:formatCode>General</c:formatCode>
                <c:ptCount val="1"/>
                <c:pt idx="0">
                  <c:v>14</c:v>
                </c:pt>
              </c:numCache>
            </c:numRef>
          </c:val>
        </c:ser>
        <c:dLbls>
          <c:showLegendKey val="0"/>
          <c:showVal val="1"/>
          <c:showCatName val="0"/>
          <c:showSerName val="0"/>
          <c:showPercent val="0"/>
          <c:showBubbleSize val="0"/>
        </c:dLbls>
        <c:gapWidth val="150"/>
        <c:overlap val="-25"/>
        <c:axId val="152341888"/>
        <c:axId val="152351872"/>
      </c:barChart>
      <c:catAx>
        <c:axId val="152341888"/>
        <c:scaling>
          <c:orientation val="minMax"/>
        </c:scaling>
        <c:delete val="0"/>
        <c:axPos val="b"/>
        <c:numFmt formatCode="General" sourceLinked="1"/>
        <c:majorTickMark val="none"/>
        <c:minorTickMark val="none"/>
        <c:tickLblPos val="none"/>
        <c:crossAx val="152351872"/>
        <c:crosses val="autoZero"/>
        <c:auto val="1"/>
        <c:lblAlgn val="ctr"/>
        <c:lblOffset val="100"/>
        <c:noMultiLvlLbl val="0"/>
      </c:catAx>
      <c:valAx>
        <c:axId val="152351872"/>
        <c:scaling>
          <c:orientation val="minMax"/>
          <c:max val="20"/>
          <c:min val="0"/>
        </c:scaling>
        <c:delete val="0"/>
        <c:axPos val="l"/>
        <c:numFmt formatCode="General" sourceLinked="1"/>
        <c:majorTickMark val="out"/>
        <c:minorTickMark val="none"/>
        <c:tickLblPos val="nextTo"/>
        <c:crossAx val="152341888"/>
        <c:crosses val="autoZero"/>
        <c:crossBetween val="between"/>
      </c:valAx>
    </c:plotArea>
    <c:plotVisOnly val="1"/>
    <c:dispBlanksAs val="gap"/>
    <c:showDLblsOverMax val="0"/>
  </c:chart>
  <c:spPr>
    <a:ln>
      <a:noFill/>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DYN</a:t>
            </a:r>
          </a:p>
        </c:rich>
      </c:tx>
      <c:layout>
        <c:manualLayout>
          <c:xMode val="edge"/>
          <c:yMode val="edge"/>
          <c:x val="0.34941534590629808"/>
          <c:y val="0"/>
        </c:manualLayout>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dLbls>
            <c:txPr>
              <a:bodyPr/>
              <a:lstStyle/>
              <a:p>
                <a:pPr>
                  <a:defRPr sz="900"/>
                </a:pPr>
                <a:endParaRPr lang="cs-CZ"/>
              </a:p>
            </c:txPr>
            <c:showLegendKey val="0"/>
            <c:showVal val="1"/>
            <c:showCatName val="0"/>
            <c:showSerName val="0"/>
            <c:showPercent val="0"/>
            <c:showBubbleSize val="0"/>
            <c:showLeaderLines val="0"/>
          </c:dLbls>
          <c:cat>
            <c:numRef>
              <c:f>DATA!$C$2</c:f>
              <c:numCache>
                <c:formatCode>General</c:formatCode>
                <c:ptCount val="1"/>
                <c:pt idx="0">
                  <c:v>2014</c:v>
                </c:pt>
              </c:numCache>
            </c:numRef>
          </c:cat>
          <c:val>
            <c:numRef>
              <c:f>DATA!$J$6</c:f>
              <c:numCache>
                <c:formatCode>General</c:formatCode>
                <c:ptCount val="1"/>
                <c:pt idx="0">
                  <c:v>0.184</c:v>
                </c:pt>
              </c:numCache>
            </c:numRef>
          </c:val>
        </c:ser>
        <c:ser>
          <c:idx val="2"/>
          <c:order val="1"/>
          <c:tx>
            <c:strRef>
              <c:f>DATA!$A$22</c:f>
              <c:strCache>
                <c:ptCount val="1"/>
                <c:pt idx="0">
                  <c:v>Austria </c:v>
                </c:pt>
              </c:strCache>
            </c:strRef>
          </c:tx>
          <c:invertIfNegative val="0"/>
          <c:dLbls>
            <c:txPr>
              <a:bodyPr/>
              <a:lstStyle/>
              <a:p>
                <a:pPr>
                  <a:defRPr sz="900"/>
                </a:pPr>
                <a:endParaRPr lang="cs-CZ"/>
              </a:p>
            </c:txPr>
            <c:showLegendKey val="0"/>
            <c:showVal val="1"/>
            <c:showCatName val="0"/>
            <c:showSerName val="0"/>
            <c:showPercent val="0"/>
            <c:showBubbleSize val="0"/>
            <c:showLeaderLines val="0"/>
          </c:dLbls>
          <c:cat>
            <c:numRef>
              <c:f>DATA!$C$2</c:f>
              <c:numCache>
                <c:formatCode>General</c:formatCode>
                <c:ptCount val="1"/>
                <c:pt idx="0">
                  <c:v>2014</c:v>
                </c:pt>
              </c:numCache>
            </c:numRef>
          </c:cat>
          <c:val>
            <c:numRef>
              <c:f>DATA!$J$22</c:f>
              <c:numCache>
                <c:formatCode>General</c:formatCode>
                <c:ptCount val="1"/>
                <c:pt idx="0">
                  <c:v>0.19400000000000003</c:v>
                </c:pt>
              </c:numCache>
            </c:numRef>
          </c:val>
        </c:ser>
        <c:ser>
          <c:idx val="0"/>
          <c:order val="2"/>
          <c:tx>
            <c:strRef>
              <c:f>DATA!$A$2</c:f>
              <c:strCache>
                <c:ptCount val="1"/>
                <c:pt idx="0">
                  <c:v>EU28 </c:v>
                </c:pt>
              </c:strCache>
            </c:strRef>
          </c:tx>
          <c:invertIfNegative val="0"/>
          <c:dLbls>
            <c:txPr>
              <a:bodyPr/>
              <a:lstStyle/>
              <a:p>
                <a:pPr>
                  <a:defRPr sz="900"/>
                </a:pPr>
                <a:endParaRPr lang="cs-CZ"/>
              </a:p>
            </c:txPr>
            <c:showLegendKey val="0"/>
            <c:showVal val="1"/>
            <c:showCatName val="0"/>
            <c:showSerName val="0"/>
            <c:showPercent val="0"/>
            <c:showBubbleSize val="0"/>
            <c:showLeaderLines val="0"/>
          </c:dLbls>
          <c:cat>
            <c:numRef>
              <c:f>DATA!$C$2</c:f>
              <c:numCache>
                <c:formatCode>General</c:formatCode>
                <c:ptCount val="1"/>
                <c:pt idx="0">
                  <c:v>2014</c:v>
                </c:pt>
              </c:numCache>
            </c:numRef>
          </c:cat>
          <c:val>
            <c:numRef>
              <c:f>DATA!$J$2</c:f>
              <c:numCache>
                <c:formatCode>General</c:formatCode>
                <c:ptCount val="1"/>
                <c:pt idx="0">
                  <c:v>0.188</c:v>
                </c:pt>
              </c:numCache>
            </c:numRef>
          </c:val>
        </c:ser>
        <c:dLbls>
          <c:showLegendKey val="0"/>
          <c:showVal val="1"/>
          <c:showCatName val="0"/>
          <c:showSerName val="0"/>
          <c:showPercent val="0"/>
          <c:showBubbleSize val="0"/>
        </c:dLbls>
        <c:gapWidth val="150"/>
        <c:overlap val="-25"/>
        <c:axId val="152374656"/>
        <c:axId val="152392832"/>
      </c:barChart>
      <c:catAx>
        <c:axId val="152374656"/>
        <c:scaling>
          <c:orientation val="minMax"/>
        </c:scaling>
        <c:delete val="0"/>
        <c:axPos val="b"/>
        <c:numFmt formatCode="General" sourceLinked="1"/>
        <c:majorTickMark val="none"/>
        <c:minorTickMark val="none"/>
        <c:tickLblPos val="none"/>
        <c:crossAx val="152392832"/>
        <c:crosses val="autoZero"/>
        <c:auto val="1"/>
        <c:lblAlgn val="ctr"/>
        <c:lblOffset val="100"/>
        <c:noMultiLvlLbl val="0"/>
      </c:catAx>
      <c:valAx>
        <c:axId val="152392832"/>
        <c:scaling>
          <c:orientation val="minMax"/>
          <c:max val="0.2"/>
          <c:min val="0"/>
        </c:scaling>
        <c:delete val="0"/>
        <c:axPos val="l"/>
        <c:numFmt formatCode="General" sourceLinked="1"/>
        <c:majorTickMark val="out"/>
        <c:minorTickMark val="none"/>
        <c:tickLblPos val="nextTo"/>
        <c:crossAx val="152374656"/>
        <c:crosses val="autoZero"/>
        <c:crossBetween val="between"/>
      </c:valAx>
    </c:plotArea>
    <c:plotVisOnly val="1"/>
    <c:dispBlanksAs val="gap"/>
    <c:showDLblsOverMax val="0"/>
  </c:chart>
  <c:spPr>
    <a:ln>
      <a:noFill/>
    </a:ln>
  </c:sp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COMP</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DATA!$K$6</c:f>
              <c:numCache>
                <c:formatCode>General</c:formatCode>
                <c:ptCount val="1"/>
                <c:pt idx="0">
                  <c:v>47.6</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DATA!$K$22</c:f>
              <c:numCache>
                <c:formatCode>General</c:formatCode>
                <c:ptCount val="1"/>
                <c:pt idx="0">
                  <c:v>46.75</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DATA!$K$2</c:f>
              <c:numCache>
                <c:formatCode>General</c:formatCode>
                <c:ptCount val="1"/>
                <c:pt idx="0">
                  <c:v>55.95</c:v>
                </c:pt>
              </c:numCache>
            </c:numRef>
          </c:val>
        </c:ser>
        <c:dLbls>
          <c:showLegendKey val="0"/>
          <c:showVal val="1"/>
          <c:showCatName val="0"/>
          <c:showSerName val="0"/>
          <c:showPercent val="0"/>
          <c:showBubbleSize val="0"/>
        </c:dLbls>
        <c:gapWidth val="150"/>
        <c:overlap val="-25"/>
        <c:axId val="152428544"/>
        <c:axId val="152430080"/>
      </c:barChart>
      <c:catAx>
        <c:axId val="152428544"/>
        <c:scaling>
          <c:orientation val="minMax"/>
        </c:scaling>
        <c:delete val="0"/>
        <c:axPos val="b"/>
        <c:numFmt formatCode="General" sourceLinked="1"/>
        <c:majorTickMark val="none"/>
        <c:minorTickMark val="none"/>
        <c:tickLblPos val="none"/>
        <c:crossAx val="152430080"/>
        <c:crosses val="autoZero"/>
        <c:auto val="1"/>
        <c:lblAlgn val="ctr"/>
        <c:lblOffset val="100"/>
        <c:noMultiLvlLbl val="0"/>
      </c:catAx>
      <c:valAx>
        <c:axId val="152430080"/>
        <c:scaling>
          <c:orientation val="minMax"/>
          <c:max val="100"/>
          <c:min val="0"/>
        </c:scaling>
        <c:delete val="0"/>
        <c:axPos val="l"/>
        <c:numFmt formatCode="General" sourceLinked="1"/>
        <c:majorTickMark val="out"/>
        <c:minorTickMark val="none"/>
        <c:tickLblPos val="nextTo"/>
        <c:crossAx val="152428544"/>
        <c:crosses val="autoZero"/>
        <c:crossBetween val="between"/>
      </c:valAx>
    </c:plotArea>
    <c:plotVisOnly val="1"/>
    <c:dispBlanksAs val="gap"/>
    <c:showDLblsOverMax val="0"/>
  </c:chart>
  <c:spPr>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GOOD</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DATA!$G$6</c:f>
              <c:numCache>
                <c:formatCode>General</c:formatCode>
                <c:ptCount val="1"/>
                <c:pt idx="0">
                  <c:v>54.1</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DATA!$G$22</c:f>
              <c:numCache>
                <c:formatCode>General</c:formatCode>
                <c:ptCount val="1"/>
                <c:pt idx="0">
                  <c:v>50.3</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DATA!$G$2</c:f>
              <c:numCache>
                <c:formatCode>General</c:formatCode>
                <c:ptCount val="1"/>
                <c:pt idx="0">
                  <c:v>48.8</c:v>
                </c:pt>
              </c:numCache>
            </c:numRef>
          </c:val>
        </c:ser>
        <c:dLbls>
          <c:showLegendKey val="0"/>
          <c:showVal val="1"/>
          <c:showCatName val="0"/>
          <c:showSerName val="0"/>
          <c:showPercent val="0"/>
          <c:showBubbleSize val="0"/>
        </c:dLbls>
        <c:gapWidth val="150"/>
        <c:overlap val="-25"/>
        <c:axId val="152617344"/>
        <c:axId val="152618880"/>
      </c:barChart>
      <c:catAx>
        <c:axId val="152617344"/>
        <c:scaling>
          <c:orientation val="minMax"/>
        </c:scaling>
        <c:delete val="0"/>
        <c:axPos val="b"/>
        <c:numFmt formatCode="General" sourceLinked="1"/>
        <c:majorTickMark val="none"/>
        <c:minorTickMark val="none"/>
        <c:tickLblPos val="none"/>
        <c:crossAx val="152618880"/>
        <c:crosses val="autoZero"/>
        <c:auto val="1"/>
        <c:lblAlgn val="ctr"/>
        <c:lblOffset val="100"/>
        <c:noMultiLvlLbl val="0"/>
      </c:catAx>
      <c:valAx>
        <c:axId val="152618880"/>
        <c:scaling>
          <c:orientation val="minMax"/>
          <c:max val="100"/>
          <c:min val="0"/>
        </c:scaling>
        <c:delete val="0"/>
        <c:axPos val="l"/>
        <c:numFmt formatCode="General" sourceLinked="1"/>
        <c:majorTickMark val="out"/>
        <c:minorTickMark val="none"/>
        <c:tickLblPos val="nextTo"/>
        <c:crossAx val="152617344"/>
        <c:crosses val="autoZero"/>
        <c:crossBetween val="between"/>
      </c:valAx>
    </c:plotArea>
    <c:plotVisOnly val="1"/>
    <c:dispBlanksAs val="gap"/>
    <c:showDLblsOverMax val="0"/>
  </c:chart>
  <c:spPr>
    <a:ln>
      <a:noFill/>
    </a:ln>
  </c:sp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SERV</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DATA!$H$6</c:f>
              <c:numCache>
                <c:formatCode>General</c:formatCode>
                <c:ptCount val="1"/>
                <c:pt idx="0">
                  <c:v>41.1</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DATA!$H$22</c:f>
              <c:numCache>
                <c:formatCode>General</c:formatCode>
                <c:ptCount val="1"/>
                <c:pt idx="0">
                  <c:v>43.2</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DATA!$H$2</c:f>
              <c:numCache>
                <c:formatCode>General</c:formatCode>
                <c:ptCount val="1"/>
                <c:pt idx="0">
                  <c:v>63.1</c:v>
                </c:pt>
              </c:numCache>
            </c:numRef>
          </c:val>
        </c:ser>
        <c:dLbls>
          <c:showLegendKey val="0"/>
          <c:showVal val="1"/>
          <c:showCatName val="0"/>
          <c:showSerName val="0"/>
          <c:showPercent val="0"/>
          <c:showBubbleSize val="0"/>
        </c:dLbls>
        <c:gapWidth val="150"/>
        <c:overlap val="-25"/>
        <c:axId val="152474368"/>
        <c:axId val="152475904"/>
      </c:barChart>
      <c:catAx>
        <c:axId val="152474368"/>
        <c:scaling>
          <c:orientation val="minMax"/>
        </c:scaling>
        <c:delete val="0"/>
        <c:axPos val="b"/>
        <c:numFmt formatCode="General" sourceLinked="1"/>
        <c:majorTickMark val="none"/>
        <c:minorTickMark val="none"/>
        <c:tickLblPos val="none"/>
        <c:crossAx val="152475904"/>
        <c:crosses val="autoZero"/>
        <c:auto val="1"/>
        <c:lblAlgn val="ctr"/>
        <c:lblOffset val="100"/>
        <c:noMultiLvlLbl val="0"/>
      </c:catAx>
      <c:valAx>
        <c:axId val="152475904"/>
        <c:scaling>
          <c:orientation val="minMax"/>
          <c:max val="100"/>
          <c:min val="0"/>
        </c:scaling>
        <c:delete val="0"/>
        <c:axPos val="l"/>
        <c:numFmt formatCode="General" sourceLinked="1"/>
        <c:majorTickMark val="out"/>
        <c:minorTickMark val="none"/>
        <c:tickLblPos val="nextTo"/>
        <c:crossAx val="152474368"/>
        <c:crosses val="autoZero"/>
        <c:crossBetween val="between"/>
      </c:valAx>
    </c:plotArea>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Finanční podpora</a:t>
            </a:r>
          </a:p>
        </c:rich>
      </c:tx>
      <c:layout/>
      <c:overlay val="0"/>
    </c:title>
    <c:autoTitleDeleted val="0"/>
    <c:plotArea>
      <c:layout/>
      <c:radarChart>
        <c:radarStyle val="marker"/>
        <c:varyColors val="0"/>
        <c:ser>
          <c:idx val="1"/>
          <c:order val="0"/>
          <c:tx>
            <c:strRef>
              <c:f>'upravené pro graf'!$A$31</c:f>
              <c:strCache>
                <c:ptCount val="1"/>
                <c:pt idx="0">
                  <c:v>AT</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graf'!$M$31:$M$59</c:f>
              <c:numCache>
                <c:formatCode>General</c:formatCode>
                <c:ptCount val="29"/>
                <c:pt idx="0">
                  <c:v>7.698502034513143</c:v>
                </c:pt>
                <c:pt idx="1">
                  <c:v>7.1171044083178785</c:v>
                </c:pt>
                <c:pt idx="2">
                  <c:v>7.5684429956529282</c:v>
                </c:pt>
                <c:pt idx="3">
                  <c:v>7.0042313235914628</c:v>
                </c:pt>
                <c:pt idx="4">
                  <c:v>7.8420116487834024</c:v>
                </c:pt>
                <c:pt idx="5">
                  <c:v>7.0825765716435622</c:v>
                </c:pt>
                <c:pt idx="6">
                  <c:v>6.9117425796175764</c:v>
                </c:pt>
                <c:pt idx="7">
                  <c:v>6.4515864298622372</c:v>
                </c:pt>
                <c:pt idx="8">
                  <c:v>7.1748990202207859</c:v>
                </c:pt>
                <c:pt idx="9">
                  <c:v>6.6321744531368081</c:v>
                </c:pt>
                <c:pt idx="10">
                  <c:v>5.8066242199524742</c:v>
                </c:pt>
                <c:pt idx="11">
                  <c:v>6.4627229980977479</c:v>
                </c:pt>
                <c:pt idx="12">
                  <c:v>7.4780436713730714</c:v>
                </c:pt>
                <c:pt idx="13">
                  <c:v>6.8182975660896794</c:v>
                </c:pt>
                <c:pt idx="14">
                  <c:v>7.6727314654582726</c:v>
                </c:pt>
                <c:pt idx="15">
                  <c:v>7.5225217735804826</c:v>
                </c:pt>
                <c:pt idx="16">
                  <c:v>7.1810672788666148</c:v>
                </c:pt>
                <c:pt idx="17">
                  <c:v>6.9640169988265015</c:v>
                </c:pt>
                <c:pt idx="18">
                  <c:v>7.1279950963602143</c:v>
                </c:pt>
                <c:pt idx="19">
                  <c:v>5.6904069718501411</c:v>
                </c:pt>
                <c:pt idx="20">
                  <c:v>6.3025982211315554</c:v>
                </c:pt>
                <c:pt idx="23">
                  <c:v>6.2335430784472017</c:v>
                </c:pt>
                <c:pt idx="24">
                  <c:v>5.9804874196628095</c:v>
                </c:pt>
                <c:pt idx="25">
                  <c:v>6.1404181580339658</c:v>
                </c:pt>
                <c:pt idx="26">
                  <c:v>6.3491558691115726</c:v>
                </c:pt>
                <c:pt idx="27">
                  <c:v>5.7867414871908363</c:v>
                </c:pt>
                <c:pt idx="28">
                  <c:v>5.1418916822283336</c:v>
                </c:pt>
              </c:numCache>
            </c:numRef>
          </c:val>
        </c:ser>
        <c:ser>
          <c:idx val="2"/>
          <c:order val="1"/>
          <c:tx>
            <c:strRef>
              <c:f>'upravené pro graf'!$A$60</c:f>
              <c:strCache>
                <c:ptCount val="1"/>
                <c:pt idx="0">
                  <c:v>CZ</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graf'!$M$60:$M$88</c:f>
              <c:numCache>
                <c:formatCode>General</c:formatCode>
                <c:ptCount val="29"/>
                <c:pt idx="0">
                  <c:v>7.2268868828890627</c:v>
                </c:pt>
                <c:pt idx="1">
                  <c:v>6.2847126517264753</c:v>
                </c:pt>
                <c:pt idx="2">
                  <c:v>7.0302389417858953</c:v>
                </c:pt>
                <c:pt idx="3">
                  <c:v>6.6885617454700945</c:v>
                </c:pt>
                <c:pt idx="4">
                  <c:v>6.92825924311036</c:v>
                </c:pt>
                <c:pt idx="5">
                  <c:v>5.9056609853576507</c:v>
                </c:pt>
                <c:pt idx="6">
                  <c:v>6.0125736165138299</c:v>
                </c:pt>
                <c:pt idx="7">
                  <c:v>5.2972657681798667</c:v>
                </c:pt>
                <c:pt idx="8">
                  <c:v>6.4131879062721362</c:v>
                </c:pt>
                <c:pt idx="9">
                  <c:v>6.2700913846495725</c:v>
                </c:pt>
                <c:pt idx="10">
                  <c:v>5.5895363225930703</c:v>
                </c:pt>
                <c:pt idx="11">
                  <c:v>5.7538701957509053</c:v>
                </c:pt>
                <c:pt idx="12">
                  <c:v>6.5685035125406239</c:v>
                </c:pt>
                <c:pt idx="13">
                  <c:v>6.2999831710774723</c:v>
                </c:pt>
                <c:pt idx="14">
                  <c:v>6.7937563100892948</c:v>
                </c:pt>
                <c:pt idx="15">
                  <c:v>6.6261788372872594</c:v>
                </c:pt>
                <c:pt idx="16">
                  <c:v>6.7047287904503232</c:v>
                </c:pt>
                <c:pt idx="17">
                  <c:v>6.1713607319626478</c:v>
                </c:pt>
                <c:pt idx="18">
                  <c:v>6.2913144492182713</c:v>
                </c:pt>
                <c:pt idx="19">
                  <c:v>5.8071370807639715</c:v>
                </c:pt>
                <c:pt idx="20">
                  <c:v>6.4184943602575677</c:v>
                </c:pt>
                <c:pt idx="21">
                  <c:v>4.6766936096248664</c:v>
                </c:pt>
                <c:pt idx="23">
                  <c:v>5.5835252225536909</c:v>
                </c:pt>
                <c:pt idx="24">
                  <c:v>5.126293790693266</c:v>
                </c:pt>
                <c:pt idx="25">
                  <c:v>5.1093253877704896</c:v>
                </c:pt>
                <c:pt idx="26">
                  <c:v>5.4534146693361203</c:v>
                </c:pt>
                <c:pt idx="27">
                  <c:v>6.0353905098145519</c:v>
                </c:pt>
                <c:pt idx="28">
                  <c:v>6.565228744039211</c:v>
                </c:pt>
              </c:numCache>
            </c:numRef>
          </c:val>
        </c:ser>
        <c:dLbls>
          <c:showLegendKey val="0"/>
          <c:showVal val="0"/>
          <c:showCatName val="0"/>
          <c:showSerName val="0"/>
          <c:showPercent val="0"/>
          <c:showBubbleSize val="0"/>
        </c:dLbls>
        <c:axId val="152111744"/>
        <c:axId val="152113536"/>
      </c:radarChart>
      <c:catAx>
        <c:axId val="152111744"/>
        <c:scaling>
          <c:orientation val="minMax"/>
        </c:scaling>
        <c:delete val="0"/>
        <c:axPos val="b"/>
        <c:majorGridlines/>
        <c:majorTickMark val="out"/>
        <c:minorTickMark val="none"/>
        <c:tickLblPos val="nextTo"/>
        <c:txPr>
          <a:bodyPr/>
          <a:lstStyle/>
          <a:p>
            <a:pPr>
              <a:defRPr sz="900"/>
            </a:pPr>
            <a:endParaRPr lang="cs-CZ"/>
          </a:p>
        </c:txPr>
        <c:crossAx val="152113536"/>
        <c:crosses val="autoZero"/>
        <c:auto val="1"/>
        <c:lblAlgn val="ctr"/>
        <c:lblOffset val="100"/>
        <c:noMultiLvlLbl val="0"/>
      </c:catAx>
      <c:valAx>
        <c:axId val="152113536"/>
        <c:scaling>
          <c:orientation val="minMax"/>
        </c:scaling>
        <c:delete val="0"/>
        <c:axPos val="l"/>
        <c:numFmt formatCode="General" sourceLinked="1"/>
        <c:majorTickMark val="cross"/>
        <c:minorTickMark val="none"/>
        <c:tickLblPos val="nextTo"/>
        <c:txPr>
          <a:bodyPr/>
          <a:lstStyle/>
          <a:p>
            <a:pPr>
              <a:defRPr sz="900"/>
            </a:pPr>
            <a:endParaRPr lang="cs-CZ"/>
          </a:p>
        </c:txPr>
        <c:crossAx val="152111744"/>
        <c:crosses val="autoZero"/>
        <c:crossBetween val="between"/>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cs-C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Summary Innovation Index 201</a:t>
            </a:r>
            <a:r>
              <a:rPr lang="cs-CZ" sz="1400"/>
              <a:t>4</a:t>
            </a:r>
            <a:endParaRPr lang="en-US" sz="1400"/>
          </a:p>
        </c:rich>
      </c:tx>
      <c:layout/>
      <c:overlay val="0"/>
    </c:title>
    <c:autoTitleDeleted val="0"/>
    <c:plotArea>
      <c:layout/>
      <c:barChart>
        <c:barDir val="col"/>
        <c:grouping val="clustered"/>
        <c:varyColors val="0"/>
        <c:ser>
          <c:idx val="0"/>
          <c:order val="0"/>
          <c:tx>
            <c:strRef>
              <c:f>ioi_2014!$H$1</c:f>
              <c:strCache>
                <c:ptCount val="1"/>
                <c:pt idx="0">
                  <c:v>Summary Innovation Index 2014</c:v>
                </c:pt>
              </c:strCache>
            </c:strRef>
          </c:tx>
          <c:invertIfNegative val="0"/>
          <c:dPt>
            <c:idx val="0"/>
            <c:invertIfNegative val="0"/>
            <c:bubble3D val="0"/>
            <c:spPr>
              <a:solidFill>
                <a:schemeClr val="accent6">
                  <a:lumMod val="75000"/>
                </a:schemeClr>
              </a:solidFill>
            </c:spPr>
          </c:dPt>
          <c:dPt>
            <c:idx val="1"/>
            <c:invertIfNegative val="0"/>
            <c:bubble3D val="0"/>
            <c:spPr>
              <a:solidFill>
                <a:schemeClr val="accent6">
                  <a:lumMod val="75000"/>
                </a:schemeClr>
              </a:solidFill>
            </c:spPr>
          </c:dPt>
          <c:dPt>
            <c:idx val="2"/>
            <c:invertIfNegative val="0"/>
            <c:bubble3D val="0"/>
            <c:spPr>
              <a:solidFill>
                <a:schemeClr val="accent6">
                  <a:lumMod val="75000"/>
                </a:schemeClr>
              </a:solidFill>
              <a:ln>
                <a:solidFill>
                  <a:schemeClr val="accent6">
                    <a:lumMod val="75000"/>
                  </a:schemeClr>
                </a:solidFill>
              </a:ln>
            </c:spPr>
          </c:dPt>
          <c:dPt>
            <c:idx val="3"/>
            <c:invertIfNegative val="0"/>
            <c:bubble3D val="0"/>
            <c:spPr>
              <a:solidFill>
                <a:srgbClr val="FFFF00"/>
              </a:solidFill>
            </c:spPr>
          </c:dPt>
          <c:dPt>
            <c:idx val="4"/>
            <c:invertIfNegative val="0"/>
            <c:bubble3D val="0"/>
            <c:spPr>
              <a:solidFill>
                <a:srgbClr val="FFFF00"/>
              </a:solidFill>
            </c:spPr>
          </c:dPt>
          <c:dPt>
            <c:idx val="5"/>
            <c:invertIfNegative val="0"/>
            <c:bubble3D val="0"/>
            <c:spPr>
              <a:solidFill>
                <a:srgbClr val="FFFF00"/>
              </a:solidFill>
            </c:spPr>
          </c:dPt>
          <c:dPt>
            <c:idx val="6"/>
            <c:invertIfNegative val="0"/>
            <c:bubble3D val="0"/>
            <c:spPr>
              <a:solidFill>
                <a:srgbClr val="FFFF00"/>
              </a:solidFill>
            </c:spPr>
          </c:dPt>
          <c:dPt>
            <c:idx val="7"/>
            <c:invertIfNegative val="0"/>
            <c:bubble3D val="0"/>
            <c:spPr>
              <a:solidFill>
                <a:srgbClr val="FFFF00"/>
              </a:solidFill>
            </c:spPr>
          </c:dPt>
          <c:dPt>
            <c:idx val="8"/>
            <c:invertIfNegative val="0"/>
            <c:bubble3D val="0"/>
            <c:spPr>
              <a:solidFill>
                <a:srgbClr val="FFFF00"/>
              </a:solidFill>
            </c:spPr>
          </c:dPt>
          <c:dPt>
            <c:idx val="9"/>
            <c:invertIfNegative val="0"/>
            <c:bubble3D val="0"/>
            <c:spPr>
              <a:solidFill>
                <a:srgbClr val="FFFF00"/>
              </a:solidFill>
            </c:spPr>
          </c:dPt>
          <c:dPt>
            <c:idx val="10"/>
            <c:invertIfNegative val="0"/>
            <c:bubble3D val="0"/>
            <c:spPr>
              <a:solidFill>
                <a:srgbClr val="FFFF00"/>
              </a:solidFill>
            </c:spPr>
          </c:dPt>
          <c:dPt>
            <c:idx val="11"/>
            <c:invertIfNegative val="0"/>
            <c:bubble3D val="0"/>
            <c:spPr>
              <a:solidFill>
                <a:srgbClr val="FFFF00"/>
              </a:solidFill>
            </c:spPr>
          </c:dPt>
          <c:dPt>
            <c:idx val="12"/>
            <c:invertIfNegative val="0"/>
            <c:bubble3D val="0"/>
            <c:spPr>
              <a:solidFill>
                <a:srgbClr val="FFFF00"/>
              </a:solidFill>
            </c:spPr>
          </c:dPt>
          <c:dPt>
            <c:idx val="13"/>
            <c:invertIfNegative val="0"/>
            <c:bubble3D val="0"/>
            <c:spPr>
              <a:solidFill>
                <a:srgbClr val="FFFF00"/>
              </a:solidFill>
            </c:spPr>
          </c:dPt>
          <c:dPt>
            <c:idx val="14"/>
            <c:invertIfNegative val="0"/>
            <c:bubble3D val="0"/>
            <c:spPr>
              <a:solidFill>
                <a:srgbClr val="FFFF00"/>
              </a:solidFill>
            </c:spPr>
          </c:dPt>
          <c:dPt>
            <c:idx val="15"/>
            <c:invertIfNegative val="0"/>
            <c:bubble3D val="0"/>
            <c:spPr>
              <a:solidFill>
                <a:srgbClr val="FFFF00"/>
              </a:solidFill>
            </c:spPr>
          </c:dPt>
          <c:dPt>
            <c:idx val="16"/>
            <c:invertIfNegative val="0"/>
            <c:bubble3D val="0"/>
            <c:spPr>
              <a:solidFill>
                <a:srgbClr val="8DE3B4"/>
              </a:solidFill>
            </c:spPr>
          </c:dPt>
          <c:dPt>
            <c:idx val="17"/>
            <c:invertIfNegative val="0"/>
            <c:bubble3D val="0"/>
            <c:spPr>
              <a:solidFill>
                <a:srgbClr val="0070C0"/>
              </a:solidFill>
            </c:spPr>
          </c:dPt>
          <c:dPt>
            <c:idx val="18"/>
            <c:invertIfNegative val="0"/>
            <c:bubble3D val="0"/>
            <c:spPr>
              <a:solidFill>
                <a:srgbClr val="8DE3B4"/>
              </a:solidFill>
            </c:spPr>
          </c:dPt>
          <c:dPt>
            <c:idx val="19"/>
            <c:invertIfNegative val="0"/>
            <c:bubble3D val="0"/>
            <c:spPr>
              <a:solidFill>
                <a:srgbClr val="8DE3B4"/>
              </a:solidFill>
            </c:spPr>
          </c:dPt>
          <c:dPt>
            <c:idx val="20"/>
            <c:invertIfNegative val="0"/>
            <c:bubble3D val="0"/>
            <c:spPr>
              <a:solidFill>
                <a:srgbClr val="8DE3B4"/>
              </a:solidFill>
            </c:spPr>
          </c:dPt>
          <c:dPt>
            <c:idx val="21"/>
            <c:invertIfNegative val="0"/>
            <c:bubble3D val="0"/>
            <c:spPr>
              <a:solidFill>
                <a:srgbClr val="8DE3B4"/>
              </a:solidFill>
            </c:spPr>
          </c:dPt>
          <c:dPt>
            <c:idx val="22"/>
            <c:invertIfNegative val="0"/>
            <c:bubble3D val="0"/>
            <c:spPr>
              <a:solidFill>
                <a:srgbClr val="8DE3B4"/>
              </a:solidFill>
            </c:spPr>
          </c:dPt>
          <c:dPt>
            <c:idx val="23"/>
            <c:invertIfNegative val="0"/>
            <c:bubble3D val="0"/>
            <c:spPr>
              <a:solidFill>
                <a:srgbClr val="8DE3B4"/>
              </a:solidFill>
            </c:spPr>
          </c:dPt>
          <c:dPt>
            <c:idx val="24"/>
            <c:invertIfNegative val="0"/>
            <c:bubble3D val="0"/>
            <c:spPr>
              <a:solidFill>
                <a:srgbClr val="8DE3B4"/>
              </a:solidFill>
            </c:spPr>
          </c:dPt>
          <c:dPt>
            <c:idx val="25"/>
            <c:invertIfNegative val="0"/>
            <c:bubble3D val="0"/>
            <c:spPr>
              <a:solidFill>
                <a:srgbClr val="0B970E"/>
              </a:solidFill>
              <a:ln>
                <a:solidFill>
                  <a:srgbClr val="00B050"/>
                </a:solidFill>
              </a:ln>
            </c:spPr>
          </c:dPt>
          <c:dPt>
            <c:idx val="26"/>
            <c:invertIfNegative val="0"/>
            <c:bubble3D val="0"/>
            <c:spPr>
              <a:solidFill>
                <a:srgbClr val="0B970E"/>
              </a:solidFill>
            </c:spPr>
          </c:dPt>
          <c:dPt>
            <c:idx val="27"/>
            <c:invertIfNegative val="0"/>
            <c:bubble3D val="0"/>
            <c:spPr>
              <a:solidFill>
                <a:srgbClr val="0B970E"/>
              </a:solidFill>
            </c:spPr>
          </c:dPt>
          <c:dPt>
            <c:idx val="28"/>
            <c:invertIfNegative val="0"/>
            <c:bubble3D val="0"/>
            <c:spPr>
              <a:solidFill>
                <a:srgbClr val="0B970E"/>
              </a:solidFill>
            </c:spPr>
          </c:dPt>
          <c:cat>
            <c:strRef>
              <c:f>ioi_2014!$B$2:$B$30</c:f>
              <c:strCache>
                <c:ptCount val="29"/>
                <c:pt idx="0">
                  <c:v>RO</c:v>
                </c:pt>
                <c:pt idx="1">
                  <c:v>BG</c:v>
                </c:pt>
                <c:pt idx="2">
                  <c:v>LV</c:v>
                </c:pt>
                <c:pt idx="3">
                  <c:v>LT</c:v>
                </c:pt>
                <c:pt idx="4">
                  <c:v>PL</c:v>
                </c:pt>
                <c:pt idx="5">
                  <c:v>HR</c:v>
                </c:pt>
                <c:pt idx="6">
                  <c:v>SK</c:v>
                </c:pt>
                <c:pt idx="7">
                  <c:v>EL</c:v>
                </c:pt>
                <c:pt idx="8">
                  <c:v>HU</c:v>
                </c:pt>
                <c:pt idx="9">
                  <c:v>ES</c:v>
                </c:pt>
                <c:pt idx="10">
                  <c:v>MT</c:v>
                </c:pt>
                <c:pt idx="11">
                  <c:v>PT</c:v>
                </c:pt>
                <c:pt idx="12">
                  <c:v>IT</c:v>
                </c:pt>
                <c:pt idx="13">
                  <c:v>CY</c:v>
                </c:pt>
                <c:pt idx="14">
                  <c:v>CZ</c:v>
                </c:pt>
                <c:pt idx="15">
                  <c:v>EE</c:v>
                </c:pt>
                <c:pt idx="16">
                  <c:v>SI</c:v>
                </c:pt>
                <c:pt idx="17">
                  <c:v>EU</c:v>
                </c:pt>
                <c:pt idx="18">
                  <c:v>AT</c:v>
                </c:pt>
                <c:pt idx="19">
                  <c:v>FR</c:v>
                </c:pt>
                <c:pt idx="20">
                  <c:v>BE</c:v>
                </c:pt>
                <c:pt idx="21">
                  <c:v>IE</c:v>
                </c:pt>
                <c:pt idx="22">
                  <c:v>UK</c:v>
                </c:pt>
                <c:pt idx="23">
                  <c:v>LU</c:v>
                </c:pt>
                <c:pt idx="24">
                  <c:v>NL</c:v>
                </c:pt>
                <c:pt idx="25">
                  <c:v>DE</c:v>
                </c:pt>
                <c:pt idx="26">
                  <c:v>FI</c:v>
                </c:pt>
                <c:pt idx="27">
                  <c:v>DK</c:v>
                </c:pt>
                <c:pt idx="28">
                  <c:v>SE</c:v>
                </c:pt>
              </c:strCache>
            </c:strRef>
          </c:cat>
          <c:val>
            <c:numRef>
              <c:f>ioi_2014!$H$2:$H$30</c:f>
              <c:numCache>
                <c:formatCode>General</c:formatCode>
                <c:ptCount val="29"/>
                <c:pt idx="0">
                  <c:v>0.20428292318795677</c:v>
                </c:pt>
                <c:pt idx="1">
                  <c:v>0.2288237038655985</c:v>
                </c:pt>
                <c:pt idx="2">
                  <c:v>0.27207741031179539</c:v>
                </c:pt>
                <c:pt idx="3">
                  <c:v>0.28256801694562178</c:v>
                </c:pt>
                <c:pt idx="4">
                  <c:v>0.31267226181783214</c:v>
                </c:pt>
                <c:pt idx="5">
                  <c:v>0.3132019607785082</c:v>
                </c:pt>
                <c:pt idx="6">
                  <c:v>0.36020712905976598</c:v>
                </c:pt>
                <c:pt idx="7">
                  <c:v>0.36464384585402287</c:v>
                </c:pt>
                <c:pt idx="8">
                  <c:v>0.36919005619372613</c:v>
                </c:pt>
                <c:pt idx="9">
                  <c:v>0.38535451648219243</c:v>
                </c:pt>
                <c:pt idx="10">
                  <c:v>0.39663851446259851</c:v>
                </c:pt>
                <c:pt idx="11">
                  <c:v>0.4032372179299214</c:v>
                </c:pt>
                <c:pt idx="12">
                  <c:v>0.43893497833596418</c:v>
                </c:pt>
                <c:pt idx="13">
                  <c:v>0.44483321195815423</c:v>
                </c:pt>
                <c:pt idx="14">
                  <c:v>0.44705186905054251</c:v>
                </c:pt>
                <c:pt idx="15">
                  <c:v>0.48896713438883505</c:v>
                </c:pt>
                <c:pt idx="16">
                  <c:v>0.5338710783898325</c:v>
                </c:pt>
                <c:pt idx="17">
                  <c:v>0.55510766724328597</c:v>
                </c:pt>
                <c:pt idx="18">
                  <c:v>0.58512820071503857</c:v>
                </c:pt>
                <c:pt idx="19">
                  <c:v>0.59059322881288234</c:v>
                </c:pt>
                <c:pt idx="20">
                  <c:v>0.61930214474641843</c:v>
                </c:pt>
                <c:pt idx="21">
                  <c:v>0.62817101568679568</c:v>
                </c:pt>
                <c:pt idx="22">
                  <c:v>0.63647566742178563</c:v>
                </c:pt>
                <c:pt idx="23">
                  <c:v>0.64178139904618303</c:v>
                </c:pt>
                <c:pt idx="24">
                  <c:v>0.64725209878552159</c:v>
                </c:pt>
                <c:pt idx="25">
                  <c:v>0.67629221309448895</c:v>
                </c:pt>
                <c:pt idx="26">
                  <c:v>0.6764295022418837</c:v>
                </c:pt>
                <c:pt idx="27">
                  <c:v>0.73618789859117573</c:v>
                </c:pt>
                <c:pt idx="28">
                  <c:v>0.74005391465388692</c:v>
                </c:pt>
              </c:numCache>
            </c:numRef>
          </c:val>
        </c:ser>
        <c:dLbls>
          <c:showLegendKey val="0"/>
          <c:showVal val="0"/>
          <c:showCatName val="0"/>
          <c:showSerName val="0"/>
          <c:showPercent val="0"/>
          <c:showBubbleSize val="0"/>
        </c:dLbls>
        <c:gapWidth val="150"/>
        <c:axId val="153324160"/>
        <c:axId val="153325952"/>
      </c:barChart>
      <c:catAx>
        <c:axId val="153324160"/>
        <c:scaling>
          <c:orientation val="minMax"/>
        </c:scaling>
        <c:delete val="0"/>
        <c:axPos val="b"/>
        <c:majorTickMark val="out"/>
        <c:minorTickMark val="none"/>
        <c:tickLblPos val="nextTo"/>
        <c:crossAx val="153325952"/>
        <c:crosses val="autoZero"/>
        <c:auto val="1"/>
        <c:lblAlgn val="ctr"/>
        <c:lblOffset val="100"/>
        <c:noMultiLvlLbl val="0"/>
      </c:catAx>
      <c:valAx>
        <c:axId val="153325952"/>
        <c:scaling>
          <c:orientation val="minMax"/>
        </c:scaling>
        <c:delete val="0"/>
        <c:axPos val="l"/>
        <c:majorGridlines/>
        <c:numFmt formatCode="General" sourceLinked="1"/>
        <c:majorTickMark val="out"/>
        <c:minorTickMark val="none"/>
        <c:tickLblPos val="nextTo"/>
        <c:crossAx val="153324160"/>
        <c:crosses val="autoZero"/>
        <c:crossBetween val="between"/>
      </c:valAx>
    </c:plotArea>
    <c:plotVisOnly val="1"/>
    <c:dispBlanksAs val="gap"/>
    <c:showDLblsOverMax val="0"/>
  </c:chart>
  <c:spPr>
    <a:ln>
      <a:noFill/>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Innovation </a:t>
            </a:r>
            <a:r>
              <a:rPr lang="cs-CZ" sz="1400"/>
              <a:t>O</a:t>
            </a:r>
            <a:r>
              <a:rPr lang="en-US" sz="1400"/>
              <a:t>utput</a:t>
            </a:r>
            <a:r>
              <a:rPr lang="cs-CZ" sz="1400"/>
              <a:t> Index</a:t>
            </a:r>
            <a:r>
              <a:rPr lang="en-US" sz="1400"/>
              <a:t> 2014</a:t>
            </a:r>
          </a:p>
        </c:rich>
      </c:tx>
      <c:layout/>
      <c:overlay val="0"/>
    </c:title>
    <c:autoTitleDeleted val="0"/>
    <c:plotArea>
      <c:layout/>
      <c:barChart>
        <c:barDir val="col"/>
        <c:grouping val="clustered"/>
        <c:varyColors val="0"/>
        <c:ser>
          <c:idx val="0"/>
          <c:order val="0"/>
          <c:tx>
            <c:strRef>
              <c:f>ioi_2014!$F$32</c:f>
              <c:strCache>
                <c:ptCount val="1"/>
                <c:pt idx="0">
                  <c:v>Innovation output 2014</c:v>
                </c:pt>
              </c:strCache>
            </c:strRef>
          </c:tx>
          <c:spPr>
            <a:solidFill>
              <a:srgbClr val="FFFF00"/>
            </a:solidFill>
          </c:spPr>
          <c:invertIfNegative val="0"/>
          <c:dPt>
            <c:idx val="0"/>
            <c:invertIfNegative val="0"/>
            <c:bubble3D val="0"/>
          </c:dPt>
          <c:dPt>
            <c:idx val="1"/>
            <c:invertIfNegative val="0"/>
            <c:bubble3D val="0"/>
          </c:dPt>
          <c:dPt>
            <c:idx val="2"/>
            <c:invertIfNegative val="0"/>
            <c:bubble3D val="0"/>
            <c:spPr>
              <a:solidFill>
                <a:schemeClr val="accent6">
                  <a:lumMod val="75000"/>
                </a:schemeClr>
              </a:solidFill>
            </c:spPr>
          </c:dPt>
          <c:dPt>
            <c:idx val="3"/>
            <c:invertIfNegative val="0"/>
            <c:bubble3D val="0"/>
            <c:spPr>
              <a:solidFill>
                <a:schemeClr val="accent6">
                  <a:lumMod val="75000"/>
                </a:schemeClr>
              </a:solidFill>
            </c:spPr>
          </c:dPt>
          <c:dPt>
            <c:idx val="4"/>
            <c:invertIfNegative val="0"/>
            <c:bubble3D val="0"/>
          </c:dPt>
          <c:dPt>
            <c:idx val="5"/>
            <c:invertIfNegative val="0"/>
            <c:bubble3D val="0"/>
          </c:dPt>
          <c:dPt>
            <c:idx val="6"/>
            <c:invertIfNegative val="0"/>
            <c:bubble3D val="0"/>
            <c:spPr>
              <a:solidFill>
                <a:schemeClr val="accent6">
                  <a:lumMod val="75000"/>
                </a:schemeClr>
              </a:solidFill>
            </c:spPr>
          </c:dPt>
          <c:dPt>
            <c:idx val="7"/>
            <c:invertIfNegative val="0"/>
            <c:bubble3D val="0"/>
          </c:dPt>
          <c:dPt>
            <c:idx val="8"/>
            <c:invertIfNegative val="0"/>
            <c:bubble3D val="0"/>
          </c:dPt>
          <c:dPt>
            <c:idx val="9"/>
            <c:invertIfNegative val="0"/>
            <c:bubble3D val="0"/>
          </c:dPt>
          <c:dPt>
            <c:idx val="10"/>
            <c:invertIfNegative val="0"/>
            <c:bubble3D val="0"/>
          </c:dPt>
          <c:dPt>
            <c:idx val="11"/>
            <c:invertIfNegative val="0"/>
            <c:bubble3D val="0"/>
          </c:dPt>
          <c:dPt>
            <c:idx val="12"/>
            <c:invertIfNegative val="0"/>
            <c:bubble3D val="0"/>
          </c:dPt>
          <c:dPt>
            <c:idx val="13"/>
            <c:invertIfNegative val="0"/>
            <c:bubble3D val="0"/>
          </c:dPt>
          <c:dPt>
            <c:idx val="14"/>
            <c:invertIfNegative val="0"/>
            <c:bubble3D val="0"/>
          </c:dPt>
          <c:dPt>
            <c:idx val="15"/>
            <c:invertIfNegative val="0"/>
            <c:bubble3D val="0"/>
          </c:dPt>
          <c:dPt>
            <c:idx val="16"/>
            <c:invertIfNegative val="0"/>
            <c:bubble3D val="0"/>
          </c:dPt>
          <c:dPt>
            <c:idx val="17"/>
            <c:invertIfNegative val="0"/>
            <c:bubble3D val="0"/>
            <c:spPr>
              <a:solidFill>
                <a:srgbClr val="0070C0"/>
              </a:solidFill>
            </c:spPr>
          </c:dPt>
          <c:dPt>
            <c:idx val="18"/>
            <c:invertIfNegative val="0"/>
            <c:bubble3D val="0"/>
            <c:spPr>
              <a:solidFill>
                <a:srgbClr val="8DE3B4"/>
              </a:solidFill>
            </c:spPr>
          </c:dPt>
          <c:dPt>
            <c:idx val="19"/>
            <c:invertIfNegative val="0"/>
            <c:bubble3D val="0"/>
            <c:spPr>
              <a:solidFill>
                <a:srgbClr val="8DE3B4"/>
              </a:solidFill>
            </c:spPr>
          </c:dPt>
          <c:dPt>
            <c:idx val="20"/>
            <c:invertIfNegative val="0"/>
            <c:bubble3D val="0"/>
            <c:spPr>
              <a:solidFill>
                <a:srgbClr val="8DE3B4"/>
              </a:solidFill>
            </c:spPr>
          </c:dPt>
          <c:dPt>
            <c:idx val="21"/>
            <c:invertIfNegative val="0"/>
            <c:bubble3D val="0"/>
            <c:spPr>
              <a:solidFill>
                <a:srgbClr val="8DE3B4"/>
              </a:solidFill>
            </c:spPr>
          </c:dPt>
          <c:dPt>
            <c:idx val="22"/>
            <c:invertIfNegative val="0"/>
            <c:bubble3D val="0"/>
            <c:spPr>
              <a:solidFill>
                <a:srgbClr val="8DE3B4"/>
              </a:solidFill>
            </c:spPr>
          </c:dPt>
          <c:dPt>
            <c:idx val="23"/>
            <c:invertIfNegative val="0"/>
            <c:bubble3D val="0"/>
            <c:spPr>
              <a:solidFill>
                <a:srgbClr val="0B970E"/>
              </a:solidFill>
            </c:spPr>
          </c:dPt>
          <c:dPt>
            <c:idx val="24"/>
            <c:invertIfNegative val="0"/>
            <c:bubble3D val="0"/>
            <c:spPr>
              <a:solidFill>
                <a:srgbClr val="0B970E"/>
              </a:solidFill>
            </c:spPr>
          </c:dPt>
          <c:dPt>
            <c:idx val="25"/>
            <c:invertIfNegative val="0"/>
            <c:bubble3D val="0"/>
            <c:spPr>
              <a:solidFill>
                <a:srgbClr val="8DE3B4"/>
              </a:solidFill>
            </c:spPr>
          </c:dPt>
          <c:dPt>
            <c:idx val="26"/>
            <c:invertIfNegative val="0"/>
            <c:bubble3D val="0"/>
            <c:spPr>
              <a:solidFill>
                <a:srgbClr val="0B970E"/>
              </a:solidFill>
            </c:spPr>
          </c:dPt>
          <c:dPt>
            <c:idx val="27"/>
            <c:invertIfNegative val="0"/>
            <c:bubble3D val="0"/>
            <c:spPr>
              <a:solidFill>
                <a:srgbClr val="8DE3B4"/>
              </a:solidFill>
            </c:spPr>
          </c:dPt>
          <c:dPt>
            <c:idx val="28"/>
            <c:invertIfNegative val="0"/>
            <c:bubble3D val="0"/>
            <c:spPr>
              <a:solidFill>
                <a:srgbClr val="0B970E"/>
              </a:solidFill>
            </c:spPr>
          </c:dPt>
          <c:cat>
            <c:strRef>
              <c:f>ioi_2014!$E$33:$E$61</c:f>
              <c:strCache>
                <c:ptCount val="29"/>
                <c:pt idx="0">
                  <c:v>LT</c:v>
                </c:pt>
                <c:pt idx="1">
                  <c:v>HR</c:v>
                </c:pt>
                <c:pt idx="2">
                  <c:v>BG</c:v>
                </c:pt>
                <c:pt idx="3">
                  <c:v>LV</c:v>
                </c:pt>
                <c:pt idx="4">
                  <c:v>PT</c:v>
                </c:pt>
                <c:pt idx="5">
                  <c:v>EL</c:v>
                </c:pt>
                <c:pt idx="6">
                  <c:v>RO</c:v>
                </c:pt>
                <c:pt idx="7">
                  <c:v>EE</c:v>
                </c:pt>
                <c:pt idx="8">
                  <c:v>PL</c:v>
                </c:pt>
                <c:pt idx="9">
                  <c:v>ES</c:v>
                </c:pt>
                <c:pt idx="10">
                  <c:v>SI</c:v>
                </c:pt>
                <c:pt idx="11">
                  <c:v>MT</c:v>
                </c:pt>
                <c:pt idx="12">
                  <c:v>IT</c:v>
                </c:pt>
                <c:pt idx="13">
                  <c:v>CZ</c:v>
                </c:pt>
                <c:pt idx="14">
                  <c:v>SK</c:v>
                </c:pt>
                <c:pt idx="15">
                  <c:v>HU</c:v>
                </c:pt>
                <c:pt idx="16">
                  <c:v>BE</c:v>
                </c:pt>
                <c:pt idx="17">
                  <c:v>EU</c:v>
                </c:pt>
                <c:pt idx="18">
                  <c:v>AT</c:v>
                </c:pt>
                <c:pt idx="19">
                  <c:v>CY</c:v>
                </c:pt>
                <c:pt idx="20">
                  <c:v>NL</c:v>
                </c:pt>
                <c:pt idx="21">
                  <c:v>UK</c:v>
                </c:pt>
                <c:pt idx="22">
                  <c:v>FR</c:v>
                </c:pt>
                <c:pt idx="23">
                  <c:v>FI</c:v>
                </c:pt>
                <c:pt idx="24">
                  <c:v>DK</c:v>
                </c:pt>
                <c:pt idx="25">
                  <c:v>LU</c:v>
                </c:pt>
                <c:pt idx="26">
                  <c:v>DE</c:v>
                </c:pt>
                <c:pt idx="27">
                  <c:v>IE</c:v>
                </c:pt>
                <c:pt idx="28">
                  <c:v>SE</c:v>
                </c:pt>
              </c:strCache>
            </c:strRef>
          </c:cat>
          <c:val>
            <c:numRef>
              <c:f>ioi_2014!$F$33:$F$61</c:f>
              <c:numCache>
                <c:formatCode>General</c:formatCode>
                <c:ptCount val="29"/>
                <c:pt idx="0">
                  <c:v>58.5</c:v>
                </c:pt>
                <c:pt idx="1">
                  <c:v>59.8</c:v>
                </c:pt>
                <c:pt idx="2">
                  <c:v>68.3</c:v>
                </c:pt>
                <c:pt idx="3">
                  <c:v>70.599999999999994</c:v>
                </c:pt>
                <c:pt idx="4">
                  <c:v>73</c:v>
                </c:pt>
                <c:pt idx="5">
                  <c:v>73.5</c:v>
                </c:pt>
                <c:pt idx="6">
                  <c:v>75</c:v>
                </c:pt>
                <c:pt idx="7">
                  <c:v>78.099999999999994</c:v>
                </c:pt>
                <c:pt idx="8">
                  <c:v>81.2</c:v>
                </c:pt>
                <c:pt idx="9">
                  <c:v>83.7</c:v>
                </c:pt>
                <c:pt idx="10">
                  <c:v>87.2</c:v>
                </c:pt>
                <c:pt idx="11">
                  <c:v>87.3</c:v>
                </c:pt>
                <c:pt idx="12">
                  <c:v>89.9</c:v>
                </c:pt>
                <c:pt idx="13">
                  <c:v>90.4</c:v>
                </c:pt>
                <c:pt idx="14">
                  <c:v>91.6</c:v>
                </c:pt>
                <c:pt idx="15">
                  <c:v>92.7</c:v>
                </c:pt>
                <c:pt idx="16">
                  <c:v>99.8</c:v>
                </c:pt>
                <c:pt idx="17">
                  <c:v>103.6</c:v>
                </c:pt>
                <c:pt idx="18">
                  <c:v>104</c:v>
                </c:pt>
                <c:pt idx="19">
                  <c:v>105.5</c:v>
                </c:pt>
                <c:pt idx="20">
                  <c:v>106.5</c:v>
                </c:pt>
                <c:pt idx="21">
                  <c:v>110.5</c:v>
                </c:pt>
                <c:pt idx="22">
                  <c:v>110.8</c:v>
                </c:pt>
                <c:pt idx="23">
                  <c:v>112.2</c:v>
                </c:pt>
                <c:pt idx="24">
                  <c:v>114.9</c:v>
                </c:pt>
                <c:pt idx="25">
                  <c:v>117.5</c:v>
                </c:pt>
                <c:pt idx="26">
                  <c:v>120.8</c:v>
                </c:pt>
                <c:pt idx="27">
                  <c:v>122.3</c:v>
                </c:pt>
                <c:pt idx="28">
                  <c:v>124.5</c:v>
                </c:pt>
              </c:numCache>
            </c:numRef>
          </c:val>
        </c:ser>
        <c:dLbls>
          <c:showLegendKey val="0"/>
          <c:showVal val="0"/>
          <c:showCatName val="0"/>
          <c:showSerName val="0"/>
          <c:showPercent val="0"/>
          <c:showBubbleSize val="0"/>
        </c:dLbls>
        <c:gapWidth val="150"/>
        <c:axId val="153495808"/>
        <c:axId val="153497600"/>
      </c:barChart>
      <c:catAx>
        <c:axId val="153495808"/>
        <c:scaling>
          <c:orientation val="minMax"/>
        </c:scaling>
        <c:delete val="0"/>
        <c:axPos val="b"/>
        <c:numFmt formatCode="General" sourceLinked="1"/>
        <c:majorTickMark val="out"/>
        <c:minorTickMark val="none"/>
        <c:tickLblPos val="nextTo"/>
        <c:crossAx val="153497600"/>
        <c:crosses val="autoZero"/>
        <c:auto val="1"/>
        <c:lblAlgn val="ctr"/>
        <c:lblOffset val="100"/>
        <c:noMultiLvlLbl val="0"/>
      </c:catAx>
      <c:valAx>
        <c:axId val="153497600"/>
        <c:scaling>
          <c:orientation val="minMax"/>
        </c:scaling>
        <c:delete val="0"/>
        <c:axPos val="l"/>
        <c:majorGridlines/>
        <c:numFmt formatCode="General" sourceLinked="1"/>
        <c:majorTickMark val="out"/>
        <c:minorTickMark val="none"/>
        <c:tickLblPos val="nextTo"/>
        <c:crossAx val="153495808"/>
        <c:crosses val="autoZero"/>
        <c:crossBetween val="between"/>
      </c:valAx>
    </c:plotArea>
    <c:plotVisOnly val="1"/>
    <c:dispBlanksAs val="gap"/>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G</a:t>
            </a:r>
            <a:r>
              <a:rPr lang="cs-CZ" sz="1400"/>
              <a:t>lobal</a:t>
            </a:r>
            <a:r>
              <a:rPr lang="cs-CZ" sz="1400" baseline="0"/>
              <a:t> Innovation Index 2014</a:t>
            </a:r>
            <a:endParaRPr lang="en-US" sz="1400"/>
          </a:p>
        </c:rich>
      </c:tx>
      <c:layout/>
      <c:overlay val="0"/>
    </c:title>
    <c:autoTitleDeleted val="0"/>
    <c:plotArea>
      <c:layout/>
      <c:barChart>
        <c:barDir val="col"/>
        <c:grouping val="clustered"/>
        <c:varyColors val="0"/>
        <c:ser>
          <c:idx val="0"/>
          <c:order val="0"/>
          <c:tx>
            <c:strRef>
              <c:f>ioi_2014!$M$32</c:f>
              <c:strCache>
                <c:ptCount val="1"/>
                <c:pt idx="0">
                  <c:v>GII 2014</c:v>
                </c:pt>
              </c:strCache>
            </c:strRef>
          </c:tx>
          <c:spPr>
            <a:solidFill>
              <a:srgbClr val="FFFF00"/>
            </a:solidFill>
          </c:spPr>
          <c:invertIfNegative val="0"/>
          <c:dPt>
            <c:idx val="0"/>
            <c:invertIfNegative val="0"/>
            <c:bubble3D val="0"/>
            <c:spPr>
              <a:solidFill>
                <a:schemeClr val="accent6">
                  <a:lumMod val="75000"/>
                </a:schemeClr>
              </a:solidFill>
            </c:spPr>
          </c:dPt>
          <c:dPt>
            <c:idx val="1"/>
            <c:invertIfNegative val="0"/>
            <c:bubble3D val="0"/>
          </c:dPt>
          <c:dPt>
            <c:idx val="2"/>
            <c:invertIfNegative val="0"/>
            <c:bubble3D val="0"/>
          </c:dPt>
          <c:dPt>
            <c:idx val="3"/>
            <c:invertIfNegative val="0"/>
            <c:bubble3D val="0"/>
          </c:dPt>
          <c:dPt>
            <c:idx val="4"/>
            <c:invertIfNegative val="0"/>
            <c:bubble3D val="0"/>
            <c:spPr>
              <a:solidFill>
                <a:schemeClr val="accent6">
                  <a:lumMod val="75000"/>
                </a:schemeClr>
              </a:solidFill>
            </c:spPr>
          </c:dPt>
          <c:dPt>
            <c:idx val="5"/>
            <c:invertIfNegative val="0"/>
            <c:bubble3D val="0"/>
          </c:dPt>
          <c:dPt>
            <c:idx val="6"/>
            <c:invertIfNegative val="0"/>
            <c:bubble3D val="0"/>
          </c:dPt>
          <c:dPt>
            <c:idx val="7"/>
            <c:invertIfNegative val="0"/>
            <c:bubble3D val="0"/>
          </c:dPt>
          <c:dPt>
            <c:idx val="8"/>
            <c:invertIfNegative val="0"/>
            <c:bubble3D val="0"/>
            <c:spPr>
              <a:solidFill>
                <a:schemeClr val="accent6">
                  <a:lumMod val="75000"/>
                </a:schemeClr>
              </a:solidFill>
            </c:spPr>
          </c:dPt>
          <c:dPt>
            <c:idx val="9"/>
            <c:invertIfNegative val="0"/>
            <c:bubble3D val="0"/>
          </c:dPt>
          <c:dPt>
            <c:idx val="10"/>
            <c:invertIfNegative val="0"/>
            <c:bubble3D val="0"/>
          </c:dPt>
          <c:dPt>
            <c:idx val="11"/>
            <c:invertIfNegative val="0"/>
            <c:bubble3D val="0"/>
          </c:dPt>
          <c:dPt>
            <c:idx val="12"/>
            <c:invertIfNegative val="0"/>
            <c:bubble3D val="0"/>
            <c:spPr>
              <a:solidFill>
                <a:srgbClr val="8DE3B4"/>
              </a:solidFill>
            </c:spPr>
          </c:dPt>
          <c:dPt>
            <c:idx val="13"/>
            <c:invertIfNegative val="0"/>
            <c:bubble3D val="0"/>
          </c:dPt>
          <c:dPt>
            <c:idx val="14"/>
            <c:invertIfNegative val="0"/>
            <c:bubble3D val="0"/>
          </c:dPt>
          <c:dPt>
            <c:idx val="15"/>
            <c:invertIfNegative val="0"/>
            <c:bubble3D val="0"/>
          </c:dPt>
          <c:dPt>
            <c:idx val="16"/>
            <c:invertIfNegative val="0"/>
            <c:bubble3D val="0"/>
          </c:dPt>
          <c:dPt>
            <c:idx val="17"/>
            <c:invertIfNegative val="0"/>
            <c:bubble3D val="0"/>
            <c:spPr>
              <a:solidFill>
                <a:srgbClr val="8DE3B4"/>
              </a:solidFill>
            </c:spPr>
          </c:dPt>
          <c:dPt>
            <c:idx val="18"/>
            <c:invertIfNegative val="0"/>
            <c:bubble3D val="0"/>
            <c:spPr>
              <a:solidFill>
                <a:srgbClr val="8DE3B4"/>
              </a:solidFill>
            </c:spPr>
          </c:dPt>
          <c:dPt>
            <c:idx val="19"/>
            <c:invertIfNegative val="0"/>
            <c:bubble3D val="0"/>
            <c:spPr>
              <a:solidFill>
                <a:srgbClr val="8DE3B4"/>
              </a:solidFill>
            </c:spPr>
          </c:dPt>
          <c:dPt>
            <c:idx val="20"/>
            <c:invertIfNegative val="0"/>
            <c:bubble3D val="0"/>
            <c:spPr>
              <a:solidFill>
                <a:srgbClr val="0B970E"/>
              </a:solidFill>
            </c:spPr>
          </c:dPt>
          <c:dPt>
            <c:idx val="21"/>
            <c:invertIfNegative val="0"/>
            <c:bubble3D val="0"/>
            <c:spPr>
              <a:solidFill>
                <a:srgbClr val="8DE3B4"/>
              </a:solidFill>
            </c:spPr>
          </c:dPt>
          <c:dPt>
            <c:idx val="22"/>
            <c:invertIfNegative val="0"/>
            <c:bubble3D val="0"/>
            <c:spPr>
              <a:solidFill>
                <a:srgbClr val="8DE3B4"/>
              </a:solidFill>
            </c:spPr>
          </c:dPt>
          <c:dPt>
            <c:idx val="23"/>
            <c:invertIfNegative val="0"/>
            <c:bubble3D val="0"/>
            <c:spPr>
              <a:solidFill>
                <a:srgbClr val="0B970E"/>
              </a:solidFill>
            </c:spPr>
          </c:dPt>
          <c:dPt>
            <c:idx val="24"/>
            <c:invertIfNegative val="0"/>
            <c:bubble3D val="0"/>
            <c:spPr>
              <a:solidFill>
                <a:srgbClr val="8DE3B4"/>
              </a:solidFill>
            </c:spPr>
          </c:dPt>
          <c:dPt>
            <c:idx val="25"/>
            <c:invertIfNegative val="0"/>
            <c:bubble3D val="0"/>
            <c:spPr>
              <a:solidFill>
                <a:srgbClr val="0B970E"/>
              </a:solidFill>
            </c:spPr>
          </c:dPt>
          <c:dPt>
            <c:idx val="26"/>
            <c:invertIfNegative val="0"/>
            <c:bubble3D val="0"/>
            <c:spPr>
              <a:solidFill>
                <a:srgbClr val="0B970E"/>
              </a:solidFill>
            </c:spPr>
          </c:dPt>
          <c:dPt>
            <c:idx val="27"/>
            <c:invertIfNegative val="0"/>
            <c:bubble3D val="0"/>
            <c:spPr>
              <a:solidFill>
                <a:srgbClr val="8DE3B4"/>
              </a:solidFill>
            </c:spPr>
          </c:dPt>
          <c:dPt>
            <c:idx val="28"/>
            <c:invertIfNegative val="0"/>
            <c:bubble3D val="0"/>
            <c:spPr>
              <a:solidFill>
                <a:srgbClr val="0B970E"/>
              </a:solidFill>
            </c:spPr>
          </c:dPt>
          <c:cat>
            <c:strRef>
              <c:f>ioi_2014!$L$34:$L$61</c:f>
              <c:strCache>
                <c:ptCount val="28"/>
                <c:pt idx="0">
                  <c:v>RO</c:v>
                </c:pt>
                <c:pt idx="1">
                  <c:v>EL</c:v>
                </c:pt>
                <c:pt idx="2">
                  <c:v>PL</c:v>
                </c:pt>
                <c:pt idx="3">
                  <c:v>HR</c:v>
                </c:pt>
                <c:pt idx="4">
                  <c:v>BG</c:v>
                </c:pt>
                <c:pt idx="5">
                  <c:v>LT</c:v>
                </c:pt>
                <c:pt idx="6">
                  <c:v>SK</c:v>
                </c:pt>
                <c:pt idx="7">
                  <c:v>HU</c:v>
                </c:pt>
                <c:pt idx="8">
                  <c:v>LV</c:v>
                </c:pt>
                <c:pt idx="9">
                  <c:v>PT</c:v>
                </c:pt>
                <c:pt idx="10">
                  <c:v>IT</c:v>
                </c:pt>
                <c:pt idx="11">
                  <c:v>CY</c:v>
                </c:pt>
                <c:pt idx="12">
                  <c:v>SI</c:v>
                </c:pt>
                <c:pt idx="13">
                  <c:v>ES</c:v>
                </c:pt>
                <c:pt idx="14">
                  <c:v>CZ</c:v>
                </c:pt>
                <c:pt idx="15">
                  <c:v>MT</c:v>
                </c:pt>
                <c:pt idx="16">
                  <c:v>EE</c:v>
                </c:pt>
                <c:pt idx="17">
                  <c:v>BE</c:v>
                </c:pt>
                <c:pt idx="18">
                  <c:v>FR</c:v>
                </c:pt>
                <c:pt idx="19">
                  <c:v>AT</c:v>
                </c:pt>
                <c:pt idx="20">
                  <c:v>DE</c:v>
                </c:pt>
                <c:pt idx="21">
                  <c:v>IE</c:v>
                </c:pt>
                <c:pt idx="22">
                  <c:v>LU</c:v>
                </c:pt>
                <c:pt idx="23">
                  <c:v>DK</c:v>
                </c:pt>
                <c:pt idx="24">
                  <c:v>NL</c:v>
                </c:pt>
                <c:pt idx="25">
                  <c:v>FI</c:v>
                </c:pt>
                <c:pt idx="26">
                  <c:v>SE</c:v>
                </c:pt>
                <c:pt idx="27">
                  <c:v>UK</c:v>
                </c:pt>
              </c:strCache>
            </c:strRef>
          </c:cat>
          <c:val>
            <c:numRef>
              <c:f>ioi_2014!$M$34:$M$61</c:f>
              <c:numCache>
                <c:formatCode>General</c:formatCode>
                <c:ptCount val="28"/>
                <c:pt idx="0">
                  <c:v>38.1</c:v>
                </c:pt>
                <c:pt idx="1">
                  <c:v>38.9</c:v>
                </c:pt>
                <c:pt idx="2">
                  <c:v>40.6</c:v>
                </c:pt>
                <c:pt idx="3">
                  <c:v>40.700000000000003</c:v>
                </c:pt>
                <c:pt idx="4">
                  <c:v>40.700000000000003</c:v>
                </c:pt>
                <c:pt idx="5">
                  <c:v>41</c:v>
                </c:pt>
                <c:pt idx="6">
                  <c:v>41.9</c:v>
                </c:pt>
                <c:pt idx="7">
                  <c:v>44.6</c:v>
                </c:pt>
                <c:pt idx="8">
                  <c:v>44.8</c:v>
                </c:pt>
                <c:pt idx="9">
                  <c:v>45.6</c:v>
                </c:pt>
                <c:pt idx="10">
                  <c:v>45.7</c:v>
                </c:pt>
                <c:pt idx="11">
                  <c:v>45.8</c:v>
                </c:pt>
                <c:pt idx="12">
                  <c:v>47.2</c:v>
                </c:pt>
                <c:pt idx="13">
                  <c:v>49.3</c:v>
                </c:pt>
                <c:pt idx="14">
                  <c:v>50.2</c:v>
                </c:pt>
                <c:pt idx="15">
                  <c:v>50.4</c:v>
                </c:pt>
                <c:pt idx="16">
                  <c:v>51.5</c:v>
                </c:pt>
                <c:pt idx="17">
                  <c:v>51.7</c:v>
                </c:pt>
                <c:pt idx="18">
                  <c:v>52.2</c:v>
                </c:pt>
                <c:pt idx="19">
                  <c:v>53.4</c:v>
                </c:pt>
                <c:pt idx="20">
                  <c:v>56</c:v>
                </c:pt>
                <c:pt idx="21">
                  <c:v>56.7</c:v>
                </c:pt>
                <c:pt idx="22">
                  <c:v>56.9</c:v>
                </c:pt>
                <c:pt idx="23">
                  <c:v>57.5</c:v>
                </c:pt>
                <c:pt idx="24">
                  <c:v>60.6</c:v>
                </c:pt>
                <c:pt idx="25">
                  <c:v>60.7</c:v>
                </c:pt>
                <c:pt idx="26">
                  <c:v>62.3</c:v>
                </c:pt>
                <c:pt idx="27">
                  <c:v>62.4</c:v>
                </c:pt>
              </c:numCache>
            </c:numRef>
          </c:val>
        </c:ser>
        <c:dLbls>
          <c:showLegendKey val="0"/>
          <c:showVal val="0"/>
          <c:showCatName val="0"/>
          <c:showSerName val="0"/>
          <c:showPercent val="0"/>
          <c:showBubbleSize val="0"/>
        </c:dLbls>
        <c:gapWidth val="150"/>
        <c:axId val="151831296"/>
        <c:axId val="151832832"/>
      </c:barChart>
      <c:catAx>
        <c:axId val="151831296"/>
        <c:scaling>
          <c:orientation val="minMax"/>
        </c:scaling>
        <c:delete val="0"/>
        <c:axPos val="b"/>
        <c:numFmt formatCode="General" sourceLinked="1"/>
        <c:majorTickMark val="out"/>
        <c:minorTickMark val="none"/>
        <c:tickLblPos val="nextTo"/>
        <c:crossAx val="151832832"/>
        <c:crosses val="autoZero"/>
        <c:auto val="1"/>
        <c:lblAlgn val="ctr"/>
        <c:lblOffset val="100"/>
        <c:noMultiLvlLbl val="0"/>
      </c:catAx>
      <c:valAx>
        <c:axId val="151832832"/>
        <c:scaling>
          <c:orientation val="minMax"/>
        </c:scaling>
        <c:delete val="0"/>
        <c:axPos val="l"/>
        <c:majorGridlines/>
        <c:numFmt formatCode="General" sourceLinked="1"/>
        <c:majorTickMark val="out"/>
        <c:minorTickMark val="none"/>
        <c:tickLblPos val="nextTo"/>
        <c:crossAx val="151831296"/>
        <c:crosses val="autoZero"/>
        <c:crossBetween val="between"/>
      </c:valAx>
    </c:plotArea>
    <c:plotVisOnly val="1"/>
    <c:dispBlanksAs val="gap"/>
    <c:showDLblsOverMax val="0"/>
  </c:chart>
  <c:spPr>
    <a:ln>
      <a:noFill/>
    </a:ln>
  </c:sp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strRef>
              <c:f>'2A'!$C$5</c:f>
              <c:strCache>
                <c:ptCount val="1"/>
                <c:pt idx="0">
                  <c:v>Počet podniků s inovačními aktivitami</c:v>
                </c:pt>
              </c:strCache>
            </c:strRef>
          </c:tx>
          <c:invertIfNegative val="0"/>
          <c:cat>
            <c:strRef>
              <c:f>'2A'!$A$15:$A$23</c:f>
              <c:strCache>
                <c:ptCount val="9"/>
                <c:pt idx="0">
                  <c:v>B /5-9/</c:v>
                </c:pt>
                <c:pt idx="1">
                  <c:v>C /10-33/</c:v>
                </c:pt>
                <c:pt idx="2">
                  <c:v>D /35/</c:v>
                </c:pt>
                <c:pt idx="3">
                  <c:v> E /36-39/</c:v>
                </c:pt>
                <c:pt idx="4">
                  <c:v>G /46/</c:v>
                </c:pt>
                <c:pt idx="5">
                  <c:v>H /49-53/</c:v>
                </c:pt>
                <c:pt idx="6">
                  <c:v>J /58-63/</c:v>
                </c:pt>
                <c:pt idx="7">
                  <c:v> K /64-66/</c:v>
                </c:pt>
                <c:pt idx="8">
                  <c:v>M /71-73/</c:v>
                </c:pt>
              </c:strCache>
            </c:strRef>
          </c:cat>
          <c:val>
            <c:numRef>
              <c:f>'2A'!$C$15:$C$23</c:f>
              <c:numCache>
                <c:formatCode>#,##0</c:formatCode>
                <c:ptCount val="9"/>
                <c:pt idx="0">
                  <c:v>35.580399999999997</c:v>
                </c:pt>
                <c:pt idx="1">
                  <c:v>5276.0452000000014</c:v>
                </c:pt>
                <c:pt idx="2">
                  <c:v>103.2655</c:v>
                </c:pt>
                <c:pt idx="3">
                  <c:v>158.53700000000001</c:v>
                </c:pt>
                <c:pt idx="4">
                  <c:v>1587.7101</c:v>
                </c:pt>
                <c:pt idx="5">
                  <c:v>376.68289999999996</c:v>
                </c:pt>
                <c:pt idx="6">
                  <c:v>781.63860000000022</c:v>
                </c:pt>
                <c:pt idx="7">
                  <c:v>228.73209999999995</c:v>
                </c:pt>
                <c:pt idx="8">
                  <c:v>514.97249999999974</c:v>
                </c:pt>
              </c:numCache>
            </c:numRef>
          </c:val>
        </c:ser>
        <c:dLbls>
          <c:showLegendKey val="0"/>
          <c:showVal val="0"/>
          <c:showCatName val="0"/>
          <c:showSerName val="0"/>
          <c:showPercent val="0"/>
          <c:showBubbleSize val="0"/>
        </c:dLbls>
        <c:gapWidth val="150"/>
        <c:axId val="151884928"/>
        <c:axId val="151886464"/>
      </c:barChart>
      <c:barChart>
        <c:barDir val="col"/>
        <c:grouping val="clustered"/>
        <c:varyColors val="0"/>
        <c:ser>
          <c:idx val="1"/>
          <c:order val="1"/>
          <c:tx>
            <c:strRef>
              <c:f>'2A'!$D$5</c:f>
              <c:strCache>
                <c:ptCount val="1"/>
                <c:pt idx="0">
                  <c:v> Podíl na celkovém počtu podniků v dané skupině</c:v>
                </c:pt>
              </c:strCache>
            </c:strRef>
          </c:tx>
          <c:invertIfNegative val="0"/>
          <c:dLbls>
            <c:showLegendKey val="0"/>
            <c:showVal val="1"/>
            <c:showCatName val="0"/>
            <c:showSerName val="0"/>
            <c:showPercent val="0"/>
            <c:showBubbleSize val="0"/>
            <c:showLeaderLines val="0"/>
          </c:dLbls>
          <c:cat>
            <c:strRef>
              <c:f>'2A'!$B$15:$B$23</c:f>
              <c:strCache>
                <c:ptCount val="9"/>
                <c:pt idx="0">
                  <c:v>Těžba a dobývání – B /5-9/</c:v>
                </c:pt>
                <c:pt idx="1">
                  <c:v>Zpracovatelský průmysl – C /10-33/</c:v>
                </c:pt>
                <c:pt idx="2">
                  <c:v>Výroba a rozvod elektřiny, plynu, tepla a klimatizovaného vzduchu – D /35/</c:v>
                </c:pt>
                <c:pt idx="3">
                  <c:v>Zásobování vodou; činnosti související s odpadními vodami, odpady a sanacemi – E /36-39/</c:v>
                </c:pt>
                <c:pt idx="4">
                  <c:v>Velkoobchod, kromě motorových vozidel – G /46/</c:v>
                </c:pt>
                <c:pt idx="5">
                  <c:v>Doprava a skladování – H /49-53/</c:v>
                </c:pt>
                <c:pt idx="6">
                  <c:v>Informační a komunikační činnosti – J /58-63/</c:v>
                </c:pt>
                <c:pt idx="7">
                  <c:v>Peněžnictví a pojišťovnictví – K /64-66/</c:v>
                </c:pt>
                <c:pt idx="8">
                  <c:v>Architekt. a inženýrské činnosti; technické zkoušky a analýzy; výzkum a vývoj; reklama a průzkum trhu – M /71-73/</c:v>
                </c:pt>
              </c:strCache>
            </c:strRef>
          </c:cat>
          <c:val>
            <c:numRef>
              <c:f>'2A'!$D$15:$D$23</c:f>
              <c:numCache>
                <c:formatCode>0%</c:formatCode>
                <c:ptCount val="9"/>
                <c:pt idx="0">
                  <c:v>0.33808785814532666</c:v>
                </c:pt>
                <c:pt idx="1">
                  <c:v>0.4698923466797203</c:v>
                </c:pt>
                <c:pt idx="2">
                  <c:v>0.42098442163384303</c:v>
                </c:pt>
                <c:pt idx="3">
                  <c:v>0.29411813814167026</c:v>
                </c:pt>
                <c:pt idx="4">
                  <c:v>0.38537475107782043</c:v>
                </c:pt>
                <c:pt idx="5">
                  <c:v>0.17488491288924565</c:v>
                </c:pt>
                <c:pt idx="6">
                  <c:v>0.61658005706554742</c:v>
                </c:pt>
                <c:pt idx="7">
                  <c:v>0.53745616599167068</c:v>
                </c:pt>
                <c:pt idx="8">
                  <c:v>0.34938348839438726</c:v>
                </c:pt>
              </c:numCache>
            </c:numRef>
          </c:val>
        </c:ser>
        <c:dLbls>
          <c:showLegendKey val="0"/>
          <c:showVal val="0"/>
          <c:showCatName val="0"/>
          <c:showSerName val="0"/>
          <c:showPercent val="0"/>
          <c:showBubbleSize val="0"/>
        </c:dLbls>
        <c:gapWidth val="415"/>
        <c:overlap val="100"/>
        <c:axId val="151898752"/>
        <c:axId val="151896832"/>
      </c:barChart>
      <c:catAx>
        <c:axId val="151884928"/>
        <c:scaling>
          <c:orientation val="minMax"/>
        </c:scaling>
        <c:delete val="0"/>
        <c:axPos val="b"/>
        <c:majorTickMark val="out"/>
        <c:minorTickMark val="none"/>
        <c:tickLblPos val="nextTo"/>
        <c:txPr>
          <a:bodyPr/>
          <a:lstStyle/>
          <a:p>
            <a:pPr>
              <a:defRPr sz="800"/>
            </a:pPr>
            <a:endParaRPr lang="cs-CZ"/>
          </a:p>
        </c:txPr>
        <c:crossAx val="151886464"/>
        <c:crosses val="autoZero"/>
        <c:auto val="1"/>
        <c:lblAlgn val="ctr"/>
        <c:lblOffset val="100"/>
        <c:noMultiLvlLbl val="0"/>
      </c:catAx>
      <c:valAx>
        <c:axId val="151886464"/>
        <c:scaling>
          <c:orientation val="minMax"/>
          <c:max val="1000"/>
        </c:scaling>
        <c:delete val="0"/>
        <c:axPos val="l"/>
        <c:title>
          <c:tx>
            <c:rich>
              <a:bodyPr rot="-5400000" vert="horz"/>
              <a:lstStyle/>
              <a:p>
                <a:pPr>
                  <a:defRPr/>
                </a:pPr>
                <a:r>
                  <a:rPr lang="cs-CZ"/>
                  <a:t>Podniky s inovačními aktivitami</a:t>
                </a:r>
              </a:p>
            </c:rich>
          </c:tx>
          <c:layout/>
          <c:overlay val="0"/>
        </c:title>
        <c:numFmt formatCode="#,##0" sourceLinked="1"/>
        <c:majorTickMark val="out"/>
        <c:minorTickMark val="none"/>
        <c:tickLblPos val="nextTo"/>
        <c:crossAx val="151884928"/>
        <c:crosses val="autoZero"/>
        <c:crossBetween val="between"/>
      </c:valAx>
      <c:valAx>
        <c:axId val="151896832"/>
        <c:scaling>
          <c:orientation val="minMax"/>
        </c:scaling>
        <c:delete val="0"/>
        <c:axPos val="r"/>
        <c:title>
          <c:tx>
            <c:rich>
              <a:bodyPr/>
              <a:lstStyle/>
              <a:p>
                <a:pPr>
                  <a:defRPr/>
                </a:pPr>
                <a:r>
                  <a:rPr lang="cs-CZ"/>
                  <a:t> Podíl na celkovém počtu podniků v dané skupině</a:t>
                </a:r>
              </a:p>
            </c:rich>
          </c:tx>
          <c:layout/>
          <c:overlay val="0"/>
        </c:title>
        <c:numFmt formatCode="0%" sourceLinked="1"/>
        <c:majorTickMark val="out"/>
        <c:minorTickMark val="none"/>
        <c:tickLblPos val="nextTo"/>
        <c:crossAx val="151898752"/>
        <c:crosses val="max"/>
        <c:crossBetween val="between"/>
      </c:valAx>
      <c:catAx>
        <c:axId val="151898752"/>
        <c:scaling>
          <c:orientation val="minMax"/>
        </c:scaling>
        <c:delete val="1"/>
        <c:axPos val="b"/>
        <c:majorTickMark val="out"/>
        <c:minorTickMark val="none"/>
        <c:tickLblPos val="nextTo"/>
        <c:crossAx val="151896832"/>
        <c:crosses val="autoZero"/>
        <c:auto val="1"/>
        <c:lblAlgn val="ctr"/>
        <c:lblOffset val="100"/>
        <c:noMultiLvlLbl val="0"/>
      </c:catAx>
    </c:plotArea>
    <c:legend>
      <c:legendPos val="b"/>
      <c:layout/>
      <c:overlay val="0"/>
    </c:legend>
    <c:plotVisOnly val="1"/>
    <c:dispBlanksAs val="gap"/>
    <c:showDLblsOverMax val="0"/>
  </c:chart>
  <c:spPr>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'2A'!$C$42</c:f>
              <c:strCache>
                <c:ptCount val="1"/>
                <c:pt idx="0">
                  <c:v>Podniky s technickými inovacemi</c:v>
                </c:pt>
              </c:strCache>
            </c:strRef>
          </c:tx>
          <c:invertIfNegative val="0"/>
          <c:cat>
            <c:strRef>
              <c:f>'2A'!$B$43:$B$51</c:f>
              <c:strCache>
                <c:ptCount val="9"/>
                <c:pt idx="0">
                  <c:v>B /5-9/</c:v>
                </c:pt>
                <c:pt idx="1">
                  <c:v>C /10-33/</c:v>
                </c:pt>
                <c:pt idx="2">
                  <c:v>D /35/</c:v>
                </c:pt>
                <c:pt idx="3">
                  <c:v> E /36-39/</c:v>
                </c:pt>
                <c:pt idx="4">
                  <c:v>G /46/</c:v>
                </c:pt>
                <c:pt idx="5">
                  <c:v>H /49-53/</c:v>
                </c:pt>
                <c:pt idx="6">
                  <c:v>J /58-63/</c:v>
                </c:pt>
                <c:pt idx="7">
                  <c:v> K /64-66/</c:v>
                </c:pt>
                <c:pt idx="8">
                  <c:v>M /71-73/</c:v>
                </c:pt>
              </c:strCache>
            </c:strRef>
          </c:cat>
          <c:val>
            <c:numRef>
              <c:f>'2A'!$C$43:$C$51</c:f>
              <c:numCache>
                <c:formatCode>#,##0</c:formatCode>
                <c:ptCount val="9"/>
                <c:pt idx="0">
                  <c:v>24.153199999999998</c:v>
                </c:pt>
                <c:pt idx="1">
                  <c:v>4670.5129000000024</c:v>
                </c:pt>
                <c:pt idx="2">
                  <c:v>90.008700000000005</c:v>
                </c:pt>
                <c:pt idx="3">
                  <c:v>106.10639999999999</c:v>
                </c:pt>
                <c:pt idx="4">
                  <c:v>1173.6532000000004</c:v>
                </c:pt>
                <c:pt idx="5">
                  <c:v>275.88719999999984</c:v>
                </c:pt>
                <c:pt idx="6">
                  <c:v>713.1840000000002</c:v>
                </c:pt>
                <c:pt idx="7">
                  <c:v>195.46339999999992</c:v>
                </c:pt>
                <c:pt idx="8">
                  <c:v>436.87309999999985</c:v>
                </c:pt>
              </c:numCache>
            </c:numRef>
          </c:val>
        </c:ser>
        <c:ser>
          <c:idx val="1"/>
          <c:order val="1"/>
          <c:tx>
            <c:strRef>
              <c:f>'2A'!$D$42</c:f>
              <c:strCache>
                <c:ptCount val="1"/>
                <c:pt idx="0">
                  <c:v>Podniky s netechnickými inovacemi</c:v>
                </c:pt>
              </c:strCache>
            </c:strRef>
          </c:tx>
          <c:invertIfNegative val="0"/>
          <c:cat>
            <c:strRef>
              <c:f>'2A'!$B$43:$B$51</c:f>
              <c:strCache>
                <c:ptCount val="9"/>
                <c:pt idx="0">
                  <c:v>B /5-9/</c:v>
                </c:pt>
                <c:pt idx="1">
                  <c:v>C /10-33/</c:v>
                </c:pt>
                <c:pt idx="2">
                  <c:v>D /35/</c:v>
                </c:pt>
                <c:pt idx="3">
                  <c:v> E /36-39/</c:v>
                </c:pt>
                <c:pt idx="4">
                  <c:v>G /46/</c:v>
                </c:pt>
                <c:pt idx="5">
                  <c:v>H /49-53/</c:v>
                </c:pt>
                <c:pt idx="6">
                  <c:v>J /58-63/</c:v>
                </c:pt>
                <c:pt idx="7">
                  <c:v> K /64-66/</c:v>
                </c:pt>
                <c:pt idx="8">
                  <c:v>M /71-73/</c:v>
                </c:pt>
              </c:strCache>
            </c:strRef>
          </c:cat>
          <c:val>
            <c:numRef>
              <c:f>'2A'!$D$43:$D$51</c:f>
              <c:numCache>
                <c:formatCode>#,##0</c:formatCode>
                <c:ptCount val="9"/>
                <c:pt idx="0">
                  <c:v>26.148299999999999</c:v>
                </c:pt>
                <c:pt idx="1">
                  <c:v>3284.0853000000034</c:v>
                </c:pt>
                <c:pt idx="2">
                  <c:v>56.470499999999994</c:v>
                </c:pt>
                <c:pt idx="3">
                  <c:v>98.683700000000016</c:v>
                </c:pt>
                <c:pt idx="4">
                  <c:v>1090.8693000000005</c:v>
                </c:pt>
                <c:pt idx="5">
                  <c:v>261.91299999999995</c:v>
                </c:pt>
                <c:pt idx="6">
                  <c:v>576.65369999999984</c:v>
                </c:pt>
                <c:pt idx="7">
                  <c:v>168.27319999999997</c:v>
                </c:pt>
                <c:pt idx="8">
                  <c:v>315.33599999999996</c:v>
                </c:pt>
              </c:numCache>
            </c:numRef>
          </c:val>
        </c:ser>
        <c:dLbls>
          <c:showLegendKey val="0"/>
          <c:showVal val="0"/>
          <c:showCatName val="0"/>
          <c:showSerName val="0"/>
          <c:showPercent val="0"/>
          <c:showBubbleSize val="0"/>
        </c:dLbls>
        <c:gapWidth val="150"/>
        <c:overlap val="100"/>
        <c:axId val="151907328"/>
        <c:axId val="151986944"/>
      </c:barChart>
      <c:catAx>
        <c:axId val="151907328"/>
        <c:scaling>
          <c:orientation val="minMax"/>
        </c:scaling>
        <c:delete val="0"/>
        <c:axPos val="b"/>
        <c:majorTickMark val="out"/>
        <c:minorTickMark val="none"/>
        <c:tickLblPos val="nextTo"/>
        <c:crossAx val="151986944"/>
        <c:crosses val="autoZero"/>
        <c:auto val="1"/>
        <c:lblAlgn val="ctr"/>
        <c:lblOffset val="100"/>
        <c:noMultiLvlLbl val="0"/>
      </c:catAx>
      <c:valAx>
        <c:axId val="151986944"/>
        <c:scaling>
          <c:orientation val="minMax"/>
        </c:scaling>
        <c:delete val="0"/>
        <c:axPos val="l"/>
        <c:numFmt formatCode="0%" sourceLinked="1"/>
        <c:majorTickMark val="out"/>
        <c:minorTickMark val="none"/>
        <c:tickLblPos val="nextTo"/>
        <c:crossAx val="151907328"/>
        <c:crosses val="autoZero"/>
        <c:crossBetween val="between"/>
      </c:valAx>
      <c:spPr>
        <a:ln>
          <a:noFill/>
        </a:ln>
      </c:spPr>
    </c:plotArea>
    <c:legend>
      <c:legendPos val="b"/>
      <c:layout/>
      <c:overlay val="0"/>
    </c:legend>
    <c:plotVisOnly val="1"/>
    <c:dispBlanksAs val="gap"/>
    <c:showDLblsOverMax val="0"/>
  </c:chart>
  <c:spPr>
    <a:ln>
      <a:noFill/>
    </a:ln>
  </c:sp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144509092635152E-2"/>
          <c:y val="4.6713228988484769E-2"/>
          <c:w val="0.87090009876750563"/>
          <c:h val="0.88087462567470276"/>
        </c:manualLayout>
      </c:layout>
      <c:barChart>
        <c:barDir val="bar"/>
        <c:grouping val="clustered"/>
        <c:varyColors val="0"/>
        <c:ser>
          <c:idx val="0"/>
          <c:order val="0"/>
          <c:tx>
            <c:strRef>
              <c:f>pavouk_5B!$D$4</c:f>
              <c:strCache>
                <c:ptCount val="1"/>
                <c:pt idx="0">
                  <c:v>% z celkových tržeb</c:v>
                </c:pt>
              </c:strCache>
            </c:strRef>
          </c:tx>
          <c:invertIfNegative val="0"/>
          <c:dLbls>
            <c:dLbl>
              <c:idx val="11"/>
              <c:layout>
                <c:manualLayout>
                  <c:x val="-0.3993134936079758"/>
                  <c:y val="0"/>
                </c:manualLayout>
              </c:layout>
              <c:dLblPos val="outEnd"/>
              <c:showLegendKey val="0"/>
              <c:showVal val="1"/>
              <c:showCatName val="0"/>
              <c:showSerName val="0"/>
              <c:showPercent val="0"/>
              <c:showBubbleSize val="0"/>
            </c:dLbl>
            <c:dLblPos val="outEnd"/>
            <c:showLegendKey val="0"/>
            <c:showVal val="1"/>
            <c:showCatName val="0"/>
            <c:showSerName val="0"/>
            <c:showPercent val="0"/>
            <c:showBubbleSize val="0"/>
            <c:showLeaderLines val="0"/>
          </c:dLbls>
          <c:cat>
            <c:strRef>
              <c:f>pavouk_5B!$A$15:$A$28</c:f>
              <c:strCache>
                <c:ptCount val="14"/>
                <c:pt idx="0">
                  <c:v>10–12</c:v>
                </c:pt>
                <c:pt idx="1">
                  <c:v>13–15</c:v>
                </c:pt>
                <c:pt idx="2">
                  <c:v>16–18</c:v>
                </c:pt>
                <c:pt idx="3">
                  <c:v>19–20</c:v>
                </c:pt>
                <c:pt idx="4">
                  <c:v>21</c:v>
                </c:pt>
                <c:pt idx="5">
                  <c:v>22</c:v>
                </c:pt>
                <c:pt idx="6">
                  <c:v>23</c:v>
                </c:pt>
                <c:pt idx="7">
                  <c:v>24–25</c:v>
                </c:pt>
                <c:pt idx="8">
                  <c:v>26</c:v>
                </c:pt>
                <c:pt idx="9">
                  <c:v>27</c:v>
                </c:pt>
                <c:pt idx="10">
                  <c:v>28</c:v>
                </c:pt>
                <c:pt idx="11">
                  <c:v>29</c:v>
                </c:pt>
                <c:pt idx="12">
                  <c:v>30</c:v>
                </c:pt>
                <c:pt idx="13">
                  <c:v>31–33</c:v>
                </c:pt>
              </c:strCache>
            </c:strRef>
          </c:cat>
          <c:val>
            <c:numRef>
              <c:f>pavouk_5B!$D$15:$D$28</c:f>
              <c:numCache>
                <c:formatCode>0%</c:formatCode>
                <c:ptCount val="14"/>
                <c:pt idx="0">
                  <c:v>8.0292106354208331E-2</c:v>
                </c:pt>
                <c:pt idx="1">
                  <c:v>1.8019270234224807E-2</c:v>
                </c:pt>
                <c:pt idx="2">
                  <c:v>2.541878155664545E-2</c:v>
                </c:pt>
                <c:pt idx="3">
                  <c:v>5.1906323610050688E-2</c:v>
                </c:pt>
                <c:pt idx="4">
                  <c:v>1.065548573139055E-2</c:v>
                </c:pt>
                <c:pt idx="5">
                  <c:v>7.8672676479557987E-2</c:v>
                </c:pt>
                <c:pt idx="6">
                  <c:v>3.2264468638401614E-2</c:v>
                </c:pt>
                <c:pt idx="7">
                  <c:v>0.10422999499045932</c:v>
                </c:pt>
                <c:pt idx="8">
                  <c:v>5.8472924468385916E-2</c:v>
                </c:pt>
                <c:pt idx="9">
                  <c:v>7.7800867368494231E-2</c:v>
                </c:pt>
                <c:pt idx="10">
                  <c:v>9.6841209629878883E-2</c:v>
                </c:pt>
                <c:pt idx="11">
                  <c:v>0.31968589325998004</c:v>
                </c:pt>
                <c:pt idx="12">
                  <c:v>2.1138770035975151E-2</c:v>
                </c:pt>
                <c:pt idx="13">
                  <c:v>2.4601227642347095E-2</c:v>
                </c:pt>
              </c:numCache>
            </c:numRef>
          </c:val>
        </c:ser>
        <c:ser>
          <c:idx val="1"/>
          <c:order val="1"/>
          <c:tx>
            <c:strRef>
              <c:f>pavouk_5B!$K$3</c:f>
              <c:strCache>
                <c:ptCount val="1"/>
                <c:pt idx="0">
                  <c:v>Intenzita inovace</c:v>
                </c:pt>
              </c:strCache>
            </c:strRef>
          </c:tx>
          <c:invertIfNegative val="0"/>
          <c:dLbls>
            <c:dLblPos val="outEnd"/>
            <c:showLegendKey val="0"/>
            <c:showVal val="1"/>
            <c:showCatName val="0"/>
            <c:showSerName val="0"/>
            <c:showPercent val="0"/>
            <c:showBubbleSize val="0"/>
            <c:showLeaderLines val="0"/>
          </c:dLbls>
          <c:cat>
            <c:strRef>
              <c:f>pavouk_5B!$A$15:$A$28</c:f>
              <c:strCache>
                <c:ptCount val="14"/>
                <c:pt idx="0">
                  <c:v>10–12</c:v>
                </c:pt>
                <c:pt idx="1">
                  <c:v>13–15</c:v>
                </c:pt>
                <c:pt idx="2">
                  <c:v>16–18</c:v>
                </c:pt>
                <c:pt idx="3">
                  <c:v>19–20</c:v>
                </c:pt>
                <c:pt idx="4">
                  <c:v>21</c:v>
                </c:pt>
                <c:pt idx="5">
                  <c:v>22</c:v>
                </c:pt>
                <c:pt idx="6">
                  <c:v>23</c:v>
                </c:pt>
                <c:pt idx="7">
                  <c:v>24–25</c:v>
                </c:pt>
                <c:pt idx="8">
                  <c:v>26</c:v>
                </c:pt>
                <c:pt idx="9">
                  <c:v>27</c:v>
                </c:pt>
                <c:pt idx="10">
                  <c:v>28</c:v>
                </c:pt>
                <c:pt idx="11">
                  <c:v>29</c:v>
                </c:pt>
                <c:pt idx="12">
                  <c:v>30</c:v>
                </c:pt>
                <c:pt idx="13">
                  <c:v>31–33</c:v>
                </c:pt>
              </c:strCache>
            </c:strRef>
          </c:cat>
          <c:val>
            <c:numRef>
              <c:f>pavouk_5B!$K$15:$K$28</c:f>
              <c:numCache>
                <c:formatCode>0%</c:formatCode>
                <c:ptCount val="14"/>
                <c:pt idx="0">
                  <c:v>1.8372713365085388E-2</c:v>
                </c:pt>
                <c:pt idx="1">
                  <c:v>2.7744205258439878E-2</c:v>
                </c:pt>
                <c:pt idx="2">
                  <c:v>4.0152486244321273E-2</c:v>
                </c:pt>
                <c:pt idx="3">
                  <c:v>1.1533907012899561E-2</c:v>
                </c:pt>
                <c:pt idx="4">
                  <c:v>6.7617078532979977E-2</c:v>
                </c:pt>
                <c:pt idx="5">
                  <c:v>3.3791663882458557E-2</c:v>
                </c:pt>
                <c:pt idx="6">
                  <c:v>2.4909089143738006E-2</c:v>
                </c:pt>
                <c:pt idx="7">
                  <c:v>2.1689586938013174E-2</c:v>
                </c:pt>
                <c:pt idx="8">
                  <c:v>3.0846107774991433E-2</c:v>
                </c:pt>
                <c:pt idx="9">
                  <c:v>2.2462671337875034E-2</c:v>
                </c:pt>
                <c:pt idx="10">
                  <c:v>3.9180773364148165E-2</c:v>
                </c:pt>
                <c:pt idx="11">
                  <c:v>4.4555140811190795E-2</c:v>
                </c:pt>
                <c:pt idx="12">
                  <c:v>5.8409063230797954E-2</c:v>
                </c:pt>
                <c:pt idx="13">
                  <c:v>4.4062383076640253E-2</c:v>
                </c:pt>
              </c:numCache>
            </c:numRef>
          </c:val>
        </c:ser>
        <c:dLbls>
          <c:showLegendKey val="0"/>
          <c:showVal val="0"/>
          <c:showCatName val="0"/>
          <c:showSerName val="0"/>
          <c:showPercent val="0"/>
          <c:showBubbleSize val="0"/>
        </c:dLbls>
        <c:gapWidth val="150"/>
        <c:axId val="152014208"/>
        <c:axId val="152024192"/>
      </c:barChart>
      <c:catAx>
        <c:axId val="152014208"/>
        <c:scaling>
          <c:orientation val="maxMin"/>
        </c:scaling>
        <c:delete val="0"/>
        <c:axPos val="l"/>
        <c:majorTickMark val="out"/>
        <c:minorTickMark val="none"/>
        <c:tickLblPos val="nextTo"/>
        <c:crossAx val="152024192"/>
        <c:crosses val="autoZero"/>
        <c:auto val="1"/>
        <c:lblAlgn val="ctr"/>
        <c:lblOffset val="100"/>
        <c:noMultiLvlLbl val="0"/>
      </c:catAx>
      <c:valAx>
        <c:axId val="152024192"/>
        <c:scaling>
          <c:orientation val="minMax"/>
          <c:max val="0.12000000000000001"/>
          <c:min val="0"/>
        </c:scaling>
        <c:delete val="0"/>
        <c:axPos val="t"/>
        <c:numFmt formatCode="0%" sourceLinked="1"/>
        <c:majorTickMark val="out"/>
        <c:minorTickMark val="none"/>
        <c:tickLblPos val="nextTo"/>
        <c:crossAx val="152014208"/>
        <c:crosses val="autoZero"/>
        <c:crossBetween val="between"/>
      </c:valAx>
    </c:plotArea>
    <c:legend>
      <c:legendPos val="b"/>
      <c:layout/>
      <c:overlay val="0"/>
    </c:legend>
    <c:plotVisOnly val="1"/>
    <c:dispBlanksAs val="gap"/>
    <c:showDLblsOverMax val="0"/>
  </c:chart>
  <c:spPr>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01964633217435"/>
          <c:y val="6.9472564641356593E-2"/>
          <c:w val="0.46525694907244103"/>
          <c:h val="0.76873530054463701"/>
        </c:manualLayout>
      </c:layout>
      <c:radarChart>
        <c:radarStyle val="marker"/>
        <c:varyColors val="0"/>
        <c:ser>
          <c:idx val="0"/>
          <c:order val="0"/>
          <c:tx>
            <c:strRef>
              <c:f>pavouk_5B!$F$4</c:f>
              <c:strCache>
                <c:ptCount val="1"/>
                <c:pt idx="0">
                  <c:v>nové na trhu</c:v>
                </c:pt>
              </c:strCache>
            </c:strRef>
          </c:tx>
          <c:marker>
            <c:symbol val="none"/>
          </c:marker>
          <c:cat>
            <c:strRef>
              <c:f>pavouk_5B!$A$15:$A$28</c:f>
              <c:strCache>
                <c:ptCount val="14"/>
                <c:pt idx="0">
                  <c:v>10–12</c:v>
                </c:pt>
                <c:pt idx="1">
                  <c:v>13–15</c:v>
                </c:pt>
                <c:pt idx="2">
                  <c:v>16–18</c:v>
                </c:pt>
                <c:pt idx="3">
                  <c:v>19–20</c:v>
                </c:pt>
                <c:pt idx="4">
                  <c:v>21</c:v>
                </c:pt>
                <c:pt idx="5">
                  <c:v>22</c:v>
                </c:pt>
                <c:pt idx="6">
                  <c:v>23</c:v>
                </c:pt>
                <c:pt idx="7">
                  <c:v>24–25</c:v>
                </c:pt>
                <c:pt idx="8">
                  <c:v>26</c:v>
                </c:pt>
                <c:pt idx="9">
                  <c:v>27</c:v>
                </c:pt>
                <c:pt idx="10">
                  <c:v>28</c:v>
                </c:pt>
                <c:pt idx="11">
                  <c:v>29</c:v>
                </c:pt>
                <c:pt idx="12">
                  <c:v>30</c:v>
                </c:pt>
                <c:pt idx="13">
                  <c:v>31–33</c:v>
                </c:pt>
              </c:strCache>
            </c:strRef>
          </c:cat>
          <c:val>
            <c:numRef>
              <c:f>pavouk_5B!$F$15:$F$28</c:f>
              <c:numCache>
                <c:formatCode>General</c:formatCode>
                <c:ptCount val="14"/>
                <c:pt idx="0">
                  <c:v>5.5262942569565335E-2</c:v>
                </c:pt>
                <c:pt idx="1">
                  <c:v>0.11076463727546394</c:v>
                </c:pt>
                <c:pt idx="2">
                  <c:v>3.0135197599111287E-2</c:v>
                </c:pt>
                <c:pt idx="3">
                  <c:v>4.2029473925294991E-2</c:v>
                </c:pt>
                <c:pt idx="4">
                  <c:v>4.1688772804166503E-2</c:v>
                </c:pt>
                <c:pt idx="5">
                  <c:v>0.11875522083486771</c:v>
                </c:pt>
                <c:pt idx="6">
                  <c:v>0.11842455763517377</c:v>
                </c:pt>
                <c:pt idx="7">
                  <c:v>0.14106169821755296</c:v>
                </c:pt>
                <c:pt idx="8">
                  <c:v>0.43852905695539518</c:v>
                </c:pt>
                <c:pt idx="9">
                  <c:v>6.7129695257240385E-2</c:v>
                </c:pt>
                <c:pt idx="10">
                  <c:v>0.12543246418528761</c:v>
                </c:pt>
                <c:pt idx="11">
                  <c:v>0.32616688344167516</c:v>
                </c:pt>
                <c:pt idx="12">
                  <c:v>0.15501998663199579</c:v>
                </c:pt>
                <c:pt idx="13">
                  <c:v>9.5060597161330654E-2</c:v>
                </c:pt>
              </c:numCache>
            </c:numRef>
          </c:val>
        </c:ser>
        <c:ser>
          <c:idx val="1"/>
          <c:order val="1"/>
          <c:tx>
            <c:strRef>
              <c:f>pavouk_5B!$H$4</c:f>
              <c:strCache>
                <c:ptCount val="1"/>
                <c:pt idx="0">
                  <c:v>nové pouze pro podnik</c:v>
                </c:pt>
              </c:strCache>
            </c:strRef>
          </c:tx>
          <c:marker>
            <c:symbol val="none"/>
          </c:marker>
          <c:cat>
            <c:strRef>
              <c:f>pavouk_5B!$A$15:$A$28</c:f>
              <c:strCache>
                <c:ptCount val="14"/>
                <c:pt idx="0">
                  <c:v>10–12</c:v>
                </c:pt>
                <c:pt idx="1">
                  <c:v>13–15</c:v>
                </c:pt>
                <c:pt idx="2">
                  <c:v>16–18</c:v>
                </c:pt>
                <c:pt idx="3">
                  <c:v>19–20</c:v>
                </c:pt>
                <c:pt idx="4">
                  <c:v>21</c:v>
                </c:pt>
                <c:pt idx="5">
                  <c:v>22</c:v>
                </c:pt>
                <c:pt idx="6">
                  <c:v>23</c:v>
                </c:pt>
                <c:pt idx="7">
                  <c:v>24–25</c:v>
                </c:pt>
                <c:pt idx="8">
                  <c:v>26</c:v>
                </c:pt>
                <c:pt idx="9">
                  <c:v>27</c:v>
                </c:pt>
                <c:pt idx="10">
                  <c:v>28</c:v>
                </c:pt>
                <c:pt idx="11">
                  <c:v>29</c:v>
                </c:pt>
                <c:pt idx="12">
                  <c:v>30</c:v>
                </c:pt>
                <c:pt idx="13">
                  <c:v>31–33</c:v>
                </c:pt>
              </c:strCache>
            </c:strRef>
          </c:cat>
          <c:val>
            <c:numRef>
              <c:f>pavouk_5B!$H$15:$H$28</c:f>
              <c:numCache>
                <c:formatCode>General</c:formatCode>
                <c:ptCount val="14"/>
                <c:pt idx="0">
                  <c:v>0.10039219720253933</c:v>
                </c:pt>
                <c:pt idx="1">
                  <c:v>0.17486806821696543</c:v>
                </c:pt>
                <c:pt idx="2">
                  <c:v>0.16150054355002402</c:v>
                </c:pt>
                <c:pt idx="3">
                  <c:v>5.7177038779001682E-2</c:v>
                </c:pt>
                <c:pt idx="4">
                  <c:v>8.8172120459880904E-2</c:v>
                </c:pt>
                <c:pt idx="5">
                  <c:v>0.14198753037610634</c:v>
                </c:pt>
                <c:pt idx="6">
                  <c:v>0.12444455567713643</c:v>
                </c:pt>
                <c:pt idx="7">
                  <c:v>0.17871119495474927</c:v>
                </c:pt>
                <c:pt idx="8">
                  <c:v>8.4271170680807236E-2</c:v>
                </c:pt>
                <c:pt idx="9">
                  <c:v>0.20213880761502404</c:v>
                </c:pt>
                <c:pt idx="10">
                  <c:v>0.17923059958162221</c:v>
                </c:pt>
                <c:pt idx="11">
                  <c:v>0.17800751155394437</c:v>
                </c:pt>
                <c:pt idx="12">
                  <c:v>0.15962119432897201</c:v>
                </c:pt>
                <c:pt idx="13">
                  <c:v>0.11529085868011837</c:v>
                </c:pt>
              </c:numCache>
            </c:numRef>
          </c:val>
        </c:ser>
        <c:ser>
          <c:idx val="2"/>
          <c:order val="2"/>
          <c:tx>
            <c:strRef>
              <c:f>pavouk_5B!$J$4</c:f>
              <c:strCache>
                <c:ptCount val="1"/>
                <c:pt idx="0">
                  <c:v>nezměněné nebo málo modifikované</c:v>
                </c:pt>
              </c:strCache>
            </c:strRef>
          </c:tx>
          <c:marker>
            <c:symbol val="none"/>
          </c:marker>
          <c:cat>
            <c:strRef>
              <c:f>pavouk_5B!$A$15:$A$28</c:f>
              <c:strCache>
                <c:ptCount val="14"/>
                <c:pt idx="0">
                  <c:v>10–12</c:v>
                </c:pt>
                <c:pt idx="1">
                  <c:v>13–15</c:v>
                </c:pt>
                <c:pt idx="2">
                  <c:v>16–18</c:v>
                </c:pt>
                <c:pt idx="3">
                  <c:v>19–20</c:v>
                </c:pt>
                <c:pt idx="4">
                  <c:v>21</c:v>
                </c:pt>
                <c:pt idx="5">
                  <c:v>22</c:v>
                </c:pt>
                <c:pt idx="6">
                  <c:v>23</c:v>
                </c:pt>
                <c:pt idx="7">
                  <c:v>24–25</c:v>
                </c:pt>
                <c:pt idx="8">
                  <c:v>26</c:v>
                </c:pt>
                <c:pt idx="9">
                  <c:v>27</c:v>
                </c:pt>
                <c:pt idx="10">
                  <c:v>28</c:v>
                </c:pt>
                <c:pt idx="11">
                  <c:v>29</c:v>
                </c:pt>
                <c:pt idx="12">
                  <c:v>30</c:v>
                </c:pt>
                <c:pt idx="13">
                  <c:v>31–33</c:v>
                </c:pt>
              </c:strCache>
            </c:strRef>
          </c:cat>
          <c:val>
            <c:numRef>
              <c:f>pavouk_5B!$J$15:$J$28</c:f>
              <c:numCache>
                <c:formatCode>General</c:formatCode>
                <c:ptCount val="14"/>
                <c:pt idx="0">
                  <c:v>0.84434486022789512</c:v>
                </c:pt>
                <c:pt idx="1">
                  <c:v>0.71436729450757053</c:v>
                </c:pt>
                <c:pt idx="2">
                  <c:v>0.80836425885086505</c:v>
                </c:pt>
                <c:pt idx="3">
                  <c:v>0.9007934872957043</c:v>
                </c:pt>
                <c:pt idx="4">
                  <c:v>0.87013910673595263</c:v>
                </c:pt>
                <c:pt idx="5">
                  <c:v>0.73925724878902588</c:v>
                </c:pt>
                <c:pt idx="6">
                  <c:v>0.7571308866876898</c:v>
                </c:pt>
                <c:pt idx="7">
                  <c:v>0.68022710682769716</c:v>
                </c:pt>
                <c:pt idx="8">
                  <c:v>0.47719977236379746</c:v>
                </c:pt>
                <c:pt idx="9">
                  <c:v>0.73073149712773555</c:v>
                </c:pt>
                <c:pt idx="10">
                  <c:v>0.69533693623309034</c:v>
                </c:pt>
                <c:pt idx="11">
                  <c:v>0.49582560500438017</c:v>
                </c:pt>
                <c:pt idx="12">
                  <c:v>0.68535881903903195</c:v>
                </c:pt>
                <c:pt idx="13">
                  <c:v>0.78964854415855146</c:v>
                </c:pt>
              </c:numCache>
            </c:numRef>
          </c:val>
        </c:ser>
        <c:dLbls>
          <c:showLegendKey val="0"/>
          <c:showVal val="0"/>
          <c:showCatName val="0"/>
          <c:showSerName val="0"/>
          <c:showPercent val="0"/>
          <c:showBubbleSize val="0"/>
        </c:dLbls>
        <c:axId val="153639168"/>
        <c:axId val="153653248"/>
      </c:radarChart>
      <c:catAx>
        <c:axId val="153639168"/>
        <c:scaling>
          <c:orientation val="minMax"/>
        </c:scaling>
        <c:delete val="0"/>
        <c:axPos val="b"/>
        <c:majorGridlines/>
        <c:majorTickMark val="out"/>
        <c:minorTickMark val="none"/>
        <c:tickLblPos val="nextTo"/>
        <c:crossAx val="153653248"/>
        <c:crosses val="autoZero"/>
        <c:auto val="1"/>
        <c:lblAlgn val="ctr"/>
        <c:lblOffset val="100"/>
        <c:noMultiLvlLbl val="0"/>
      </c:catAx>
      <c:valAx>
        <c:axId val="153653248"/>
        <c:scaling>
          <c:orientation val="minMax"/>
        </c:scaling>
        <c:delete val="0"/>
        <c:axPos val="l"/>
        <c:numFmt formatCode="0%" sourceLinked="0"/>
        <c:majorTickMark val="cross"/>
        <c:minorTickMark val="none"/>
        <c:tickLblPos val="nextTo"/>
        <c:crossAx val="153639168"/>
        <c:crosses val="autoZero"/>
        <c:crossBetween val="between"/>
      </c:valAx>
    </c:plotArea>
    <c:legend>
      <c:legendPos val="b"/>
      <c:layout>
        <c:manualLayout>
          <c:xMode val="edge"/>
          <c:yMode val="edge"/>
          <c:x val="3.9482537992359505E-2"/>
          <c:y val="0.90218253577838359"/>
          <c:w val="0.93052465416911856"/>
          <c:h val="7.8088736812562592E-2"/>
        </c:manualLayout>
      </c:layout>
      <c:overlay val="0"/>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0"/>
          <c:w val="0.93888888888888888"/>
          <c:h val="0.85026975794692328"/>
        </c:manualLayout>
      </c:layout>
      <c:barChart>
        <c:barDir val="col"/>
        <c:grouping val="stacked"/>
        <c:varyColors val="0"/>
        <c:ser>
          <c:idx val="0"/>
          <c:order val="0"/>
          <c:tx>
            <c:strRef>
              <c:f>'List1 (2)'!$A$17</c:f>
              <c:strCache>
                <c:ptCount val="1"/>
                <c:pt idx="0">
                  <c:v>Přírodní vědy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'List1 (2)'!$B$17</c:f>
              <c:numCache>
                <c:formatCode>General</c:formatCode>
                <c:ptCount val="1"/>
              </c:numCache>
            </c:numRef>
          </c:val>
        </c:ser>
        <c:ser>
          <c:idx val="1"/>
          <c:order val="1"/>
          <c:tx>
            <c:strRef>
              <c:f>'List1 (2)'!$A$18</c:f>
              <c:strCache>
                <c:ptCount val="1"/>
                <c:pt idx="0">
                  <c:v>O Zemi</c:v>
                </c:pt>
              </c:strCache>
            </c:strRef>
          </c:tx>
          <c:spPr>
            <a:solidFill>
              <a:srgbClr val="92D050"/>
            </a:solidFill>
            <a:ln>
              <a:solidFill>
                <a:schemeClr val="bg1">
                  <a:lumMod val="75000"/>
                </a:schemeClr>
              </a:solidFill>
            </a:ln>
            <a:effectLst/>
          </c:spPr>
          <c:invertIfNegative val="0"/>
          <c:dLbls>
            <c:delete val="1"/>
          </c:dLbls>
          <c:val>
            <c:numRef>
              <c:f>'List1 (2)'!$B$18</c:f>
              <c:numCache>
                <c:formatCode>0.00%</c:formatCode>
                <c:ptCount val="1"/>
                <c:pt idx="0">
                  <c:v>5.0599999999999999E-2</c:v>
                </c:pt>
              </c:numCache>
            </c:numRef>
          </c:val>
        </c:ser>
        <c:ser>
          <c:idx val="2"/>
          <c:order val="2"/>
          <c:tx>
            <c:strRef>
              <c:f>'List1 (2)'!$A$19</c:f>
              <c:strCache>
                <c:ptCount val="1"/>
                <c:pt idx="0">
                  <c:v>Mat  a Informatika</c:v>
                </c:pt>
              </c:strCache>
            </c:strRef>
          </c:tx>
          <c:spPr>
            <a:solidFill>
              <a:srgbClr val="92D050"/>
            </a:solidFill>
            <a:ln>
              <a:solidFill>
                <a:schemeClr val="bg1">
                  <a:lumMod val="75000"/>
                </a:schemeClr>
              </a:solidFill>
            </a:ln>
            <a:effectLst/>
          </c:spPr>
          <c:invertIfNegative val="0"/>
          <c:dLbls>
            <c:delete val="1"/>
          </c:dLbls>
          <c:val>
            <c:numRef>
              <c:f>'List1 (2)'!$B$19</c:f>
              <c:numCache>
                <c:formatCode>0.00%</c:formatCode>
                <c:ptCount val="1"/>
                <c:pt idx="0">
                  <c:v>5.16E-2</c:v>
                </c:pt>
              </c:numCache>
            </c:numRef>
          </c:val>
        </c:ser>
        <c:ser>
          <c:idx val="3"/>
          <c:order val="3"/>
          <c:tx>
            <c:strRef>
              <c:f>'List1 (2)'!$A$20</c:f>
              <c:strCache>
                <c:ptCount val="1"/>
                <c:pt idx="0">
                  <c:v>Fyzika</c:v>
                </c:pt>
              </c:strCache>
            </c:strRef>
          </c:tx>
          <c:spPr>
            <a:solidFill>
              <a:srgbClr val="92D050"/>
            </a:solidFill>
            <a:ln>
              <a:solidFill>
                <a:schemeClr val="bg1">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val>
            <c:numRef>
              <c:f>'List1 (2)'!$B$20</c:f>
              <c:numCache>
                <c:formatCode>0.00%</c:formatCode>
                <c:ptCount val="1"/>
                <c:pt idx="0">
                  <c:v>0.15079999999999999</c:v>
                </c:pt>
              </c:numCache>
            </c:numRef>
          </c:val>
        </c:ser>
        <c:ser>
          <c:idx val="4"/>
          <c:order val="4"/>
          <c:tx>
            <c:strRef>
              <c:f>'List1 (2)'!$A$21</c:f>
              <c:strCache>
                <c:ptCount val="1"/>
                <c:pt idx="0">
                  <c:v>Chemic</c:v>
                </c:pt>
              </c:strCache>
            </c:strRef>
          </c:tx>
          <c:spPr>
            <a:solidFill>
              <a:srgbClr val="92D050"/>
            </a:solidFill>
            <a:ln>
              <a:solidFill>
                <a:schemeClr val="bg1">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val>
            <c:numRef>
              <c:f>'List1 (2)'!$B$21</c:f>
              <c:numCache>
                <c:formatCode>0.00%</c:formatCode>
                <c:ptCount val="1"/>
                <c:pt idx="0">
                  <c:v>0.158</c:v>
                </c:pt>
              </c:numCache>
            </c:numRef>
          </c:val>
        </c:ser>
        <c:ser>
          <c:idx val="5"/>
          <c:order val="5"/>
          <c:tx>
            <c:strRef>
              <c:f>'List1 (2)'!$A$22</c:f>
              <c:strCache>
                <c:ptCount val="1"/>
                <c:pt idx="0">
                  <c:v>Biolog</c:v>
                </c:pt>
              </c:strCache>
            </c:strRef>
          </c:tx>
          <c:spPr>
            <a:solidFill>
              <a:srgbClr val="92D050"/>
            </a:solidFill>
            <a:ln>
              <a:solidFill>
                <a:schemeClr val="bg1">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val>
            <c:numRef>
              <c:f>'List1 (2)'!$B$22</c:f>
              <c:numCache>
                <c:formatCode>0.00%</c:formatCode>
                <c:ptCount val="1"/>
                <c:pt idx="0">
                  <c:v>0.12</c:v>
                </c:pt>
              </c:numCache>
            </c:numRef>
          </c:val>
        </c:ser>
        <c:dLbls>
          <c:dLblPos val="ctr"/>
          <c:showLegendKey val="0"/>
          <c:showVal val="1"/>
          <c:showCatName val="0"/>
          <c:showSerName val="0"/>
          <c:showPercent val="0"/>
          <c:showBubbleSize val="0"/>
        </c:dLbls>
        <c:gapWidth val="500"/>
        <c:overlap val="100"/>
        <c:axId val="43704704"/>
        <c:axId val="43706240"/>
      </c:barChart>
      <c:catAx>
        <c:axId val="43704704"/>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43706240"/>
        <c:crosses val="autoZero"/>
        <c:auto val="1"/>
        <c:lblAlgn val="ctr"/>
        <c:lblOffset val="100"/>
        <c:noMultiLvlLbl val="0"/>
      </c:catAx>
      <c:valAx>
        <c:axId val="43706240"/>
        <c:scaling>
          <c:orientation val="minMax"/>
        </c:scaling>
        <c:delete val="1"/>
        <c:axPos val="l"/>
        <c:numFmt formatCode="General" sourceLinked="1"/>
        <c:majorTickMark val="none"/>
        <c:minorTickMark val="none"/>
        <c:tickLblPos val="nextTo"/>
        <c:crossAx val="43704704"/>
        <c:crosses val="autoZero"/>
        <c:crossBetween val="between"/>
      </c:valAx>
      <c:spPr>
        <a:noFill/>
        <a:ln>
          <a:solidFill>
            <a:schemeClr val="bg1"/>
          </a:solidFill>
        </a:ln>
        <a:effectLst/>
      </c:spPr>
    </c:plotArea>
    <c:plotVisOnly val="1"/>
    <c:dispBlanksAs val="gap"/>
    <c:showDLblsOverMax val="0"/>
  </c:chart>
  <c:spPr>
    <a:noFill/>
    <a:ln w="9525" cap="flat" cmpd="sng" algn="ctr">
      <a:noFill/>
      <a:round/>
    </a:ln>
    <a:effectLst/>
  </c:spPr>
  <c:txPr>
    <a:bodyPr/>
    <a:lstStyle/>
    <a:p>
      <a:pPr>
        <a:defRPr/>
      </a:pPr>
      <a:endParaRPr lang="cs-CZ"/>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Pt>
            <c:idx val="0"/>
            <c:invertIfNegative val="0"/>
            <c:bubble3D val="0"/>
            <c:spPr>
              <a:noFill/>
              <a:ln>
                <a:noFill/>
              </a:ln>
              <a:effectLst>
                <a:outerShdw blurRad="76200" dir="18900000" sy="23000" kx="-1200000" algn="bl" rotWithShape="0">
                  <a:prstClr val="black">
                    <a:alpha val="20000"/>
                  </a:prstClr>
                </a:outerShdw>
              </a:effectLst>
            </c:spPr>
          </c:dPt>
          <c:dPt>
            <c:idx val="1"/>
            <c:invertIfNegative val="0"/>
            <c:bubble3D val="0"/>
            <c:spPr>
              <a:solidFill>
                <a:srgbClr val="7030A0"/>
              </a:solidFill>
              <a:ln>
                <a:noFill/>
              </a:ln>
              <a:effectLst>
                <a:outerShdw blurRad="76200" dir="18900000" sy="23000" kx="-1200000" algn="bl" rotWithShape="0">
                  <a:prstClr val="black">
                    <a:alpha val="20000"/>
                  </a:prstClr>
                </a:outerShdw>
              </a:effectLst>
            </c:spPr>
          </c:dPt>
          <c:dPt>
            <c:idx val="2"/>
            <c:invertIfNegative val="0"/>
            <c:bubble3D val="0"/>
            <c:spPr>
              <a:solidFill>
                <a:srgbClr val="00B0F0"/>
              </a:solidFill>
              <a:ln>
                <a:noFill/>
              </a:ln>
              <a:effectLst>
                <a:outerShdw blurRad="76200" dir="18900000" sy="23000" kx="-1200000" algn="bl" rotWithShape="0">
                  <a:prstClr val="black">
                    <a:alpha val="20000"/>
                  </a:prstClr>
                </a:outerShdw>
              </a:effectLst>
            </c:spPr>
          </c:dPt>
          <c:dPt>
            <c:idx val="3"/>
            <c:invertIfNegative val="0"/>
            <c:bubble3D val="0"/>
            <c:spPr>
              <a:solidFill>
                <a:srgbClr val="00B050"/>
              </a:solidFill>
              <a:ln>
                <a:noFill/>
              </a:ln>
              <a:effectLst>
                <a:outerShdw blurRad="76200" dir="18900000" sy="23000" kx="-1200000" algn="bl" rotWithShape="0">
                  <a:prstClr val="black">
                    <a:alpha val="20000"/>
                  </a:prstClr>
                </a:outerShdw>
              </a:effectLst>
            </c:spPr>
          </c:dPt>
          <c:dPt>
            <c:idx val="4"/>
            <c:invertIfNegative val="0"/>
            <c:bubble3D val="0"/>
            <c:spPr>
              <a:solidFill>
                <a:srgbClr val="FFFF00"/>
              </a:solidFill>
              <a:ln>
                <a:noFill/>
              </a:ln>
              <a:effectLst>
                <a:outerShdw blurRad="76200" dir="18900000" sy="23000" kx="-1200000" algn="bl" rotWithShape="0">
                  <a:prstClr val="black">
                    <a:alpha val="20000"/>
                  </a:prstClr>
                </a:outerShdw>
              </a:effectLst>
            </c:spPr>
          </c:dPt>
          <c:dPt>
            <c:idx val="5"/>
            <c:invertIfNegative val="0"/>
            <c:bubble3D val="0"/>
            <c:spPr>
              <a:solidFill>
                <a:srgbClr val="FF0000"/>
              </a:solidFill>
              <a:ln>
                <a:noFill/>
              </a:ln>
              <a:effectLst>
                <a:outerShdw blurRad="76200" dir="18900000" sy="23000" kx="-1200000" algn="bl" rotWithShape="0">
                  <a:prstClr val="black">
                    <a:alpha val="20000"/>
                  </a:prstClr>
                </a:outerShdw>
              </a:effectLst>
            </c:spPr>
          </c:dPt>
          <c:dLbls>
            <c:dLbl>
              <c:idx val="0"/>
              <c:delete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'List1 (2)'!$G$5:$G$10</c:f>
              <c:strCache>
                <c:ptCount val="6"/>
                <c:pt idx="0">
                  <c:v>1. Natural Sciences</c:v>
                </c:pt>
                <c:pt idx="1">
                  <c:v>2. Engineering  and Technology </c:v>
                </c:pt>
                <c:pt idx="2">
                  <c:v>3. Medical and Health sciences </c:v>
                </c:pt>
                <c:pt idx="3">
                  <c:v>4. Agricultural Sciences </c:v>
                </c:pt>
                <c:pt idx="4">
                  <c:v>5. Social Sciences </c:v>
                </c:pt>
                <c:pt idx="5">
                  <c:v>6. Humanities </c:v>
                </c:pt>
              </c:strCache>
            </c:strRef>
          </c:cat>
          <c:val>
            <c:numRef>
              <c:f>'List1 (2)'!$H$5:$H$10</c:f>
              <c:numCache>
                <c:formatCode>0.00%</c:formatCode>
                <c:ptCount val="6"/>
                <c:pt idx="0">
                  <c:v>0.53100000000000003</c:v>
                </c:pt>
                <c:pt idx="1">
                  <c:v>0.156</c:v>
                </c:pt>
                <c:pt idx="2">
                  <c:v>0.1074</c:v>
                </c:pt>
                <c:pt idx="3">
                  <c:v>4.9599999999999998E-2</c:v>
                </c:pt>
                <c:pt idx="4">
                  <c:v>7.85E-2</c:v>
                </c:pt>
                <c:pt idx="5">
                  <c:v>7.7499999999999999E-2</c:v>
                </c:pt>
              </c:numCache>
            </c:numRef>
          </c:val>
        </c:ser>
        <c:dLbls>
          <c:dLblPos val="inEnd"/>
          <c:showLegendKey val="0"/>
          <c:showVal val="1"/>
          <c:showCatName val="0"/>
          <c:showSerName val="0"/>
          <c:showPercent val="0"/>
          <c:showBubbleSize val="0"/>
        </c:dLbls>
        <c:gapWidth val="41"/>
        <c:axId val="46195840"/>
        <c:axId val="46201088"/>
      </c:barChart>
      <c:catAx>
        <c:axId val="461958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cs-CZ"/>
          </a:p>
        </c:txPr>
        <c:crossAx val="46201088"/>
        <c:crosses val="autoZero"/>
        <c:auto val="1"/>
        <c:lblAlgn val="ctr"/>
        <c:lblOffset val="100"/>
        <c:noMultiLvlLbl val="0"/>
      </c:catAx>
      <c:valAx>
        <c:axId val="46201088"/>
        <c:scaling>
          <c:orientation val="minMax"/>
        </c:scaling>
        <c:delete val="1"/>
        <c:axPos val="l"/>
        <c:numFmt formatCode="0.00%" sourceLinked="1"/>
        <c:majorTickMark val="none"/>
        <c:minorTickMark val="none"/>
        <c:tickLblPos val="nextTo"/>
        <c:crossAx val="46195840"/>
        <c:crosses val="autoZero"/>
        <c:crossBetween val="between"/>
      </c:valAx>
      <c:spPr>
        <a:noFill/>
        <a:ln w="25400">
          <a:noFill/>
        </a:ln>
        <a:effectLst/>
      </c:spPr>
    </c:plotArea>
    <c:plotVisOnly val="1"/>
    <c:dispBlanksAs val="gap"/>
    <c:showDLblsOverMax val="0"/>
  </c:chart>
  <c:spPr>
    <a:noFill/>
    <a:ln w="9525" cap="flat" cmpd="sng" algn="ctr">
      <a:noFill/>
      <a:round/>
    </a:ln>
    <a:effectLst/>
  </c:spPr>
  <c:txPr>
    <a:bodyPr/>
    <a:lstStyle/>
    <a:p>
      <a:pPr>
        <a:defRPr/>
      </a:pPr>
      <a:endParaRPr lang="cs-CZ"/>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1145018355959096E-2"/>
          <c:y val="1.7719178679148503E-2"/>
          <c:w val="0.93812259221371519"/>
          <c:h val="0.90969756978526839"/>
        </c:manualLayout>
      </c:layout>
      <c:barChart>
        <c:barDir val="col"/>
        <c:grouping val="clustered"/>
        <c:varyColors val="0"/>
        <c:ser>
          <c:idx val="0"/>
          <c:order val="0"/>
          <c:tx>
            <c:strRef>
              <c:f>GERD_graf!$V$5</c:f>
              <c:strCache>
                <c:ptCount val="1"/>
                <c:pt idx="0">
                  <c:v>2009</c:v>
                </c:pt>
              </c:strCache>
            </c:strRef>
          </c:tx>
          <c:spPr>
            <a:solidFill>
              <a:schemeClr val="accent3">
                <a:lumMod val="60000"/>
                <a:lumOff val="40000"/>
              </a:schemeClr>
            </a:solidFill>
          </c:spPr>
          <c:invertIfNegative val="0"/>
          <c:cat>
            <c:strRef>
              <c:f>GERD_graf!$A$6:$A$40</c:f>
              <c:strCache>
                <c:ptCount val="35"/>
                <c:pt idx="0">
                  <c:v>KOR</c:v>
                </c:pt>
                <c:pt idx="1">
                  <c:v>JPN</c:v>
                </c:pt>
                <c:pt idx="2">
                  <c:v>FIN</c:v>
                </c:pt>
                <c:pt idx="3">
                  <c:v>SWE</c:v>
                </c:pt>
                <c:pt idx="4">
                  <c:v>DNK</c:v>
                </c:pt>
                <c:pt idx="5">
                  <c:v>AUT</c:v>
                </c:pt>
                <c:pt idx="6">
                  <c:v>CHE</c:v>
                </c:pt>
                <c:pt idx="7">
                  <c:v>DEU</c:v>
                </c:pt>
                <c:pt idx="8">
                  <c:v>USA</c:v>
                </c:pt>
                <c:pt idx="9">
                  <c:v>BEL</c:v>
                </c:pt>
                <c:pt idx="10">
                  <c:v>SVN</c:v>
                </c:pt>
                <c:pt idx="11">
                  <c:v>FRA</c:v>
                </c:pt>
                <c:pt idx="12">
                  <c:v>EU28</c:v>
                </c:pt>
                <c:pt idx="13">
                  <c:v>CZE</c:v>
                </c:pt>
                <c:pt idx="14">
                  <c:v>NLD</c:v>
                </c:pt>
                <c:pt idx="15">
                  <c:v>GBR</c:v>
                </c:pt>
                <c:pt idx="16">
                  <c:v>NOR</c:v>
                </c:pt>
                <c:pt idx="17">
                  <c:v>IRL</c:v>
                </c:pt>
                <c:pt idx="18">
                  <c:v>EST</c:v>
                </c:pt>
                <c:pt idx="19">
                  <c:v>HUN</c:v>
                </c:pt>
                <c:pt idx="20">
                  <c:v>PRT</c:v>
                </c:pt>
                <c:pt idx="21">
                  <c:v>ITA</c:v>
                </c:pt>
                <c:pt idx="22">
                  <c:v>LUX</c:v>
                </c:pt>
                <c:pt idx="23">
                  <c:v>ESP</c:v>
                </c:pt>
                <c:pt idx="24">
                  <c:v>RUS</c:v>
                </c:pt>
                <c:pt idx="25">
                  <c:v>LTU</c:v>
                </c:pt>
                <c:pt idx="26">
                  <c:v>POL</c:v>
                </c:pt>
                <c:pt idx="27">
                  <c:v>SVK</c:v>
                </c:pt>
                <c:pt idx="28">
                  <c:v>MLT</c:v>
                </c:pt>
                <c:pt idx="29">
                  <c:v>GRC</c:v>
                </c:pt>
                <c:pt idx="30">
                  <c:v>BGR</c:v>
                </c:pt>
                <c:pt idx="31">
                  <c:v>HRV</c:v>
                </c:pt>
                <c:pt idx="32">
                  <c:v>LVA</c:v>
                </c:pt>
                <c:pt idx="33">
                  <c:v>CYP</c:v>
                </c:pt>
                <c:pt idx="34">
                  <c:v>ROM</c:v>
                </c:pt>
              </c:strCache>
            </c:strRef>
          </c:cat>
          <c:val>
            <c:numRef>
              <c:f>GERD_graf!$V$6:$V$40</c:f>
              <c:numCache>
                <c:formatCode>#,##0.00</c:formatCode>
                <c:ptCount val="35"/>
                <c:pt idx="0">
                  <c:v>3.56</c:v>
                </c:pt>
                <c:pt idx="1">
                  <c:v>3.36</c:v>
                </c:pt>
                <c:pt idx="2">
                  <c:v>3.75</c:v>
                </c:pt>
                <c:pt idx="3">
                  <c:v>3.42</c:v>
                </c:pt>
                <c:pt idx="4">
                  <c:v>3.07</c:v>
                </c:pt>
                <c:pt idx="5">
                  <c:v>2.61</c:v>
                </c:pt>
                <c:pt idx="6">
                  <c:v>2.73</c:v>
                </c:pt>
                <c:pt idx="7">
                  <c:v>2.73</c:v>
                </c:pt>
                <c:pt idx="8">
                  <c:v>2.82</c:v>
                </c:pt>
                <c:pt idx="9">
                  <c:v>1.97</c:v>
                </c:pt>
                <c:pt idx="10">
                  <c:v>1.82</c:v>
                </c:pt>
                <c:pt idx="11">
                  <c:v>2.21</c:v>
                </c:pt>
                <c:pt idx="12">
                  <c:v>1.94</c:v>
                </c:pt>
                <c:pt idx="13">
                  <c:v>1.3</c:v>
                </c:pt>
                <c:pt idx="14">
                  <c:v>1.69</c:v>
                </c:pt>
                <c:pt idx="15">
                  <c:v>1.75</c:v>
                </c:pt>
                <c:pt idx="16">
                  <c:v>1.72</c:v>
                </c:pt>
                <c:pt idx="17">
                  <c:v>1.63</c:v>
                </c:pt>
                <c:pt idx="18">
                  <c:v>1.4</c:v>
                </c:pt>
                <c:pt idx="19">
                  <c:v>1.1399999999999999</c:v>
                </c:pt>
                <c:pt idx="20">
                  <c:v>1.58</c:v>
                </c:pt>
                <c:pt idx="21">
                  <c:v>1.22</c:v>
                </c:pt>
                <c:pt idx="22">
                  <c:v>1.72</c:v>
                </c:pt>
                <c:pt idx="23">
                  <c:v>1.35</c:v>
                </c:pt>
                <c:pt idx="24">
                  <c:v>1.25</c:v>
                </c:pt>
                <c:pt idx="25">
                  <c:v>0.83</c:v>
                </c:pt>
                <c:pt idx="26">
                  <c:v>0.67</c:v>
                </c:pt>
                <c:pt idx="27">
                  <c:v>0.47</c:v>
                </c:pt>
                <c:pt idx="28">
                  <c:v>0.52</c:v>
                </c:pt>
                <c:pt idx="29">
                  <c:v>0.63</c:v>
                </c:pt>
                <c:pt idx="30">
                  <c:v>0.51</c:v>
                </c:pt>
                <c:pt idx="31">
                  <c:v>0.84</c:v>
                </c:pt>
                <c:pt idx="32">
                  <c:v>0.45</c:v>
                </c:pt>
                <c:pt idx="33">
                  <c:v>0.45</c:v>
                </c:pt>
                <c:pt idx="34">
                  <c:v>0.46</c:v>
                </c:pt>
              </c:numCache>
            </c:numRef>
          </c:val>
        </c:ser>
        <c:ser>
          <c:idx val="1"/>
          <c:order val="1"/>
          <c:tx>
            <c:strRef>
              <c:f>GERD_graf!$AG$5</c:f>
              <c:strCache>
                <c:ptCount val="1"/>
                <c:pt idx="0">
                  <c:v>2014</c:v>
                </c:pt>
              </c:strCache>
            </c:strRef>
          </c:tx>
          <c:spPr>
            <a:solidFill>
              <a:schemeClr val="accent4">
                <a:lumMod val="75000"/>
              </a:schemeClr>
            </a:solidFill>
          </c:spPr>
          <c:invertIfNegative val="0"/>
          <c:cat>
            <c:strRef>
              <c:f>GERD_graf!$A$6:$A$40</c:f>
              <c:strCache>
                <c:ptCount val="35"/>
                <c:pt idx="0">
                  <c:v>KOR</c:v>
                </c:pt>
                <c:pt idx="1">
                  <c:v>JPN</c:v>
                </c:pt>
                <c:pt idx="2">
                  <c:v>FIN</c:v>
                </c:pt>
                <c:pt idx="3">
                  <c:v>SWE</c:v>
                </c:pt>
                <c:pt idx="4">
                  <c:v>DNK</c:v>
                </c:pt>
                <c:pt idx="5">
                  <c:v>AUT</c:v>
                </c:pt>
                <c:pt idx="6">
                  <c:v>CHE</c:v>
                </c:pt>
                <c:pt idx="7">
                  <c:v>DEU</c:v>
                </c:pt>
                <c:pt idx="8">
                  <c:v>USA</c:v>
                </c:pt>
                <c:pt idx="9">
                  <c:v>BEL</c:v>
                </c:pt>
                <c:pt idx="10">
                  <c:v>SVN</c:v>
                </c:pt>
                <c:pt idx="11">
                  <c:v>FRA</c:v>
                </c:pt>
                <c:pt idx="12">
                  <c:v>EU28</c:v>
                </c:pt>
                <c:pt idx="13">
                  <c:v>CZE</c:v>
                </c:pt>
                <c:pt idx="14">
                  <c:v>NLD</c:v>
                </c:pt>
                <c:pt idx="15">
                  <c:v>GBR</c:v>
                </c:pt>
                <c:pt idx="16">
                  <c:v>NOR</c:v>
                </c:pt>
                <c:pt idx="17">
                  <c:v>IRL</c:v>
                </c:pt>
                <c:pt idx="18">
                  <c:v>EST</c:v>
                </c:pt>
                <c:pt idx="19">
                  <c:v>HUN</c:v>
                </c:pt>
                <c:pt idx="20">
                  <c:v>PRT</c:v>
                </c:pt>
                <c:pt idx="21">
                  <c:v>ITA</c:v>
                </c:pt>
                <c:pt idx="22">
                  <c:v>LUX</c:v>
                </c:pt>
                <c:pt idx="23">
                  <c:v>ESP</c:v>
                </c:pt>
                <c:pt idx="24">
                  <c:v>RUS</c:v>
                </c:pt>
                <c:pt idx="25">
                  <c:v>LTU</c:v>
                </c:pt>
                <c:pt idx="26">
                  <c:v>POL</c:v>
                </c:pt>
                <c:pt idx="27">
                  <c:v>SVK</c:v>
                </c:pt>
                <c:pt idx="28">
                  <c:v>MLT</c:v>
                </c:pt>
                <c:pt idx="29">
                  <c:v>GRC</c:v>
                </c:pt>
                <c:pt idx="30">
                  <c:v>BGR</c:v>
                </c:pt>
                <c:pt idx="31">
                  <c:v>HRV</c:v>
                </c:pt>
                <c:pt idx="32">
                  <c:v>LVA</c:v>
                </c:pt>
                <c:pt idx="33">
                  <c:v>CYP</c:v>
                </c:pt>
                <c:pt idx="34">
                  <c:v>ROM</c:v>
                </c:pt>
              </c:strCache>
            </c:strRef>
          </c:cat>
          <c:val>
            <c:numRef>
              <c:f>GERD_graf!$AG$6:$AG$40</c:f>
              <c:numCache>
                <c:formatCode>0.00</c:formatCode>
                <c:ptCount val="35"/>
                <c:pt idx="0">
                  <c:v>4.29</c:v>
                </c:pt>
                <c:pt idx="1">
                  <c:v>3.58</c:v>
                </c:pt>
                <c:pt idx="2">
                  <c:v>3.17</c:v>
                </c:pt>
                <c:pt idx="3">
                  <c:v>3.16</c:v>
                </c:pt>
                <c:pt idx="4">
                  <c:v>3.08</c:v>
                </c:pt>
                <c:pt idx="5">
                  <c:v>2.99</c:v>
                </c:pt>
                <c:pt idx="6">
                  <c:v>2.96</c:v>
                </c:pt>
                <c:pt idx="7">
                  <c:v>2.84</c:v>
                </c:pt>
                <c:pt idx="8">
                  <c:v>2.81</c:v>
                </c:pt>
                <c:pt idx="9">
                  <c:v>2.46</c:v>
                </c:pt>
                <c:pt idx="10">
                  <c:v>2.39</c:v>
                </c:pt>
                <c:pt idx="11">
                  <c:v>2.2599999999999998</c:v>
                </c:pt>
                <c:pt idx="12">
                  <c:v>2.0299999999999998</c:v>
                </c:pt>
                <c:pt idx="13">
                  <c:v>2</c:v>
                </c:pt>
                <c:pt idx="14">
                  <c:v>1.97</c:v>
                </c:pt>
                <c:pt idx="15">
                  <c:v>1.72</c:v>
                </c:pt>
                <c:pt idx="16">
                  <c:v>1.71</c:v>
                </c:pt>
                <c:pt idx="17">
                  <c:v>1.55</c:v>
                </c:pt>
                <c:pt idx="18">
                  <c:v>1.46</c:v>
                </c:pt>
                <c:pt idx="19">
                  <c:v>1.38</c:v>
                </c:pt>
                <c:pt idx="20">
                  <c:v>1.29</c:v>
                </c:pt>
                <c:pt idx="21">
                  <c:v>1.29</c:v>
                </c:pt>
                <c:pt idx="22">
                  <c:v>1.24</c:v>
                </c:pt>
                <c:pt idx="23">
                  <c:v>1.2</c:v>
                </c:pt>
                <c:pt idx="24">
                  <c:v>1.19</c:v>
                </c:pt>
                <c:pt idx="25">
                  <c:v>1.02</c:v>
                </c:pt>
                <c:pt idx="26">
                  <c:v>0.94</c:v>
                </c:pt>
                <c:pt idx="27">
                  <c:v>0.89</c:v>
                </c:pt>
                <c:pt idx="28">
                  <c:v>0.85</c:v>
                </c:pt>
                <c:pt idx="29">
                  <c:v>0.83</c:v>
                </c:pt>
                <c:pt idx="30">
                  <c:v>0.8</c:v>
                </c:pt>
                <c:pt idx="31">
                  <c:v>0.79</c:v>
                </c:pt>
                <c:pt idx="32">
                  <c:v>0.68</c:v>
                </c:pt>
                <c:pt idx="33">
                  <c:v>0.47</c:v>
                </c:pt>
                <c:pt idx="34">
                  <c:v>0.38</c:v>
                </c:pt>
              </c:numCache>
            </c:numRef>
          </c:val>
        </c:ser>
        <c:dLbls>
          <c:showLegendKey val="0"/>
          <c:showVal val="0"/>
          <c:showCatName val="0"/>
          <c:showSerName val="0"/>
          <c:showPercent val="0"/>
          <c:showBubbleSize val="0"/>
        </c:dLbls>
        <c:gapWidth val="150"/>
        <c:axId val="82297216"/>
        <c:axId val="82298752"/>
      </c:barChart>
      <c:catAx>
        <c:axId val="82297216"/>
        <c:scaling>
          <c:orientation val="minMax"/>
        </c:scaling>
        <c:delete val="0"/>
        <c:axPos val="b"/>
        <c:numFmt formatCode="0.00" sourceLinked="1"/>
        <c:majorTickMark val="out"/>
        <c:minorTickMark val="none"/>
        <c:tickLblPos val="nextTo"/>
        <c:txPr>
          <a:bodyPr rot="-2700000" vert="horz"/>
          <a:lstStyle/>
          <a:p>
            <a:pPr>
              <a:defRPr sz="700" b="0" i="0" u="none" strike="noStrike" baseline="0">
                <a:solidFill>
                  <a:srgbClr val="000000"/>
                </a:solidFill>
                <a:latin typeface="Calibri"/>
                <a:ea typeface="Calibri"/>
                <a:cs typeface="Calibri"/>
              </a:defRPr>
            </a:pPr>
            <a:endParaRPr lang="cs-CZ"/>
          </a:p>
        </c:txPr>
        <c:crossAx val="82298752"/>
        <c:crosses val="autoZero"/>
        <c:auto val="1"/>
        <c:lblAlgn val="ctr"/>
        <c:lblOffset val="100"/>
        <c:noMultiLvlLbl val="0"/>
      </c:catAx>
      <c:valAx>
        <c:axId val="82298752"/>
        <c:scaling>
          <c:orientation val="minMax"/>
          <c:max val="4.5"/>
        </c:scaling>
        <c:delete val="0"/>
        <c:axPos val="l"/>
        <c:majorGridlines/>
        <c:numFmt formatCode="#,##0.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cs-CZ"/>
          </a:p>
        </c:txPr>
        <c:crossAx val="82297216"/>
        <c:crosses val="autoZero"/>
        <c:crossBetween val="between"/>
      </c:valAx>
    </c:plotArea>
    <c:legend>
      <c:legendPos val="r"/>
      <c:layout>
        <c:manualLayout>
          <c:xMode val="edge"/>
          <c:yMode val="edge"/>
          <c:x val="0.7716907117420444"/>
          <c:y val="4.3821205766364626E-2"/>
          <c:w val="0.17243910320268016"/>
          <c:h val="7.8315809326229432E-2"/>
        </c:manualLayout>
      </c:layout>
      <c:overlay val="1"/>
      <c:txPr>
        <a:bodyPr/>
        <a:lstStyle/>
        <a:p>
          <a:pPr>
            <a:defRPr sz="920" b="0" i="0" u="none" strike="noStrike" baseline="0">
              <a:solidFill>
                <a:srgbClr val="000000"/>
              </a:solidFill>
              <a:latin typeface="Calibri"/>
              <a:ea typeface="Calibri"/>
              <a:cs typeface="Calibri"/>
            </a:defRPr>
          </a:pPr>
          <a:endParaRPr lang="cs-C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'Data_RD na obyv'!$B$8</c:f>
              <c:strCache>
                <c:ptCount val="1"/>
                <c:pt idx="0">
                  <c:v>ROM</c:v>
                </c:pt>
              </c:strCache>
            </c:strRef>
          </c:tx>
          <c:spPr>
            <a:ln w="28575">
              <a:noFill/>
            </a:ln>
          </c:spPr>
          <c:marker>
            <c:symbol val="circle"/>
            <c:size val="7"/>
          </c:marker>
          <c:dLbls>
            <c:txPr>
              <a:bodyPr/>
              <a:lstStyle/>
              <a:p>
                <a:pPr>
                  <a:defRPr sz="800" b="0" i="0" u="none" strike="noStrike" baseline="0">
                    <a:solidFill>
                      <a:srgbClr val="000000"/>
                    </a:solidFill>
                    <a:latin typeface="Calibri"/>
                    <a:ea typeface="Calibri"/>
                    <a:cs typeface="Calibri"/>
                  </a:defRPr>
                </a:pPr>
                <a:endParaRPr lang="cs-CZ"/>
              </a:p>
            </c:txPr>
            <c:dLblPos val="l"/>
            <c:showLegendKey val="0"/>
            <c:showVal val="0"/>
            <c:showCatName val="0"/>
            <c:showSerName val="1"/>
            <c:showPercent val="0"/>
            <c:showBubbleSize val="0"/>
            <c:showLeaderLines val="0"/>
          </c:dLbls>
          <c:xVal>
            <c:numRef>
              <c:f>'Data_RD na obyv'!$C$8</c:f>
              <c:numCache>
                <c:formatCode>General</c:formatCode>
                <c:ptCount val="1"/>
                <c:pt idx="0">
                  <c:v>0.38</c:v>
                </c:pt>
              </c:numCache>
            </c:numRef>
          </c:xVal>
          <c:yVal>
            <c:numRef>
              <c:f>'Data_RD na obyv'!$D$8</c:f>
              <c:numCache>
                <c:formatCode>General</c:formatCode>
                <c:ptCount val="1"/>
                <c:pt idx="0">
                  <c:v>40.9</c:v>
                </c:pt>
              </c:numCache>
            </c:numRef>
          </c:yVal>
          <c:smooth val="0"/>
        </c:ser>
        <c:ser>
          <c:idx val="1"/>
          <c:order val="1"/>
          <c:tx>
            <c:strRef>
              <c:f>'Data_RD na obyv'!$B$9</c:f>
              <c:strCache>
                <c:ptCount val="1"/>
                <c:pt idx="0">
                  <c:v>CYP</c:v>
                </c:pt>
              </c:strCache>
            </c:strRef>
          </c:tx>
          <c:spPr>
            <a:ln w="28575">
              <a:noFill/>
            </a:ln>
          </c:spPr>
          <c:marker>
            <c:symbol val="circle"/>
            <c:size val="7"/>
            <c:spPr>
              <a:solidFill>
                <a:schemeClr val="tx2"/>
              </a:solidFill>
              <a:ln>
                <a:solidFill>
                  <a:schemeClr val="accent1"/>
                </a:solidFill>
              </a:ln>
            </c:spPr>
          </c:marker>
          <c:dLbls>
            <c:dLbl>
              <c:idx val="0"/>
              <c:layout>
                <c:manualLayout>
                  <c:x val="-6.9063098531602474E-2"/>
                  <c:y val="-2.4796219041614689E-2"/>
                </c:manualLayout>
              </c:layout>
              <c:dLblPos val="r"/>
              <c:showLegendKey val="0"/>
              <c:showVal val="0"/>
              <c:showCatName val="0"/>
              <c:showSerName val="1"/>
              <c:showPercent val="0"/>
              <c:showBubbleSize val="0"/>
            </c:dLbl>
            <c:txPr>
              <a:bodyPr/>
              <a:lstStyle/>
              <a:p>
                <a:pPr>
                  <a:defRPr sz="800" b="0" i="0" u="none" strike="noStrike" baseline="0">
                    <a:solidFill>
                      <a:srgbClr val="000000"/>
                    </a:solidFill>
                    <a:latin typeface="Calibri"/>
                    <a:ea typeface="Calibri"/>
                    <a:cs typeface="Calibri"/>
                  </a:defRPr>
                </a:pPr>
                <a:endParaRPr lang="cs-CZ"/>
              </a:p>
            </c:txPr>
            <c:dLblPos val="t"/>
            <c:showLegendKey val="0"/>
            <c:showVal val="0"/>
            <c:showCatName val="0"/>
            <c:showSerName val="1"/>
            <c:showPercent val="0"/>
            <c:showBubbleSize val="0"/>
            <c:showLeaderLines val="0"/>
          </c:dLbls>
          <c:xVal>
            <c:numRef>
              <c:f>'Data_RD na obyv'!$C$9</c:f>
              <c:numCache>
                <c:formatCode>General</c:formatCode>
                <c:ptCount val="1"/>
                <c:pt idx="0">
                  <c:v>0.47</c:v>
                </c:pt>
              </c:numCache>
            </c:numRef>
          </c:xVal>
          <c:yVal>
            <c:numRef>
              <c:f>'Data_RD na obyv'!$D$9</c:f>
              <c:numCache>
                <c:formatCode>General</c:formatCode>
                <c:ptCount val="1"/>
                <c:pt idx="0">
                  <c:v>95</c:v>
                </c:pt>
              </c:numCache>
            </c:numRef>
          </c:yVal>
          <c:smooth val="0"/>
        </c:ser>
        <c:ser>
          <c:idx val="2"/>
          <c:order val="2"/>
          <c:tx>
            <c:strRef>
              <c:f>'Data_RD na obyv'!$B$10</c:f>
              <c:strCache>
                <c:ptCount val="1"/>
                <c:pt idx="0">
                  <c:v>LVA</c:v>
                </c:pt>
              </c:strCache>
            </c:strRef>
          </c:tx>
          <c:spPr>
            <a:ln w="28575">
              <a:solidFill>
                <a:schemeClr val="accent1"/>
              </a:solidFill>
            </a:ln>
          </c:spPr>
          <c:marker>
            <c:symbol val="circle"/>
            <c:size val="7"/>
            <c:spPr>
              <a:solidFill>
                <a:schemeClr val="tx2"/>
              </a:solidFill>
              <a:ln>
                <a:solidFill>
                  <a:schemeClr val="accent1"/>
                </a:solidFill>
              </a:ln>
            </c:spPr>
          </c:marker>
          <c:dLbls>
            <c:dLbl>
              <c:idx val="0"/>
              <c:layout>
                <c:manualLayout>
                  <c:x val="-4.9026033907923691E-2"/>
                  <c:y val="2.0176081056307485E-2"/>
                </c:manualLayout>
              </c:layout>
              <c:dLblPos val="r"/>
              <c:showLegendKey val="0"/>
              <c:showVal val="0"/>
              <c:showCatName val="0"/>
              <c:showSerName val="1"/>
              <c:showPercent val="0"/>
              <c:showBubbleSize val="0"/>
            </c:dLbl>
            <c:txPr>
              <a:bodyPr/>
              <a:lstStyle/>
              <a:p>
                <a:pPr>
                  <a:defRPr sz="800" b="0" i="0" u="none" strike="noStrike" baseline="0">
                    <a:solidFill>
                      <a:srgbClr val="000000"/>
                    </a:solidFill>
                    <a:latin typeface="Calibri"/>
                    <a:ea typeface="Calibri"/>
                    <a:cs typeface="Calibri"/>
                  </a:defRPr>
                </a:pPr>
                <a:endParaRPr lang="cs-CZ"/>
              </a:p>
            </c:txPr>
            <c:dLblPos val="b"/>
            <c:showLegendKey val="0"/>
            <c:showVal val="0"/>
            <c:showCatName val="0"/>
            <c:showSerName val="1"/>
            <c:showPercent val="0"/>
            <c:showBubbleSize val="0"/>
            <c:showLeaderLines val="0"/>
          </c:dLbls>
          <c:xVal>
            <c:numRef>
              <c:f>'Data_RD na obyv'!$C$10</c:f>
              <c:numCache>
                <c:formatCode>General</c:formatCode>
                <c:ptCount val="1"/>
                <c:pt idx="0">
                  <c:v>0.68</c:v>
                </c:pt>
              </c:numCache>
            </c:numRef>
          </c:xVal>
          <c:yVal>
            <c:numRef>
              <c:f>'Data_RD na obyv'!$D$10</c:f>
              <c:numCache>
                <c:formatCode>General</c:formatCode>
                <c:ptCount val="1"/>
                <c:pt idx="0">
                  <c:v>104</c:v>
                </c:pt>
              </c:numCache>
            </c:numRef>
          </c:yVal>
          <c:smooth val="0"/>
        </c:ser>
        <c:ser>
          <c:idx val="3"/>
          <c:order val="3"/>
          <c:tx>
            <c:strRef>
              <c:f>'Data_RD na obyv'!$B$11</c:f>
              <c:strCache>
                <c:ptCount val="1"/>
                <c:pt idx="0">
                  <c:v>BGR</c:v>
                </c:pt>
              </c:strCache>
            </c:strRef>
          </c:tx>
          <c:spPr>
            <a:ln w="28575">
              <a:noFill/>
            </a:ln>
          </c:spPr>
          <c:marker>
            <c:symbol val="circle"/>
            <c:size val="7"/>
            <c:spPr>
              <a:solidFill>
                <a:schemeClr val="tx2"/>
              </a:solidFill>
              <a:ln>
                <a:solidFill>
                  <a:schemeClr val="accent1"/>
                </a:solidFill>
              </a:ln>
            </c:spPr>
          </c:marker>
          <c:dLbls>
            <c:dLbl>
              <c:idx val="0"/>
              <c:layout>
                <c:manualLayout>
                  <c:x val="-3.0112612612612614E-2"/>
                  <c:y val="2.2447517740009925E-2"/>
                </c:manualLayout>
              </c:layout>
              <c:dLblPos val="r"/>
              <c:showLegendKey val="0"/>
              <c:showVal val="0"/>
              <c:showCatName val="0"/>
              <c:showSerName val="1"/>
              <c:showPercent val="0"/>
              <c:showBubbleSize val="0"/>
            </c:dLbl>
            <c:txPr>
              <a:bodyPr/>
              <a:lstStyle/>
              <a:p>
                <a:pPr>
                  <a:defRPr sz="800" b="0" i="0" u="none" strike="noStrike" baseline="0">
                    <a:solidFill>
                      <a:srgbClr val="000000"/>
                    </a:solidFill>
                    <a:latin typeface="Calibri"/>
                    <a:ea typeface="Calibri"/>
                    <a:cs typeface="Calibri"/>
                  </a:defRPr>
                </a:pPr>
                <a:endParaRPr lang="cs-CZ"/>
              </a:p>
            </c:txPr>
            <c:dLblPos val="b"/>
            <c:showLegendKey val="0"/>
            <c:showVal val="0"/>
            <c:showCatName val="0"/>
            <c:showSerName val="1"/>
            <c:showPercent val="0"/>
            <c:showBubbleSize val="0"/>
            <c:showLeaderLines val="0"/>
          </c:dLbls>
          <c:xVal>
            <c:numRef>
              <c:f>'Data_RD na obyv'!$C$11</c:f>
              <c:numCache>
                <c:formatCode>General</c:formatCode>
                <c:ptCount val="1"/>
                <c:pt idx="0">
                  <c:v>0.8</c:v>
                </c:pt>
              </c:numCache>
            </c:numRef>
          </c:xVal>
          <c:yVal>
            <c:numRef>
              <c:f>'Data_RD na obyv'!$D$11</c:f>
              <c:numCache>
                <c:formatCode>General</c:formatCode>
                <c:ptCount val="1"/>
                <c:pt idx="0">
                  <c:v>86.1</c:v>
                </c:pt>
              </c:numCache>
            </c:numRef>
          </c:yVal>
          <c:smooth val="0"/>
        </c:ser>
        <c:ser>
          <c:idx val="4"/>
          <c:order val="4"/>
          <c:tx>
            <c:strRef>
              <c:f>'Data_RD na obyv'!$B$12</c:f>
              <c:strCache>
                <c:ptCount val="1"/>
                <c:pt idx="0">
                  <c:v>GRC</c:v>
                </c:pt>
              </c:strCache>
            </c:strRef>
          </c:tx>
          <c:spPr>
            <a:ln w="28575">
              <a:noFill/>
            </a:ln>
          </c:spPr>
          <c:marker>
            <c:symbol val="circle"/>
            <c:size val="7"/>
            <c:spPr>
              <a:solidFill>
                <a:schemeClr val="tx2"/>
              </a:solidFill>
              <a:ln>
                <a:solidFill>
                  <a:schemeClr val="accent1"/>
                </a:solidFill>
              </a:ln>
            </c:spPr>
          </c:marker>
          <c:dLbls>
            <c:txPr>
              <a:bodyPr/>
              <a:lstStyle/>
              <a:p>
                <a:pPr>
                  <a:defRPr sz="800" b="0" i="0" u="none" strike="noStrike" baseline="0">
                    <a:solidFill>
                      <a:srgbClr val="000000"/>
                    </a:solidFill>
                    <a:latin typeface="Calibri"/>
                    <a:ea typeface="Calibri"/>
                    <a:cs typeface="Calibri"/>
                  </a:defRPr>
                </a:pPr>
                <a:endParaRPr lang="cs-CZ"/>
              </a:p>
            </c:txPr>
            <c:dLblPos val="l"/>
            <c:showLegendKey val="0"/>
            <c:showVal val="0"/>
            <c:showCatName val="0"/>
            <c:showSerName val="1"/>
            <c:showPercent val="0"/>
            <c:showBubbleSize val="0"/>
            <c:showLeaderLines val="0"/>
          </c:dLbls>
          <c:xVal>
            <c:numRef>
              <c:f>'Data_RD na obyv'!$C$12</c:f>
              <c:numCache>
                <c:formatCode>General</c:formatCode>
                <c:ptCount val="1"/>
                <c:pt idx="0">
                  <c:v>0.83</c:v>
                </c:pt>
              </c:numCache>
            </c:numRef>
          </c:xVal>
          <c:yVal>
            <c:numRef>
              <c:f>'Data_RD na obyv'!$D$12</c:f>
              <c:numCache>
                <c:formatCode>General</c:formatCode>
                <c:ptCount val="1"/>
                <c:pt idx="0">
                  <c:v>143.69999999999999</c:v>
                </c:pt>
              </c:numCache>
            </c:numRef>
          </c:yVal>
          <c:smooth val="0"/>
        </c:ser>
        <c:ser>
          <c:idx val="5"/>
          <c:order val="5"/>
          <c:tx>
            <c:strRef>
              <c:f>'Data_RD na obyv'!$B$13</c:f>
              <c:strCache>
                <c:ptCount val="1"/>
                <c:pt idx="0">
                  <c:v>HRV</c:v>
                </c:pt>
              </c:strCache>
            </c:strRef>
          </c:tx>
          <c:spPr>
            <a:ln w="28575">
              <a:solidFill>
                <a:schemeClr val="accent1"/>
              </a:solidFill>
            </a:ln>
          </c:spPr>
          <c:marker>
            <c:symbol val="circle"/>
            <c:size val="7"/>
            <c:spPr>
              <a:solidFill>
                <a:schemeClr val="tx2"/>
              </a:solidFill>
              <a:ln>
                <a:solidFill>
                  <a:schemeClr val="accent1"/>
                </a:solidFill>
              </a:ln>
            </c:spPr>
          </c:marker>
          <c:dLbls>
            <c:dLbl>
              <c:idx val="0"/>
              <c:layout>
                <c:manualLayout>
                  <c:x val="-3.9268106689366533E-2"/>
                  <c:y val="-1.3628620102214651E-2"/>
                </c:manualLayout>
              </c:layout>
              <c:dLblPos val="r"/>
              <c:showLegendKey val="0"/>
              <c:showVal val="0"/>
              <c:showCatName val="0"/>
              <c:showSerName val="1"/>
              <c:showPercent val="0"/>
              <c:showBubbleSize val="0"/>
            </c:dLbl>
            <c:txPr>
              <a:bodyPr/>
              <a:lstStyle/>
              <a:p>
                <a:pPr>
                  <a:defRPr sz="800" b="0" i="0" u="none" strike="noStrike" baseline="0">
                    <a:solidFill>
                      <a:srgbClr val="000000"/>
                    </a:solidFill>
                    <a:latin typeface="Calibri"/>
                    <a:ea typeface="Calibri"/>
                    <a:cs typeface="Calibri"/>
                  </a:defRPr>
                </a:pPr>
                <a:endParaRPr lang="cs-CZ"/>
              </a:p>
            </c:txPr>
            <c:dLblPos val="ctr"/>
            <c:showLegendKey val="0"/>
            <c:showVal val="0"/>
            <c:showCatName val="0"/>
            <c:showSerName val="1"/>
            <c:showPercent val="0"/>
            <c:showBubbleSize val="0"/>
            <c:showLeaderLines val="0"/>
          </c:dLbls>
          <c:xVal>
            <c:numRef>
              <c:f>'Data_RD na obyv'!$C$13</c:f>
              <c:numCache>
                <c:formatCode>General</c:formatCode>
                <c:ptCount val="1"/>
                <c:pt idx="0">
                  <c:v>0.79</c:v>
                </c:pt>
              </c:numCache>
            </c:numRef>
          </c:xVal>
          <c:yVal>
            <c:numRef>
              <c:f>'Data_RD na obyv'!$D$13</c:f>
              <c:numCache>
                <c:formatCode>General</c:formatCode>
                <c:ptCount val="1"/>
                <c:pt idx="0">
                  <c:v>105.6</c:v>
                </c:pt>
              </c:numCache>
            </c:numRef>
          </c:yVal>
          <c:smooth val="0"/>
        </c:ser>
        <c:ser>
          <c:idx val="6"/>
          <c:order val="6"/>
          <c:tx>
            <c:strRef>
              <c:f>'Data_RD na obyv'!$B$14</c:f>
              <c:strCache>
                <c:ptCount val="1"/>
                <c:pt idx="0">
                  <c:v>SVK</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800" b="0" i="0" u="none" strike="noStrike" baseline="0">
                    <a:solidFill>
                      <a:srgbClr val="000000"/>
                    </a:solidFill>
                    <a:latin typeface="Calibri"/>
                    <a:ea typeface="Calibri"/>
                    <a:cs typeface="Calibri"/>
                  </a:defRPr>
                </a:pPr>
                <a:endParaRPr lang="cs-CZ"/>
              </a:p>
            </c:txPr>
            <c:dLblPos val="t"/>
            <c:showLegendKey val="0"/>
            <c:showVal val="0"/>
            <c:showCatName val="0"/>
            <c:showSerName val="1"/>
            <c:showPercent val="0"/>
            <c:showBubbleSize val="0"/>
            <c:showLeaderLines val="0"/>
          </c:dLbls>
          <c:xVal>
            <c:numRef>
              <c:f>'Data_RD na obyv'!$C$14</c:f>
              <c:numCache>
                <c:formatCode>General</c:formatCode>
                <c:ptCount val="1"/>
                <c:pt idx="0">
                  <c:v>0.89</c:v>
                </c:pt>
              </c:numCache>
            </c:numRef>
          </c:xVal>
          <c:yVal>
            <c:numRef>
              <c:f>'Data_RD na obyv'!$D$14</c:f>
              <c:numCache>
                <c:formatCode>General</c:formatCode>
                <c:ptCount val="1"/>
                <c:pt idx="0">
                  <c:v>166.5</c:v>
                </c:pt>
              </c:numCache>
            </c:numRef>
          </c:yVal>
          <c:smooth val="0"/>
        </c:ser>
        <c:ser>
          <c:idx val="7"/>
          <c:order val="7"/>
          <c:tx>
            <c:strRef>
              <c:f>'Data_RD na obyv'!$B$15</c:f>
              <c:strCache>
                <c:ptCount val="1"/>
                <c:pt idx="0">
                  <c:v>MLT</c:v>
                </c:pt>
              </c:strCache>
            </c:strRef>
          </c:tx>
          <c:spPr>
            <a:ln w="28575">
              <a:solidFill>
                <a:schemeClr val="accent1"/>
              </a:solidFill>
            </a:ln>
          </c:spPr>
          <c:marker>
            <c:symbol val="circle"/>
            <c:size val="7"/>
            <c:spPr>
              <a:solidFill>
                <a:schemeClr val="tx2"/>
              </a:solidFill>
              <a:ln>
                <a:solidFill>
                  <a:schemeClr val="accent1"/>
                </a:solidFill>
              </a:ln>
            </c:spPr>
          </c:marker>
          <c:dLbls>
            <c:dLbl>
              <c:idx val="0"/>
              <c:layout>
                <c:manualLayout>
                  <c:x val="6.7567567567567571E-3"/>
                  <c:y val="-2.0442930153321975E-2"/>
                </c:manualLayout>
              </c:layout>
              <c:showLegendKey val="0"/>
              <c:showVal val="0"/>
              <c:showCatName val="0"/>
              <c:showSerName val="1"/>
              <c:showPercent val="0"/>
              <c:showBubbleSize val="0"/>
            </c:dLbl>
            <c:txPr>
              <a:bodyPr/>
              <a:lstStyle/>
              <a:p>
                <a:pPr>
                  <a:defRPr sz="8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obyv'!$C$15</c:f>
              <c:numCache>
                <c:formatCode>General</c:formatCode>
                <c:ptCount val="1"/>
                <c:pt idx="0">
                  <c:v>0.85</c:v>
                </c:pt>
              </c:numCache>
            </c:numRef>
          </c:xVal>
          <c:yVal>
            <c:numRef>
              <c:f>'Data_RD na obyv'!$D$15</c:f>
              <c:numCache>
                <c:formatCode>General</c:formatCode>
                <c:ptCount val="1"/>
                <c:pt idx="0">
                  <c:v>186.2</c:v>
                </c:pt>
              </c:numCache>
            </c:numRef>
          </c:yVal>
          <c:smooth val="0"/>
        </c:ser>
        <c:ser>
          <c:idx val="8"/>
          <c:order val="8"/>
          <c:tx>
            <c:strRef>
              <c:f>'Data_RD na obyv'!$B$16</c:f>
              <c:strCache>
                <c:ptCount val="1"/>
                <c:pt idx="0">
                  <c:v>POL</c:v>
                </c:pt>
              </c:strCache>
            </c:strRef>
          </c:tx>
          <c:spPr>
            <a:ln w="28575">
              <a:noFill/>
            </a:ln>
          </c:spPr>
          <c:marker>
            <c:symbol val="circle"/>
            <c:size val="7"/>
            <c:spPr>
              <a:solidFill>
                <a:schemeClr val="tx2"/>
              </a:solidFill>
              <a:ln>
                <a:solidFill>
                  <a:schemeClr val="accent1"/>
                </a:solidFill>
              </a:ln>
            </c:spPr>
          </c:marker>
          <c:dLbls>
            <c:txPr>
              <a:bodyPr/>
              <a:lstStyle/>
              <a:p>
                <a:pPr>
                  <a:defRPr sz="800" b="0" i="0" u="none" strike="noStrike" baseline="0">
                    <a:solidFill>
                      <a:srgbClr val="000000"/>
                    </a:solidFill>
                    <a:latin typeface="Calibri"/>
                    <a:ea typeface="Calibri"/>
                    <a:cs typeface="Calibri"/>
                  </a:defRPr>
                </a:pPr>
                <a:endParaRPr lang="cs-CZ"/>
              </a:p>
            </c:txPr>
            <c:dLblPos val="b"/>
            <c:showLegendKey val="0"/>
            <c:showVal val="0"/>
            <c:showCatName val="0"/>
            <c:showSerName val="1"/>
            <c:showPercent val="0"/>
            <c:showBubbleSize val="0"/>
            <c:showLeaderLines val="0"/>
          </c:dLbls>
          <c:xVal>
            <c:numRef>
              <c:f>'Data_RD na obyv'!$C$16</c:f>
              <c:numCache>
                <c:formatCode>General</c:formatCode>
                <c:ptCount val="1"/>
                <c:pt idx="0">
                  <c:v>0.94</c:v>
                </c:pt>
              </c:numCache>
            </c:numRef>
          </c:xVal>
          <c:yVal>
            <c:numRef>
              <c:f>'Data_RD na obyv'!$D$16</c:f>
              <c:numCache>
                <c:formatCode>General</c:formatCode>
                <c:ptCount val="1"/>
                <c:pt idx="0">
                  <c:v>153.19999999999999</c:v>
                </c:pt>
              </c:numCache>
            </c:numRef>
          </c:yVal>
          <c:smooth val="0"/>
        </c:ser>
        <c:ser>
          <c:idx val="9"/>
          <c:order val="9"/>
          <c:tx>
            <c:strRef>
              <c:f>'Data_RD na obyv'!$B$17</c:f>
              <c:strCache>
                <c:ptCount val="1"/>
                <c:pt idx="0">
                  <c:v>LTU</c:v>
                </c:pt>
              </c:strCache>
            </c:strRef>
          </c:tx>
          <c:spPr>
            <a:ln w="28575">
              <a:solidFill>
                <a:schemeClr val="accent1"/>
              </a:solidFill>
            </a:ln>
          </c:spPr>
          <c:marker>
            <c:symbol val="circle"/>
            <c:size val="7"/>
            <c:spPr>
              <a:solidFill>
                <a:schemeClr val="tx2"/>
              </a:solidFill>
              <a:ln>
                <a:solidFill>
                  <a:schemeClr val="accent1"/>
                </a:solidFill>
              </a:ln>
            </c:spPr>
          </c:marker>
          <c:dLbls>
            <c:dLbl>
              <c:idx val="0"/>
              <c:layout>
                <c:manualLayout>
                  <c:x val="-9.9999999999999978E-2"/>
                  <c:y val="-6.8143100511073255E-3"/>
                </c:manualLayout>
              </c:layout>
              <c:dLblPos val="r"/>
              <c:showLegendKey val="0"/>
              <c:showVal val="0"/>
              <c:showCatName val="0"/>
              <c:showSerName val="1"/>
              <c:showPercent val="0"/>
              <c:showBubbleSize val="0"/>
            </c:dLbl>
            <c:txPr>
              <a:bodyPr/>
              <a:lstStyle/>
              <a:p>
                <a:pPr>
                  <a:defRPr sz="800" b="0" i="0" u="none" strike="noStrike" baseline="0">
                    <a:solidFill>
                      <a:srgbClr val="000000"/>
                    </a:solidFill>
                    <a:latin typeface="Calibri"/>
                    <a:ea typeface="Calibri"/>
                    <a:cs typeface="Calibri"/>
                  </a:defRPr>
                </a:pPr>
                <a:endParaRPr lang="cs-CZ"/>
              </a:p>
            </c:txPr>
            <c:dLblPos val="l"/>
            <c:showLegendKey val="0"/>
            <c:showVal val="0"/>
            <c:showCatName val="0"/>
            <c:showSerName val="1"/>
            <c:showPercent val="0"/>
            <c:showBubbleSize val="0"/>
            <c:showLeaderLines val="0"/>
          </c:dLbls>
          <c:xVal>
            <c:numRef>
              <c:f>'Data_RD na obyv'!$C$17</c:f>
              <c:numCache>
                <c:formatCode>General</c:formatCode>
                <c:ptCount val="1"/>
                <c:pt idx="0">
                  <c:v>1.02</c:v>
                </c:pt>
              </c:numCache>
            </c:numRef>
          </c:xVal>
          <c:yVal>
            <c:numRef>
              <c:f>'Data_RD na obyv'!$D$17</c:f>
              <c:numCache>
                <c:formatCode>General</c:formatCode>
                <c:ptCount val="1"/>
                <c:pt idx="0">
                  <c:v>175.4</c:v>
                </c:pt>
              </c:numCache>
            </c:numRef>
          </c:yVal>
          <c:smooth val="0"/>
        </c:ser>
        <c:ser>
          <c:idx val="10"/>
          <c:order val="10"/>
          <c:tx>
            <c:strRef>
              <c:f>'Data_RD na obyv'!$B$18</c:f>
              <c:strCache>
                <c:ptCount val="1"/>
                <c:pt idx="0">
                  <c:v>RUS</c:v>
                </c:pt>
              </c:strCache>
            </c:strRef>
          </c:tx>
          <c:spPr>
            <a:ln w="28575">
              <a:noFill/>
            </a:ln>
          </c:spPr>
          <c:marker>
            <c:symbol val="circle"/>
            <c:size val="7"/>
            <c:spPr>
              <a:solidFill>
                <a:schemeClr val="tx2"/>
              </a:solidFill>
              <a:ln>
                <a:solidFill>
                  <a:schemeClr val="accent1"/>
                </a:solidFill>
              </a:ln>
            </c:spPr>
          </c:marker>
          <c:dLbls>
            <c:txPr>
              <a:bodyPr/>
              <a:lstStyle/>
              <a:p>
                <a:pPr>
                  <a:defRPr sz="8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obyv'!$C$18</c:f>
              <c:numCache>
                <c:formatCode>General</c:formatCode>
                <c:ptCount val="1"/>
                <c:pt idx="0">
                  <c:v>1.19</c:v>
                </c:pt>
              </c:numCache>
            </c:numRef>
          </c:xVal>
          <c:yVal>
            <c:numRef>
              <c:f>'Data_RD na obyv'!$D$18</c:f>
              <c:numCache>
                <c:formatCode>General</c:formatCode>
                <c:ptCount val="1"/>
                <c:pt idx="0">
                  <c:v>131.23863520854746</c:v>
                </c:pt>
              </c:numCache>
            </c:numRef>
          </c:yVal>
          <c:smooth val="0"/>
        </c:ser>
        <c:ser>
          <c:idx val="11"/>
          <c:order val="11"/>
          <c:tx>
            <c:strRef>
              <c:f>'Data_RD na obyv'!$B$19</c:f>
              <c:strCache>
                <c:ptCount val="1"/>
                <c:pt idx="0">
                  <c:v>LUX</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obyv'!$C$19</c:f>
              <c:numCache>
                <c:formatCode>General</c:formatCode>
                <c:ptCount val="1"/>
                <c:pt idx="0">
                  <c:v>1.24</c:v>
                </c:pt>
              </c:numCache>
            </c:numRef>
          </c:xVal>
          <c:yVal>
            <c:numRef>
              <c:f>'Data_RD na obyv'!$D$19</c:f>
              <c:numCache>
                <c:formatCode>General</c:formatCode>
                <c:ptCount val="1"/>
                <c:pt idx="0">
                  <c:v>749</c:v>
                </c:pt>
              </c:numCache>
            </c:numRef>
          </c:yVal>
          <c:smooth val="0"/>
        </c:ser>
        <c:ser>
          <c:idx val="12"/>
          <c:order val="12"/>
          <c:tx>
            <c:strRef>
              <c:f>'Data_RD na obyv'!$B$20</c:f>
              <c:strCache>
                <c:ptCount val="1"/>
                <c:pt idx="0">
                  <c:v>ESP</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trendline>
            <c:trendlineType val="linear"/>
            <c:dispRSqr val="0"/>
            <c:dispEq val="0"/>
          </c:trendline>
          <c:xVal>
            <c:numRef>
              <c:f>'Data_RD na obyv'!$C$20</c:f>
              <c:numCache>
                <c:formatCode>General</c:formatCode>
                <c:ptCount val="1"/>
                <c:pt idx="0">
                  <c:v>1.2</c:v>
                </c:pt>
              </c:numCache>
            </c:numRef>
          </c:xVal>
          <c:yVal>
            <c:numRef>
              <c:f>'Data_RD na obyv'!$D$20</c:f>
              <c:numCache>
                <c:formatCode>General</c:formatCode>
                <c:ptCount val="1"/>
                <c:pt idx="0">
                  <c:v>270.39999999999998</c:v>
                </c:pt>
              </c:numCache>
            </c:numRef>
          </c:yVal>
          <c:smooth val="0"/>
        </c:ser>
        <c:ser>
          <c:idx val="13"/>
          <c:order val="13"/>
          <c:tx>
            <c:strRef>
              <c:f>'Data_RD na obyv'!$B$21</c:f>
              <c:strCache>
                <c:ptCount val="1"/>
                <c:pt idx="0">
                  <c:v>ITA</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obyv'!$C$21</c:f>
              <c:numCache>
                <c:formatCode>General</c:formatCode>
                <c:ptCount val="1"/>
                <c:pt idx="0">
                  <c:v>1.29</c:v>
                </c:pt>
              </c:numCache>
            </c:numRef>
          </c:xVal>
          <c:yVal>
            <c:numRef>
              <c:f>'Data_RD na obyv'!$D$21</c:f>
              <c:numCache>
                <c:formatCode>General</c:formatCode>
                <c:ptCount val="1"/>
                <c:pt idx="0">
                  <c:v>286.89999999999998</c:v>
                </c:pt>
              </c:numCache>
            </c:numRef>
          </c:yVal>
          <c:smooth val="0"/>
        </c:ser>
        <c:ser>
          <c:idx val="14"/>
          <c:order val="14"/>
          <c:tx>
            <c:strRef>
              <c:f>'Data_RD na obyv'!$B$22</c:f>
              <c:strCache>
                <c:ptCount val="1"/>
                <c:pt idx="0">
                  <c:v>PRT</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obyv'!$C$22</c:f>
              <c:numCache>
                <c:formatCode>General</c:formatCode>
                <c:ptCount val="1"/>
                <c:pt idx="0">
                  <c:v>1.29</c:v>
                </c:pt>
              </c:numCache>
            </c:numRef>
          </c:xVal>
          <c:yVal>
            <c:numRef>
              <c:f>'Data_RD na obyv'!$D$22</c:f>
              <c:numCache>
                <c:formatCode>General</c:formatCode>
                <c:ptCount val="1"/>
                <c:pt idx="0">
                  <c:v>231.1</c:v>
                </c:pt>
              </c:numCache>
            </c:numRef>
          </c:yVal>
          <c:smooth val="0"/>
        </c:ser>
        <c:ser>
          <c:idx val="15"/>
          <c:order val="15"/>
          <c:tx>
            <c:strRef>
              <c:f>'Data_RD na obyv'!$B$23</c:f>
              <c:strCache>
                <c:ptCount val="1"/>
                <c:pt idx="0">
                  <c:v>HUN</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obyv'!$C$23</c:f>
              <c:numCache>
                <c:formatCode>General</c:formatCode>
                <c:ptCount val="1"/>
                <c:pt idx="0">
                  <c:v>1.38</c:v>
                </c:pt>
              </c:numCache>
            </c:numRef>
          </c:xVal>
          <c:yVal>
            <c:numRef>
              <c:f>'Data_RD na obyv'!$D$23</c:f>
              <c:numCache>
                <c:formatCode>General</c:formatCode>
                <c:ptCount val="1"/>
                <c:pt idx="0">
                  <c:v>213.2</c:v>
                </c:pt>
              </c:numCache>
            </c:numRef>
          </c:yVal>
          <c:smooth val="0"/>
        </c:ser>
        <c:ser>
          <c:idx val="16"/>
          <c:order val="16"/>
          <c:tx>
            <c:strRef>
              <c:f>'Data_RD na obyv'!$B$24</c:f>
              <c:strCache>
                <c:ptCount val="1"/>
                <c:pt idx="0">
                  <c:v>IRL</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obyv'!$C$24</c:f>
              <c:numCache>
                <c:formatCode>General</c:formatCode>
                <c:ptCount val="1"/>
                <c:pt idx="0">
                  <c:v>1.55</c:v>
                </c:pt>
              </c:numCache>
            </c:numRef>
          </c:xVal>
          <c:yVal>
            <c:numRef>
              <c:f>'Data_RD na obyv'!$D$24</c:f>
              <c:numCache>
                <c:formatCode>General</c:formatCode>
                <c:ptCount val="1"/>
                <c:pt idx="0">
                  <c:v>509.8</c:v>
                </c:pt>
              </c:numCache>
            </c:numRef>
          </c:yVal>
          <c:smooth val="0"/>
        </c:ser>
        <c:ser>
          <c:idx val="17"/>
          <c:order val="17"/>
          <c:tx>
            <c:strRef>
              <c:f>'Data_RD na obyv'!$B$25</c:f>
              <c:strCache>
                <c:ptCount val="1"/>
                <c:pt idx="0">
                  <c:v>GBR</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obyv'!$C$25</c:f>
              <c:numCache>
                <c:formatCode>General</c:formatCode>
                <c:ptCount val="1"/>
                <c:pt idx="0">
                  <c:v>1.72</c:v>
                </c:pt>
              </c:numCache>
            </c:numRef>
          </c:xVal>
          <c:yVal>
            <c:numRef>
              <c:f>'Data_RD na obyv'!$D$25</c:f>
              <c:numCache>
                <c:formatCode>General</c:formatCode>
                <c:ptCount val="1"/>
                <c:pt idx="0">
                  <c:v>514.5</c:v>
                </c:pt>
              </c:numCache>
            </c:numRef>
          </c:yVal>
          <c:smooth val="0"/>
        </c:ser>
        <c:ser>
          <c:idx val="18"/>
          <c:order val="18"/>
          <c:tx>
            <c:strRef>
              <c:f>'Data_RD na obyv'!$B$26</c:f>
              <c:strCache>
                <c:ptCount val="1"/>
                <c:pt idx="0">
                  <c:v>NOR</c:v>
                </c:pt>
              </c:strCache>
            </c:strRef>
          </c:tx>
          <c:spPr>
            <a:ln w="28575">
              <a:noFill/>
            </a:ln>
          </c:spPr>
          <c:marker>
            <c:symbol val="circle"/>
            <c:size val="7"/>
            <c:spPr>
              <a:solidFill>
                <a:schemeClr val="tx2"/>
              </a:solidFill>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obyv'!$C$26</c:f>
              <c:numCache>
                <c:formatCode>General</c:formatCode>
                <c:ptCount val="1"/>
                <c:pt idx="0">
                  <c:v>1.71</c:v>
                </c:pt>
              </c:numCache>
            </c:numRef>
          </c:xVal>
          <c:yVal>
            <c:numRef>
              <c:f>'Data_RD na obyv'!$D$26</c:f>
              <c:numCache>
                <c:formatCode>General</c:formatCode>
                <c:ptCount val="1"/>
                <c:pt idx="0">
                  <c:v>699.4</c:v>
                </c:pt>
              </c:numCache>
            </c:numRef>
          </c:yVal>
          <c:smooth val="0"/>
        </c:ser>
        <c:ser>
          <c:idx val="19"/>
          <c:order val="19"/>
          <c:tx>
            <c:strRef>
              <c:f>'Data_RD na obyv'!$B$27</c:f>
              <c:strCache>
                <c:ptCount val="1"/>
                <c:pt idx="0">
                  <c:v>EST</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obyv'!$C$27</c:f>
              <c:numCache>
                <c:formatCode>General</c:formatCode>
                <c:ptCount val="1"/>
                <c:pt idx="0">
                  <c:v>1.46</c:v>
                </c:pt>
              </c:numCache>
            </c:numRef>
          </c:xVal>
          <c:yVal>
            <c:numRef>
              <c:f>'Data_RD na obyv'!$D$27</c:f>
              <c:numCache>
                <c:formatCode>General</c:formatCode>
                <c:ptCount val="1"/>
                <c:pt idx="0">
                  <c:v>237.4</c:v>
                </c:pt>
              </c:numCache>
            </c:numRef>
          </c:yVal>
          <c:smooth val="0"/>
        </c:ser>
        <c:ser>
          <c:idx val="20"/>
          <c:order val="20"/>
          <c:tx>
            <c:strRef>
              <c:f>'Data_RD na obyv'!$B$28</c:f>
              <c:strCache>
                <c:ptCount val="1"/>
                <c:pt idx="0">
                  <c:v>CZE</c:v>
                </c:pt>
              </c:strCache>
            </c:strRef>
          </c:tx>
          <c:spPr>
            <a:ln w="28575">
              <a:noFill/>
            </a:ln>
          </c:spPr>
          <c:marker>
            <c:symbol val="circle"/>
            <c:size val="7"/>
            <c:spPr>
              <a:solidFill>
                <a:srgbClr val="FF0000"/>
              </a:solidFill>
              <a:ln>
                <a:solidFill>
                  <a:schemeClr val="accent1"/>
                </a:solidFill>
              </a:ln>
            </c:spPr>
          </c:marker>
          <c:dLbls>
            <c:dLbl>
              <c:idx val="0"/>
              <c:layout>
                <c:manualLayout>
                  <c:x val="0"/>
                  <c:y val="2.2263455171374156E-2"/>
                </c:manualLayout>
              </c:layout>
              <c:dLblPos val="r"/>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obyv'!$C$28</c:f>
              <c:numCache>
                <c:formatCode>0.00</c:formatCode>
                <c:ptCount val="1"/>
                <c:pt idx="0">
                  <c:v>2</c:v>
                </c:pt>
              </c:numCache>
            </c:numRef>
          </c:xVal>
          <c:yVal>
            <c:numRef>
              <c:f>'Data_RD na obyv'!$D$28</c:f>
              <c:numCache>
                <c:formatCode>General</c:formatCode>
                <c:ptCount val="1"/>
                <c:pt idx="0">
                  <c:v>418.4</c:v>
                </c:pt>
              </c:numCache>
            </c:numRef>
          </c:yVal>
          <c:smooth val="0"/>
        </c:ser>
        <c:ser>
          <c:idx val="21"/>
          <c:order val="21"/>
          <c:tx>
            <c:strRef>
              <c:f>'Data_RD na obyv'!$B$29</c:f>
              <c:strCache>
                <c:ptCount val="1"/>
                <c:pt idx="0">
                  <c:v>NLD</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obyv'!$C$29</c:f>
              <c:numCache>
                <c:formatCode>General</c:formatCode>
                <c:ptCount val="1"/>
                <c:pt idx="0">
                  <c:v>1.97</c:v>
                </c:pt>
              </c:numCache>
            </c:numRef>
          </c:xVal>
          <c:yVal>
            <c:numRef>
              <c:f>'Data_RD na obyv'!$D$29</c:f>
              <c:numCache>
                <c:formatCode>General</c:formatCode>
                <c:ptCount val="1"/>
                <c:pt idx="0">
                  <c:v>643.1</c:v>
                </c:pt>
              </c:numCache>
            </c:numRef>
          </c:yVal>
          <c:smooth val="0"/>
        </c:ser>
        <c:ser>
          <c:idx val="22"/>
          <c:order val="22"/>
          <c:tx>
            <c:strRef>
              <c:f>'Data_RD na obyv'!$B$30</c:f>
              <c:strCache>
                <c:ptCount val="1"/>
                <c:pt idx="0">
                  <c:v>FRA</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obyv'!$C$30</c:f>
              <c:numCache>
                <c:formatCode>General</c:formatCode>
                <c:ptCount val="1"/>
                <c:pt idx="0">
                  <c:v>2.2599999999999998</c:v>
                </c:pt>
              </c:numCache>
            </c:numRef>
          </c:xVal>
          <c:yVal>
            <c:numRef>
              <c:f>'Data_RD na obyv'!$D$30</c:f>
              <c:numCache>
                <c:formatCode>General</c:formatCode>
                <c:ptCount val="1"/>
                <c:pt idx="0">
                  <c:v>589.70000000000005</c:v>
                </c:pt>
              </c:numCache>
            </c:numRef>
          </c:yVal>
          <c:smooth val="0"/>
        </c:ser>
        <c:ser>
          <c:idx val="23"/>
          <c:order val="23"/>
          <c:tx>
            <c:strRef>
              <c:f>'Data_RD na obyv'!$B$31</c:f>
              <c:strCache>
                <c:ptCount val="1"/>
                <c:pt idx="0">
                  <c:v>BEL</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obyv'!$C$31</c:f>
              <c:numCache>
                <c:formatCode>General</c:formatCode>
                <c:ptCount val="1"/>
                <c:pt idx="0">
                  <c:v>2.46</c:v>
                </c:pt>
              </c:numCache>
            </c:numRef>
          </c:xVal>
          <c:yVal>
            <c:numRef>
              <c:f>'Data_RD na obyv'!$D$31</c:f>
              <c:numCache>
                <c:formatCode>General</c:formatCode>
                <c:ptCount val="1"/>
                <c:pt idx="0">
                  <c:v>696.5</c:v>
                </c:pt>
              </c:numCache>
            </c:numRef>
          </c:yVal>
          <c:smooth val="0"/>
        </c:ser>
        <c:ser>
          <c:idx val="24"/>
          <c:order val="24"/>
          <c:tx>
            <c:strRef>
              <c:f>'Data_RD na obyv'!$B$32</c:f>
              <c:strCache>
                <c:ptCount val="1"/>
                <c:pt idx="0">
                  <c:v>SVN</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trendline>
            <c:trendlineType val="linear"/>
            <c:dispRSqr val="0"/>
            <c:dispEq val="0"/>
          </c:trendline>
          <c:xVal>
            <c:numRef>
              <c:f>'Data_RD na obyv'!$C$32</c:f>
              <c:numCache>
                <c:formatCode>General</c:formatCode>
                <c:ptCount val="1"/>
                <c:pt idx="0">
                  <c:v>2.39</c:v>
                </c:pt>
              </c:numCache>
            </c:numRef>
          </c:xVal>
          <c:yVal>
            <c:numRef>
              <c:f>'Data_RD na obyv'!$D$32</c:f>
              <c:numCache>
                <c:formatCode>General</c:formatCode>
                <c:ptCount val="1"/>
                <c:pt idx="0">
                  <c:v>503.8</c:v>
                </c:pt>
              </c:numCache>
            </c:numRef>
          </c:yVal>
          <c:smooth val="0"/>
        </c:ser>
        <c:ser>
          <c:idx val="25"/>
          <c:order val="25"/>
          <c:tx>
            <c:strRef>
              <c:f>'Data_RD na obyv'!$B$33</c:f>
              <c:strCache>
                <c:ptCount val="1"/>
                <c:pt idx="0">
                  <c:v>AUT</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obyv'!$C$33</c:f>
              <c:numCache>
                <c:formatCode>General</c:formatCode>
                <c:ptCount val="1"/>
                <c:pt idx="0">
                  <c:v>2.99</c:v>
                </c:pt>
              </c:numCache>
            </c:numRef>
          </c:xVal>
          <c:yVal>
            <c:numRef>
              <c:f>'Data_RD na obyv'!$D$33</c:f>
              <c:numCache>
                <c:formatCode>General</c:formatCode>
                <c:ptCount val="1"/>
                <c:pt idx="0">
                  <c:v>932.6</c:v>
                </c:pt>
              </c:numCache>
            </c:numRef>
          </c:yVal>
          <c:smooth val="0"/>
        </c:ser>
        <c:ser>
          <c:idx val="26"/>
          <c:order val="26"/>
          <c:tx>
            <c:strRef>
              <c:f>'Data_RD na obyv'!$B$34</c:f>
              <c:strCache>
                <c:ptCount val="1"/>
                <c:pt idx="0">
                  <c:v>USA</c:v>
                </c:pt>
              </c:strCache>
            </c:strRef>
          </c:tx>
          <c:spPr>
            <a:ln w="28575">
              <a:solidFill>
                <a:schemeClr val="accent1"/>
              </a:solidFill>
            </a:ln>
          </c:spPr>
          <c:marker>
            <c:symbol val="circle"/>
            <c:size val="7"/>
            <c:spPr>
              <a:solidFill>
                <a:schemeClr val="tx2"/>
              </a:solidFill>
              <a:ln>
                <a:solidFill>
                  <a:schemeClr val="accent1"/>
                </a:solidFill>
              </a:ln>
            </c:spPr>
          </c:marker>
          <c:dLbls>
            <c:dLbl>
              <c:idx val="0"/>
              <c:layout>
                <c:manualLayout>
                  <c:x val="-1.6816816816816817E-2"/>
                  <c:y val="-2.6800670016750419E-2"/>
                </c:manualLayout>
              </c:layout>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obyv'!$C$34</c:f>
              <c:numCache>
                <c:formatCode>General</c:formatCode>
                <c:ptCount val="1"/>
                <c:pt idx="0">
                  <c:v>2.81</c:v>
                </c:pt>
              </c:numCache>
            </c:numRef>
          </c:xVal>
          <c:yVal>
            <c:numRef>
              <c:f>'Data_RD na obyv'!$D$34</c:f>
              <c:numCache>
                <c:formatCode>General</c:formatCode>
                <c:ptCount val="1"/>
                <c:pt idx="0">
                  <c:v>948.86361497310111</c:v>
                </c:pt>
              </c:numCache>
            </c:numRef>
          </c:yVal>
          <c:smooth val="0"/>
        </c:ser>
        <c:ser>
          <c:idx val="27"/>
          <c:order val="27"/>
          <c:tx>
            <c:strRef>
              <c:f>'Data_RD na obyv'!$B$35</c:f>
              <c:strCache>
                <c:ptCount val="1"/>
                <c:pt idx="0">
                  <c:v>DEU</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obyv'!$C$35</c:f>
              <c:numCache>
                <c:formatCode>General</c:formatCode>
                <c:ptCount val="1"/>
                <c:pt idx="0">
                  <c:v>2.84</c:v>
                </c:pt>
              </c:numCache>
            </c:numRef>
          </c:xVal>
          <c:yVal>
            <c:numRef>
              <c:f>'Data_RD na obyv'!$D$35</c:f>
              <c:numCache>
                <c:formatCode>General</c:formatCode>
                <c:ptCount val="1"/>
                <c:pt idx="0">
                  <c:v>881.1</c:v>
                </c:pt>
              </c:numCache>
            </c:numRef>
          </c:yVal>
          <c:smooth val="0"/>
        </c:ser>
        <c:ser>
          <c:idx val="28"/>
          <c:order val="28"/>
          <c:tx>
            <c:strRef>
              <c:f>'Data_RD na obyv'!$B$36</c:f>
              <c:strCache>
                <c:ptCount val="1"/>
                <c:pt idx="0">
                  <c:v>CHE</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obyv'!$C$36</c:f>
              <c:numCache>
                <c:formatCode>General</c:formatCode>
                <c:ptCount val="1"/>
                <c:pt idx="0">
                  <c:v>2.96</c:v>
                </c:pt>
              </c:numCache>
            </c:numRef>
          </c:xVal>
          <c:yVal>
            <c:numRef>
              <c:f>'Data_RD na obyv'!$D$36</c:f>
              <c:numCache>
                <c:formatCode>General</c:formatCode>
                <c:ptCount val="1"/>
                <c:pt idx="0">
                  <c:v>1043.2</c:v>
                </c:pt>
              </c:numCache>
            </c:numRef>
          </c:yVal>
          <c:smooth val="0"/>
        </c:ser>
        <c:ser>
          <c:idx val="29"/>
          <c:order val="29"/>
          <c:tx>
            <c:strRef>
              <c:f>'Data_RD na obyv'!$B$37</c:f>
              <c:strCache>
                <c:ptCount val="1"/>
                <c:pt idx="0">
                  <c:v>DNK</c:v>
                </c:pt>
              </c:strCache>
            </c:strRef>
          </c:tx>
          <c:spPr>
            <a:ln w="28575">
              <a:noFill/>
            </a:ln>
          </c:spPr>
          <c:marker>
            <c:symbol val="circle"/>
            <c:size val="7"/>
            <c:spPr>
              <a:solidFill>
                <a:schemeClr val="tx2"/>
              </a:solidFill>
              <a:ln>
                <a:solidFill>
                  <a:schemeClr val="accent1"/>
                </a:solidFill>
              </a:ln>
            </c:spPr>
          </c:marker>
          <c:dLbls>
            <c:dLbl>
              <c:idx val="0"/>
              <c:layout>
                <c:manualLayout>
                  <c:x val="-8.8087070498732929E-17"/>
                  <c:y val="-2.2333891680625349E-2"/>
                </c:manualLayout>
              </c:layout>
              <c:dLblPos val="r"/>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dLblPos val="r"/>
            <c:showLegendKey val="0"/>
            <c:showVal val="0"/>
            <c:showCatName val="0"/>
            <c:showSerName val="1"/>
            <c:showPercent val="0"/>
            <c:showBubbleSize val="0"/>
            <c:showLeaderLines val="0"/>
          </c:dLbls>
          <c:xVal>
            <c:numRef>
              <c:f>'Data_RD na obyv'!$C$37</c:f>
              <c:numCache>
                <c:formatCode>General</c:formatCode>
                <c:ptCount val="1"/>
                <c:pt idx="0">
                  <c:v>3.08</c:v>
                </c:pt>
              </c:numCache>
            </c:numRef>
          </c:xVal>
          <c:yVal>
            <c:numRef>
              <c:f>'Data_RD na obyv'!$D$37</c:f>
              <c:numCache>
                <c:formatCode>General</c:formatCode>
                <c:ptCount val="1"/>
                <c:pt idx="0">
                  <c:v>858.7</c:v>
                </c:pt>
              </c:numCache>
            </c:numRef>
          </c:yVal>
          <c:smooth val="0"/>
        </c:ser>
        <c:ser>
          <c:idx val="30"/>
          <c:order val="30"/>
          <c:tx>
            <c:strRef>
              <c:f>'Data_RD na obyv'!$B$38</c:f>
              <c:strCache>
                <c:ptCount val="1"/>
                <c:pt idx="0">
                  <c:v>SWE</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obyv'!$C$38</c:f>
              <c:numCache>
                <c:formatCode>General</c:formatCode>
                <c:ptCount val="1"/>
                <c:pt idx="0">
                  <c:v>3.16</c:v>
                </c:pt>
              </c:numCache>
            </c:numRef>
          </c:xVal>
          <c:yVal>
            <c:numRef>
              <c:f>'Data_RD na obyv'!$D$38</c:f>
              <c:numCache>
                <c:formatCode>General</c:formatCode>
                <c:ptCount val="1"/>
                <c:pt idx="0">
                  <c:v>975.1</c:v>
                </c:pt>
              </c:numCache>
            </c:numRef>
          </c:yVal>
          <c:smooth val="0"/>
        </c:ser>
        <c:ser>
          <c:idx val="31"/>
          <c:order val="31"/>
          <c:tx>
            <c:strRef>
              <c:f>'Data_RD na obyv'!$B$39</c:f>
              <c:strCache>
                <c:ptCount val="1"/>
                <c:pt idx="0">
                  <c:v>FIN</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obyv'!$C$39</c:f>
              <c:numCache>
                <c:formatCode>General</c:formatCode>
                <c:ptCount val="1"/>
                <c:pt idx="0">
                  <c:v>3.17</c:v>
                </c:pt>
              </c:numCache>
            </c:numRef>
          </c:xVal>
          <c:yVal>
            <c:numRef>
              <c:f>'Data_RD na obyv'!$D$39</c:f>
              <c:numCache>
                <c:formatCode>General</c:formatCode>
                <c:ptCount val="1"/>
                <c:pt idx="0">
                  <c:v>849.6</c:v>
                </c:pt>
              </c:numCache>
            </c:numRef>
          </c:yVal>
          <c:smooth val="0"/>
        </c:ser>
        <c:ser>
          <c:idx val="32"/>
          <c:order val="32"/>
          <c:tx>
            <c:strRef>
              <c:f>'Data_RD na obyv'!$B$40</c:f>
              <c:strCache>
                <c:ptCount val="1"/>
                <c:pt idx="0">
                  <c:v>JPN</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obyv'!$C$40</c:f>
              <c:numCache>
                <c:formatCode>General</c:formatCode>
                <c:ptCount val="1"/>
                <c:pt idx="0">
                  <c:v>3.58</c:v>
                </c:pt>
              </c:numCache>
            </c:numRef>
          </c:xVal>
          <c:yVal>
            <c:numRef>
              <c:f>'Data_RD na obyv'!$D$40</c:f>
              <c:numCache>
                <c:formatCode>General</c:formatCode>
                <c:ptCount val="1"/>
                <c:pt idx="0">
                  <c:v>838.48160739092623</c:v>
                </c:pt>
              </c:numCache>
            </c:numRef>
          </c:yVal>
          <c:smooth val="0"/>
        </c:ser>
        <c:ser>
          <c:idx val="33"/>
          <c:order val="33"/>
          <c:tx>
            <c:strRef>
              <c:f>'Data_RD na obyv'!$B$41</c:f>
              <c:strCache>
                <c:ptCount val="1"/>
                <c:pt idx="0">
                  <c:v>KOR</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obyv'!$C$41</c:f>
              <c:numCache>
                <c:formatCode>General</c:formatCode>
                <c:ptCount val="1"/>
                <c:pt idx="0">
                  <c:v>4.29</c:v>
                </c:pt>
              </c:numCache>
            </c:numRef>
          </c:xVal>
          <c:yVal>
            <c:numRef>
              <c:f>'Data_RD na obyv'!$D$41</c:f>
              <c:numCache>
                <c:formatCode>General</c:formatCode>
                <c:ptCount val="1"/>
                <c:pt idx="0">
                  <c:v>975.36734394235452</c:v>
                </c:pt>
              </c:numCache>
            </c:numRef>
          </c:yVal>
          <c:smooth val="0"/>
        </c:ser>
        <c:ser>
          <c:idx val="34"/>
          <c:order val="34"/>
          <c:tx>
            <c:strRef>
              <c:f>'Data_RD na obyv'!$A$42</c:f>
              <c:strCache>
                <c:ptCount val="1"/>
                <c:pt idx="0">
                  <c:v>EU28</c:v>
                </c:pt>
              </c:strCache>
            </c:strRef>
          </c:tx>
          <c:spPr>
            <a:ln w="28575">
              <a:solidFill>
                <a:schemeClr val="accent1"/>
              </a:solidFill>
            </a:ln>
          </c:spPr>
          <c:marker>
            <c:symbol val="circle"/>
            <c:size val="7"/>
            <c:spPr>
              <a:solidFill>
                <a:schemeClr val="accent1"/>
              </a:solidFill>
              <a:ln>
                <a:solidFill>
                  <a:schemeClr val="accent1"/>
                </a:solidFill>
              </a:ln>
            </c:spPr>
          </c:marker>
          <c:dLbls>
            <c:dLbl>
              <c:idx val="0"/>
              <c:layout>
                <c:manualLayout>
                  <c:x val="-2.4024024024024023E-3"/>
                  <c:y val="1.4842303447582712E-2"/>
                </c:manualLayout>
              </c:layout>
              <c:dLblPos val="r"/>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obyv'!$C$42</c:f>
              <c:numCache>
                <c:formatCode>General</c:formatCode>
                <c:ptCount val="1"/>
                <c:pt idx="0">
                  <c:v>2.0299999999999998</c:v>
                </c:pt>
              </c:numCache>
            </c:numRef>
          </c:xVal>
          <c:yVal>
            <c:numRef>
              <c:f>'Data_RD na obyv'!$D$42</c:f>
              <c:numCache>
                <c:formatCode>General</c:formatCode>
                <c:ptCount val="1"/>
                <c:pt idx="0">
                  <c:v>478.7</c:v>
                </c:pt>
              </c:numCache>
            </c:numRef>
          </c:yVal>
          <c:smooth val="0"/>
        </c:ser>
        <c:dLbls>
          <c:showLegendKey val="0"/>
          <c:showVal val="0"/>
          <c:showCatName val="0"/>
          <c:showSerName val="0"/>
          <c:showPercent val="0"/>
          <c:showBubbleSize val="0"/>
        </c:dLbls>
        <c:axId val="87995904"/>
        <c:axId val="87997824"/>
      </c:scatterChart>
      <c:valAx>
        <c:axId val="87995904"/>
        <c:scaling>
          <c:orientation val="minMax"/>
          <c:max val="4.5"/>
        </c:scaling>
        <c:delete val="0"/>
        <c:axPos val="b"/>
        <c:title>
          <c:tx>
            <c:rich>
              <a:bodyPr/>
              <a:lstStyle/>
              <a:p>
                <a:pPr>
                  <a:defRPr/>
                </a:pPr>
                <a:r>
                  <a:rPr lang="en-US"/>
                  <a:t>GERD na HDP</a:t>
                </a:r>
                <a:r>
                  <a:rPr lang="cs-CZ"/>
                  <a:t> v %</a:t>
                </a:r>
                <a:endParaRPr lang="en-US"/>
              </a:p>
            </c:rich>
          </c:tx>
          <c:layout/>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cs-CZ"/>
          </a:p>
        </c:txPr>
        <c:crossAx val="87997824"/>
        <c:crossesAt val="478.7"/>
        <c:crossBetween val="midCat"/>
      </c:valAx>
      <c:valAx>
        <c:axId val="87997824"/>
        <c:scaling>
          <c:orientation val="minMax"/>
          <c:max val="1100"/>
          <c:min val="0"/>
        </c:scaling>
        <c:delete val="0"/>
        <c:axPos val="l"/>
        <c:title>
          <c:tx>
            <c:rich>
              <a:bodyPr/>
              <a:lstStyle/>
              <a:p>
                <a:pPr>
                  <a:defRPr/>
                </a:pPr>
                <a:r>
                  <a:rPr lang="cs-CZ"/>
                  <a:t>GERD na obyv. v PPS v</a:t>
                </a:r>
                <a:r>
                  <a:rPr lang="cs-CZ" baseline="0"/>
                  <a:t> %</a:t>
                </a:r>
                <a:endParaRPr lang="cs-CZ"/>
              </a:p>
            </c:rich>
          </c:tx>
          <c:layout/>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cs-CZ"/>
          </a:p>
        </c:txPr>
        <c:crossAx val="87995904"/>
        <c:crossesAt val="2.0299999999999998"/>
        <c:crossBetween val="midCat"/>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'06_SII změna'!$P$3</c:f>
              <c:strCache>
                <c:ptCount val="1"/>
                <c:pt idx="0">
                  <c:v>BGR</c:v>
                </c:pt>
              </c:strCache>
            </c:strRef>
          </c:tx>
          <c:spPr>
            <a:ln w="28575">
              <a:noFill/>
            </a:ln>
          </c:spPr>
          <c:marker>
            <c:symbol val="circle"/>
            <c:size val="7"/>
            <c:spPr>
              <a:solidFill>
                <a:schemeClr val="accent6">
                  <a:lumMod val="75000"/>
                </a:schemeClr>
              </a:solidFill>
            </c:spPr>
          </c:marker>
          <c:dLbls>
            <c:txPr>
              <a:bodyPr/>
              <a:lstStyle/>
              <a:p>
                <a:pPr>
                  <a:defRPr sz="800"/>
                </a:pPr>
                <a:endParaRPr lang="cs-CZ"/>
              </a:p>
            </c:txPr>
            <c:showLegendKey val="0"/>
            <c:showVal val="0"/>
            <c:showCatName val="0"/>
            <c:showSerName val="1"/>
            <c:showPercent val="0"/>
            <c:showBubbleSize val="0"/>
            <c:showLeaderLines val="0"/>
          </c:dLbls>
          <c:xVal>
            <c:numRef>
              <c:f>'06_SII změna'!$Q$3</c:f>
              <c:numCache>
                <c:formatCode>General</c:formatCode>
                <c:ptCount val="1"/>
                <c:pt idx="0">
                  <c:v>0.2288237038655985</c:v>
                </c:pt>
              </c:numCache>
            </c:numRef>
          </c:xVal>
          <c:yVal>
            <c:numRef>
              <c:f>'06_SII změna'!$R$3</c:f>
              <c:numCache>
                <c:formatCode>General</c:formatCode>
                <c:ptCount val="1"/>
                <c:pt idx="0">
                  <c:v>44.471172131569126</c:v>
                </c:pt>
              </c:numCache>
            </c:numRef>
          </c:yVal>
          <c:smooth val="0"/>
        </c:ser>
        <c:ser>
          <c:idx val="1"/>
          <c:order val="1"/>
          <c:tx>
            <c:strRef>
              <c:f>'06_SII změna'!$P$4</c:f>
              <c:strCache>
                <c:ptCount val="1"/>
                <c:pt idx="0">
                  <c:v>LVA</c:v>
                </c:pt>
              </c:strCache>
            </c:strRef>
          </c:tx>
          <c:spPr>
            <a:ln w="28575">
              <a:noFill/>
            </a:ln>
          </c:spPr>
          <c:marker>
            <c:symbol val="circle"/>
            <c:size val="7"/>
            <c:spPr>
              <a:solidFill>
                <a:schemeClr val="accent6">
                  <a:lumMod val="75000"/>
                </a:schemeClr>
              </a:solidFill>
              <a:ln>
                <a:solidFill>
                  <a:schemeClr val="tx2"/>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změna'!$Q$4</c:f>
              <c:numCache>
                <c:formatCode>General</c:formatCode>
                <c:ptCount val="1"/>
                <c:pt idx="0">
                  <c:v>0.27207741031179539</c:v>
                </c:pt>
              </c:numCache>
            </c:numRef>
          </c:xVal>
          <c:yVal>
            <c:numRef>
              <c:f>'06_SII změna'!$R$4</c:f>
              <c:numCache>
                <c:formatCode>General</c:formatCode>
                <c:ptCount val="1"/>
                <c:pt idx="0">
                  <c:v>56.734454290966106</c:v>
                </c:pt>
              </c:numCache>
            </c:numRef>
          </c:yVal>
          <c:smooth val="0"/>
        </c:ser>
        <c:ser>
          <c:idx val="2"/>
          <c:order val="2"/>
          <c:tx>
            <c:strRef>
              <c:f>'06_SII změna'!$P$5</c:f>
              <c:strCache>
                <c:ptCount val="1"/>
                <c:pt idx="0">
                  <c:v>LTU</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změna'!$Q$5</c:f>
              <c:numCache>
                <c:formatCode>General</c:formatCode>
                <c:ptCount val="1"/>
                <c:pt idx="0">
                  <c:v>0.28256801694562178</c:v>
                </c:pt>
              </c:numCache>
            </c:numRef>
          </c:xVal>
          <c:yVal>
            <c:numRef>
              <c:f>'06_SII změna'!$R$5</c:f>
              <c:numCache>
                <c:formatCode>General</c:formatCode>
                <c:ptCount val="1"/>
                <c:pt idx="0">
                  <c:v>17.049596919264019</c:v>
                </c:pt>
              </c:numCache>
            </c:numRef>
          </c:yVal>
          <c:smooth val="0"/>
        </c:ser>
        <c:ser>
          <c:idx val="3"/>
          <c:order val="3"/>
          <c:tx>
            <c:strRef>
              <c:f>'06_SII změna'!$P$6</c:f>
              <c:strCache>
                <c:ptCount val="1"/>
                <c:pt idx="0">
                  <c:v>ROM</c:v>
                </c:pt>
              </c:strCache>
            </c:strRef>
          </c:tx>
          <c:spPr>
            <a:ln w="28575">
              <a:noFill/>
            </a:ln>
          </c:spPr>
          <c:marker>
            <c:symbol val="circle"/>
            <c:size val="7"/>
            <c:spPr>
              <a:solidFill>
                <a:schemeClr val="accent6">
                  <a:lumMod val="75000"/>
                </a:schemeClr>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změna'!$Q$6</c:f>
              <c:numCache>
                <c:formatCode>General</c:formatCode>
                <c:ptCount val="1"/>
                <c:pt idx="0">
                  <c:v>0.20428292318795677</c:v>
                </c:pt>
              </c:numCache>
            </c:numRef>
          </c:xVal>
          <c:yVal>
            <c:numRef>
              <c:f>'06_SII změna'!$R$6</c:f>
              <c:numCache>
                <c:formatCode>General</c:formatCode>
                <c:ptCount val="1"/>
                <c:pt idx="0">
                  <c:v>-1.5806385269282797</c:v>
                </c:pt>
              </c:numCache>
            </c:numRef>
          </c:yVal>
          <c:smooth val="0"/>
        </c:ser>
        <c:ser>
          <c:idx val="4"/>
          <c:order val="4"/>
          <c:tx>
            <c:strRef>
              <c:f>'06_SII změna'!$P$7</c:f>
              <c:strCache>
                <c:ptCount val="1"/>
                <c:pt idx="0">
                  <c:v>POL</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změna'!$Q$7</c:f>
              <c:numCache>
                <c:formatCode>General</c:formatCode>
                <c:ptCount val="1"/>
                <c:pt idx="0">
                  <c:v>0.31267226181783214</c:v>
                </c:pt>
              </c:numCache>
            </c:numRef>
          </c:xVal>
          <c:yVal>
            <c:numRef>
              <c:f>'06_SII změna'!$R$7</c:f>
              <c:numCache>
                <c:formatCode>General</c:formatCode>
                <c:ptCount val="1"/>
                <c:pt idx="0">
                  <c:v>18.974364942466515</c:v>
                </c:pt>
              </c:numCache>
            </c:numRef>
          </c:yVal>
          <c:smooth val="0"/>
        </c:ser>
        <c:ser>
          <c:idx val="5"/>
          <c:order val="5"/>
          <c:tx>
            <c:strRef>
              <c:f>'06_SII změna'!$P$8</c:f>
              <c:strCache>
                <c:ptCount val="1"/>
                <c:pt idx="0">
                  <c:v>HRV</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změna'!$Q$8</c:f>
              <c:numCache>
                <c:formatCode>General</c:formatCode>
                <c:ptCount val="1"/>
                <c:pt idx="0">
                  <c:v>0.3132019607785082</c:v>
                </c:pt>
              </c:numCache>
            </c:numRef>
          </c:xVal>
          <c:yVal>
            <c:numRef>
              <c:f>'06_SII změna'!$R$8</c:f>
              <c:numCache>
                <c:formatCode>General</c:formatCode>
                <c:ptCount val="1"/>
                <c:pt idx="0">
                  <c:v>8.0350068426805699</c:v>
                </c:pt>
              </c:numCache>
            </c:numRef>
          </c:yVal>
          <c:smooth val="0"/>
        </c:ser>
        <c:ser>
          <c:idx val="6"/>
          <c:order val="6"/>
          <c:tx>
            <c:strRef>
              <c:f>'06_SII změna'!$P$9</c:f>
              <c:strCache>
                <c:ptCount val="1"/>
                <c:pt idx="0">
                  <c:v>SVK</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změna'!$Q$9</c:f>
              <c:numCache>
                <c:formatCode>General</c:formatCode>
                <c:ptCount val="1"/>
                <c:pt idx="0">
                  <c:v>0.36020712905976598</c:v>
                </c:pt>
              </c:numCache>
            </c:numRef>
          </c:xVal>
          <c:yVal>
            <c:numRef>
              <c:f>'06_SII změna'!$R$9</c:f>
              <c:numCache>
                <c:formatCode>General</c:formatCode>
                <c:ptCount val="1"/>
                <c:pt idx="0">
                  <c:v>21.628677291654029</c:v>
                </c:pt>
              </c:numCache>
            </c:numRef>
          </c:yVal>
          <c:smooth val="0"/>
        </c:ser>
        <c:ser>
          <c:idx val="7"/>
          <c:order val="7"/>
          <c:tx>
            <c:strRef>
              <c:f>'06_SII změna'!$P$10</c:f>
              <c:strCache>
                <c:ptCount val="1"/>
                <c:pt idx="0">
                  <c:v>HUN</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změna'!$Q$10</c:f>
              <c:numCache>
                <c:formatCode>General</c:formatCode>
                <c:ptCount val="1"/>
                <c:pt idx="0">
                  <c:v>0.36919005619372613</c:v>
                </c:pt>
              </c:numCache>
            </c:numRef>
          </c:xVal>
          <c:yVal>
            <c:numRef>
              <c:f>'06_SII změna'!$R$10</c:f>
              <c:numCache>
                <c:formatCode>General</c:formatCode>
                <c:ptCount val="1"/>
                <c:pt idx="0">
                  <c:v>23.693055489130344</c:v>
                </c:pt>
              </c:numCache>
            </c:numRef>
          </c:yVal>
          <c:smooth val="0"/>
        </c:ser>
        <c:ser>
          <c:idx val="8"/>
          <c:order val="8"/>
          <c:tx>
            <c:strRef>
              <c:f>'06_SII změna'!$P$11</c:f>
              <c:strCache>
                <c:ptCount val="1"/>
                <c:pt idx="0">
                  <c:v>MLT</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změna'!$Q$11</c:f>
              <c:numCache>
                <c:formatCode>General</c:formatCode>
                <c:ptCount val="1"/>
                <c:pt idx="0">
                  <c:v>0.39663851446259851</c:v>
                </c:pt>
              </c:numCache>
            </c:numRef>
          </c:xVal>
          <c:yVal>
            <c:numRef>
              <c:f>'06_SII změna'!$R$11</c:f>
              <c:numCache>
                <c:formatCode>General</c:formatCode>
                <c:ptCount val="1"/>
                <c:pt idx="0">
                  <c:v>42.429428860915387</c:v>
                </c:pt>
              </c:numCache>
            </c:numRef>
          </c:yVal>
          <c:smooth val="0"/>
        </c:ser>
        <c:ser>
          <c:idx val="9"/>
          <c:order val="9"/>
          <c:tx>
            <c:strRef>
              <c:f>'06_SII změna'!$P$12</c:f>
              <c:strCache>
                <c:ptCount val="1"/>
                <c:pt idx="0">
                  <c:v>CZE</c:v>
                </c:pt>
              </c:strCache>
            </c:strRef>
          </c:tx>
          <c:spPr>
            <a:ln w="28575">
              <a:solidFill>
                <a:srgbClr val="FF0000"/>
              </a:solidFill>
            </a:ln>
          </c:spPr>
          <c:marker>
            <c:symbol val="circle"/>
            <c:size val="7"/>
            <c:spPr>
              <a:solidFill>
                <a:srgbClr val="FFFF00"/>
              </a:solidFill>
              <a:ln w="15875">
                <a:solidFill>
                  <a:srgbClr val="FF0000"/>
                </a:solidFill>
              </a:ln>
            </c:spPr>
          </c:marker>
          <c:dLbls>
            <c:txPr>
              <a:bodyPr/>
              <a:lstStyle/>
              <a:p>
                <a:pPr>
                  <a:defRPr sz="800" b="1">
                    <a:solidFill>
                      <a:srgbClr val="FF0000"/>
                    </a:solidFill>
                  </a:defRPr>
                </a:pPr>
                <a:endParaRPr lang="cs-CZ"/>
              </a:p>
            </c:txPr>
            <c:showLegendKey val="0"/>
            <c:showVal val="0"/>
            <c:showCatName val="0"/>
            <c:showSerName val="1"/>
            <c:showPercent val="0"/>
            <c:showBubbleSize val="0"/>
            <c:showLeaderLines val="0"/>
          </c:dLbls>
          <c:xVal>
            <c:numRef>
              <c:f>'06_SII změna'!$Q$12</c:f>
              <c:numCache>
                <c:formatCode>General</c:formatCode>
                <c:ptCount val="1"/>
                <c:pt idx="0">
                  <c:v>0.44705186905054251</c:v>
                </c:pt>
              </c:numCache>
            </c:numRef>
          </c:xVal>
          <c:yVal>
            <c:numRef>
              <c:f>'06_SII změna'!$R$12</c:f>
              <c:numCache>
                <c:formatCode>General</c:formatCode>
                <c:ptCount val="1"/>
                <c:pt idx="0">
                  <c:v>19.460240725643008</c:v>
                </c:pt>
              </c:numCache>
            </c:numRef>
          </c:yVal>
          <c:smooth val="0"/>
        </c:ser>
        <c:ser>
          <c:idx val="10"/>
          <c:order val="10"/>
          <c:tx>
            <c:strRef>
              <c:f>'06_SII změna'!$P$13</c:f>
              <c:strCache>
                <c:ptCount val="1"/>
                <c:pt idx="0">
                  <c:v>PRT</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změna'!$Q$13</c:f>
              <c:numCache>
                <c:formatCode>General</c:formatCode>
                <c:ptCount val="1"/>
                <c:pt idx="0">
                  <c:v>0.4032372179299214</c:v>
                </c:pt>
              </c:numCache>
            </c:numRef>
          </c:xVal>
          <c:yVal>
            <c:numRef>
              <c:f>'06_SII změna'!$R$13</c:f>
              <c:numCache>
                <c:formatCode>General</c:formatCode>
                <c:ptCount val="1"/>
                <c:pt idx="0">
                  <c:v>28.370309806801821</c:v>
                </c:pt>
              </c:numCache>
            </c:numRef>
          </c:yVal>
          <c:smooth val="0"/>
        </c:ser>
        <c:ser>
          <c:idx val="11"/>
          <c:order val="11"/>
          <c:tx>
            <c:strRef>
              <c:f>'06_SII změna'!$P$14</c:f>
              <c:strCache>
                <c:ptCount val="1"/>
                <c:pt idx="0">
                  <c:v>GRC</c:v>
                </c:pt>
              </c:strCache>
            </c:strRef>
          </c:tx>
          <c:spPr>
            <a:ln w="28575">
              <a:solidFill>
                <a:schemeClr val="accent1"/>
              </a:solidFill>
            </a:ln>
          </c:spPr>
          <c:marker>
            <c:symbol val="circle"/>
            <c:size val="7"/>
            <c:spPr>
              <a:solidFill>
                <a:srgbClr val="FFFF00"/>
              </a:solidFill>
              <a:ln>
                <a:solidFill>
                  <a:schemeClr val="accent1"/>
                </a:solidFill>
              </a:ln>
            </c:spPr>
          </c:marker>
          <c:dLbls>
            <c:dLbl>
              <c:idx val="0"/>
              <c:layout>
                <c:manualLayout>
                  <c:x val="-3.1897926634768738E-2"/>
                  <c:y val="5.1948051948051951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změna'!$Q$14</c:f>
              <c:numCache>
                <c:formatCode>General</c:formatCode>
                <c:ptCount val="1"/>
                <c:pt idx="0">
                  <c:v>0.36464384585402287</c:v>
                </c:pt>
              </c:numCache>
            </c:numRef>
          </c:xVal>
          <c:yVal>
            <c:numRef>
              <c:f>'06_SII změna'!$R$14</c:f>
              <c:numCache>
                <c:formatCode>General</c:formatCode>
                <c:ptCount val="1"/>
                <c:pt idx="0">
                  <c:v>3.3906201505604638</c:v>
                </c:pt>
              </c:numCache>
            </c:numRef>
          </c:yVal>
          <c:smooth val="0"/>
        </c:ser>
        <c:ser>
          <c:idx val="12"/>
          <c:order val="12"/>
          <c:tx>
            <c:strRef>
              <c:f>'06_SII změna'!$P$15</c:f>
              <c:strCache>
                <c:ptCount val="1"/>
                <c:pt idx="0">
                  <c:v>ESP</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změna'!$Q$15</c:f>
              <c:numCache>
                <c:formatCode>General</c:formatCode>
                <c:ptCount val="1"/>
                <c:pt idx="0">
                  <c:v>0.38535451648219243</c:v>
                </c:pt>
              </c:numCache>
            </c:numRef>
          </c:xVal>
          <c:yVal>
            <c:numRef>
              <c:f>'06_SII změna'!$R$15</c:f>
              <c:numCache>
                <c:formatCode>General</c:formatCode>
                <c:ptCount val="1"/>
                <c:pt idx="0">
                  <c:v>2.813609137915396</c:v>
                </c:pt>
              </c:numCache>
            </c:numRef>
          </c:yVal>
          <c:smooth val="0"/>
        </c:ser>
        <c:ser>
          <c:idx val="13"/>
          <c:order val="13"/>
          <c:tx>
            <c:strRef>
              <c:f>'06_SII změna'!$P$16</c:f>
              <c:strCache>
                <c:ptCount val="1"/>
                <c:pt idx="0">
                  <c:v>ITA</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změna'!$Q$16</c:f>
              <c:numCache>
                <c:formatCode>General</c:formatCode>
                <c:ptCount val="1"/>
                <c:pt idx="0">
                  <c:v>0.43893497833596418</c:v>
                </c:pt>
              </c:numCache>
            </c:numRef>
          </c:xVal>
          <c:yVal>
            <c:numRef>
              <c:f>'06_SII změna'!$R$16</c:f>
              <c:numCache>
                <c:formatCode>General</c:formatCode>
                <c:ptCount val="1"/>
                <c:pt idx="0">
                  <c:v>15.561447650597614</c:v>
                </c:pt>
              </c:numCache>
            </c:numRef>
          </c:yVal>
          <c:smooth val="0"/>
        </c:ser>
        <c:ser>
          <c:idx val="14"/>
          <c:order val="14"/>
          <c:tx>
            <c:strRef>
              <c:f>'06_SII změna'!$P$17</c:f>
              <c:strCache>
                <c:ptCount val="1"/>
                <c:pt idx="0">
                  <c:v>EST</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trendline>
            <c:trendlineType val="linear"/>
            <c:dispRSqr val="0"/>
            <c:dispEq val="0"/>
          </c:trendline>
          <c:xVal>
            <c:numRef>
              <c:f>'06_SII změna'!$Q$17</c:f>
              <c:numCache>
                <c:formatCode>General</c:formatCode>
                <c:ptCount val="1"/>
                <c:pt idx="0">
                  <c:v>0.48896713438883505</c:v>
                </c:pt>
              </c:numCache>
            </c:numRef>
          </c:xVal>
          <c:yVal>
            <c:numRef>
              <c:f>'06_SII změna'!$R$17</c:f>
              <c:numCache>
                <c:formatCode>General</c:formatCode>
                <c:ptCount val="1"/>
                <c:pt idx="0">
                  <c:v>25.892347436722972</c:v>
                </c:pt>
              </c:numCache>
            </c:numRef>
          </c:yVal>
          <c:smooth val="0"/>
        </c:ser>
        <c:ser>
          <c:idx val="15"/>
          <c:order val="15"/>
          <c:tx>
            <c:strRef>
              <c:f>'06_SII změna'!$P$18</c:f>
              <c:strCache>
                <c:ptCount val="1"/>
                <c:pt idx="0">
                  <c:v>SVN</c:v>
                </c:pt>
              </c:strCache>
            </c:strRef>
          </c:tx>
          <c:spPr>
            <a:ln w="28575">
              <a:solidFill>
                <a:schemeClr val="accent1"/>
              </a:solidFill>
            </a:ln>
          </c:spPr>
          <c:marker>
            <c:symbol val="circle"/>
            <c:size val="7"/>
            <c:spPr>
              <a:solidFill>
                <a:srgbClr val="8DE3B4"/>
              </a:solidFill>
              <a:ln>
                <a:solidFill>
                  <a:schemeClr val="accent1"/>
                </a:solidFill>
              </a:ln>
            </c:spPr>
          </c:marker>
          <c:dLbls>
            <c:dLbl>
              <c:idx val="0"/>
              <c:layout>
                <c:manualLayout>
                  <c:x val="-4.2530568846358321E-2"/>
                  <c:y val="3.896103896103896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změna'!$Q$18</c:f>
              <c:numCache>
                <c:formatCode>General</c:formatCode>
                <c:ptCount val="1"/>
                <c:pt idx="0">
                  <c:v>0.5338710783898325</c:v>
                </c:pt>
              </c:numCache>
            </c:numRef>
          </c:xVal>
          <c:yVal>
            <c:numRef>
              <c:f>'06_SII změna'!$R$18</c:f>
              <c:numCache>
                <c:formatCode>General</c:formatCode>
                <c:ptCount val="1"/>
                <c:pt idx="0">
                  <c:v>25.12114092701534</c:v>
                </c:pt>
              </c:numCache>
            </c:numRef>
          </c:yVal>
          <c:smooth val="0"/>
        </c:ser>
        <c:ser>
          <c:idx val="16"/>
          <c:order val="16"/>
          <c:tx>
            <c:strRef>
              <c:f>'06_SII změna'!$P$19</c:f>
              <c:strCache>
                <c:ptCount val="1"/>
                <c:pt idx="0">
                  <c:v>CYP</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změna'!$Q$19</c:f>
              <c:numCache>
                <c:formatCode>General</c:formatCode>
                <c:ptCount val="1"/>
                <c:pt idx="0">
                  <c:v>0.44483321195815423</c:v>
                </c:pt>
              </c:numCache>
            </c:numRef>
          </c:xVal>
          <c:yVal>
            <c:numRef>
              <c:f>'06_SII změna'!$R$19</c:f>
              <c:numCache>
                <c:formatCode>General</c:formatCode>
                <c:ptCount val="1"/>
                <c:pt idx="0">
                  <c:v>7.3833154877244844</c:v>
                </c:pt>
              </c:numCache>
            </c:numRef>
          </c:yVal>
          <c:smooth val="0"/>
        </c:ser>
        <c:ser>
          <c:idx val="17"/>
          <c:order val="17"/>
          <c:tx>
            <c:strRef>
              <c:f>'06_SII změna'!$P$20</c:f>
              <c:strCache>
                <c:ptCount val="1"/>
                <c:pt idx="0">
                  <c:v>EU28</c:v>
                </c:pt>
              </c:strCache>
            </c:strRef>
          </c:tx>
          <c:spPr>
            <a:ln w="28575">
              <a:solidFill>
                <a:schemeClr val="accent1"/>
              </a:solidFill>
            </a:ln>
          </c:spPr>
          <c:marker>
            <c:symbol val="circle"/>
            <c:size val="7"/>
            <c:spPr>
              <a:solidFill>
                <a:srgbClr val="8DE3B4"/>
              </a:solidFill>
              <a:ln>
                <a:solidFill>
                  <a:schemeClr val="accent1"/>
                </a:solidFill>
              </a:ln>
            </c:spPr>
          </c:marker>
          <c:dLbls>
            <c:dLbl>
              <c:idx val="0"/>
              <c:layout>
                <c:manualLayout>
                  <c:x val="-1.9138755980861243E-2"/>
                  <c:y val="-5.6277056277056196E-2"/>
                </c:manualLayout>
              </c:layout>
              <c:showLegendKey val="0"/>
              <c:showVal val="0"/>
              <c:showCatName val="0"/>
              <c:showSerName val="1"/>
              <c:showPercent val="0"/>
              <c:showBubbleSize val="0"/>
            </c:dLbl>
            <c:showLegendKey val="0"/>
            <c:showVal val="0"/>
            <c:showCatName val="0"/>
            <c:showSerName val="1"/>
            <c:showPercent val="0"/>
            <c:showBubbleSize val="0"/>
            <c:showLeaderLines val="0"/>
          </c:dLbls>
          <c:xVal>
            <c:numRef>
              <c:f>'06_SII změna'!$Q$20</c:f>
              <c:numCache>
                <c:formatCode>General</c:formatCode>
                <c:ptCount val="1"/>
                <c:pt idx="0">
                  <c:v>0.55510766724328642</c:v>
                </c:pt>
              </c:numCache>
            </c:numRef>
          </c:xVal>
          <c:yVal>
            <c:numRef>
              <c:f>'06_SII změna'!$R$20</c:f>
              <c:numCache>
                <c:formatCode>General</c:formatCode>
                <c:ptCount val="1"/>
                <c:pt idx="0">
                  <c:v>12.488309330505732</c:v>
                </c:pt>
              </c:numCache>
            </c:numRef>
          </c:yVal>
          <c:smooth val="0"/>
        </c:ser>
        <c:ser>
          <c:idx val="18"/>
          <c:order val="18"/>
          <c:tx>
            <c:strRef>
              <c:f>'06_SII změna'!$P$21</c:f>
              <c:strCache>
                <c:ptCount val="1"/>
                <c:pt idx="0">
                  <c:v>FRA</c:v>
                </c:pt>
              </c:strCache>
            </c:strRef>
          </c:tx>
          <c:spPr>
            <a:ln w="28575">
              <a:noFill/>
            </a:ln>
          </c:spPr>
          <c:marker>
            <c:symbol val="circle"/>
            <c:size val="7"/>
            <c:spPr>
              <a:solidFill>
                <a:srgbClr val="8DE3B4"/>
              </a:solidFill>
              <a:ln>
                <a:solidFill>
                  <a:schemeClr val="accent1"/>
                </a:solidFill>
              </a:ln>
            </c:spPr>
          </c:marker>
          <c:dLbls>
            <c:dLbl>
              <c:idx val="0"/>
              <c:layout>
                <c:manualLayout>
                  <c:x val="-1.2759170653907496E-2"/>
                  <c:y val="-4.3290043290043288E-2"/>
                </c:manualLayout>
              </c:layout>
              <c:spPr/>
              <c:txPr>
                <a:bodyPr/>
                <a:lstStyle/>
                <a:p>
                  <a:pPr>
                    <a:defRPr sz="800"/>
                  </a:pPr>
                  <a:endParaRPr lang="cs-CZ"/>
                </a:p>
              </c:txPr>
              <c:showLegendKey val="0"/>
              <c:showVal val="0"/>
              <c:showCatName val="0"/>
              <c:showSerName val="1"/>
              <c:showPercent val="0"/>
              <c:showBubbleSize val="0"/>
            </c:dLbl>
            <c:showLegendKey val="0"/>
            <c:showVal val="0"/>
            <c:showCatName val="0"/>
            <c:showSerName val="1"/>
            <c:showPercent val="0"/>
            <c:showBubbleSize val="0"/>
            <c:showLeaderLines val="0"/>
          </c:dLbls>
          <c:xVal>
            <c:numRef>
              <c:f>'06_SII změna'!$Q$21</c:f>
              <c:numCache>
                <c:formatCode>General</c:formatCode>
                <c:ptCount val="1"/>
                <c:pt idx="0">
                  <c:v>0.59059322881288234</c:v>
                </c:pt>
              </c:numCache>
            </c:numRef>
          </c:xVal>
          <c:yVal>
            <c:numRef>
              <c:f>'06_SII změna'!$R$21</c:f>
              <c:numCache>
                <c:formatCode>General</c:formatCode>
                <c:ptCount val="1"/>
                <c:pt idx="0">
                  <c:v>14.254143631716065</c:v>
                </c:pt>
              </c:numCache>
            </c:numRef>
          </c:yVal>
          <c:smooth val="0"/>
        </c:ser>
        <c:ser>
          <c:idx val="19"/>
          <c:order val="19"/>
          <c:tx>
            <c:strRef>
              <c:f>'06_SII změna'!$P$22</c:f>
              <c:strCache>
                <c:ptCount val="1"/>
                <c:pt idx="0">
                  <c:v>IRL</c:v>
                </c:pt>
              </c:strCache>
            </c:strRef>
          </c:tx>
          <c:spPr>
            <a:ln w="28575">
              <a:noFill/>
            </a:ln>
          </c:spPr>
          <c:marker>
            <c:symbol val="circle"/>
            <c:size val="7"/>
            <c:spPr>
              <a:solidFill>
                <a:srgbClr val="8DE3B4"/>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změna'!$Q$22</c:f>
              <c:numCache>
                <c:formatCode>General</c:formatCode>
                <c:ptCount val="1"/>
                <c:pt idx="0">
                  <c:v>0.62817101568679568</c:v>
                </c:pt>
              </c:numCache>
            </c:numRef>
          </c:xVal>
          <c:yVal>
            <c:numRef>
              <c:f>'06_SII změna'!$R$22</c:f>
              <c:numCache>
                <c:formatCode>General</c:formatCode>
                <c:ptCount val="1"/>
                <c:pt idx="0">
                  <c:v>10.856760284839284</c:v>
                </c:pt>
              </c:numCache>
            </c:numRef>
          </c:yVal>
          <c:smooth val="0"/>
        </c:ser>
        <c:ser>
          <c:idx val="20"/>
          <c:order val="20"/>
          <c:tx>
            <c:strRef>
              <c:f>'06_SII změna'!$P$23</c:f>
              <c:strCache>
                <c:ptCount val="1"/>
                <c:pt idx="0">
                  <c:v>GBR</c:v>
                </c:pt>
              </c:strCache>
            </c:strRef>
          </c:tx>
          <c:spPr>
            <a:ln w="28575">
              <a:noFill/>
            </a:ln>
          </c:spPr>
          <c:marker>
            <c:symbol val="circle"/>
            <c:size val="7"/>
            <c:spPr>
              <a:solidFill>
                <a:srgbClr val="8DE3B4"/>
              </a:solidFill>
              <a:ln>
                <a:solidFill>
                  <a:schemeClr val="accent1"/>
                </a:solidFill>
              </a:ln>
            </c:spPr>
          </c:marker>
          <c:dLbls>
            <c:dLbl>
              <c:idx val="0"/>
              <c:layout>
                <c:manualLayout>
                  <c:x val="-8.5061137692716646E-3"/>
                  <c:y val="3.896103896103896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změna'!$Q$23</c:f>
              <c:numCache>
                <c:formatCode>General</c:formatCode>
                <c:ptCount val="1"/>
                <c:pt idx="0">
                  <c:v>0.63647566742178563</c:v>
                </c:pt>
              </c:numCache>
            </c:numRef>
          </c:xVal>
          <c:yVal>
            <c:numRef>
              <c:f>'06_SII změna'!$R$23</c:f>
              <c:numCache>
                <c:formatCode>General</c:formatCode>
                <c:ptCount val="1"/>
                <c:pt idx="0">
                  <c:v>7.8137623903685283</c:v>
                </c:pt>
              </c:numCache>
            </c:numRef>
          </c:yVal>
          <c:smooth val="0"/>
        </c:ser>
        <c:ser>
          <c:idx val="21"/>
          <c:order val="21"/>
          <c:tx>
            <c:strRef>
              <c:f>'06_SII změna'!$P$24</c:f>
              <c:strCache>
                <c:ptCount val="1"/>
                <c:pt idx="0">
                  <c:v>AUT</c:v>
                </c:pt>
              </c:strCache>
            </c:strRef>
          </c:tx>
          <c:spPr>
            <a:ln w="28575">
              <a:noFill/>
            </a:ln>
          </c:spPr>
          <c:marker>
            <c:symbol val="circle"/>
            <c:size val="7"/>
            <c:spPr>
              <a:solidFill>
                <a:srgbClr val="8DE3B4"/>
              </a:solidFill>
              <a:ln>
                <a:solidFill>
                  <a:schemeClr val="accent1"/>
                </a:solidFill>
              </a:ln>
            </c:spPr>
          </c:marker>
          <c:dLbls>
            <c:dLbl>
              <c:idx val="0"/>
              <c:layout>
                <c:manualLayout>
                  <c:x val="-4.4657097288676235E-2"/>
                  <c:y val="4.7619047619047616E-2"/>
                </c:manualLayout>
              </c:layout>
              <c:tx>
                <c:rich>
                  <a:bodyPr/>
                  <a:lstStyle/>
                  <a:p>
                    <a:r>
                      <a:rPr lang="en-US" sz="800"/>
                      <a:t>AUT</a:t>
                    </a:r>
                  </a:p>
                </c:rich>
              </c:tx>
              <c:showLegendKey val="0"/>
              <c:showVal val="0"/>
              <c:showCatName val="0"/>
              <c:showSerName val="1"/>
              <c:showPercent val="0"/>
              <c:showBubbleSize val="0"/>
            </c:dLbl>
            <c:showLegendKey val="0"/>
            <c:showVal val="0"/>
            <c:showCatName val="0"/>
            <c:showSerName val="1"/>
            <c:showPercent val="0"/>
            <c:showBubbleSize val="0"/>
            <c:showLeaderLines val="0"/>
          </c:dLbls>
          <c:xVal>
            <c:numRef>
              <c:f>'06_SII změna'!$Q$24</c:f>
              <c:numCache>
                <c:formatCode>General</c:formatCode>
                <c:ptCount val="1"/>
                <c:pt idx="0">
                  <c:v>0.58512820071503857</c:v>
                </c:pt>
              </c:numCache>
            </c:numRef>
          </c:xVal>
          <c:yVal>
            <c:numRef>
              <c:f>'06_SII změna'!$R$24</c:f>
              <c:numCache>
                <c:formatCode>General</c:formatCode>
                <c:ptCount val="1"/>
                <c:pt idx="0">
                  <c:v>13.478441242173457</c:v>
                </c:pt>
              </c:numCache>
            </c:numRef>
          </c:yVal>
          <c:smooth val="0"/>
        </c:ser>
        <c:ser>
          <c:idx val="22"/>
          <c:order val="22"/>
          <c:tx>
            <c:strRef>
              <c:f>'06_SII změna'!$P$25</c:f>
              <c:strCache>
                <c:ptCount val="1"/>
                <c:pt idx="0">
                  <c:v>NLD</c:v>
                </c:pt>
              </c:strCache>
            </c:strRef>
          </c:tx>
          <c:spPr>
            <a:ln w="28575">
              <a:noFill/>
            </a:ln>
          </c:spPr>
          <c:marker>
            <c:symbol val="circle"/>
            <c:size val="7"/>
            <c:spPr>
              <a:solidFill>
                <a:srgbClr val="8DE3B4"/>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změna'!$Q$25</c:f>
              <c:numCache>
                <c:formatCode>General</c:formatCode>
                <c:ptCount val="1"/>
                <c:pt idx="0">
                  <c:v>0.64725209878552159</c:v>
                </c:pt>
              </c:numCache>
            </c:numRef>
          </c:xVal>
          <c:yVal>
            <c:numRef>
              <c:f>'06_SII změna'!$R$25</c:f>
              <c:numCache>
                <c:formatCode>General</c:formatCode>
                <c:ptCount val="1"/>
                <c:pt idx="0">
                  <c:v>15.297507287977075</c:v>
                </c:pt>
              </c:numCache>
            </c:numRef>
          </c:yVal>
          <c:smooth val="0"/>
        </c:ser>
        <c:ser>
          <c:idx val="23"/>
          <c:order val="23"/>
          <c:tx>
            <c:strRef>
              <c:f>'06_SII změna'!$P$26</c:f>
              <c:strCache>
                <c:ptCount val="1"/>
                <c:pt idx="0">
                  <c:v>LUX</c:v>
                </c:pt>
              </c:strCache>
            </c:strRef>
          </c:tx>
          <c:spPr>
            <a:ln w="28575">
              <a:solidFill>
                <a:schemeClr val="accent1"/>
              </a:solidFill>
            </a:ln>
          </c:spPr>
          <c:marker>
            <c:symbol val="circle"/>
            <c:size val="7"/>
            <c:spPr>
              <a:solidFill>
                <a:srgbClr val="8DE3B4"/>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změna'!$Q$26</c:f>
              <c:numCache>
                <c:formatCode>General</c:formatCode>
                <c:ptCount val="1"/>
                <c:pt idx="0">
                  <c:v>0.64178139904618303</c:v>
                </c:pt>
              </c:numCache>
            </c:numRef>
          </c:xVal>
          <c:yVal>
            <c:numRef>
              <c:f>'06_SII změna'!$R$26</c:f>
              <c:numCache>
                <c:formatCode>General</c:formatCode>
                <c:ptCount val="1"/>
                <c:pt idx="0">
                  <c:v>12.629623626810282</c:v>
                </c:pt>
              </c:numCache>
            </c:numRef>
          </c:yVal>
          <c:smooth val="0"/>
        </c:ser>
        <c:ser>
          <c:idx val="24"/>
          <c:order val="24"/>
          <c:tx>
            <c:strRef>
              <c:f>'06_SII změna'!$P$27</c:f>
              <c:strCache>
                <c:ptCount val="1"/>
                <c:pt idx="0">
                  <c:v>BEL</c:v>
                </c:pt>
              </c:strCache>
            </c:strRef>
          </c:tx>
          <c:spPr>
            <a:ln w="28575">
              <a:noFill/>
            </a:ln>
          </c:spPr>
          <c:marker>
            <c:symbol val="circle"/>
            <c:size val="7"/>
            <c:spPr>
              <a:solidFill>
                <a:srgbClr val="8DE3B4"/>
              </a:solidFill>
              <a:ln>
                <a:solidFill>
                  <a:schemeClr val="accent1"/>
                </a:solidFill>
              </a:ln>
            </c:spPr>
          </c:marker>
          <c:dLbls>
            <c:dLbl>
              <c:idx val="0"/>
              <c:layout>
                <c:manualLayout>
                  <c:x val="-2.9771398192450824E-2"/>
                  <c:y val="4.3290043290043288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změna'!$Q$27</c:f>
              <c:numCache>
                <c:formatCode>General</c:formatCode>
                <c:ptCount val="1"/>
                <c:pt idx="0">
                  <c:v>0.61930214474641843</c:v>
                </c:pt>
              </c:numCache>
            </c:numRef>
          </c:xVal>
          <c:yVal>
            <c:numRef>
              <c:f>'06_SII změna'!$R$27</c:f>
              <c:numCache>
                <c:formatCode>General</c:formatCode>
                <c:ptCount val="1"/>
                <c:pt idx="0">
                  <c:v>5.278865460772586</c:v>
                </c:pt>
              </c:numCache>
            </c:numRef>
          </c:yVal>
          <c:smooth val="0"/>
        </c:ser>
        <c:ser>
          <c:idx val="25"/>
          <c:order val="25"/>
          <c:tx>
            <c:strRef>
              <c:f>'06_SII změna'!$P$28</c:f>
              <c:strCache>
                <c:ptCount val="1"/>
                <c:pt idx="0">
                  <c:v>DNK</c:v>
                </c:pt>
              </c:strCache>
            </c:strRef>
          </c:tx>
          <c:spPr>
            <a:ln w="28575">
              <a:solidFill>
                <a:schemeClr val="accent1"/>
              </a:solidFill>
            </a:ln>
          </c:spPr>
          <c:marker>
            <c:symbol val="circle"/>
            <c:size val="7"/>
            <c:spPr>
              <a:solidFill>
                <a:schemeClr val="accent3">
                  <a:lumMod val="50000"/>
                </a:schemeClr>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změna'!$Q$28</c:f>
              <c:numCache>
                <c:formatCode>General</c:formatCode>
                <c:ptCount val="1"/>
                <c:pt idx="0">
                  <c:v>0.73618789859117573</c:v>
                </c:pt>
              </c:numCache>
            </c:numRef>
          </c:xVal>
          <c:yVal>
            <c:numRef>
              <c:f>'06_SII změna'!$R$28</c:f>
              <c:numCache>
                <c:formatCode>General</c:formatCode>
                <c:ptCount val="1"/>
                <c:pt idx="0">
                  <c:v>7.5724184248149973</c:v>
                </c:pt>
              </c:numCache>
            </c:numRef>
          </c:yVal>
          <c:smooth val="0"/>
        </c:ser>
        <c:ser>
          <c:idx val="26"/>
          <c:order val="26"/>
          <c:tx>
            <c:strRef>
              <c:f>'06_SII změna'!$P$29</c:f>
              <c:strCache>
                <c:ptCount val="1"/>
                <c:pt idx="0">
                  <c:v>FIN</c:v>
                </c:pt>
              </c:strCache>
            </c:strRef>
          </c:tx>
          <c:spPr>
            <a:ln w="28575">
              <a:solidFill>
                <a:schemeClr val="accent1"/>
              </a:solidFill>
            </a:ln>
          </c:spPr>
          <c:marker>
            <c:symbol val="circle"/>
            <c:size val="7"/>
            <c:spPr>
              <a:solidFill>
                <a:schemeClr val="accent3">
                  <a:lumMod val="50000"/>
                </a:schemeClr>
              </a:solidFill>
              <a:ln>
                <a:solidFill>
                  <a:schemeClr val="accent1"/>
                </a:solidFill>
              </a:ln>
            </c:spPr>
          </c:marker>
          <c:dLbls>
            <c:dLbl>
              <c:idx val="0"/>
              <c:layout>
                <c:manualLayout>
                  <c:x val="-1.2759170653907496E-2"/>
                  <c:y val="-3.4632034632034708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změna'!$Q$29</c:f>
              <c:numCache>
                <c:formatCode>General</c:formatCode>
                <c:ptCount val="1"/>
                <c:pt idx="0">
                  <c:v>0.6764295022418837</c:v>
                </c:pt>
              </c:numCache>
            </c:numRef>
          </c:xVal>
          <c:yVal>
            <c:numRef>
              <c:f>'06_SII změna'!$R$29</c:f>
              <c:numCache>
                <c:formatCode>General</c:formatCode>
                <c:ptCount val="1"/>
                <c:pt idx="0">
                  <c:v>7.3089788425080737</c:v>
                </c:pt>
              </c:numCache>
            </c:numRef>
          </c:yVal>
          <c:smooth val="0"/>
        </c:ser>
        <c:ser>
          <c:idx val="27"/>
          <c:order val="27"/>
          <c:tx>
            <c:strRef>
              <c:f>'06_SII změna'!$P$30</c:f>
              <c:strCache>
                <c:ptCount val="1"/>
                <c:pt idx="0">
                  <c:v>DEU</c:v>
                </c:pt>
              </c:strCache>
            </c:strRef>
          </c:tx>
          <c:spPr>
            <a:ln w="28575">
              <a:solidFill>
                <a:schemeClr val="accent1"/>
              </a:solidFill>
            </a:ln>
          </c:spPr>
          <c:marker>
            <c:symbol val="circle"/>
            <c:size val="7"/>
            <c:spPr>
              <a:solidFill>
                <a:schemeClr val="accent3">
                  <a:lumMod val="50000"/>
                </a:schemeClr>
              </a:solidFill>
              <a:ln>
                <a:solidFill>
                  <a:schemeClr val="accent1"/>
                </a:solidFill>
              </a:ln>
            </c:spPr>
          </c:marker>
          <c:dLbls>
            <c:dLbl>
              <c:idx val="0"/>
              <c:layout>
                <c:manualLayout>
                  <c:x val="-2.1265284423179161E-2"/>
                  <c:y val="3.896103896103896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změna'!$Q$30</c:f>
              <c:numCache>
                <c:formatCode>General</c:formatCode>
                <c:ptCount val="1"/>
                <c:pt idx="0">
                  <c:v>0.67629221309448895</c:v>
                </c:pt>
              </c:numCache>
            </c:numRef>
          </c:xVal>
          <c:yVal>
            <c:numRef>
              <c:f>'06_SII změna'!$R$30</c:f>
              <c:numCache>
                <c:formatCode>General</c:formatCode>
                <c:ptCount val="1"/>
                <c:pt idx="0">
                  <c:v>4.7466156995344289</c:v>
                </c:pt>
              </c:numCache>
            </c:numRef>
          </c:yVal>
          <c:smooth val="0"/>
        </c:ser>
        <c:ser>
          <c:idx val="28"/>
          <c:order val="28"/>
          <c:tx>
            <c:strRef>
              <c:f>'06_SII změna'!$P$31</c:f>
              <c:strCache>
                <c:ptCount val="1"/>
                <c:pt idx="0">
                  <c:v>SWE</c:v>
                </c:pt>
              </c:strCache>
            </c:strRef>
          </c:tx>
          <c:spPr>
            <a:ln w="28575">
              <a:noFill/>
            </a:ln>
          </c:spPr>
          <c:marker>
            <c:symbol val="circle"/>
            <c:size val="7"/>
            <c:spPr>
              <a:solidFill>
                <a:schemeClr val="accent3">
                  <a:lumMod val="50000"/>
                </a:schemeClr>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změna'!$Q$31</c:f>
              <c:numCache>
                <c:formatCode>General</c:formatCode>
                <c:ptCount val="1"/>
                <c:pt idx="0">
                  <c:v>0.74005391465388692</c:v>
                </c:pt>
              </c:numCache>
            </c:numRef>
          </c:xVal>
          <c:yVal>
            <c:numRef>
              <c:f>'06_SII změna'!$R$31</c:f>
              <c:numCache>
                <c:formatCode>General</c:formatCode>
                <c:ptCount val="1"/>
                <c:pt idx="0">
                  <c:v>1.0581634516884764</c:v>
                </c:pt>
              </c:numCache>
            </c:numRef>
          </c:yVal>
          <c:smooth val="0"/>
        </c:ser>
        <c:dLbls>
          <c:showLegendKey val="0"/>
          <c:showVal val="1"/>
          <c:showCatName val="0"/>
          <c:showSerName val="0"/>
          <c:showPercent val="0"/>
          <c:showBubbleSize val="0"/>
        </c:dLbls>
        <c:axId val="134625152"/>
        <c:axId val="134656000"/>
      </c:scatterChart>
      <c:valAx>
        <c:axId val="134625152"/>
        <c:scaling>
          <c:orientation val="minMax"/>
          <c:max val="0.75000000000000011"/>
          <c:min val="0.2"/>
        </c:scaling>
        <c:delete val="0"/>
        <c:axPos val="b"/>
        <c:title>
          <c:tx>
            <c:rich>
              <a:bodyPr/>
              <a:lstStyle/>
              <a:p>
                <a:pPr>
                  <a:defRPr/>
                </a:pPr>
                <a:r>
                  <a:rPr lang="en-US"/>
                  <a:t>SII v roce 2014</a:t>
                </a:r>
              </a:p>
            </c:rich>
          </c:tx>
          <c:layout/>
          <c:overlay val="0"/>
        </c:title>
        <c:numFmt formatCode="General" sourceLinked="1"/>
        <c:majorTickMark val="out"/>
        <c:minorTickMark val="none"/>
        <c:tickLblPos val="nextTo"/>
        <c:crossAx val="134656000"/>
        <c:crossesAt val="12.5"/>
        <c:crossBetween val="midCat"/>
      </c:valAx>
      <c:valAx>
        <c:axId val="134656000"/>
        <c:scaling>
          <c:orientation val="minMax"/>
          <c:max val="60"/>
          <c:min val="-2"/>
        </c:scaling>
        <c:delete val="0"/>
        <c:axPos val="l"/>
        <c:title>
          <c:tx>
            <c:rich>
              <a:bodyPr rot="-5400000" vert="horz"/>
              <a:lstStyle/>
              <a:p>
                <a:pPr>
                  <a:defRPr/>
                </a:pPr>
                <a:r>
                  <a:rPr lang="en-US"/>
                  <a:t>% SII změna 2014/2006</a:t>
                </a:r>
              </a:p>
            </c:rich>
          </c:tx>
          <c:layout/>
          <c:overlay val="0"/>
        </c:title>
        <c:numFmt formatCode="General" sourceLinked="1"/>
        <c:majorTickMark val="out"/>
        <c:minorTickMark val="none"/>
        <c:tickLblPos val="nextTo"/>
        <c:crossAx val="134625152"/>
        <c:crossesAt val="0.55510766724328608"/>
        <c:crossBetween val="midCat"/>
      </c:valAx>
      <c:spPr>
        <a:ln>
          <a:noFill/>
        </a:ln>
      </c:spPr>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'00a_mapa_update'!$A$6</c:f>
              <c:strCache>
                <c:ptCount val="1"/>
                <c:pt idx="0">
                  <c:v>CZ</c:v>
                </c:pt>
              </c:strCache>
            </c:strRef>
          </c:tx>
          <c:spPr>
            <a:ln>
              <a:solidFill>
                <a:srgbClr val="C00000"/>
              </a:solidFill>
            </a:ln>
          </c:spPr>
          <c:marker>
            <c:spPr>
              <a:solidFill>
                <a:srgbClr val="C00000"/>
              </a:solidFill>
              <a:ln>
                <a:noFill/>
              </a:ln>
            </c:spPr>
          </c:marker>
          <c:cat>
            <c:numRef>
              <c:f>'00a_mapa_update'!$C$2:$K$2</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'00a_mapa_update'!$C$6:$K$6</c:f>
              <c:numCache>
                <c:formatCode>General</c:formatCode>
                <c:ptCount val="9"/>
                <c:pt idx="0">
                  <c:v>0.37422649271003822</c:v>
                </c:pt>
                <c:pt idx="1">
                  <c:v>0.38995977198468273</c:v>
                </c:pt>
                <c:pt idx="2">
                  <c:v>0.36879443395153044</c:v>
                </c:pt>
                <c:pt idx="3">
                  <c:v>0.37442170645771372</c:v>
                </c:pt>
                <c:pt idx="4">
                  <c:v>0.41095622614640726</c:v>
                </c:pt>
                <c:pt idx="5">
                  <c:v>0.41610797286228191</c:v>
                </c:pt>
                <c:pt idx="6">
                  <c:v>0.40535616027674787</c:v>
                </c:pt>
                <c:pt idx="7">
                  <c:v>0.42178993919841473</c:v>
                </c:pt>
                <c:pt idx="8">
                  <c:v>0.44705186905054251</c:v>
                </c:pt>
              </c:numCache>
            </c:numRef>
          </c:val>
          <c:smooth val="0"/>
        </c:ser>
        <c:ser>
          <c:idx val="1"/>
          <c:order val="1"/>
          <c:tx>
            <c:strRef>
              <c:f>'00a_mapa_update'!$A$22</c:f>
              <c:strCache>
                <c:ptCount val="1"/>
                <c:pt idx="0">
                  <c:v>AT</c:v>
                </c:pt>
              </c:strCache>
            </c:strRef>
          </c:tx>
          <c:spPr>
            <a:ln>
              <a:solidFill>
                <a:schemeClr val="accent1">
                  <a:lumMod val="75000"/>
                </a:schemeClr>
              </a:solidFill>
            </a:ln>
          </c:spPr>
          <c:marker>
            <c:spPr>
              <a:solidFill>
                <a:schemeClr val="accent1">
                  <a:lumMod val="75000"/>
                </a:schemeClr>
              </a:solidFill>
              <a:ln>
                <a:solidFill>
                  <a:schemeClr val="accent1">
                    <a:lumMod val="75000"/>
                  </a:schemeClr>
                </a:solidFill>
              </a:ln>
            </c:spPr>
          </c:marker>
          <c:cat>
            <c:numRef>
              <c:f>'00a_mapa_update'!$C$2:$K$2</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'00a_mapa_update'!$C$22:$K$22</c:f>
              <c:numCache>
                <c:formatCode>General</c:formatCode>
                <c:ptCount val="9"/>
                <c:pt idx="0">
                  <c:v>0.51562939560151433</c:v>
                </c:pt>
                <c:pt idx="1">
                  <c:v>0.5274912016148372</c:v>
                </c:pt>
                <c:pt idx="2">
                  <c:v>0.58285430284948336</c:v>
                </c:pt>
                <c:pt idx="3">
                  <c:v>0.5966014593943415</c:v>
                </c:pt>
                <c:pt idx="4">
                  <c:v>0.57078734894541394</c:v>
                </c:pt>
                <c:pt idx="5">
                  <c:v>0.5826878484357334</c:v>
                </c:pt>
                <c:pt idx="6">
                  <c:v>0.59860903454017811</c:v>
                </c:pt>
                <c:pt idx="7">
                  <c:v>0.59909146637092625</c:v>
                </c:pt>
                <c:pt idx="8">
                  <c:v>0.58512820071503857</c:v>
                </c:pt>
              </c:numCache>
            </c:numRef>
          </c:val>
          <c:smooth val="0"/>
        </c:ser>
        <c:dLbls>
          <c:showLegendKey val="0"/>
          <c:showVal val="0"/>
          <c:showCatName val="0"/>
          <c:showSerName val="0"/>
          <c:showPercent val="0"/>
          <c:showBubbleSize val="0"/>
        </c:dLbls>
        <c:marker val="1"/>
        <c:smooth val="0"/>
        <c:axId val="134672384"/>
        <c:axId val="134674304"/>
      </c:lineChart>
      <c:catAx>
        <c:axId val="134672384"/>
        <c:scaling>
          <c:orientation val="minMax"/>
        </c:scaling>
        <c:delete val="0"/>
        <c:axPos val="b"/>
        <c:numFmt formatCode="General" sourceLinked="1"/>
        <c:majorTickMark val="out"/>
        <c:minorTickMark val="none"/>
        <c:tickLblPos val="nextTo"/>
        <c:crossAx val="134674304"/>
        <c:crosses val="autoZero"/>
        <c:auto val="1"/>
        <c:lblAlgn val="ctr"/>
        <c:lblOffset val="100"/>
        <c:noMultiLvlLbl val="0"/>
      </c:catAx>
      <c:valAx>
        <c:axId val="134674304"/>
        <c:scaling>
          <c:orientation val="minMax"/>
        </c:scaling>
        <c:delete val="0"/>
        <c:axPos val="l"/>
        <c:majorGridlines/>
        <c:numFmt formatCode="General" sourceLinked="1"/>
        <c:majorTickMark val="out"/>
        <c:minorTickMark val="none"/>
        <c:tickLblPos val="nextTo"/>
        <c:crossAx val="134672384"/>
        <c:crosses val="autoZero"/>
        <c:crossBetween val="between"/>
        <c:majorUnit val="0.25"/>
      </c:valAx>
    </c:plotArea>
    <c:legend>
      <c:legendPos val="b"/>
      <c:layout/>
      <c:overlay val="0"/>
    </c:legend>
    <c:plotVisOnly val="1"/>
    <c:dispBlanksAs val="zero"/>
    <c:showDLblsOverMax val="0"/>
  </c:chart>
  <c:spPr>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0.52389</cdr:x>
      <cdr:y>0.17931</cdr:y>
    </cdr:from>
    <cdr:to>
      <cdr:x>0.54218</cdr:x>
      <cdr:y>0.34254</cdr:y>
    </cdr:to>
    <cdr:sp macro="" textlink="">
      <cdr:nvSpPr>
        <cdr:cNvPr id="2" name="Šipka dolů 1"/>
        <cdr:cNvSpPr/>
      </cdr:nvSpPr>
      <cdr:spPr>
        <a:xfrm xmlns:a="http://schemas.openxmlformats.org/drawingml/2006/main">
          <a:off x="3129099" y="375285"/>
          <a:ext cx="109220" cy="341630"/>
        </a:xfrm>
        <a:prstGeom xmlns:a="http://schemas.openxmlformats.org/drawingml/2006/main" prst="downArrow">
          <a:avLst/>
        </a:prstGeom>
        <a:gradFill xmlns:a="http://schemas.openxmlformats.org/drawingml/2006/main"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xmlns:a="http://schemas.openxmlformats.org/drawingml/2006/main" w="9525" cap="flat" cmpd="sng" algn="ctr">
          <a:solidFill>
            <a:srgbClr val="C0504D">
              <a:shade val="95000"/>
              <a:satMod val="105000"/>
            </a:srgbClr>
          </a:solidFill>
          <a:prstDash val="solid"/>
        </a:ln>
        <a:effectLst xmlns:a="http://schemas.openxmlformats.org/drawingml/2006/main">
          <a:outerShdw blurRad="40000" dist="20000" dir="5400000" rotWithShape="0">
            <a:srgbClr val="000000">
              <a:alpha val="38000"/>
            </a:srgbClr>
          </a:outerShdw>
        </a:effectLst>
      </cdr:spPr>
    </cdr:sp>
  </cdr:relSizeAnchor>
</c:userShape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59F99-01D9-48A7-8D65-635FD3BAE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93</Pages>
  <Words>22563</Words>
  <Characters>133122</Characters>
  <Application>Microsoft Office Word</Application>
  <DocSecurity>0</DocSecurity>
  <Lines>1109</Lines>
  <Paragraphs>310</Paragraphs>
  <ScaleCrop>false</ScaleCrop>
  <HeadingPairs>
    <vt:vector size="2" baseType="variant">
      <vt:variant>
        <vt:lpstr>Název</vt:lpstr>
      </vt:variant>
      <vt:variant>
        <vt:i4>1</vt:i4>
      </vt:variant>
    </vt:vector>
  </HeadingPairs>
  <TitlesOfParts>
    <vt:vector size="1" baseType="lpstr">
      <vt:lpstr/>
    </vt:vector>
  </TitlesOfParts>
  <Company>Úřad vlády ČR</Company>
  <LinksUpToDate>false</LinksUpToDate>
  <CharactersWithSpaces>155375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Kureková Lucie;Vítek Tomáš</dc:creator>
  <cp:lastModifiedBy>Vítek Tomáš</cp:lastModifiedBy>
  <cp:revision>4</cp:revision>
  <cp:lastPrinted>2015-08-18T11:50:00Z</cp:lastPrinted>
  <dcterms:created xsi:type="dcterms:W3CDTF">2016-10-17T07:36:00Z</dcterms:created>
  <dcterms:modified xsi:type="dcterms:W3CDTF">2016-10-17T07:49:00Z</dcterms:modified>
</cp:coreProperties>
</file>