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E2B" w:rsidRPr="00D90A6C" w:rsidRDefault="00902E2B" w:rsidP="00C441A4">
      <w:pPr>
        <w:pStyle w:val="Nadpis1"/>
        <w:spacing w:after="60"/>
      </w:pPr>
      <w:bookmarkStart w:id="0" w:name="_Toc472327438"/>
      <w:bookmarkStart w:id="1" w:name="_GoBack"/>
      <w:bookmarkEnd w:id="1"/>
      <w:r w:rsidRPr="00D90A6C">
        <w:t xml:space="preserve">Název programu: </w:t>
      </w:r>
      <w:r w:rsidRPr="00902E2B">
        <w:rPr>
          <w:color w:val="FF0000"/>
        </w:rPr>
        <w:t>„</w:t>
      </w:r>
      <w:r w:rsidR="00D90CDE">
        <w:rPr>
          <w:color w:val="FF0000"/>
        </w:rPr>
        <w:t>Národní centra kompetence</w:t>
      </w:r>
      <w:r w:rsidRPr="00902E2B">
        <w:rPr>
          <w:color w:val="FF0000"/>
        </w:rPr>
        <w:t>“</w:t>
      </w:r>
      <w:bookmarkEnd w:id="0"/>
    </w:p>
    <w:p w:rsidR="00902E2B" w:rsidRPr="00902E2B" w:rsidRDefault="00902E2B" w:rsidP="00C441A4">
      <w:pPr>
        <w:pStyle w:val="Nadpis2"/>
        <w:spacing w:after="60"/>
      </w:pPr>
      <w:bookmarkStart w:id="2" w:name="_Toc472327439"/>
      <w:r w:rsidRPr="00902E2B">
        <w:t>Zaměření a cíle programu:</w:t>
      </w:r>
      <w:bookmarkEnd w:id="2"/>
    </w:p>
    <w:p w:rsidR="003F5405" w:rsidRDefault="003F5405" w:rsidP="00C441A4">
      <w:pPr>
        <w:tabs>
          <w:tab w:val="left" w:pos="5308"/>
        </w:tabs>
        <w:spacing w:after="60"/>
        <w:jc w:val="both"/>
        <w:rPr>
          <w:rFonts w:asciiTheme="majorHAnsi" w:hAnsiTheme="majorHAnsi"/>
        </w:rPr>
      </w:pPr>
      <w:r w:rsidRPr="002F6778">
        <w:rPr>
          <w:rFonts w:asciiTheme="majorHAnsi" w:hAnsiTheme="majorHAnsi"/>
        </w:rPr>
        <w:t xml:space="preserve">Program je zaměřen na </w:t>
      </w:r>
      <w:r>
        <w:rPr>
          <w:rFonts w:asciiTheme="majorHAnsi" w:hAnsiTheme="majorHAnsi"/>
        </w:rPr>
        <w:t>podporu různých forem dlouhodobé spolupráce mezi výzkumnou a aplikační sférou</w:t>
      </w:r>
      <w:r w:rsidR="00EB7FDB">
        <w:rPr>
          <w:rFonts w:asciiTheme="majorHAnsi" w:hAnsiTheme="majorHAnsi"/>
        </w:rPr>
        <w:t xml:space="preserve"> a</w:t>
      </w:r>
      <w:r>
        <w:rPr>
          <w:rFonts w:asciiTheme="majorHAnsi" w:hAnsiTheme="majorHAnsi"/>
        </w:rPr>
        <w:t xml:space="preserve"> posílení institucionální základny aplikovaného výzkumu.</w:t>
      </w:r>
    </w:p>
    <w:p w:rsidR="003F5405" w:rsidRDefault="003F5405" w:rsidP="00C441A4">
      <w:pPr>
        <w:tabs>
          <w:tab w:val="left" w:pos="5308"/>
        </w:tabs>
        <w:spacing w:after="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 souladu s Národní </w:t>
      </w:r>
      <w:r w:rsidRPr="005F0D55">
        <w:rPr>
          <w:rFonts w:asciiTheme="majorHAnsi" w:hAnsiTheme="majorHAnsi"/>
        </w:rPr>
        <w:t>politik</w:t>
      </w:r>
      <w:r>
        <w:rPr>
          <w:rFonts w:asciiTheme="majorHAnsi" w:hAnsiTheme="majorHAnsi"/>
        </w:rPr>
        <w:t>ou</w:t>
      </w:r>
      <w:r w:rsidRPr="005F0D55">
        <w:rPr>
          <w:rFonts w:asciiTheme="majorHAnsi" w:hAnsiTheme="majorHAnsi"/>
        </w:rPr>
        <w:t xml:space="preserve"> výzkumu, vývoje a inovací České republiky na léta 2016 – 2020</w:t>
      </w:r>
      <w:r>
        <w:rPr>
          <w:rFonts w:asciiTheme="majorHAnsi" w:hAnsiTheme="majorHAnsi"/>
        </w:rPr>
        <w:t xml:space="preserve"> je záměrem</w:t>
      </w:r>
      <w:r w:rsidRPr="005F0D55">
        <w:rPr>
          <w:rFonts w:asciiTheme="majorHAnsi" w:hAnsiTheme="majorHAnsi"/>
        </w:rPr>
        <w:t xml:space="preserve"> výrazně posílit segment výzkumných organizací zaměřených na aplikovaný výzkum a</w:t>
      </w:r>
      <w:r w:rsidR="0022208A">
        <w:rPr>
          <w:rFonts w:asciiTheme="majorHAnsi" w:hAnsiTheme="majorHAnsi"/>
        </w:rPr>
        <w:t> </w:t>
      </w:r>
      <w:r w:rsidRPr="005F0D55">
        <w:rPr>
          <w:rFonts w:asciiTheme="majorHAnsi" w:hAnsiTheme="majorHAnsi"/>
        </w:rPr>
        <w:t xml:space="preserve">motivovat relevantní stávající výzkumná pracoviště, aby </w:t>
      </w:r>
      <w:r w:rsidR="0022208A">
        <w:rPr>
          <w:rFonts w:asciiTheme="majorHAnsi" w:hAnsiTheme="majorHAnsi"/>
        </w:rPr>
        <w:t>se transformovala na výzkumně a </w:t>
      </w:r>
      <w:r w:rsidRPr="005F0D55">
        <w:rPr>
          <w:rFonts w:asciiTheme="majorHAnsi" w:hAnsiTheme="majorHAnsi"/>
        </w:rPr>
        <w:t xml:space="preserve">technologicky zaměřená centra, kde bude realizován kvalitní aplikovaný výzkum podle potřeb aplikační sféry. </w:t>
      </w:r>
      <w:r w:rsidRPr="002F6778">
        <w:rPr>
          <w:rFonts w:asciiTheme="majorHAnsi" w:hAnsiTheme="majorHAnsi"/>
        </w:rPr>
        <w:t>Záměrem je synergicky provázat již existující úspěšná centra, která vznikla za podpory TA ČR (Centra kompetence), GA ČR (Centra excelence) a operačních programů (zejména tzv. VaVpI Centra) s dalšími výzkumnými centry a jednotkami do jednoho integrovaného systému.</w:t>
      </w:r>
    </w:p>
    <w:p w:rsidR="003F5405" w:rsidRDefault="003F5405" w:rsidP="00C441A4">
      <w:pPr>
        <w:tabs>
          <w:tab w:val="left" w:pos="5308"/>
        </w:tabs>
        <w:spacing w:after="60"/>
        <w:jc w:val="both"/>
        <w:rPr>
          <w:rFonts w:asciiTheme="majorHAnsi" w:hAnsiTheme="majorHAnsi"/>
        </w:rPr>
      </w:pPr>
      <w:r w:rsidRPr="005F0D55">
        <w:rPr>
          <w:rFonts w:asciiTheme="majorHAnsi" w:hAnsiTheme="majorHAnsi"/>
        </w:rPr>
        <w:t xml:space="preserve">Tato pracoviště </w:t>
      </w:r>
      <w:r>
        <w:rPr>
          <w:rFonts w:asciiTheme="majorHAnsi" w:hAnsiTheme="majorHAnsi"/>
        </w:rPr>
        <w:t>by měla</w:t>
      </w:r>
      <w:r w:rsidRPr="005F0D55">
        <w:rPr>
          <w:rFonts w:asciiTheme="majorHAnsi" w:hAnsiTheme="majorHAnsi"/>
        </w:rPr>
        <w:t xml:space="preserve"> intenzivně spolupracovat s aplikačním sektorem a </w:t>
      </w:r>
      <w:r>
        <w:rPr>
          <w:rFonts w:asciiTheme="majorHAnsi" w:hAnsiTheme="majorHAnsi"/>
        </w:rPr>
        <w:t>měla by</w:t>
      </w:r>
      <w:r w:rsidRPr="005F0D55">
        <w:rPr>
          <w:rFonts w:asciiTheme="majorHAnsi" w:hAnsiTheme="majorHAnsi"/>
        </w:rPr>
        <w:t xml:space="preserve"> vytvářet poznatky s vysokým potenciálem pro přímé uplatnění v</w:t>
      </w:r>
      <w:r>
        <w:rPr>
          <w:rFonts w:asciiTheme="majorHAnsi" w:hAnsiTheme="majorHAnsi"/>
        </w:rPr>
        <w:t xml:space="preserve"> praxi, dále by měla </w:t>
      </w:r>
      <w:r w:rsidRPr="005F0D55">
        <w:rPr>
          <w:rFonts w:asciiTheme="majorHAnsi" w:hAnsiTheme="majorHAnsi"/>
        </w:rPr>
        <w:t>získávat významnou část svých</w:t>
      </w:r>
      <w:r>
        <w:rPr>
          <w:rFonts w:asciiTheme="majorHAnsi" w:hAnsiTheme="majorHAnsi"/>
        </w:rPr>
        <w:t xml:space="preserve"> </w:t>
      </w:r>
      <w:r w:rsidRPr="005F0D55">
        <w:rPr>
          <w:rFonts w:asciiTheme="majorHAnsi" w:hAnsiTheme="majorHAnsi"/>
        </w:rPr>
        <w:t>příjmů ze smluvního výzkumu.</w:t>
      </w:r>
      <w:r>
        <w:rPr>
          <w:rFonts w:asciiTheme="majorHAnsi" w:hAnsiTheme="majorHAnsi"/>
        </w:rPr>
        <w:t xml:space="preserve"> Záměrem je také posílit výzkumné a inovační aktivity podniků, respektive stimulovat rozvoj aktivit výzkumu a vývoje a </w:t>
      </w:r>
      <w:r w:rsidRPr="005F0D55">
        <w:rPr>
          <w:rFonts w:asciiTheme="majorHAnsi" w:hAnsiTheme="majorHAnsi"/>
        </w:rPr>
        <w:t>zvýšení schopnosti podniků absorbovat výsledky výzkumu realizovaného ve výzkumných organizacích</w:t>
      </w:r>
      <w:r>
        <w:rPr>
          <w:rFonts w:asciiTheme="majorHAnsi" w:hAnsiTheme="majorHAnsi"/>
        </w:rPr>
        <w:t>.</w:t>
      </w:r>
    </w:p>
    <w:p w:rsidR="003F5405" w:rsidRPr="009D7716" w:rsidRDefault="003F5405" w:rsidP="00C441A4">
      <w:pPr>
        <w:tabs>
          <w:tab w:val="left" w:pos="5308"/>
        </w:tabs>
        <w:spacing w:after="60"/>
        <w:jc w:val="both"/>
        <w:rPr>
          <w:rFonts w:asciiTheme="majorHAnsi" w:hAnsiTheme="majorHAnsi"/>
        </w:rPr>
      </w:pPr>
      <w:r w:rsidRPr="002F6778">
        <w:rPr>
          <w:rFonts w:asciiTheme="majorHAnsi" w:hAnsiTheme="majorHAnsi"/>
        </w:rPr>
        <w:t xml:space="preserve">Cílem programu je zvýšení efektivity a kvality výsledků aplikovaného výzkumu a transferu technologií v perspektivních oborech a zvýšení konkurenceschopnosti podniků a posílení excelence a aplikační relevance výzkumných organizací. </w:t>
      </w:r>
      <w:r>
        <w:rPr>
          <w:rFonts w:asciiTheme="majorHAnsi" w:hAnsiTheme="majorHAnsi"/>
        </w:rPr>
        <w:t xml:space="preserve">Předpokládá se mimo jiné </w:t>
      </w:r>
      <w:r w:rsidRPr="002F6778">
        <w:rPr>
          <w:rFonts w:asciiTheme="majorHAnsi" w:hAnsiTheme="majorHAnsi"/>
        </w:rPr>
        <w:t>vznik velkých komplexních průmyslově orientovaných center s</w:t>
      </w:r>
      <w:r>
        <w:rPr>
          <w:rFonts w:asciiTheme="majorHAnsi" w:hAnsiTheme="majorHAnsi"/>
        </w:rPr>
        <w:t> </w:t>
      </w:r>
      <w:r w:rsidRPr="002F6778">
        <w:rPr>
          <w:rFonts w:asciiTheme="majorHAnsi" w:hAnsiTheme="majorHAnsi"/>
        </w:rPr>
        <w:t>mezinárodním přesahem</w:t>
      </w:r>
      <w:r>
        <w:rPr>
          <w:rFonts w:asciiTheme="majorHAnsi" w:hAnsiTheme="majorHAnsi"/>
        </w:rPr>
        <w:t xml:space="preserve">, </w:t>
      </w:r>
      <w:r w:rsidRPr="002F6778">
        <w:rPr>
          <w:rFonts w:asciiTheme="majorHAnsi" w:hAnsiTheme="majorHAnsi"/>
        </w:rPr>
        <w:t>potenciálem přelomových inovací</w:t>
      </w:r>
      <w:r w:rsidR="008E447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a </w:t>
      </w:r>
      <w:r w:rsidRPr="002F6778">
        <w:rPr>
          <w:rFonts w:asciiTheme="majorHAnsi" w:hAnsiTheme="majorHAnsi"/>
        </w:rPr>
        <w:t>postaven</w:t>
      </w:r>
      <w:r>
        <w:rPr>
          <w:rFonts w:asciiTheme="majorHAnsi" w:hAnsiTheme="majorHAnsi"/>
        </w:rPr>
        <w:t>ých</w:t>
      </w:r>
      <w:r w:rsidRPr="002F6778">
        <w:rPr>
          <w:rFonts w:asciiTheme="majorHAnsi" w:hAnsiTheme="majorHAnsi"/>
        </w:rPr>
        <w:t xml:space="preserve"> na excelentních týmech. </w:t>
      </w:r>
      <w:r>
        <w:rPr>
          <w:rFonts w:asciiTheme="majorHAnsi" w:hAnsiTheme="majorHAnsi"/>
        </w:rPr>
        <w:t>Tato c</w:t>
      </w:r>
      <w:r w:rsidRPr="002F6778">
        <w:rPr>
          <w:rFonts w:asciiTheme="majorHAnsi" w:hAnsiTheme="majorHAnsi"/>
        </w:rPr>
        <w:t xml:space="preserve">entra by měla překračovat kritickou velikost pro participaci v rozsáhlejších projektech, s dlouhodobým financováním alespoň na 8 let. Záměrem je také propojit dosud málo nebo vůbec nekomunikující odvětví. Dále by </w:t>
      </w:r>
      <w:r>
        <w:rPr>
          <w:rFonts w:asciiTheme="majorHAnsi" w:hAnsiTheme="majorHAnsi"/>
        </w:rPr>
        <w:t>centra</w:t>
      </w:r>
      <w:r w:rsidRPr="002F6778">
        <w:rPr>
          <w:rFonts w:asciiTheme="majorHAnsi" w:hAnsiTheme="majorHAnsi"/>
        </w:rPr>
        <w:t xml:space="preserve"> měla zásadním způsobem zvýšit efektivitu výzkumu zvýšením interdisciplinarity, včetně zapojení společenskovědního výzkumu.</w:t>
      </w:r>
    </w:p>
    <w:p w:rsidR="002F6778" w:rsidRPr="00D90A6C" w:rsidRDefault="003F5405" w:rsidP="00C441A4">
      <w:pPr>
        <w:tabs>
          <w:tab w:val="left" w:pos="5308"/>
        </w:tabs>
        <w:spacing w:after="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Mezi dílčí cíle programu patří (i)p</w:t>
      </w:r>
      <w:r w:rsidRPr="002F6778">
        <w:rPr>
          <w:rFonts w:asciiTheme="majorHAnsi" w:hAnsiTheme="majorHAnsi"/>
        </w:rPr>
        <w:t>ropojení s</w:t>
      </w:r>
      <w:r>
        <w:rPr>
          <w:rFonts w:asciiTheme="majorHAnsi" w:hAnsiTheme="majorHAnsi"/>
        </w:rPr>
        <w:t>távajících výzkumných center, (ii) z</w:t>
      </w:r>
      <w:r w:rsidRPr="002F6778">
        <w:rPr>
          <w:rFonts w:asciiTheme="majorHAnsi" w:hAnsiTheme="majorHAnsi"/>
        </w:rPr>
        <w:t xml:space="preserve">ajištění mezioborovosti </w:t>
      </w:r>
      <w:r>
        <w:rPr>
          <w:rFonts w:asciiTheme="majorHAnsi" w:hAnsiTheme="majorHAnsi"/>
        </w:rPr>
        <w:t>a podpora dlouhodobé spolupráce, (iii) p</w:t>
      </w:r>
      <w:r w:rsidRPr="002F6778">
        <w:rPr>
          <w:rFonts w:asciiTheme="majorHAnsi" w:hAnsiTheme="majorHAnsi"/>
        </w:rPr>
        <w:t>odpora inovací prostřednictvím transferu technologií, dů</w:t>
      </w:r>
      <w:r>
        <w:rPr>
          <w:rFonts w:asciiTheme="majorHAnsi" w:hAnsiTheme="majorHAnsi"/>
        </w:rPr>
        <w:t>raz na aplikovatelnost výsledků a (iv)</w:t>
      </w:r>
      <w:r w:rsidR="008E447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z</w:t>
      </w:r>
      <w:r w:rsidRPr="002F6778">
        <w:rPr>
          <w:rFonts w:asciiTheme="majorHAnsi" w:hAnsiTheme="majorHAnsi"/>
        </w:rPr>
        <w:t>výšení počtu inovačních lídrů.</w:t>
      </w:r>
      <w:r>
        <w:rPr>
          <w:rFonts w:asciiTheme="majorHAnsi" w:hAnsiTheme="majorHAnsi"/>
        </w:rPr>
        <w:t xml:space="preserve"> </w:t>
      </w:r>
      <w:r w:rsidRPr="00D90A6C">
        <w:rPr>
          <w:rFonts w:asciiTheme="majorHAnsi" w:hAnsiTheme="majorHAnsi"/>
        </w:rPr>
        <w:t>Program může být členěn na podprogramy na základě výsledku ex-ante analýzy návrhu programu.</w:t>
      </w:r>
    </w:p>
    <w:p w:rsidR="00902E2B" w:rsidRDefault="00902E2B" w:rsidP="00F13098">
      <w:pPr>
        <w:pStyle w:val="Nadpis2"/>
        <w:spacing w:before="240" w:after="60"/>
      </w:pPr>
      <w:bookmarkStart w:id="3" w:name="_Toc472327440"/>
      <w:r w:rsidRPr="00D90A6C">
        <w:t>Doba trvání:</w:t>
      </w:r>
      <w:bookmarkEnd w:id="3"/>
      <w:r w:rsidRPr="00D90A6C">
        <w:t xml:space="preserve"> </w:t>
      </w:r>
      <w:r w:rsidR="002F6778">
        <w:t xml:space="preserve">2018 </w:t>
      </w:r>
      <w:r w:rsidR="002F5E31">
        <w:t>–</w:t>
      </w:r>
      <w:r w:rsidR="002F6778">
        <w:t xml:space="preserve"> 2030</w:t>
      </w:r>
    </w:p>
    <w:p w:rsidR="00933835" w:rsidRDefault="00933835" w:rsidP="00F13098">
      <w:pPr>
        <w:tabs>
          <w:tab w:val="left" w:pos="5308"/>
        </w:tabs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Vyhodnocení činnosti center bude probíhat v definovaných intervalech (min. 2x za dobu řešení).</w:t>
      </w:r>
    </w:p>
    <w:p w:rsidR="00902E2B" w:rsidRPr="00D90A6C" w:rsidRDefault="00902E2B" w:rsidP="00F13098">
      <w:pPr>
        <w:pStyle w:val="Nadpis2"/>
        <w:spacing w:before="120" w:after="60"/>
      </w:pPr>
      <w:bookmarkStart w:id="4" w:name="_Toc472327441"/>
      <w:r w:rsidRPr="00D90A6C">
        <w:t>Rozpočet:</w:t>
      </w:r>
      <w:bookmarkEnd w:id="4"/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1345"/>
        <w:gridCol w:w="1044"/>
        <w:gridCol w:w="1044"/>
        <w:gridCol w:w="1044"/>
        <w:gridCol w:w="1043"/>
        <w:gridCol w:w="1043"/>
        <w:gridCol w:w="1043"/>
        <w:gridCol w:w="1043"/>
        <w:gridCol w:w="1043"/>
      </w:tblGrid>
      <w:tr w:rsidR="00605542" w:rsidRPr="00D90A6C" w:rsidTr="00D55CE8">
        <w:tc>
          <w:tcPr>
            <w:tcW w:w="1345" w:type="dxa"/>
          </w:tcPr>
          <w:p w:rsidR="00605542" w:rsidRPr="00D90A6C" w:rsidRDefault="00A6197B" w:rsidP="00CB5859">
            <w:pPr>
              <w:rPr>
                <w:rFonts w:ascii="Cambria" w:eastAsia="Cambria" w:hAnsi="Cambria" w:cs="Times New Roman"/>
                <w:b/>
                <w:sz w:val="22"/>
                <w:szCs w:val="22"/>
              </w:rPr>
            </w:pPr>
            <w:r>
              <w:rPr>
                <w:rFonts w:ascii="Cambria" w:eastAsia="Cambria" w:hAnsi="Cambria" w:cs="Times New Roman"/>
                <w:b/>
                <w:sz w:val="22"/>
                <w:szCs w:val="22"/>
              </w:rPr>
              <w:t>ROK</w:t>
            </w:r>
          </w:p>
        </w:tc>
        <w:tc>
          <w:tcPr>
            <w:tcW w:w="1044" w:type="dxa"/>
          </w:tcPr>
          <w:p w:rsidR="00605542" w:rsidRPr="00D90A6C" w:rsidRDefault="00605542" w:rsidP="00766352">
            <w:pPr>
              <w:rPr>
                <w:rFonts w:ascii="Cambria" w:eastAsia="Cambria" w:hAnsi="Cambria" w:cs="Times New Roman"/>
                <w:b/>
                <w:sz w:val="22"/>
                <w:szCs w:val="22"/>
              </w:rPr>
            </w:pPr>
            <w:r>
              <w:rPr>
                <w:rFonts w:ascii="Cambria" w:eastAsia="Cambria" w:hAnsi="Cambria" w:cs="Times New Roman"/>
                <w:b/>
                <w:sz w:val="22"/>
                <w:szCs w:val="22"/>
              </w:rPr>
              <w:t>2018</w:t>
            </w:r>
          </w:p>
        </w:tc>
        <w:tc>
          <w:tcPr>
            <w:tcW w:w="1044" w:type="dxa"/>
          </w:tcPr>
          <w:p w:rsidR="00605542" w:rsidRPr="00D90A6C" w:rsidRDefault="00605542" w:rsidP="00CB5859">
            <w:pPr>
              <w:rPr>
                <w:rFonts w:ascii="Cambria" w:eastAsia="Cambria" w:hAnsi="Cambria" w:cs="Times New Roman"/>
                <w:b/>
                <w:sz w:val="22"/>
                <w:szCs w:val="22"/>
              </w:rPr>
            </w:pPr>
            <w:r w:rsidRPr="00D90A6C">
              <w:rPr>
                <w:rFonts w:ascii="Cambria" w:eastAsia="Cambria" w:hAnsi="Cambria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1044" w:type="dxa"/>
          </w:tcPr>
          <w:p w:rsidR="00605542" w:rsidRPr="00D90A6C" w:rsidRDefault="00605542" w:rsidP="00CB5859">
            <w:pPr>
              <w:rPr>
                <w:rFonts w:ascii="Cambria" w:eastAsia="Cambria" w:hAnsi="Cambria" w:cs="Times New Roman"/>
                <w:b/>
                <w:sz w:val="22"/>
                <w:szCs w:val="22"/>
              </w:rPr>
            </w:pPr>
            <w:r w:rsidRPr="00D90A6C">
              <w:rPr>
                <w:rFonts w:ascii="Cambria" w:eastAsia="Cambria" w:hAnsi="Cambria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1043" w:type="dxa"/>
          </w:tcPr>
          <w:p w:rsidR="00605542" w:rsidRPr="00D90A6C" w:rsidRDefault="00605542" w:rsidP="00CB5859">
            <w:pPr>
              <w:rPr>
                <w:rFonts w:ascii="Cambria" w:eastAsia="Cambria" w:hAnsi="Cambria" w:cs="Times New Roman"/>
                <w:b/>
                <w:sz w:val="22"/>
                <w:szCs w:val="22"/>
              </w:rPr>
            </w:pPr>
            <w:r w:rsidRPr="00D90A6C">
              <w:rPr>
                <w:rFonts w:ascii="Cambria" w:eastAsia="Cambria" w:hAnsi="Cambria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043" w:type="dxa"/>
          </w:tcPr>
          <w:p w:rsidR="00605542" w:rsidRPr="00D90A6C" w:rsidRDefault="00605542" w:rsidP="00CB5859">
            <w:pPr>
              <w:rPr>
                <w:rFonts w:ascii="Cambria" w:eastAsia="Cambria" w:hAnsi="Cambria" w:cs="Times New Roman"/>
                <w:b/>
                <w:sz w:val="22"/>
                <w:szCs w:val="22"/>
              </w:rPr>
            </w:pPr>
            <w:r w:rsidRPr="00D90A6C">
              <w:rPr>
                <w:rFonts w:ascii="Cambria" w:eastAsia="Cambria" w:hAnsi="Cambria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1043" w:type="dxa"/>
          </w:tcPr>
          <w:p w:rsidR="00605542" w:rsidRPr="00D90A6C" w:rsidRDefault="00605542" w:rsidP="00CB5859">
            <w:pPr>
              <w:rPr>
                <w:rFonts w:ascii="Cambria" w:eastAsia="Cambria" w:hAnsi="Cambria" w:cs="Times New Roman"/>
                <w:b/>
                <w:sz w:val="22"/>
                <w:szCs w:val="22"/>
              </w:rPr>
            </w:pPr>
            <w:r w:rsidRPr="00D90A6C">
              <w:rPr>
                <w:rFonts w:ascii="Cambria" w:eastAsia="Cambria" w:hAnsi="Cambria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043" w:type="dxa"/>
          </w:tcPr>
          <w:p w:rsidR="00605542" w:rsidRPr="00D90A6C" w:rsidRDefault="00605542" w:rsidP="00CB5859">
            <w:pPr>
              <w:rPr>
                <w:rFonts w:ascii="Cambria" w:eastAsia="Cambria" w:hAnsi="Cambria" w:cs="Times New Roman"/>
                <w:b/>
                <w:sz w:val="22"/>
                <w:szCs w:val="22"/>
              </w:rPr>
            </w:pPr>
            <w:r w:rsidRPr="00D90A6C">
              <w:rPr>
                <w:rFonts w:ascii="Cambria" w:eastAsia="Cambria" w:hAnsi="Cambria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043" w:type="dxa"/>
          </w:tcPr>
          <w:p w:rsidR="00605542" w:rsidRPr="00D90A6C" w:rsidRDefault="00605542" w:rsidP="00CB5859">
            <w:pPr>
              <w:rPr>
                <w:rFonts w:ascii="Cambria" w:eastAsia="Cambria" w:hAnsi="Cambria" w:cs="Times New Roman"/>
                <w:b/>
                <w:sz w:val="22"/>
                <w:szCs w:val="22"/>
              </w:rPr>
            </w:pPr>
            <w:r w:rsidRPr="00D90A6C">
              <w:rPr>
                <w:rFonts w:ascii="Cambria" w:eastAsia="Cambria" w:hAnsi="Cambria" w:cs="Times New Roman"/>
                <w:b/>
                <w:sz w:val="22"/>
                <w:szCs w:val="22"/>
              </w:rPr>
              <w:t>2025</w:t>
            </w:r>
          </w:p>
        </w:tc>
      </w:tr>
      <w:tr w:rsidR="00D55CE8" w:rsidRPr="00D90A6C" w:rsidTr="00D55CE8">
        <w:tc>
          <w:tcPr>
            <w:tcW w:w="1345" w:type="dxa"/>
          </w:tcPr>
          <w:p w:rsidR="00D55CE8" w:rsidRDefault="00D55CE8" w:rsidP="00CB5859">
            <w:pPr>
              <w:rPr>
                <w:rFonts w:ascii="Cambria" w:eastAsia="Cambria" w:hAnsi="Cambria" w:cs="Times New Roman"/>
                <w:b/>
              </w:rPr>
            </w:pPr>
            <w:r>
              <w:rPr>
                <w:rFonts w:ascii="Cambria" w:eastAsia="Cambria" w:hAnsi="Cambria" w:cs="Times New Roman"/>
                <w:b/>
              </w:rPr>
              <w:t>Celkové výdaje</w:t>
            </w:r>
          </w:p>
        </w:tc>
        <w:tc>
          <w:tcPr>
            <w:tcW w:w="1044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143</w:t>
            </w:r>
          </w:p>
        </w:tc>
        <w:tc>
          <w:tcPr>
            <w:tcW w:w="1044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329</w:t>
            </w:r>
          </w:p>
        </w:tc>
        <w:tc>
          <w:tcPr>
            <w:tcW w:w="1044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629</w:t>
            </w:r>
          </w:p>
        </w:tc>
        <w:tc>
          <w:tcPr>
            <w:tcW w:w="1043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1506</w:t>
            </w:r>
          </w:p>
        </w:tc>
        <w:tc>
          <w:tcPr>
            <w:tcW w:w="1043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1531</w:t>
            </w:r>
          </w:p>
        </w:tc>
        <w:tc>
          <w:tcPr>
            <w:tcW w:w="1043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1531</w:t>
            </w:r>
          </w:p>
        </w:tc>
        <w:tc>
          <w:tcPr>
            <w:tcW w:w="1043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1531</w:t>
            </w:r>
          </w:p>
        </w:tc>
        <w:tc>
          <w:tcPr>
            <w:tcW w:w="1043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1531</w:t>
            </w:r>
          </w:p>
        </w:tc>
      </w:tr>
      <w:tr w:rsidR="00D55CE8" w:rsidRPr="00D90A6C" w:rsidTr="00D55CE8">
        <w:tc>
          <w:tcPr>
            <w:tcW w:w="1345" w:type="dxa"/>
          </w:tcPr>
          <w:p w:rsidR="00D55CE8" w:rsidRPr="00D90A6C" w:rsidRDefault="00D55CE8" w:rsidP="00CB5859">
            <w:pPr>
              <w:rPr>
                <w:rFonts w:ascii="Cambria" w:eastAsia="Cambria" w:hAnsi="Cambria" w:cs="Times New Roman"/>
                <w:b/>
                <w:sz w:val="22"/>
                <w:szCs w:val="22"/>
              </w:rPr>
            </w:pPr>
            <w:r>
              <w:rPr>
                <w:rFonts w:ascii="Cambria" w:eastAsia="Cambria" w:hAnsi="Cambria" w:cs="Times New Roman"/>
                <w:b/>
                <w:sz w:val="22"/>
                <w:szCs w:val="22"/>
              </w:rPr>
              <w:t>Výdaje státního rozpočtu</w:t>
            </w:r>
          </w:p>
        </w:tc>
        <w:tc>
          <w:tcPr>
            <w:tcW w:w="1044" w:type="dxa"/>
            <w:vAlign w:val="center"/>
          </w:tcPr>
          <w:p w:rsidR="00D55CE8" w:rsidRPr="00D90A6C" w:rsidRDefault="00D55CE8" w:rsidP="00A6197B">
            <w:pPr>
              <w:jc w:val="center"/>
              <w:rPr>
                <w:rFonts w:ascii="Cambria" w:eastAsia="Cambria" w:hAnsi="Cambria" w:cs="Times New Roman"/>
                <w:sz w:val="22"/>
                <w:szCs w:val="22"/>
              </w:rPr>
            </w:pPr>
            <w:r>
              <w:rPr>
                <w:rFonts w:ascii="Cambria" w:eastAsia="Cambria" w:hAnsi="Cambria" w:cs="Times New Roman"/>
                <w:sz w:val="22"/>
                <w:szCs w:val="22"/>
              </w:rPr>
              <w:t>100</w:t>
            </w:r>
          </w:p>
        </w:tc>
        <w:tc>
          <w:tcPr>
            <w:tcW w:w="1044" w:type="dxa"/>
            <w:vAlign w:val="center"/>
          </w:tcPr>
          <w:p w:rsidR="00D55CE8" w:rsidRPr="00D90A6C" w:rsidRDefault="00D55CE8" w:rsidP="00A6197B">
            <w:pPr>
              <w:jc w:val="center"/>
              <w:rPr>
                <w:rFonts w:ascii="Cambria" w:eastAsia="Cambria" w:hAnsi="Cambria" w:cs="Times New Roman"/>
                <w:sz w:val="22"/>
                <w:szCs w:val="22"/>
              </w:rPr>
            </w:pPr>
            <w:r>
              <w:rPr>
                <w:rFonts w:ascii="Cambria" w:eastAsia="Cambria" w:hAnsi="Cambria" w:cs="Times New Roman"/>
                <w:sz w:val="22"/>
                <w:szCs w:val="22"/>
              </w:rPr>
              <w:t>230</w:t>
            </w:r>
          </w:p>
        </w:tc>
        <w:tc>
          <w:tcPr>
            <w:tcW w:w="1044" w:type="dxa"/>
            <w:vAlign w:val="center"/>
          </w:tcPr>
          <w:p w:rsidR="00D55CE8" w:rsidRPr="00D90A6C" w:rsidRDefault="00D55CE8" w:rsidP="00A6197B">
            <w:pPr>
              <w:jc w:val="center"/>
              <w:rPr>
                <w:rFonts w:ascii="Cambria" w:eastAsia="Cambria" w:hAnsi="Cambria" w:cs="Times New Roman"/>
                <w:sz w:val="22"/>
                <w:szCs w:val="22"/>
              </w:rPr>
            </w:pPr>
            <w:r>
              <w:rPr>
                <w:rFonts w:ascii="Cambria" w:eastAsia="Cambria" w:hAnsi="Cambria" w:cs="Times New Roman"/>
                <w:sz w:val="22"/>
                <w:szCs w:val="22"/>
              </w:rPr>
              <w:t>440</w:t>
            </w:r>
          </w:p>
        </w:tc>
        <w:tc>
          <w:tcPr>
            <w:tcW w:w="1043" w:type="dxa"/>
            <w:vAlign w:val="center"/>
          </w:tcPr>
          <w:p w:rsidR="00D55CE8" w:rsidRPr="00D90A6C" w:rsidRDefault="00D55CE8" w:rsidP="00A6197B">
            <w:pPr>
              <w:jc w:val="center"/>
              <w:rPr>
                <w:rFonts w:ascii="Cambria" w:eastAsia="Cambria" w:hAnsi="Cambria" w:cs="Times New Roman"/>
                <w:sz w:val="22"/>
                <w:szCs w:val="22"/>
              </w:rPr>
            </w:pPr>
            <w:r>
              <w:rPr>
                <w:rFonts w:ascii="Cambria" w:eastAsia="Cambria" w:hAnsi="Cambria" w:cs="Times New Roman"/>
                <w:sz w:val="22"/>
                <w:szCs w:val="22"/>
              </w:rPr>
              <w:t>1 054</w:t>
            </w:r>
          </w:p>
        </w:tc>
        <w:tc>
          <w:tcPr>
            <w:tcW w:w="1043" w:type="dxa"/>
            <w:vAlign w:val="center"/>
          </w:tcPr>
          <w:p w:rsidR="00D55CE8" w:rsidRPr="00D90A6C" w:rsidRDefault="00D55CE8" w:rsidP="00A6197B">
            <w:pPr>
              <w:jc w:val="center"/>
              <w:rPr>
                <w:rFonts w:ascii="Cambria" w:eastAsia="Cambria" w:hAnsi="Cambria" w:cs="Times New Roman"/>
                <w:sz w:val="22"/>
                <w:szCs w:val="22"/>
              </w:rPr>
            </w:pPr>
            <w:r>
              <w:rPr>
                <w:rFonts w:ascii="Cambria" w:eastAsia="Cambria" w:hAnsi="Cambria" w:cs="Times New Roman"/>
                <w:sz w:val="22"/>
                <w:szCs w:val="22"/>
              </w:rPr>
              <w:t>1 072</w:t>
            </w:r>
          </w:p>
        </w:tc>
        <w:tc>
          <w:tcPr>
            <w:tcW w:w="1043" w:type="dxa"/>
            <w:vAlign w:val="center"/>
          </w:tcPr>
          <w:p w:rsidR="00D55CE8" w:rsidRPr="00D90A6C" w:rsidRDefault="00D55CE8" w:rsidP="00A6197B">
            <w:pPr>
              <w:jc w:val="center"/>
              <w:rPr>
                <w:rFonts w:ascii="Cambria" w:eastAsia="Cambria" w:hAnsi="Cambria" w:cs="Times New Roman"/>
                <w:sz w:val="22"/>
                <w:szCs w:val="22"/>
              </w:rPr>
            </w:pPr>
            <w:r>
              <w:rPr>
                <w:rFonts w:ascii="Cambria" w:eastAsia="Cambria" w:hAnsi="Cambria" w:cs="Times New Roman"/>
                <w:sz w:val="22"/>
                <w:szCs w:val="22"/>
              </w:rPr>
              <w:t>1 072</w:t>
            </w:r>
          </w:p>
        </w:tc>
        <w:tc>
          <w:tcPr>
            <w:tcW w:w="1043" w:type="dxa"/>
            <w:vAlign w:val="center"/>
          </w:tcPr>
          <w:p w:rsidR="00D55CE8" w:rsidRPr="00D90A6C" w:rsidRDefault="00D55CE8" w:rsidP="00A6197B">
            <w:pPr>
              <w:jc w:val="center"/>
              <w:rPr>
                <w:rFonts w:ascii="Cambria" w:eastAsia="Cambria" w:hAnsi="Cambria" w:cs="Times New Roman"/>
                <w:sz w:val="22"/>
                <w:szCs w:val="22"/>
              </w:rPr>
            </w:pPr>
            <w:r>
              <w:rPr>
                <w:rFonts w:ascii="Cambria" w:eastAsia="Cambria" w:hAnsi="Cambria" w:cs="Times New Roman"/>
                <w:sz w:val="22"/>
                <w:szCs w:val="22"/>
              </w:rPr>
              <w:t>1 072</w:t>
            </w:r>
          </w:p>
        </w:tc>
        <w:tc>
          <w:tcPr>
            <w:tcW w:w="1043" w:type="dxa"/>
            <w:vAlign w:val="center"/>
          </w:tcPr>
          <w:p w:rsidR="00D55CE8" w:rsidRPr="00D90A6C" w:rsidRDefault="00D55CE8" w:rsidP="00A6197B">
            <w:pPr>
              <w:jc w:val="center"/>
              <w:rPr>
                <w:rFonts w:ascii="Cambria" w:eastAsia="Cambria" w:hAnsi="Cambria" w:cs="Times New Roman"/>
                <w:sz w:val="22"/>
                <w:szCs w:val="22"/>
              </w:rPr>
            </w:pPr>
            <w:r>
              <w:rPr>
                <w:rFonts w:ascii="Cambria" w:eastAsia="Cambria" w:hAnsi="Cambria" w:cs="Times New Roman"/>
                <w:sz w:val="22"/>
                <w:szCs w:val="22"/>
              </w:rPr>
              <w:t>1 072</w:t>
            </w:r>
          </w:p>
        </w:tc>
      </w:tr>
      <w:tr w:rsidR="00D55CE8" w:rsidRPr="00D90A6C" w:rsidTr="00D55CE8">
        <w:tc>
          <w:tcPr>
            <w:tcW w:w="1345" w:type="dxa"/>
          </w:tcPr>
          <w:p w:rsidR="00D55CE8" w:rsidRDefault="00D55CE8" w:rsidP="00CB5859">
            <w:pPr>
              <w:rPr>
                <w:rFonts w:ascii="Cambria" w:eastAsia="Cambria" w:hAnsi="Cambria" w:cs="Times New Roman"/>
                <w:b/>
              </w:rPr>
            </w:pPr>
            <w:r>
              <w:rPr>
                <w:rFonts w:ascii="Cambria" w:eastAsia="Cambria" w:hAnsi="Cambria" w:cs="Times New Roman"/>
                <w:b/>
              </w:rPr>
              <w:t>Neveřejné zdroje</w:t>
            </w:r>
          </w:p>
        </w:tc>
        <w:tc>
          <w:tcPr>
            <w:tcW w:w="1044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43</w:t>
            </w:r>
          </w:p>
        </w:tc>
        <w:tc>
          <w:tcPr>
            <w:tcW w:w="1044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99</w:t>
            </w:r>
          </w:p>
        </w:tc>
        <w:tc>
          <w:tcPr>
            <w:tcW w:w="1044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189</w:t>
            </w:r>
          </w:p>
        </w:tc>
        <w:tc>
          <w:tcPr>
            <w:tcW w:w="1043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452</w:t>
            </w:r>
          </w:p>
        </w:tc>
        <w:tc>
          <w:tcPr>
            <w:tcW w:w="1043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459</w:t>
            </w:r>
          </w:p>
        </w:tc>
        <w:tc>
          <w:tcPr>
            <w:tcW w:w="1043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459</w:t>
            </w:r>
          </w:p>
        </w:tc>
        <w:tc>
          <w:tcPr>
            <w:tcW w:w="1043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459</w:t>
            </w:r>
          </w:p>
        </w:tc>
        <w:tc>
          <w:tcPr>
            <w:tcW w:w="1043" w:type="dxa"/>
            <w:vAlign w:val="center"/>
          </w:tcPr>
          <w:p w:rsidR="00D55CE8" w:rsidRDefault="00D55CE8">
            <w:pPr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459</w:t>
            </w:r>
          </w:p>
        </w:tc>
      </w:tr>
      <w:tr w:rsidR="00D55CE8" w:rsidRPr="00D90A6C" w:rsidTr="00D55CE8">
        <w:tc>
          <w:tcPr>
            <w:tcW w:w="1345" w:type="dxa"/>
          </w:tcPr>
          <w:p w:rsidR="00D55CE8" w:rsidRPr="00D90A6C" w:rsidRDefault="00D55CE8" w:rsidP="00CB5859">
            <w:pPr>
              <w:rPr>
                <w:rFonts w:ascii="Cambria" w:eastAsia="Cambria" w:hAnsi="Cambria" w:cs="Times New Roman"/>
                <w:b/>
                <w:sz w:val="22"/>
                <w:szCs w:val="22"/>
              </w:rPr>
            </w:pPr>
            <w:r w:rsidRPr="00D90A6C">
              <w:rPr>
                <w:rFonts w:ascii="Cambria" w:eastAsia="Cambria" w:hAnsi="Cambria" w:cs="Times New Roman"/>
                <w:b/>
                <w:sz w:val="22"/>
                <w:szCs w:val="22"/>
              </w:rPr>
              <w:t>Intenzita podpory</w:t>
            </w:r>
          </w:p>
        </w:tc>
        <w:tc>
          <w:tcPr>
            <w:tcW w:w="8347" w:type="dxa"/>
            <w:gridSpan w:val="8"/>
          </w:tcPr>
          <w:p w:rsidR="00D55CE8" w:rsidRPr="00D90A6C" w:rsidRDefault="00D55CE8" w:rsidP="00347BA2">
            <w:pPr>
              <w:rPr>
                <w:rFonts w:ascii="Cambria" w:eastAsia="Cambria" w:hAnsi="Cambria" w:cs="Times New Roman"/>
                <w:sz w:val="22"/>
                <w:szCs w:val="22"/>
              </w:rPr>
            </w:pPr>
            <w:r>
              <w:rPr>
                <w:rFonts w:ascii="Cambria" w:eastAsia="Cambria" w:hAnsi="Cambria" w:cs="Times New Roman"/>
                <w:sz w:val="22"/>
                <w:szCs w:val="22"/>
              </w:rPr>
              <w:t>Průměrná míra podpory:</w:t>
            </w:r>
            <w:r w:rsidRPr="00363CE4">
              <w:rPr>
                <w:rFonts w:ascii="Cambria" w:eastAsia="Cambria" w:hAnsi="Cambria" w:cs="Times New Roman"/>
                <w:sz w:val="22"/>
                <w:szCs w:val="22"/>
              </w:rPr>
              <w:t xml:space="preserve"> </w:t>
            </w:r>
            <w:r>
              <w:rPr>
                <w:rFonts w:ascii="Cambria" w:eastAsia="Cambria" w:hAnsi="Cambria" w:cs="Times New Roman"/>
                <w:sz w:val="22"/>
                <w:szCs w:val="22"/>
              </w:rPr>
              <w:t xml:space="preserve">70 </w:t>
            </w:r>
            <w:r w:rsidRPr="00363CE4">
              <w:rPr>
                <w:rFonts w:ascii="Cambria" w:eastAsia="Cambria" w:hAnsi="Cambria" w:cs="Times New Roman"/>
                <w:sz w:val="22"/>
                <w:szCs w:val="22"/>
              </w:rPr>
              <w:t>%</w:t>
            </w:r>
          </w:p>
        </w:tc>
      </w:tr>
    </w:tbl>
    <w:p w:rsidR="0056676D" w:rsidRPr="001071ED" w:rsidRDefault="0056676D" w:rsidP="001071ED">
      <w:pPr>
        <w:tabs>
          <w:tab w:val="left" w:pos="5308"/>
        </w:tabs>
        <w:rPr>
          <w:rFonts w:asciiTheme="majorHAnsi" w:hAnsiTheme="majorHAnsi"/>
        </w:rPr>
      </w:pPr>
    </w:p>
    <w:sectPr w:rsidR="0056676D" w:rsidRPr="001071ED" w:rsidSect="00824C65">
      <w:headerReference w:type="default" r:id="rId9"/>
      <w:footerReference w:type="default" r:id="rId10"/>
      <w:pgSz w:w="11906" w:h="16838"/>
      <w:pgMar w:top="1134" w:right="1134" w:bottom="1134" w:left="1134" w:header="243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6CB" w:rsidRDefault="004976CB" w:rsidP="006500EC">
      <w:pPr>
        <w:spacing w:after="0" w:line="240" w:lineRule="auto"/>
      </w:pPr>
      <w:r>
        <w:separator/>
      </w:r>
    </w:p>
  </w:endnote>
  <w:endnote w:type="continuationSeparator" w:id="0">
    <w:p w:rsidR="004976CB" w:rsidRDefault="004976CB" w:rsidP="00650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9227924"/>
      <w:docPartObj>
        <w:docPartGallery w:val="Page Numbers (Bottom of Page)"/>
        <w:docPartUnique/>
      </w:docPartObj>
    </w:sdtPr>
    <w:sdtEndPr/>
    <w:sdtContent>
      <w:p w:rsidR="002F5E31" w:rsidRDefault="002F5E3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586">
          <w:rPr>
            <w:noProof/>
          </w:rPr>
          <w:t>1</w:t>
        </w:r>
        <w:r>
          <w:fldChar w:fldCharType="end"/>
        </w:r>
      </w:p>
    </w:sdtContent>
  </w:sdt>
  <w:p w:rsidR="00012452" w:rsidRPr="001071ED" w:rsidRDefault="00012452" w:rsidP="001071ED">
    <w:pPr>
      <w:pStyle w:val="Zpat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6CB" w:rsidRDefault="004976CB" w:rsidP="006500EC">
      <w:pPr>
        <w:spacing w:after="0" w:line="240" w:lineRule="auto"/>
      </w:pPr>
      <w:r>
        <w:separator/>
      </w:r>
    </w:p>
  </w:footnote>
  <w:footnote w:type="continuationSeparator" w:id="0">
    <w:p w:rsidR="004976CB" w:rsidRDefault="004976CB" w:rsidP="00650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0EC" w:rsidRDefault="00632AA8">
    <w:pPr>
      <w:pStyle w:val="Zhlav"/>
    </w:pPr>
    <w:r>
      <w:rPr>
        <w:noProof/>
        <w:sz w:val="12"/>
        <w:lang w:eastAsia="cs-CZ"/>
      </w:rPr>
      <w:drawing>
        <wp:anchor distT="0" distB="0" distL="114300" distR="114300" simplePos="0" relativeHeight="251663360" behindDoc="1" locked="1" layoutInCell="0" allowOverlap="0" wp14:anchorId="728C9E86" wp14:editId="17AA6C46">
          <wp:simplePos x="721895" y="1620253"/>
          <wp:positionH relativeFrom="page">
            <wp:align>left</wp:align>
          </wp:positionH>
          <wp:positionV relativeFrom="page">
            <wp:align>top</wp:align>
          </wp:positionV>
          <wp:extent cx="1440000" cy="1440000"/>
          <wp:effectExtent l="0" t="0" r="8255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14178"/>
    <w:multiLevelType w:val="hybridMultilevel"/>
    <w:tmpl w:val="CD666D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7E6305"/>
    <w:multiLevelType w:val="hybridMultilevel"/>
    <w:tmpl w:val="F91890C8"/>
    <w:lvl w:ilvl="0" w:tplc="62FA9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EC"/>
    <w:rsid w:val="000014DE"/>
    <w:rsid w:val="00003DCD"/>
    <w:rsid w:val="00012452"/>
    <w:rsid w:val="000154B2"/>
    <w:rsid w:val="000200DC"/>
    <w:rsid w:val="00021D0F"/>
    <w:rsid w:val="00022C8F"/>
    <w:rsid w:val="00022FC2"/>
    <w:rsid w:val="00023FBC"/>
    <w:rsid w:val="0002478D"/>
    <w:rsid w:val="00026403"/>
    <w:rsid w:val="000330D0"/>
    <w:rsid w:val="00034946"/>
    <w:rsid w:val="00037D12"/>
    <w:rsid w:val="00037F0A"/>
    <w:rsid w:val="00051D6C"/>
    <w:rsid w:val="00053779"/>
    <w:rsid w:val="00053BC8"/>
    <w:rsid w:val="00055C52"/>
    <w:rsid w:val="000608AA"/>
    <w:rsid w:val="000612BE"/>
    <w:rsid w:val="0006342A"/>
    <w:rsid w:val="00063C09"/>
    <w:rsid w:val="00063FEF"/>
    <w:rsid w:val="000652C9"/>
    <w:rsid w:val="00067914"/>
    <w:rsid w:val="0007112F"/>
    <w:rsid w:val="00076B05"/>
    <w:rsid w:val="000859AF"/>
    <w:rsid w:val="00086890"/>
    <w:rsid w:val="00090E1E"/>
    <w:rsid w:val="00092805"/>
    <w:rsid w:val="00093364"/>
    <w:rsid w:val="0009640D"/>
    <w:rsid w:val="000A34C2"/>
    <w:rsid w:val="000A58D1"/>
    <w:rsid w:val="000B059D"/>
    <w:rsid w:val="000B531A"/>
    <w:rsid w:val="000B662F"/>
    <w:rsid w:val="000C1AA4"/>
    <w:rsid w:val="000C797E"/>
    <w:rsid w:val="000D0758"/>
    <w:rsid w:val="000D684E"/>
    <w:rsid w:val="000D70F4"/>
    <w:rsid w:val="000E1696"/>
    <w:rsid w:val="000E2357"/>
    <w:rsid w:val="000E538D"/>
    <w:rsid w:val="000E6ED7"/>
    <w:rsid w:val="000F3DDB"/>
    <w:rsid w:val="000F65D4"/>
    <w:rsid w:val="00100E23"/>
    <w:rsid w:val="001022A5"/>
    <w:rsid w:val="001071ED"/>
    <w:rsid w:val="00107689"/>
    <w:rsid w:val="0011233B"/>
    <w:rsid w:val="0011437D"/>
    <w:rsid w:val="0012369F"/>
    <w:rsid w:val="0012739B"/>
    <w:rsid w:val="00142AB2"/>
    <w:rsid w:val="001435D5"/>
    <w:rsid w:val="001449DB"/>
    <w:rsid w:val="001471FF"/>
    <w:rsid w:val="00152EB0"/>
    <w:rsid w:val="0016245F"/>
    <w:rsid w:val="00175FAB"/>
    <w:rsid w:val="00176E5A"/>
    <w:rsid w:val="001770D5"/>
    <w:rsid w:val="00177C1B"/>
    <w:rsid w:val="00183F2E"/>
    <w:rsid w:val="00184FB0"/>
    <w:rsid w:val="0019065A"/>
    <w:rsid w:val="0019555C"/>
    <w:rsid w:val="00195643"/>
    <w:rsid w:val="00196529"/>
    <w:rsid w:val="001B3C13"/>
    <w:rsid w:val="001B5181"/>
    <w:rsid w:val="001C4928"/>
    <w:rsid w:val="001C5C9E"/>
    <w:rsid w:val="001D050B"/>
    <w:rsid w:val="001D06BA"/>
    <w:rsid w:val="001D3432"/>
    <w:rsid w:val="001E0AFB"/>
    <w:rsid w:val="001E44B0"/>
    <w:rsid w:val="00203603"/>
    <w:rsid w:val="0022208A"/>
    <w:rsid w:val="00223727"/>
    <w:rsid w:val="002250BC"/>
    <w:rsid w:val="00226BA9"/>
    <w:rsid w:val="00227E40"/>
    <w:rsid w:val="0024205F"/>
    <w:rsid w:val="002420F1"/>
    <w:rsid w:val="0024500F"/>
    <w:rsid w:val="002458FB"/>
    <w:rsid w:val="00251BA0"/>
    <w:rsid w:val="002528A9"/>
    <w:rsid w:val="00252A0E"/>
    <w:rsid w:val="00262A0E"/>
    <w:rsid w:val="00265074"/>
    <w:rsid w:val="002814BA"/>
    <w:rsid w:val="00284AED"/>
    <w:rsid w:val="00292016"/>
    <w:rsid w:val="002A265B"/>
    <w:rsid w:val="002A3C3C"/>
    <w:rsid w:val="002A4D20"/>
    <w:rsid w:val="002A4E48"/>
    <w:rsid w:val="002B44F6"/>
    <w:rsid w:val="002B7EE6"/>
    <w:rsid w:val="002D21C8"/>
    <w:rsid w:val="002D529C"/>
    <w:rsid w:val="002D580B"/>
    <w:rsid w:val="002D6E36"/>
    <w:rsid w:val="002F006F"/>
    <w:rsid w:val="002F00BC"/>
    <w:rsid w:val="002F16C7"/>
    <w:rsid w:val="002F27A3"/>
    <w:rsid w:val="002F5E31"/>
    <w:rsid w:val="002F6778"/>
    <w:rsid w:val="00307193"/>
    <w:rsid w:val="0031084E"/>
    <w:rsid w:val="003123FB"/>
    <w:rsid w:val="0032159A"/>
    <w:rsid w:val="00324D0B"/>
    <w:rsid w:val="00324EE2"/>
    <w:rsid w:val="00326735"/>
    <w:rsid w:val="00327E8F"/>
    <w:rsid w:val="00330686"/>
    <w:rsid w:val="00336464"/>
    <w:rsid w:val="00336DCA"/>
    <w:rsid w:val="003438C7"/>
    <w:rsid w:val="00347BA2"/>
    <w:rsid w:val="0035518C"/>
    <w:rsid w:val="00361C40"/>
    <w:rsid w:val="00363CE4"/>
    <w:rsid w:val="003678D6"/>
    <w:rsid w:val="00367BB7"/>
    <w:rsid w:val="00376583"/>
    <w:rsid w:val="00380EE4"/>
    <w:rsid w:val="0038343A"/>
    <w:rsid w:val="00384534"/>
    <w:rsid w:val="00391463"/>
    <w:rsid w:val="00391983"/>
    <w:rsid w:val="003A01B1"/>
    <w:rsid w:val="003A3605"/>
    <w:rsid w:val="003A3F6A"/>
    <w:rsid w:val="003C0ACD"/>
    <w:rsid w:val="003C40C2"/>
    <w:rsid w:val="003C5054"/>
    <w:rsid w:val="003D2A6F"/>
    <w:rsid w:val="003E27E6"/>
    <w:rsid w:val="003E2F50"/>
    <w:rsid w:val="003E4FC8"/>
    <w:rsid w:val="003F0F16"/>
    <w:rsid w:val="003F1CDE"/>
    <w:rsid w:val="003F5405"/>
    <w:rsid w:val="0040553B"/>
    <w:rsid w:val="00407A1F"/>
    <w:rsid w:val="00411CC2"/>
    <w:rsid w:val="004212F4"/>
    <w:rsid w:val="0042584B"/>
    <w:rsid w:val="004277A4"/>
    <w:rsid w:val="00432CFD"/>
    <w:rsid w:val="0043359D"/>
    <w:rsid w:val="00437B95"/>
    <w:rsid w:val="00440321"/>
    <w:rsid w:val="00455300"/>
    <w:rsid w:val="004569AB"/>
    <w:rsid w:val="00463F3B"/>
    <w:rsid w:val="004723EC"/>
    <w:rsid w:val="00472F23"/>
    <w:rsid w:val="004850D8"/>
    <w:rsid w:val="00490889"/>
    <w:rsid w:val="00491C6D"/>
    <w:rsid w:val="00493AC0"/>
    <w:rsid w:val="004976CB"/>
    <w:rsid w:val="004A3600"/>
    <w:rsid w:val="004A56C5"/>
    <w:rsid w:val="004B23BC"/>
    <w:rsid w:val="004C3116"/>
    <w:rsid w:val="004C4C7F"/>
    <w:rsid w:val="004C62E6"/>
    <w:rsid w:val="004D0A0E"/>
    <w:rsid w:val="004D4F8C"/>
    <w:rsid w:val="004D5C2F"/>
    <w:rsid w:val="004D5E5A"/>
    <w:rsid w:val="004D60C6"/>
    <w:rsid w:val="004D7F38"/>
    <w:rsid w:val="004E1845"/>
    <w:rsid w:val="004E7604"/>
    <w:rsid w:val="004F5D0B"/>
    <w:rsid w:val="00502D03"/>
    <w:rsid w:val="005052DD"/>
    <w:rsid w:val="0050656F"/>
    <w:rsid w:val="00507B31"/>
    <w:rsid w:val="005256FB"/>
    <w:rsid w:val="0053056F"/>
    <w:rsid w:val="00530BAF"/>
    <w:rsid w:val="00534BAB"/>
    <w:rsid w:val="005409C9"/>
    <w:rsid w:val="00540FCF"/>
    <w:rsid w:val="00543033"/>
    <w:rsid w:val="00550065"/>
    <w:rsid w:val="005511A4"/>
    <w:rsid w:val="0055201A"/>
    <w:rsid w:val="00552B5C"/>
    <w:rsid w:val="00557839"/>
    <w:rsid w:val="00560D39"/>
    <w:rsid w:val="0056676D"/>
    <w:rsid w:val="0058056F"/>
    <w:rsid w:val="00586165"/>
    <w:rsid w:val="005863E6"/>
    <w:rsid w:val="00592D47"/>
    <w:rsid w:val="005A09B4"/>
    <w:rsid w:val="005A1F37"/>
    <w:rsid w:val="005B2E39"/>
    <w:rsid w:val="005B6A47"/>
    <w:rsid w:val="005C0D1E"/>
    <w:rsid w:val="005D47CD"/>
    <w:rsid w:val="005D76FF"/>
    <w:rsid w:val="005E1382"/>
    <w:rsid w:val="005E297A"/>
    <w:rsid w:val="005E56A9"/>
    <w:rsid w:val="005E5A6D"/>
    <w:rsid w:val="005E6BB6"/>
    <w:rsid w:val="005F1B21"/>
    <w:rsid w:val="005F24CA"/>
    <w:rsid w:val="005F53E8"/>
    <w:rsid w:val="00605542"/>
    <w:rsid w:val="00606D02"/>
    <w:rsid w:val="006138D7"/>
    <w:rsid w:val="0061797D"/>
    <w:rsid w:val="00624040"/>
    <w:rsid w:val="00626A1E"/>
    <w:rsid w:val="00632AA8"/>
    <w:rsid w:val="00636FF1"/>
    <w:rsid w:val="00641C5C"/>
    <w:rsid w:val="006500EC"/>
    <w:rsid w:val="00656383"/>
    <w:rsid w:val="00656599"/>
    <w:rsid w:val="00657257"/>
    <w:rsid w:val="00657EC1"/>
    <w:rsid w:val="0066145E"/>
    <w:rsid w:val="0066787A"/>
    <w:rsid w:val="0067145A"/>
    <w:rsid w:val="00674CEC"/>
    <w:rsid w:val="006761C0"/>
    <w:rsid w:val="00677B7E"/>
    <w:rsid w:val="00680AE7"/>
    <w:rsid w:val="00683E16"/>
    <w:rsid w:val="006942D0"/>
    <w:rsid w:val="006971DC"/>
    <w:rsid w:val="006A4507"/>
    <w:rsid w:val="006B4D1B"/>
    <w:rsid w:val="006B5AEF"/>
    <w:rsid w:val="006B7E79"/>
    <w:rsid w:val="006C3F3D"/>
    <w:rsid w:val="006D1D3F"/>
    <w:rsid w:val="006D4887"/>
    <w:rsid w:val="006D5502"/>
    <w:rsid w:val="006D7169"/>
    <w:rsid w:val="006E063B"/>
    <w:rsid w:val="006E34D8"/>
    <w:rsid w:val="006E3995"/>
    <w:rsid w:val="006F0D13"/>
    <w:rsid w:val="006F5819"/>
    <w:rsid w:val="006F59C0"/>
    <w:rsid w:val="006F5A45"/>
    <w:rsid w:val="00707638"/>
    <w:rsid w:val="00710083"/>
    <w:rsid w:val="00712310"/>
    <w:rsid w:val="007124EC"/>
    <w:rsid w:val="00727589"/>
    <w:rsid w:val="00733545"/>
    <w:rsid w:val="00736B20"/>
    <w:rsid w:val="00736DC5"/>
    <w:rsid w:val="00740901"/>
    <w:rsid w:val="00743315"/>
    <w:rsid w:val="007457D7"/>
    <w:rsid w:val="00747934"/>
    <w:rsid w:val="00750086"/>
    <w:rsid w:val="0075580A"/>
    <w:rsid w:val="007574F6"/>
    <w:rsid w:val="00761F03"/>
    <w:rsid w:val="00770D67"/>
    <w:rsid w:val="00771313"/>
    <w:rsid w:val="00773353"/>
    <w:rsid w:val="007736AF"/>
    <w:rsid w:val="00773CD0"/>
    <w:rsid w:val="007802BE"/>
    <w:rsid w:val="00781F5E"/>
    <w:rsid w:val="00787B57"/>
    <w:rsid w:val="007916D7"/>
    <w:rsid w:val="00793C0F"/>
    <w:rsid w:val="007A2064"/>
    <w:rsid w:val="007B3721"/>
    <w:rsid w:val="007B38D6"/>
    <w:rsid w:val="007B4F29"/>
    <w:rsid w:val="007B5E0E"/>
    <w:rsid w:val="007C3C18"/>
    <w:rsid w:val="007C4D77"/>
    <w:rsid w:val="007D2E4D"/>
    <w:rsid w:val="007D4617"/>
    <w:rsid w:val="007D691F"/>
    <w:rsid w:val="007E2D30"/>
    <w:rsid w:val="007E3C09"/>
    <w:rsid w:val="007E538A"/>
    <w:rsid w:val="007E5442"/>
    <w:rsid w:val="007E621F"/>
    <w:rsid w:val="007F18BB"/>
    <w:rsid w:val="007F32C3"/>
    <w:rsid w:val="007F6268"/>
    <w:rsid w:val="00801CC8"/>
    <w:rsid w:val="00801DA5"/>
    <w:rsid w:val="00815671"/>
    <w:rsid w:val="00821431"/>
    <w:rsid w:val="00822DAD"/>
    <w:rsid w:val="00824C65"/>
    <w:rsid w:val="00832ADC"/>
    <w:rsid w:val="00834047"/>
    <w:rsid w:val="0083433A"/>
    <w:rsid w:val="00834CC0"/>
    <w:rsid w:val="00842E47"/>
    <w:rsid w:val="00843825"/>
    <w:rsid w:val="008458EE"/>
    <w:rsid w:val="00850371"/>
    <w:rsid w:val="0085051A"/>
    <w:rsid w:val="008516B2"/>
    <w:rsid w:val="00857BE8"/>
    <w:rsid w:val="0086511F"/>
    <w:rsid w:val="00874EDA"/>
    <w:rsid w:val="00875F25"/>
    <w:rsid w:val="00880476"/>
    <w:rsid w:val="0088249E"/>
    <w:rsid w:val="00887620"/>
    <w:rsid w:val="00891B5F"/>
    <w:rsid w:val="0089391F"/>
    <w:rsid w:val="008975C1"/>
    <w:rsid w:val="008A47C2"/>
    <w:rsid w:val="008A539D"/>
    <w:rsid w:val="008B2B7E"/>
    <w:rsid w:val="008B4E31"/>
    <w:rsid w:val="008B5595"/>
    <w:rsid w:val="008B58F8"/>
    <w:rsid w:val="008B7169"/>
    <w:rsid w:val="008C3725"/>
    <w:rsid w:val="008C49A1"/>
    <w:rsid w:val="008C4D28"/>
    <w:rsid w:val="008C4D79"/>
    <w:rsid w:val="008C5020"/>
    <w:rsid w:val="008D0103"/>
    <w:rsid w:val="008E20E2"/>
    <w:rsid w:val="008E238C"/>
    <w:rsid w:val="008E4474"/>
    <w:rsid w:val="008E5B74"/>
    <w:rsid w:val="008E685C"/>
    <w:rsid w:val="008F278B"/>
    <w:rsid w:val="008F29A8"/>
    <w:rsid w:val="008F3249"/>
    <w:rsid w:val="008F7108"/>
    <w:rsid w:val="0090143C"/>
    <w:rsid w:val="009014E4"/>
    <w:rsid w:val="00902E2B"/>
    <w:rsid w:val="00903EA2"/>
    <w:rsid w:val="009068DB"/>
    <w:rsid w:val="00917DE4"/>
    <w:rsid w:val="00927513"/>
    <w:rsid w:val="00927B66"/>
    <w:rsid w:val="00930B37"/>
    <w:rsid w:val="009324DA"/>
    <w:rsid w:val="00933835"/>
    <w:rsid w:val="00943E90"/>
    <w:rsid w:val="00956FC7"/>
    <w:rsid w:val="009626D7"/>
    <w:rsid w:val="00970DDF"/>
    <w:rsid w:val="00986A21"/>
    <w:rsid w:val="009904C6"/>
    <w:rsid w:val="009922E6"/>
    <w:rsid w:val="00992608"/>
    <w:rsid w:val="009932E3"/>
    <w:rsid w:val="009A1268"/>
    <w:rsid w:val="009A2296"/>
    <w:rsid w:val="009A4C59"/>
    <w:rsid w:val="009A63E4"/>
    <w:rsid w:val="009B425B"/>
    <w:rsid w:val="009B4A70"/>
    <w:rsid w:val="009B584A"/>
    <w:rsid w:val="009B76DC"/>
    <w:rsid w:val="009C1B89"/>
    <w:rsid w:val="009C1B91"/>
    <w:rsid w:val="009C6049"/>
    <w:rsid w:val="009D122C"/>
    <w:rsid w:val="009F3DA9"/>
    <w:rsid w:val="009F5754"/>
    <w:rsid w:val="00A0197F"/>
    <w:rsid w:val="00A15E3B"/>
    <w:rsid w:val="00A17702"/>
    <w:rsid w:val="00A30550"/>
    <w:rsid w:val="00A31C35"/>
    <w:rsid w:val="00A3343E"/>
    <w:rsid w:val="00A42042"/>
    <w:rsid w:val="00A55765"/>
    <w:rsid w:val="00A6197B"/>
    <w:rsid w:val="00A63056"/>
    <w:rsid w:val="00A72E0E"/>
    <w:rsid w:val="00A74D50"/>
    <w:rsid w:val="00A80FF6"/>
    <w:rsid w:val="00A83A0D"/>
    <w:rsid w:val="00A92163"/>
    <w:rsid w:val="00A936B5"/>
    <w:rsid w:val="00A9405A"/>
    <w:rsid w:val="00A9712A"/>
    <w:rsid w:val="00AB25B2"/>
    <w:rsid w:val="00AB5E91"/>
    <w:rsid w:val="00AB6136"/>
    <w:rsid w:val="00AB73C7"/>
    <w:rsid w:val="00AC3586"/>
    <w:rsid w:val="00AD228B"/>
    <w:rsid w:val="00AD73CF"/>
    <w:rsid w:val="00AF1298"/>
    <w:rsid w:val="00AF21B2"/>
    <w:rsid w:val="00AF33BB"/>
    <w:rsid w:val="00AF6866"/>
    <w:rsid w:val="00B00FFA"/>
    <w:rsid w:val="00B01DDC"/>
    <w:rsid w:val="00B02E05"/>
    <w:rsid w:val="00B0360C"/>
    <w:rsid w:val="00B04BDF"/>
    <w:rsid w:val="00B05403"/>
    <w:rsid w:val="00B06B4C"/>
    <w:rsid w:val="00B1744B"/>
    <w:rsid w:val="00B1796E"/>
    <w:rsid w:val="00B30F23"/>
    <w:rsid w:val="00B335BE"/>
    <w:rsid w:val="00B34287"/>
    <w:rsid w:val="00B43218"/>
    <w:rsid w:val="00B459F4"/>
    <w:rsid w:val="00B47A08"/>
    <w:rsid w:val="00B47F93"/>
    <w:rsid w:val="00B64745"/>
    <w:rsid w:val="00B7596A"/>
    <w:rsid w:val="00B80543"/>
    <w:rsid w:val="00B80CA4"/>
    <w:rsid w:val="00B80E94"/>
    <w:rsid w:val="00B811BC"/>
    <w:rsid w:val="00B81376"/>
    <w:rsid w:val="00B815A0"/>
    <w:rsid w:val="00B83E45"/>
    <w:rsid w:val="00B84EE1"/>
    <w:rsid w:val="00B914C7"/>
    <w:rsid w:val="00B91AB8"/>
    <w:rsid w:val="00B94A03"/>
    <w:rsid w:val="00B94FBF"/>
    <w:rsid w:val="00BA4B00"/>
    <w:rsid w:val="00BA5789"/>
    <w:rsid w:val="00BA712D"/>
    <w:rsid w:val="00BB1925"/>
    <w:rsid w:val="00BB33A7"/>
    <w:rsid w:val="00BC4014"/>
    <w:rsid w:val="00BC5958"/>
    <w:rsid w:val="00BC6731"/>
    <w:rsid w:val="00BD3E62"/>
    <w:rsid w:val="00BE44EE"/>
    <w:rsid w:val="00BE6F83"/>
    <w:rsid w:val="00BF048D"/>
    <w:rsid w:val="00BF5566"/>
    <w:rsid w:val="00BF7673"/>
    <w:rsid w:val="00C05241"/>
    <w:rsid w:val="00C0554A"/>
    <w:rsid w:val="00C06510"/>
    <w:rsid w:val="00C14C7B"/>
    <w:rsid w:val="00C1594D"/>
    <w:rsid w:val="00C3014F"/>
    <w:rsid w:val="00C33EED"/>
    <w:rsid w:val="00C34E55"/>
    <w:rsid w:val="00C41AEC"/>
    <w:rsid w:val="00C441A4"/>
    <w:rsid w:val="00C451DA"/>
    <w:rsid w:val="00C53B1D"/>
    <w:rsid w:val="00C57697"/>
    <w:rsid w:val="00C60B8D"/>
    <w:rsid w:val="00C66061"/>
    <w:rsid w:val="00C71F1E"/>
    <w:rsid w:val="00C7329A"/>
    <w:rsid w:val="00C814F5"/>
    <w:rsid w:val="00C81813"/>
    <w:rsid w:val="00C86442"/>
    <w:rsid w:val="00C938EA"/>
    <w:rsid w:val="00CA765A"/>
    <w:rsid w:val="00CA7926"/>
    <w:rsid w:val="00CA7B24"/>
    <w:rsid w:val="00CB3264"/>
    <w:rsid w:val="00CB5812"/>
    <w:rsid w:val="00CC0B7A"/>
    <w:rsid w:val="00CC4061"/>
    <w:rsid w:val="00CC4283"/>
    <w:rsid w:val="00CC528A"/>
    <w:rsid w:val="00CC5B33"/>
    <w:rsid w:val="00CC5C7F"/>
    <w:rsid w:val="00CC6450"/>
    <w:rsid w:val="00CC768F"/>
    <w:rsid w:val="00CC7C10"/>
    <w:rsid w:val="00CD21F2"/>
    <w:rsid w:val="00CD2A5F"/>
    <w:rsid w:val="00CE0BD4"/>
    <w:rsid w:val="00CE5283"/>
    <w:rsid w:val="00CE725F"/>
    <w:rsid w:val="00CF090D"/>
    <w:rsid w:val="00CF5820"/>
    <w:rsid w:val="00CF5B16"/>
    <w:rsid w:val="00CF7B9D"/>
    <w:rsid w:val="00D01BCB"/>
    <w:rsid w:val="00D026DE"/>
    <w:rsid w:val="00D10C34"/>
    <w:rsid w:val="00D14A79"/>
    <w:rsid w:val="00D14B4B"/>
    <w:rsid w:val="00D159E9"/>
    <w:rsid w:val="00D1709B"/>
    <w:rsid w:val="00D32D86"/>
    <w:rsid w:val="00D33BC6"/>
    <w:rsid w:val="00D372BA"/>
    <w:rsid w:val="00D37E95"/>
    <w:rsid w:val="00D42A18"/>
    <w:rsid w:val="00D43EDE"/>
    <w:rsid w:val="00D45233"/>
    <w:rsid w:val="00D467A7"/>
    <w:rsid w:val="00D47A20"/>
    <w:rsid w:val="00D55105"/>
    <w:rsid w:val="00D5510A"/>
    <w:rsid w:val="00D55CE8"/>
    <w:rsid w:val="00D56365"/>
    <w:rsid w:val="00D56D7E"/>
    <w:rsid w:val="00D57C27"/>
    <w:rsid w:val="00D6489E"/>
    <w:rsid w:val="00D73542"/>
    <w:rsid w:val="00D73AB4"/>
    <w:rsid w:val="00D7766C"/>
    <w:rsid w:val="00D90A6C"/>
    <w:rsid w:val="00D90C88"/>
    <w:rsid w:val="00D90CDE"/>
    <w:rsid w:val="00D90E2F"/>
    <w:rsid w:val="00D917F8"/>
    <w:rsid w:val="00D9384D"/>
    <w:rsid w:val="00D9719B"/>
    <w:rsid w:val="00DA36D0"/>
    <w:rsid w:val="00DB0115"/>
    <w:rsid w:val="00DB0AE1"/>
    <w:rsid w:val="00DB2C9C"/>
    <w:rsid w:val="00DB500A"/>
    <w:rsid w:val="00DB5E15"/>
    <w:rsid w:val="00DB7B42"/>
    <w:rsid w:val="00DC0DEA"/>
    <w:rsid w:val="00DC24B9"/>
    <w:rsid w:val="00DC2FDF"/>
    <w:rsid w:val="00DC3B91"/>
    <w:rsid w:val="00DC3F73"/>
    <w:rsid w:val="00DC4FE7"/>
    <w:rsid w:val="00DC5918"/>
    <w:rsid w:val="00DD2609"/>
    <w:rsid w:val="00DD3360"/>
    <w:rsid w:val="00DD559E"/>
    <w:rsid w:val="00DE12B4"/>
    <w:rsid w:val="00DE48AD"/>
    <w:rsid w:val="00DE5CDB"/>
    <w:rsid w:val="00DE6819"/>
    <w:rsid w:val="00DF0037"/>
    <w:rsid w:val="00DF066D"/>
    <w:rsid w:val="00DF3CB0"/>
    <w:rsid w:val="00DF46CA"/>
    <w:rsid w:val="00E02EE5"/>
    <w:rsid w:val="00E0534F"/>
    <w:rsid w:val="00E11B4E"/>
    <w:rsid w:val="00E21898"/>
    <w:rsid w:val="00E30F38"/>
    <w:rsid w:val="00E35EC1"/>
    <w:rsid w:val="00E406FB"/>
    <w:rsid w:val="00E425D0"/>
    <w:rsid w:val="00E45196"/>
    <w:rsid w:val="00E47F46"/>
    <w:rsid w:val="00E54FD2"/>
    <w:rsid w:val="00E601FD"/>
    <w:rsid w:val="00E64851"/>
    <w:rsid w:val="00E64F1C"/>
    <w:rsid w:val="00E6561E"/>
    <w:rsid w:val="00E66788"/>
    <w:rsid w:val="00E7124C"/>
    <w:rsid w:val="00E74013"/>
    <w:rsid w:val="00E805E7"/>
    <w:rsid w:val="00E81085"/>
    <w:rsid w:val="00E83094"/>
    <w:rsid w:val="00E944CB"/>
    <w:rsid w:val="00EA2093"/>
    <w:rsid w:val="00EA58AB"/>
    <w:rsid w:val="00EB3D1D"/>
    <w:rsid w:val="00EB7FDB"/>
    <w:rsid w:val="00EC2D33"/>
    <w:rsid w:val="00EC390E"/>
    <w:rsid w:val="00EC4B80"/>
    <w:rsid w:val="00EC76F3"/>
    <w:rsid w:val="00ED04F7"/>
    <w:rsid w:val="00ED176A"/>
    <w:rsid w:val="00ED1D2D"/>
    <w:rsid w:val="00ED27B8"/>
    <w:rsid w:val="00ED3A85"/>
    <w:rsid w:val="00ED48EA"/>
    <w:rsid w:val="00ED514A"/>
    <w:rsid w:val="00EE180D"/>
    <w:rsid w:val="00EE6E6A"/>
    <w:rsid w:val="00EF0586"/>
    <w:rsid w:val="00EF3DF0"/>
    <w:rsid w:val="00EF7271"/>
    <w:rsid w:val="00F10B67"/>
    <w:rsid w:val="00F1111D"/>
    <w:rsid w:val="00F13098"/>
    <w:rsid w:val="00F140BB"/>
    <w:rsid w:val="00F14A48"/>
    <w:rsid w:val="00F21687"/>
    <w:rsid w:val="00F2282D"/>
    <w:rsid w:val="00F26C93"/>
    <w:rsid w:val="00F27065"/>
    <w:rsid w:val="00F311F2"/>
    <w:rsid w:val="00F33F04"/>
    <w:rsid w:val="00F34BF0"/>
    <w:rsid w:val="00F34CB8"/>
    <w:rsid w:val="00F54BB7"/>
    <w:rsid w:val="00F56C23"/>
    <w:rsid w:val="00F602BA"/>
    <w:rsid w:val="00F60DC9"/>
    <w:rsid w:val="00F632D8"/>
    <w:rsid w:val="00F6369A"/>
    <w:rsid w:val="00F65BAA"/>
    <w:rsid w:val="00F75C64"/>
    <w:rsid w:val="00F76AA7"/>
    <w:rsid w:val="00F811E0"/>
    <w:rsid w:val="00F819D6"/>
    <w:rsid w:val="00F81E6F"/>
    <w:rsid w:val="00F82735"/>
    <w:rsid w:val="00F849D7"/>
    <w:rsid w:val="00F9184E"/>
    <w:rsid w:val="00F918BD"/>
    <w:rsid w:val="00F93B4D"/>
    <w:rsid w:val="00F93DEA"/>
    <w:rsid w:val="00FA3A34"/>
    <w:rsid w:val="00FA3F54"/>
    <w:rsid w:val="00FB0F0A"/>
    <w:rsid w:val="00FC2424"/>
    <w:rsid w:val="00FE35F9"/>
    <w:rsid w:val="00FE6870"/>
    <w:rsid w:val="00FE70CF"/>
    <w:rsid w:val="00FE7385"/>
    <w:rsid w:val="00FF0231"/>
    <w:rsid w:val="00FF168E"/>
    <w:rsid w:val="00FF244C"/>
    <w:rsid w:val="00FF3A51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02E2B"/>
    <w:pPr>
      <w:tabs>
        <w:tab w:val="left" w:pos="5308"/>
      </w:tabs>
      <w:spacing w:after="120"/>
      <w:outlineLvl w:val="0"/>
    </w:pPr>
    <w:rPr>
      <w:rFonts w:asciiTheme="majorHAnsi" w:hAnsiTheme="majorHAns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2E2B"/>
    <w:pPr>
      <w:tabs>
        <w:tab w:val="left" w:pos="5308"/>
      </w:tabs>
      <w:spacing w:after="120"/>
      <w:jc w:val="both"/>
      <w:outlineLvl w:val="1"/>
    </w:pPr>
    <w:rPr>
      <w:rFonts w:asciiTheme="majorHAnsi" w:hAnsiTheme="majorHAns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kladnodstavec">
    <w:name w:val="[Základní odstavec]"/>
    <w:basedOn w:val="Normln"/>
    <w:uiPriority w:val="99"/>
    <w:rsid w:val="006500E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1071ED"/>
    <w:pPr>
      <w:jc w:val="right"/>
    </w:pPr>
    <w:rPr>
      <w:rFonts w:asciiTheme="majorHAnsi" w:hAnsiTheme="majorHAnsi"/>
      <w:sz w:val="16"/>
      <w:szCs w:val="16"/>
    </w:rPr>
  </w:style>
  <w:style w:type="character" w:customStyle="1" w:styleId="ZpatChar">
    <w:name w:val="Zápatí Char"/>
    <w:basedOn w:val="ZpatChar1"/>
    <w:link w:val="Zpat1"/>
    <w:uiPriority w:val="99"/>
    <w:rsid w:val="001071ED"/>
    <w:rPr>
      <w:rFonts w:asciiTheme="majorHAnsi" w:hAnsiTheme="majorHAnsi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363CE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D90A6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D90A6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902E2B"/>
    <w:rPr>
      <w:rFonts w:asciiTheme="majorHAnsi" w:hAnsiTheme="majorHAns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902E2B"/>
    <w:rPr>
      <w:rFonts w:asciiTheme="majorHAnsi" w:hAnsiTheme="majorHAnsi"/>
      <w:b/>
    </w:rPr>
  </w:style>
  <w:style w:type="paragraph" w:styleId="Odstavecseseznamem">
    <w:name w:val="List Paragraph"/>
    <w:basedOn w:val="Normln"/>
    <w:uiPriority w:val="34"/>
    <w:qFormat/>
    <w:rsid w:val="002F6778"/>
    <w:pPr>
      <w:spacing w:after="160" w:line="259" w:lineRule="auto"/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2F5E31"/>
    <w:pPr>
      <w:tabs>
        <w:tab w:val="right" w:leader="dot" w:pos="9628"/>
      </w:tabs>
      <w:spacing w:after="100"/>
    </w:pPr>
    <w:rPr>
      <w:b/>
    </w:rPr>
  </w:style>
  <w:style w:type="character" w:styleId="Hypertextovodkaz">
    <w:name w:val="Hyperlink"/>
    <w:basedOn w:val="Standardnpsmoodstavce"/>
    <w:uiPriority w:val="99"/>
    <w:unhideWhenUsed/>
    <w:rsid w:val="002F5E31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2F5E31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02E2B"/>
    <w:pPr>
      <w:tabs>
        <w:tab w:val="left" w:pos="5308"/>
      </w:tabs>
      <w:spacing w:after="120"/>
      <w:outlineLvl w:val="0"/>
    </w:pPr>
    <w:rPr>
      <w:rFonts w:asciiTheme="majorHAnsi" w:hAnsiTheme="majorHAns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2E2B"/>
    <w:pPr>
      <w:tabs>
        <w:tab w:val="left" w:pos="5308"/>
      </w:tabs>
      <w:spacing w:after="120"/>
      <w:jc w:val="both"/>
      <w:outlineLvl w:val="1"/>
    </w:pPr>
    <w:rPr>
      <w:rFonts w:asciiTheme="majorHAnsi" w:hAnsiTheme="majorHAns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kladnodstavec">
    <w:name w:val="[Základní odstavec]"/>
    <w:basedOn w:val="Normln"/>
    <w:uiPriority w:val="99"/>
    <w:rsid w:val="006500E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1071ED"/>
    <w:pPr>
      <w:jc w:val="right"/>
    </w:pPr>
    <w:rPr>
      <w:rFonts w:asciiTheme="majorHAnsi" w:hAnsiTheme="majorHAnsi"/>
      <w:sz w:val="16"/>
      <w:szCs w:val="16"/>
    </w:rPr>
  </w:style>
  <w:style w:type="character" w:customStyle="1" w:styleId="ZpatChar">
    <w:name w:val="Zápatí Char"/>
    <w:basedOn w:val="ZpatChar1"/>
    <w:link w:val="Zpat1"/>
    <w:uiPriority w:val="99"/>
    <w:rsid w:val="001071ED"/>
    <w:rPr>
      <w:rFonts w:asciiTheme="majorHAnsi" w:hAnsiTheme="majorHAnsi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363CE4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D90A6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D90A6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902E2B"/>
    <w:rPr>
      <w:rFonts w:asciiTheme="majorHAnsi" w:hAnsiTheme="majorHAns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902E2B"/>
    <w:rPr>
      <w:rFonts w:asciiTheme="majorHAnsi" w:hAnsiTheme="majorHAnsi"/>
      <w:b/>
    </w:rPr>
  </w:style>
  <w:style w:type="paragraph" w:styleId="Odstavecseseznamem">
    <w:name w:val="List Paragraph"/>
    <w:basedOn w:val="Normln"/>
    <w:uiPriority w:val="34"/>
    <w:qFormat/>
    <w:rsid w:val="002F6778"/>
    <w:pPr>
      <w:spacing w:after="160" w:line="259" w:lineRule="auto"/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2F5E31"/>
    <w:pPr>
      <w:tabs>
        <w:tab w:val="right" w:leader="dot" w:pos="9628"/>
      </w:tabs>
      <w:spacing w:after="100"/>
    </w:pPr>
    <w:rPr>
      <w:b/>
    </w:rPr>
  </w:style>
  <w:style w:type="character" w:styleId="Hypertextovodkaz">
    <w:name w:val="Hyperlink"/>
    <w:basedOn w:val="Standardnpsmoodstavce"/>
    <w:uiPriority w:val="99"/>
    <w:unhideWhenUsed/>
    <w:rsid w:val="002F5E31"/>
    <w:rPr>
      <w:color w:val="0000FF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2F5E31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81F6D-1122-41BA-98EB-EDA63052A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 ČR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Miluše Rollerová</dc:creator>
  <cp:lastModifiedBy>Pospíšilová Anna</cp:lastModifiedBy>
  <cp:revision>2</cp:revision>
  <dcterms:created xsi:type="dcterms:W3CDTF">2017-02-16T09:32:00Z</dcterms:created>
  <dcterms:modified xsi:type="dcterms:W3CDTF">2017-02-16T09:32:00Z</dcterms:modified>
</cp:coreProperties>
</file>