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C04DF" w:rsidRDefault="00C81E56">
      <w:pPr>
        <w:spacing w:before="120" w:after="120"/>
        <w:jc w:val="center"/>
        <w:rPr>
          <w:rFonts w:ascii="Arial" w:eastAsia="Arial" w:hAnsi="Arial" w:cs="Arial"/>
        </w:rPr>
      </w:pPr>
      <w:r>
        <w:rPr>
          <w:rFonts w:ascii="Arial" w:eastAsia="Arial" w:hAnsi="Arial" w:cs="Arial"/>
          <w:b/>
        </w:rPr>
        <w:t>Program na podporu aplikovaného výzkumu, experimentálního vývoje a</w:t>
      </w:r>
      <w:r w:rsidR="00340AB8">
        <w:rPr>
          <w:rFonts w:ascii="Arial" w:eastAsia="Arial" w:hAnsi="Arial" w:cs="Arial"/>
          <w:b/>
        </w:rPr>
        <w:t> </w:t>
      </w:r>
      <w:r>
        <w:rPr>
          <w:rFonts w:ascii="Arial" w:eastAsia="Arial" w:hAnsi="Arial" w:cs="Arial"/>
          <w:b/>
        </w:rPr>
        <w:t>inovací Národní centra kompetence</w:t>
      </w:r>
    </w:p>
    <w:p w:rsidR="009C04DF" w:rsidRDefault="00C81E56">
      <w:pPr>
        <w:pStyle w:val="Nadpis1"/>
        <w:numPr>
          <w:ilvl w:val="0"/>
          <w:numId w:val="2"/>
        </w:numPr>
        <w:ind w:hanging="432"/>
        <w:rPr>
          <w:rFonts w:ascii="Arial" w:eastAsia="Arial" w:hAnsi="Arial" w:cs="Arial"/>
        </w:rPr>
      </w:pPr>
      <w:r>
        <w:rPr>
          <w:rFonts w:ascii="Arial" w:eastAsia="Arial" w:hAnsi="Arial" w:cs="Arial"/>
        </w:rPr>
        <w:t>NÁZEV PROGRAMU</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 xml:space="preserve">Program na </w:t>
      </w:r>
      <w:r w:rsidR="00691F33">
        <w:rPr>
          <w:rFonts w:ascii="Arial" w:eastAsia="Arial" w:hAnsi="Arial" w:cs="Arial"/>
          <w:sz w:val="22"/>
          <w:szCs w:val="22"/>
        </w:rPr>
        <w:t xml:space="preserve">podporu </w:t>
      </w:r>
      <w:r>
        <w:rPr>
          <w:rFonts w:ascii="Arial" w:eastAsia="Arial" w:hAnsi="Arial" w:cs="Arial"/>
          <w:sz w:val="22"/>
          <w:szCs w:val="22"/>
        </w:rPr>
        <w:t>aplikovan</w:t>
      </w:r>
      <w:bookmarkStart w:id="0" w:name="_GoBack"/>
      <w:bookmarkEnd w:id="0"/>
      <w:r>
        <w:rPr>
          <w:rFonts w:ascii="Arial" w:eastAsia="Arial" w:hAnsi="Arial" w:cs="Arial"/>
          <w:sz w:val="22"/>
          <w:szCs w:val="22"/>
        </w:rPr>
        <w:t>ého výzkumu, experimentálního vývoje a inovací Národní centra kompetence (dále jen „program“).</w:t>
      </w:r>
    </w:p>
    <w:p w:rsidR="009C04DF" w:rsidRDefault="00C81E56">
      <w:pPr>
        <w:pStyle w:val="Nadpis1"/>
        <w:numPr>
          <w:ilvl w:val="0"/>
          <w:numId w:val="2"/>
        </w:numPr>
        <w:ind w:hanging="432"/>
        <w:rPr>
          <w:rFonts w:ascii="Arial" w:eastAsia="Arial" w:hAnsi="Arial" w:cs="Arial"/>
        </w:rPr>
      </w:pPr>
      <w:r>
        <w:rPr>
          <w:rFonts w:ascii="Arial" w:eastAsia="Arial" w:hAnsi="Arial" w:cs="Arial"/>
        </w:rPr>
        <w:t>PRÁVNÍ RÁMEC PROGRAMU</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Program bude realizován podle:</w:t>
      </w:r>
    </w:p>
    <w:p w:rsidR="009C04DF" w:rsidRDefault="00C81E56">
      <w:pPr>
        <w:numPr>
          <w:ilvl w:val="0"/>
          <w:numId w:val="1"/>
        </w:numPr>
        <w:spacing w:before="120" w:after="120"/>
        <w:ind w:hanging="360"/>
        <w:jc w:val="both"/>
      </w:pPr>
      <w:r>
        <w:rPr>
          <w:rFonts w:ascii="Arial" w:eastAsia="Arial" w:hAnsi="Arial" w:cs="Arial"/>
          <w:sz w:val="22"/>
          <w:szCs w:val="22"/>
        </w:rPr>
        <w:t xml:space="preserve">Zákona č. 130/2002 Sb., o podpoře výzkumu, experimentálního vývoje a inovací z veřejných prostředků a o změně některých souvisejících zákonů (dále jen “zákon </w:t>
      </w:r>
      <w:r>
        <w:rPr>
          <w:rFonts w:ascii="Arial" w:eastAsia="Arial" w:hAnsi="Arial" w:cs="Arial"/>
          <w:sz w:val="22"/>
          <w:szCs w:val="22"/>
        </w:rPr>
        <w:br/>
        <w:t>o podpoře výzkumu, experimentálního vývoje a inovací”), ve znění pozdějších předpisů;</w:t>
      </w:r>
    </w:p>
    <w:p w:rsidR="009C04DF" w:rsidRDefault="00C81E56">
      <w:pPr>
        <w:numPr>
          <w:ilvl w:val="0"/>
          <w:numId w:val="1"/>
        </w:numPr>
        <w:spacing w:before="120" w:after="120"/>
        <w:ind w:hanging="360"/>
        <w:jc w:val="both"/>
      </w:pPr>
      <w:r>
        <w:rPr>
          <w:rFonts w:ascii="Arial" w:eastAsia="Arial" w:hAnsi="Arial" w:cs="Arial"/>
          <w:sz w:val="22"/>
          <w:szCs w:val="22"/>
        </w:rPr>
        <w:t>Smlouvy o fungování Evropské unie 2012/C 326/01, (zejména 107, případně také články 93 a 106);</w:t>
      </w:r>
    </w:p>
    <w:p w:rsidR="009C04DF" w:rsidRDefault="00C81E56">
      <w:pPr>
        <w:numPr>
          <w:ilvl w:val="0"/>
          <w:numId w:val="1"/>
        </w:numPr>
        <w:spacing w:before="120" w:after="120"/>
        <w:ind w:hanging="360"/>
        <w:jc w:val="both"/>
      </w:pPr>
      <w:r>
        <w:rPr>
          <w:rFonts w:ascii="Arial" w:eastAsia="Arial" w:hAnsi="Arial" w:cs="Arial"/>
          <w:sz w:val="22"/>
          <w:szCs w:val="22"/>
        </w:rPr>
        <w:t>Nařízení Komise (EU) č. 651/2014 ze dne 17. června 2014, kterým se v souladu s články 107 a 108 Smlouvy prohlašují určité kategorie podpory za slučitelné s vnitřním trhem - Úřední věstník Evropské unie L 187, 26. června 2014 (dále jen „Nařízení“), zejm. čl. 25, 28 a 29;</w:t>
      </w:r>
    </w:p>
    <w:p w:rsidR="009C04DF" w:rsidRDefault="00C81E56">
      <w:pPr>
        <w:numPr>
          <w:ilvl w:val="0"/>
          <w:numId w:val="1"/>
        </w:numPr>
        <w:spacing w:before="120" w:after="120"/>
        <w:ind w:hanging="360"/>
        <w:jc w:val="both"/>
      </w:pPr>
      <w:r>
        <w:rPr>
          <w:rFonts w:ascii="Arial" w:eastAsia="Arial" w:hAnsi="Arial" w:cs="Arial"/>
          <w:sz w:val="22"/>
          <w:szCs w:val="22"/>
        </w:rPr>
        <w:t xml:space="preserve">Rámce pro státní podporu výzkumu, vývoje a inovací – Úřední věstník Evropské unie </w:t>
      </w:r>
      <w:r>
        <w:rPr>
          <w:rFonts w:ascii="Arial" w:eastAsia="Arial" w:hAnsi="Arial" w:cs="Arial"/>
          <w:sz w:val="22"/>
          <w:szCs w:val="22"/>
        </w:rPr>
        <w:br/>
        <w:t>C 198, 27. června 2014 (dále jen „Rámec“);</w:t>
      </w:r>
    </w:p>
    <w:p w:rsidR="009C04DF" w:rsidRDefault="00C81E56">
      <w:pPr>
        <w:numPr>
          <w:ilvl w:val="0"/>
          <w:numId w:val="1"/>
        </w:numPr>
        <w:spacing w:before="120" w:after="120"/>
        <w:ind w:hanging="360"/>
        <w:jc w:val="both"/>
      </w:pPr>
      <w:r>
        <w:rPr>
          <w:rFonts w:ascii="Arial" w:eastAsia="Arial" w:hAnsi="Arial" w:cs="Arial"/>
          <w:sz w:val="22"/>
          <w:szCs w:val="22"/>
        </w:rPr>
        <w:t>a podle ostatních souvisejících předpisů.</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Program je vyňat z oznamovací povinnosti podle čl. 108 odst. 3 Smlouvy o fungování Evropské unie, neboť splňuje podmínky Nařízení.</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V rámci tohoto programu je vyloučeno vyplacení jednotlivé podpory ve prospěch podniku:</w:t>
      </w:r>
    </w:p>
    <w:p w:rsidR="009C04DF" w:rsidRDefault="00C81E56">
      <w:pPr>
        <w:numPr>
          <w:ilvl w:val="0"/>
          <w:numId w:val="4"/>
        </w:numPr>
        <w:spacing w:before="120" w:after="120"/>
        <w:ind w:hanging="360"/>
        <w:jc w:val="both"/>
      </w:pPr>
      <w:r>
        <w:rPr>
          <w:rFonts w:ascii="Arial" w:eastAsia="Arial" w:hAnsi="Arial" w:cs="Arial"/>
          <w:sz w:val="22"/>
          <w:szCs w:val="22"/>
        </w:rPr>
        <w:t>vůči němuž byl v návaznosti na rozhodnutí Komise, jímž je podpora prohlášena za protiprávní a neslučitelnou s vnitřním trhem, vystaven inkasní příkaz, který je nesplacený,</w:t>
      </w:r>
    </w:p>
    <w:p w:rsidR="009C04DF" w:rsidRDefault="00C81E56">
      <w:pPr>
        <w:numPr>
          <w:ilvl w:val="0"/>
          <w:numId w:val="4"/>
        </w:numPr>
        <w:spacing w:before="120" w:after="120"/>
        <w:ind w:hanging="360"/>
        <w:jc w:val="both"/>
      </w:pPr>
      <w:r>
        <w:rPr>
          <w:rFonts w:ascii="Arial" w:eastAsia="Arial" w:hAnsi="Arial" w:cs="Arial"/>
          <w:sz w:val="22"/>
          <w:szCs w:val="22"/>
        </w:rPr>
        <w:t>splňujícímu definici podniku v obtížích uvedenou v čl. 2, odst. 18) Nařízení.</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Pokud jeden podnik obdrží v rámci programu veřejnou podporu vyšší než 500 tis. EUR, budou informace o příjemci a jemu poskytnuté podpoře (v rozsahu dle přílohy III Nařízení) zveřejněny na centrální webové stránce ve smyslu čl. 9 Nařízení.</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Program bude realizován v souladu s Národní politikou výzkumu, vývoje a inovací České republiky na léta 2016 až 2020, schválenou usnesením vlády České republiky ze dne 17. února 2016 č. 135, Národními prioritami orientovaného výzkumu, experimentálního vývoje a inovací, které byly přijaty usnesením vlády ze dne 19. července 2012 č. 552 (dále jen „NPOV“), aktualizovanou Národní výzkumnou a inovační strategií pro inteligentní specializaci České republiky, schválenou usnesením vlády České republiky dne 11. července 2016 č. 634, s principy Iniciativy Průmysl 4.0 vzaté na vědomí vládou usnesením č. 729 dne 24. srpna 2016 a dalšími národními a rezortními strategiemi.</w:t>
      </w:r>
    </w:p>
    <w:p w:rsidR="009C04DF" w:rsidRDefault="00C81E56">
      <w:pPr>
        <w:pStyle w:val="Nadpis1"/>
        <w:numPr>
          <w:ilvl w:val="0"/>
          <w:numId w:val="2"/>
        </w:numPr>
        <w:ind w:hanging="432"/>
        <w:rPr>
          <w:rFonts w:ascii="Arial" w:eastAsia="Arial" w:hAnsi="Arial" w:cs="Arial"/>
        </w:rPr>
      </w:pPr>
      <w:r>
        <w:rPr>
          <w:rFonts w:ascii="Arial" w:eastAsia="Arial" w:hAnsi="Arial" w:cs="Arial"/>
        </w:rPr>
        <w:t>POSKYTOVATEL</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Poskytovatelem podpory je Technologická agentura České republiky (dále jen „TA ČR“).</w:t>
      </w:r>
    </w:p>
    <w:p w:rsidR="009C04DF" w:rsidRDefault="00C81E56">
      <w:pPr>
        <w:pStyle w:val="Nadpis1"/>
        <w:numPr>
          <w:ilvl w:val="0"/>
          <w:numId w:val="2"/>
        </w:numPr>
        <w:ind w:hanging="432"/>
        <w:rPr>
          <w:rFonts w:ascii="Arial" w:eastAsia="Arial" w:hAnsi="Arial" w:cs="Arial"/>
        </w:rPr>
      </w:pPr>
      <w:r>
        <w:rPr>
          <w:rFonts w:ascii="Arial" w:eastAsia="Arial" w:hAnsi="Arial" w:cs="Arial"/>
        </w:rPr>
        <w:lastRenderedPageBreak/>
        <w:t>IDENTIFIKAČNÍ KÓD PROGRAMU</w:t>
      </w:r>
    </w:p>
    <w:p w:rsidR="009C04DF" w:rsidRDefault="00C81E56">
      <w:pPr>
        <w:spacing w:before="120" w:after="120"/>
        <w:jc w:val="both"/>
        <w:rPr>
          <w:rFonts w:ascii="Arial" w:eastAsia="Arial" w:hAnsi="Arial" w:cs="Arial"/>
          <w:sz w:val="22"/>
          <w:szCs w:val="22"/>
          <w:highlight w:val="yellow"/>
        </w:rPr>
      </w:pPr>
      <w:r>
        <w:rPr>
          <w:rFonts w:ascii="Arial" w:eastAsia="Arial" w:hAnsi="Arial" w:cs="Arial"/>
          <w:sz w:val="22"/>
          <w:szCs w:val="22"/>
        </w:rPr>
        <w:t xml:space="preserve">Pro účely evidence v informačním systému výzkumu, experimentálního vývoje a inovací byl programu přidělen </w:t>
      </w:r>
      <w:proofErr w:type="gramStart"/>
      <w:r>
        <w:rPr>
          <w:rFonts w:ascii="Arial" w:eastAsia="Arial" w:hAnsi="Arial" w:cs="Arial"/>
          <w:sz w:val="22"/>
          <w:szCs w:val="22"/>
        </w:rPr>
        <w:t xml:space="preserve">kód </w:t>
      </w:r>
      <w:r>
        <w:rPr>
          <w:rFonts w:ascii="Arial" w:eastAsia="Arial" w:hAnsi="Arial" w:cs="Arial"/>
          <w:sz w:val="22"/>
          <w:szCs w:val="22"/>
          <w:highlight w:val="yellow"/>
        </w:rPr>
        <w:t>„...“</w:t>
      </w:r>
      <w:r>
        <w:rPr>
          <w:rFonts w:ascii="Arial" w:eastAsia="Arial" w:hAnsi="Arial" w:cs="Arial"/>
          <w:sz w:val="22"/>
          <w:szCs w:val="22"/>
        </w:rPr>
        <w:t>.</w:t>
      </w:r>
      <w:proofErr w:type="gramEnd"/>
    </w:p>
    <w:p w:rsidR="009C04DF" w:rsidRDefault="00C81E56">
      <w:pPr>
        <w:pStyle w:val="Nadpis1"/>
        <w:numPr>
          <w:ilvl w:val="0"/>
          <w:numId w:val="2"/>
        </w:numPr>
        <w:ind w:hanging="432"/>
        <w:rPr>
          <w:rFonts w:ascii="Arial" w:eastAsia="Arial" w:hAnsi="Arial" w:cs="Arial"/>
        </w:rPr>
      </w:pPr>
      <w:r>
        <w:rPr>
          <w:rFonts w:ascii="Arial" w:eastAsia="Arial" w:hAnsi="Arial" w:cs="Arial"/>
        </w:rPr>
        <w:t>DOBA TRVÁNÍ A TERMÍNY VYHLÁŠENÍ PROGRAMU</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 xml:space="preserve">Doba trvání programu se předpokládá v letech 2018 až 2030, tj. 13 let. </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Veřejná soutěž v aplikovaném výzkumu a experimentálním vývoji a inovacích (dále jen „veřejná soutěž“) na výběr projektů do programu bude vyhlášena poprvé v roce 2018 se zahájením poskytování podpory v roce 2018. Na základě vyhodnocení průběhu a výsledků první veřejné soutěže mohou být následně vyhlášeny další veřejné soutěže.</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Roky 2018 a 2019 jsou zamýšleny jako přípravná fáze pro vznik a fungování center. Roky 2029 a 2030 jsou pak plánovány pro řádné vyhodnocení přínosů, výsledků a dopadů realizace programu, přípravu nového programu nebo ukončování činnosti center.</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 xml:space="preserve">Doba trvání projektů nesmí přesáhnout dobu trvání programu. </w:t>
      </w:r>
    </w:p>
    <w:p w:rsidR="009C04DF" w:rsidRDefault="00C81E56">
      <w:pPr>
        <w:pStyle w:val="Nadpis1"/>
        <w:numPr>
          <w:ilvl w:val="0"/>
          <w:numId w:val="2"/>
        </w:numPr>
        <w:ind w:hanging="432"/>
        <w:rPr>
          <w:rFonts w:ascii="Arial" w:eastAsia="Arial" w:hAnsi="Arial" w:cs="Arial"/>
        </w:rPr>
      </w:pPr>
      <w:r>
        <w:rPr>
          <w:rFonts w:ascii="Arial" w:eastAsia="Arial" w:hAnsi="Arial" w:cs="Arial"/>
        </w:rPr>
        <w:t>ZAMĚŘENÍ PROGRAMU</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Program je zaměřen na podporu dlouhodobé spolupráce mezi výzkumnou a aplikační sférou a posílení institucionální základny aplikovaného výzkumu.</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V souladu s Národní politikou výzkumu, vývoje a inovací České republiky na léta 2016 – 2020 je záměrem výrazně posílit segment výzkumných organizací zaměřených na aplikovaný výzkum a motivovat relevantní stávající výzkumná pracoviště, aby se transformovala na výzkumně a technologicky zaměřená centra, kde bude realizován kvalitní aplikovaný výzkum podle potřeb aplikační sféry. Záměrem je synergicky provázat již existující úspěšná centra, která vznikla za podpory TA ČR (Centra kompetence), GA ČR (Centra excelence) a operačních programů (zejména tzv. VaVpI Centra) s dalšími výzkumnými centry a jednotkami do jednoho integrovaného systému.</w:t>
      </w:r>
      <w:r w:rsidR="00363D10">
        <w:rPr>
          <w:rFonts w:ascii="Arial" w:eastAsia="Arial" w:hAnsi="Arial" w:cs="Arial"/>
          <w:sz w:val="22"/>
          <w:szCs w:val="22"/>
        </w:rPr>
        <w:t xml:space="preserve"> Program by zároveň měl být součástí řešení financování aplikovaného výzkumu po roce 2020 po konci současného programového období Evropských strukturálních a investičních fondů a součástí budoucího financování výzkumných infrastruktur.</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Tato pracoviště by měla intenzivně spolupracovat s aplikačním sektorem a měla by vytvářet poznatky s vysokým potenciálem pro přímé uplatnění v praxi, dále by měla získávat významnou část svých příjmů ze smluvního výzkumu</w:t>
      </w:r>
      <w:r w:rsidR="0095286C">
        <w:rPr>
          <w:rFonts w:ascii="Arial" w:eastAsia="Arial" w:hAnsi="Arial" w:cs="Arial"/>
          <w:sz w:val="22"/>
          <w:szCs w:val="22"/>
        </w:rPr>
        <w:t>, licenčních poplatků a také dotací na kolaborativní výzkum v rámci ostatních národních a evropských schémat podpory výzkumu</w:t>
      </w:r>
      <w:r>
        <w:rPr>
          <w:rFonts w:ascii="Arial" w:eastAsia="Arial" w:hAnsi="Arial" w:cs="Arial"/>
          <w:sz w:val="22"/>
          <w:szCs w:val="22"/>
        </w:rPr>
        <w:t>. Záměrem je také posílit výzkumné a inovační aktivity podniků, respektive stimulovat rozvoj aktivit výzkumu a vývoje a zvýšení schopnosti podniků absorbovat výsledky výzkumu realizovaného ve výzkumných organizacích. Dále se předpokládá, že program přispěje nejen k lepší spolupráci a propojenosti výzkumné a aplikační sféry, ale i k lepší spolupráci v rámci výzkumné sféry i v rámci aplikační sféry.</w:t>
      </w:r>
    </w:p>
    <w:p w:rsidR="009C04DF" w:rsidRDefault="00C81E56">
      <w:pPr>
        <w:spacing w:before="120" w:after="120"/>
        <w:jc w:val="both"/>
        <w:rPr>
          <w:rFonts w:ascii="Arial" w:eastAsia="Arial" w:hAnsi="Arial" w:cs="Arial"/>
          <w:sz w:val="22"/>
          <w:szCs w:val="22"/>
          <w:highlight w:val="yellow"/>
        </w:rPr>
      </w:pPr>
      <w:r>
        <w:rPr>
          <w:rFonts w:ascii="Arial" w:eastAsia="Arial" w:hAnsi="Arial" w:cs="Arial"/>
          <w:sz w:val="22"/>
          <w:szCs w:val="22"/>
        </w:rPr>
        <w:t>Předpokládá se mimo jiné vznik velkých komplexních průmyslově orientovaných center s mezinárodním přesahem, potenciálem přelomových inovací a postavených na excelentních týmech. Tato centra by měla překračovat kritickou velikost pro participaci v rozsáhlejších projektech s dlouhodobým financováním. Záměrem je také propojit dosud málo nebo vůbec nekomunikující odvětví. Dále by centra měla zásadním způsobem zvýšit efektivitu výzkumu zvýšením interdisciplinarity, včetně zapojení společenskovědního výzkumu.</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 xml:space="preserve">Program je zaměřen na podporu projektů, které spadají dle čl. 25 odst. 2 písm. b) a c) Nařízení a čl. </w:t>
      </w:r>
      <w:proofErr w:type="gramStart"/>
      <w:r>
        <w:rPr>
          <w:rFonts w:ascii="Arial" w:eastAsia="Arial" w:hAnsi="Arial" w:cs="Arial"/>
          <w:sz w:val="22"/>
          <w:szCs w:val="22"/>
        </w:rPr>
        <w:t>1.3. písm.</w:t>
      </w:r>
      <w:proofErr w:type="gramEnd"/>
      <w:r>
        <w:rPr>
          <w:rFonts w:ascii="Arial" w:eastAsia="Arial" w:hAnsi="Arial" w:cs="Arial"/>
          <w:sz w:val="22"/>
          <w:szCs w:val="22"/>
        </w:rPr>
        <w:t xml:space="preserve"> e) Rámce do kategorie aplikovaného výzkumu (zahrnuje průmyslový výzkum, experimentální vývoj nebo jejich kombinaci), jejichž výsledky mají vysoký potenciál pro uplatnění v řadě oblastí celospolečenského života obyvatel České republiky. </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lastRenderedPageBreak/>
        <w:t>Program přispěje k tomu, aby veřejné prostředky investované do aplikovaného výzkumu přinášely ekonomický či jiný společenský přínos z jejich realizace. Získané poznatky přispějí k definování faktorů a procesů, které určují a ovlivňují fungování a rozvoj české společnosti, v kontextu probíhající evropské integrace a světové globalizace. Při realizaci tento program předpokládá především uplatnění projektů zaměřených na průmyslový výzkum (zahrnující ovšem také nezbytné činnosti orientovaného základního výzkumu) a také podporu projektů s převahou experimentálního vývoje.</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Předpokládá se, přinejmenším v úvodní fázi fungování center, vznik „virtuálních“ center propojujících ty nejlepší týmy, které má Česká republika v dané oblasti k dispozici. Dále se předpokládá, že program bude řídit Rada programu Národní centra kompetence</w:t>
      </w:r>
      <w:r w:rsidR="0095286C">
        <w:rPr>
          <w:rFonts w:ascii="Arial" w:eastAsia="Arial" w:hAnsi="Arial" w:cs="Arial"/>
          <w:sz w:val="22"/>
          <w:szCs w:val="22"/>
        </w:rPr>
        <w:t xml:space="preserve"> (s pravomocí ukončit neúspěšné projekty na základě stanovených podmínek)</w:t>
      </w:r>
      <w:r>
        <w:rPr>
          <w:rFonts w:ascii="Arial" w:eastAsia="Arial" w:hAnsi="Arial" w:cs="Arial"/>
          <w:sz w:val="22"/>
          <w:szCs w:val="22"/>
        </w:rPr>
        <w:t>, která bude složena ze zástupců veřejné správy, výzkumné i aplikační sféry. Jednotlivá centra pak bude řídit Rada centra, která bude složena na obdobném principu.</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Program bude možné využít pro synergické a komplementární efekty v mezinárodních schématech typu H2020</w:t>
      </w:r>
      <w:r>
        <w:rPr>
          <w:rFonts w:ascii="Arial" w:eastAsia="Arial" w:hAnsi="Arial" w:cs="Arial"/>
          <w:sz w:val="22"/>
          <w:szCs w:val="22"/>
          <w:vertAlign w:val="superscript"/>
        </w:rPr>
        <w:footnoteReference w:id="1"/>
      </w:r>
      <w:r>
        <w:rPr>
          <w:rFonts w:ascii="Arial" w:eastAsia="Arial" w:hAnsi="Arial" w:cs="Arial"/>
          <w:sz w:val="22"/>
          <w:szCs w:val="22"/>
        </w:rPr>
        <w:t xml:space="preserve">, dalších programech EU a dalších mezinárodních programech, které jsou v souladu se zaměřením programu. </w:t>
      </w:r>
    </w:p>
    <w:p w:rsidR="009C04DF" w:rsidRDefault="00C81E56">
      <w:pPr>
        <w:pStyle w:val="Nadpis1"/>
        <w:numPr>
          <w:ilvl w:val="0"/>
          <w:numId w:val="2"/>
        </w:numPr>
        <w:ind w:hanging="432"/>
        <w:rPr>
          <w:rFonts w:ascii="Arial" w:eastAsia="Arial" w:hAnsi="Arial" w:cs="Arial"/>
        </w:rPr>
      </w:pPr>
      <w:r>
        <w:rPr>
          <w:rFonts w:ascii="Arial" w:eastAsia="Arial" w:hAnsi="Arial" w:cs="Arial"/>
        </w:rPr>
        <w:t>CÍL PROGRAMU</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 xml:space="preserve">Cílem programu je zvýšení efektivity a kvality výsledků aplikovaného výzkumu a transferu technologií v </w:t>
      </w:r>
      <w:r w:rsidR="00363D10">
        <w:rPr>
          <w:rFonts w:ascii="Arial" w:eastAsia="Arial" w:hAnsi="Arial" w:cs="Arial"/>
          <w:sz w:val="22"/>
          <w:szCs w:val="22"/>
        </w:rPr>
        <w:t>klíčových</w:t>
      </w:r>
      <w:r>
        <w:rPr>
          <w:rFonts w:ascii="Arial" w:eastAsia="Arial" w:hAnsi="Arial" w:cs="Arial"/>
          <w:sz w:val="22"/>
          <w:szCs w:val="22"/>
        </w:rPr>
        <w:t xml:space="preserve"> oborech</w:t>
      </w:r>
      <w:r w:rsidR="00363D10">
        <w:rPr>
          <w:rFonts w:ascii="Arial" w:eastAsia="Arial" w:hAnsi="Arial" w:cs="Arial"/>
          <w:sz w:val="22"/>
          <w:szCs w:val="22"/>
        </w:rPr>
        <w:t xml:space="preserve"> s perspektivou růstu</w:t>
      </w:r>
      <w:r>
        <w:rPr>
          <w:rFonts w:ascii="Arial" w:eastAsia="Arial" w:hAnsi="Arial" w:cs="Arial"/>
          <w:sz w:val="22"/>
          <w:szCs w:val="22"/>
        </w:rPr>
        <w:t>, zvýšení konkurenceschopnosti podniků a posílení excelence a aplikační relevance výzkumných organizací.</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Nástrojem pro dosažení tohoto cíle je vybudování dostatečně stabilní a dlouhodobé základny aplikovaného výzkumu (v podobě národních center kompetence), a to prostřednictvím koncentrace výzkumných kapacit a nastavení jejich silné orientace na aplikaci výsledků jejich výzkumu v praxi.</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Mezi dílčí cíle programu patří (i) propojení stávajících výzkumných center, (</w:t>
      </w:r>
      <w:proofErr w:type="spellStart"/>
      <w:r>
        <w:rPr>
          <w:rFonts w:ascii="Arial" w:eastAsia="Arial" w:hAnsi="Arial" w:cs="Arial"/>
          <w:sz w:val="22"/>
          <w:szCs w:val="22"/>
        </w:rPr>
        <w:t>ii</w:t>
      </w:r>
      <w:proofErr w:type="spellEnd"/>
      <w:r>
        <w:rPr>
          <w:rFonts w:ascii="Arial" w:eastAsia="Arial" w:hAnsi="Arial" w:cs="Arial"/>
          <w:sz w:val="22"/>
          <w:szCs w:val="22"/>
        </w:rPr>
        <w:t>) zajištění mezioborovosti a podpora dlouhodobé spolupráce, (</w:t>
      </w:r>
      <w:proofErr w:type="spellStart"/>
      <w:r>
        <w:rPr>
          <w:rFonts w:ascii="Arial" w:eastAsia="Arial" w:hAnsi="Arial" w:cs="Arial"/>
          <w:sz w:val="22"/>
          <w:szCs w:val="22"/>
        </w:rPr>
        <w:t>iii</w:t>
      </w:r>
      <w:proofErr w:type="spellEnd"/>
      <w:r>
        <w:rPr>
          <w:rFonts w:ascii="Arial" w:eastAsia="Arial" w:hAnsi="Arial" w:cs="Arial"/>
          <w:sz w:val="22"/>
          <w:szCs w:val="22"/>
        </w:rPr>
        <w:t>) podpora inovací prostřednictvím transferu technologií, důraz na aplikovatelnost výsledků a (</w:t>
      </w:r>
      <w:proofErr w:type="spellStart"/>
      <w:r>
        <w:rPr>
          <w:rFonts w:ascii="Arial" w:eastAsia="Arial" w:hAnsi="Arial" w:cs="Arial"/>
          <w:sz w:val="22"/>
          <w:szCs w:val="22"/>
        </w:rPr>
        <w:t>iv</w:t>
      </w:r>
      <w:proofErr w:type="spellEnd"/>
      <w:r>
        <w:rPr>
          <w:rFonts w:ascii="Arial" w:eastAsia="Arial" w:hAnsi="Arial" w:cs="Arial"/>
          <w:sz w:val="22"/>
          <w:szCs w:val="22"/>
        </w:rPr>
        <w:t>) zvýšení počtu inovačních lídrů.</w:t>
      </w:r>
    </w:p>
    <w:p w:rsidR="009C04DF" w:rsidRDefault="00C81E56">
      <w:pPr>
        <w:pStyle w:val="Nadpis1"/>
        <w:numPr>
          <w:ilvl w:val="0"/>
          <w:numId w:val="2"/>
        </w:numPr>
        <w:ind w:hanging="432"/>
        <w:rPr>
          <w:rFonts w:ascii="Arial" w:eastAsia="Arial" w:hAnsi="Arial" w:cs="Arial"/>
        </w:rPr>
      </w:pPr>
      <w:r>
        <w:rPr>
          <w:rFonts w:ascii="Arial" w:eastAsia="Arial" w:hAnsi="Arial" w:cs="Arial"/>
        </w:rPr>
        <w:t>ODŮVODNĚNÍ CÍLE PROGRAMU</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Program by měl reagovat na změny a identifikované nedostatky zjištěné v rámci hodnocení podpory aplikovaného výzkumu. Jedná se především o nedostatečnou spolupráci a výměnu zkušeností výzkumných organizací s aplikační sférou. Obecněji pak o nedostatečnou konkurenceschopnost podniků i výzkumných organizací v mezinárodním srovnání.</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V České republice v současné době existuje celkem 34 Center kompetence, 48 VaVpI center a 37 Center excelence GAČR různých velikostí a různého zaměření</w:t>
      </w:r>
      <w:r>
        <w:rPr>
          <w:rFonts w:ascii="Arial" w:eastAsia="Arial" w:hAnsi="Arial" w:cs="Arial"/>
          <w:sz w:val="22"/>
          <w:szCs w:val="22"/>
          <w:vertAlign w:val="superscript"/>
        </w:rPr>
        <w:footnoteReference w:id="2"/>
      </w:r>
      <w:r>
        <w:rPr>
          <w:rFonts w:ascii="Arial" w:eastAsia="Arial" w:hAnsi="Arial" w:cs="Arial"/>
          <w:sz w:val="22"/>
          <w:szCs w:val="22"/>
        </w:rPr>
        <w:t>. Dále zde existují velké infrastruktury pro výzkum, experimentální vývoj a inovace, které jsou mnohdy součástí evropských výzkumných infrastruktur schválených ESFRI (</w:t>
      </w:r>
      <w:proofErr w:type="spellStart"/>
      <w:r>
        <w:rPr>
          <w:rFonts w:ascii="Arial" w:eastAsia="Arial" w:hAnsi="Arial" w:cs="Arial"/>
          <w:sz w:val="22"/>
          <w:szCs w:val="22"/>
        </w:rPr>
        <w:t>European</w:t>
      </w:r>
      <w:proofErr w:type="spellEnd"/>
      <w:r>
        <w:rPr>
          <w:rFonts w:ascii="Arial" w:eastAsia="Arial" w:hAnsi="Arial" w:cs="Arial"/>
          <w:sz w:val="22"/>
          <w:szCs w:val="22"/>
        </w:rPr>
        <w:t xml:space="preserve"> </w:t>
      </w:r>
      <w:proofErr w:type="spellStart"/>
      <w:r>
        <w:rPr>
          <w:rFonts w:ascii="Arial" w:eastAsia="Arial" w:hAnsi="Arial" w:cs="Arial"/>
          <w:sz w:val="22"/>
          <w:szCs w:val="22"/>
        </w:rPr>
        <w:t>Strategy</w:t>
      </w:r>
      <w:proofErr w:type="spellEnd"/>
      <w:r>
        <w:rPr>
          <w:rFonts w:ascii="Arial" w:eastAsia="Arial" w:hAnsi="Arial" w:cs="Arial"/>
          <w:sz w:val="22"/>
          <w:szCs w:val="22"/>
        </w:rPr>
        <w:t xml:space="preserve"> </w:t>
      </w:r>
      <w:proofErr w:type="spellStart"/>
      <w:r>
        <w:rPr>
          <w:rFonts w:ascii="Arial" w:eastAsia="Arial" w:hAnsi="Arial" w:cs="Arial"/>
          <w:sz w:val="22"/>
          <w:szCs w:val="22"/>
        </w:rPr>
        <w:t>Forum</w:t>
      </w:r>
      <w:proofErr w:type="spellEnd"/>
      <w:r>
        <w:rPr>
          <w:rFonts w:ascii="Arial" w:eastAsia="Arial" w:hAnsi="Arial" w:cs="Arial"/>
          <w:sz w:val="22"/>
          <w:szCs w:val="22"/>
        </w:rPr>
        <w:t xml:space="preserve"> on </w:t>
      </w:r>
      <w:proofErr w:type="spellStart"/>
      <w:r>
        <w:rPr>
          <w:rFonts w:ascii="Arial" w:eastAsia="Arial" w:hAnsi="Arial" w:cs="Arial"/>
          <w:sz w:val="22"/>
          <w:szCs w:val="22"/>
        </w:rPr>
        <w:t>Research</w:t>
      </w:r>
      <w:proofErr w:type="spellEnd"/>
      <w:r>
        <w:rPr>
          <w:rFonts w:ascii="Arial" w:eastAsia="Arial" w:hAnsi="Arial" w:cs="Arial"/>
          <w:sz w:val="22"/>
          <w:szCs w:val="22"/>
        </w:rPr>
        <w:t xml:space="preserve"> </w:t>
      </w:r>
      <w:proofErr w:type="spellStart"/>
      <w:r>
        <w:rPr>
          <w:rFonts w:ascii="Arial" w:eastAsia="Arial" w:hAnsi="Arial" w:cs="Arial"/>
          <w:sz w:val="22"/>
          <w:szCs w:val="22"/>
        </w:rPr>
        <w:t>Infrastructures</w:t>
      </w:r>
      <w:proofErr w:type="spellEnd"/>
      <w:r>
        <w:rPr>
          <w:rFonts w:ascii="Arial" w:eastAsia="Arial" w:hAnsi="Arial" w:cs="Arial"/>
          <w:sz w:val="22"/>
          <w:szCs w:val="22"/>
        </w:rPr>
        <w:t xml:space="preserve">) a uvedené v tzv. ESFRI </w:t>
      </w:r>
      <w:proofErr w:type="spellStart"/>
      <w:r>
        <w:rPr>
          <w:rFonts w:ascii="Arial" w:eastAsia="Arial" w:hAnsi="Arial" w:cs="Arial"/>
          <w:sz w:val="22"/>
          <w:szCs w:val="22"/>
        </w:rPr>
        <w:t>Roadmap</w:t>
      </w:r>
      <w:proofErr w:type="spellEnd"/>
      <w:r>
        <w:rPr>
          <w:rFonts w:ascii="Arial" w:eastAsia="Arial" w:hAnsi="Arial" w:cs="Arial"/>
          <w:sz w:val="22"/>
          <w:szCs w:val="22"/>
        </w:rPr>
        <w:t>. V současné době je nutné zabývat se aktivitami, které povedou ke koncentraci a integraci výzkumných kapacit.</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Důvody vzniku programu jsou obdobně zachyceny v Národní politice výzkumu, vývoje a inovací České republiky na léta 2016 – 2020. Podle tohoto dokumentu v oblasti spolupráce soukromého a veřejného sektoru:</w:t>
      </w:r>
    </w:p>
    <w:p w:rsidR="009C04DF" w:rsidRDefault="00C81E56">
      <w:pPr>
        <w:numPr>
          <w:ilvl w:val="0"/>
          <w:numId w:val="5"/>
        </w:numPr>
        <w:spacing w:before="120" w:after="120"/>
        <w:ind w:left="714" w:hanging="357"/>
        <w:jc w:val="both"/>
        <w:rPr>
          <w:sz w:val="22"/>
          <w:szCs w:val="22"/>
        </w:rPr>
      </w:pPr>
      <w:r>
        <w:rPr>
          <w:rFonts w:ascii="Arial" w:eastAsia="Arial" w:hAnsi="Arial" w:cs="Arial"/>
          <w:sz w:val="22"/>
          <w:szCs w:val="22"/>
        </w:rPr>
        <w:t>není v České republice dostatečně rozvinutá veřejná základna aplikovaného výzkumu;</w:t>
      </w:r>
    </w:p>
    <w:p w:rsidR="009C04DF" w:rsidRDefault="00C81E56">
      <w:pPr>
        <w:numPr>
          <w:ilvl w:val="0"/>
          <w:numId w:val="5"/>
        </w:numPr>
        <w:spacing w:before="120" w:after="120"/>
        <w:ind w:left="714" w:hanging="357"/>
        <w:jc w:val="both"/>
        <w:rPr>
          <w:sz w:val="22"/>
          <w:szCs w:val="22"/>
        </w:rPr>
      </w:pPr>
      <w:r>
        <w:rPr>
          <w:rFonts w:ascii="Arial" w:eastAsia="Arial" w:hAnsi="Arial" w:cs="Arial"/>
          <w:sz w:val="22"/>
          <w:szCs w:val="22"/>
        </w:rPr>
        <w:lastRenderedPageBreak/>
        <w:t>centra transferu znalostí a interní systémy pro komercializaci ve výzkumných organizacích nejsou dostatečně účinné;</w:t>
      </w:r>
    </w:p>
    <w:p w:rsidR="009C04DF" w:rsidRDefault="00C81E56">
      <w:pPr>
        <w:numPr>
          <w:ilvl w:val="0"/>
          <w:numId w:val="5"/>
        </w:numPr>
        <w:spacing w:before="120" w:after="120"/>
        <w:ind w:left="714" w:hanging="357"/>
        <w:jc w:val="both"/>
        <w:rPr>
          <w:sz w:val="22"/>
          <w:szCs w:val="22"/>
        </w:rPr>
      </w:pPr>
      <w:r>
        <w:rPr>
          <w:rFonts w:ascii="Arial" w:eastAsia="Arial" w:hAnsi="Arial" w:cs="Arial"/>
          <w:sz w:val="22"/>
          <w:szCs w:val="22"/>
        </w:rPr>
        <w:t>chybí motivace výzkumných pracovišť k realizaci výzkumu a vývoje pro potřeby uživatelů;</w:t>
      </w:r>
    </w:p>
    <w:p w:rsidR="009C04DF" w:rsidRDefault="00C81E56">
      <w:pPr>
        <w:numPr>
          <w:ilvl w:val="0"/>
          <w:numId w:val="5"/>
        </w:numPr>
        <w:spacing w:before="120" w:after="120"/>
        <w:ind w:left="714" w:hanging="357"/>
        <w:jc w:val="both"/>
        <w:rPr>
          <w:sz w:val="22"/>
          <w:szCs w:val="22"/>
        </w:rPr>
      </w:pPr>
      <w:r>
        <w:rPr>
          <w:rFonts w:ascii="Arial" w:eastAsia="Arial" w:hAnsi="Arial" w:cs="Arial"/>
          <w:sz w:val="22"/>
          <w:szCs w:val="22"/>
        </w:rPr>
        <w:t>nejsou navazovány dlouhodobé strategické spolupráce výzkumných organizací a podniků.</w:t>
      </w:r>
    </w:p>
    <w:p w:rsidR="009C04DF" w:rsidRDefault="00C81E56">
      <w:pPr>
        <w:pStyle w:val="Nadpis1"/>
        <w:numPr>
          <w:ilvl w:val="0"/>
          <w:numId w:val="2"/>
        </w:numPr>
        <w:ind w:hanging="432"/>
        <w:rPr>
          <w:rFonts w:ascii="Arial" w:eastAsia="Arial" w:hAnsi="Arial" w:cs="Arial"/>
        </w:rPr>
      </w:pPr>
      <w:r>
        <w:rPr>
          <w:rFonts w:ascii="Arial" w:eastAsia="Arial" w:hAnsi="Arial" w:cs="Arial"/>
        </w:rPr>
        <w:t xml:space="preserve">KRITÉRIA SPLNĚNÍ CÍLŮ PROGRAMU </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 xml:space="preserve">Dosažení cílů programu bude vyhodnocováno v souladu s Metodikou hodnocení výsledků výzkumných organizací a hodnocení výsledků ukončených programů platnou v době hodnocení programu, případně podmínkami stanovenými poskytovatelem. Dosažení cílů programu bude vyhodnocováno mimo jiné na základě souboru indikátorů určených pro monitorování průběhu plnění programu a hodnocení jeho celkové výkonnosti a úspěšnosti. </w:t>
      </w:r>
    </w:p>
    <w:p w:rsidR="00EA4D80" w:rsidRDefault="00EA4D80">
      <w:pPr>
        <w:spacing w:before="120" w:after="120"/>
        <w:jc w:val="both"/>
        <w:rPr>
          <w:rFonts w:ascii="Arial" w:hAnsi="Arial" w:cs="Arial"/>
          <w:sz w:val="22"/>
          <w:szCs w:val="22"/>
        </w:rPr>
      </w:pPr>
      <w:r w:rsidRPr="00EA4D80">
        <w:rPr>
          <w:rFonts w:ascii="Arial" w:eastAsia="Arial" w:hAnsi="Arial" w:cs="Arial"/>
          <w:sz w:val="22"/>
          <w:szCs w:val="22"/>
        </w:rPr>
        <w:t>Objem prostředků veřejných zdrojů každého centra bude vázán na objem prostředků, jež získá z neveřejných prostředků formou smluvního výzkumu, licencí, případně dalšími formami komerčních příjmů.</w:t>
      </w:r>
      <w:r w:rsidR="00DC5239">
        <w:rPr>
          <w:rFonts w:ascii="Arial" w:eastAsia="Arial" w:hAnsi="Arial" w:cs="Arial"/>
          <w:sz w:val="22"/>
          <w:szCs w:val="22"/>
        </w:rPr>
        <w:t xml:space="preserve"> </w:t>
      </w:r>
      <w:r w:rsidR="00DC5239">
        <w:rPr>
          <w:rFonts w:ascii="Arial" w:hAnsi="Arial" w:cs="Arial"/>
          <w:sz w:val="22"/>
          <w:szCs w:val="22"/>
        </w:rPr>
        <w:t>Centra by tak měla být financována ze tří hlavních zdrojů – (i) programu Národní centra kompetence, (</w:t>
      </w:r>
      <w:proofErr w:type="spellStart"/>
      <w:r w:rsidR="00DC5239">
        <w:rPr>
          <w:rFonts w:ascii="Arial" w:hAnsi="Arial" w:cs="Arial"/>
          <w:sz w:val="22"/>
          <w:szCs w:val="22"/>
        </w:rPr>
        <w:t>ii</w:t>
      </w:r>
      <w:proofErr w:type="spellEnd"/>
      <w:r w:rsidR="00DC5239">
        <w:rPr>
          <w:rFonts w:ascii="Arial" w:hAnsi="Arial" w:cs="Arial"/>
          <w:sz w:val="22"/>
          <w:szCs w:val="22"/>
        </w:rPr>
        <w:t>) dotací na kolaborativní výzkum a (</w:t>
      </w:r>
      <w:proofErr w:type="spellStart"/>
      <w:r w:rsidR="00DC5239">
        <w:rPr>
          <w:rFonts w:ascii="Arial" w:hAnsi="Arial" w:cs="Arial"/>
          <w:sz w:val="22"/>
          <w:szCs w:val="22"/>
        </w:rPr>
        <w:t>iii</w:t>
      </w:r>
      <w:proofErr w:type="spellEnd"/>
      <w:r w:rsidR="00DC5239">
        <w:rPr>
          <w:rFonts w:ascii="Arial" w:hAnsi="Arial" w:cs="Arial"/>
          <w:sz w:val="22"/>
          <w:szCs w:val="22"/>
        </w:rPr>
        <w:t>) smluvního výzkumu a jiných komerčních příjmů.</w:t>
      </w:r>
    </w:p>
    <w:p w:rsidR="0036175A" w:rsidRDefault="00F2744A">
      <w:pPr>
        <w:spacing w:before="120" w:after="120"/>
        <w:jc w:val="both"/>
        <w:rPr>
          <w:rFonts w:ascii="Arial" w:eastAsia="Arial" w:hAnsi="Arial" w:cs="Arial"/>
          <w:sz w:val="22"/>
          <w:szCs w:val="22"/>
        </w:rPr>
      </w:pPr>
      <w:r>
        <w:rPr>
          <w:rFonts w:ascii="Arial" w:hAnsi="Arial" w:cs="Arial"/>
          <w:sz w:val="22"/>
          <w:szCs w:val="22"/>
        </w:rPr>
        <w:t xml:space="preserve">Poskytovatel bude každoročně vyhodnocovat plnění stanovených kritérií (zejména kritéria týkající se financování center z neveřejných prostředků) a bude oprávněn na základě tohoto vyhodnocení upravit rozpočet daného centra na následující rok. </w:t>
      </w:r>
    </w:p>
    <w:p w:rsidR="009C04DF" w:rsidRDefault="00C81E56">
      <w:pPr>
        <w:keepNext/>
        <w:tabs>
          <w:tab w:val="left" w:pos="360"/>
        </w:tabs>
        <w:spacing w:before="120" w:after="120"/>
        <w:jc w:val="both"/>
        <w:rPr>
          <w:rFonts w:ascii="Arial" w:eastAsia="Arial" w:hAnsi="Arial" w:cs="Arial"/>
          <w:b/>
          <w:sz w:val="22"/>
          <w:szCs w:val="22"/>
        </w:rPr>
      </w:pPr>
      <w:r>
        <w:rPr>
          <w:rFonts w:ascii="Arial" w:eastAsia="Arial" w:hAnsi="Arial" w:cs="Arial"/>
          <w:b/>
          <w:sz w:val="22"/>
          <w:szCs w:val="22"/>
        </w:rPr>
        <w:t>Tabulka č. 9. 1: Indikátory programu</w:t>
      </w:r>
    </w:p>
    <w:tbl>
      <w:tblPr>
        <w:tblStyle w:val="a"/>
        <w:tblW w:w="95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120"/>
        <w:gridCol w:w="1470"/>
      </w:tblGrid>
      <w:tr w:rsidR="009C04DF">
        <w:trPr>
          <w:cnfStyle w:val="000000100000" w:firstRow="0" w:lastRow="0" w:firstColumn="0" w:lastColumn="0" w:oddVBand="0" w:evenVBand="0" w:oddHBand="1" w:evenHBand="0" w:firstRowFirstColumn="0" w:firstRowLastColumn="0" w:lastRowFirstColumn="0" w:lastRowLastColumn="0"/>
        </w:trPr>
        <w:tc>
          <w:tcPr>
            <w:tcW w:w="8120" w:type="dxa"/>
          </w:tcPr>
          <w:p w:rsidR="009C04DF" w:rsidRDefault="00C81E56">
            <w:pPr>
              <w:spacing w:before="120" w:after="120"/>
              <w:contextualSpacing w:val="0"/>
              <w:jc w:val="both"/>
              <w:rPr>
                <w:rFonts w:ascii="Arial" w:eastAsia="Arial" w:hAnsi="Arial" w:cs="Arial"/>
                <w:sz w:val="22"/>
                <w:szCs w:val="22"/>
              </w:rPr>
            </w:pPr>
            <w:r>
              <w:rPr>
                <w:rFonts w:ascii="Arial" w:eastAsia="Arial" w:hAnsi="Arial" w:cs="Arial"/>
                <w:b/>
                <w:sz w:val="22"/>
                <w:szCs w:val="22"/>
              </w:rPr>
              <w:t>Indikátor</w:t>
            </w:r>
          </w:p>
        </w:tc>
        <w:tc>
          <w:tcPr>
            <w:tcW w:w="1470" w:type="dxa"/>
          </w:tcPr>
          <w:p w:rsidR="009C04DF" w:rsidRDefault="00C81E56">
            <w:pPr>
              <w:spacing w:before="120" w:after="120"/>
              <w:contextualSpacing w:val="0"/>
              <w:jc w:val="both"/>
              <w:rPr>
                <w:rFonts w:ascii="Arial" w:eastAsia="Arial" w:hAnsi="Arial" w:cs="Arial"/>
                <w:sz w:val="22"/>
                <w:szCs w:val="22"/>
              </w:rPr>
            </w:pPr>
            <w:r>
              <w:rPr>
                <w:rFonts w:ascii="Arial" w:eastAsia="Arial" w:hAnsi="Arial" w:cs="Arial"/>
                <w:b/>
                <w:sz w:val="22"/>
                <w:szCs w:val="22"/>
              </w:rPr>
              <w:t>Hodnota</w:t>
            </w:r>
          </w:p>
        </w:tc>
      </w:tr>
      <w:tr w:rsidR="009C04DF" w:rsidTr="009C04DF">
        <w:trPr>
          <w:cnfStyle w:val="000000010000" w:firstRow="0" w:lastRow="0" w:firstColumn="0" w:lastColumn="0" w:oddVBand="0" w:evenVBand="0" w:oddHBand="0" w:evenHBand="1" w:firstRowFirstColumn="0" w:firstRowLastColumn="0" w:lastRowFirstColumn="0" w:lastRowLastColumn="0"/>
          <w:trHeight w:val="360"/>
        </w:trPr>
        <w:tc>
          <w:tcPr>
            <w:tcW w:w="8120" w:type="dxa"/>
          </w:tcPr>
          <w:p w:rsidR="009C04DF" w:rsidRDefault="00C81E56">
            <w:pPr>
              <w:spacing w:before="120" w:after="120"/>
              <w:contextualSpacing w:val="0"/>
              <w:jc w:val="both"/>
              <w:rPr>
                <w:rFonts w:ascii="Arial" w:eastAsia="Arial" w:hAnsi="Arial" w:cs="Arial"/>
                <w:sz w:val="22"/>
                <w:szCs w:val="22"/>
              </w:rPr>
            </w:pPr>
            <w:r>
              <w:rPr>
                <w:rFonts w:ascii="Arial" w:eastAsia="Arial" w:hAnsi="Arial" w:cs="Arial"/>
                <w:sz w:val="22"/>
                <w:szCs w:val="22"/>
              </w:rPr>
              <w:t>1. Průměrná míra podpory za program</w:t>
            </w:r>
          </w:p>
        </w:tc>
        <w:tc>
          <w:tcPr>
            <w:tcW w:w="1470" w:type="dxa"/>
          </w:tcPr>
          <w:p w:rsidR="009C04DF" w:rsidRDefault="0036175A" w:rsidP="0036175A">
            <w:pPr>
              <w:spacing w:before="120" w:after="120"/>
              <w:contextualSpacing w:val="0"/>
              <w:jc w:val="both"/>
              <w:rPr>
                <w:rFonts w:ascii="Arial" w:eastAsia="Arial" w:hAnsi="Arial" w:cs="Arial"/>
                <w:sz w:val="22"/>
                <w:szCs w:val="22"/>
              </w:rPr>
            </w:pPr>
            <w:r>
              <w:rPr>
                <w:rFonts w:ascii="Arial" w:eastAsia="Arial" w:hAnsi="Arial" w:cs="Arial"/>
                <w:sz w:val="22"/>
                <w:szCs w:val="22"/>
              </w:rPr>
              <w:t>8</w:t>
            </w:r>
            <w:r w:rsidR="000E5AF9">
              <w:rPr>
                <w:rFonts w:ascii="Arial" w:eastAsia="Arial" w:hAnsi="Arial" w:cs="Arial"/>
                <w:sz w:val="22"/>
                <w:szCs w:val="22"/>
              </w:rPr>
              <w:t xml:space="preserve">0 </w:t>
            </w:r>
            <w:r w:rsidR="00C81E56">
              <w:rPr>
                <w:rFonts w:ascii="Arial" w:eastAsia="Arial" w:hAnsi="Arial" w:cs="Arial"/>
                <w:sz w:val="22"/>
                <w:szCs w:val="22"/>
              </w:rPr>
              <w:t>%</w:t>
            </w:r>
          </w:p>
        </w:tc>
      </w:tr>
      <w:tr w:rsidR="009C04DF" w:rsidTr="009C04DF">
        <w:trPr>
          <w:cnfStyle w:val="000000100000" w:firstRow="0" w:lastRow="0" w:firstColumn="0" w:lastColumn="0" w:oddVBand="0" w:evenVBand="0" w:oddHBand="1" w:evenHBand="0" w:firstRowFirstColumn="0" w:firstRowLastColumn="0" w:lastRowFirstColumn="0" w:lastRowLastColumn="0"/>
          <w:trHeight w:val="360"/>
        </w:trPr>
        <w:tc>
          <w:tcPr>
            <w:tcW w:w="8120" w:type="dxa"/>
          </w:tcPr>
          <w:p w:rsidR="009C04DF" w:rsidRDefault="00C81E56">
            <w:pPr>
              <w:spacing w:before="120" w:after="120"/>
              <w:contextualSpacing w:val="0"/>
              <w:jc w:val="both"/>
              <w:rPr>
                <w:rFonts w:ascii="Arial" w:eastAsia="Arial" w:hAnsi="Arial" w:cs="Arial"/>
                <w:sz w:val="22"/>
                <w:szCs w:val="22"/>
              </w:rPr>
            </w:pPr>
            <w:r>
              <w:rPr>
                <w:rFonts w:ascii="Arial" w:eastAsia="Arial" w:hAnsi="Arial" w:cs="Arial"/>
                <w:sz w:val="22"/>
                <w:szCs w:val="22"/>
              </w:rPr>
              <w:t>2. Minimální počet podpořených projektů</w:t>
            </w:r>
          </w:p>
        </w:tc>
        <w:tc>
          <w:tcPr>
            <w:tcW w:w="1470" w:type="dxa"/>
          </w:tcPr>
          <w:p w:rsidR="009C04DF" w:rsidRDefault="00C81E56">
            <w:pPr>
              <w:spacing w:before="120" w:after="120"/>
              <w:contextualSpacing w:val="0"/>
              <w:jc w:val="both"/>
              <w:rPr>
                <w:rFonts w:ascii="Arial" w:eastAsia="Arial" w:hAnsi="Arial" w:cs="Arial"/>
                <w:sz w:val="22"/>
                <w:szCs w:val="22"/>
              </w:rPr>
            </w:pPr>
            <w:r>
              <w:rPr>
                <w:rFonts w:ascii="Arial" w:eastAsia="Arial" w:hAnsi="Arial" w:cs="Arial"/>
                <w:sz w:val="22"/>
                <w:szCs w:val="22"/>
              </w:rPr>
              <w:t>5</w:t>
            </w:r>
          </w:p>
        </w:tc>
      </w:tr>
      <w:tr w:rsidR="009C04DF" w:rsidTr="009C04DF">
        <w:trPr>
          <w:cnfStyle w:val="000000010000" w:firstRow="0" w:lastRow="0" w:firstColumn="0" w:lastColumn="0" w:oddVBand="0" w:evenVBand="0" w:oddHBand="0" w:evenHBand="1" w:firstRowFirstColumn="0" w:firstRowLastColumn="0" w:lastRowFirstColumn="0" w:lastRowLastColumn="0"/>
          <w:trHeight w:val="360"/>
        </w:trPr>
        <w:tc>
          <w:tcPr>
            <w:tcW w:w="8120" w:type="dxa"/>
          </w:tcPr>
          <w:p w:rsidR="009C04DF" w:rsidRDefault="00C81E56">
            <w:pPr>
              <w:spacing w:before="120" w:after="120"/>
              <w:contextualSpacing w:val="0"/>
              <w:jc w:val="both"/>
              <w:rPr>
                <w:rFonts w:ascii="Arial" w:eastAsia="Arial" w:hAnsi="Arial" w:cs="Arial"/>
                <w:sz w:val="22"/>
                <w:szCs w:val="22"/>
              </w:rPr>
            </w:pPr>
            <w:r>
              <w:rPr>
                <w:rFonts w:ascii="Arial" w:eastAsia="Arial" w:hAnsi="Arial" w:cs="Arial"/>
                <w:sz w:val="22"/>
                <w:szCs w:val="22"/>
              </w:rPr>
              <w:t>3. Minimální objem smluvního výzkumu realizovaného v</w:t>
            </w:r>
            <w:r w:rsidR="000E5AF9">
              <w:rPr>
                <w:rFonts w:ascii="Arial" w:eastAsia="Arial" w:hAnsi="Arial" w:cs="Arial"/>
                <w:sz w:val="22"/>
                <w:szCs w:val="22"/>
              </w:rPr>
              <w:t> </w:t>
            </w:r>
            <w:r>
              <w:rPr>
                <w:rFonts w:ascii="Arial" w:eastAsia="Arial" w:hAnsi="Arial" w:cs="Arial"/>
                <w:sz w:val="22"/>
                <w:szCs w:val="22"/>
              </w:rPr>
              <w:t>centrech</w:t>
            </w:r>
            <w:r w:rsidR="000E5AF9">
              <w:rPr>
                <w:rFonts w:ascii="Arial" w:eastAsia="Arial" w:hAnsi="Arial" w:cs="Arial"/>
                <w:sz w:val="22"/>
                <w:szCs w:val="22"/>
              </w:rPr>
              <w:t xml:space="preserve"> a dalších příjmů</w:t>
            </w:r>
            <w:r>
              <w:rPr>
                <w:rFonts w:ascii="Arial" w:eastAsia="Arial" w:hAnsi="Arial" w:cs="Arial"/>
                <w:sz w:val="22"/>
                <w:szCs w:val="22"/>
              </w:rPr>
              <w:t xml:space="preserve"> souhrnně v době trvání programu</w:t>
            </w:r>
          </w:p>
        </w:tc>
        <w:tc>
          <w:tcPr>
            <w:tcW w:w="1470" w:type="dxa"/>
          </w:tcPr>
          <w:p w:rsidR="009C04DF" w:rsidRDefault="00C81E56">
            <w:pPr>
              <w:spacing w:before="120" w:after="120"/>
              <w:contextualSpacing w:val="0"/>
              <w:jc w:val="both"/>
              <w:rPr>
                <w:rFonts w:ascii="Arial" w:eastAsia="Arial" w:hAnsi="Arial" w:cs="Arial"/>
                <w:sz w:val="22"/>
                <w:szCs w:val="22"/>
              </w:rPr>
            </w:pPr>
            <w:r>
              <w:rPr>
                <w:rFonts w:ascii="Arial" w:eastAsia="Arial" w:hAnsi="Arial" w:cs="Arial"/>
                <w:sz w:val="22"/>
                <w:szCs w:val="22"/>
              </w:rPr>
              <w:t>2 mld. Kč</w:t>
            </w:r>
          </w:p>
        </w:tc>
      </w:tr>
      <w:tr w:rsidR="009C04DF" w:rsidTr="009C04DF">
        <w:trPr>
          <w:cnfStyle w:val="000000100000" w:firstRow="0" w:lastRow="0" w:firstColumn="0" w:lastColumn="0" w:oddVBand="0" w:evenVBand="0" w:oddHBand="1" w:evenHBand="0" w:firstRowFirstColumn="0" w:firstRowLastColumn="0" w:lastRowFirstColumn="0" w:lastRowLastColumn="0"/>
          <w:trHeight w:val="360"/>
        </w:trPr>
        <w:tc>
          <w:tcPr>
            <w:tcW w:w="8120" w:type="dxa"/>
          </w:tcPr>
          <w:p w:rsidR="009C04DF" w:rsidRDefault="00C81E56">
            <w:pPr>
              <w:spacing w:before="120" w:after="120"/>
              <w:contextualSpacing w:val="0"/>
              <w:jc w:val="both"/>
              <w:rPr>
                <w:rFonts w:ascii="Arial" w:eastAsia="Arial" w:hAnsi="Arial" w:cs="Arial"/>
                <w:sz w:val="22"/>
                <w:szCs w:val="22"/>
              </w:rPr>
            </w:pPr>
            <w:r>
              <w:rPr>
                <w:rFonts w:ascii="Arial" w:eastAsia="Arial" w:hAnsi="Arial" w:cs="Arial"/>
                <w:sz w:val="22"/>
                <w:szCs w:val="22"/>
              </w:rPr>
              <w:t>4. Minimální počet partnerů zapojených do činnosti každého centra</w:t>
            </w:r>
          </w:p>
        </w:tc>
        <w:tc>
          <w:tcPr>
            <w:tcW w:w="1470" w:type="dxa"/>
          </w:tcPr>
          <w:p w:rsidR="009C04DF" w:rsidRDefault="00C81E56">
            <w:pPr>
              <w:spacing w:before="120" w:after="120"/>
              <w:contextualSpacing w:val="0"/>
              <w:jc w:val="both"/>
              <w:rPr>
                <w:rFonts w:ascii="Arial" w:eastAsia="Arial" w:hAnsi="Arial" w:cs="Arial"/>
                <w:sz w:val="22"/>
                <w:szCs w:val="22"/>
              </w:rPr>
            </w:pPr>
            <w:r>
              <w:rPr>
                <w:rFonts w:ascii="Arial" w:eastAsia="Arial" w:hAnsi="Arial" w:cs="Arial"/>
                <w:sz w:val="22"/>
                <w:szCs w:val="22"/>
              </w:rPr>
              <w:t>8</w:t>
            </w:r>
          </w:p>
        </w:tc>
      </w:tr>
      <w:tr w:rsidR="009C04DF">
        <w:trPr>
          <w:cnfStyle w:val="000000010000" w:firstRow="0" w:lastRow="0" w:firstColumn="0" w:lastColumn="0" w:oddVBand="0" w:evenVBand="0" w:oddHBand="0" w:evenHBand="1" w:firstRowFirstColumn="0" w:firstRowLastColumn="0" w:lastRowFirstColumn="0" w:lastRowLastColumn="0"/>
        </w:trPr>
        <w:tc>
          <w:tcPr>
            <w:tcW w:w="8120" w:type="dxa"/>
          </w:tcPr>
          <w:p w:rsidR="009C04DF" w:rsidRDefault="00C81E56">
            <w:pPr>
              <w:spacing w:before="120" w:after="120"/>
              <w:contextualSpacing w:val="0"/>
              <w:jc w:val="both"/>
              <w:rPr>
                <w:rFonts w:ascii="Arial" w:eastAsia="Arial" w:hAnsi="Arial" w:cs="Arial"/>
                <w:sz w:val="22"/>
                <w:szCs w:val="22"/>
              </w:rPr>
            </w:pPr>
            <w:r>
              <w:rPr>
                <w:rFonts w:ascii="Arial" w:eastAsia="Arial" w:hAnsi="Arial" w:cs="Arial"/>
                <w:sz w:val="22"/>
                <w:szCs w:val="22"/>
              </w:rPr>
              <w:t>5. Minimální počet dosažených výstupů</w:t>
            </w:r>
          </w:p>
        </w:tc>
        <w:tc>
          <w:tcPr>
            <w:tcW w:w="1470" w:type="dxa"/>
          </w:tcPr>
          <w:p w:rsidR="009C04DF" w:rsidRDefault="00C81E56">
            <w:pPr>
              <w:spacing w:before="120" w:after="120"/>
              <w:contextualSpacing w:val="0"/>
              <w:jc w:val="both"/>
              <w:rPr>
                <w:rFonts w:ascii="Arial" w:eastAsia="Arial" w:hAnsi="Arial" w:cs="Arial"/>
                <w:sz w:val="22"/>
                <w:szCs w:val="22"/>
              </w:rPr>
            </w:pPr>
            <w:r>
              <w:rPr>
                <w:rFonts w:ascii="Arial" w:eastAsia="Arial" w:hAnsi="Arial" w:cs="Arial"/>
                <w:sz w:val="22"/>
                <w:szCs w:val="22"/>
              </w:rPr>
              <w:t>500</w:t>
            </w:r>
          </w:p>
        </w:tc>
      </w:tr>
      <w:tr w:rsidR="009C04DF">
        <w:trPr>
          <w:cnfStyle w:val="000000100000" w:firstRow="0" w:lastRow="0" w:firstColumn="0" w:lastColumn="0" w:oddVBand="0" w:evenVBand="0" w:oddHBand="1" w:evenHBand="0" w:firstRowFirstColumn="0" w:firstRowLastColumn="0" w:lastRowFirstColumn="0" w:lastRowLastColumn="0"/>
        </w:trPr>
        <w:tc>
          <w:tcPr>
            <w:tcW w:w="8120" w:type="dxa"/>
          </w:tcPr>
          <w:p w:rsidR="009C04DF" w:rsidRDefault="00C81E56">
            <w:pPr>
              <w:spacing w:before="120" w:after="120"/>
              <w:contextualSpacing w:val="0"/>
              <w:jc w:val="both"/>
              <w:rPr>
                <w:rFonts w:ascii="Arial" w:eastAsia="Arial" w:hAnsi="Arial" w:cs="Arial"/>
                <w:sz w:val="22"/>
                <w:szCs w:val="22"/>
              </w:rPr>
            </w:pPr>
            <w:r>
              <w:rPr>
                <w:rFonts w:ascii="Arial" w:eastAsia="Arial" w:hAnsi="Arial" w:cs="Arial"/>
                <w:sz w:val="22"/>
                <w:szCs w:val="22"/>
              </w:rPr>
              <w:t>6. Minimální počet aplikovaných výstupů</w:t>
            </w:r>
          </w:p>
        </w:tc>
        <w:tc>
          <w:tcPr>
            <w:tcW w:w="1470" w:type="dxa"/>
          </w:tcPr>
          <w:p w:rsidR="009C04DF" w:rsidRDefault="00C81E56">
            <w:pPr>
              <w:spacing w:before="120" w:after="120"/>
              <w:contextualSpacing w:val="0"/>
              <w:jc w:val="both"/>
              <w:rPr>
                <w:rFonts w:ascii="Arial" w:eastAsia="Arial" w:hAnsi="Arial" w:cs="Arial"/>
                <w:sz w:val="22"/>
                <w:szCs w:val="22"/>
              </w:rPr>
            </w:pPr>
            <w:r>
              <w:rPr>
                <w:rFonts w:ascii="Arial" w:eastAsia="Arial" w:hAnsi="Arial" w:cs="Arial"/>
                <w:sz w:val="22"/>
                <w:szCs w:val="22"/>
              </w:rPr>
              <w:t>400</w:t>
            </w:r>
          </w:p>
        </w:tc>
      </w:tr>
    </w:tbl>
    <w:p w:rsidR="009C04DF" w:rsidRDefault="00C81E56">
      <w:pPr>
        <w:pStyle w:val="Nadpis1"/>
        <w:numPr>
          <w:ilvl w:val="0"/>
          <w:numId w:val="2"/>
        </w:numPr>
        <w:ind w:hanging="432"/>
        <w:rPr>
          <w:rFonts w:ascii="Arial" w:eastAsia="Arial" w:hAnsi="Arial" w:cs="Arial"/>
        </w:rPr>
      </w:pPr>
      <w:r>
        <w:rPr>
          <w:rFonts w:ascii="Arial" w:eastAsia="Arial" w:hAnsi="Arial" w:cs="Arial"/>
        </w:rPr>
        <w:t>OČEKÁVANÉ VÝSLEDKY A PŘÍNOSY PROGRAMU</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V tomto programu budou podporovány zejména projekty, u kterých se odůvodněně předpokládá dosažení využitelných výstupů, taktéž publikačních, jejichž aplikace přispěje k plnění stanovených cílů programu a k pozitivním společenským (</w:t>
      </w:r>
      <w:proofErr w:type="spellStart"/>
      <w:r>
        <w:rPr>
          <w:rFonts w:ascii="Arial" w:eastAsia="Arial" w:hAnsi="Arial" w:cs="Arial"/>
          <w:sz w:val="22"/>
          <w:szCs w:val="22"/>
        </w:rPr>
        <w:t>socio</w:t>
      </w:r>
      <w:proofErr w:type="spellEnd"/>
      <w:r>
        <w:rPr>
          <w:rFonts w:ascii="Arial" w:eastAsia="Arial" w:hAnsi="Arial" w:cs="Arial"/>
          <w:sz w:val="22"/>
          <w:szCs w:val="22"/>
        </w:rPr>
        <w:t xml:space="preserve">-ekonomickým) dopadům. Program umožní dosažení následujících výstupů ve formě výsledků dle Metodiky a Rejstříku informací o výsledcích (RIV) platné v době jejich uplatňování: </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P – patent;</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G – technicky realizované výsledky – prototyp, funkční vzorek;</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Z – poloprovoz, ověřená technologie;</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lastRenderedPageBreak/>
        <w:t>R – software;</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F – průmyslový a užitný vzor;</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H – výsledky promítnuté do právních předpisů a norem a výsledky promítnuté do směrnic a předpisů nelegislativní povahy závazných v rámci kompetence příslušného poskytovatele;</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N – certifikované metodiky, postupy a specializované mapy s odborným obsahem;</w:t>
      </w:r>
    </w:p>
    <w:p w:rsidR="009C04DF" w:rsidRDefault="00C81E56">
      <w:pPr>
        <w:spacing w:before="120" w:after="120"/>
        <w:jc w:val="both"/>
        <w:rPr>
          <w:rFonts w:ascii="Arial" w:eastAsia="Arial" w:hAnsi="Arial" w:cs="Arial"/>
          <w:i/>
          <w:sz w:val="22"/>
          <w:szCs w:val="22"/>
        </w:rPr>
      </w:pPr>
      <w:r>
        <w:rPr>
          <w:rFonts w:ascii="Arial" w:eastAsia="Arial" w:hAnsi="Arial" w:cs="Arial"/>
          <w:sz w:val="22"/>
          <w:szCs w:val="22"/>
        </w:rPr>
        <w:t xml:space="preserve">O </w:t>
      </w:r>
      <w:r w:rsidR="00363D10">
        <w:rPr>
          <w:rFonts w:ascii="Arial" w:eastAsia="Arial" w:hAnsi="Arial" w:cs="Arial"/>
          <w:sz w:val="22"/>
          <w:szCs w:val="22"/>
        </w:rPr>
        <w:t>–</w:t>
      </w:r>
      <w:r>
        <w:rPr>
          <w:rFonts w:ascii="Arial" w:eastAsia="Arial" w:hAnsi="Arial" w:cs="Arial"/>
          <w:sz w:val="22"/>
          <w:szCs w:val="22"/>
        </w:rPr>
        <w:t xml:space="preserve"> ostatní.</w:t>
      </w:r>
    </w:p>
    <w:p w:rsidR="009C04DF" w:rsidRDefault="00C81E56">
      <w:pPr>
        <w:spacing w:before="240" w:after="120"/>
        <w:jc w:val="both"/>
        <w:rPr>
          <w:rFonts w:ascii="Arial" w:eastAsia="Arial" w:hAnsi="Arial" w:cs="Arial"/>
          <w:sz w:val="22"/>
          <w:szCs w:val="22"/>
        </w:rPr>
      </w:pPr>
      <w:r>
        <w:rPr>
          <w:rFonts w:ascii="Arial" w:eastAsia="Arial" w:hAnsi="Arial" w:cs="Arial"/>
          <w:sz w:val="22"/>
          <w:szCs w:val="22"/>
        </w:rPr>
        <w:t xml:space="preserve">Vzhledem ke specifickému zaměření programu však dále existuje celá řada poznatků a dovedností v souladu s §2 </w:t>
      </w:r>
      <w:proofErr w:type="spellStart"/>
      <w:r>
        <w:rPr>
          <w:rFonts w:ascii="Arial" w:eastAsia="Arial" w:hAnsi="Arial" w:cs="Arial"/>
          <w:sz w:val="22"/>
          <w:szCs w:val="22"/>
        </w:rPr>
        <w:t>odst</w:t>
      </w:r>
      <w:proofErr w:type="spellEnd"/>
      <w:r>
        <w:rPr>
          <w:rFonts w:ascii="Arial" w:eastAsia="Arial" w:hAnsi="Arial" w:cs="Arial"/>
          <w:sz w:val="22"/>
          <w:szCs w:val="22"/>
        </w:rPr>
        <w:t xml:space="preserve"> 2, písmeno k) zákona o podpoře výzkumu, vývoje a inovací, které se očekávají jako výsledky veřejných soutěží. Z tohoto důvodu bude program hodnocen nejen na základě výstupů ve formě výsledků dle aktuálně platné Metodiky hodnocení výsledků výzkumných organizací a hodnocení výsledků ukončených programů, ale také podle dosažených poznatků a dovedností, které budou specifikovány v rámci přípravy projektu tohoto typu výzkumu.</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 xml:space="preserve">Mezi očekávané přínosy programu patří hlavně zvýšení kvality a počtu výsledků výzkumu a vývoje, které budou aplikovány v praxi v podobě inovací výrobků, postupů, procesů nebo služeb. </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Dalším předpokládaným přínosem programu je na straně výzkumných organizací získání zkušenosti a schopnosti orientovat výzkum (respektive strategickou výzkumnou agendu) směrem k potřebám aplikační sféry. Na druhé straně by program měl přispět ke zvýšené schopnosti podniků pracovat s výsledky výzkumu financovaného z veřejných prostředků (realizovaného výzkumnými organizacemi). Tyto dva efekty by pak v konečném výsledky měly přispět ke zvýšené nezávislosti budovaných center na prostředcích z veřejných prostředků.</w:t>
      </w:r>
    </w:p>
    <w:p w:rsidR="009C04DF" w:rsidRDefault="00C81E56">
      <w:pPr>
        <w:spacing w:before="240" w:after="120"/>
        <w:jc w:val="both"/>
        <w:rPr>
          <w:rFonts w:ascii="Arial" w:eastAsia="Arial" w:hAnsi="Arial" w:cs="Arial"/>
          <w:sz w:val="22"/>
          <w:szCs w:val="22"/>
        </w:rPr>
      </w:pPr>
      <w:r>
        <w:rPr>
          <w:rFonts w:ascii="Arial" w:eastAsia="Arial" w:hAnsi="Arial" w:cs="Arial"/>
          <w:sz w:val="22"/>
          <w:szCs w:val="22"/>
        </w:rPr>
        <w:t>U spolupracujících výzkumných organizací se přínosy programu projeví například ve zvýšení počtu jejich výsledků aplikovaných v praxi, v počtu komercializovaných patentů a nárůstu jejich komerčního potenciálu. Jako sekundární efekt lze považovat posílení efektivního transferu know-how a technologií do praxe.</w:t>
      </w:r>
    </w:p>
    <w:p w:rsidR="009C04DF" w:rsidRDefault="00C81E56">
      <w:pPr>
        <w:pStyle w:val="Nadpis1"/>
        <w:numPr>
          <w:ilvl w:val="0"/>
          <w:numId w:val="2"/>
        </w:numPr>
        <w:ind w:hanging="432"/>
        <w:rPr>
          <w:rFonts w:ascii="Arial" w:eastAsia="Arial" w:hAnsi="Arial" w:cs="Arial"/>
        </w:rPr>
      </w:pPr>
      <w:r>
        <w:rPr>
          <w:rFonts w:ascii="Arial" w:eastAsia="Arial" w:hAnsi="Arial" w:cs="Arial"/>
        </w:rPr>
        <w:t>UCHAZEČI A PROKÁZÁNÍ JEJICH ZPŮSOBILOSTI</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Uchazečem, respektive příjemcem podpory na projekt podle zákona o podpoře výzkumu, experimentálního vývoje a inovací, Rámce a Nařízení mohou být:</w:t>
      </w:r>
    </w:p>
    <w:p w:rsidR="008606C3" w:rsidRDefault="00C81E56">
      <w:pPr>
        <w:spacing w:before="120" w:after="120"/>
        <w:jc w:val="both"/>
        <w:rPr>
          <w:rFonts w:ascii="Arial" w:eastAsia="Arial" w:hAnsi="Arial" w:cs="Arial"/>
          <w:sz w:val="22"/>
          <w:szCs w:val="22"/>
        </w:rPr>
      </w:pPr>
      <w:r>
        <w:rPr>
          <w:rFonts w:ascii="Arial" w:eastAsia="Arial" w:hAnsi="Arial" w:cs="Arial"/>
          <w:b/>
          <w:sz w:val="22"/>
          <w:szCs w:val="22"/>
        </w:rPr>
        <w:t>Organizace pro výzkum a šíření znalostí (dále jen „výzkumné organizace“)</w:t>
      </w:r>
      <w:r>
        <w:rPr>
          <w:rFonts w:ascii="Arial" w:eastAsia="Arial" w:hAnsi="Arial" w:cs="Arial"/>
          <w:sz w:val="22"/>
          <w:szCs w:val="22"/>
        </w:rPr>
        <w:t xml:space="preserve"> – právnické osoby, které splňují definici výzkumné organizace podle čl. 2 odst. 83 Nařízení a dle zákona o podpoře výzkumu, experimentálního vývoje a inovací, a které řeší projekt samostatně nebo ve spolupráci s dalšími účastníky.</w:t>
      </w:r>
    </w:p>
    <w:p w:rsidR="009C04DF" w:rsidRDefault="00552ABF">
      <w:pPr>
        <w:spacing w:before="120" w:after="120"/>
        <w:jc w:val="both"/>
        <w:rPr>
          <w:rFonts w:ascii="Arial" w:eastAsia="Arial" w:hAnsi="Arial" w:cs="Arial"/>
          <w:sz w:val="22"/>
          <w:szCs w:val="22"/>
        </w:rPr>
      </w:pPr>
      <w:r>
        <w:rPr>
          <w:rFonts w:ascii="Arial" w:eastAsia="Arial" w:hAnsi="Arial" w:cs="Arial"/>
          <w:b/>
          <w:sz w:val="22"/>
          <w:szCs w:val="22"/>
        </w:rPr>
        <w:t xml:space="preserve">Další fyzické osoby a právnické osoby </w:t>
      </w:r>
      <w:r>
        <w:rPr>
          <w:rFonts w:ascii="Arial" w:eastAsia="Arial" w:hAnsi="Arial" w:cs="Arial"/>
          <w:sz w:val="22"/>
          <w:szCs w:val="22"/>
        </w:rPr>
        <w:t>veřejného i soukromého práva bez ohledu na právní formu či způsob financování, které budou vykonávat činnosti, na něž je podpora poskytována mimo režim veřejné podpory, tj. nebude se jednat o podniky.</w:t>
      </w:r>
    </w:p>
    <w:p w:rsidR="000E5AF9" w:rsidRDefault="000E5AF9">
      <w:pPr>
        <w:spacing w:before="120" w:after="120"/>
        <w:jc w:val="both"/>
        <w:rPr>
          <w:rFonts w:ascii="Arial" w:eastAsia="Arial" w:hAnsi="Arial" w:cs="Arial"/>
          <w:sz w:val="22"/>
          <w:szCs w:val="22"/>
        </w:rPr>
      </w:pPr>
      <w:r>
        <w:rPr>
          <w:rFonts w:ascii="Arial" w:eastAsia="Arial" w:hAnsi="Arial" w:cs="Arial"/>
          <w:sz w:val="22"/>
          <w:szCs w:val="22"/>
        </w:rPr>
        <w:t>Dále mohou být partnery projektu, tj. účastníky projektu bez podpor</w:t>
      </w:r>
      <w:r w:rsidR="0095286C">
        <w:rPr>
          <w:rFonts w:ascii="Arial" w:eastAsia="Arial" w:hAnsi="Arial" w:cs="Arial"/>
          <w:sz w:val="22"/>
          <w:szCs w:val="22"/>
        </w:rPr>
        <w:t>y</w:t>
      </w:r>
      <w:r>
        <w:rPr>
          <w:rFonts w:ascii="Arial" w:eastAsia="Arial" w:hAnsi="Arial" w:cs="Arial"/>
          <w:sz w:val="22"/>
          <w:szCs w:val="22"/>
        </w:rPr>
        <w:t xml:space="preserve"> ze státního rozpočtu:</w:t>
      </w:r>
    </w:p>
    <w:p w:rsidR="000E5AF9" w:rsidRDefault="000E5AF9" w:rsidP="000E5AF9">
      <w:pPr>
        <w:spacing w:before="120" w:after="120"/>
        <w:jc w:val="both"/>
        <w:rPr>
          <w:rFonts w:ascii="Arial" w:eastAsia="Arial" w:hAnsi="Arial" w:cs="Arial"/>
          <w:sz w:val="22"/>
          <w:szCs w:val="22"/>
        </w:rPr>
      </w:pPr>
      <w:r>
        <w:rPr>
          <w:rFonts w:ascii="Arial" w:eastAsia="Arial" w:hAnsi="Arial" w:cs="Arial"/>
          <w:b/>
          <w:sz w:val="22"/>
          <w:szCs w:val="22"/>
        </w:rPr>
        <w:t>Podniky</w:t>
      </w:r>
      <w:r>
        <w:rPr>
          <w:rFonts w:ascii="Arial" w:eastAsia="Arial" w:hAnsi="Arial" w:cs="Arial"/>
          <w:sz w:val="22"/>
          <w:szCs w:val="22"/>
        </w:rPr>
        <w:t xml:space="preserve"> – právnické i fyzické osoby vykonávající hospodářskou činnost, bez ohledu na právní formu (příloha 1 Nařízení), které řeší projekt samostatně nebo ve spolupráci s dalšími účastníky a prokáží schopnost projekt spolufinancovat z neveřejných prostředků.</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 xml:space="preserve">Podporu na projekt realizovaný v Programu mohou získat pouze ti uchazeči, kteří splňují podmínky způsobilosti dané § 18 Zákona č. 130/2002 Sb. Uchází-li se o řešení jednoho projektu společně více uchazečů, vztahuje se povinnost prokázat svoji způsobilost na všechny tyto uchazeče. Způsobilost prokazuje uchazeč doklady dle zákona o podpoře </w:t>
      </w:r>
      <w:r>
        <w:rPr>
          <w:rFonts w:ascii="Arial" w:eastAsia="Arial" w:hAnsi="Arial" w:cs="Arial"/>
          <w:sz w:val="22"/>
          <w:szCs w:val="22"/>
        </w:rPr>
        <w:lastRenderedPageBreak/>
        <w:t>výzkumu, experimentálního vývoje a inovací způsobem stanoveným poskytovatelem v zadávací dokumentaci.</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Okruh uchazečů může oproti programu zúžit zadávací dokumentace k veřejné soutěži.</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Z programu bude podporován vznik a činnost center výzkumu, vývoje a inovací za spolupráce výzkumných organizací a podniků. Bližší specifikace formy a podmínek zapojení a spolupráce jednotlivých subjektů bude upřesněna v zadávací dokumentaci k veřejné soutěži.</w:t>
      </w:r>
    </w:p>
    <w:p w:rsidR="009C04DF" w:rsidRDefault="00C81E56">
      <w:pPr>
        <w:pStyle w:val="Nadpis1"/>
        <w:numPr>
          <w:ilvl w:val="0"/>
          <w:numId w:val="2"/>
        </w:numPr>
        <w:ind w:hanging="432"/>
        <w:rPr>
          <w:rFonts w:ascii="Arial" w:eastAsia="Arial" w:hAnsi="Arial" w:cs="Arial"/>
        </w:rPr>
      </w:pPr>
      <w:r>
        <w:rPr>
          <w:rFonts w:ascii="Arial" w:eastAsia="Arial" w:hAnsi="Arial" w:cs="Arial"/>
        </w:rPr>
        <w:t>VÝDAJE NA PROGRAM</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 xml:space="preserve">Celkové výdaje na program jsou na období trvání programu stanoveny v souladu se zkušenostmi s realizací programu Centra kompetence, s předpokládaným postupným vyhlašováním jednotlivých veřejných soutěží ve výzkumu, vývoji a inovacích a postupem přípravy a vzniku jednotlivých center. </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Celkové výdaje na jednotlivé projekty a podniky jsou uvažovány dle  čl. 4 Nařízení Komise (EU) č. 651/2014 ze dne 17. června 2014, kterým se v souladu s články 107 a 108 Smlouvy prohlašují určité kategorie podpory za slučitelné s vnitřním trhem, tzv. obecného nařízení o blokových výjimkách.</w:t>
      </w:r>
    </w:p>
    <w:p w:rsidR="009C04DF" w:rsidRDefault="00C81E56">
      <w:pPr>
        <w:keepNext/>
        <w:tabs>
          <w:tab w:val="left" w:pos="360"/>
        </w:tabs>
        <w:spacing w:before="120" w:after="120"/>
        <w:jc w:val="both"/>
        <w:rPr>
          <w:rFonts w:ascii="Arial" w:eastAsia="Arial" w:hAnsi="Arial" w:cs="Arial"/>
          <w:b/>
          <w:sz w:val="22"/>
          <w:szCs w:val="22"/>
        </w:rPr>
      </w:pPr>
      <w:r>
        <w:rPr>
          <w:rFonts w:ascii="Arial" w:eastAsia="Arial" w:hAnsi="Arial" w:cs="Arial"/>
          <w:b/>
          <w:sz w:val="22"/>
          <w:szCs w:val="22"/>
        </w:rPr>
        <w:t>Tabulka č. 12. 1: Rozpočet programu [zaokrouhleno na mil. Kč]</w:t>
      </w:r>
    </w:p>
    <w:tbl>
      <w:tblPr>
        <w:tblStyle w:val="a0"/>
        <w:tblW w:w="9241" w:type="dxa"/>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00" w:firstRow="0" w:lastRow="0" w:firstColumn="0" w:lastColumn="0" w:noHBand="0" w:noVBand="1"/>
      </w:tblPr>
      <w:tblGrid>
        <w:gridCol w:w="1020"/>
        <w:gridCol w:w="567"/>
        <w:gridCol w:w="567"/>
        <w:gridCol w:w="567"/>
        <w:gridCol w:w="567"/>
        <w:gridCol w:w="567"/>
        <w:gridCol w:w="567"/>
        <w:gridCol w:w="567"/>
        <w:gridCol w:w="567"/>
        <w:gridCol w:w="567"/>
        <w:gridCol w:w="567"/>
        <w:gridCol w:w="567"/>
        <w:gridCol w:w="567"/>
        <w:gridCol w:w="567"/>
        <w:gridCol w:w="850"/>
      </w:tblGrid>
      <w:tr w:rsidR="009C04DF" w:rsidTr="008606C3">
        <w:trPr>
          <w:cnfStyle w:val="000000100000" w:firstRow="0" w:lastRow="0" w:firstColumn="0" w:lastColumn="0" w:oddVBand="0" w:evenVBand="0" w:oddHBand="1" w:evenHBand="0" w:firstRowFirstColumn="0" w:firstRowLastColumn="0" w:lastRowFirstColumn="0" w:lastRowLastColumn="0"/>
        </w:trPr>
        <w:tc>
          <w:tcPr>
            <w:tcW w:w="102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9C04DF" w:rsidRDefault="00C81E56">
            <w:pPr>
              <w:keepNext/>
              <w:spacing w:before="120" w:after="120"/>
              <w:contextualSpacing w:val="0"/>
              <w:rPr>
                <w:rFonts w:ascii="Arial" w:eastAsia="Arial" w:hAnsi="Arial" w:cs="Arial"/>
                <w:sz w:val="20"/>
                <w:szCs w:val="20"/>
              </w:rPr>
            </w:pPr>
            <w:r>
              <w:rPr>
                <w:rFonts w:ascii="Arial" w:eastAsia="Arial" w:hAnsi="Arial" w:cs="Arial"/>
                <w:b/>
                <w:sz w:val="20"/>
                <w:szCs w:val="20"/>
              </w:rPr>
              <w:t>Rok</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9C04DF" w:rsidRDefault="00C81E56">
            <w:pPr>
              <w:keepNext/>
              <w:spacing w:before="120" w:after="120"/>
              <w:contextualSpacing w:val="0"/>
              <w:jc w:val="center"/>
              <w:rPr>
                <w:rFonts w:ascii="Arial" w:eastAsia="Arial" w:hAnsi="Arial" w:cs="Arial"/>
                <w:sz w:val="20"/>
                <w:szCs w:val="20"/>
              </w:rPr>
            </w:pPr>
            <w:r>
              <w:rPr>
                <w:rFonts w:ascii="Arial" w:eastAsia="Arial" w:hAnsi="Arial" w:cs="Arial"/>
                <w:b/>
                <w:sz w:val="20"/>
                <w:szCs w:val="20"/>
              </w:rPr>
              <w:t>2018</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9C04DF" w:rsidRDefault="00C81E56">
            <w:pPr>
              <w:keepNext/>
              <w:spacing w:before="120" w:after="120"/>
              <w:contextualSpacing w:val="0"/>
              <w:jc w:val="center"/>
              <w:rPr>
                <w:rFonts w:ascii="Arial" w:eastAsia="Arial" w:hAnsi="Arial" w:cs="Arial"/>
                <w:sz w:val="20"/>
                <w:szCs w:val="20"/>
              </w:rPr>
            </w:pPr>
            <w:r>
              <w:rPr>
                <w:rFonts w:ascii="Arial" w:eastAsia="Arial" w:hAnsi="Arial" w:cs="Arial"/>
                <w:b/>
                <w:sz w:val="20"/>
                <w:szCs w:val="20"/>
              </w:rPr>
              <w:t>2019</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9C04DF" w:rsidRDefault="00C81E56">
            <w:pPr>
              <w:keepNext/>
              <w:spacing w:before="120" w:after="120"/>
              <w:contextualSpacing w:val="0"/>
              <w:jc w:val="center"/>
              <w:rPr>
                <w:rFonts w:ascii="Arial" w:eastAsia="Arial" w:hAnsi="Arial" w:cs="Arial"/>
                <w:sz w:val="20"/>
                <w:szCs w:val="20"/>
              </w:rPr>
            </w:pPr>
            <w:r>
              <w:rPr>
                <w:rFonts w:ascii="Arial" w:eastAsia="Arial" w:hAnsi="Arial" w:cs="Arial"/>
                <w:b/>
                <w:sz w:val="20"/>
                <w:szCs w:val="20"/>
              </w:rPr>
              <w:t>2020</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9C04DF" w:rsidRDefault="00C81E56">
            <w:pPr>
              <w:keepNext/>
              <w:spacing w:before="120" w:after="120"/>
              <w:contextualSpacing w:val="0"/>
              <w:jc w:val="center"/>
              <w:rPr>
                <w:rFonts w:ascii="Arial" w:eastAsia="Arial" w:hAnsi="Arial" w:cs="Arial"/>
                <w:sz w:val="20"/>
                <w:szCs w:val="20"/>
              </w:rPr>
            </w:pPr>
            <w:r>
              <w:rPr>
                <w:rFonts w:ascii="Arial" w:eastAsia="Arial" w:hAnsi="Arial" w:cs="Arial"/>
                <w:b/>
                <w:sz w:val="20"/>
                <w:szCs w:val="20"/>
              </w:rPr>
              <w:t>2021</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9C04DF" w:rsidRDefault="00C81E56">
            <w:pPr>
              <w:keepNext/>
              <w:spacing w:before="120" w:after="120"/>
              <w:contextualSpacing w:val="0"/>
              <w:jc w:val="center"/>
              <w:rPr>
                <w:rFonts w:ascii="Arial" w:eastAsia="Arial" w:hAnsi="Arial" w:cs="Arial"/>
                <w:sz w:val="20"/>
                <w:szCs w:val="20"/>
              </w:rPr>
            </w:pPr>
            <w:r>
              <w:rPr>
                <w:rFonts w:ascii="Arial" w:eastAsia="Arial" w:hAnsi="Arial" w:cs="Arial"/>
                <w:b/>
                <w:sz w:val="20"/>
                <w:szCs w:val="20"/>
              </w:rPr>
              <w:t>2022</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9C04DF" w:rsidRDefault="00C81E56">
            <w:pPr>
              <w:keepNext/>
              <w:spacing w:before="120" w:after="120"/>
              <w:contextualSpacing w:val="0"/>
              <w:jc w:val="center"/>
              <w:rPr>
                <w:rFonts w:ascii="Arial" w:eastAsia="Arial" w:hAnsi="Arial" w:cs="Arial"/>
                <w:sz w:val="20"/>
                <w:szCs w:val="20"/>
              </w:rPr>
            </w:pPr>
            <w:r>
              <w:rPr>
                <w:rFonts w:ascii="Arial" w:eastAsia="Arial" w:hAnsi="Arial" w:cs="Arial"/>
                <w:b/>
                <w:sz w:val="20"/>
                <w:szCs w:val="20"/>
              </w:rPr>
              <w:t>2023</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9C04DF" w:rsidRDefault="00C81E56">
            <w:pPr>
              <w:keepNext/>
              <w:spacing w:before="120" w:after="120"/>
              <w:contextualSpacing w:val="0"/>
              <w:jc w:val="center"/>
              <w:rPr>
                <w:rFonts w:ascii="Arial" w:eastAsia="Arial" w:hAnsi="Arial" w:cs="Arial"/>
                <w:sz w:val="20"/>
                <w:szCs w:val="20"/>
              </w:rPr>
            </w:pPr>
            <w:r>
              <w:rPr>
                <w:rFonts w:ascii="Arial" w:eastAsia="Arial" w:hAnsi="Arial" w:cs="Arial"/>
                <w:b/>
                <w:sz w:val="20"/>
                <w:szCs w:val="20"/>
              </w:rPr>
              <w:t>2024</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9C04DF" w:rsidRDefault="00C81E56">
            <w:pPr>
              <w:keepNext/>
              <w:spacing w:before="120" w:after="120"/>
              <w:contextualSpacing w:val="0"/>
              <w:jc w:val="center"/>
              <w:rPr>
                <w:rFonts w:ascii="Arial" w:eastAsia="Arial" w:hAnsi="Arial" w:cs="Arial"/>
                <w:b/>
                <w:sz w:val="20"/>
                <w:szCs w:val="20"/>
              </w:rPr>
            </w:pPr>
            <w:r>
              <w:rPr>
                <w:rFonts w:ascii="Arial" w:eastAsia="Arial" w:hAnsi="Arial" w:cs="Arial"/>
                <w:b/>
                <w:sz w:val="20"/>
                <w:szCs w:val="20"/>
              </w:rPr>
              <w:t>2025</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9C04DF" w:rsidRDefault="00C81E56">
            <w:pPr>
              <w:keepNext/>
              <w:spacing w:before="120" w:after="120"/>
              <w:contextualSpacing w:val="0"/>
              <w:jc w:val="center"/>
              <w:rPr>
                <w:rFonts w:ascii="Arial" w:eastAsia="Arial" w:hAnsi="Arial" w:cs="Arial"/>
                <w:b/>
                <w:sz w:val="20"/>
                <w:szCs w:val="20"/>
              </w:rPr>
            </w:pPr>
            <w:r>
              <w:rPr>
                <w:rFonts w:ascii="Arial" w:eastAsia="Arial" w:hAnsi="Arial" w:cs="Arial"/>
                <w:b/>
                <w:sz w:val="20"/>
                <w:szCs w:val="20"/>
              </w:rPr>
              <w:t>2026</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9C04DF" w:rsidRDefault="00C81E56">
            <w:pPr>
              <w:keepNext/>
              <w:spacing w:before="120" w:after="120"/>
              <w:contextualSpacing w:val="0"/>
              <w:jc w:val="center"/>
              <w:rPr>
                <w:rFonts w:ascii="Arial" w:eastAsia="Arial" w:hAnsi="Arial" w:cs="Arial"/>
                <w:b/>
                <w:sz w:val="20"/>
                <w:szCs w:val="20"/>
              </w:rPr>
            </w:pPr>
            <w:r>
              <w:rPr>
                <w:rFonts w:ascii="Arial" w:eastAsia="Arial" w:hAnsi="Arial" w:cs="Arial"/>
                <w:b/>
                <w:sz w:val="20"/>
                <w:szCs w:val="20"/>
              </w:rPr>
              <w:t>2027</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9C04DF" w:rsidRDefault="00C81E56">
            <w:pPr>
              <w:keepNext/>
              <w:spacing w:before="120" w:after="120"/>
              <w:contextualSpacing w:val="0"/>
              <w:jc w:val="center"/>
              <w:rPr>
                <w:rFonts w:ascii="Arial" w:eastAsia="Arial" w:hAnsi="Arial" w:cs="Arial"/>
                <w:b/>
                <w:sz w:val="20"/>
                <w:szCs w:val="20"/>
              </w:rPr>
            </w:pPr>
            <w:r>
              <w:rPr>
                <w:rFonts w:ascii="Arial" w:eastAsia="Arial" w:hAnsi="Arial" w:cs="Arial"/>
                <w:b/>
                <w:sz w:val="20"/>
                <w:szCs w:val="20"/>
              </w:rPr>
              <w:t>2028</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9C04DF" w:rsidRDefault="00C81E56">
            <w:pPr>
              <w:keepNext/>
              <w:spacing w:before="120" w:after="120"/>
              <w:contextualSpacing w:val="0"/>
              <w:jc w:val="center"/>
              <w:rPr>
                <w:rFonts w:ascii="Arial" w:eastAsia="Arial" w:hAnsi="Arial" w:cs="Arial"/>
                <w:b/>
                <w:sz w:val="20"/>
                <w:szCs w:val="20"/>
              </w:rPr>
            </w:pPr>
            <w:r>
              <w:rPr>
                <w:rFonts w:ascii="Arial" w:eastAsia="Arial" w:hAnsi="Arial" w:cs="Arial"/>
                <w:b/>
                <w:sz w:val="20"/>
                <w:szCs w:val="20"/>
              </w:rPr>
              <w:t>2029</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9C04DF" w:rsidRDefault="00C81E56">
            <w:pPr>
              <w:keepNext/>
              <w:spacing w:before="120" w:after="120"/>
              <w:contextualSpacing w:val="0"/>
              <w:jc w:val="center"/>
              <w:rPr>
                <w:rFonts w:ascii="Arial" w:eastAsia="Arial" w:hAnsi="Arial" w:cs="Arial"/>
                <w:sz w:val="20"/>
                <w:szCs w:val="20"/>
              </w:rPr>
            </w:pPr>
            <w:r>
              <w:rPr>
                <w:rFonts w:ascii="Arial" w:eastAsia="Arial" w:hAnsi="Arial" w:cs="Arial"/>
                <w:b/>
                <w:sz w:val="20"/>
                <w:szCs w:val="20"/>
              </w:rPr>
              <w:t>2030</w:t>
            </w:r>
          </w:p>
        </w:tc>
        <w:tc>
          <w:tcPr>
            <w:tcW w:w="85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9C04DF" w:rsidRDefault="00C81E56">
            <w:pPr>
              <w:keepNext/>
              <w:spacing w:before="120" w:after="120"/>
              <w:contextualSpacing w:val="0"/>
              <w:jc w:val="center"/>
              <w:rPr>
                <w:rFonts w:ascii="Arial" w:eastAsia="Arial" w:hAnsi="Arial" w:cs="Arial"/>
                <w:sz w:val="20"/>
                <w:szCs w:val="20"/>
              </w:rPr>
            </w:pPr>
            <w:r>
              <w:rPr>
                <w:rFonts w:ascii="Arial" w:eastAsia="Arial" w:hAnsi="Arial" w:cs="Arial"/>
                <w:b/>
                <w:sz w:val="20"/>
                <w:szCs w:val="20"/>
              </w:rPr>
              <w:t>Celkem</w:t>
            </w:r>
          </w:p>
        </w:tc>
      </w:tr>
      <w:tr w:rsidR="0036175A" w:rsidTr="008606C3">
        <w:trPr>
          <w:cnfStyle w:val="000000010000" w:firstRow="0" w:lastRow="0" w:firstColumn="0" w:lastColumn="0" w:oddVBand="0" w:evenVBand="0" w:oddHBand="0" w:evenHBand="1" w:firstRowFirstColumn="0" w:firstRowLastColumn="0" w:lastRowFirstColumn="0" w:lastRowLastColumn="0"/>
          <w:trHeight w:val="900"/>
        </w:trPr>
        <w:tc>
          <w:tcPr>
            <w:tcW w:w="102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36175A" w:rsidRDefault="0036175A">
            <w:pPr>
              <w:keepNext/>
              <w:spacing w:before="120" w:after="120"/>
              <w:contextualSpacing w:val="0"/>
              <w:rPr>
                <w:rFonts w:ascii="Arial" w:eastAsia="Arial" w:hAnsi="Arial" w:cs="Arial"/>
                <w:sz w:val="20"/>
                <w:szCs w:val="20"/>
              </w:rPr>
            </w:pPr>
            <w:r>
              <w:rPr>
                <w:rFonts w:ascii="Arial" w:eastAsia="Arial" w:hAnsi="Arial" w:cs="Arial"/>
                <w:sz w:val="20"/>
                <w:szCs w:val="20"/>
              </w:rPr>
              <w:t>Celkové výdaje</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36175A" w:rsidRDefault="0036175A" w:rsidP="0036175A">
            <w:pPr>
              <w:keepNext/>
              <w:spacing w:before="120" w:after="120"/>
              <w:contextualSpacing w:val="0"/>
              <w:jc w:val="center"/>
              <w:rPr>
                <w:rFonts w:ascii="Arial" w:eastAsia="Arial" w:hAnsi="Arial" w:cs="Arial"/>
                <w:sz w:val="20"/>
                <w:szCs w:val="20"/>
              </w:rPr>
            </w:pPr>
            <w:r w:rsidRPr="0036175A">
              <w:rPr>
                <w:rFonts w:ascii="Arial" w:eastAsia="Arial" w:hAnsi="Arial" w:cs="Arial"/>
                <w:sz w:val="20"/>
                <w:szCs w:val="20"/>
              </w:rPr>
              <w:t>125</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36175A" w:rsidRDefault="0036175A" w:rsidP="0036175A">
            <w:pPr>
              <w:keepNext/>
              <w:spacing w:before="120" w:after="120"/>
              <w:contextualSpacing w:val="0"/>
              <w:jc w:val="center"/>
              <w:rPr>
                <w:rFonts w:ascii="Arial" w:eastAsia="Arial" w:hAnsi="Arial" w:cs="Arial"/>
                <w:sz w:val="20"/>
                <w:szCs w:val="20"/>
              </w:rPr>
            </w:pPr>
            <w:r w:rsidRPr="0036175A">
              <w:rPr>
                <w:rFonts w:ascii="Arial" w:eastAsia="Arial" w:hAnsi="Arial" w:cs="Arial"/>
                <w:sz w:val="20"/>
                <w:szCs w:val="20"/>
              </w:rPr>
              <w:t>287,5</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36175A" w:rsidRDefault="0036175A" w:rsidP="0036175A">
            <w:pPr>
              <w:keepNext/>
              <w:spacing w:before="120" w:after="120"/>
              <w:contextualSpacing w:val="0"/>
              <w:jc w:val="center"/>
              <w:rPr>
                <w:rFonts w:ascii="Arial" w:eastAsia="Arial" w:hAnsi="Arial" w:cs="Arial"/>
                <w:sz w:val="20"/>
                <w:szCs w:val="20"/>
              </w:rPr>
            </w:pPr>
            <w:r w:rsidRPr="0036175A">
              <w:rPr>
                <w:rFonts w:ascii="Arial" w:eastAsia="Arial" w:hAnsi="Arial" w:cs="Arial"/>
                <w:sz w:val="20"/>
                <w:szCs w:val="20"/>
              </w:rPr>
              <w:t>550</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36175A" w:rsidRPr="008606C3" w:rsidRDefault="0036175A" w:rsidP="0036175A">
            <w:pPr>
              <w:keepNext/>
              <w:spacing w:before="120" w:after="120"/>
              <w:contextualSpacing w:val="0"/>
              <w:jc w:val="center"/>
              <w:rPr>
                <w:rFonts w:ascii="Arial" w:eastAsia="Arial" w:hAnsi="Arial" w:cs="Arial"/>
                <w:sz w:val="16"/>
                <w:szCs w:val="16"/>
              </w:rPr>
            </w:pPr>
            <w:r w:rsidRPr="008606C3">
              <w:rPr>
                <w:rFonts w:ascii="Arial" w:eastAsia="Arial" w:hAnsi="Arial" w:cs="Arial"/>
                <w:sz w:val="16"/>
                <w:szCs w:val="16"/>
              </w:rPr>
              <w:t>1317,5</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36175A" w:rsidRDefault="0036175A" w:rsidP="0036175A">
            <w:pPr>
              <w:keepNext/>
              <w:spacing w:before="120" w:after="120"/>
              <w:contextualSpacing w:val="0"/>
              <w:jc w:val="center"/>
              <w:rPr>
                <w:rFonts w:ascii="Arial" w:eastAsia="Arial" w:hAnsi="Arial" w:cs="Arial"/>
                <w:sz w:val="20"/>
                <w:szCs w:val="20"/>
              </w:rPr>
            </w:pPr>
            <w:r w:rsidRPr="0036175A">
              <w:rPr>
                <w:rFonts w:ascii="Arial" w:eastAsia="Arial" w:hAnsi="Arial" w:cs="Arial"/>
                <w:sz w:val="20"/>
                <w:szCs w:val="20"/>
              </w:rPr>
              <w:t>1340</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36175A" w:rsidRDefault="0036175A" w:rsidP="0036175A">
            <w:pPr>
              <w:keepNext/>
              <w:spacing w:before="120" w:after="120"/>
              <w:contextualSpacing w:val="0"/>
              <w:jc w:val="center"/>
              <w:rPr>
                <w:rFonts w:ascii="Arial" w:eastAsia="Arial" w:hAnsi="Arial" w:cs="Arial"/>
                <w:sz w:val="20"/>
                <w:szCs w:val="20"/>
              </w:rPr>
            </w:pPr>
            <w:r w:rsidRPr="0036175A">
              <w:rPr>
                <w:rFonts w:ascii="Arial" w:eastAsia="Arial" w:hAnsi="Arial" w:cs="Arial"/>
                <w:sz w:val="20"/>
                <w:szCs w:val="20"/>
              </w:rPr>
              <w:t>1340</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36175A" w:rsidRDefault="0036175A" w:rsidP="0036175A">
            <w:pPr>
              <w:keepNext/>
              <w:spacing w:before="120" w:after="120"/>
              <w:contextualSpacing w:val="0"/>
              <w:jc w:val="center"/>
              <w:rPr>
                <w:rFonts w:ascii="Arial" w:eastAsia="Arial" w:hAnsi="Arial" w:cs="Arial"/>
                <w:sz w:val="20"/>
                <w:szCs w:val="20"/>
              </w:rPr>
            </w:pPr>
            <w:r w:rsidRPr="0036175A">
              <w:rPr>
                <w:rFonts w:ascii="Arial" w:eastAsia="Arial" w:hAnsi="Arial" w:cs="Arial"/>
                <w:sz w:val="20"/>
                <w:szCs w:val="20"/>
              </w:rPr>
              <w:t>1340</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36175A" w:rsidRDefault="0036175A" w:rsidP="0036175A">
            <w:pPr>
              <w:keepNext/>
              <w:spacing w:before="120" w:after="120"/>
              <w:contextualSpacing w:val="0"/>
              <w:jc w:val="center"/>
              <w:rPr>
                <w:rFonts w:ascii="Arial" w:eastAsia="Arial" w:hAnsi="Arial" w:cs="Arial"/>
                <w:sz w:val="20"/>
                <w:szCs w:val="20"/>
              </w:rPr>
            </w:pPr>
            <w:r w:rsidRPr="0036175A">
              <w:rPr>
                <w:rFonts w:ascii="Arial" w:eastAsia="Arial" w:hAnsi="Arial" w:cs="Arial"/>
                <w:sz w:val="20"/>
                <w:szCs w:val="20"/>
              </w:rPr>
              <w:t>1340</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36175A" w:rsidRPr="0036175A" w:rsidRDefault="0036175A" w:rsidP="0036175A">
            <w:pPr>
              <w:keepNext/>
              <w:spacing w:before="120" w:after="120"/>
              <w:contextualSpacing w:val="0"/>
              <w:jc w:val="center"/>
              <w:rPr>
                <w:rFonts w:ascii="Arial" w:eastAsia="Arial" w:hAnsi="Arial" w:cs="Arial"/>
                <w:sz w:val="20"/>
                <w:szCs w:val="20"/>
              </w:rPr>
            </w:pPr>
            <w:r w:rsidRPr="0036175A">
              <w:rPr>
                <w:rFonts w:ascii="Arial" w:eastAsia="Arial" w:hAnsi="Arial" w:cs="Arial"/>
                <w:sz w:val="20"/>
                <w:szCs w:val="20"/>
              </w:rPr>
              <w:t>1340</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36175A" w:rsidRPr="0036175A" w:rsidRDefault="0036175A" w:rsidP="0036175A">
            <w:pPr>
              <w:keepNext/>
              <w:spacing w:before="120" w:after="120"/>
              <w:contextualSpacing w:val="0"/>
              <w:jc w:val="center"/>
              <w:rPr>
                <w:rFonts w:ascii="Arial" w:eastAsia="Arial" w:hAnsi="Arial" w:cs="Arial"/>
                <w:sz w:val="20"/>
                <w:szCs w:val="20"/>
              </w:rPr>
            </w:pPr>
            <w:r w:rsidRPr="0036175A">
              <w:rPr>
                <w:rFonts w:ascii="Arial" w:eastAsia="Arial" w:hAnsi="Arial" w:cs="Arial"/>
                <w:sz w:val="20"/>
                <w:szCs w:val="20"/>
              </w:rPr>
              <w:t>1340</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36175A" w:rsidRPr="0036175A" w:rsidRDefault="0036175A" w:rsidP="0036175A">
            <w:pPr>
              <w:keepNext/>
              <w:spacing w:before="120" w:after="120"/>
              <w:contextualSpacing w:val="0"/>
              <w:jc w:val="center"/>
              <w:rPr>
                <w:rFonts w:ascii="Arial" w:eastAsia="Arial" w:hAnsi="Arial" w:cs="Arial"/>
                <w:sz w:val="20"/>
                <w:szCs w:val="20"/>
              </w:rPr>
            </w:pPr>
            <w:r w:rsidRPr="0036175A">
              <w:rPr>
                <w:rFonts w:ascii="Arial" w:eastAsia="Arial" w:hAnsi="Arial" w:cs="Arial"/>
                <w:sz w:val="20"/>
                <w:szCs w:val="20"/>
              </w:rPr>
              <w:t>1340</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36175A" w:rsidRDefault="0036175A" w:rsidP="0036175A">
            <w:pPr>
              <w:keepNext/>
              <w:spacing w:before="120" w:after="120"/>
              <w:contextualSpacing w:val="0"/>
              <w:jc w:val="center"/>
              <w:rPr>
                <w:rFonts w:ascii="Arial" w:eastAsia="Arial" w:hAnsi="Arial" w:cs="Arial"/>
                <w:sz w:val="20"/>
                <w:szCs w:val="20"/>
              </w:rPr>
            </w:pPr>
            <w:r w:rsidRPr="0036175A">
              <w:rPr>
                <w:rFonts w:ascii="Arial" w:eastAsia="Arial" w:hAnsi="Arial" w:cs="Arial"/>
                <w:sz w:val="20"/>
                <w:szCs w:val="20"/>
              </w:rPr>
              <w:t>875</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36175A" w:rsidRDefault="0036175A" w:rsidP="0036175A">
            <w:pPr>
              <w:keepNext/>
              <w:spacing w:before="120" w:after="120"/>
              <w:contextualSpacing w:val="0"/>
              <w:jc w:val="center"/>
              <w:rPr>
                <w:rFonts w:ascii="Arial" w:eastAsia="Arial" w:hAnsi="Arial" w:cs="Arial"/>
                <w:sz w:val="20"/>
                <w:szCs w:val="20"/>
              </w:rPr>
            </w:pPr>
            <w:r w:rsidRPr="0036175A">
              <w:rPr>
                <w:rFonts w:ascii="Arial" w:eastAsia="Arial" w:hAnsi="Arial" w:cs="Arial"/>
                <w:sz w:val="20"/>
                <w:szCs w:val="20"/>
              </w:rPr>
              <w:t>437,5</w:t>
            </w:r>
          </w:p>
        </w:tc>
        <w:tc>
          <w:tcPr>
            <w:tcW w:w="85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36175A" w:rsidRDefault="0036175A" w:rsidP="0036175A">
            <w:pPr>
              <w:keepNext/>
              <w:spacing w:before="120" w:after="120"/>
              <w:contextualSpacing w:val="0"/>
              <w:jc w:val="center"/>
              <w:rPr>
                <w:rFonts w:ascii="Arial" w:eastAsia="Arial" w:hAnsi="Arial" w:cs="Arial"/>
                <w:sz w:val="20"/>
                <w:szCs w:val="20"/>
              </w:rPr>
            </w:pPr>
            <w:r w:rsidRPr="0036175A">
              <w:rPr>
                <w:rFonts w:ascii="Arial" w:eastAsia="Arial" w:hAnsi="Arial" w:cs="Arial"/>
                <w:sz w:val="20"/>
                <w:szCs w:val="20"/>
              </w:rPr>
              <w:t>12 972,5</w:t>
            </w:r>
          </w:p>
        </w:tc>
      </w:tr>
      <w:tr w:rsidR="0095286C" w:rsidTr="008606C3">
        <w:trPr>
          <w:cnfStyle w:val="000000100000" w:firstRow="0" w:lastRow="0" w:firstColumn="0" w:lastColumn="0" w:oddVBand="0" w:evenVBand="0" w:oddHBand="1" w:evenHBand="0" w:firstRowFirstColumn="0" w:firstRowLastColumn="0" w:lastRowFirstColumn="0" w:lastRowLastColumn="0"/>
          <w:trHeight w:val="900"/>
        </w:trPr>
        <w:tc>
          <w:tcPr>
            <w:tcW w:w="102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95286C" w:rsidRDefault="0095286C">
            <w:pPr>
              <w:keepNext/>
              <w:spacing w:before="120" w:after="120"/>
              <w:contextualSpacing w:val="0"/>
              <w:rPr>
                <w:rFonts w:ascii="Arial" w:eastAsia="Arial" w:hAnsi="Arial" w:cs="Arial"/>
                <w:sz w:val="20"/>
                <w:szCs w:val="20"/>
              </w:rPr>
            </w:pPr>
            <w:r>
              <w:rPr>
                <w:rFonts w:ascii="Arial" w:eastAsia="Arial" w:hAnsi="Arial" w:cs="Arial"/>
                <w:sz w:val="20"/>
                <w:szCs w:val="20"/>
              </w:rPr>
              <w:t>Výdaje státního rozpočtu</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95286C" w:rsidRDefault="0095286C">
            <w:pPr>
              <w:keepNext/>
              <w:spacing w:before="120" w:after="120"/>
              <w:contextualSpacing w:val="0"/>
              <w:jc w:val="center"/>
              <w:rPr>
                <w:rFonts w:ascii="Arial" w:eastAsia="Arial" w:hAnsi="Arial" w:cs="Arial"/>
                <w:sz w:val="20"/>
                <w:szCs w:val="20"/>
              </w:rPr>
            </w:pPr>
            <w:r>
              <w:rPr>
                <w:rFonts w:ascii="Arial" w:eastAsia="Arial" w:hAnsi="Arial" w:cs="Arial"/>
                <w:sz w:val="20"/>
                <w:szCs w:val="20"/>
              </w:rPr>
              <w:t>100</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95286C" w:rsidRDefault="0095286C">
            <w:pPr>
              <w:keepNext/>
              <w:spacing w:before="120" w:after="120"/>
              <w:contextualSpacing w:val="0"/>
              <w:jc w:val="center"/>
              <w:rPr>
                <w:rFonts w:ascii="Arial" w:eastAsia="Arial" w:hAnsi="Arial" w:cs="Arial"/>
                <w:sz w:val="20"/>
                <w:szCs w:val="20"/>
              </w:rPr>
            </w:pPr>
            <w:r>
              <w:rPr>
                <w:rFonts w:ascii="Arial" w:eastAsia="Arial" w:hAnsi="Arial" w:cs="Arial"/>
                <w:sz w:val="20"/>
                <w:szCs w:val="20"/>
              </w:rPr>
              <w:t>230</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95286C" w:rsidRDefault="0095286C">
            <w:pPr>
              <w:keepNext/>
              <w:spacing w:before="120" w:after="120"/>
              <w:contextualSpacing w:val="0"/>
              <w:jc w:val="center"/>
              <w:rPr>
                <w:rFonts w:ascii="Arial" w:eastAsia="Arial" w:hAnsi="Arial" w:cs="Arial"/>
                <w:sz w:val="20"/>
                <w:szCs w:val="20"/>
              </w:rPr>
            </w:pPr>
            <w:r>
              <w:rPr>
                <w:rFonts w:ascii="Arial" w:eastAsia="Arial" w:hAnsi="Arial" w:cs="Arial"/>
                <w:sz w:val="20"/>
                <w:szCs w:val="20"/>
              </w:rPr>
              <w:t>440</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95286C" w:rsidRDefault="0095286C" w:rsidP="008606C3">
            <w:pPr>
              <w:keepNext/>
              <w:spacing w:before="120" w:after="120"/>
              <w:contextualSpacing w:val="0"/>
              <w:jc w:val="center"/>
              <w:rPr>
                <w:rFonts w:ascii="Arial" w:eastAsia="Arial" w:hAnsi="Arial" w:cs="Arial"/>
                <w:sz w:val="20"/>
                <w:szCs w:val="20"/>
              </w:rPr>
            </w:pPr>
            <w:r>
              <w:rPr>
                <w:rFonts w:ascii="Arial" w:eastAsia="Arial" w:hAnsi="Arial" w:cs="Arial"/>
                <w:sz w:val="20"/>
                <w:szCs w:val="20"/>
              </w:rPr>
              <w:t>1054</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95286C" w:rsidRDefault="0095286C" w:rsidP="008606C3">
            <w:pPr>
              <w:keepNext/>
              <w:spacing w:before="120" w:after="120"/>
              <w:contextualSpacing w:val="0"/>
              <w:jc w:val="center"/>
              <w:rPr>
                <w:rFonts w:ascii="Arial" w:eastAsia="Arial" w:hAnsi="Arial" w:cs="Arial"/>
                <w:sz w:val="20"/>
                <w:szCs w:val="20"/>
              </w:rPr>
            </w:pPr>
            <w:r>
              <w:rPr>
                <w:rFonts w:ascii="Arial" w:eastAsia="Arial" w:hAnsi="Arial" w:cs="Arial"/>
                <w:sz w:val="20"/>
                <w:szCs w:val="20"/>
              </w:rPr>
              <w:t>1072</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95286C" w:rsidRDefault="0095286C" w:rsidP="008606C3">
            <w:pPr>
              <w:keepNext/>
              <w:spacing w:before="120" w:after="120"/>
              <w:contextualSpacing w:val="0"/>
              <w:jc w:val="center"/>
              <w:rPr>
                <w:rFonts w:ascii="Arial" w:eastAsia="Arial" w:hAnsi="Arial" w:cs="Arial"/>
                <w:sz w:val="20"/>
                <w:szCs w:val="20"/>
              </w:rPr>
            </w:pPr>
            <w:r>
              <w:rPr>
                <w:rFonts w:ascii="Arial" w:eastAsia="Arial" w:hAnsi="Arial" w:cs="Arial"/>
                <w:sz w:val="20"/>
                <w:szCs w:val="20"/>
              </w:rPr>
              <w:t>1072</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95286C" w:rsidRDefault="0095286C" w:rsidP="008606C3">
            <w:pPr>
              <w:keepNext/>
              <w:spacing w:before="120" w:after="120"/>
              <w:contextualSpacing w:val="0"/>
              <w:jc w:val="center"/>
              <w:rPr>
                <w:rFonts w:ascii="Arial" w:eastAsia="Arial" w:hAnsi="Arial" w:cs="Arial"/>
                <w:sz w:val="20"/>
                <w:szCs w:val="20"/>
              </w:rPr>
            </w:pPr>
            <w:r>
              <w:rPr>
                <w:rFonts w:ascii="Arial" w:eastAsia="Arial" w:hAnsi="Arial" w:cs="Arial"/>
                <w:sz w:val="20"/>
                <w:szCs w:val="20"/>
              </w:rPr>
              <w:t>1072</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95286C" w:rsidRDefault="0095286C" w:rsidP="008606C3">
            <w:pPr>
              <w:keepNext/>
              <w:spacing w:before="120" w:after="120"/>
              <w:contextualSpacing w:val="0"/>
              <w:jc w:val="center"/>
              <w:rPr>
                <w:rFonts w:ascii="Arial" w:eastAsia="Arial" w:hAnsi="Arial" w:cs="Arial"/>
                <w:sz w:val="20"/>
                <w:szCs w:val="20"/>
              </w:rPr>
            </w:pPr>
            <w:r>
              <w:rPr>
                <w:rFonts w:ascii="Arial" w:eastAsia="Arial" w:hAnsi="Arial" w:cs="Arial"/>
                <w:sz w:val="20"/>
                <w:szCs w:val="20"/>
              </w:rPr>
              <w:t>1072</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95286C" w:rsidRDefault="0095286C" w:rsidP="008606C3">
            <w:pPr>
              <w:keepNext/>
              <w:spacing w:before="120" w:after="120"/>
              <w:contextualSpacing w:val="0"/>
              <w:jc w:val="center"/>
              <w:rPr>
                <w:rFonts w:ascii="Arial" w:eastAsia="Arial" w:hAnsi="Arial" w:cs="Arial"/>
                <w:sz w:val="20"/>
                <w:szCs w:val="20"/>
                <w:highlight w:val="yellow"/>
              </w:rPr>
            </w:pPr>
            <w:r>
              <w:rPr>
                <w:rFonts w:ascii="Arial" w:eastAsia="Arial" w:hAnsi="Arial" w:cs="Arial"/>
                <w:sz w:val="20"/>
                <w:szCs w:val="20"/>
              </w:rPr>
              <w:t>1072</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95286C" w:rsidRDefault="0095286C" w:rsidP="008606C3">
            <w:pPr>
              <w:keepNext/>
              <w:spacing w:before="120" w:after="120"/>
              <w:contextualSpacing w:val="0"/>
              <w:jc w:val="center"/>
              <w:rPr>
                <w:rFonts w:ascii="Arial" w:eastAsia="Arial" w:hAnsi="Arial" w:cs="Arial"/>
                <w:sz w:val="20"/>
                <w:szCs w:val="20"/>
                <w:highlight w:val="yellow"/>
              </w:rPr>
            </w:pPr>
            <w:r>
              <w:rPr>
                <w:rFonts w:ascii="Arial" w:eastAsia="Arial" w:hAnsi="Arial" w:cs="Arial"/>
                <w:sz w:val="20"/>
                <w:szCs w:val="20"/>
              </w:rPr>
              <w:t>1072</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95286C" w:rsidRDefault="0095286C" w:rsidP="008606C3">
            <w:pPr>
              <w:keepNext/>
              <w:spacing w:before="120" w:after="120"/>
              <w:contextualSpacing w:val="0"/>
              <w:jc w:val="center"/>
              <w:rPr>
                <w:rFonts w:ascii="Arial" w:eastAsia="Arial" w:hAnsi="Arial" w:cs="Arial"/>
                <w:sz w:val="20"/>
                <w:szCs w:val="20"/>
                <w:highlight w:val="yellow"/>
              </w:rPr>
            </w:pPr>
            <w:r>
              <w:rPr>
                <w:rFonts w:ascii="Arial" w:eastAsia="Arial" w:hAnsi="Arial" w:cs="Arial"/>
                <w:sz w:val="20"/>
                <w:szCs w:val="20"/>
              </w:rPr>
              <w:t>1072</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95286C" w:rsidRDefault="0095286C">
            <w:pPr>
              <w:keepNext/>
              <w:spacing w:before="120" w:after="120"/>
              <w:contextualSpacing w:val="0"/>
              <w:jc w:val="center"/>
              <w:rPr>
                <w:rFonts w:ascii="Arial" w:eastAsia="Arial" w:hAnsi="Arial" w:cs="Arial"/>
                <w:sz w:val="20"/>
                <w:szCs w:val="20"/>
              </w:rPr>
            </w:pPr>
            <w:r>
              <w:rPr>
                <w:rFonts w:ascii="Arial" w:eastAsia="Arial" w:hAnsi="Arial" w:cs="Arial"/>
                <w:sz w:val="20"/>
                <w:szCs w:val="20"/>
              </w:rPr>
              <w:t>700</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95286C" w:rsidRDefault="0095286C">
            <w:pPr>
              <w:keepNext/>
              <w:spacing w:before="120" w:after="120"/>
              <w:contextualSpacing w:val="0"/>
              <w:jc w:val="center"/>
              <w:rPr>
                <w:rFonts w:ascii="Arial" w:eastAsia="Arial" w:hAnsi="Arial" w:cs="Arial"/>
                <w:sz w:val="20"/>
                <w:szCs w:val="20"/>
              </w:rPr>
            </w:pPr>
            <w:r>
              <w:rPr>
                <w:rFonts w:ascii="Arial" w:eastAsia="Arial" w:hAnsi="Arial" w:cs="Arial"/>
                <w:sz w:val="20"/>
                <w:szCs w:val="20"/>
              </w:rPr>
              <w:t>350</w:t>
            </w:r>
          </w:p>
        </w:tc>
        <w:tc>
          <w:tcPr>
            <w:tcW w:w="85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95286C" w:rsidRDefault="0095286C">
            <w:pPr>
              <w:keepNext/>
              <w:spacing w:before="120" w:after="120"/>
              <w:contextualSpacing w:val="0"/>
              <w:jc w:val="center"/>
              <w:rPr>
                <w:rFonts w:ascii="Arial" w:eastAsia="Arial" w:hAnsi="Arial" w:cs="Arial"/>
                <w:sz w:val="20"/>
                <w:szCs w:val="20"/>
              </w:rPr>
            </w:pPr>
            <w:r>
              <w:rPr>
                <w:rFonts w:ascii="Arial" w:eastAsia="Arial" w:hAnsi="Arial" w:cs="Arial"/>
                <w:sz w:val="20"/>
                <w:szCs w:val="20"/>
              </w:rPr>
              <w:t>10 377</w:t>
            </w:r>
          </w:p>
        </w:tc>
      </w:tr>
      <w:tr w:rsidR="0036175A" w:rsidTr="008606C3">
        <w:trPr>
          <w:cnfStyle w:val="000000010000" w:firstRow="0" w:lastRow="0" w:firstColumn="0" w:lastColumn="0" w:oddVBand="0" w:evenVBand="0" w:oddHBand="0" w:evenHBand="1" w:firstRowFirstColumn="0" w:firstRowLastColumn="0" w:lastRowFirstColumn="0" w:lastRowLastColumn="0"/>
          <w:trHeight w:val="900"/>
        </w:trPr>
        <w:tc>
          <w:tcPr>
            <w:tcW w:w="102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36175A" w:rsidRDefault="0036175A">
            <w:pPr>
              <w:keepNext/>
              <w:spacing w:before="120" w:after="120"/>
              <w:contextualSpacing w:val="0"/>
              <w:rPr>
                <w:rFonts w:ascii="Arial" w:eastAsia="Arial" w:hAnsi="Arial" w:cs="Arial"/>
                <w:sz w:val="20"/>
                <w:szCs w:val="20"/>
              </w:rPr>
            </w:pPr>
            <w:r>
              <w:rPr>
                <w:rFonts w:ascii="Arial" w:eastAsia="Arial" w:hAnsi="Arial" w:cs="Arial"/>
                <w:sz w:val="20"/>
                <w:szCs w:val="20"/>
              </w:rPr>
              <w:t>Neveřejné zdroje</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36175A" w:rsidRDefault="0036175A">
            <w:pPr>
              <w:keepNext/>
              <w:spacing w:before="120" w:after="120"/>
              <w:contextualSpacing w:val="0"/>
              <w:jc w:val="center"/>
              <w:rPr>
                <w:rFonts w:ascii="Arial" w:eastAsia="Arial" w:hAnsi="Arial" w:cs="Arial"/>
                <w:sz w:val="20"/>
                <w:szCs w:val="20"/>
              </w:rPr>
            </w:pPr>
            <w:r>
              <w:rPr>
                <w:rFonts w:ascii="Arial" w:eastAsia="Arial" w:hAnsi="Arial" w:cs="Arial"/>
                <w:sz w:val="20"/>
                <w:szCs w:val="20"/>
              </w:rPr>
              <w:t>25</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36175A" w:rsidRDefault="0036175A">
            <w:pPr>
              <w:keepNext/>
              <w:spacing w:before="120" w:after="120"/>
              <w:contextualSpacing w:val="0"/>
              <w:jc w:val="center"/>
              <w:rPr>
                <w:rFonts w:ascii="Arial" w:eastAsia="Arial" w:hAnsi="Arial" w:cs="Arial"/>
                <w:sz w:val="20"/>
                <w:szCs w:val="20"/>
              </w:rPr>
            </w:pPr>
            <w:r>
              <w:rPr>
                <w:rFonts w:ascii="Arial" w:eastAsia="Arial" w:hAnsi="Arial" w:cs="Arial"/>
                <w:sz w:val="20"/>
                <w:szCs w:val="20"/>
              </w:rPr>
              <w:t>57,5</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36175A" w:rsidRDefault="0036175A">
            <w:pPr>
              <w:keepNext/>
              <w:spacing w:before="120" w:after="120"/>
              <w:contextualSpacing w:val="0"/>
              <w:jc w:val="center"/>
              <w:rPr>
                <w:rFonts w:ascii="Arial" w:eastAsia="Arial" w:hAnsi="Arial" w:cs="Arial"/>
                <w:sz w:val="20"/>
                <w:szCs w:val="20"/>
              </w:rPr>
            </w:pPr>
            <w:r>
              <w:rPr>
                <w:rFonts w:ascii="Arial" w:eastAsia="Arial" w:hAnsi="Arial" w:cs="Arial"/>
                <w:sz w:val="20"/>
                <w:szCs w:val="20"/>
              </w:rPr>
              <w:t>110</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36175A" w:rsidRDefault="0036175A">
            <w:pPr>
              <w:keepNext/>
              <w:spacing w:before="120" w:after="120"/>
              <w:contextualSpacing w:val="0"/>
              <w:jc w:val="center"/>
              <w:rPr>
                <w:rFonts w:ascii="Arial" w:eastAsia="Arial" w:hAnsi="Arial" w:cs="Arial"/>
                <w:sz w:val="20"/>
                <w:szCs w:val="20"/>
              </w:rPr>
            </w:pPr>
            <w:r>
              <w:rPr>
                <w:rFonts w:ascii="Arial" w:eastAsia="Arial" w:hAnsi="Arial" w:cs="Arial"/>
                <w:sz w:val="20"/>
                <w:szCs w:val="20"/>
              </w:rPr>
              <w:t>263,5</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36175A" w:rsidRDefault="0036175A">
            <w:pPr>
              <w:keepNext/>
              <w:spacing w:before="120" w:after="120"/>
              <w:contextualSpacing w:val="0"/>
              <w:jc w:val="center"/>
              <w:rPr>
                <w:rFonts w:ascii="Arial" w:eastAsia="Arial" w:hAnsi="Arial" w:cs="Arial"/>
                <w:sz w:val="20"/>
                <w:szCs w:val="20"/>
              </w:rPr>
            </w:pPr>
            <w:r>
              <w:rPr>
                <w:rFonts w:ascii="Arial" w:eastAsia="Arial" w:hAnsi="Arial" w:cs="Arial"/>
                <w:sz w:val="20"/>
                <w:szCs w:val="20"/>
              </w:rPr>
              <w:t>268</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36175A" w:rsidRDefault="0036175A">
            <w:pPr>
              <w:keepNext/>
              <w:spacing w:before="120" w:after="120"/>
              <w:contextualSpacing w:val="0"/>
              <w:jc w:val="center"/>
              <w:rPr>
                <w:rFonts w:ascii="Arial" w:eastAsia="Arial" w:hAnsi="Arial" w:cs="Arial"/>
                <w:sz w:val="20"/>
                <w:szCs w:val="20"/>
              </w:rPr>
            </w:pPr>
            <w:r>
              <w:rPr>
                <w:rFonts w:ascii="Arial" w:eastAsia="Arial" w:hAnsi="Arial" w:cs="Arial"/>
                <w:sz w:val="20"/>
                <w:szCs w:val="20"/>
              </w:rPr>
              <w:t>268</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36175A" w:rsidRDefault="0036175A">
            <w:pPr>
              <w:keepNext/>
              <w:spacing w:before="120" w:after="120"/>
              <w:contextualSpacing w:val="0"/>
              <w:jc w:val="center"/>
              <w:rPr>
                <w:rFonts w:ascii="Arial" w:eastAsia="Arial" w:hAnsi="Arial" w:cs="Arial"/>
                <w:sz w:val="20"/>
                <w:szCs w:val="20"/>
              </w:rPr>
            </w:pPr>
            <w:r>
              <w:rPr>
                <w:rFonts w:ascii="Arial" w:eastAsia="Arial" w:hAnsi="Arial" w:cs="Arial"/>
                <w:sz w:val="20"/>
                <w:szCs w:val="20"/>
              </w:rPr>
              <w:t>268</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36175A" w:rsidRDefault="0036175A">
            <w:pPr>
              <w:keepNext/>
              <w:spacing w:before="120" w:after="120"/>
              <w:contextualSpacing w:val="0"/>
              <w:jc w:val="center"/>
              <w:rPr>
                <w:rFonts w:ascii="Arial" w:eastAsia="Arial" w:hAnsi="Arial" w:cs="Arial"/>
                <w:sz w:val="20"/>
                <w:szCs w:val="20"/>
              </w:rPr>
            </w:pPr>
            <w:r>
              <w:rPr>
                <w:rFonts w:ascii="Arial" w:eastAsia="Arial" w:hAnsi="Arial" w:cs="Arial"/>
                <w:sz w:val="20"/>
                <w:szCs w:val="20"/>
              </w:rPr>
              <w:t>268</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36175A" w:rsidRDefault="0036175A">
            <w:pPr>
              <w:keepNext/>
              <w:spacing w:before="120" w:after="120"/>
              <w:contextualSpacing w:val="0"/>
              <w:jc w:val="center"/>
              <w:rPr>
                <w:rFonts w:ascii="Arial" w:eastAsia="Arial" w:hAnsi="Arial" w:cs="Arial"/>
                <w:sz w:val="20"/>
                <w:szCs w:val="20"/>
                <w:highlight w:val="yellow"/>
              </w:rPr>
            </w:pPr>
            <w:r>
              <w:rPr>
                <w:rFonts w:ascii="Arial" w:eastAsia="Arial" w:hAnsi="Arial" w:cs="Arial"/>
                <w:sz w:val="20"/>
                <w:szCs w:val="20"/>
              </w:rPr>
              <w:t>268</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36175A" w:rsidRDefault="0036175A">
            <w:pPr>
              <w:keepNext/>
              <w:spacing w:before="120" w:after="120"/>
              <w:contextualSpacing w:val="0"/>
              <w:jc w:val="center"/>
              <w:rPr>
                <w:rFonts w:ascii="Arial" w:eastAsia="Arial" w:hAnsi="Arial" w:cs="Arial"/>
                <w:sz w:val="20"/>
                <w:szCs w:val="20"/>
                <w:highlight w:val="yellow"/>
              </w:rPr>
            </w:pPr>
            <w:r>
              <w:rPr>
                <w:rFonts w:ascii="Arial" w:eastAsia="Arial" w:hAnsi="Arial" w:cs="Arial"/>
                <w:sz w:val="20"/>
                <w:szCs w:val="20"/>
              </w:rPr>
              <w:t>268</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36175A" w:rsidRDefault="0036175A">
            <w:pPr>
              <w:keepNext/>
              <w:spacing w:before="120" w:after="120"/>
              <w:contextualSpacing w:val="0"/>
              <w:jc w:val="center"/>
              <w:rPr>
                <w:rFonts w:ascii="Arial" w:eastAsia="Arial" w:hAnsi="Arial" w:cs="Arial"/>
                <w:sz w:val="20"/>
                <w:szCs w:val="20"/>
                <w:highlight w:val="yellow"/>
              </w:rPr>
            </w:pPr>
            <w:r>
              <w:rPr>
                <w:rFonts w:ascii="Arial" w:eastAsia="Arial" w:hAnsi="Arial" w:cs="Arial"/>
                <w:sz w:val="20"/>
                <w:szCs w:val="20"/>
              </w:rPr>
              <w:t>268</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36175A" w:rsidRDefault="0036175A">
            <w:pPr>
              <w:keepNext/>
              <w:spacing w:before="120" w:after="120"/>
              <w:contextualSpacing w:val="0"/>
              <w:jc w:val="center"/>
              <w:rPr>
                <w:rFonts w:ascii="Arial" w:eastAsia="Arial" w:hAnsi="Arial" w:cs="Arial"/>
                <w:sz w:val="20"/>
                <w:szCs w:val="20"/>
              </w:rPr>
            </w:pPr>
            <w:r>
              <w:rPr>
                <w:rFonts w:ascii="Arial" w:eastAsia="Arial" w:hAnsi="Arial" w:cs="Arial"/>
                <w:sz w:val="20"/>
                <w:szCs w:val="20"/>
              </w:rPr>
              <w:t>175</w:t>
            </w:r>
          </w:p>
        </w:t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36175A" w:rsidRDefault="0036175A">
            <w:pPr>
              <w:keepNext/>
              <w:spacing w:before="120" w:after="120"/>
              <w:contextualSpacing w:val="0"/>
              <w:jc w:val="center"/>
              <w:rPr>
                <w:rFonts w:ascii="Arial" w:eastAsia="Arial" w:hAnsi="Arial" w:cs="Arial"/>
                <w:sz w:val="20"/>
                <w:szCs w:val="20"/>
              </w:rPr>
            </w:pPr>
            <w:r>
              <w:rPr>
                <w:rFonts w:ascii="Arial" w:eastAsia="Arial" w:hAnsi="Arial" w:cs="Arial"/>
                <w:sz w:val="20"/>
                <w:szCs w:val="20"/>
              </w:rPr>
              <w:t>87,5</w:t>
            </w:r>
          </w:p>
        </w:tc>
        <w:tc>
          <w:tcPr>
            <w:tcW w:w="850"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36175A" w:rsidRDefault="0036175A">
            <w:pPr>
              <w:spacing w:before="120" w:after="120"/>
              <w:contextualSpacing w:val="0"/>
              <w:jc w:val="center"/>
              <w:rPr>
                <w:rFonts w:ascii="Arial" w:eastAsia="Arial" w:hAnsi="Arial" w:cs="Arial"/>
                <w:sz w:val="20"/>
                <w:szCs w:val="20"/>
              </w:rPr>
            </w:pPr>
            <w:r>
              <w:rPr>
                <w:rFonts w:ascii="Arial" w:hAnsi="Arial" w:cs="Arial"/>
                <w:sz w:val="20"/>
                <w:szCs w:val="20"/>
              </w:rPr>
              <w:t>2 594,5</w:t>
            </w:r>
          </w:p>
        </w:tc>
      </w:tr>
    </w:tbl>
    <w:p w:rsidR="009C04DF" w:rsidRDefault="00C81E56">
      <w:pPr>
        <w:pStyle w:val="Nadpis1"/>
        <w:numPr>
          <w:ilvl w:val="0"/>
          <w:numId w:val="2"/>
        </w:numPr>
        <w:ind w:hanging="432"/>
        <w:rPr>
          <w:rFonts w:ascii="Arial" w:eastAsia="Arial" w:hAnsi="Arial" w:cs="Arial"/>
        </w:rPr>
      </w:pPr>
      <w:r>
        <w:rPr>
          <w:rFonts w:ascii="Arial" w:eastAsia="Arial" w:hAnsi="Arial" w:cs="Arial"/>
        </w:rPr>
        <w:t>MÍRA PODPORY</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 xml:space="preserve">Předpokládaná průměrná míra podpory celkově za program je </w:t>
      </w:r>
      <w:r w:rsidR="0036175A">
        <w:rPr>
          <w:rFonts w:ascii="Arial" w:eastAsia="Arial" w:hAnsi="Arial" w:cs="Arial"/>
          <w:sz w:val="22"/>
          <w:szCs w:val="22"/>
        </w:rPr>
        <w:t>8</w:t>
      </w:r>
      <w:r w:rsidR="0095286C">
        <w:rPr>
          <w:rFonts w:ascii="Arial" w:eastAsia="Arial" w:hAnsi="Arial" w:cs="Arial"/>
          <w:sz w:val="22"/>
          <w:szCs w:val="22"/>
        </w:rPr>
        <w:t xml:space="preserve">0 </w:t>
      </w:r>
      <w:r>
        <w:rPr>
          <w:rFonts w:ascii="Arial" w:eastAsia="Arial" w:hAnsi="Arial" w:cs="Arial"/>
          <w:sz w:val="22"/>
          <w:szCs w:val="22"/>
        </w:rPr>
        <w:t>%. Míra podpory, stanovená jako procento uznaných nákladů projektu, bude vypočtena pro každý projekt i pro každého příjemce a dalšího účastníka samostatně s tím, že pokud bude podpora poskytována podnikům dle Nařízení, musí být respektovány v něm uvedené maximální stropy měr podpory.</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 xml:space="preserve">Předpokládá se, že nedílnou podmínkou poskytnutí podpory bude zajištění významné části finančních prostředků z jiných zdrojů (neveřejné prostředky, programy EU apod.). Tato podmínka bude blíže specifikována v zadávací dokumentaci k veřejné soutěži. </w:t>
      </w:r>
    </w:p>
    <w:p w:rsidR="009C04DF" w:rsidRDefault="00C81E56">
      <w:pPr>
        <w:pStyle w:val="Nadpis1"/>
        <w:numPr>
          <w:ilvl w:val="0"/>
          <w:numId w:val="2"/>
        </w:numPr>
        <w:ind w:hanging="432"/>
        <w:rPr>
          <w:rFonts w:ascii="Arial" w:eastAsia="Arial" w:hAnsi="Arial" w:cs="Arial"/>
        </w:rPr>
      </w:pPr>
      <w:r>
        <w:rPr>
          <w:rFonts w:ascii="Arial" w:eastAsia="Arial" w:hAnsi="Arial" w:cs="Arial"/>
        </w:rPr>
        <w:t>ZPŮSOBILÉ A UZNANÉ NÁKLADY</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 xml:space="preserve">Podpora bude poskytována na uznané náklady projektu, tj. na ty způsobilé náklady, které poskytovatel schválí, které jsou zdůvodněné, a které jsou v rozsahu nezbytném pro účely projektu. Uchazeč může jako způsobilé náklady navrhnout pouze náklady vymezené vždy v souladu se zákonem o podpoře výzkumu, experimentálního vývoje a inovací, a dále v případě podpory v režimu veřejné podpory podle kategorie podpory, tj. v souladu </w:t>
      </w:r>
      <w:r>
        <w:rPr>
          <w:rFonts w:ascii="Arial" w:eastAsia="Arial" w:hAnsi="Arial" w:cs="Arial"/>
          <w:sz w:val="22"/>
          <w:szCs w:val="22"/>
        </w:rPr>
        <w:lastRenderedPageBreak/>
        <w:t>s Nařízením.</w:t>
      </w:r>
    </w:p>
    <w:p w:rsidR="009C04DF" w:rsidRDefault="00C81E56">
      <w:pPr>
        <w:pStyle w:val="Nadpis1"/>
        <w:numPr>
          <w:ilvl w:val="0"/>
          <w:numId w:val="2"/>
        </w:numPr>
        <w:ind w:hanging="432"/>
        <w:rPr>
          <w:rFonts w:ascii="Arial" w:eastAsia="Arial" w:hAnsi="Arial" w:cs="Arial"/>
        </w:rPr>
      </w:pPr>
      <w:r>
        <w:rPr>
          <w:rFonts w:ascii="Arial" w:eastAsia="Arial" w:hAnsi="Arial" w:cs="Arial"/>
        </w:rPr>
        <w:t>MOTIVAČNÍ ÚČINEK</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 xml:space="preserve">Pro naplnění cílů programu a podmínek Nařízení bude poskytovatel v rámci procesu hodnocení návrhů projektů posuzovat přítomnost motivačního účinku podpory podle čl. 6 Nařízení. </w:t>
      </w:r>
    </w:p>
    <w:p w:rsidR="009C04DF" w:rsidRDefault="00C81E56">
      <w:pPr>
        <w:pStyle w:val="Nadpis1"/>
        <w:numPr>
          <w:ilvl w:val="0"/>
          <w:numId w:val="2"/>
        </w:numPr>
        <w:ind w:hanging="432"/>
        <w:rPr>
          <w:rFonts w:ascii="Arial" w:eastAsia="Arial" w:hAnsi="Arial" w:cs="Arial"/>
        </w:rPr>
      </w:pPr>
      <w:r>
        <w:rPr>
          <w:rFonts w:ascii="Arial" w:eastAsia="Arial" w:hAnsi="Arial" w:cs="Arial"/>
        </w:rPr>
        <w:t>ZPŮSOB A OBECNÁ KRITÉRIA HODNOCENÍ PROJEKTŮ</w:t>
      </w:r>
    </w:p>
    <w:p w:rsidR="009C04DF" w:rsidRDefault="00C81E56">
      <w:pPr>
        <w:spacing w:before="240" w:after="120"/>
        <w:jc w:val="both"/>
        <w:rPr>
          <w:rFonts w:ascii="Arial" w:eastAsia="Arial" w:hAnsi="Arial" w:cs="Arial"/>
          <w:b/>
          <w:sz w:val="22"/>
          <w:szCs w:val="22"/>
        </w:rPr>
      </w:pPr>
      <w:r>
        <w:rPr>
          <w:rFonts w:ascii="Arial" w:eastAsia="Arial" w:hAnsi="Arial" w:cs="Arial"/>
          <w:b/>
          <w:sz w:val="22"/>
          <w:szCs w:val="22"/>
        </w:rPr>
        <w:t>Hodnocení návrhů projektů</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 xml:space="preserve">Návrhy projektů budou TA ČR komplexně hodnoceny v souladu se zákonem o podpoře výzkumu, experimentálního vývoje a inovací. Každý návrh projektu bude hodnocen několika nezávislými oponenty. Do hodnocení návrhů projektů budou zapojeni zahraniční hodnotitelé. Pro hodnocení návrhů projektů přijatých do veřejné soutěže ustaví TA ČR odborný poradní orgán. </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Navrhovaná obecná kritéria hodnocení:</w:t>
      </w:r>
    </w:p>
    <w:p w:rsidR="009C04DF" w:rsidRDefault="00C81E56">
      <w:pPr>
        <w:numPr>
          <w:ilvl w:val="0"/>
          <w:numId w:val="5"/>
        </w:numPr>
        <w:spacing w:before="120" w:after="120"/>
        <w:ind w:left="714" w:hanging="357"/>
        <w:jc w:val="both"/>
        <w:rPr>
          <w:sz w:val="22"/>
          <w:szCs w:val="22"/>
        </w:rPr>
      </w:pPr>
      <w:r>
        <w:rPr>
          <w:rFonts w:ascii="Arial" w:eastAsia="Arial" w:hAnsi="Arial" w:cs="Arial"/>
          <w:sz w:val="22"/>
          <w:szCs w:val="22"/>
        </w:rPr>
        <w:t xml:space="preserve">splnění podmínek veřejné soutěže, </w:t>
      </w:r>
    </w:p>
    <w:p w:rsidR="009C04DF" w:rsidRDefault="00C81E56">
      <w:pPr>
        <w:numPr>
          <w:ilvl w:val="0"/>
          <w:numId w:val="5"/>
        </w:numPr>
        <w:spacing w:before="120" w:after="120"/>
        <w:ind w:left="714" w:hanging="357"/>
        <w:jc w:val="both"/>
        <w:rPr>
          <w:sz w:val="22"/>
          <w:szCs w:val="22"/>
        </w:rPr>
      </w:pPr>
      <w:r>
        <w:rPr>
          <w:rFonts w:ascii="Arial" w:eastAsia="Arial" w:hAnsi="Arial" w:cs="Arial"/>
          <w:sz w:val="22"/>
          <w:szCs w:val="22"/>
        </w:rPr>
        <w:t>potřebnost projektu a jeho přínos k naplňování cílů programu a relevantních národních strategií;</w:t>
      </w:r>
    </w:p>
    <w:p w:rsidR="009C04DF" w:rsidRDefault="00C81E56">
      <w:pPr>
        <w:numPr>
          <w:ilvl w:val="0"/>
          <w:numId w:val="5"/>
        </w:numPr>
        <w:spacing w:before="120" w:after="120"/>
        <w:ind w:left="714" w:hanging="357"/>
        <w:jc w:val="both"/>
        <w:rPr>
          <w:sz w:val="22"/>
          <w:szCs w:val="22"/>
        </w:rPr>
      </w:pPr>
      <w:r>
        <w:rPr>
          <w:rFonts w:ascii="Arial" w:eastAsia="Arial" w:hAnsi="Arial" w:cs="Arial"/>
          <w:sz w:val="22"/>
          <w:szCs w:val="22"/>
        </w:rPr>
        <w:t>proveditelnost a postup realizace projektu;</w:t>
      </w:r>
    </w:p>
    <w:p w:rsidR="009C04DF" w:rsidRDefault="00C81E56">
      <w:pPr>
        <w:numPr>
          <w:ilvl w:val="0"/>
          <w:numId w:val="5"/>
        </w:numPr>
        <w:spacing w:before="120" w:after="120"/>
        <w:ind w:left="714" w:hanging="357"/>
        <w:jc w:val="both"/>
        <w:rPr>
          <w:sz w:val="22"/>
          <w:szCs w:val="22"/>
        </w:rPr>
      </w:pPr>
      <w:r>
        <w:rPr>
          <w:rFonts w:ascii="Arial" w:eastAsia="Arial" w:hAnsi="Arial" w:cs="Arial"/>
          <w:sz w:val="22"/>
          <w:szCs w:val="22"/>
        </w:rPr>
        <w:t xml:space="preserve">návrh tematického / výzkumného zaměření; </w:t>
      </w:r>
    </w:p>
    <w:p w:rsidR="009C04DF" w:rsidRDefault="00C81E56">
      <w:pPr>
        <w:numPr>
          <w:ilvl w:val="0"/>
          <w:numId w:val="5"/>
        </w:numPr>
        <w:spacing w:before="120" w:after="120"/>
        <w:ind w:left="714" w:hanging="357"/>
        <w:jc w:val="both"/>
        <w:rPr>
          <w:sz w:val="22"/>
          <w:szCs w:val="22"/>
        </w:rPr>
      </w:pPr>
      <w:r>
        <w:rPr>
          <w:rFonts w:ascii="Arial" w:eastAsia="Arial" w:hAnsi="Arial" w:cs="Arial"/>
          <w:sz w:val="22"/>
          <w:szCs w:val="22"/>
        </w:rPr>
        <w:t>dosavadní kvalita, výsledky a zkušenosti účastníků / realizačního týmu</w:t>
      </w:r>
      <w:r w:rsidR="0095286C">
        <w:rPr>
          <w:rFonts w:ascii="Arial" w:eastAsia="Arial" w:hAnsi="Arial" w:cs="Arial"/>
          <w:sz w:val="22"/>
          <w:szCs w:val="22"/>
        </w:rPr>
        <w:t xml:space="preserve"> (včetně mezinárodních zkušeností a spolupráce)</w:t>
      </w:r>
      <w:r>
        <w:rPr>
          <w:rFonts w:ascii="Arial" w:eastAsia="Arial" w:hAnsi="Arial" w:cs="Arial"/>
          <w:sz w:val="22"/>
          <w:szCs w:val="22"/>
        </w:rPr>
        <w:t>, a to i s ohledem na zaměření centra;</w:t>
      </w:r>
    </w:p>
    <w:p w:rsidR="009C04DF" w:rsidRDefault="00C81E56">
      <w:pPr>
        <w:numPr>
          <w:ilvl w:val="0"/>
          <w:numId w:val="5"/>
        </w:numPr>
        <w:spacing w:before="120" w:after="120"/>
        <w:ind w:hanging="360"/>
        <w:jc w:val="both"/>
        <w:rPr>
          <w:sz w:val="22"/>
          <w:szCs w:val="22"/>
        </w:rPr>
      </w:pPr>
      <w:r>
        <w:rPr>
          <w:rFonts w:ascii="Arial" w:eastAsia="Arial" w:hAnsi="Arial" w:cs="Arial"/>
          <w:sz w:val="22"/>
          <w:szCs w:val="22"/>
        </w:rPr>
        <w:t>rozsah a charakter spolupráce uvnitř konsorcia, způsob organizačního zajištění činnosti centra a účinná spolupráce mezi podniky a výzkumnými organizacemi;</w:t>
      </w:r>
    </w:p>
    <w:p w:rsidR="009C04DF" w:rsidRDefault="00C81E56">
      <w:pPr>
        <w:numPr>
          <w:ilvl w:val="0"/>
          <w:numId w:val="5"/>
        </w:numPr>
        <w:spacing w:before="120" w:after="120"/>
        <w:ind w:hanging="360"/>
        <w:jc w:val="both"/>
        <w:rPr>
          <w:sz w:val="22"/>
          <w:szCs w:val="22"/>
        </w:rPr>
      </w:pPr>
      <w:r>
        <w:rPr>
          <w:rFonts w:ascii="Arial" w:eastAsia="Arial" w:hAnsi="Arial" w:cs="Arial"/>
          <w:sz w:val="22"/>
          <w:szCs w:val="22"/>
        </w:rPr>
        <w:t xml:space="preserve">aplikační potenciál zvoleného zaměření centra a navržený způsob spolupráce s aplikační sférou, </w:t>
      </w:r>
    </w:p>
    <w:p w:rsidR="009C04DF" w:rsidRDefault="00C81E56">
      <w:pPr>
        <w:numPr>
          <w:ilvl w:val="0"/>
          <w:numId w:val="5"/>
        </w:numPr>
        <w:spacing w:before="120" w:after="120"/>
        <w:ind w:hanging="360"/>
        <w:jc w:val="both"/>
        <w:rPr>
          <w:sz w:val="22"/>
          <w:szCs w:val="22"/>
        </w:rPr>
      </w:pPr>
      <w:r>
        <w:rPr>
          <w:rFonts w:ascii="Arial" w:eastAsia="Arial" w:hAnsi="Arial" w:cs="Arial"/>
          <w:sz w:val="22"/>
          <w:szCs w:val="22"/>
        </w:rPr>
        <w:t>celkový rozpočet na řešení projektu včetně míry spolufinancování uchazeči.</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Podrobný způsob hodnocení návrhů projektu, bodové a prahové hodnoty jednotlivých kritérií hodnocení stanoví zadávací dokumentace k příslušné veřejné soutěži.</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Pro hodnocení případných duplicit, návazností, komplementarit a synergií mezi různými již realizovanými projekty a návrhy projektů využije poskytovatel datové a analytické nástroje.</w:t>
      </w:r>
    </w:p>
    <w:p w:rsidR="009C04DF" w:rsidRDefault="00C81E56">
      <w:pPr>
        <w:spacing w:before="240" w:after="120"/>
        <w:jc w:val="both"/>
        <w:rPr>
          <w:rFonts w:ascii="Arial" w:eastAsia="Arial" w:hAnsi="Arial" w:cs="Arial"/>
          <w:b/>
          <w:sz w:val="22"/>
          <w:szCs w:val="22"/>
        </w:rPr>
      </w:pPr>
      <w:r>
        <w:rPr>
          <w:rFonts w:ascii="Arial" w:eastAsia="Arial" w:hAnsi="Arial" w:cs="Arial"/>
          <w:b/>
          <w:sz w:val="22"/>
          <w:szCs w:val="22"/>
        </w:rPr>
        <w:t>Hodnocení řešených projektů</w:t>
      </w:r>
    </w:p>
    <w:p w:rsidR="009C04DF" w:rsidRDefault="00C81E56">
      <w:pPr>
        <w:spacing w:before="120" w:after="120"/>
        <w:jc w:val="both"/>
        <w:rPr>
          <w:rFonts w:ascii="Arial" w:eastAsia="Arial" w:hAnsi="Arial" w:cs="Arial"/>
          <w:sz w:val="22"/>
          <w:szCs w:val="22"/>
        </w:rPr>
      </w:pPr>
      <w:r>
        <w:rPr>
          <w:rFonts w:ascii="Arial" w:eastAsia="Arial" w:hAnsi="Arial" w:cs="Arial"/>
          <w:sz w:val="22"/>
          <w:szCs w:val="22"/>
        </w:rPr>
        <w:t xml:space="preserve">Celková minimální a maximální doba trvání projektů bude stanovena v zadávací dokumentaci k veřejné soutěži. Za účelem zajištění podmínek pro dlouhodobou spolupráci ve VaVaI budou jednotlivé projekty </w:t>
      </w:r>
      <w:r w:rsidR="00F2744A">
        <w:rPr>
          <w:rFonts w:ascii="Arial" w:eastAsia="Arial" w:hAnsi="Arial" w:cs="Arial"/>
          <w:sz w:val="22"/>
          <w:szCs w:val="22"/>
        </w:rPr>
        <w:t>každ</w:t>
      </w:r>
      <w:r w:rsidR="00552ABF">
        <w:rPr>
          <w:rFonts w:ascii="Arial" w:eastAsia="Arial" w:hAnsi="Arial" w:cs="Arial"/>
          <w:sz w:val="22"/>
          <w:szCs w:val="22"/>
        </w:rPr>
        <w:t>ý</w:t>
      </w:r>
      <w:r w:rsidR="00F2744A">
        <w:rPr>
          <w:rFonts w:ascii="Arial" w:eastAsia="Arial" w:hAnsi="Arial" w:cs="Arial"/>
          <w:sz w:val="22"/>
          <w:szCs w:val="22"/>
        </w:rPr>
        <w:t xml:space="preserve"> rok</w:t>
      </w:r>
      <w:r>
        <w:rPr>
          <w:rFonts w:ascii="Arial" w:eastAsia="Arial" w:hAnsi="Arial" w:cs="Arial"/>
          <w:sz w:val="22"/>
          <w:szCs w:val="22"/>
        </w:rPr>
        <w:t xml:space="preserve"> jejich realizace vyhodnoceny</w:t>
      </w:r>
      <w:r w:rsidR="00363D10">
        <w:rPr>
          <w:rFonts w:ascii="Arial" w:eastAsia="Arial" w:hAnsi="Arial" w:cs="Arial"/>
          <w:sz w:val="22"/>
          <w:szCs w:val="22"/>
        </w:rPr>
        <w:t xml:space="preserve"> (</w:t>
      </w:r>
      <w:r w:rsidR="00552ABF">
        <w:rPr>
          <w:rFonts w:ascii="Arial" w:eastAsia="Arial" w:hAnsi="Arial" w:cs="Arial"/>
          <w:sz w:val="22"/>
          <w:szCs w:val="22"/>
        </w:rPr>
        <w:t xml:space="preserve">každé dva roky pak bude hodnocení komplexnější, a to </w:t>
      </w:r>
      <w:r w:rsidR="00363D10">
        <w:rPr>
          <w:rFonts w:ascii="Arial" w:eastAsia="Arial" w:hAnsi="Arial" w:cs="Arial"/>
          <w:sz w:val="22"/>
          <w:szCs w:val="22"/>
        </w:rPr>
        <w:t>se zapojením zahraničních hodnotitelů)</w:t>
      </w:r>
      <w:r>
        <w:rPr>
          <w:rFonts w:ascii="Arial" w:eastAsia="Arial" w:hAnsi="Arial" w:cs="Arial"/>
          <w:sz w:val="22"/>
          <w:szCs w:val="22"/>
        </w:rPr>
        <w:t>. Pro účely poskytnutí podpory na další období budou muset splnit požadavky stanovené programem a zadávací dokumentací.</w:t>
      </w:r>
    </w:p>
    <w:p w:rsidR="009C04DF" w:rsidRDefault="00C81E56">
      <w:pPr>
        <w:numPr>
          <w:ilvl w:val="0"/>
          <w:numId w:val="3"/>
        </w:numPr>
        <w:spacing w:before="120" w:after="120"/>
        <w:ind w:left="714" w:hanging="357"/>
        <w:jc w:val="both"/>
        <w:rPr>
          <w:sz w:val="22"/>
          <w:szCs w:val="22"/>
        </w:rPr>
      </w:pPr>
      <w:r>
        <w:rPr>
          <w:rFonts w:ascii="Arial" w:eastAsia="Arial" w:hAnsi="Arial" w:cs="Arial"/>
          <w:sz w:val="22"/>
          <w:szCs w:val="22"/>
        </w:rPr>
        <w:t>Projekt bude v průběžném hodnocení, které uskuteční poskytovatel nejpozději během čtvrtého roku řešení projektu, úspěšně hodnocen z hlediska naplnění cílů strategické výzkumné agendy, cílů tohoto programu a splnění dalších podmínek podle § 13 Zákona. Navrhovaná kritéria hodnocení:</w:t>
      </w:r>
    </w:p>
    <w:p w:rsidR="009C04DF" w:rsidRPr="008606C3" w:rsidRDefault="00C81E56">
      <w:pPr>
        <w:numPr>
          <w:ilvl w:val="1"/>
          <w:numId w:val="3"/>
        </w:numPr>
        <w:spacing w:before="120" w:after="120"/>
        <w:ind w:hanging="360"/>
        <w:jc w:val="both"/>
        <w:rPr>
          <w:sz w:val="22"/>
          <w:szCs w:val="22"/>
        </w:rPr>
      </w:pPr>
      <w:r>
        <w:rPr>
          <w:rFonts w:ascii="Arial" w:eastAsia="Arial" w:hAnsi="Arial" w:cs="Arial"/>
          <w:sz w:val="22"/>
          <w:szCs w:val="22"/>
        </w:rPr>
        <w:t>objem zakázek smluvního výzkumu</w:t>
      </w:r>
      <w:r w:rsidR="0036175A">
        <w:rPr>
          <w:rFonts w:ascii="Arial" w:eastAsia="Arial" w:hAnsi="Arial" w:cs="Arial"/>
          <w:sz w:val="22"/>
          <w:szCs w:val="22"/>
        </w:rPr>
        <w:t xml:space="preserve">, </w:t>
      </w:r>
      <w:r>
        <w:rPr>
          <w:rFonts w:ascii="Arial" w:eastAsia="Arial" w:hAnsi="Arial" w:cs="Arial"/>
          <w:sz w:val="22"/>
          <w:szCs w:val="22"/>
        </w:rPr>
        <w:t>podnikových investic</w:t>
      </w:r>
      <w:r w:rsidR="0036175A">
        <w:rPr>
          <w:rFonts w:ascii="Arial" w:eastAsia="Arial" w:hAnsi="Arial" w:cs="Arial"/>
          <w:sz w:val="22"/>
          <w:szCs w:val="22"/>
        </w:rPr>
        <w:t xml:space="preserve"> a dalších </w:t>
      </w:r>
      <w:r w:rsidR="0036175A">
        <w:rPr>
          <w:rFonts w:ascii="Arial" w:eastAsia="Arial" w:hAnsi="Arial" w:cs="Arial"/>
          <w:sz w:val="22"/>
          <w:szCs w:val="22"/>
        </w:rPr>
        <w:lastRenderedPageBreak/>
        <w:t>komerčních příjmů daného centra</w:t>
      </w:r>
      <w:r>
        <w:rPr>
          <w:rFonts w:ascii="Arial" w:eastAsia="Arial" w:hAnsi="Arial" w:cs="Arial"/>
          <w:sz w:val="22"/>
          <w:szCs w:val="22"/>
        </w:rPr>
        <w:t>;</w:t>
      </w:r>
    </w:p>
    <w:p w:rsidR="0095286C" w:rsidRDefault="0095286C">
      <w:pPr>
        <w:numPr>
          <w:ilvl w:val="1"/>
          <w:numId w:val="3"/>
        </w:numPr>
        <w:spacing w:before="120" w:after="120"/>
        <w:ind w:hanging="360"/>
        <w:jc w:val="both"/>
        <w:rPr>
          <w:sz w:val="22"/>
          <w:szCs w:val="22"/>
        </w:rPr>
      </w:pPr>
      <w:r>
        <w:rPr>
          <w:rFonts w:ascii="Arial" w:eastAsia="Arial" w:hAnsi="Arial" w:cs="Arial"/>
          <w:sz w:val="22"/>
          <w:szCs w:val="22"/>
        </w:rPr>
        <w:t>objem dotací a dalších zdrojů na realizaci projektů kolaborativního výzkumu (např. z ostatních národních či evropských dotačních programů)</w:t>
      </w:r>
      <w:r w:rsidR="0036175A">
        <w:rPr>
          <w:rFonts w:ascii="Arial" w:eastAsia="Arial" w:hAnsi="Arial" w:cs="Arial"/>
          <w:sz w:val="22"/>
          <w:szCs w:val="22"/>
        </w:rPr>
        <w:t xml:space="preserve"> daného centra</w:t>
      </w:r>
      <w:r>
        <w:rPr>
          <w:rFonts w:ascii="Arial" w:eastAsia="Arial" w:hAnsi="Arial" w:cs="Arial"/>
          <w:sz w:val="22"/>
          <w:szCs w:val="22"/>
        </w:rPr>
        <w:t>;</w:t>
      </w:r>
    </w:p>
    <w:p w:rsidR="0095286C" w:rsidRPr="0095286C" w:rsidRDefault="00363D10" w:rsidP="00363D10">
      <w:pPr>
        <w:numPr>
          <w:ilvl w:val="1"/>
          <w:numId w:val="3"/>
        </w:numPr>
        <w:spacing w:before="120" w:after="120"/>
        <w:ind w:hanging="360"/>
        <w:jc w:val="both"/>
        <w:rPr>
          <w:rFonts w:ascii="Arial" w:eastAsia="Arial" w:hAnsi="Arial" w:cs="Arial"/>
          <w:sz w:val="22"/>
          <w:szCs w:val="22"/>
        </w:rPr>
      </w:pPr>
      <w:r>
        <w:rPr>
          <w:rFonts w:ascii="Arial" w:eastAsia="Arial" w:hAnsi="Arial" w:cs="Arial"/>
          <w:sz w:val="22"/>
          <w:szCs w:val="22"/>
        </w:rPr>
        <w:t>počet spolupracujících subjektů aplikační sféry a způsob spolupráce (jasně stanovená pravidla řízení centra)</w:t>
      </w:r>
      <w:r w:rsidR="0036175A">
        <w:rPr>
          <w:rFonts w:ascii="Arial" w:eastAsia="Arial" w:hAnsi="Arial" w:cs="Arial"/>
          <w:sz w:val="22"/>
          <w:szCs w:val="22"/>
        </w:rPr>
        <w:t xml:space="preserve"> daného centra</w:t>
      </w:r>
      <w:r w:rsidR="0095286C">
        <w:rPr>
          <w:rFonts w:ascii="Arial" w:eastAsia="Arial" w:hAnsi="Arial" w:cs="Arial"/>
          <w:sz w:val="22"/>
          <w:szCs w:val="22"/>
        </w:rPr>
        <w:t>;</w:t>
      </w:r>
    </w:p>
    <w:p w:rsidR="00363D10" w:rsidRDefault="0095286C" w:rsidP="00363D10">
      <w:pPr>
        <w:numPr>
          <w:ilvl w:val="1"/>
          <w:numId w:val="3"/>
        </w:numPr>
        <w:spacing w:before="120" w:after="120"/>
        <w:ind w:hanging="360"/>
        <w:jc w:val="both"/>
        <w:rPr>
          <w:sz w:val="22"/>
          <w:szCs w:val="22"/>
        </w:rPr>
      </w:pPr>
      <w:r>
        <w:rPr>
          <w:rFonts w:ascii="Arial" w:eastAsia="Arial" w:hAnsi="Arial" w:cs="Arial"/>
          <w:sz w:val="22"/>
          <w:szCs w:val="22"/>
        </w:rPr>
        <w:t>mezinárodní přesah / spolupráce;</w:t>
      </w:r>
    </w:p>
    <w:p w:rsidR="009C04DF" w:rsidRDefault="00C81E56">
      <w:pPr>
        <w:numPr>
          <w:ilvl w:val="1"/>
          <w:numId w:val="3"/>
        </w:numPr>
        <w:spacing w:before="120" w:after="120"/>
        <w:ind w:hanging="360"/>
        <w:jc w:val="both"/>
        <w:rPr>
          <w:sz w:val="22"/>
          <w:szCs w:val="22"/>
        </w:rPr>
      </w:pPr>
      <w:r>
        <w:rPr>
          <w:rFonts w:ascii="Arial" w:eastAsia="Arial" w:hAnsi="Arial" w:cs="Arial"/>
          <w:sz w:val="22"/>
          <w:szCs w:val="22"/>
        </w:rPr>
        <w:t>počet výstupů výzkumu, u nichž byla ověřena možnost uplatnění v praxi;</w:t>
      </w:r>
    </w:p>
    <w:p w:rsidR="009C04DF" w:rsidRDefault="00C81E56">
      <w:pPr>
        <w:numPr>
          <w:ilvl w:val="1"/>
          <w:numId w:val="3"/>
        </w:numPr>
        <w:spacing w:before="120" w:after="120"/>
        <w:ind w:hanging="360"/>
        <w:jc w:val="both"/>
        <w:rPr>
          <w:sz w:val="22"/>
          <w:szCs w:val="22"/>
        </w:rPr>
      </w:pPr>
      <w:r>
        <w:rPr>
          <w:rFonts w:ascii="Arial" w:eastAsia="Arial" w:hAnsi="Arial" w:cs="Arial"/>
          <w:sz w:val="22"/>
          <w:szCs w:val="22"/>
        </w:rPr>
        <w:t>počet výstupů výzkumu výzkumných organizací uplatněných v praxi;</w:t>
      </w:r>
    </w:p>
    <w:p w:rsidR="009C04DF" w:rsidRDefault="00C81E56">
      <w:pPr>
        <w:numPr>
          <w:ilvl w:val="1"/>
          <w:numId w:val="3"/>
        </w:numPr>
        <w:spacing w:before="120" w:after="120"/>
        <w:ind w:hanging="360"/>
        <w:jc w:val="both"/>
        <w:rPr>
          <w:sz w:val="22"/>
          <w:szCs w:val="22"/>
        </w:rPr>
      </w:pPr>
      <w:r>
        <w:rPr>
          <w:rFonts w:ascii="Arial" w:eastAsia="Arial" w:hAnsi="Arial" w:cs="Arial"/>
          <w:sz w:val="22"/>
          <w:szCs w:val="22"/>
        </w:rPr>
        <w:t>počet nových a zdokonalených výrobků a služeb uvedených na trh a počtu zavedených nových a zdokonalených výrobních postupů a meziročního přírůstku příjmů (obratu) s nimi spojených u uživatele resp. uživatelů;</w:t>
      </w:r>
    </w:p>
    <w:p w:rsidR="009C04DF" w:rsidRDefault="00C81E56">
      <w:pPr>
        <w:numPr>
          <w:ilvl w:val="1"/>
          <w:numId w:val="3"/>
        </w:numPr>
        <w:spacing w:before="120" w:after="120"/>
        <w:ind w:hanging="360"/>
        <w:jc w:val="both"/>
        <w:rPr>
          <w:sz w:val="22"/>
          <w:szCs w:val="22"/>
        </w:rPr>
      </w:pPr>
      <w:r>
        <w:rPr>
          <w:rFonts w:ascii="Arial" w:eastAsia="Arial" w:hAnsi="Arial" w:cs="Arial"/>
          <w:sz w:val="22"/>
          <w:szCs w:val="22"/>
        </w:rPr>
        <w:t>celkový počet aplikovaných výsledků výzkumu a vývoje;</w:t>
      </w:r>
    </w:p>
    <w:p w:rsidR="009C04DF" w:rsidRDefault="00C81E56">
      <w:pPr>
        <w:numPr>
          <w:ilvl w:val="1"/>
          <w:numId w:val="3"/>
        </w:numPr>
        <w:spacing w:before="120" w:after="120"/>
        <w:ind w:hanging="360"/>
        <w:jc w:val="both"/>
        <w:rPr>
          <w:sz w:val="22"/>
          <w:szCs w:val="22"/>
        </w:rPr>
      </w:pPr>
      <w:r>
        <w:rPr>
          <w:rFonts w:ascii="Arial" w:eastAsia="Arial" w:hAnsi="Arial" w:cs="Arial"/>
          <w:sz w:val="22"/>
          <w:szCs w:val="22"/>
        </w:rPr>
        <w:t>počet patentů, které jsou výsledkem výzkumu a byly komercializovány formou na nich založené realizace produktových nebo procesních inovací nebo prodejem licencí;</w:t>
      </w:r>
    </w:p>
    <w:p w:rsidR="009C04DF" w:rsidRDefault="00C81E56">
      <w:pPr>
        <w:numPr>
          <w:ilvl w:val="1"/>
          <w:numId w:val="3"/>
        </w:numPr>
        <w:spacing w:before="120" w:after="120"/>
        <w:ind w:hanging="360"/>
        <w:jc w:val="both"/>
        <w:rPr>
          <w:sz w:val="22"/>
          <w:szCs w:val="22"/>
        </w:rPr>
      </w:pPr>
      <w:r>
        <w:rPr>
          <w:rFonts w:ascii="Arial" w:eastAsia="Arial" w:hAnsi="Arial" w:cs="Arial"/>
          <w:sz w:val="22"/>
          <w:szCs w:val="22"/>
        </w:rPr>
        <w:t>příjmů dosažených na základě těchto komercializovaných patentů;</w:t>
      </w:r>
    </w:p>
    <w:p w:rsidR="009C04DF" w:rsidRDefault="00C81E56">
      <w:pPr>
        <w:numPr>
          <w:ilvl w:val="1"/>
          <w:numId w:val="3"/>
        </w:numPr>
        <w:spacing w:before="120" w:after="120"/>
        <w:ind w:hanging="360"/>
        <w:jc w:val="both"/>
        <w:rPr>
          <w:sz w:val="22"/>
          <w:szCs w:val="22"/>
        </w:rPr>
      </w:pPr>
      <w:r>
        <w:rPr>
          <w:rFonts w:ascii="Arial" w:eastAsia="Arial" w:hAnsi="Arial" w:cs="Arial"/>
          <w:sz w:val="22"/>
          <w:szCs w:val="22"/>
        </w:rPr>
        <w:t>počet licencí k výsledkům projektů nabídnutých výzkumnými organizacemi;</w:t>
      </w:r>
    </w:p>
    <w:p w:rsidR="009C04DF" w:rsidRDefault="00C81E56">
      <w:pPr>
        <w:numPr>
          <w:ilvl w:val="1"/>
          <w:numId w:val="3"/>
        </w:numPr>
        <w:spacing w:before="120" w:after="120"/>
        <w:ind w:hanging="360"/>
        <w:jc w:val="both"/>
        <w:rPr>
          <w:sz w:val="22"/>
          <w:szCs w:val="22"/>
        </w:rPr>
      </w:pPr>
      <w:r>
        <w:rPr>
          <w:rFonts w:ascii="Arial" w:eastAsia="Arial" w:hAnsi="Arial" w:cs="Arial"/>
          <w:sz w:val="22"/>
          <w:szCs w:val="22"/>
        </w:rPr>
        <w:t>počet uzavřených licenčních smluv a objemu licenčních poplatků;</w:t>
      </w:r>
    </w:p>
    <w:p w:rsidR="009C04DF" w:rsidRDefault="00C81E56">
      <w:pPr>
        <w:numPr>
          <w:ilvl w:val="1"/>
          <w:numId w:val="3"/>
        </w:numPr>
        <w:spacing w:before="120" w:after="120"/>
        <w:ind w:hanging="360"/>
        <w:jc w:val="both"/>
        <w:rPr>
          <w:sz w:val="22"/>
          <w:szCs w:val="22"/>
        </w:rPr>
      </w:pPr>
      <w:r>
        <w:rPr>
          <w:rFonts w:ascii="Arial" w:eastAsia="Arial" w:hAnsi="Arial" w:cs="Arial"/>
          <w:sz w:val="22"/>
          <w:szCs w:val="22"/>
        </w:rPr>
        <w:t>příjmů, které vzniknou prodejem a využitím prototypů;</w:t>
      </w:r>
    </w:p>
    <w:p w:rsidR="009C04DF" w:rsidRDefault="00C81E56">
      <w:pPr>
        <w:numPr>
          <w:ilvl w:val="1"/>
          <w:numId w:val="3"/>
        </w:numPr>
        <w:spacing w:before="120" w:after="120"/>
        <w:ind w:hanging="360"/>
        <w:jc w:val="both"/>
        <w:rPr>
          <w:sz w:val="22"/>
          <w:szCs w:val="22"/>
        </w:rPr>
      </w:pPr>
      <w:r>
        <w:rPr>
          <w:rFonts w:ascii="Arial" w:eastAsia="Arial" w:hAnsi="Arial" w:cs="Arial"/>
          <w:sz w:val="22"/>
          <w:szCs w:val="22"/>
        </w:rPr>
        <w:t>počet ověřených a realizovaných funkčních prototypů na základě uskutečněného experimentálního vývoje;</w:t>
      </w:r>
    </w:p>
    <w:p w:rsidR="009C04DF" w:rsidRDefault="00C81E56">
      <w:pPr>
        <w:numPr>
          <w:ilvl w:val="1"/>
          <w:numId w:val="3"/>
        </w:numPr>
        <w:spacing w:before="120" w:after="120"/>
        <w:ind w:hanging="360"/>
        <w:jc w:val="both"/>
        <w:rPr>
          <w:sz w:val="22"/>
          <w:szCs w:val="22"/>
        </w:rPr>
      </w:pPr>
      <w:r>
        <w:rPr>
          <w:rFonts w:ascii="Arial" w:eastAsia="Arial" w:hAnsi="Arial" w:cs="Arial"/>
          <w:sz w:val="22"/>
          <w:szCs w:val="22"/>
        </w:rPr>
        <w:t>počet nových poloprovozů;</w:t>
      </w:r>
    </w:p>
    <w:p w:rsidR="009C04DF" w:rsidRDefault="00C81E56">
      <w:pPr>
        <w:numPr>
          <w:ilvl w:val="1"/>
          <w:numId w:val="3"/>
        </w:numPr>
        <w:spacing w:before="120" w:after="120"/>
        <w:ind w:hanging="360"/>
        <w:jc w:val="both"/>
        <w:rPr>
          <w:sz w:val="22"/>
          <w:szCs w:val="22"/>
        </w:rPr>
      </w:pPr>
      <w:r>
        <w:rPr>
          <w:rFonts w:ascii="Arial" w:eastAsia="Arial" w:hAnsi="Arial" w:cs="Arial"/>
          <w:sz w:val="22"/>
          <w:szCs w:val="22"/>
        </w:rPr>
        <w:t>počet realizovaných transferů know-how a technologií z výzkumnýc</w:t>
      </w:r>
      <w:r w:rsidR="0095286C">
        <w:rPr>
          <w:rFonts w:ascii="Arial" w:eastAsia="Arial" w:hAnsi="Arial" w:cs="Arial"/>
          <w:sz w:val="22"/>
          <w:szCs w:val="22"/>
        </w:rPr>
        <w:t>h organizací do podniků.</w:t>
      </w:r>
    </w:p>
    <w:p w:rsidR="009C04DF" w:rsidRDefault="00C81E56">
      <w:pPr>
        <w:numPr>
          <w:ilvl w:val="0"/>
          <w:numId w:val="3"/>
        </w:numPr>
        <w:spacing w:before="120" w:after="120"/>
        <w:ind w:left="714" w:hanging="357"/>
        <w:jc w:val="both"/>
        <w:rPr>
          <w:sz w:val="22"/>
          <w:szCs w:val="22"/>
        </w:rPr>
      </w:pPr>
      <w:r>
        <w:rPr>
          <w:rFonts w:ascii="Arial" w:eastAsia="Arial" w:hAnsi="Arial" w:cs="Arial"/>
          <w:sz w:val="22"/>
          <w:szCs w:val="22"/>
        </w:rPr>
        <w:t xml:space="preserve">Příjemce předloží návrh na řešení projektu v dalším období a tento návrh bude poskytovatelem kladně hodnocen. Navrhovaná kritéria hodnocení: </w:t>
      </w:r>
    </w:p>
    <w:p w:rsidR="009C04DF" w:rsidRDefault="00C81E56">
      <w:pPr>
        <w:numPr>
          <w:ilvl w:val="1"/>
          <w:numId w:val="3"/>
        </w:numPr>
        <w:spacing w:before="120" w:after="120"/>
        <w:ind w:hanging="360"/>
        <w:jc w:val="both"/>
        <w:rPr>
          <w:sz w:val="22"/>
          <w:szCs w:val="22"/>
        </w:rPr>
      </w:pPr>
      <w:r>
        <w:rPr>
          <w:rFonts w:ascii="Arial" w:eastAsia="Arial" w:hAnsi="Arial" w:cs="Arial"/>
          <w:sz w:val="22"/>
          <w:szCs w:val="22"/>
        </w:rPr>
        <w:t>navrhovaný způsob implementace strategické výzkumné agendy;</w:t>
      </w:r>
    </w:p>
    <w:p w:rsidR="009C04DF" w:rsidRDefault="00C81E56">
      <w:pPr>
        <w:numPr>
          <w:ilvl w:val="1"/>
          <w:numId w:val="3"/>
        </w:numPr>
        <w:spacing w:before="120" w:after="120"/>
        <w:ind w:hanging="360"/>
        <w:jc w:val="both"/>
        <w:rPr>
          <w:sz w:val="22"/>
          <w:szCs w:val="22"/>
        </w:rPr>
      </w:pPr>
      <w:r>
        <w:rPr>
          <w:rFonts w:ascii="Arial" w:eastAsia="Arial" w:hAnsi="Arial" w:cs="Arial"/>
          <w:sz w:val="22"/>
          <w:szCs w:val="22"/>
        </w:rPr>
        <w:t>aplikační potenciál předpokládaných výsledků VaV;</w:t>
      </w:r>
    </w:p>
    <w:p w:rsidR="009C04DF" w:rsidRDefault="00C81E56">
      <w:pPr>
        <w:numPr>
          <w:ilvl w:val="1"/>
          <w:numId w:val="3"/>
        </w:numPr>
        <w:spacing w:before="120" w:after="120"/>
        <w:ind w:hanging="360"/>
        <w:jc w:val="both"/>
        <w:rPr>
          <w:sz w:val="22"/>
          <w:szCs w:val="22"/>
        </w:rPr>
      </w:pPr>
      <w:r>
        <w:rPr>
          <w:rFonts w:ascii="Arial" w:eastAsia="Arial" w:hAnsi="Arial" w:cs="Arial"/>
          <w:sz w:val="22"/>
          <w:szCs w:val="22"/>
        </w:rPr>
        <w:t>přiměřenost nákladů na implementaci strategické výzkumné agendy;</w:t>
      </w:r>
    </w:p>
    <w:p w:rsidR="009C04DF" w:rsidRDefault="00C81E56">
      <w:pPr>
        <w:numPr>
          <w:ilvl w:val="1"/>
          <w:numId w:val="3"/>
        </w:numPr>
        <w:spacing w:before="120" w:after="120"/>
        <w:ind w:hanging="360"/>
        <w:jc w:val="both"/>
        <w:rPr>
          <w:sz w:val="22"/>
          <w:szCs w:val="22"/>
        </w:rPr>
      </w:pPr>
      <w:r>
        <w:rPr>
          <w:rFonts w:ascii="Arial" w:eastAsia="Arial" w:hAnsi="Arial" w:cs="Arial"/>
          <w:sz w:val="22"/>
          <w:szCs w:val="22"/>
        </w:rPr>
        <w:t>rozsah a charakter spolupráce uvnitř konsorcia;</w:t>
      </w:r>
    </w:p>
    <w:p w:rsidR="009C04DF" w:rsidRDefault="00C81E56">
      <w:pPr>
        <w:numPr>
          <w:ilvl w:val="1"/>
          <w:numId w:val="3"/>
        </w:numPr>
        <w:spacing w:before="120" w:after="120"/>
        <w:ind w:hanging="360"/>
        <w:jc w:val="both"/>
        <w:rPr>
          <w:sz w:val="22"/>
          <w:szCs w:val="22"/>
        </w:rPr>
      </w:pPr>
      <w:r>
        <w:rPr>
          <w:rFonts w:ascii="Arial" w:eastAsia="Arial" w:hAnsi="Arial" w:cs="Arial"/>
          <w:sz w:val="22"/>
          <w:szCs w:val="22"/>
        </w:rPr>
        <w:t>způsob organizačního zajištění činnosti centra;</w:t>
      </w:r>
    </w:p>
    <w:p w:rsidR="009C04DF" w:rsidRDefault="00C81E56">
      <w:pPr>
        <w:numPr>
          <w:ilvl w:val="1"/>
          <w:numId w:val="3"/>
        </w:numPr>
        <w:spacing w:before="120" w:after="120"/>
        <w:ind w:hanging="360"/>
        <w:jc w:val="both"/>
        <w:rPr>
          <w:sz w:val="22"/>
          <w:szCs w:val="22"/>
        </w:rPr>
      </w:pPr>
      <w:r>
        <w:rPr>
          <w:rFonts w:ascii="Arial" w:eastAsia="Arial" w:hAnsi="Arial" w:cs="Arial"/>
          <w:sz w:val="22"/>
          <w:szCs w:val="22"/>
        </w:rPr>
        <w:t>celkový rozpočet na řešení projektu včetně míry spolufinancování uchazeči nebo partnery.</w:t>
      </w:r>
    </w:p>
    <w:p w:rsidR="009C04DF" w:rsidRDefault="00C81E56">
      <w:pPr>
        <w:spacing w:before="120" w:after="120"/>
        <w:jc w:val="both"/>
        <w:rPr>
          <w:rFonts w:ascii="Arial" w:eastAsia="Arial" w:hAnsi="Arial" w:cs="Arial"/>
          <w:sz w:val="22"/>
          <w:szCs w:val="22"/>
        </w:rPr>
      </w:pPr>
      <w:bookmarkStart w:id="1" w:name="_gjdgxs" w:colFirst="0" w:colLast="0"/>
      <w:bookmarkEnd w:id="1"/>
      <w:r>
        <w:rPr>
          <w:rFonts w:ascii="Arial" w:eastAsia="Arial" w:hAnsi="Arial" w:cs="Arial"/>
          <w:sz w:val="22"/>
          <w:szCs w:val="22"/>
        </w:rPr>
        <w:t>V případě nesplnění podmínek stanovených ve veřejné soutěži bude ze strany poskytovatele přistoupeno k ukončení projektu</w:t>
      </w:r>
      <w:r w:rsidR="0095286C">
        <w:rPr>
          <w:rFonts w:ascii="Arial" w:eastAsia="Arial" w:hAnsi="Arial" w:cs="Arial"/>
          <w:sz w:val="22"/>
          <w:szCs w:val="22"/>
        </w:rPr>
        <w:t>, a to na základě rozhodnutí Rady programu</w:t>
      </w:r>
      <w:r>
        <w:rPr>
          <w:rFonts w:ascii="Arial" w:eastAsia="Arial" w:hAnsi="Arial" w:cs="Arial"/>
          <w:sz w:val="22"/>
          <w:szCs w:val="22"/>
        </w:rPr>
        <w:t>.</w:t>
      </w:r>
    </w:p>
    <w:p w:rsidR="009C04DF" w:rsidRDefault="00C81E56">
      <w:pPr>
        <w:pStyle w:val="Nadpis1"/>
        <w:numPr>
          <w:ilvl w:val="0"/>
          <w:numId w:val="2"/>
        </w:numPr>
        <w:ind w:hanging="432"/>
        <w:rPr>
          <w:rFonts w:ascii="Arial" w:eastAsia="Arial" w:hAnsi="Arial" w:cs="Arial"/>
        </w:rPr>
      </w:pPr>
      <w:r>
        <w:rPr>
          <w:rFonts w:ascii="Arial" w:eastAsia="Arial" w:hAnsi="Arial" w:cs="Arial"/>
        </w:rPr>
        <w:t>SROVNÁNÍ SOUČASNÉHO STAVU V ČESKÉ REPUBLICE A V ZAHRANIČÍ</w:t>
      </w:r>
    </w:p>
    <w:p w:rsidR="009C04DF" w:rsidRDefault="008606C3">
      <w:pPr>
        <w:spacing w:before="120" w:after="120"/>
        <w:jc w:val="both"/>
        <w:rPr>
          <w:rFonts w:ascii="Arial" w:eastAsia="Arial" w:hAnsi="Arial" w:cs="Arial"/>
          <w:sz w:val="22"/>
          <w:szCs w:val="22"/>
        </w:rPr>
      </w:pPr>
      <w:r w:rsidRPr="008606C3">
        <w:rPr>
          <w:rFonts w:ascii="Arial" w:eastAsia="Arial" w:hAnsi="Arial" w:cs="Arial"/>
          <w:sz w:val="22"/>
          <w:szCs w:val="22"/>
          <w:highlight w:val="yellow"/>
        </w:rPr>
        <w:t xml:space="preserve">BUDE </w:t>
      </w:r>
      <w:r w:rsidR="00C81E56" w:rsidRPr="008606C3">
        <w:rPr>
          <w:rFonts w:ascii="Arial" w:eastAsia="Arial" w:hAnsi="Arial" w:cs="Arial"/>
          <w:sz w:val="22"/>
          <w:szCs w:val="22"/>
          <w:highlight w:val="yellow"/>
        </w:rPr>
        <w:t>DOPLN</w:t>
      </w:r>
      <w:r w:rsidRPr="008606C3">
        <w:rPr>
          <w:rFonts w:ascii="Arial" w:eastAsia="Arial" w:hAnsi="Arial" w:cs="Arial"/>
          <w:sz w:val="22"/>
          <w:szCs w:val="22"/>
          <w:highlight w:val="yellow"/>
        </w:rPr>
        <w:t>ĚNO</w:t>
      </w:r>
    </w:p>
    <w:sectPr w:rsidR="009C04DF">
      <w:footerReference w:type="default" r:id="rId8"/>
      <w:pgSz w:w="11906" w:h="16838"/>
      <w:pgMar w:top="1417" w:right="1417" w:bottom="1417" w:left="1417" w:header="0"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5109" w:rsidRDefault="00985109">
      <w:r>
        <w:separator/>
      </w:r>
    </w:p>
  </w:endnote>
  <w:endnote w:type="continuationSeparator" w:id="0">
    <w:p w:rsidR="00985109" w:rsidRDefault="009851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4DF" w:rsidRDefault="00C81E56">
    <w:pPr>
      <w:pStyle w:val="Podtitul"/>
      <w:spacing w:after="708"/>
    </w:pPr>
    <w:r>
      <w:rPr>
        <w:sz w:val="22"/>
        <w:szCs w:val="22"/>
      </w:rPr>
      <w:t xml:space="preserve">Stránka </w:t>
    </w:r>
    <w:r>
      <w:fldChar w:fldCharType="begin"/>
    </w:r>
    <w:r>
      <w:instrText>PAGE</w:instrText>
    </w:r>
    <w:r>
      <w:fldChar w:fldCharType="separate"/>
    </w:r>
    <w:r w:rsidR="008606C3">
      <w:rPr>
        <w:noProof/>
      </w:rPr>
      <w:t>2</w:t>
    </w:r>
    <w:r>
      <w:fldChar w:fldCharType="end"/>
    </w:r>
    <w:r>
      <w:rPr>
        <w:sz w:val="22"/>
        <w:szCs w:val="22"/>
      </w:rPr>
      <w:t xml:space="preserve"> (celkem </w:t>
    </w:r>
    <w:r>
      <w:fldChar w:fldCharType="begin"/>
    </w:r>
    <w:r>
      <w:instrText>NUMPAGES</w:instrText>
    </w:r>
    <w:r>
      <w:fldChar w:fldCharType="separate"/>
    </w:r>
    <w:r w:rsidR="008606C3">
      <w:rPr>
        <w:noProof/>
      </w:rPr>
      <w:t>8</w:t>
    </w:r>
    <w:r>
      <w:fldChar w:fldCharType="end"/>
    </w:r>
    <w:r>
      <w:rPr>
        <w:sz w:val="22"/>
        <w:szCs w:val="22"/>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5109" w:rsidRDefault="00985109">
      <w:r>
        <w:separator/>
      </w:r>
    </w:p>
  </w:footnote>
  <w:footnote w:type="continuationSeparator" w:id="0">
    <w:p w:rsidR="00985109" w:rsidRDefault="00985109">
      <w:r>
        <w:continuationSeparator/>
      </w:r>
    </w:p>
  </w:footnote>
  <w:footnote w:id="1">
    <w:p w:rsidR="009C04DF" w:rsidRDefault="00C81E56">
      <w:pPr>
        <w:rPr>
          <w:rFonts w:ascii="Cambria" w:eastAsia="Cambria" w:hAnsi="Cambria" w:cs="Cambria"/>
          <w:sz w:val="18"/>
          <w:szCs w:val="18"/>
        </w:rPr>
      </w:pPr>
      <w:r>
        <w:rPr>
          <w:vertAlign w:val="superscript"/>
        </w:rPr>
        <w:footnoteRef/>
      </w:r>
      <w:r>
        <w:rPr>
          <w:rFonts w:ascii="Cambria" w:eastAsia="Cambria" w:hAnsi="Cambria" w:cs="Cambria"/>
          <w:sz w:val="18"/>
          <w:szCs w:val="18"/>
        </w:rPr>
        <w:t xml:space="preserve"> </w:t>
      </w:r>
      <w:r>
        <w:rPr>
          <w:rFonts w:ascii="Arial" w:eastAsia="Arial" w:hAnsi="Arial" w:cs="Arial"/>
          <w:sz w:val="16"/>
          <w:szCs w:val="16"/>
        </w:rPr>
        <w:t>Následně pak v rámcovém programu pro výzkum a inovace, který nahradí Horizont 2020 od roku 2021.</w:t>
      </w:r>
    </w:p>
  </w:footnote>
  <w:footnote w:id="2">
    <w:p w:rsidR="009C04DF" w:rsidRDefault="00C81E56">
      <w:pPr>
        <w:rPr>
          <w:sz w:val="20"/>
          <w:szCs w:val="20"/>
        </w:rPr>
      </w:pPr>
      <w:r>
        <w:rPr>
          <w:vertAlign w:val="superscript"/>
        </w:rPr>
        <w:footnoteRef/>
      </w:r>
      <w:r>
        <w:rPr>
          <w:sz w:val="20"/>
          <w:szCs w:val="20"/>
        </w:rPr>
        <w:t xml:space="preserve"> </w:t>
      </w:r>
      <w:r>
        <w:rPr>
          <w:rFonts w:ascii="Cambria" w:eastAsia="Cambria" w:hAnsi="Cambria" w:cs="Cambria"/>
          <w:sz w:val="20"/>
          <w:szCs w:val="20"/>
        </w:rPr>
        <w:t>Statistické údaje jsou platné ke dni 23. 5. 2016 na základě dat z IS VaVaI a portálu MŠMT.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D2BF5"/>
    <w:multiLevelType w:val="multilevel"/>
    <w:tmpl w:val="FEDCDD80"/>
    <w:lvl w:ilvl="0">
      <w:start w:val="1"/>
      <w:numFmt w:val="bullet"/>
      <w:lvlText w:val="●"/>
      <w:lvlJc w:val="left"/>
      <w:pPr>
        <w:ind w:left="720" w:firstLine="4680"/>
      </w:pPr>
      <w:rPr>
        <w:rFonts w:ascii="Arial" w:eastAsia="Arial" w:hAnsi="Arial" w:cs="Arial"/>
        <w:sz w:val="16"/>
        <w:szCs w:val="16"/>
      </w:rPr>
    </w:lvl>
    <w:lvl w:ilvl="1">
      <w:start w:val="1"/>
      <w:numFmt w:val="bullet"/>
      <w:lvlText w:val="o"/>
      <w:lvlJc w:val="left"/>
      <w:pPr>
        <w:ind w:left="1440" w:firstLine="9720"/>
      </w:pPr>
      <w:rPr>
        <w:rFonts w:ascii="Arial" w:eastAsia="Arial" w:hAnsi="Arial" w:cs="Arial"/>
      </w:rPr>
    </w:lvl>
    <w:lvl w:ilvl="2">
      <w:start w:val="1"/>
      <w:numFmt w:val="bullet"/>
      <w:lvlText w:val="▪"/>
      <w:lvlJc w:val="left"/>
      <w:pPr>
        <w:ind w:left="2160" w:firstLine="14760"/>
      </w:pPr>
      <w:rPr>
        <w:rFonts w:ascii="Arial" w:eastAsia="Arial" w:hAnsi="Arial" w:cs="Arial"/>
      </w:rPr>
    </w:lvl>
    <w:lvl w:ilvl="3">
      <w:start w:val="1"/>
      <w:numFmt w:val="bullet"/>
      <w:lvlText w:val="●"/>
      <w:lvlJc w:val="left"/>
      <w:pPr>
        <w:ind w:left="2880" w:firstLine="19800"/>
      </w:pPr>
      <w:rPr>
        <w:rFonts w:ascii="Arial" w:eastAsia="Arial" w:hAnsi="Arial" w:cs="Arial"/>
      </w:rPr>
    </w:lvl>
    <w:lvl w:ilvl="4">
      <w:start w:val="1"/>
      <w:numFmt w:val="bullet"/>
      <w:lvlText w:val="o"/>
      <w:lvlJc w:val="left"/>
      <w:pPr>
        <w:ind w:left="3600" w:firstLine="24840"/>
      </w:pPr>
      <w:rPr>
        <w:rFonts w:ascii="Arial" w:eastAsia="Arial" w:hAnsi="Arial" w:cs="Arial"/>
      </w:rPr>
    </w:lvl>
    <w:lvl w:ilvl="5">
      <w:start w:val="1"/>
      <w:numFmt w:val="bullet"/>
      <w:lvlText w:val="▪"/>
      <w:lvlJc w:val="left"/>
      <w:pPr>
        <w:ind w:left="4320" w:firstLine="29880"/>
      </w:pPr>
      <w:rPr>
        <w:rFonts w:ascii="Arial" w:eastAsia="Arial" w:hAnsi="Arial" w:cs="Arial"/>
      </w:rPr>
    </w:lvl>
    <w:lvl w:ilvl="6">
      <w:start w:val="1"/>
      <w:numFmt w:val="bullet"/>
      <w:lvlText w:val="●"/>
      <w:lvlJc w:val="left"/>
      <w:pPr>
        <w:ind w:left="5040" w:hanging="30616"/>
      </w:pPr>
      <w:rPr>
        <w:rFonts w:ascii="Arial" w:eastAsia="Arial" w:hAnsi="Arial" w:cs="Arial"/>
      </w:rPr>
    </w:lvl>
    <w:lvl w:ilvl="7">
      <w:start w:val="1"/>
      <w:numFmt w:val="bullet"/>
      <w:lvlText w:val="o"/>
      <w:lvlJc w:val="left"/>
      <w:pPr>
        <w:ind w:left="5760" w:hanging="25576"/>
      </w:pPr>
      <w:rPr>
        <w:rFonts w:ascii="Arial" w:eastAsia="Arial" w:hAnsi="Arial" w:cs="Arial"/>
      </w:rPr>
    </w:lvl>
    <w:lvl w:ilvl="8">
      <w:start w:val="1"/>
      <w:numFmt w:val="bullet"/>
      <w:lvlText w:val="▪"/>
      <w:lvlJc w:val="left"/>
      <w:pPr>
        <w:ind w:left="6480" w:hanging="20536"/>
      </w:pPr>
      <w:rPr>
        <w:rFonts w:ascii="Arial" w:eastAsia="Arial" w:hAnsi="Arial" w:cs="Arial"/>
      </w:rPr>
    </w:lvl>
  </w:abstractNum>
  <w:abstractNum w:abstractNumId="1">
    <w:nsid w:val="134D2CBF"/>
    <w:multiLevelType w:val="multilevel"/>
    <w:tmpl w:val="A0B00566"/>
    <w:lvl w:ilvl="0">
      <w:start w:val="1"/>
      <w:numFmt w:val="decimal"/>
      <w:lvlText w:val="%1."/>
      <w:lvlJc w:val="left"/>
      <w:pPr>
        <w:ind w:left="432" w:firstLine="0"/>
      </w:pPr>
    </w:lvl>
    <w:lvl w:ilvl="1">
      <w:start w:val="1"/>
      <w:numFmt w:val="decimal"/>
      <w:lvlText w:val="%1.%2"/>
      <w:lvlJc w:val="left"/>
      <w:pPr>
        <w:ind w:left="576" w:firstLine="0"/>
      </w:pPr>
    </w:lvl>
    <w:lvl w:ilvl="2">
      <w:start w:val="1"/>
      <w:numFmt w:val="decimal"/>
      <w:lvlText w:val="%1.%2.%3"/>
      <w:lvlJc w:val="left"/>
      <w:pPr>
        <w:ind w:left="720" w:firstLine="0"/>
      </w:pPr>
    </w:lvl>
    <w:lvl w:ilvl="3">
      <w:start w:val="1"/>
      <w:numFmt w:val="decimal"/>
      <w:lvlText w:val="%1.%2.%3.%4"/>
      <w:lvlJc w:val="left"/>
      <w:pPr>
        <w:ind w:left="864" w:firstLine="0"/>
      </w:pPr>
    </w:lvl>
    <w:lvl w:ilvl="4">
      <w:start w:val="1"/>
      <w:numFmt w:val="decimal"/>
      <w:lvlText w:val="%1.%2.%3.%4.%5"/>
      <w:lvlJc w:val="left"/>
      <w:pPr>
        <w:ind w:left="1008" w:firstLine="0"/>
      </w:pPr>
    </w:lvl>
    <w:lvl w:ilvl="5">
      <w:start w:val="1"/>
      <w:numFmt w:val="decimal"/>
      <w:lvlText w:val="%1.%2.%3.%4.%5.%6"/>
      <w:lvlJc w:val="left"/>
      <w:pPr>
        <w:ind w:left="1152" w:firstLine="0"/>
      </w:pPr>
    </w:lvl>
    <w:lvl w:ilvl="6">
      <w:start w:val="1"/>
      <w:numFmt w:val="decimal"/>
      <w:lvlText w:val="%1.%2.%3.%4.%5.%6.%7"/>
      <w:lvlJc w:val="left"/>
      <w:pPr>
        <w:ind w:left="1296" w:firstLine="0"/>
      </w:pPr>
    </w:lvl>
    <w:lvl w:ilvl="7">
      <w:start w:val="1"/>
      <w:numFmt w:val="decimal"/>
      <w:lvlText w:val="%1.%2.%3.%4.%5.%6.%7.%8"/>
      <w:lvlJc w:val="left"/>
      <w:pPr>
        <w:ind w:left="1440" w:firstLine="0"/>
      </w:pPr>
    </w:lvl>
    <w:lvl w:ilvl="8">
      <w:start w:val="1"/>
      <w:numFmt w:val="decimal"/>
      <w:lvlText w:val="%1.%2.%3.%4.%5.%6.%7.%8.%9"/>
      <w:lvlJc w:val="left"/>
      <w:pPr>
        <w:ind w:left="1584" w:firstLine="0"/>
      </w:pPr>
    </w:lvl>
  </w:abstractNum>
  <w:abstractNum w:abstractNumId="2">
    <w:nsid w:val="4AA90603"/>
    <w:multiLevelType w:val="multilevel"/>
    <w:tmpl w:val="A5A4FC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nsid w:val="4E3B69B9"/>
    <w:multiLevelType w:val="multilevel"/>
    <w:tmpl w:val="3998E3C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nsid w:val="5E91302D"/>
    <w:multiLevelType w:val="multilevel"/>
    <w:tmpl w:val="E1ECA892"/>
    <w:lvl w:ilvl="0">
      <w:start w:val="1"/>
      <w:numFmt w:val="bullet"/>
      <w:lvlText w:val="●"/>
      <w:lvlJc w:val="left"/>
      <w:pPr>
        <w:ind w:left="720" w:firstLine="4680"/>
      </w:pPr>
      <w:rPr>
        <w:rFonts w:ascii="Arial" w:eastAsia="Arial" w:hAnsi="Arial" w:cs="Arial"/>
        <w:sz w:val="16"/>
        <w:szCs w:val="16"/>
      </w:rPr>
    </w:lvl>
    <w:lvl w:ilvl="1">
      <w:start w:val="1"/>
      <w:numFmt w:val="bullet"/>
      <w:lvlText w:val="o"/>
      <w:lvlJc w:val="left"/>
      <w:pPr>
        <w:ind w:left="1440" w:firstLine="9720"/>
      </w:pPr>
      <w:rPr>
        <w:rFonts w:ascii="Arial" w:eastAsia="Arial" w:hAnsi="Arial" w:cs="Arial"/>
      </w:rPr>
    </w:lvl>
    <w:lvl w:ilvl="2">
      <w:start w:val="1"/>
      <w:numFmt w:val="bullet"/>
      <w:lvlText w:val="▪"/>
      <w:lvlJc w:val="left"/>
      <w:pPr>
        <w:ind w:left="2160" w:firstLine="14760"/>
      </w:pPr>
      <w:rPr>
        <w:rFonts w:ascii="Arial" w:eastAsia="Arial" w:hAnsi="Arial" w:cs="Arial"/>
      </w:rPr>
    </w:lvl>
    <w:lvl w:ilvl="3">
      <w:start w:val="1"/>
      <w:numFmt w:val="bullet"/>
      <w:lvlText w:val="●"/>
      <w:lvlJc w:val="left"/>
      <w:pPr>
        <w:ind w:left="2880" w:firstLine="19800"/>
      </w:pPr>
      <w:rPr>
        <w:rFonts w:ascii="Arial" w:eastAsia="Arial" w:hAnsi="Arial" w:cs="Arial"/>
      </w:rPr>
    </w:lvl>
    <w:lvl w:ilvl="4">
      <w:start w:val="1"/>
      <w:numFmt w:val="bullet"/>
      <w:lvlText w:val="o"/>
      <w:lvlJc w:val="left"/>
      <w:pPr>
        <w:ind w:left="3600" w:firstLine="24840"/>
      </w:pPr>
      <w:rPr>
        <w:rFonts w:ascii="Arial" w:eastAsia="Arial" w:hAnsi="Arial" w:cs="Arial"/>
      </w:rPr>
    </w:lvl>
    <w:lvl w:ilvl="5">
      <w:start w:val="1"/>
      <w:numFmt w:val="bullet"/>
      <w:lvlText w:val="▪"/>
      <w:lvlJc w:val="left"/>
      <w:pPr>
        <w:ind w:left="4320" w:firstLine="29880"/>
      </w:pPr>
      <w:rPr>
        <w:rFonts w:ascii="Arial" w:eastAsia="Arial" w:hAnsi="Arial" w:cs="Arial"/>
      </w:rPr>
    </w:lvl>
    <w:lvl w:ilvl="6">
      <w:start w:val="1"/>
      <w:numFmt w:val="bullet"/>
      <w:lvlText w:val="●"/>
      <w:lvlJc w:val="left"/>
      <w:pPr>
        <w:ind w:left="5040" w:hanging="30616"/>
      </w:pPr>
      <w:rPr>
        <w:rFonts w:ascii="Arial" w:eastAsia="Arial" w:hAnsi="Arial" w:cs="Arial"/>
      </w:rPr>
    </w:lvl>
    <w:lvl w:ilvl="7">
      <w:start w:val="1"/>
      <w:numFmt w:val="bullet"/>
      <w:lvlText w:val="o"/>
      <w:lvlJc w:val="left"/>
      <w:pPr>
        <w:ind w:left="5760" w:hanging="25576"/>
      </w:pPr>
      <w:rPr>
        <w:rFonts w:ascii="Arial" w:eastAsia="Arial" w:hAnsi="Arial" w:cs="Arial"/>
      </w:rPr>
    </w:lvl>
    <w:lvl w:ilvl="8">
      <w:start w:val="1"/>
      <w:numFmt w:val="bullet"/>
      <w:lvlText w:val="▪"/>
      <w:lvlJc w:val="left"/>
      <w:pPr>
        <w:ind w:left="6480" w:hanging="20536"/>
      </w:pPr>
      <w:rPr>
        <w:rFonts w:ascii="Arial" w:eastAsia="Arial" w:hAnsi="Arial" w:cs="Arial"/>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9C04DF"/>
    <w:rsid w:val="000E5AF9"/>
    <w:rsid w:val="001B3709"/>
    <w:rsid w:val="00202F96"/>
    <w:rsid w:val="00340AB8"/>
    <w:rsid w:val="0036175A"/>
    <w:rsid w:val="00363D10"/>
    <w:rsid w:val="00552ABF"/>
    <w:rsid w:val="005B65AA"/>
    <w:rsid w:val="00691F33"/>
    <w:rsid w:val="008606C3"/>
    <w:rsid w:val="00883658"/>
    <w:rsid w:val="0095286C"/>
    <w:rsid w:val="00985109"/>
    <w:rsid w:val="009C04DF"/>
    <w:rsid w:val="00A724E1"/>
    <w:rsid w:val="00B81ABF"/>
    <w:rsid w:val="00C61F91"/>
    <w:rsid w:val="00C81E56"/>
    <w:rsid w:val="00DC5239"/>
    <w:rsid w:val="00EA4D80"/>
    <w:rsid w:val="00F274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szCs w:val="24"/>
        <w:lang w:val="cs-CZ" w:eastAsia="cs-CZ"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keepNext/>
      <w:keepLines/>
      <w:spacing w:before="360" w:after="120" w:line="276" w:lineRule="auto"/>
      <w:ind w:left="431" w:hanging="431"/>
      <w:outlineLvl w:val="0"/>
    </w:pPr>
    <w:rPr>
      <w:rFonts w:ascii="Calibri" w:eastAsia="Calibri" w:hAnsi="Calibri" w:cs="Calibri"/>
      <w:sz w:val="22"/>
      <w:szCs w:val="22"/>
    </w:rPr>
  </w:style>
  <w:style w:type="paragraph" w:styleId="Nadpis2">
    <w:name w:val="heading 2"/>
    <w:basedOn w:val="Normln"/>
    <w:next w:val="Normln"/>
    <w:pPr>
      <w:keepNext/>
      <w:keepLines/>
      <w:spacing w:before="480" w:after="80" w:line="276" w:lineRule="auto"/>
      <w:ind w:left="578" w:hanging="578"/>
      <w:outlineLvl w:val="1"/>
    </w:pPr>
    <w:rPr>
      <w:rFonts w:ascii="Arial" w:eastAsia="Arial" w:hAnsi="Arial" w:cs="Arial"/>
      <w:b/>
      <w:sz w:val="22"/>
      <w:szCs w:val="22"/>
    </w:rPr>
  </w:style>
  <w:style w:type="paragraph" w:styleId="Nadpis3">
    <w:name w:val="heading 3"/>
    <w:basedOn w:val="Normln"/>
    <w:next w:val="Normln"/>
    <w:pPr>
      <w:keepNext/>
      <w:keepLines/>
      <w:spacing w:before="280" w:after="80" w:line="276" w:lineRule="auto"/>
      <w:ind w:left="720" w:hanging="720"/>
      <w:outlineLvl w:val="2"/>
    </w:pPr>
    <w:rPr>
      <w:rFonts w:ascii="Calibri" w:eastAsia="Calibri" w:hAnsi="Calibri" w:cs="Calibri"/>
      <w:b/>
      <w:sz w:val="28"/>
      <w:szCs w:val="28"/>
    </w:rPr>
  </w:style>
  <w:style w:type="paragraph" w:styleId="Nadpis4">
    <w:name w:val="heading 4"/>
    <w:basedOn w:val="Normln"/>
    <w:next w:val="Normln"/>
    <w:pPr>
      <w:keepNext/>
      <w:keepLines/>
      <w:spacing w:before="240" w:after="40" w:line="276" w:lineRule="auto"/>
      <w:ind w:left="864" w:hanging="864"/>
      <w:outlineLvl w:val="3"/>
    </w:pPr>
    <w:rPr>
      <w:rFonts w:ascii="Calibri" w:eastAsia="Calibri" w:hAnsi="Calibri" w:cs="Calibri"/>
      <w:b/>
    </w:rPr>
  </w:style>
  <w:style w:type="paragraph" w:styleId="Nadpis5">
    <w:name w:val="heading 5"/>
    <w:basedOn w:val="Normln"/>
    <w:next w:val="Normln"/>
    <w:pPr>
      <w:keepNext/>
      <w:keepLines/>
      <w:spacing w:before="220" w:after="40" w:line="276" w:lineRule="auto"/>
      <w:ind w:left="1008" w:hanging="1008"/>
      <w:outlineLvl w:val="4"/>
    </w:pPr>
    <w:rPr>
      <w:rFonts w:ascii="Calibri" w:eastAsia="Calibri" w:hAnsi="Calibri" w:cs="Calibri"/>
      <w:b/>
      <w:sz w:val="22"/>
      <w:szCs w:val="22"/>
    </w:rPr>
  </w:style>
  <w:style w:type="paragraph" w:styleId="Nadpis6">
    <w:name w:val="heading 6"/>
    <w:basedOn w:val="Normln"/>
    <w:next w:val="Normln"/>
    <w:pPr>
      <w:keepNext/>
      <w:keepLines/>
      <w:spacing w:before="200" w:after="40" w:line="276" w:lineRule="auto"/>
      <w:ind w:left="1152" w:hanging="1152"/>
      <w:outlineLvl w:val="5"/>
    </w:pPr>
    <w:rPr>
      <w:rFonts w:ascii="Calibri" w:eastAsia="Calibri" w:hAnsi="Calibri" w:cs="Calibri"/>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line="276" w:lineRule="auto"/>
    </w:pPr>
    <w:rPr>
      <w:rFonts w:ascii="Calibri" w:eastAsia="Calibri" w:hAnsi="Calibri" w:cs="Calibri"/>
      <w:b/>
      <w:sz w:val="72"/>
      <w:szCs w:val="72"/>
    </w:rPr>
  </w:style>
  <w:style w:type="paragraph" w:styleId="Podtitul">
    <w:name w:val="Subtitle"/>
    <w:basedOn w:val="Normln"/>
    <w:next w:val="Normln"/>
    <w:pPr>
      <w:keepNext/>
      <w:keepLines/>
      <w:spacing w:after="60"/>
      <w:jc w:val="center"/>
    </w:pPr>
    <w:rPr>
      <w:rFonts w:ascii="Cambria" w:eastAsia="Cambria" w:hAnsi="Cambria" w:cs="Cambria"/>
      <w:i/>
      <w:color w:val="666666"/>
    </w:rPr>
  </w:style>
  <w:style w:type="table" w:customStyle="1" w:styleId="a">
    <w:basedOn w:val="TableNormal"/>
    <w:pPr>
      <w:contextualSpacing/>
    </w:pPr>
    <w:tblPr>
      <w:tblStyleRowBandSize w:val="1"/>
      <w:tblStyleColBandSize w:val="1"/>
      <w:tblCellMar>
        <w:top w:w="0" w:type="dxa"/>
        <w:left w:w="115" w:type="dxa"/>
        <w:bottom w:w="0"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0">
    <w:basedOn w:val="TableNormal"/>
    <w:pPr>
      <w:contextualSpacing/>
    </w:pPr>
    <w:tblPr>
      <w:tblStyleRowBandSize w:val="1"/>
      <w:tblStyleColBandSize w:val="1"/>
      <w:tblCellMar>
        <w:top w:w="0" w:type="dxa"/>
        <w:left w:w="28" w:type="dxa"/>
        <w:bottom w:w="0" w:type="dxa"/>
        <w:right w:w="28"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1">
    <w:basedOn w:val="TableNormal"/>
    <w:tblPr>
      <w:tblStyleRowBandSize w:val="1"/>
      <w:tblStyleColBandSize w:val="1"/>
      <w:tblCellMar>
        <w:top w:w="15" w:type="dxa"/>
        <w:left w:w="15" w:type="dxa"/>
        <w:bottom w:w="15" w:type="dxa"/>
        <w:right w:w="15" w:type="dxa"/>
      </w:tblCellMar>
    </w:tblPr>
  </w:style>
  <w:style w:type="paragraph" w:styleId="Textkomente">
    <w:name w:val="annotation text"/>
    <w:basedOn w:val="Normln"/>
    <w:link w:val="TextkomenteChar"/>
    <w:uiPriority w:val="99"/>
    <w:semiHidden/>
    <w:unhideWhenUsed/>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340AB8"/>
    <w:rPr>
      <w:rFonts w:ascii="Tahoma" w:hAnsi="Tahoma" w:cs="Tahoma"/>
      <w:sz w:val="16"/>
      <w:szCs w:val="16"/>
    </w:rPr>
  </w:style>
  <w:style w:type="character" w:customStyle="1" w:styleId="TextbublinyChar">
    <w:name w:val="Text bubliny Char"/>
    <w:basedOn w:val="Standardnpsmoodstavce"/>
    <w:link w:val="Textbubliny"/>
    <w:uiPriority w:val="99"/>
    <w:semiHidden/>
    <w:rsid w:val="00340AB8"/>
    <w:rPr>
      <w:rFonts w:ascii="Tahoma" w:hAnsi="Tahoma" w:cs="Tahoma"/>
      <w:sz w:val="16"/>
      <w:szCs w:val="16"/>
    </w:rPr>
  </w:style>
  <w:style w:type="paragraph" w:styleId="Revize">
    <w:name w:val="Revision"/>
    <w:hidden/>
    <w:uiPriority w:val="99"/>
    <w:semiHidden/>
    <w:rsid w:val="00552ABF"/>
    <w:pPr>
      <w:widowControl/>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szCs w:val="24"/>
        <w:lang w:val="cs-CZ" w:eastAsia="cs-CZ"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keepNext/>
      <w:keepLines/>
      <w:spacing w:before="360" w:after="120" w:line="276" w:lineRule="auto"/>
      <w:ind w:left="431" w:hanging="431"/>
      <w:outlineLvl w:val="0"/>
    </w:pPr>
    <w:rPr>
      <w:rFonts w:ascii="Calibri" w:eastAsia="Calibri" w:hAnsi="Calibri" w:cs="Calibri"/>
      <w:sz w:val="22"/>
      <w:szCs w:val="22"/>
    </w:rPr>
  </w:style>
  <w:style w:type="paragraph" w:styleId="Nadpis2">
    <w:name w:val="heading 2"/>
    <w:basedOn w:val="Normln"/>
    <w:next w:val="Normln"/>
    <w:pPr>
      <w:keepNext/>
      <w:keepLines/>
      <w:spacing w:before="480" w:after="80" w:line="276" w:lineRule="auto"/>
      <w:ind w:left="578" w:hanging="578"/>
      <w:outlineLvl w:val="1"/>
    </w:pPr>
    <w:rPr>
      <w:rFonts w:ascii="Arial" w:eastAsia="Arial" w:hAnsi="Arial" w:cs="Arial"/>
      <w:b/>
      <w:sz w:val="22"/>
      <w:szCs w:val="22"/>
    </w:rPr>
  </w:style>
  <w:style w:type="paragraph" w:styleId="Nadpis3">
    <w:name w:val="heading 3"/>
    <w:basedOn w:val="Normln"/>
    <w:next w:val="Normln"/>
    <w:pPr>
      <w:keepNext/>
      <w:keepLines/>
      <w:spacing w:before="280" w:after="80" w:line="276" w:lineRule="auto"/>
      <w:ind w:left="720" w:hanging="720"/>
      <w:outlineLvl w:val="2"/>
    </w:pPr>
    <w:rPr>
      <w:rFonts w:ascii="Calibri" w:eastAsia="Calibri" w:hAnsi="Calibri" w:cs="Calibri"/>
      <w:b/>
      <w:sz w:val="28"/>
      <w:szCs w:val="28"/>
    </w:rPr>
  </w:style>
  <w:style w:type="paragraph" w:styleId="Nadpis4">
    <w:name w:val="heading 4"/>
    <w:basedOn w:val="Normln"/>
    <w:next w:val="Normln"/>
    <w:pPr>
      <w:keepNext/>
      <w:keepLines/>
      <w:spacing w:before="240" w:after="40" w:line="276" w:lineRule="auto"/>
      <w:ind w:left="864" w:hanging="864"/>
      <w:outlineLvl w:val="3"/>
    </w:pPr>
    <w:rPr>
      <w:rFonts w:ascii="Calibri" w:eastAsia="Calibri" w:hAnsi="Calibri" w:cs="Calibri"/>
      <w:b/>
    </w:rPr>
  </w:style>
  <w:style w:type="paragraph" w:styleId="Nadpis5">
    <w:name w:val="heading 5"/>
    <w:basedOn w:val="Normln"/>
    <w:next w:val="Normln"/>
    <w:pPr>
      <w:keepNext/>
      <w:keepLines/>
      <w:spacing w:before="220" w:after="40" w:line="276" w:lineRule="auto"/>
      <w:ind w:left="1008" w:hanging="1008"/>
      <w:outlineLvl w:val="4"/>
    </w:pPr>
    <w:rPr>
      <w:rFonts w:ascii="Calibri" w:eastAsia="Calibri" w:hAnsi="Calibri" w:cs="Calibri"/>
      <w:b/>
      <w:sz w:val="22"/>
      <w:szCs w:val="22"/>
    </w:rPr>
  </w:style>
  <w:style w:type="paragraph" w:styleId="Nadpis6">
    <w:name w:val="heading 6"/>
    <w:basedOn w:val="Normln"/>
    <w:next w:val="Normln"/>
    <w:pPr>
      <w:keepNext/>
      <w:keepLines/>
      <w:spacing w:before="200" w:after="40" w:line="276" w:lineRule="auto"/>
      <w:ind w:left="1152" w:hanging="1152"/>
      <w:outlineLvl w:val="5"/>
    </w:pPr>
    <w:rPr>
      <w:rFonts w:ascii="Calibri" w:eastAsia="Calibri" w:hAnsi="Calibri" w:cs="Calibri"/>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line="276" w:lineRule="auto"/>
    </w:pPr>
    <w:rPr>
      <w:rFonts w:ascii="Calibri" w:eastAsia="Calibri" w:hAnsi="Calibri" w:cs="Calibri"/>
      <w:b/>
      <w:sz w:val="72"/>
      <w:szCs w:val="72"/>
    </w:rPr>
  </w:style>
  <w:style w:type="paragraph" w:styleId="Podtitul">
    <w:name w:val="Subtitle"/>
    <w:basedOn w:val="Normln"/>
    <w:next w:val="Normln"/>
    <w:pPr>
      <w:keepNext/>
      <w:keepLines/>
      <w:spacing w:after="60"/>
      <w:jc w:val="center"/>
    </w:pPr>
    <w:rPr>
      <w:rFonts w:ascii="Cambria" w:eastAsia="Cambria" w:hAnsi="Cambria" w:cs="Cambria"/>
      <w:i/>
      <w:color w:val="666666"/>
    </w:rPr>
  </w:style>
  <w:style w:type="table" w:customStyle="1" w:styleId="a">
    <w:basedOn w:val="TableNormal"/>
    <w:pPr>
      <w:contextualSpacing/>
    </w:pPr>
    <w:tblPr>
      <w:tblStyleRowBandSize w:val="1"/>
      <w:tblStyleColBandSize w:val="1"/>
      <w:tblCellMar>
        <w:top w:w="0" w:type="dxa"/>
        <w:left w:w="115" w:type="dxa"/>
        <w:bottom w:w="0"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0">
    <w:basedOn w:val="TableNormal"/>
    <w:pPr>
      <w:contextualSpacing/>
    </w:pPr>
    <w:tblPr>
      <w:tblStyleRowBandSize w:val="1"/>
      <w:tblStyleColBandSize w:val="1"/>
      <w:tblCellMar>
        <w:top w:w="0" w:type="dxa"/>
        <w:left w:w="28" w:type="dxa"/>
        <w:bottom w:w="0" w:type="dxa"/>
        <w:right w:w="28"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1">
    <w:basedOn w:val="TableNormal"/>
    <w:tblPr>
      <w:tblStyleRowBandSize w:val="1"/>
      <w:tblStyleColBandSize w:val="1"/>
      <w:tblCellMar>
        <w:top w:w="15" w:type="dxa"/>
        <w:left w:w="15" w:type="dxa"/>
        <w:bottom w:w="15" w:type="dxa"/>
        <w:right w:w="15" w:type="dxa"/>
      </w:tblCellMar>
    </w:tblPr>
  </w:style>
  <w:style w:type="paragraph" w:styleId="Textkomente">
    <w:name w:val="annotation text"/>
    <w:basedOn w:val="Normln"/>
    <w:link w:val="TextkomenteChar"/>
    <w:uiPriority w:val="99"/>
    <w:semiHidden/>
    <w:unhideWhenUsed/>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340AB8"/>
    <w:rPr>
      <w:rFonts w:ascii="Tahoma" w:hAnsi="Tahoma" w:cs="Tahoma"/>
      <w:sz w:val="16"/>
      <w:szCs w:val="16"/>
    </w:rPr>
  </w:style>
  <w:style w:type="character" w:customStyle="1" w:styleId="TextbublinyChar">
    <w:name w:val="Text bubliny Char"/>
    <w:basedOn w:val="Standardnpsmoodstavce"/>
    <w:link w:val="Textbubliny"/>
    <w:uiPriority w:val="99"/>
    <w:semiHidden/>
    <w:rsid w:val="00340AB8"/>
    <w:rPr>
      <w:rFonts w:ascii="Tahoma" w:hAnsi="Tahoma" w:cs="Tahoma"/>
      <w:sz w:val="16"/>
      <w:szCs w:val="16"/>
    </w:rPr>
  </w:style>
  <w:style w:type="paragraph" w:styleId="Revize">
    <w:name w:val="Revision"/>
    <w:hidden/>
    <w:uiPriority w:val="99"/>
    <w:semiHidden/>
    <w:rsid w:val="00552ABF"/>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TotalTime>
  <Pages>8</Pages>
  <Words>3202</Words>
  <Characters>18896</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Lukáš Kačena</cp:lastModifiedBy>
  <cp:revision>10</cp:revision>
  <dcterms:created xsi:type="dcterms:W3CDTF">2017-03-06T21:18:00Z</dcterms:created>
  <dcterms:modified xsi:type="dcterms:W3CDTF">2017-03-20T11:47:00Z</dcterms:modified>
</cp:coreProperties>
</file>