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E56D35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3841F6">
        <w:rPr>
          <w:rFonts w:ascii="Arial" w:hAnsi="Arial" w:cs="Arial"/>
          <w:b/>
          <w:color w:val="0070C0"/>
          <w:sz w:val="28"/>
          <w:szCs w:val="28"/>
        </w:rPr>
        <w:t>duben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ED247B">
        <w:rPr>
          <w:rFonts w:ascii="Arial" w:hAnsi="Arial" w:cs="Arial"/>
          <w:b/>
          <w:color w:val="0070C0"/>
          <w:sz w:val="28"/>
          <w:szCs w:val="28"/>
        </w:rPr>
        <w:t>2017</w:t>
      </w:r>
      <w:r w:rsidRPr="00E56D35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1E65F9" w:rsidRPr="001E65F9" w:rsidRDefault="00A10B1D" w:rsidP="001E65F9">
      <w:pPr>
        <w:pStyle w:val="Nadpis1"/>
        <w:shd w:val="clear" w:color="auto" w:fill="FFFFFF"/>
        <w:spacing w:before="0" w:line="276" w:lineRule="auto"/>
        <w:rPr>
          <w:rFonts w:asciiTheme="minorBidi" w:hAnsiTheme="minorBidi" w:cstheme="minorBidi"/>
          <w:bCs w:val="0"/>
          <w:color w:val="0070C0"/>
          <w:sz w:val="22"/>
          <w:szCs w:val="22"/>
        </w:rPr>
      </w:pPr>
      <w:r w:rsidRPr="001E65F9">
        <w:rPr>
          <w:rFonts w:asciiTheme="minorBidi" w:hAnsiTheme="minorBidi" w:cstheme="minorBidi"/>
          <w:bCs w:val="0"/>
          <w:color w:val="0070C0"/>
          <w:sz w:val="22"/>
          <w:szCs w:val="22"/>
        </w:rPr>
        <w:t>Průmyslová výroba v eurozóně v únoru překvapivě klesla</w:t>
      </w:r>
    </w:p>
    <w:p w:rsidR="00A10B1D" w:rsidRPr="001E65F9" w:rsidRDefault="00A10B1D" w:rsidP="001E65F9">
      <w:pPr>
        <w:pStyle w:val="Nadpis1"/>
        <w:shd w:val="clear" w:color="auto" w:fill="FFFFFF"/>
        <w:spacing w:before="0" w:after="240" w:line="276" w:lineRule="auto"/>
        <w:rPr>
          <w:rFonts w:asciiTheme="minorBidi" w:eastAsia="Times New Roman" w:hAnsiTheme="minorBidi" w:cstheme="minorBidi"/>
          <w:b w:val="0"/>
          <w:bCs w:val="0"/>
          <w:color w:val="auto"/>
          <w:sz w:val="22"/>
          <w:szCs w:val="22"/>
        </w:rPr>
      </w:pPr>
      <w:r w:rsidRPr="001E65F9">
        <w:rPr>
          <w:rFonts w:asciiTheme="minorBidi" w:eastAsia="Times New Roman" w:hAnsiTheme="minorBidi" w:cstheme="minorBidi"/>
          <w:b w:val="0"/>
          <w:bCs w:val="0"/>
          <w:color w:val="auto"/>
          <w:sz w:val="22"/>
          <w:szCs w:val="22"/>
        </w:rPr>
        <w:t>(zdroj: Euroskop.cz)</w:t>
      </w:r>
    </w:p>
    <w:p w:rsidR="00A10B1D" w:rsidRPr="001E65F9" w:rsidRDefault="00A10B1D" w:rsidP="001E65F9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 xml:space="preserve">Průmyslová výroba v eurozóně v únoru překvapivě klesla o 0,3 procenta, zejména kvůli výrazně nižší produkci energie. Vyplývá to z dnešních údajů statistického úřadu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Eurostat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>. Analytici v anketě agentury Reuters v průměru očekávali, že výroba se proti předchozímu měsíci o 0,1 procenta zvýší.</w:t>
      </w:r>
    </w:p>
    <w:p w:rsidR="00A10B1D" w:rsidRPr="001E65F9" w:rsidRDefault="00A10B1D" w:rsidP="001E65F9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>Produkce energie se propadla o 4,7 procenta, což zřejmě odráží mírné počasí. Výroba zboží krátkodobé spotřeby klesla o 1,1 procenta, zatímco produkce zboží dlouhodobé spotřeby stagnovala.</w:t>
      </w:r>
      <w:r w:rsid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Eurostat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navíc uvedl, že v lednu se průmyslová produkce v eurozóně zvýšila pouze o 0,3 procenta, místo původně ohlášeného nárůstu o 0,9 procenta. Slabé údaje z průmyslu kontrastují s příznivým vývojem nálady v podnikatelském sektoru a mezi investory.</w:t>
      </w:r>
    </w:p>
    <w:p w:rsidR="003702C5" w:rsidRPr="001E65F9" w:rsidRDefault="00A10B1D" w:rsidP="001E65F9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 xml:space="preserve">Podle průzkumu, který mezi nákupními manažery provedla společnost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Markit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, zažily podniky v eurozóně začátkem letošního roku nejlepší čtvrtletí za posledních šest let. Důvěra investorů v ekonomiku eurozóny se podle průzkumu společnosti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Sentix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v dubnu dostala na</w:t>
      </w:r>
      <w:r w:rsidR="0013359E">
        <w:rPr>
          <w:rFonts w:asciiTheme="minorBidi" w:hAnsiTheme="minorBidi" w:cstheme="minorBidi"/>
          <w:sz w:val="22"/>
          <w:szCs w:val="22"/>
        </w:rPr>
        <w:t> </w:t>
      </w:r>
      <w:r w:rsidRPr="001E65F9">
        <w:rPr>
          <w:rFonts w:asciiTheme="minorBidi" w:hAnsiTheme="minorBidi" w:cstheme="minorBidi"/>
          <w:sz w:val="22"/>
          <w:szCs w:val="22"/>
        </w:rPr>
        <w:t>novou nejvyšší úroveň za téměř deset let.</w:t>
      </w:r>
    </w:p>
    <w:p w:rsidR="003841F6" w:rsidRPr="001E65F9" w:rsidRDefault="003841F6" w:rsidP="001E65F9">
      <w:pPr>
        <w:pStyle w:val="Nadpis1"/>
        <w:spacing w:before="0" w:line="276" w:lineRule="auto"/>
        <w:rPr>
          <w:rFonts w:asciiTheme="minorBidi" w:hAnsiTheme="minorBidi" w:cstheme="minorBidi"/>
          <w:bCs w:val="0"/>
          <w:color w:val="0070C0"/>
          <w:sz w:val="22"/>
          <w:szCs w:val="22"/>
        </w:rPr>
      </w:pPr>
      <w:r w:rsidRPr="001E65F9">
        <w:rPr>
          <w:rFonts w:asciiTheme="minorBidi" w:hAnsiTheme="minorBidi" w:cstheme="minorBidi"/>
          <w:bCs w:val="0"/>
          <w:color w:val="0070C0"/>
          <w:sz w:val="22"/>
          <w:szCs w:val="22"/>
        </w:rPr>
        <w:t xml:space="preserve">Závěrečná zpráva o podpůrných programech státní podpory pro </w:t>
      </w:r>
      <w:proofErr w:type="spellStart"/>
      <w:r w:rsidRPr="001E65F9">
        <w:rPr>
          <w:rFonts w:asciiTheme="minorBidi" w:hAnsiTheme="minorBidi" w:cstheme="minorBidi"/>
          <w:bCs w:val="0"/>
          <w:color w:val="0070C0"/>
          <w:sz w:val="22"/>
          <w:szCs w:val="22"/>
        </w:rPr>
        <w:t>VaVaI</w:t>
      </w:r>
      <w:proofErr w:type="spellEnd"/>
    </w:p>
    <w:p w:rsidR="003841F6" w:rsidRPr="001E65F9" w:rsidRDefault="003841F6" w:rsidP="001E65F9">
      <w:pPr>
        <w:shd w:val="clear" w:color="auto" w:fill="FFFFFF"/>
        <w:spacing w:after="240" w:line="276" w:lineRule="auto"/>
        <w:jc w:val="both"/>
        <w:rPr>
          <w:rStyle w:val="Datum8"/>
          <w:rFonts w:asciiTheme="minorBidi" w:eastAsia="Calibri" w:hAnsiTheme="minorBidi" w:cstheme="minorBidi"/>
          <w:b/>
          <w:iCs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>(zdroj: web CZELO)</w:t>
      </w:r>
    </w:p>
    <w:p w:rsidR="003702C5" w:rsidRPr="001E65F9" w:rsidRDefault="003841F6" w:rsidP="001E65F9">
      <w:pPr>
        <w:pStyle w:val="Normlnweb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 xml:space="preserve">Evropská komise (DG RTD) zveřejnila závěrečnou zprávu o podpůrných programech státní podpory pro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VaVaI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(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State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aid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support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schemes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for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RDI in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the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EU's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international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competitors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in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the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fields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of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Science,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Research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and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Innovation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). Studie se zaměřuje na komparaci veřejné podpory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VaVaI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v EU a v devíti nečlenských zemích (Austrálie, Brazílie, Kanada, Čína, Indie, Japonsko, Rusko, Jižní Korea a USA), případové studie týkající se investic evropských společností do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VaVaI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mimo EU a mimoevropských společností v EU, jakož i komplexní přezkum pravidel státní podpory EU v období od 2008 do 2015. Studie dochází k závěru, že</w:t>
      </w:r>
      <w:r w:rsidR="0013359E">
        <w:rPr>
          <w:rFonts w:asciiTheme="minorBidi" w:hAnsiTheme="minorBidi" w:cstheme="minorBidi"/>
          <w:sz w:val="22"/>
          <w:szCs w:val="22"/>
        </w:rPr>
        <w:t> </w:t>
      </w:r>
      <w:r w:rsidRPr="001E65F9">
        <w:rPr>
          <w:rFonts w:asciiTheme="minorBidi" w:hAnsiTheme="minorBidi" w:cstheme="minorBidi"/>
          <w:sz w:val="22"/>
          <w:szCs w:val="22"/>
        </w:rPr>
        <w:t xml:space="preserve">současná pravidla státní podpory EU pro podporu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VaVaI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jsou příliš omezující a neberou dostatečně v úvahu zvláštní povahu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VaVaI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. Na základě těchto zjištění je ve zprávě uvedeno několik doporučení. </w:t>
      </w:r>
    </w:p>
    <w:p w:rsidR="003841F6" w:rsidRPr="001E65F9" w:rsidRDefault="003841F6" w:rsidP="001E65F9">
      <w:pPr>
        <w:pStyle w:val="Nadpis1"/>
        <w:spacing w:before="0" w:line="276" w:lineRule="auto"/>
        <w:jc w:val="both"/>
        <w:rPr>
          <w:rFonts w:asciiTheme="minorBidi" w:hAnsiTheme="minorBidi" w:cstheme="minorBidi"/>
          <w:bCs w:val="0"/>
          <w:color w:val="0070C0"/>
          <w:sz w:val="22"/>
          <w:szCs w:val="22"/>
        </w:rPr>
      </w:pPr>
      <w:r w:rsidRPr="001E65F9">
        <w:rPr>
          <w:rFonts w:asciiTheme="minorBidi" w:hAnsiTheme="minorBidi" w:cstheme="minorBidi"/>
          <w:bCs w:val="0"/>
          <w:color w:val="0070C0"/>
          <w:sz w:val="22"/>
          <w:szCs w:val="22"/>
        </w:rPr>
        <w:t>EP schválil dodatečných 200 milionů eur pro Horizont 2020</w:t>
      </w:r>
    </w:p>
    <w:p w:rsidR="003841F6" w:rsidRPr="001E65F9" w:rsidRDefault="003841F6" w:rsidP="001E65F9">
      <w:pPr>
        <w:shd w:val="clear" w:color="auto" w:fill="FFFFFF"/>
        <w:spacing w:after="240" w:line="276" w:lineRule="auto"/>
        <w:jc w:val="both"/>
        <w:rPr>
          <w:rFonts w:asciiTheme="minorBidi" w:eastAsia="Calibri" w:hAnsiTheme="minorBidi" w:cstheme="minorBidi"/>
          <w:b/>
          <w:iCs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>(zdroj: web CZELO)</w:t>
      </w:r>
    </w:p>
    <w:p w:rsidR="003702C5" w:rsidRPr="001E65F9" w:rsidRDefault="003841F6" w:rsidP="001E65F9">
      <w:pPr>
        <w:pStyle w:val="Normlnweb"/>
        <w:spacing w:before="0" w:beforeAutospacing="0" w:after="150" w:line="276" w:lineRule="auto"/>
        <w:jc w:val="both"/>
        <w:rPr>
          <w:rStyle w:val="apple-converted-space"/>
          <w:rFonts w:asciiTheme="minorBidi" w:hAnsiTheme="minorBidi" w:cstheme="minorBidi"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>Evropský parlament schválil dodatečných 200 milionů eur pro program Horizont 2020 během dubnového plenárního zasedání ve Štrasburku. Rozhodnutí vejde v platnost po finálním souhlasu Rady EU, který se očekává v nejbližších týdnech. Dodatečné finance pro Horizont 2020 jsou součástí prostředků ve výši 6 miliard eur, které mají pomoci EU při řešení naléhavých problémů, jako je například migrační krize, posílení bezpečnosti a vytváření nových pracovních míst.</w:t>
      </w:r>
      <w:r w:rsidRPr="001E65F9">
        <w:rPr>
          <w:rStyle w:val="apple-converted-space"/>
          <w:rFonts w:asciiTheme="minorBidi" w:hAnsiTheme="minorBidi" w:cstheme="minorBidi"/>
          <w:sz w:val="22"/>
          <w:szCs w:val="22"/>
        </w:rPr>
        <w:t> </w:t>
      </w:r>
    </w:p>
    <w:p w:rsidR="001E65F9" w:rsidRPr="001E65F9" w:rsidRDefault="001E65F9" w:rsidP="001E65F9">
      <w:pPr>
        <w:pStyle w:val="Normlnweb"/>
        <w:spacing w:before="0" w:beforeAutospacing="0" w:after="150" w:line="276" w:lineRule="auto"/>
        <w:jc w:val="both"/>
        <w:rPr>
          <w:rStyle w:val="apple-converted-space"/>
          <w:rFonts w:asciiTheme="minorBidi" w:hAnsiTheme="minorBidi" w:cstheme="minorBidi"/>
          <w:sz w:val="22"/>
          <w:szCs w:val="22"/>
        </w:rPr>
      </w:pPr>
    </w:p>
    <w:p w:rsidR="001E65F9" w:rsidRPr="001E65F9" w:rsidRDefault="001E65F9" w:rsidP="001E65F9">
      <w:pPr>
        <w:pStyle w:val="Normlnweb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E65F9" w:rsidRPr="001E65F9" w:rsidRDefault="001E65F9" w:rsidP="001E65F9">
      <w:pPr>
        <w:pStyle w:val="Nadpis1"/>
        <w:spacing w:before="0" w:line="276" w:lineRule="auto"/>
        <w:jc w:val="both"/>
        <w:rPr>
          <w:rFonts w:asciiTheme="minorBidi" w:hAnsiTheme="minorBidi" w:cstheme="minorBidi"/>
          <w:bCs w:val="0"/>
          <w:color w:val="0070C0"/>
          <w:sz w:val="22"/>
          <w:szCs w:val="22"/>
        </w:rPr>
      </w:pPr>
      <w:r w:rsidRPr="001E65F9">
        <w:rPr>
          <w:rFonts w:asciiTheme="minorBidi" w:hAnsiTheme="minorBidi" w:cstheme="minorBidi"/>
          <w:bCs w:val="0"/>
          <w:color w:val="0070C0"/>
          <w:sz w:val="22"/>
          <w:szCs w:val="22"/>
        </w:rPr>
        <w:lastRenderedPageBreak/>
        <w:t xml:space="preserve">Politická podpora výzkumné spolupráce po </w:t>
      </w:r>
      <w:proofErr w:type="spellStart"/>
      <w:r w:rsidRPr="001E65F9">
        <w:rPr>
          <w:rFonts w:asciiTheme="minorBidi" w:hAnsiTheme="minorBidi" w:cstheme="minorBidi"/>
          <w:bCs w:val="0"/>
          <w:color w:val="0070C0"/>
          <w:sz w:val="22"/>
          <w:szCs w:val="22"/>
        </w:rPr>
        <w:t>Brexitu</w:t>
      </w:r>
      <w:proofErr w:type="spellEnd"/>
    </w:p>
    <w:p w:rsidR="001E65F9" w:rsidRPr="001E65F9" w:rsidRDefault="001E65F9" w:rsidP="001E65F9">
      <w:pPr>
        <w:shd w:val="clear" w:color="auto" w:fill="FFFFFF"/>
        <w:spacing w:after="240" w:line="276" w:lineRule="auto"/>
        <w:jc w:val="both"/>
        <w:rPr>
          <w:rFonts w:asciiTheme="minorBidi" w:eastAsia="Calibri" w:hAnsiTheme="minorBidi" w:cstheme="minorBidi"/>
          <w:b/>
          <w:iCs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>(zdroj: web CZELO)</w:t>
      </w:r>
    </w:p>
    <w:p w:rsidR="001E65F9" w:rsidRPr="001E65F9" w:rsidRDefault="001E65F9" w:rsidP="001E65F9">
      <w:pPr>
        <w:pStyle w:val="Normlnweb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 xml:space="preserve">Dne 22. března 2017 vystoupil na plenárním zasedání Výboru regionů v Bruselu Michel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Barnier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, hlavní vyjednávač EU v procesu vystoupení VB z EU.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Barnier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ve svém projevu zdůraznil ambici EU udržet a dále rozvíjet spolupráci s britskými univerzitami, výzkumnými institucemi a podniky a to i za nových finančně-právních podmínek. Ve stejném smyslu se</w:t>
      </w:r>
      <w:r w:rsidR="0013359E">
        <w:rPr>
          <w:rFonts w:asciiTheme="minorBidi" w:hAnsiTheme="minorBidi" w:cstheme="minorBidi"/>
          <w:sz w:val="22"/>
          <w:szCs w:val="22"/>
        </w:rPr>
        <w:t> </w:t>
      </w:r>
      <w:r w:rsidRPr="001E65F9">
        <w:rPr>
          <w:rFonts w:asciiTheme="minorBidi" w:hAnsiTheme="minorBidi" w:cstheme="minorBidi"/>
          <w:sz w:val="22"/>
          <w:szCs w:val="22"/>
        </w:rPr>
        <w:t>vyjadřuje také britská premiérka Theresa Mayová. Sdružení evropských univerzit (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European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Universities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Association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>) a sdružení univerzit Spojeného království (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Universities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UK, UUK) deklarovanou podporu vítají. S ohledem na navázání spolupráce na volný pohyb osob a např. nedávný vývoj účasti Švýcarska v H2020 je nicméně nutné počkat na konkrétní výsledky vyjednávání.</w:t>
      </w:r>
    </w:p>
    <w:p w:rsidR="003841F6" w:rsidRPr="001E65F9" w:rsidRDefault="003841F6" w:rsidP="001E65F9">
      <w:pPr>
        <w:pStyle w:val="Nadpis1"/>
        <w:spacing w:before="0" w:line="276" w:lineRule="auto"/>
        <w:jc w:val="both"/>
        <w:rPr>
          <w:rFonts w:asciiTheme="minorBidi" w:hAnsiTheme="minorBidi" w:cstheme="minorBidi"/>
          <w:bCs w:val="0"/>
          <w:color w:val="0070C0"/>
          <w:sz w:val="22"/>
          <w:szCs w:val="22"/>
        </w:rPr>
      </w:pPr>
      <w:r w:rsidRPr="001E65F9">
        <w:rPr>
          <w:rFonts w:asciiTheme="minorBidi" w:hAnsiTheme="minorBidi" w:cstheme="minorBidi"/>
          <w:bCs w:val="0"/>
          <w:color w:val="0070C0"/>
          <w:sz w:val="22"/>
          <w:szCs w:val="22"/>
        </w:rPr>
        <w:t xml:space="preserve">Výsledky ERC </w:t>
      </w:r>
      <w:proofErr w:type="spellStart"/>
      <w:r w:rsidRPr="001E65F9">
        <w:rPr>
          <w:rFonts w:asciiTheme="minorBidi" w:hAnsiTheme="minorBidi" w:cstheme="minorBidi"/>
          <w:bCs w:val="0"/>
          <w:color w:val="0070C0"/>
          <w:sz w:val="22"/>
          <w:szCs w:val="22"/>
        </w:rPr>
        <w:t>Advanced</w:t>
      </w:r>
      <w:proofErr w:type="spellEnd"/>
      <w:r w:rsidRPr="001E65F9">
        <w:rPr>
          <w:rFonts w:asciiTheme="minorBidi" w:hAnsiTheme="minorBidi" w:cstheme="minorBidi"/>
          <w:bCs w:val="0"/>
          <w:color w:val="0070C0"/>
          <w:sz w:val="22"/>
          <w:szCs w:val="22"/>
        </w:rPr>
        <w:t xml:space="preserve"> Grant 2016</w:t>
      </w:r>
    </w:p>
    <w:p w:rsidR="006B54EB" w:rsidRPr="001E65F9" w:rsidRDefault="006B54EB" w:rsidP="001E65F9">
      <w:pPr>
        <w:shd w:val="clear" w:color="auto" w:fill="FFFFFF"/>
        <w:spacing w:after="240" w:line="276" w:lineRule="auto"/>
        <w:jc w:val="both"/>
        <w:rPr>
          <w:rFonts w:asciiTheme="minorBidi" w:eastAsia="Calibri" w:hAnsiTheme="minorBidi" w:cstheme="minorBidi"/>
          <w:b/>
          <w:iCs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>(zdroj: web CZELO)</w:t>
      </w:r>
    </w:p>
    <w:p w:rsidR="003702C5" w:rsidRPr="001E65F9" w:rsidRDefault="003841F6" w:rsidP="001E65F9">
      <w:pPr>
        <w:pStyle w:val="Normlnweb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 xml:space="preserve">Evropská rada pro výzkum (ERC) zveřejnila výsledky výzvy grantů pro zkušené výzkumné pracovníky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Advanced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Grant (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AdG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>) 2016 dne 7. dubna 2017. Prostřednictvím grantů mají výzkumníci možnost realizovat své kreativní nápady, které mohou mít zásadní vliv na vědu, společnost a ekonomiku. ERC udělila 231 výzkumných grantů pro výzkumné pracovníky z</w:t>
      </w:r>
      <w:r w:rsidR="0013359E">
        <w:rPr>
          <w:rFonts w:asciiTheme="minorBidi" w:hAnsiTheme="minorBidi" w:cstheme="minorBidi"/>
          <w:sz w:val="22"/>
          <w:szCs w:val="22"/>
        </w:rPr>
        <w:t> </w:t>
      </w:r>
      <w:r w:rsidRPr="001E65F9">
        <w:rPr>
          <w:rFonts w:asciiTheme="minorBidi" w:hAnsiTheme="minorBidi" w:cstheme="minorBidi"/>
          <w:sz w:val="22"/>
          <w:szCs w:val="22"/>
        </w:rPr>
        <w:t>28</w:t>
      </w:r>
      <w:r w:rsidR="0013359E">
        <w:rPr>
          <w:rFonts w:asciiTheme="minorBidi" w:hAnsiTheme="minorBidi" w:cstheme="minorBidi"/>
          <w:sz w:val="22"/>
          <w:szCs w:val="22"/>
        </w:rPr>
        <w:t> </w:t>
      </w:r>
      <w:r w:rsidRPr="001E65F9">
        <w:rPr>
          <w:rFonts w:asciiTheme="minorBidi" w:hAnsiTheme="minorBidi" w:cstheme="minorBidi"/>
          <w:sz w:val="22"/>
          <w:szCs w:val="22"/>
        </w:rPr>
        <w:t>zemí ve výši 540 milionů eur, přičemž o grant se v minulém roce ucházelo 2 400 žadatelů. Mezi oceněnými výzkumníky je i český biolog Jiří Friml z rakouského vědeckého a</w:t>
      </w:r>
      <w:r w:rsidR="0013359E">
        <w:rPr>
          <w:rFonts w:asciiTheme="minorBidi" w:hAnsiTheme="minorBidi" w:cstheme="minorBidi"/>
          <w:sz w:val="22"/>
          <w:szCs w:val="22"/>
        </w:rPr>
        <w:t> </w:t>
      </w:r>
      <w:r w:rsidRPr="001E65F9">
        <w:rPr>
          <w:rFonts w:asciiTheme="minorBidi" w:hAnsiTheme="minorBidi" w:cstheme="minorBidi"/>
          <w:sz w:val="22"/>
          <w:szCs w:val="22"/>
        </w:rPr>
        <w:t xml:space="preserve">technologického institutu (IST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Austria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>), který získal pětileté financování svého projektu s</w:t>
      </w:r>
      <w:r w:rsidR="0013359E">
        <w:rPr>
          <w:rFonts w:asciiTheme="minorBidi" w:hAnsiTheme="minorBidi" w:cstheme="minorBidi"/>
          <w:sz w:val="22"/>
          <w:szCs w:val="22"/>
        </w:rPr>
        <w:t> </w:t>
      </w:r>
      <w:r w:rsidRPr="001E65F9">
        <w:rPr>
          <w:rFonts w:asciiTheme="minorBidi" w:hAnsiTheme="minorBidi" w:cstheme="minorBidi"/>
          <w:sz w:val="22"/>
          <w:szCs w:val="22"/>
        </w:rPr>
        <w:t>názvem: „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Tracing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Evolution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of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Auxin Transport and Polarity in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Plants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“. </w:t>
      </w:r>
    </w:p>
    <w:p w:rsidR="003841F6" w:rsidRPr="001E65F9" w:rsidRDefault="003841F6" w:rsidP="001E65F9">
      <w:pPr>
        <w:pStyle w:val="Nadpis1"/>
        <w:spacing w:before="0" w:line="276" w:lineRule="auto"/>
        <w:jc w:val="both"/>
        <w:rPr>
          <w:rFonts w:asciiTheme="minorBidi" w:hAnsiTheme="minorBidi" w:cstheme="minorBidi"/>
          <w:bCs w:val="0"/>
          <w:color w:val="0070C0"/>
          <w:sz w:val="22"/>
          <w:szCs w:val="22"/>
        </w:rPr>
      </w:pPr>
      <w:r w:rsidRPr="001E65F9">
        <w:rPr>
          <w:rFonts w:asciiTheme="minorBidi" w:hAnsiTheme="minorBidi" w:cstheme="minorBidi"/>
          <w:bCs w:val="0"/>
          <w:color w:val="0070C0"/>
          <w:sz w:val="22"/>
          <w:szCs w:val="22"/>
        </w:rPr>
        <w:t>Inovační dohoda k oběhovému hospodářství</w:t>
      </w:r>
    </w:p>
    <w:p w:rsidR="006B54EB" w:rsidRPr="001E65F9" w:rsidRDefault="006B54EB" w:rsidP="001E65F9">
      <w:pPr>
        <w:shd w:val="clear" w:color="auto" w:fill="FFFFFF"/>
        <w:spacing w:after="240" w:line="276" w:lineRule="auto"/>
        <w:jc w:val="both"/>
        <w:rPr>
          <w:rFonts w:asciiTheme="minorBidi" w:eastAsia="Calibri" w:hAnsiTheme="minorBidi" w:cstheme="minorBidi"/>
          <w:b/>
          <w:iCs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>(zdroj: web CZELO)</w:t>
      </w:r>
    </w:p>
    <w:p w:rsidR="001E65F9" w:rsidRPr="001E65F9" w:rsidRDefault="003841F6" w:rsidP="001E65F9">
      <w:pPr>
        <w:pStyle w:val="Normlnweb"/>
        <w:spacing w:before="0" w:beforeAutospacing="0"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E65F9">
        <w:rPr>
          <w:rFonts w:asciiTheme="minorBidi" w:hAnsiTheme="minorBidi" w:cstheme="minorBidi"/>
          <w:sz w:val="22"/>
          <w:szCs w:val="22"/>
        </w:rPr>
        <w:t>Dne 7. dubna 2017 uzavřela Evropská komise spolu se 14 partnery (národními a</w:t>
      </w:r>
      <w:r w:rsidR="0013359E">
        <w:rPr>
          <w:rFonts w:asciiTheme="minorBidi" w:hAnsiTheme="minorBidi" w:cstheme="minorBidi"/>
          <w:sz w:val="22"/>
          <w:szCs w:val="22"/>
        </w:rPr>
        <w:t> </w:t>
      </w:r>
      <w:r w:rsidRPr="001E65F9">
        <w:rPr>
          <w:rFonts w:asciiTheme="minorBidi" w:hAnsiTheme="minorBidi" w:cstheme="minorBidi"/>
          <w:sz w:val="22"/>
          <w:szCs w:val="22"/>
        </w:rPr>
        <w:t>regionálními státními orgány, univerzitami, vědeckými centry, inovátory a koncovými uživateli) Inovační dohodu o udržitelném využití technologie kombinované anaerobní membrány v oblasti čištění odpadních vod ("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Sustainable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Waste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Water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Treatment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Combining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Anaerobic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Membrane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Technology (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AnMbR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) and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Water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E65F9">
        <w:rPr>
          <w:rFonts w:asciiTheme="minorBidi" w:hAnsiTheme="minorBidi" w:cstheme="minorBidi"/>
          <w:sz w:val="22"/>
          <w:szCs w:val="22"/>
        </w:rPr>
        <w:t>Reuse</w:t>
      </w:r>
      <w:proofErr w:type="spellEnd"/>
      <w:r w:rsidRPr="001E65F9">
        <w:rPr>
          <w:rFonts w:asciiTheme="minorBidi" w:hAnsiTheme="minorBidi" w:cstheme="minorBidi"/>
          <w:sz w:val="22"/>
          <w:szCs w:val="22"/>
        </w:rPr>
        <w:t>").</w:t>
      </w:r>
      <w:r w:rsidRPr="001E65F9">
        <w:rPr>
          <w:rStyle w:val="apple-converted-space"/>
          <w:rFonts w:asciiTheme="minorBidi" w:hAnsiTheme="minorBidi" w:cstheme="minorBidi"/>
          <w:sz w:val="22"/>
          <w:szCs w:val="22"/>
        </w:rPr>
        <w:t> </w:t>
      </w:r>
      <w:hyperlink r:id="rId9" w:tgtFrame="_blank" w:history="1">
        <w:r w:rsidRPr="001E65F9">
          <w:rPr>
            <w:rStyle w:val="Hypertextovodkaz"/>
            <w:rFonts w:asciiTheme="minorBidi" w:hAnsiTheme="minorBidi" w:cstheme="minorBidi"/>
            <w:color w:val="auto"/>
            <w:sz w:val="22"/>
            <w:szCs w:val="22"/>
          </w:rPr>
          <w:t>Inovační dohoda</w:t>
        </w:r>
      </w:hyperlink>
      <w:r w:rsidRPr="001E65F9">
        <w:rPr>
          <w:rStyle w:val="apple-converted-space"/>
          <w:rFonts w:asciiTheme="minorBidi" w:hAnsiTheme="minorBidi" w:cstheme="minorBidi"/>
          <w:sz w:val="22"/>
          <w:szCs w:val="22"/>
        </w:rPr>
        <w:t> </w:t>
      </w:r>
      <w:r w:rsidRPr="001E65F9">
        <w:rPr>
          <w:rFonts w:asciiTheme="minorBidi" w:hAnsiTheme="minorBidi" w:cstheme="minorBidi"/>
          <w:sz w:val="22"/>
          <w:szCs w:val="22"/>
        </w:rPr>
        <w:t>je součástí balíčku oběhovému hospodářství. V rámci dohody byly stanoveny konkrétní kroky k</w:t>
      </w:r>
      <w:r w:rsidR="0013359E">
        <w:rPr>
          <w:rFonts w:asciiTheme="minorBidi" w:hAnsiTheme="minorBidi" w:cstheme="minorBidi"/>
          <w:sz w:val="22"/>
          <w:szCs w:val="22"/>
        </w:rPr>
        <w:t> </w:t>
      </w:r>
      <w:r w:rsidRPr="001E65F9">
        <w:rPr>
          <w:rFonts w:asciiTheme="minorBidi" w:hAnsiTheme="minorBidi" w:cstheme="minorBidi"/>
          <w:sz w:val="22"/>
          <w:szCs w:val="22"/>
        </w:rPr>
        <w:t>překonání regulačních bariér, které omez</w:t>
      </w:r>
      <w:r w:rsidR="001E65F9">
        <w:rPr>
          <w:rFonts w:asciiTheme="minorBidi" w:hAnsiTheme="minorBidi" w:cstheme="minorBidi"/>
          <w:sz w:val="22"/>
          <w:szCs w:val="22"/>
        </w:rPr>
        <w:t>ovaly inovátory v jejich úsilí.</w:t>
      </w:r>
    </w:p>
    <w:sectPr w:rsidR="001E65F9" w:rsidRPr="001E65F9" w:rsidSect="00D836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3E" w:rsidRDefault="0088323E">
      <w:r>
        <w:separator/>
      </w:r>
    </w:p>
  </w:endnote>
  <w:endnote w:type="continuationSeparator" w:id="0">
    <w:p w:rsidR="0088323E" w:rsidRDefault="0088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51" w:rsidRDefault="00545E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545E51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545E51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545E51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545E51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3E" w:rsidRDefault="0088323E">
      <w:r>
        <w:separator/>
      </w:r>
    </w:p>
  </w:footnote>
  <w:footnote w:type="continuationSeparator" w:id="0">
    <w:p w:rsidR="0088323E" w:rsidRDefault="0088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51" w:rsidRDefault="00545E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87EF735" wp14:editId="59DE74A2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3A2D8D" wp14:editId="32F25DA7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545E51" w:rsidP="000B6F1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325</w:t>
          </w:r>
          <w:bookmarkStart w:id="0" w:name="_GoBack"/>
          <w:bookmarkEnd w:id="0"/>
          <w:r w:rsidR="005D07F1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5037"/>
    <w:rsid w:val="00086B8A"/>
    <w:rsid w:val="00091FAD"/>
    <w:rsid w:val="000B0F98"/>
    <w:rsid w:val="000B17A0"/>
    <w:rsid w:val="000B6F17"/>
    <w:rsid w:val="000D0F09"/>
    <w:rsid w:val="000E71E2"/>
    <w:rsid w:val="000F4ECE"/>
    <w:rsid w:val="00103339"/>
    <w:rsid w:val="00110409"/>
    <w:rsid w:val="00125B0A"/>
    <w:rsid w:val="0013359E"/>
    <w:rsid w:val="00146B24"/>
    <w:rsid w:val="00151CAE"/>
    <w:rsid w:val="00170C2E"/>
    <w:rsid w:val="00172C2E"/>
    <w:rsid w:val="001B4B55"/>
    <w:rsid w:val="001C6253"/>
    <w:rsid w:val="001D59E0"/>
    <w:rsid w:val="001E65F9"/>
    <w:rsid w:val="0020502B"/>
    <w:rsid w:val="00214AF0"/>
    <w:rsid w:val="00231012"/>
    <w:rsid w:val="00244615"/>
    <w:rsid w:val="00256AAD"/>
    <w:rsid w:val="0027209D"/>
    <w:rsid w:val="002963F0"/>
    <w:rsid w:val="002A71C8"/>
    <w:rsid w:val="002D3727"/>
    <w:rsid w:val="00304769"/>
    <w:rsid w:val="00345FCD"/>
    <w:rsid w:val="003702C5"/>
    <w:rsid w:val="00372D4B"/>
    <w:rsid w:val="003841F6"/>
    <w:rsid w:val="003C0E36"/>
    <w:rsid w:val="003C70C6"/>
    <w:rsid w:val="00414F21"/>
    <w:rsid w:val="00451786"/>
    <w:rsid w:val="0046734A"/>
    <w:rsid w:val="0049122E"/>
    <w:rsid w:val="00493653"/>
    <w:rsid w:val="004A619F"/>
    <w:rsid w:val="004C0965"/>
    <w:rsid w:val="004F4396"/>
    <w:rsid w:val="0052249D"/>
    <w:rsid w:val="00522FCE"/>
    <w:rsid w:val="00540765"/>
    <w:rsid w:val="00545E51"/>
    <w:rsid w:val="005B444A"/>
    <w:rsid w:val="005D07F1"/>
    <w:rsid w:val="005D62BF"/>
    <w:rsid w:val="005F2FD6"/>
    <w:rsid w:val="00604DDE"/>
    <w:rsid w:val="006532AF"/>
    <w:rsid w:val="00660F71"/>
    <w:rsid w:val="00667517"/>
    <w:rsid w:val="006739C2"/>
    <w:rsid w:val="006915CE"/>
    <w:rsid w:val="006A6B63"/>
    <w:rsid w:val="006B54EB"/>
    <w:rsid w:val="006E4FE1"/>
    <w:rsid w:val="006E753B"/>
    <w:rsid w:val="00736308"/>
    <w:rsid w:val="00760C9A"/>
    <w:rsid w:val="00761160"/>
    <w:rsid w:val="007664DC"/>
    <w:rsid w:val="00770987"/>
    <w:rsid w:val="00770CE0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54163"/>
    <w:rsid w:val="008710A2"/>
    <w:rsid w:val="00871EEE"/>
    <w:rsid w:val="00880906"/>
    <w:rsid w:val="0088323E"/>
    <w:rsid w:val="00886CCF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7BE3"/>
    <w:rsid w:val="00991BFC"/>
    <w:rsid w:val="0099242E"/>
    <w:rsid w:val="009B0D8F"/>
    <w:rsid w:val="009B680C"/>
    <w:rsid w:val="009C5F5B"/>
    <w:rsid w:val="009C770A"/>
    <w:rsid w:val="009F0D85"/>
    <w:rsid w:val="00A03BAD"/>
    <w:rsid w:val="00A10B1D"/>
    <w:rsid w:val="00A31ABB"/>
    <w:rsid w:val="00A36614"/>
    <w:rsid w:val="00A5420F"/>
    <w:rsid w:val="00A56377"/>
    <w:rsid w:val="00A56499"/>
    <w:rsid w:val="00A61A78"/>
    <w:rsid w:val="00A863BE"/>
    <w:rsid w:val="00A93FE3"/>
    <w:rsid w:val="00AE6A22"/>
    <w:rsid w:val="00AF3DBE"/>
    <w:rsid w:val="00B05D2D"/>
    <w:rsid w:val="00B24B48"/>
    <w:rsid w:val="00B30D90"/>
    <w:rsid w:val="00B441FF"/>
    <w:rsid w:val="00B47FFC"/>
    <w:rsid w:val="00B5776A"/>
    <w:rsid w:val="00B705E6"/>
    <w:rsid w:val="00B72AB5"/>
    <w:rsid w:val="00B74474"/>
    <w:rsid w:val="00B76D66"/>
    <w:rsid w:val="00BB1CAC"/>
    <w:rsid w:val="00BB27B1"/>
    <w:rsid w:val="00BD5486"/>
    <w:rsid w:val="00BE3825"/>
    <w:rsid w:val="00C04B87"/>
    <w:rsid w:val="00C06518"/>
    <w:rsid w:val="00C21E83"/>
    <w:rsid w:val="00C269E9"/>
    <w:rsid w:val="00C43354"/>
    <w:rsid w:val="00C543C8"/>
    <w:rsid w:val="00C56B46"/>
    <w:rsid w:val="00C56C51"/>
    <w:rsid w:val="00CB5F3A"/>
    <w:rsid w:val="00CD3ED2"/>
    <w:rsid w:val="00CE433A"/>
    <w:rsid w:val="00CE7E09"/>
    <w:rsid w:val="00CF7EE7"/>
    <w:rsid w:val="00D54C89"/>
    <w:rsid w:val="00D54DB4"/>
    <w:rsid w:val="00D57CF6"/>
    <w:rsid w:val="00D67F41"/>
    <w:rsid w:val="00D71461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23779"/>
    <w:rsid w:val="00E413F6"/>
    <w:rsid w:val="00E43456"/>
    <w:rsid w:val="00E56D35"/>
    <w:rsid w:val="00E64072"/>
    <w:rsid w:val="00E81684"/>
    <w:rsid w:val="00E94579"/>
    <w:rsid w:val="00EB1C37"/>
    <w:rsid w:val="00EB2005"/>
    <w:rsid w:val="00ED247B"/>
    <w:rsid w:val="00EE7114"/>
    <w:rsid w:val="00EF3740"/>
    <w:rsid w:val="00F12B34"/>
    <w:rsid w:val="00F12B6B"/>
    <w:rsid w:val="00F23145"/>
    <w:rsid w:val="00F23154"/>
    <w:rsid w:val="00F37F8C"/>
    <w:rsid w:val="00F646B5"/>
    <w:rsid w:val="00F861DA"/>
    <w:rsid w:val="00FA6B3E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c.europa.eu/research/innovation-deals/index.cfm?pg=abou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FE2C0-E379-4D27-92C9-6A99C3D1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4</cp:revision>
  <cp:lastPrinted>2017-04-13T06:54:00Z</cp:lastPrinted>
  <dcterms:created xsi:type="dcterms:W3CDTF">2017-04-13T07:39:00Z</dcterms:created>
  <dcterms:modified xsi:type="dcterms:W3CDTF">2017-04-19T11:47:00Z</dcterms:modified>
</cp:coreProperties>
</file>