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77" w:rsidRDefault="00740B02" w:rsidP="001A5577">
      <w:pPr>
        <w:spacing w:after="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A5577">
        <w:rPr>
          <w:rFonts w:ascii="Arial" w:hAnsi="Arial" w:cs="Arial"/>
          <w:b/>
          <w:color w:val="0070C0"/>
          <w:sz w:val="28"/>
          <w:szCs w:val="28"/>
        </w:rPr>
        <w:t xml:space="preserve">Dlouhodobé strategické financování </w:t>
      </w:r>
    </w:p>
    <w:p w:rsidR="00740B02" w:rsidRPr="001A5577" w:rsidRDefault="00740B02" w:rsidP="001A5577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A5577">
        <w:rPr>
          <w:rFonts w:ascii="Arial" w:hAnsi="Arial" w:cs="Arial"/>
          <w:b/>
          <w:color w:val="0070C0"/>
          <w:sz w:val="28"/>
          <w:szCs w:val="28"/>
        </w:rPr>
        <w:t>systému výzkumu, vývoje a inovací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451629150"/>
        <w:docPartObj>
          <w:docPartGallery w:val="Table of Contents"/>
          <w:docPartUnique/>
        </w:docPartObj>
      </w:sdtPr>
      <w:sdtEndPr/>
      <w:sdtContent>
        <w:p w:rsidR="00B36C67" w:rsidRDefault="00B36C67">
          <w:pPr>
            <w:pStyle w:val="Nadpisobsahu"/>
          </w:pPr>
          <w:r>
            <w:t>Obsah</w:t>
          </w:r>
        </w:p>
        <w:p w:rsidR="008E1482" w:rsidRDefault="00B36C6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159586" w:history="1">
            <w:r w:rsidR="008E1482" w:rsidRPr="00951B2E">
              <w:rPr>
                <w:rStyle w:val="Hypertextovodkaz"/>
                <w:noProof/>
              </w:rPr>
              <w:t>I.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Úvod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_Toc491159586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1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8E1482" w:rsidRDefault="00F8630F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91159587" w:history="1">
            <w:r w:rsidR="008E1482" w:rsidRPr="00951B2E">
              <w:rPr>
                <w:rStyle w:val="Hypertextovodkaz"/>
                <w:noProof/>
              </w:rPr>
              <w:t>II.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Hlavní nedostatky systému výzkumu, vývoje a inovací v ČR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_Toc491159587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1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8E1482" w:rsidRDefault="00F863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91159588" w:history="1">
            <w:r w:rsidR="008E1482" w:rsidRPr="00951B2E">
              <w:rPr>
                <w:rStyle w:val="Hypertextovodkaz"/>
                <w:noProof/>
              </w:rPr>
              <w:t>III.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Hlavní cíle pro finanční řízení systému VaVaI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_Toc491159588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3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8E1482" w:rsidRDefault="00F863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91159589" w:history="1">
            <w:r w:rsidR="008E1482" w:rsidRPr="00951B2E">
              <w:rPr>
                <w:rStyle w:val="Hypertextovodkaz"/>
                <w:noProof/>
              </w:rPr>
              <w:t>IV.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Nástroje dosažení cílů v oblasti finančního řízení VaVaI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_Toc491159589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4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8E1482" w:rsidRDefault="00F8630F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91159590" w:history="1">
            <w:r w:rsidR="008E1482" w:rsidRPr="00951B2E">
              <w:rPr>
                <w:rStyle w:val="Hypertextovodkaz"/>
                <w:noProof/>
              </w:rPr>
              <w:t>V.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Sledování průběhu implementace a indikátory plnění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_Toc491159590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9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8E1482" w:rsidRDefault="00F863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91159591" w:history="1">
            <w:r w:rsidR="008E1482" w:rsidRPr="00951B2E">
              <w:rPr>
                <w:rStyle w:val="Hypertextovodkaz"/>
                <w:noProof/>
              </w:rPr>
              <w:t>VI.</w:t>
            </w:r>
            <w:r w:rsidR="008E1482">
              <w:rPr>
                <w:rFonts w:eastAsiaTheme="minorEastAsia"/>
                <w:noProof/>
                <w:lang w:eastAsia="cs-CZ"/>
              </w:rPr>
              <w:tab/>
            </w:r>
            <w:r w:rsidR="008E1482" w:rsidRPr="00951B2E">
              <w:rPr>
                <w:rStyle w:val="Hypertextovodkaz"/>
                <w:noProof/>
              </w:rPr>
              <w:t>Grafické přílohy</w:t>
            </w:r>
            <w:r w:rsidR="008E1482">
              <w:rPr>
                <w:noProof/>
                <w:webHidden/>
              </w:rPr>
              <w:tab/>
            </w:r>
            <w:r w:rsidR="008E1482">
              <w:rPr>
                <w:noProof/>
                <w:webHidden/>
              </w:rPr>
              <w:fldChar w:fldCharType="begin"/>
            </w:r>
            <w:r w:rsidR="008E1482">
              <w:rPr>
                <w:noProof/>
                <w:webHidden/>
              </w:rPr>
              <w:instrText xml:space="preserve"> PAGEREF _Toc491159591 \h </w:instrText>
            </w:r>
            <w:r w:rsidR="008E1482">
              <w:rPr>
                <w:noProof/>
                <w:webHidden/>
              </w:rPr>
            </w:r>
            <w:r w:rsidR="008E1482">
              <w:rPr>
                <w:noProof/>
                <w:webHidden/>
              </w:rPr>
              <w:fldChar w:fldCharType="separate"/>
            </w:r>
            <w:r w:rsidR="008E1482">
              <w:rPr>
                <w:noProof/>
                <w:webHidden/>
              </w:rPr>
              <w:t>12</w:t>
            </w:r>
            <w:r w:rsidR="008E1482">
              <w:rPr>
                <w:noProof/>
                <w:webHidden/>
              </w:rPr>
              <w:fldChar w:fldCharType="end"/>
            </w:r>
          </w:hyperlink>
        </w:p>
        <w:p w:rsidR="00B36C67" w:rsidRDefault="00B36C67">
          <w:r>
            <w:rPr>
              <w:b/>
              <w:bCs/>
            </w:rPr>
            <w:fldChar w:fldCharType="end"/>
          </w:r>
        </w:p>
      </w:sdtContent>
    </w:sdt>
    <w:p w:rsidR="00006BE3" w:rsidRPr="00DA191F" w:rsidRDefault="00006BE3" w:rsidP="003B3777">
      <w:pPr>
        <w:pStyle w:val="Nadpis2"/>
        <w:numPr>
          <w:ilvl w:val="0"/>
          <w:numId w:val="4"/>
        </w:numPr>
        <w:spacing w:after="200"/>
        <w:ind w:left="714" w:hanging="357"/>
      </w:pPr>
      <w:bookmarkStart w:id="0" w:name="_Toc491159586"/>
      <w:r w:rsidRPr="00DA191F">
        <w:t>Úvod</w:t>
      </w:r>
      <w:bookmarkEnd w:id="0"/>
    </w:p>
    <w:p w:rsidR="007F7E52" w:rsidRDefault="00740B02" w:rsidP="00321559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>Materiál se předkládá na základě úkolu z usnesení vlády č. 385/2017 ze dne 22. května 2017 o návrhu výdajů státního rozpočtu České republiky na výzkum, experimentální vývoj a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inovace na rok 2018 se střednědobým výhledem na léta 2019 a 2020 a dlouhodobým vý</w:t>
      </w:r>
      <w:r w:rsidR="00AB11DF">
        <w:rPr>
          <w:rFonts w:ascii="Arial" w:hAnsi="Arial" w:cs="Arial"/>
        </w:rPr>
        <w:t>hledem do roku 2024, části II. o</w:t>
      </w:r>
      <w:r w:rsidRPr="00DA191F">
        <w:rPr>
          <w:rFonts w:ascii="Arial" w:hAnsi="Arial" w:cs="Arial"/>
        </w:rPr>
        <w:t>dst. 2. písm. g).</w:t>
      </w:r>
    </w:p>
    <w:p w:rsidR="00290C84" w:rsidRPr="00DA191F" w:rsidRDefault="00290C84" w:rsidP="003215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na základě analytických podkladů </w:t>
      </w:r>
      <w:r w:rsidR="00591985">
        <w:rPr>
          <w:rFonts w:ascii="Arial" w:hAnsi="Arial" w:cs="Arial"/>
        </w:rPr>
        <w:t>vytváří</w:t>
      </w:r>
      <w:r>
        <w:rPr>
          <w:rFonts w:ascii="Arial" w:hAnsi="Arial" w:cs="Arial"/>
        </w:rPr>
        <w:t xml:space="preserve"> jeden z významných implementačních nástrojů Národní politiky výzkumu, vývoje a inovací ČR na léta 2016 – 2020 (dále jen „NP 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“</w:t>
      </w:r>
      <w:r w:rsidR="00A147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 Národní výzkumné a inovační strategie ČR pro inteligentní specializaci (dále jen „Národní RIS3 strategie“), kterým je dlouhodobý výhled </w:t>
      </w:r>
      <w:r w:rsidR="00A14734">
        <w:rPr>
          <w:rFonts w:ascii="Arial" w:hAnsi="Arial" w:cs="Arial"/>
        </w:rPr>
        <w:t xml:space="preserve">výdajů </w:t>
      </w:r>
      <w:r>
        <w:rPr>
          <w:rFonts w:ascii="Arial" w:hAnsi="Arial" w:cs="Arial"/>
        </w:rPr>
        <w:t>státního rozpočtu na</w:t>
      </w:r>
      <w:r w:rsidR="0090108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výzkum, vývoj a inovace (dále jen „SR“). </w:t>
      </w:r>
    </w:p>
    <w:p w:rsidR="00740B02" w:rsidRDefault="00740B02" w:rsidP="00321559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Cílem je navrhnout takový systém financování </w:t>
      </w:r>
      <w:r w:rsidR="00316A3B">
        <w:rPr>
          <w:rFonts w:ascii="Arial" w:hAnsi="Arial" w:cs="Arial"/>
        </w:rPr>
        <w:t>výzkumu a vývoje a inovací (dále také jen „</w:t>
      </w:r>
      <w:proofErr w:type="spellStart"/>
      <w:r w:rsidR="00316A3B">
        <w:rPr>
          <w:rFonts w:ascii="Arial" w:hAnsi="Arial" w:cs="Arial"/>
        </w:rPr>
        <w:t>VaVaI</w:t>
      </w:r>
      <w:proofErr w:type="spellEnd"/>
      <w:r w:rsidR="00316A3B">
        <w:rPr>
          <w:rFonts w:ascii="Arial" w:hAnsi="Arial" w:cs="Arial"/>
        </w:rPr>
        <w:t xml:space="preserve">“) </w:t>
      </w:r>
      <w:r w:rsidRPr="00DA191F">
        <w:rPr>
          <w:rFonts w:ascii="Arial" w:hAnsi="Arial" w:cs="Arial"/>
        </w:rPr>
        <w:t xml:space="preserve">ze </w:t>
      </w:r>
      <w:r w:rsidR="00316A3B">
        <w:rPr>
          <w:rFonts w:ascii="Arial" w:hAnsi="Arial" w:cs="Arial"/>
        </w:rPr>
        <w:t>SR</w:t>
      </w:r>
      <w:r w:rsidRPr="00DA191F">
        <w:rPr>
          <w:rFonts w:ascii="Arial" w:hAnsi="Arial" w:cs="Arial"/>
        </w:rPr>
        <w:t xml:space="preserve">, který by zajistil dlouhodobou </w:t>
      </w:r>
      <w:r w:rsidR="00321559" w:rsidRPr="00DA191F">
        <w:rPr>
          <w:rFonts w:ascii="Arial" w:hAnsi="Arial" w:cs="Arial"/>
        </w:rPr>
        <w:t xml:space="preserve">finanční stabilitu </w:t>
      </w:r>
      <w:r w:rsidRPr="00DA191F">
        <w:rPr>
          <w:rFonts w:ascii="Arial" w:hAnsi="Arial" w:cs="Arial"/>
        </w:rPr>
        <w:t xml:space="preserve">subjektů provádějících základní nebo aplikovaný </w:t>
      </w:r>
      <w:r w:rsidR="00316A3B">
        <w:rPr>
          <w:rFonts w:ascii="Arial" w:hAnsi="Arial" w:cs="Arial"/>
        </w:rPr>
        <w:t>výzkum a vývoj (dále také jen „</w:t>
      </w:r>
      <w:proofErr w:type="spellStart"/>
      <w:r w:rsidR="00316A3B">
        <w:rPr>
          <w:rFonts w:ascii="Arial" w:hAnsi="Arial" w:cs="Arial"/>
        </w:rPr>
        <w:t>VaV</w:t>
      </w:r>
      <w:proofErr w:type="spellEnd"/>
      <w:r w:rsidR="00316A3B">
        <w:rPr>
          <w:rFonts w:ascii="Arial" w:hAnsi="Arial" w:cs="Arial"/>
        </w:rPr>
        <w:t>“)</w:t>
      </w:r>
      <w:r w:rsidRPr="00DA191F">
        <w:rPr>
          <w:rFonts w:ascii="Arial" w:hAnsi="Arial" w:cs="Arial"/>
        </w:rPr>
        <w:t xml:space="preserve">, přispěl ke zvýšení kvality českého </w:t>
      </w:r>
      <w:proofErr w:type="spellStart"/>
      <w:r w:rsidR="00316A3B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 xml:space="preserve"> a zajistil dlouhodobou udržitelnost</w:t>
      </w:r>
      <w:r w:rsidR="00794620" w:rsidRPr="00DA191F">
        <w:rPr>
          <w:rFonts w:ascii="Arial" w:hAnsi="Arial" w:cs="Arial"/>
        </w:rPr>
        <w:t xml:space="preserve"> nejen </w:t>
      </w:r>
      <w:proofErr w:type="spellStart"/>
      <w:r w:rsidR="00316A3B">
        <w:rPr>
          <w:rFonts w:ascii="Arial" w:hAnsi="Arial" w:cs="Arial"/>
        </w:rPr>
        <w:t>VaV</w:t>
      </w:r>
      <w:proofErr w:type="spellEnd"/>
      <w:r w:rsidR="00794620" w:rsidRPr="00DA191F">
        <w:rPr>
          <w:rFonts w:ascii="Arial" w:hAnsi="Arial" w:cs="Arial"/>
        </w:rPr>
        <w:t>, ale celého národního hospodářství</w:t>
      </w:r>
      <w:r w:rsidRPr="00DA191F">
        <w:rPr>
          <w:rFonts w:ascii="Arial" w:hAnsi="Arial" w:cs="Arial"/>
        </w:rPr>
        <w:t>.</w:t>
      </w:r>
    </w:p>
    <w:p w:rsidR="00B36C67" w:rsidRPr="00DA191F" w:rsidRDefault="00B36C67" w:rsidP="00321559">
      <w:pPr>
        <w:jc w:val="both"/>
        <w:rPr>
          <w:rFonts w:ascii="Arial" w:hAnsi="Arial" w:cs="Arial"/>
        </w:rPr>
      </w:pPr>
    </w:p>
    <w:p w:rsidR="00006BE3" w:rsidRPr="00B36C67" w:rsidRDefault="00006BE3" w:rsidP="00B36C67">
      <w:pPr>
        <w:pStyle w:val="Nadpis2"/>
        <w:numPr>
          <w:ilvl w:val="0"/>
          <w:numId w:val="4"/>
        </w:numPr>
        <w:spacing w:after="200"/>
        <w:ind w:left="714" w:hanging="357"/>
      </w:pPr>
      <w:bookmarkStart w:id="1" w:name="_Toc491159587"/>
      <w:r w:rsidRPr="00B36C67">
        <w:t>Hlavní nedostatky systému výzkumu, vývoje a inovací v ČR</w:t>
      </w:r>
      <w:bookmarkEnd w:id="1"/>
    </w:p>
    <w:p w:rsidR="00006BE3" w:rsidRPr="00DA191F" w:rsidRDefault="00006BE3" w:rsidP="00AE7498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>Z analýz výzkumu, vývoje a inovací v</w:t>
      </w:r>
      <w:r w:rsidR="00321559" w:rsidRPr="00DA191F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ČR</w:t>
      </w:r>
      <w:r w:rsidR="00321559" w:rsidRPr="00DA191F">
        <w:rPr>
          <w:rFonts w:ascii="Arial" w:hAnsi="Arial" w:cs="Arial"/>
        </w:rPr>
        <w:t>, mezinárodních srovnání</w:t>
      </w:r>
      <w:r w:rsidRPr="00DA191F">
        <w:rPr>
          <w:rFonts w:ascii="Arial" w:hAnsi="Arial" w:cs="Arial"/>
        </w:rPr>
        <w:t xml:space="preserve"> a </w:t>
      </w:r>
      <w:r w:rsidR="00AD084B" w:rsidRPr="00DA191F">
        <w:rPr>
          <w:rFonts w:ascii="Arial" w:hAnsi="Arial" w:cs="Arial"/>
        </w:rPr>
        <w:t>na ně navazujících</w:t>
      </w:r>
      <w:r w:rsidRPr="00DA191F">
        <w:rPr>
          <w:rFonts w:ascii="Arial" w:hAnsi="Arial" w:cs="Arial"/>
        </w:rPr>
        <w:t xml:space="preserve"> doporučení vyplývá řada nedostatků českého systému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>.</w:t>
      </w:r>
      <w:r w:rsidR="00321559" w:rsidRPr="00DA191F">
        <w:rPr>
          <w:rFonts w:ascii="Arial" w:hAnsi="Arial" w:cs="Arial"/>
        </w:rPr>
        <w:t xml:space="preserve"> Pro finanční řízení systému </w:t>
      </w:r>
      <w:proofErr w:type="spellStart"/>
      <w:r w:rsidR="00321559" w:rsidRPr="00DA191F">
        <w:rPr>
          <w:rFonts w:ascii="Arial" w:hAnsi="Arial" w:cs="Arial"/>
        </w:rPr>
        <w:t>VaV</w:t>
      </w:r>
      <w:proofErr w:type="spellEnd"/>
      <w:r w:rsidR="00321559" w:rsidRPr="00DA191F">
        <w:rPr>
          <w:rFonts w:ascii="Arial" w:hAnsi="Arial" w:cs="Arial"/>
        </w:rPr>
        <w:t xml:space="preserve"> jsou relevantní zejména</w:t>
      </w:r>
      <w:r w:rsidR="00350655" w:rsidRPr="00DA191F">
        <w:rPr>
          <w:rFonts w:ascii="Arial" w:hAnsi="Arial" w:cs="Arial"/>
        </w:rPr>
        <w:t xml:space="preserve"> níže uvedené</w:t>
      </w:r>
      <w:r w:rsidR="00AB11DF">
        <w:rPr>
          <w:rFonts w:ascii="Arial" w:hAnsi="Arial" w:cs="Arial"/>
        </w:rPr>
        <w:t xml:space="preserve"> problémy</w:t>
      </w:r>
      <w:r w:rsidR="00350655" w:rsidRPr="00DA191F">
        <w:rPr>
          <w:rFonts w:ascii="Arial" w:hAnsi="Arial" w:cs="Arial"/>
        </w:rPr>
        <w:t>.</w:t>
      </w:r>
    </w:p>
    <w:p w:rsidR="00006BE3" w:rsidRPr="00DA191F" w:rsidRDefault="00006BE3" w:rsidP="00AE7498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Česká republika, podobně jako ostatní postkomunistické evropské země, stále nedostatečně </w:t>
      </w:r>
      <w:proofErr w:type="spellStart"/>
      <w:r w:rsidRPr="00DA191F">
        <w:rPr>
          <w:rFonts w:ascii="Arial" w:hAnsi="Arial" w:cs="Arial"/>
        </w:rPr>
        <w:t>prioritizuje</w:t>
      </w:r>
      <w:proofErr w:type="spellEnd"/>
      <w:r w:rsidRPr="00DA191F">
        <w:rPr>
          <w:rFonts w:ascii="Arial" w:hAnsi="Arial" w:cs="Arial"/>
        </w:rPr>
        <w:t xml:space="preserve"> výzkum a vývoj při realizaci hospodářských politik. Přitom je zřejmé, že </w:t>
      </w:r>
      <w:r w:rsidR="00AB11DF" w:rsidRPr="00AB11DF">
        <w:rPr>
          <w:rFonts w:ascii="Arial" w:hAnsi="Arial" w:cs="Arial"/>
          <w:b/>
        </w:rPr>
        <w:t>v</w:t>
      </w:r>
      <w:r w:rsidR="00AE7498" w:rsidRPr="00DA191F">
        <w:rPr>
          <w:rFonts w:ascii="Arial" w:hAnsi="Arial" w:cs="Arial"/>
          <w:b/>
        </w:rPr>
        <w:t>ýzkum a</w:t>
      </w:r>
      <w:r w:rsidR="00901087">
        <w:rPr>
          <w:rFonts w:ascii="Arial" w:hAnsi="Arial" w:cs="Arial"/>
          <w:b/>
        </w:rPr>
        <w:t> </w:t>
      </w:r>
      <w:r w:rsidR="00AE7498" w:rsidRPr="00DA191F">
        <w:rPr>
          <w:rFonts w:ascii="Arial" w:hAnsi="Arial" w:cs="Arial"/>
          <w:b/>
        </w:rPr>
        <w:t>vývoj je zdrojem pokroku.</w:t>
      </w:r>
      <w:r w:rsidR="00AE7498" w:rsidRPr="00DA191F">
        <w:rPr>
          <w:rFonts w:ascii="Arial" w:hAnsi="Arial" w:cs="Arial"/>
        </w:rPr>
        <w:t xml:space="preserve"> Většina ekonomicky silných zemí investuje do výzkumu a</w:t>
      </w:r>
      <w:r w:rsidR="00901087">
        <w:rPr>
          <w:rFonts w:ascii="Arial" w:hAnsi="Arial" w:cs="Arial"/>
        </w:rPr>
        <w:t> </w:t>
      </w:r>
      <w:r w:rsidR="00AE7498" w:rsidRPr="00DA191F">
        <w:rPr>
          <w:rFonts w:ascii="Arial" w:hAnsi="Arial" w:cs="Arial"/>
        </w:rPr>
        <w:t xml:space="preserve"> vývoje kolem 3</w:t>
      </w:r>
      <w:r w:rsidR="00FA05A1">
        <w:rPr>
          <w:rFonts w:ascii="Arial" w:hAnsi="Arial" w:cs="Arial"/>
        </w:rPr>
        <w:t> </w:t>
      </w:r>
      <w:r w:rsidR="00AE7498" w:rsidRPr="00DA191F">
        <w:rPr>
          <w:rFonts w:ascii="Arial" w:hAnsi="Arial" w:cs="Arial"/>
        </w:rPr>
        <w:t>% svého HDP (Německo, Rakousko, Dánsko, Švýcarsko, Finsko, Švédsko</w:t>
      </w:r>
      <w:r w:rsidRPr="00DA191F">
        <w:rPr>
          <w:rFonts w:ascii="Arial" w:hAnsi="Arial" w:cs="Arial"/>
        </w:rPr>
        <w:t>)</w:t>
      </w:r>
      <w:r w:rsidR="00AE7498" w:rsidRPr="00DA191F">
        <w:rPr>
          <w:rFonts w:ascii="Arial" w:hAnsi="Arial" w:cs="Arial"/>
        </w:rPr>
        <w:t>, nebo i více (Japonsko přes 3,5 %, Korea a Izrael přes 4%)</w:t>
      </w:r>
      <w:r w:rsidRPr="00DA191F">
        <w:rPr>
          <w:rFonts w:ascii="Arial" w:hAnsi="Arial" w:cs="Arial"/>
        </w:rPr>
        <w:t>. V ČR tvoří výdaje na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 xml:space="preserve">výzkum a vývoj pouze přibližně </w:t>
      </w:r>
      <w:r w:rsidR="00AE7498" w:rsidRPr="00DA191F">
        <w:rPr>
          <w:rFonts w:ascii="Arial" w:hAnsi="Arial" w:cs="Arial"/>
        </w:rPr>
        <w:t>2</w:t>
      </w:r>
      <w:r w:rsidRPr="00DA191F">
        <w:rPr>
          <w:rFonts w:ascii="Arial" w:hAnsi="Arial" w:cs="Arial"/>
        </w:rPr>
        <w:t> </w:t>
      </w:r>
      <w:r w:rsidR="00AE7498" w:rsidRPr="00DA191F">
        <w:rPr>
          <w:rFonts w:ascii="Arial" w:hAnsi="Arial" w:cs="Arial"/>
        </w:rPr>
        <w:t xml:space="preserve">% </w:t>
      </w:r>
      <w:r w:rsidRPr="00DA191F">
        <w:rPr>
          <w:rFonts w:ascii="Arial" w:hAnsi="Arial" w:cs="Arial"/>
        </w:rPr>
        <w:t>HDP, navíc za výrazného přispění prostředků ze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strukturálních fondů EU</w:t>
      </w:r>
      <w:r w:rsidR="00123998">
        <w:rPr>
          <w:rFonts w:ascii="Arial" w:hAnsi="Arial" w:cs="Arial"/>
        </w:rPr>
        <w:t xml:space="preserve">, které </w:t>
      </w:r>
      <w:r w:rsidR="0039643F">
        <w:rPr>
          <w:rFonts w:ascii="Arial" w:hAnsi="Arial" w:cs="Arial"/>
        </w:rPr>
        <w:t xml:space="preserve">z toho </w:t>
      </w:r>
      <w:r w:rsidR="00123998">
        <w:rPr>
          <w:rFonts w:ascii="Arial" w:hAnsi="Arial" w:cs="Arial"/>
        </w:rPr>
        <w:t>činí cca 0,3 % HDP</w:t>
      </w:r>
      <w:r w:rsidRPr="00DA191F">
        <w:rPr>
          <w:rFonts w:ascii="Arial" w:hAnsi="Arial" w:cs="Arial"/>
        </w:rPr>
        <w:t>.</w:t>
      </w:r>
    </w:p>
    <w:p w:rsidR="005E1FCE" w:rsidRPr="00DA191F" w:rsidRDefault="005E1FCE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lastRenderedPageBreak/>
        <w:t xml:space="preserve">Aktuální výzvou pro finanční řízení systému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 xml:space="preserve"> v ČR je zabezpečení dostatku finančních prostředků po ukončení programového období 2014 – 2020. Po roce 2023 dojde k výpadku veřejných prostředků směřovaných do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 xml:space="preserve"> v krajním případě až o 0,3 % HDP</w:t>
      </w:r>
      <w:r w:rsidR="00BB3D9E" w:rsidRPr="00DA191F">
        <w:rPr>
          <w:rFonts w:ascii="Arial" w:hAnsi="Arial" w:cs="Arial"/>
        </w:rPr>
        <w:t>. T</w:t>
      </w:r>
      <w:r w:rsidRPr="00DA191F">
        <w:rPr>
          <w:rFonts w:ascii="Arial" w:hAnsi="Arial" w:cs="Arial"/>
        </w:rPr>
        <w:t xml:space="preserve">ento výpadek nebude možné pokrýt pouze výdaji ze státního rozpočtu. </w:t>
      </w:r>
      <w:r w:rsidR="00123998">
        <w:rPr>
          <w:rFonts w:ascii="Arial" w:hAnsi="Arial" w:cs="Arial"/>
        </w:rPr>
        <w:t>V</w:t>
      </w:r>
      <w:r w:rsidR="00123998" w:rsidRPr="00DA191F">
        <w:rPr>
          <w:rFonts w:ascii="Arial" w:hAnsi="Arial" w:cs="Arial"/>
        </w:rPr>
        <w:t xml:space="preserve">ýznamnou roli </w:t>
      </w:r>
      <w:r w:rsidRPr="00DA191F">
        <w:rPr>
          <w:rFonts w:ascii="Arial" w:hAnsi="Arial" w:cs="Arial"/>
        </w:rPr>
        <w:t xml:space="preserve">budou hrát soukromé výdaje na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="00123998">
        <w:rPr>
          <w:rFonts w:ascii="Arial" w:hAnsi="Arial" w:cs="Arial"/>
        </w:rPr>
        <w:t>. Ty vykazují</w:t>
      </w:r>
      <w:r w:rsidRPr="00DA191F">
        <w:rPr>
          <w:rFonts w:ascii="Arial" w:hAnsi="Arial" w:cs="Arial"/>
        </w:rPr>
        <w:t xml:space="preserve"> od roku 2008 rostoucí trend</w:t>
      </w:r>
      <w:r w:rsidR="00BB3D9E" w:rsidRPr="00DA191F">
        <w:rPr>
          <w:rFonts w:ascii="Arial" w:hAnsi="Arial" w:cs="Arial"/>
        </w:rPr>
        <w:t>.</w:t>
      </w:r>
      <w:r w:rsidRPr="00DA191F">
        <w:rPr>
          <w:rFonts w:ascii="Arial" w:hAnsi="Arial" w:cs="Arial"/>
        </w:rPr>
        <w:t xml:space="preserve"> </w:t>
      </w:r>
    </w:p>
    <w:p w:rsidR="005E1FCE" w:rsidRDefault="005E1FCE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Ve srovnání s ostatními státy je ovšem v ČR relativně </w:t>
      </w:r>
      <w:r w:rsidRPr="0039643F">
        <w:rPr>
          <w:rFonts w:ascii="Arial" w:hAnsi="Arial" w:cs="Arial"/>
          <w:b/>
        </w:rPr>
        <w:t xml:space="preserve">nízký poměr </w:t>
      </w:r>
      <w:r w:rsidR="00350655" w:rsidRPr="0039643F">
        <w:rPr>
          <w:rFonts w:ascii="Arial" w:hAnsi="Arial" w:cs="Arial"/>
          <w:b/>
        </w:rPr>
        <w:t xml:space="preserve">mezi výdaji na </w:t>
      </w:r>
      <w:proofErr w:type="spellStart"/>
      <w:r w:rsidR="00350655" w:rsidRPr="0039643F">
        <w:rPr>
          <w:rFonts w:ascii="Arial" w:hAnsi="Arial" w:cs="Arial"/>
          <w:b/>
        </w:rPr>
        <w:t>VaV</w:t>
      </w:r>
      <w:proofErr w:type="spellEnd"/>
      <w:r w:rsidR="00350655" w:rsidRPr="0039643F">
        <w:rPr>
          <w:rFonts w:ascii="Arial" w:hAnsi="Arial" w:cs="Arial"/>
          <w:b/>
        </w:rPr>
        <w:t xml:space="preserve"> pocházejícími ze </w:t>
      </w:r>
      <w:r w:rsidRPr="0039643F">
        <w:rPr>
          <w:rFonts w:ascii="Arial" w:hAnsi="Arial" w:cs="Arial"/>
          <w:b/>
        </w:rPr>
        <w:t>soukromý</w:t>
      </w:r>
      <w:r w:rsidR="00350655" w:rsidRPr="0039643F">
        <w:rPr>
          <w:rFonts w:ascii="Arial" w:hAnsi="Arial" w:cs="Arial"/>
          <w:b/>
        </w:rPr>
        <w:t>ch zdrojů</w:t>
      </w:r>
      <w:r w:rsidRPr="0039643F">
        <w:rPr>
          <w:rFonts w:ascii="Arial" w:hAnsi="Arial" w:cs="Arial"/>
          <w:b/>
        </w:rPr>
        <w:t xml:space="preserve"> a </w:t>
      </w:r>
      <w:r w:rsidR="00350655" w:rsidRPr="0039643F">
        <w:rPr>
          <w:rFonts w:ascii="Arial" w:hAnsi="Arial" w:cs="Arial"/>
          <w:b/>
        </w:rPr>
        <w:t xml:space="preserve">výdaji ze zdrojů </w:t>
      </w:r>
      <w:r w:rsidRPr="0039643F">
        <w:rPr>
          <w:rFonts w:ascii="Arial" w:hAnsi="Arial" w:cs="Arial"/>
          <w:b/>
        </w:rPr>
        <w:t>veřejný</w:t>
      </w:r>
      <w:r w:rsidR="00350655" w:rsidRPr="0039643F">
        <w:rPr>
          <w:rFonts w:ascii="Arial" w:hAnsi="Arial" w:cs="Arial"/>
          <w:b/>
        </w:rPr>
        <w:t>ch</w:t>
      </w:r>
      <w:r w:rsidR="0039643F">
        <w:rPr>
          <w:rFonts w:ascii="Arial" w:hAnsi="Arial" w:cs="Arial"/>
        </w:rPr>
        <w:t xml:space="preserve"> – </w:t>
      </w:r>
      <w:r w:rsidR="0039643F" w:rsidRPr="0039643F">
        <w:rPr>
          <w:rFonts w:ascii="Arial" w:hAnsi="Arial" w:cs="Arial"/>
        </w:rPr>
        <w:t>činí</w:t>
      </w:r>
      <w:r w:rsidR="0039643F">
        <w:rPr>
          <w:rFonts w:ascii="Arial" w:hAnsi="Arial" w:cs="Arial"/>
          <w:b/>
        </w:rPr>
        <w:t xml:space="preserve"> </w:t>
      </w:r>
      <w:r w:rsidR="0039643F" w:rsidRPr="00DA191F">
        <w:rPr>
          <w:rFonts w:ascii="Arial" w:hAnsi="Arial" w:cs="Arial"/>
          <w:b/>
        </w:rPr>
        <w:t>pouze cca 1:1</w:t>
      </w:r>
      <w:r w:rsidR="0039643F" w:rsidRPr="00DA191F">
        <w:rPr>
          <w:rStyle w:val="Znakapoznpodarou"/>
          <w:rFonts w:ascii="Arial" w:hAnsi="Arial" w:cs="Arial"/>
          <w:b/>
        </w:rPr>
        <w:footnoteReference w:id="1"/>
      </w:r>
      <w:r w:rsidRPr="00DA191F">
        <w:rPr>
          <w:rFonts w:ascii="Arial" w:hAnsi="Arial" w:cs="Arial"/>
        </w:rPr>
        <w:t>. V</w:t>
      </w:r>
      <w:r w:rsidR="0039643F">
        <w:rPr>
          <w:rFonts w:ascii="Arial" w:hAnsi="Arial" w:cs="Arial"/>
        </w:rPr>
        <w:t xml:space="preserve"> zemích jako je </w:t>
      </w:r>
      <w:r w:rsidRPr="00DA191F">
        <w:rPr>
          <w:rFonts w:ascii="Arial" w:hAnsi="Arial" w:cs="Arial"/>
        </w:rPr>
        <w:t>Německ</w:t>
      </w:r>
      <w:r w:rsidR="0039643F">
        <w:rPr>
          <w:rFonts w:ascii="Arial" w:hAnsi="Arial" w:cs="Arial"/>
        </w:rPr>
        <w:t>o</w:t>
      </w:r>
      <w:r w:rsidRPr="00DA191F">
        <w:rPr>
          <w:rFonts w:ascii="Arial" w:hAnsi="Arial" w:cs="Arial"/>
        </w:rPr>
        <w:t>, Švédsk</w:t>
      </w:r>
      <w:r w:rsidR="0039643F">
        <w:rPr>
          <w:rFonts w:ascii="Arial" w:hAnsi="Arial" w:cs="Arial"/>
        </w:rPr>
        <w:t>o</w:t>
      </w:r>
      <w:r w:rsidRPr="00DA191F">
        <w:rPr>
          <w:rFonts w:ascii="Arial" w:hAnsi="Arial" w:cs="Arial"/>
        </w:rPr>
        <w:t>, Švýcarsk</w:t>
      </w:r>
      <w:r w:rsidR="0039643F">
        <w:rPr>
          <w:rFonts w:ascii="Arial" w:hAnsi="Arial" w:cs="Arial"/>
        </w:rPr>
        <w:t>o</w:t>
      </w:r>
      <w:r w:rsidRPr="00DA191F">
        <w:rPr>
          <w:rFonts w:ascii="Arial" w:hAnsi="Arial" w:cs="Arial"/>
        </w:rPr>
        <w:t>, ale také např. v</w:t>
      </w:r>
      <w:r w:rsidR="00350655" w:rsidRPr="00DA191F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 xml:space="preserve">Dánsku či Finsku, </w:t>
      </w:r>
      <w:r w:rsidRPr="00DA191F">
        <w:rPr>
          <w:rFonts w:ascii="Arial" w:hAnsi="Arial" w:cs="Arial"/>
          <w:b/>
        </w:rPr>
        <w:t xml:space="preserve">převažují v celkovém objemu výdajů na </w:t>
      </w:r>
      <w:proofErr w:type="spellStart"/>
      <w:r w:rsidRPr="00DA191F">
        <w:rPr>
          <w:rFonts w:ascii="Arial" w:hAnsi="Arial" w:cs="Arial"/>
          <w:b/>
        </w:rPr>
        <w:t>VaV</w:t>
      </w:r>
      <w:proofErr w:type="spellEnd"/>
      <w:r w:rsidRPr="00DA191F">
        <w:rPr>
          <w:rFonts w:ascii="Arial" w:hAnsi="Arial" w:cs="Arial"/>
          <w:b/>
        </w:rPr>
        <w:t xml:space="preserve"> podnikatelské zdroje nad veřejnými</w:t>
      </w:r>
      <w:r w:rsidRPr="00DA191F">
        <w:rPr>
          <w:rFonts w:ascii="Arial" w:hAnsi="Arial" w:cs="Arial"/>
        </w:rPr>
        <w:t xml:space="preserve">. V Německu, Švédsku, Švýcarsku nebo Irsku činí jejich vzájemný poměr </w:t>
      </w:r>
      <w:r w:rsidRPr="0039643F">
        <w:rPr>
          <w:rFonts w:ascii="Arial" w:hAnsi="Arial" w:cs="Arial"/>
          <w:b/>
        </w:rPr>
        <w:t>více než 2:1</w:t>
      </w:r>
      <w:r w:rsidRPr="00DA191F">
        <w:rPr>
          <w:rFonts w:ascii="Arial" w:hAnsi="Arial" w:cs="Arial"/>
        </w:rPr>
        <w:t>, v</w:t>
      </w:r>
      <w:r w:rsidR="00350655" w:rsidRPr="00DA191F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Izraeli, Jižní Koreji nebo Slovinsku přibližně 3:1, v Číně téměř 4:1, v Ja</w:t>
      </w:r>
      <w:r w:rsidR="0039643F">
        <w:rPr>
          <w:rFonts w:ascii="Arial" w:hAnsi="Arial" w:cs="Arial"/>
        </w:rPr>
        <w:t>ponsku 5:1.</w:t>
      </w:r>
    </w:p>
    <w:p w:rsidR="00480048" w:rsidRPr="00DA191F" w:rsidRDefault="00480048" w:rsidP="005E1F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jde o způsob financování výzkumu, vývoje a inovací v ČR, je nevhodně nastaven poměr institucionální a účelové podpory. U všech skupin příjemců podpory </w:t>
      </w:r>
      <w:r w:rsidRPr="00480048">
        <w:rPr>
          <w:rFonts w:ascii="Arial" w:hAnsi="Arial" w:cs="Arial"/>
          <w:b/>
        </w:rPr>
        <w:t>převažuje podpora účelová nad institucionální</w:t>
      </w:r>
      <w:r>
        <w:rPr>
          <w:rFonts w:ascii="Arial" w:hAnsi="Arial" w:cs="Arial"/>
        </w:rPr>
        <w:t xml:space="preserve">, což indikuje zvýšené </w:t>
      </w:r>
      <w:r w:rsidRPr="00480048">
        <w:rPr>
          <w:rFonts w:ascii="Arial" w:hAnsi="Arial" w:cs="Arial"/>
          <w:b/>
        </w:rPr>
        <w:t>riziko meziroční finanční nestability veřejných výzkumných subjektů</w:t>
      </w:r>
      <w:r>
        <w:rPr>
          <w:rFonts w:ascii="Arial" w:hAnsi="Arial" w:cs="Arial"/>
        </w:rPr>
        <w:t>. Nestabilita je navíc zvýšena způsobem stanovení výše</w:t>
      </w:r>
      <w:r w:rsidR="002105FA">
        <w:rPr>
          <w:rFonts w:ascii="Arial" w:hAnsi="Arial" w:cs="Arial"/>
        </w:rPr>
        <w:t xml:space="preserve"> institucionálních prostředků.</w:t>
      </w:r>
    </w:p>
    <w:p w:rsidR="00AE7498" w:rsidRPr="00DA191F" w:rsidRDefault="00794620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Další významnou slabinou českého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 xml:space="preserve"> je </w:t>
      </w:r>
      <w:r w:rsidRPr="00DA191F">
        <w:rPr>
          <w:rFonts w:ascii="Arial" w:hAnsi="Arial" w:cs="Arial"/>
          <w:b/>
        </w:rPr>
        <w:t>nedostatečně fungující spolupráce</w:t>
      </w:r>
      <w:r w:rsidR="00FB419A" w:rsidRPr="00DA191F">
        <w:rPr>
          <w:rFonts w:ascii="Arial" w:hAnsi="Arial" w:cs="Arial"/>
          <w:b/>
        </w:rPr>
        <w:t xml:space="preserve"> podnikatelského a veřejného sektoru</w:t>
      </w:r>
      <w:r w:rsidR="00024100" w:rsidRPr="00DA191F">
        <w:rPr>
          <w:rFonts w:ascii="Arial" w:hAnsi="Arial" w:cs="Arial"/>
        </w:rPr>
        <w:t xml:space="preserve">, </w:t>
      </w:r>
      <w:r w:rsidRPr="00DA191F">
        <w:rPr>
          <w:rFonts w:ascii="Arial" w:hAnsi="Arial" w:cs="Arial"/>
        </w:rPr>
        <w:t xml:space="preserve">a to </w:t>
      </w:r>
      <w:r w:rsidR="00024100" w:rsidRPr="00DA191F">
        <w:rPr>
          <w:rFonts w:ascii="Arial" w:hAnsi="Arial" w:cs="Arial"/>
        </w:rPr>
        <w:t xml:space="preserve">zejména </w:t>
      </w:r>
      <w:r w:rsidR="00024100" w:rsidRPr="00DA191F">
        <w:rPr>
          <w:rFonts w:ascii="Arial" w:hAnsi="Arial" w:cs="Arial"/>
          <w:b/>
        </w:rPr>
        <w:t>v aplikovaném výzkumu</w:t>
      </w:r>
      <w:r w:rsidR="00024100" w:rsidRPr="00DA191F">
        <w:rPr>
          <w:rFonts w:ascii="Arial" w:hAnsi="Arial" w:cs="Arial"/>
        </w:rPr>
        <w:t>.</w:t>
      </w:r>
      <w:r w:rsidR="001F6D0A" w:rsidRPr="00DA191F">
        <w:rPr>
          <w:rFonts w:ascii="Arial" w:hAnsi="Arial" w:cs="Arial"/>
        </w:rPr>
        <w:t xml:space="preserve"> </w:t>
      </w:r>
      <w:r w:rsidRPr="00DA191F">
        <w:rPr>
          <w:rFonts w:ascii="Arial" w:hAnsi="Arial" w:cs="Arial"/>
        </w:rPr>
        <w:t>ČR se vyznačuje nízkým podílem</w:t>
      </w:r>
      <w:r w:rsidR="001F6D0A" w:rsidRPr="00DA191F">
        <w:rPr>
          <w:rFonts w:ascii="Arial" w:hAnsi="Arial" w:cs="Arial"/>
        </w:rPr>
        <w:t xml:space="preserve"> aplikovaných výsledků</w:t>
      </w:r>
      <w:r w:rsidR="00FB419A" w:rsidRPr="00DA191F">
        <w:rPr>
          <w:rFonts w:ascii="Arial" w:hAnsi="Arial" w:cs="Arial"/>
        </w:rPr>
        <w:t xml:space="preserve"> na celkovém počtu výsledků výzkumu a</w:t>
      </w:r>
      <w:r w:rsidR="00901087">
        <w:rPr>
          <w:rFonts w:ascii="Arial" w:hAnsi="Arial" w:cs="Arial"/>
        </w:rPr>
        <w:t> </w:t>
      </w:r>
      <w:r w:rsidR="00FB419A" w:rsidRPr="00DA191F">
        <w:rPr>
          <w:rFonts w:ascii="Arial" w:hAnsi="Arial" w:cs="Arial"/>
        </w:rPr>
        <w:t xml:space="preserve">vývoje. V rámci aplikovaných výsledků je navíc </w:t>
      </w:r>
      <w:r w:rsidR="00FB419A" w:rsidRPr="0016718B">
        <w:rPr>
          <w:rFonts w:ascii="Arial" w:hAnsi="Arial" w:cs="Arial"/>
          <w:b/>
        </w:rPr>
        <w:t>velmi málo patentů a zvlášť patentů mezinárodních</w:t>
      </w:r>
      <w:r w:rsidR="00FB419A" w:rsidRPr="00DA191F">
        <w:rPr>
          <w:rFonts w:ascii="Arial" w:hAnsi="Arial" w:cs="Arial"/>
        </w:rPr>
        <w:t>. Může to souviset s níže popsanou strukturou ekonomiky v</w:t>
      </w:r>
      <w:r w:rsidR="00F313BC" w:rsidRPr="00DA191F">
        <w:rPr>
          <w:rFonts w:ascii="Arial" w:hAnsi="Arial" w:cs="Arial"/>
        </w:rPr>
        <w:t> </w:t>
      </w:r>
      <w:r w:rsidR="00A14205">
        <w:rPr>
          <w:rFonts w:ascii="Arial" w:hAnsi="Arial" w:cs="Arial"/>
        </w:rPr>
        <w:t>Č</w:t>
      </w:r>
      <w:r w:rsidR="00FB419A" w:rsidRPr="00DA191F">
        <w:rPr>
          <w:rFonts w:ascii="Arial" w:hAnsi="Arial" w:cs="Arial"/>
        </w:rPr>
        <w:t>R</w:t>
      </w:r>
      <w:r w:rsidR="00F313BC" w:rsidRPr="00DA191F">
        <w:rPr>
          <w:rFonts w:ascii="Arial" w:hAnsi="Arial" w:cs="Arial"/>
        </w:rPr>
        <w:t>.</w:t>
      </w:r>
      <w:r w:rsidR="00BA255F" w:rsidRPr="00DA191F">
        <w:rPr>
          <w:rFonts w:ascii="Arial" w:hAnsi="Arial" w:cs="Arial"/>
        </w:rPr>
        <w:t xml:space="preserve"> Mezinárodní patentová ochrana nových poznatků </w:t>
      </w:r>
      <w:r w:rsidR="00F313BC" w:rsidRPr="00DA191F">
        <w:rPr>
          <w:rFonts w:ascii="Arial" w:hAnsi="Arial" w:cs="Arial"/>
        </w:rPr>
        <w:t>může být</w:t>
      </w:r>
      <w:r w:rsidR="00BA255F" w:rsidRPr="00DA191F">
        <w:rPr>
          <w:rFonts w:ascii="Arial" w:hAnsi="Arial" w:cs="Arial"/>
        </w:rPr>
        <w:t xml:space="preserve"> převažující měrou prováděna mimo ČR v</w:t>
      </w:r>
      <w:r w:rsidR="00901087">
        <w:rPr>
          <w:rFonts w:ascii="Arial" w:hAnsi="Arial" w:cs="Arial"/>
        </w:rPr>
        <w:t> </w:t>
      </w:r>
      <w:r w:rsidR="00BA255F" w:rsidRPr="00DA191F">
        <w:rPr>
          <w:rFonts w:ascii="Arial" w:hAnsi="Arial" w:cs="Arial"/>
        </w:rPr>
        <w:t>mateřských firmách</w:t>
      </w:r>
      <w:r w:rsidR="00F313BC" w:rsidRPr="00DA191F">
        <w:rPr>
          <w:rFonts w:ascii="Arial" w:hAnsi="Arial" w:cs="Arial"/>
        </w:rPr>
        <w:t xml:space="preserve"> českých dceřiných společností</w:t>
      </w:r>
      <w:r w:rsidR="00BA255F" w:rsidRPr="00DA191F">
        <w:rPr>
          <w:rFonts w:ascii="Arial" w:hAnsi="Arial" w:cs="Arial"/>
        </w:rPr>
        <w:t xml:space="preserve">. </w:t>
      </w:r>
      <w:r w:rsidR="00F313BC" w:rsidRPr="00DA191F">
        <w:rPr>
          <w:rFonts w:ascii="Arial" w:hAnsi="Arial" w:cs="Arial"/>
        </w:rPr>
        <w:t xml:space="preserve">České firmy proto mohou preferovat ochranu výsledků </w:t>
      </w:r>
      <w:proofErr w:type="spellStart"/>
      <w:r w:rsidR="00F313BC" w:rsidRPr="00DA191F">
        <w:rPr>
          <w:rFonts w:ascii="Arial" w:hAnsi="Arial" w:cs="Arial"/>
        </w:rPr>
        <w:t>VaV</w:t>
      </w:r>
      <w:proofErr w:type="spellEnd"/>
      <w:r w:rsidR="00F313BC" w:rsidRPr="00DA191F">
        <w:rPr>
          <w:rFonts w:ascii="Arial" w:hAnsi="Arial" w:cs="Arial"/>
        </w:rPr>
        <w:t xml:space="preserve"> </w:t>
      </w:r>
      <w:r w:rsidR="00BA255F" w:rsidRPr="00DA191F">
        <w:rPr>
          <w:rFonts w:ascii="Arial" w:hAnsi="Arial" w:cs="Arial"/>
        </w:rPr>
        <w:t xml:space="preserve">formou </w:t>
      </w:r>
      <w:r w:rsidR="00BA255F" w:rsidRPr="0016718B">
        <w:rPr>
          <w:rFonts w:ascii="Arial" w:hAnsi="Arial" w:cs="Arial"/>
          <w:b/>
        </w:rPr>
        <w:t>užitných či průmyslových vzorů.</w:t>
      </w:r>
      <w:r w:rsidR="00BA255F" w:rsidRPr="00DA191F">
        <w:rPr>
          <w:rFonts w:ascii="Arial" w:hAnsi="Arial" w:cs="Arial"/>
        </w:rPr>
        <w:t xml:space="preserve"> </w:t>
      </w:r>
      <w:r w:rsidR="00F313BC" w:rsidRPr="00DA191F">
        <w:rPr>
          <w:rFonts w:ascii="Arial" w:hAnsi="Arial" w:cs="Arial"/>
        </w:rPr>
        <w:t>Ve vazbě na veřejnou podporu t</w:t>
      </w:r>
      <w:r w:rsidR="00BA255F" w:rsidRPr="00DA191F">
        <w:rPr>
          <w:rFonts w:ascii="Arial" w:hAnsi="Arial" w:cs="Arial"/>
        </w:rPr>
        <w:t>ento způsob ochrany</w:t>
      </w:r>
      <w:r w:rsidR="00717950" w:rsidRPr="00DA191F">
        <w:rPr>
          <w:rFonts w:ascii="Arial" w:hAnsi="Arial" w:cs="Arial"/>
        </w:rPr>
        <w:t xml:space="preserve"> v ČR</w:t>
      </w:r>
      <w:r w:rsidR="00BA255F" w:rsidRPr="00DA191F">
        <w:rPr>
          <w:rFonts w:ascii="Arial" w:hAnsi="Arial" w:cs="Arial"/>
        </w:rPr>
        <w:t xml:space="preserve"> </w:t>
      </w:r>
      <w:r w:rsidR="00717950" w:rsidRPr="00DA191F">
        <w:rPr>
          <w:rFonts w:ascii="Arial" w:hAnsi="Arial" w:cs="Arial"/>
        </w:rPr>
        <w:t>vykazuje nárůst. V</w:t>
      </w:r>
      <w:r w:rsidR="00BA255F" w:rsidRPr="00DA191F">
        <w:rPr>
          <w:rFonts w:ascii="Arial" w:hAnsi="Arial" w:cs="Arial"/>
        </w:rPr>
        <w:t xml:space="preserve"> roce 2015 bylo takto ochráněno 7 % všech aplikovaných výsledků vytvořených s veřejnou podporou. Pro srovnání patentově bylo v ČR ve stejném roce ochráněno cca 4,5 % aplikovaných výsledků.</w:t>
      </w:r>
      <w:r w:rsidR="00FB419A" w:rsidRPr="00DA191F">
        <w:rPr>
          <w:rFonts w:ascii="Arial" w:hAnsi="Arial" w:cs="Arial"/>
        </w:rPr>
        <w:t xml:space="preserve"> </w:t>
      </w:r>
      <w:r w:rsidR="00E150B8" w:rsidRPr="00DA191F">
        <w:rPr>
          <w:rFonts w:ascii="Arial" w:hAnsi="Arial" w:cs="Arial"/>
        </w:rPr>
        <w:t xml:space="preserve">Nízká úroveň přihlášek mezinárodních patentů však může také značit, že v současné době český systém </w:t>
      </w:r>
      <w:proofErr w:type="spellStart"/>
      <w:r w:rsidR="00E150B8" w:rsidRPr="00DA191F">
        <w:rPr>
          <w:rFonts w:ascii="Arial" w:hAnsi="Arial" w:cs="Arial"/>
        </w:rPr>
        <w:t>VaV</w:t>
      </w:r>
      <w:proofErr w:type="spellEnd"/>
      <w:r w:rsidR="00E150B8" w:rsidRPr="00DA191F">
        <w:rPr>
          <w:rFonts w:ascii="Arial" w:hAnsi="Arial" w:cs="Arial"/>
        </w:rPr>
        <w:t xml:space="preserve"> </w:t>
      </w:r>
      <w:r w:rsidR="00E150B8" w:rsidRPr="00DA191F">
        <w:rPr>
          <w:rFonts w:ascii="Arial" w:hAnsi="Arial" w:cs="Arial"/>
          <w:b/>
        </w:rPr>
        <w:t>málo generuje nové poznatky, které by stálo za to mezinárodně patentově ochránit</w:t>
      </w:r>
      <w:r w:rsidR="00E150B8" w:rsidRPr="00DA191F">
        <w:rPr>
          <w:rFonts w:ascii="Arial" w:hAnsi="Arial" w:cs="Arial"/>
        </w:rPr>
        <w:t xml:space="preserve">. </w:t>
      </w:r>
    </w:p>
    <w:p w:rsidR="002C0B35" w:rsidRPr="00DA191F" w:rsidRDefault="002C0B35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Dokladem o nedostatečně fungující spolupráci je také mezinárodní srovnání </w:t>
      </w:r>
      <w:r w:rsidRPr="00DA191F">
        <w:rPr>
          <w:rFonts w:ascii="Arial" w:hAnsi="Arial" w:cs="Arial"/>
          <w:b/>
        </w:rPr>
        <w:t>objemu prostředků směřujících ze soukromého sektoru do veřejného</w:t>
      </w:r>
      <w:r w:rsidRPr="00DA191F">
        <w:rPr>
          <w:rFonts w:ascii="Arial" w:hAnsi="Arial" w:cs="Arial"/>
        </w:rPr>
        <w:t xml:space="preserve"> (zejména za smluvní výzkum), který </w:t>
      </w:r>
      <w:r w:rsidRPr="00DA191F">
        <w:rPr>
          <w:rFonts w:ascii="Arial" w:hAnsi="Arial" w:cs="Arial"/>
          <w:b/>
        </w:rPr>
        <w:t>je v ČR nízký</w:t>
      </w:r>
      <w:r w:rsidRPr="00DA191F">
        <w:rPr>
          <w:rFonts w:ascii="Arial" w:hAnsi="Arial" w:cs="Arial"/>
        </w:rPr>
        <w:t xml:space="preserve"> (např. cca třikrát menší než v Německu, cca dvakrát menší než v Rakousku), přestože veřejný sektor disponuje kvalitními infrastrukturami. Pokud jde o podíl tuzemských podnikatelských zdrojů na financování výzkumu a vývoje prováděného ve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vysokoškolském sektoru, ČR patří z dlouhodobého pohledu mezi státy s nejnižší hodnotou ze všech zemí EU. V posledních dvou letech je patrný nárůst</w:t>
      </w:r>
      <w:r w:rsidR="004D31FA" w:rsidRPr="00DA191F">
        <w:rPr>
          <w:rFonts w:ascii="Arial" w:hAnsi="Arial" w:cs="Arial"/>
        </w:rPr>
        <w:t xml:space="preserve"> tohoto ukazatele</w:t>
      </w:r>
      <w:r w:rsidRPr="00DA191F">
        <w:rPr>
          <w:rFonts w:ascii="Arial" w:hAnsi="Arial" w:cs="Arial"/>
        </w:rPr>
        <w:t xml:space="preserve">, </w:t>
      </w:r>
      <w:r w:rsidR="004D31FA" w:rsidRPr="00DA191F">
        <w:rPr>
          <w:rFonts w:ascii="Arial" w:hAnsi="Arial" w:cs="Arial"/>
        </w:rPr>
        <w:t>avšak ve srovnání s Německem, Slovinskem, Belgií, Švýcarskem nebo Nizozemskem stále výrazně ztrácíme.</w:t>
      </w:r>
    </w:p>
    <w:p w:rsidR="00A115C8" w:rsidRPr="00DA191F" w:rsidRDefault="00E150B8" w:rsidP="00A115C8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lastRenderedPageBreak/>
        <w:t>Investice do výzkumu a vývoje přímo souvisí se vzděláváním a transferem znalostí do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 xml:space="preserve">podoby inovací. Konkurenceschopnost a udržitelnost ekonomického růstu a prosperity je podmíněna novými znalostmi a inovativními řešeními. </w:t>
      </w:r>
      <w:r w:rsidR="00024100" w:rsidRPr="00DA191F">
        <w:rPr>
          <w:rFonts w:ascii="Arial" w:hAnsi="Arial" w:cs="Arial"/>
        </w:rPr>
        <w:t>V oblasti inovací se v ČR projevují některé</w:t>
      </w:r>
      <w:r w:rsidR="00350655" w:rsidRPr="00DA191F">
        <w:rPr>
          <w:rFonts w:ascii="Arial" w:hAnsi="Arial" w:cs="Arial"/>
        </w:rPr>
        <w:t xml:space="preserve"> negativní</w:t>
      </w:r>
      <w:r w:rsidR="00024100" w:rsidRPr="00DA191F">
        <w:rPr>
          <w:rFonts w:ascii="Arial" w:hAnsi="Arial" w:cs="Arial"/>
        </w:rPr>
        <w:t xml:space="preserve"> dopady tzv. </w:t>
      </w:r>
      <w:r w:rsidR="00024100" w:rsidRPr="00DA191F">
        <w:rPr>
          <w:rFonts w:ascii="Arial" w:hAnsi="Arial" w:cs="Arial"/>
          <w:b/>
        </w:rPr>
        <w:t>dvourychlostní ekonomiky</w:t>
      </w:r>
      <w:r w:rsidR="00350655" w:rsidRPr="00DA191F">
        <w:rPr>
          <w:rFonts w:ascii="Arial" w:hAnsi="Arial" w:cs="Arial"/>
        </w:rPr>
        <w:t xml:space="preserve">. Vyplývají ze skutečnosti, že </w:t>
      </w:r>
      <w:r w:rsidR="00F313BC" w:rsidRPr="00DA191F">
        <w:rPr>
          <w:rFonts w:ascii="Arial" w:hAnsi="Arial" w:cs="Arial"/>
          <w:b/>
        </w:rPr>
        <w:t>více než 30 % HDP generují průmyslová odvětví</w:t>
      </w:r>
      <w:r w:rsidR="00F313BC" w:rsidRPr="00DA191F">
        <w:rPr>
          <w:rFonts w:ascii="Arial" w:hAnsi="Arial" w:cs="Arial"/>
        </w:rPr>
        <w:t xml:space="preserve"> národního hospodářství. Č</w:t>
      </w:r>
      <w:r w:rsidR="00350655" w:rsidRPr="00DA191F">
        <w:rPr>
          <w:rFonts w:ascii="Arial" w:hAnsi="Arial" w:cs="Arial"/>
        </w:rPr>
        <w:t xml:space="preserve">eskou ekonomiku tvoří na jedné straně </w:t>
      </w:r>
      <w:r w:rsidR="00350655" w:rsidRPr="00DA191F">
        <w:rPr>
          <w:rFonts w:ascii="Arial" w:hAnsi="Arial" w:cs="Arial"/>
          <w:b/>
        </w:rPr>
        <w:t>velké podniky, ve většině případů pod zahraniční kontrolou</w:t>
      </w:r>
      <w:r w:rsidR="00F313BC" w:rsidRPr="00DA191F">
        <w:rPr>
          <w:rFonts w:ascii="Arial" w:hAnsi="Arial" w:cs="Arial"/>
        </w:rPr>
        <w:t xml:space="preserve"> (dceřiné společnosti globálních holdingů)</w:t>
      </w:r>
      <w:r w:rsidR="00350655" w:rsidRPr="00DA191F">
        <w:rPr>
          <w:rFonts w:ascii="Arial" w:hAnsi="Arial" w:cs="Arial"/>
        </w:rPr>
        <w:t xml:space="preserve">. Tyto zahraniční afiliace se nejvýrazněji podílejí </w:t>
      </w:r>
      <w:r w:rsidR="00A115C8" w:rsidRPr="00DA191F">
        <w:rPr>
          <w:rFonts w:ascii="Arial" w:hAnsi="Arial" w:cs="Arial"/>
        </w:rPr>
        <w:t xml:space="preserve">na tvorbě HDP i na exportu. Zároveň významně investují vlastní prostředky do </w:t>
      </w:r>
      <w:proofErr w:type="spellStart"/>
      <w:r w:rsidR="00A115C8" w:rsidRPr="00DA191F">
        <w:rPr>
          <w:rFonts w:ascii="Arial" w:hAnsi="Arial" w:cs="Arial"/>
        </w:rPr>
        <w:t>VaV</w:t>
      </w:r>
      <w:proofErr w:type="spellEnd"/>
      <w:r w:rsidR="00A115C8" w:rsidRPr="00DA191F">
        <w:rPr>
          <w:rFonts w:ascii="Arial" w:hAnsi="Arial" w:cs="Arial"/>
        </w:rPr>
        <w:t xml:space="preserve">, dokáží ovšem uspět i v soutěži o veřejné prostředky na </w:t>
      </w:r>
      <w:proofErr w:type="spellStart"/>
      <w:r w:rsidR="00A115C8" w:rsidRPr="00DA191F">
        <w:rPr>
          <w:rFonts w:ascii="Arial" w:hAnsi="Arial" w:cs="Arial"/>
        </w:rPr>
        <w:t>VaV</w:t>
      </w:r>
      <w:proofErr w:type="spellEnd"/>
      <w:r w:rsidR="00A115C8" w:rsidRPr="00DA191F">
        <w:rPr>
          <w:rFonts w:ascii="Arial" w:hAnsi="Arial" w:cs="Arial"/>
        </w:rPr>
        <w:t xml:space="preserve"> a s úspěchem využívají tzv. nepřímou podporu v podobě daňového odpočtu.</w:t>
      </w:r>
    </w:p>
    <w:p w:rsidR="00C15104" w:rsidRPr="00DA191F" w:rsidRDefault="00A115C8" w:rsidP="00A115C8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>Na druhé straně v ČR funguje velké množství</w:t>
      </w:r>
      <w:r w:rsidR="00F313BC" w:rsidRPr="00DA191F">
        <w:rPr>
          <w:rFonts w:ascii="Arial" w:hAnsi="Arial" w:cs="Arial"/>
        </w:rPr>
        <w:t xml:space="preserve"> </w:t>
      </w:r>
      <w:r w:rsidR="00F313BC" w:rsidRPr="0016718B">
        <w:rPr>
          <w:rFonts w:ascii="Arial" w:hAnsi="Arial" w:cs="Arial"/>
          <w:b/>
        </w:rPr>
        <w:t>malých a středních podniků</w:t>
      </w:r>
      <w:r w:rsidR="00F313BC" w:rsidRPr="00DA191F">
        <w:rPr>
          <w:rFonts w:ascii="Arial" w:hAnsi="Arial" w:cs="Arial"/>
        </w:rPr>
        <w:t xml:space="preserve"> (MSP)</w:t>
      </w:r>
      <w:r w:rsidRPr="00DA191F">
        <w:rPr>
          <w:rFonts w:ascii="Arial" w:hAnsi="Arial" w:cs="Arial"/>
        </w:rPr>
        <w:t xml:space="preserve"> a to zejména ve zpracovatelském průmyslu a souvisejících službách. </w:t>
      </w:r>
      <w:r w:rsidR="0046175C">
        <w:rPr>
          <w:rFonts w:ascii="Arial" w:hAnsi="Arial" w:cs="Arial"/>
        </w:rPr>
        <w:t>Ze srovnání OECD vyplývá, že t</w:t>
      </w:r>
      <w:r w:rsidR="00C15104" w:rsidRPr="00DA191F">
        <w:rPr>
          <w:rFonts w:ascii="Arial" w:hAnsi="Arial" w:cs="Arial"/>
        </w:rPr>
        <w:t xml:space="preserve">yto firmy se vyznačují </w:t>
      </w:r>
      <w:r w:rsidR="00C15104" w:rsidRPr="0016718B">
        <w:rPr>
          <w:rFonts w:ascii="Arial" w:hAnsi="Arial" w:cs="Arial"/>
          <w:b/>
        </w:rPr>
        <w:t>nízkou produktivitou</w:t>
      </w:r>
      <w:r w:rsidR="0046175C">
        <w:rPr>
          <w:rFonts w:ascii="Arial" w:hAnsi="Arial" w:cs="Arial"/>
          <w:b/>
        </w:rPr>
        <w:t xml:space="preserve"> práce</w:t>
      </w:r>
      <w:r w:rsidR="00C15104" w:rsidRPr="00DA191F">
        <w:rPr>
          <w:rFonts w:ascii="Arial" w:hAnsi="Arial" w:cs="Arial"/>
        </w:rPr>
        <w:t xml:space="preserve"> jak ve srovnání s velkými podniky působícími v ČR, tak i v mezinárodní komparaci s podniky srovnatelné velikosti. Nemají tudíž dostatek vlastních finančních prostředků ani dostatečně kvalifikovaný management pro realizaci </w:t>
      </w:r>
      <w:proofErr w:type="spellStart"/>
      <w:r w:rsidR="00C15104" w:rsidRPr="00DA191F">
        <w:rPr>
          <w:rFonts w:ascii="Arial" w:hAnsi="Arial" w:cs="Arial"/>
        </w:rPr>
        <w:t>VaV</w:t>
      </w:r>
      <w:proofErr w:type="spellEnd"/>
      <w:r w:rsidR="00C15104" w:rsidRPr="00DA191F">
        <w:rPr>
          <w:rFonts w:ascii="Arial" w:hAnsi="Arial" w:cs="Arial"/>
        </w:rPr>
        <w:t xml:space="preserve"> a využití nových poznatků v inovacích. </w:t>
      </w:r>
    </w:p>
    <w:p w:rsidR="00350655" w:rsidRPr="00DA191F" w:rsidRDefault="00C15104" w:rsidP="00A115C8">
      <w:pPr>
        <w:jc w:val="both"/>
        <w:rPr>
          <w:rFonts w:ascii="Arial" w:hAnsi="Arial" w:cs="Arial"/>
        </w:rPr>
      </w:pPr>
      <w:r w:rsidRPr="0016718B">
        <w:rPr>
          <w:rFonts w:ascii="Arial" w:hAnsi="Arial" w:cs="Arial"/>
          <w:b/>
        </w:rPr>
        <w:t>MSP</w:t>
      </w:r>
      <w:r w:rsidRPr="00DA191F">
        <w:rPr>
          <w:rFonts w:ascii="Arial" w:hAnsi="Arial" w:cs="Arial"/>
        </w:rPr>
        <w:t xml:space="preserve"> jsou v</w:t>
      </w:r>
      <w:r w:rsidR="001F6D0A" w:rsidRPr="00DA191F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>důsledku</w:t>
      </w:r>
      <w:r w:rsidR="001F6D0A" w:rsidRPr="00DA191F">
        <w:rPr>
          <w:rFonts w:ascii="Arial" w:hAnsi="Arial" w:cs="Arial"/>
        </w:rPr>
        <w:t xml:space="preserve"> toho</w:t>
      </w:r>
      <w:r w:rsidRPr="00DA191F">
        <w:rPr>
          <w:rFonts w:ascii="Arial" w:hAnsi="Arial" w:cs="Arial"/>
        </w:rPr>
        <w:t xml:space="preserve"> </w:t>
      </w:r>
      <w:r w:rsidRPr="0016718B">
        <w:rPr>
          <w:rFonts w:ascii="Arial" w:hAnsi="Arial" w:cs="Arial"/>
          <w:b/>
        </w:rPr>
        <w:t>uzamčeny nízko v hodnotových řetězcích</w:t>
      </w:r>
      <w:r w:rsidRPr="00DA191F">
        <w:rPr>
          <w:rFonts w:ascii="Arial" w:hAnsi="Arial" w:cs="Arial"/>
        </w:rPr>
        <w:t xml:space="preserve">, vykazují subdodavatelskou závislost na nadnárodních koncernech a nemají prostor ani prostředky na realizaci vlastních nápadů. </w:t>
      </w:r>
      <w:r w:rsidR="006D6298">
        <w:rPr>
          <w:rFonts w:ascii="Arial" w:hAnsi="Arial" w:cs="Arial"/>
        </w:rPr>
        <w:t>Jimi přidaná hodnota u</w:t>
      </w:r>
      <w:r w:rsidRPr="00DA191F">
        <w:rPr>
          <w:rFonts w:ascii="Arial" w:hAnsi="Arial" w:cs="Arial"/>
        </w:rPr>
        <w:t xml:space="preserve"> nabízených produktů a služeb je nízká, </w:t>
      </w:r>
      <w:r w:rsidRPr="00DA191F">
        <w:rPr>
          <w:rFonts w:ascii="Arial" w:hAnsi="Arial" w:cs="Arial"/>
          <w:b/>
        </w:rPr>
        <w:t>konkurenceschopnost je vytvářena na základě nízkých mzdových nákladů</w:t>
      </w:r>
      <w:r w:rsidR="001F6D0A" w:rsidRPr="00DA191F">
        <w:rPr>
          <w:rFonts w:ascii="Arial" w:hAnsi="Arial" w:cs="Arial"/>
          <w:b/>
        </w:rPr>
        <w:t xml:space="preserve">, </w:t>
      </w:r>
      <w:r w:rsidR="001F6D0A" w:rsidRPr="00DA191F">
        <w:rPr>
          <w:rFonts w:ascii="Arial" w:hAnsi="Arial" w:cs="Arial"/>
        </w:rPr>
        <w:t xml:space="preserve">firmy vykazují vysoký podíl tzv. </w:t>
      </w:r>
      <w:proofErr w:type="spellStart"/>
      <w:r w:rsidR="001F6D0A" w:rsidRPr="00DA191F">
        <w:rPr>
          <w:rFonts w:ascii="Arial" w:hAnsi="Arial" w:cs="Arial"/>
        </w:rPr>
        <w:t>over-skilled</w:t>
      </w:r>
      <w:proofErr w:type="spellEnd"/>
      <w:r w:rsidR="001F6D0A" w:rsidRPr="00DA191F">
        <w:rPr>
          <w:rFonts w:ascii="Arial" w:hAnsi="Arial" w:cs="Arial"/>
        </w:rPr>
        <w:t xml:space="preserve"> zaměstnanců</w:t>
      </w:r>
      <w:r w:rsidRPr="00DA191F">
        <w:rPr>
          <w:rFonts w:ascii="Arial" w:hAnsi="Arial" w:cs="Arial"/>
        </w:rPr>
        <w:t>.</w:t>
      </w:r>
    </w:p>
    <w:p w:rsidR="00350655" w:rsidRDefault="00C15104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To vše se odehrává </w:t>
      </w:r>
      <w:r w:rsidR="001F6D0A" w:rsidRPr="00DA191F">
        <w:rPr>
          <w:rFonts w:ascii="Arial" w:hAnsi="Arial" w:cs="Arial"/>
        </w:rPr>
        <w:t xml:space="preserve">sice </w:t>
      </w:r>
      <w:r w:rsidRPr="00DA191F">
        <w:rPr>
          <w:rFonts w:ascii="Arial" w:hAnsi="Arial" w:cs="Arial"/>
        </w:rPr>
        <w:t>v podmínkách nízké nezaměstnanosti</w:t>
      </w:r>
      <w:r w:rsidR="003B3777">
        <w:rPr>
          <w:rFonts w:ascii="Arial" w:hAnsi="Arial" w:cs="Arial"/>
        </w:rPr>
        <w:t xml:space="preserve"> v ČR</w:t>
      </w:r>
      <w:r w:rsidRPr="00DA191F">
        <w:rPr>
          <w:rFonts w:ascii="Arial" w:hAnsi="Arial" w:cs="Arial"/>
        </w:rPr>
        <w:t xml:space="preserve">, </w:t>
      </w:r>
      <w:r w:rsidR="001F6D0A" w:rsidRPr="00DA191F">
        <w:rPr>
          <w:rFonts w:ascii="Arial" w:hAnsi="Arial" w:cs="Arial"/>
        </w:rPr>
        <w:t>avšak také</w:t>
      </w:r>
      <w:r w:rsidRPr="00DA191F">
        <w:rPr>
          <w:rFonts w:ascii="Arial" w:hAnsi="Arial" w:cs="Arial"/>
        </w:rPr>
        <w:t xml:space="preserve"> </w:t>
      </w:r>
      <w:r w:rsidR="001F6D0A" w:rsidRPr="00DA191F">
        <w:rPr>
          <w:rFonts w:ascii="Arial" w:hAnsi="Arial" w:cs="Arial"/>
        </w:rPr>
        <w:t>velmi nízkých</w:t>
      </w:r>
      <w:r w:rsidRPr="00DA191F">
        <w:rPr>
          <w:rFonts w:ascii="Arial" w:hAnsi="Arial" w:cs="Arial"/>
        </w:rPr>
        <w:t xml:space="preserve"> výdělk</w:t>
      </w:r>
      <w:r w:rsidR="001F6D0A" w:rsidRPr="00DA191F">
        <w:rPr>
          <w:rFonts w:ascii="Arial" w:hAnsi="Arial" w:cs="Arial"/>
        </w:rPr>
        <w:t>ů</w:t>
      </w:r>
      <w:r w:rsidRPr="00DA191F">
        <w:rPr>
          <w:rFonts w:ascii="Arial" w:hAnsi="Arial" w:cs="Arial"/>
        </w:rPr>
        <w:t xml:space="preserve"> zaměstnanců</w:t>
      </w:r>
      <w:r w:rsidR="001F6D0A" w:rsidRPr="00DA191F">
        <w:rPr>
          <w:rFonts w:ascii="Arial" w:hAnsi="Arial" w:cs="Arial"/>
        </w:rPr>
        <w:t xml:space="preserve"> v evropském měřítku. Důsledkem jsou </w:t>
      </w:r>
      <w:r w:rsidRPr="003B3777">
        <w:rPr>
          <w:rFonts w:ascii="Arial" w:hAnsi="Arial" w:cs="Arial"/>
          <w:b/>
        </w:rPr>
        <w:t>nízk</w:t>
      </w:r>
      <w:r w:rsidR="001F6D0A" w:rsidRPr="003B3777">
        <w:rPr>
          <w:rFonts w:ascii="Arial" w:hAnsi="Arial" w:cs="Arial"/>
          <w:b/>
        </w:rPr>
        <w:t>é</w:t>
      </w:r>
      <w:r w:rsidRPr="003B3777">
        <w:rPr>
          <w:rFonts w:ascii="Arial" w:hAnsi="Arial" w:cs="Arial"/>
          <w:b/>
        </w:rPr>
        <w:t xml:space="preserve"> příjm</w:t>
      </w:r>
      <w:r w:rsidR="001F6D0A" w:rsidRPr="003B3777">
        <w:rPr>
          <w:rFonts w:ascii="Arial" w:hAnsi="Arial" w:cs="Arial"/>
          <w:b/>
        </w:rPr>
        <w:t>y domácností a malé</w:t>
      </w:r>
      <w:r w:rsidRPr="003B3777">
        <w:rPr>
          <w:rFonts w:ascii="Arial" w:hAnsi="Arial" w:cs="Arial"/>
          <w:b/>
        </w:rPr>
        <w:t xml:space="preserve"> úspor</w:t>
      </w:r>
      <w:r w:rsidR="001F6D0A" w:rsidRPr="003B3777">
        <w:rPr>
          <w:rFonts w:ascii="Arial" w:hAnsi="Arial" w:cs="Arial"/>
          <w:b/>
        </w:rPr>
        <w:t>y</w:t>
      </w:r>
      <w:r w:rsidRPr="00DA191F">
        <w:rPr>
          <w:rFonts w:ascii="Arial" w:hAnsi="Arial" w:cs="Arial"/>
        </w:rPr>
        <w:t xml:space="preserve">. Zároveň české domácnosti </w:t>
      </w:r>
      <w:r w:rsidR="001F6D0A" w:rsidRPr="00DA191F">
        <w:rPr>
          <w:rFonts w:ascii="Arial" w:hAnsi="Arial" w:cs="Arial"/>
        </w:rPr>
        <w:t>vynaloží</w:t>
      </w:r>
      <w:r w:rsidRPr="00DA191F">
        <w:rPr>
          <w:rFonts w:ascii="Arial" w:hAnsi="Arial" w:cs="Arial"/>
        </w:rPr>
        <w:t xml:space="preserve"> více než 26</w:t>
      </w:r>
      <w:r w:rsidR="009A154E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 xml:space="preserve">% příjmů </w:t>
      </w:r>
      <w:r w:rsidR="001F6D0A" w:rsidRPr="00DA191F">
        <w:rPr>
          <w:rFonts w:ascii="Arial" w:hAnsi="Arial" w:cs="Arial"/>
        </w:rPr>
        <w:t>na</w:t>
      </w:r>
      <w:r w:rsidR="00901087">
        <w:rPr>
          <w:rFonts w:ascii="Arial" w:hAnsi="Arial" w:cs="Arial"/>
        </w:rPr>
        <w:t> </w:t>
      </w:r>
      <w:r w:rsidR="001F6D0A" w:rsidRPr="00DA191F">
        <w:rPr>
          <w:rFonts w:ascii="Arial" w:hAnsi="Arial" w:cs="Arial"/>
        </w:rPr>
        <w:t xml:space="preserve"> krytí výdajů </w:t>
      </w:r>
      <w:r w:rsidRPr="00DA191F">
        <w:rPr>
          <w:rFonts w:ascii="Arial" w:hAnsi="Arial" w:cs="Arial"/>
        </w:rPr>
        <w:t>za bydlení</w:t>
      </w:r>
      <w:r w:rsidR="001F6D0A" w:rsidRPr="00DA191F">
        <w:rPr>
          <w:rFonts w:ascii="Arial" w:hAnsi="Arial" w:cs="Arial"/>
        </w:rPr>
        <w:t>, což je ve srovnání s jinými evropskými státy vysoká hodnota</w:t>
      </w:r>
      <w:r w:rsidRPr="00DA191F">
        <w:rPr>
          <w:rFonts w:ascii="Arial" w:hAnsi="Arial" w:cs="Arial"/>
        </w:rPr>
        <w:t xml:space="preserve">. Z toho plyne </w:t>
      </w:r>
      <w:r w:rsidRPr="003B3777">
        <w:rPr>
          <w:rFonts w:ascii="Arial" w:hAnsi="Arial" w:cs="Arial"/>
          <w:b/>
        </w:rPr>
        <w:t>nízká kupní síla domácností v</w:t>
      </w:r>
      <w:r w:rsidR="001F6D0A" w:rsidRPr="003B3777">
        <w:rPr>
          <w:rFonts w:ascii="Arial" w:hAnsi="Arial" w:cs="Arial"/>
          <w:b/>
        </w:rPr>
        <w:t> </w:t>
      </w:r>
      <w:r w:rsidRPr="003B3777">
        <w:rPr>
          <w:rFonts w:ascii="Arial" w:hAnsi="Arial" w:cs="Arial"/>
          <w:b/>
        </w:rPr>
        <w:t>ČR</w:t>
      </w:r>
      <w:r w:rsidR="001F6D0A" w:rsidRPr="00DA191F">
        <w:rPr>
          <w:rFonts w:ascii="Arial" w:hAnsi="Arial" w:cs="Arial"/>
        </w:rPr>
        <w:t xml:space="preserve">, která představuje reálné </w:t>
      </w:r>
      <w:r w:rsidR="001F6D0A" w:rsidRPr="003B3777">
        <w:rPr>
          <w:rFonts w:ascii="Arial" w:hAnsi="Arial" w:cs="Arial"/>
          <w:b/>
        </w:rPr>
        <w:t>riziko pro</w:t>
      </w:r>
      <w:r w:rsidR="00901087">
        <w:rPr>
          <w:rFonts w:ascii="Arial" w:hAnsi="Arial" w:cs="Arial"/>
          <w:b/>
        </w:rPr>
        <w:t> </w:t>
      </w:r>
      <w:r w:rsidR="001F6D0A" w:rsidRPr="003B3777">
        <w:rPr>
          <w:rFonts w:ascii="Arial" w:hAnsi="Arial" w:cs="Arial"/>
          <w:b/>
        </w:rPr>
        <w:t>budoucí růst ekonomiky</w:t>
      </w:r>
      <w:r w:rsidRPr="00DA191F">
        <w:rPr>
          <w:rFonts w:ascii="Arial" w:hAnsi="Arial" w:cs="Arial"/>
        </w:rPr>
        <w:t>.</w:t>
      </w:r>
    </w:p>
    <w:p w:rsidR="003B3777" w:rsidRPr="00DA191F" w:rsidRDefault="003B3777" w:rsidP="005E1FCE">
      <w:pPr>
        <w:jc w:val="both"/>
        <w:rPr>
          <w:rFonts w:ascii="Arial" w:hAnsi="Arial" w:cs="Arial"/>
        </w:rPr>
      </w:pPr>
    </w:p>
    <w:p w:rsidR="00350655" w:rsidRPr="003B3777" w:rsidRDefault="00DA191F" w:rsidP="003B3777">
      <w:pPr>
        <w:pStyle w:val="Nadpis2"/>
        <w:numPr>
          <w:ilvl w:val="0"/>
          <w:numId w:val="4"/>
        </w:numPr>
        <w:spacing w:after="200"/>
        <w:ind w:left="714" w:hanging="357"/>
      </w:pPr>
      <w:bookmarkStart w:id="2" w:name="_Toc491159588"/>
      <w:r w:rsidRPr="003B3777">
        <w:t xml:space="preserve">Hlavní cíle pro finanční řízení systému </w:t>
      </w:r>
      <w:proofErr w:type="spellStart"/>
      <w:r w:rsidRPr="003B3777">
        <w:t>VaVaI</w:t>
      </w:r>
      <w:bookmarkEnd w:id="2"/>
      <w:proofErr w:type="spellEnd"/>
    </w:p>
    <w:p w:rsidR="00024100" w:rsidRPr="00DA191F" w:rsidRDefault="00794620" w:rsidP="005E1FCE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Na </w:t>
      </w:r>
      <w:r w:rsidR="00DA191F">
        <w:rPr>
          <w:rFonts w:ascii="Arial" w:hAnsi="Arial" w:cs="Arial"/>
        </w:rPr>
        <w:t>výše uvedené nedostatky</w:t>
      </w:r>
      <w:r w:rsidRPr="00DA191F">
        <w:rPr>
          <w:rFonts w:ascii="Arial" w:hAnsi="Arial" w:cs="Arial"/>
        </w:rPr>
        <w:t xml:space="preserve"> reagovala </w:t>
      </w:r>
      <w:r w:rsidR="00DA191F">
        <w:rPr>
          <w:rFonts w:ascii="Arial" w:hAnsi="Arial" w:cs="Arial"/>
        </w:rPr>
        <w:t xml:space="preserve">současná </w:t>
      </w:r>
      <w:r w:rsidRPr="00DA191F">
        <w:rPr>
          <w:rFonts w:ascii="Arial" w:hAnsi="Arial" w:cs="Arial"/>
        </w:rPr>
        <w:t xml:space="preserve">vláda ve svém </w:t>
      </w:r>
      <w:r w:rsidRPr="003B3777">
        <w:rPr>
          <w:rFonts w:ascii="Arial" w:hAnsi="Arial" w:cs="Arial"/>
          <w:b/>
        </w:rPr>
        <w:t>programovém prohlášení</w:t>
      </w:r>
      <w:r w:rsidR="00DA191F">
        <w:rPr>
          <w:rFonts w:ascii="Arial" w:hAnsi="Arial" w:cs="Arial"/>
        </w:rPr>
        <w:t xml:space="preserve"> a následně schválením</w:t>
      </w:r>
      <w:r w:rsidRPr="00DA191F">
        <w:rPr>
          <w:rFonts w:ascii="Arial" w:hAnsi="Arial" w:cs="Arial"/>
        </w:rPr>
        <w:t xml:space="preserve"> </w:t>
      </w:r>
      <w:r w:rsidRPr="003B3777">
        <w:rPr>
          <w:rFonts w:ascii="Arial" w:hAnsi="Arial" w:cs="Arial"/>
          <w:b/>
        </w:rPr>
        <w:t>Národní politik</w:t>
      </w:r>
      <w:r w:rsidR="00DA191F" w:rsidRPr="003B3777">
        <w:rPr>
          <w:rFonts w:ascii="Arial" w:hAnsi="Arial" w:cs="Arial"/>
          <w:b/>
        </w:rPr>
        <w:t>y</w:t>
      </w:r>
      <w:r w:rsidRPr="003B3777">
        <w:rPr>
          <w:rFonts w:ascii="Arial" w:hAnsi="Arial" w:cs="Arial"/>
          <w:b/>
        </w:rPr>
        <w:t xml:space="preserve"> </w:t>
      </w:r>
      <w:r w:rsidR="00241729" w:rsidRPr="003B3777">
        <w:rPr>
          <w:rFonts w:ascii="Arial" w:hAnsi="Arial" w:cs="Arial"/>
          <w:b/>
        </w:rPr>
        <w:t>výzkumu vývoje a inovací</w:t>
      </w:r>
      <w:r w:rsidR="00DA191F" w:rsidRPr="003B3777">
        <w:rPr>
          <w:rFonts w:ascii="Arial" w:hAnsi="Arial" w:cs="Arial"/>
          <w:b/>
        </w:rPr>
        <w:t xml:space="preserve"> na léta 2016 </w:t>
      </w:r>
      <w:r w:rsidR="00661AF0">
        <w:rPr>
          <w:rFonts w:ascii="Arial" w:hAnsi="Arial" w:cs="Arial"/>
          <w:b/>
        </w:rPr>
        <w:t>–</w:t>
      </w:r>
      <w:r w:rsidR="00DA191F" w:rsidRPr="003B3777">
        <w:rPr>
          <w:rFonts w:ascii="Arial" w:hAnsi="Arial" w:cs="Arial"/>
          <w:b/>
        </w:rPr>
        <w:t xml:space="preserve"> 2020</w:t>
      </w:r>
      <w:r w:rsidR="00661AF0">
        <w:rPr>
          <w:rFonts w:ascii="Arial" w:hAnsi="Arial" w:cs="Arial"/>
          <w:b/>
        </w:rPr>
        <w:t xml:space="preserve"> </w:t>
      </w:r>
      <w:r w:rsidR="00661AF0">
        <w:rPr>
          <w:rFonts w:ascii="Arial" w:hAnsi="Arial" w:cs="Arial"/>
        </w:rPr>
        <w:t xml:space="preserve">(dále jen „NP </w:t>
      </w:r>
      <w:proofErr w:type="spellStart"/>
      <w:r w:rsidR="00661AF0">
        <w:rPr>
          <w:rFonts w:ascii="Arial" w:hAnsi="Arial" w:cs="Arial"/>
        </w:rPr>
        <w:t>VaVaI</w:t>
      </w:r>
      <w:proofErr w:type="spellEnd"/>
      <w:r w:rsidR="00661AF0">
        <w:rPr>
          <w:rFonts w:ascii="Arial" w:hAnsi="Arial" w:cs="Arial"/>
        </w:rPr>
        <w:t>“)</w:t>
      </w:r>
      <w:r w:rsidR="00DA191F">
        <w:rPr>
          <w:rFonts w:ascii="Arial" w:hAnsi="Arial" w:cs="Arial"/>
        </w:rPr>
        <w:t xml:space="preserve">. Tento zastřešující strategický dokument pro oblast </w:t>
      </w:r>
      <w:proofErr w:type="spellStart"/>
      <w:r w:rsidR="00DA191F">
        <w:rPr>
          <w:rFonts w:ascii="Arial" w:hAnsi="Arial" w:cs="Arial"/>
        </w:rPr>
        <w:t>VaVaI</w:t>
      </w:r>
      <w:proofErr w:type="spellEnd"/>
      <w:r w:rsidRPr="00DA191F">
        <w:rPr>
          <w:rFonts w:ascii="Arial" w:hAnsi="Arial" w:cs="Arial"/>
        </w:rPr>
        <w:t xml:space="preserve"> stanov</w:t>
      </w:r>
      <w:r w:rsidR="00DA191F">
        <w:rPr>
          <w:rFonts w:ascii="Arial" w:hAnsi="Arial" w:cs="Arial"/>
        </w:rPr>
        <w:t xml:space="preserve">uje </w:t>
      </w:r>
      <w:r w:rsidRPr="00DA191F">
        <w:rPr>
          <w:rFonts w:ascii="Arial" w:hAnsi="Arial" w:cs="Arial"/>
        </w:rPr>
        <w:t xml:space="preserve">konkrétní </w:t>
      </w:r>
      <w:r w:rsidR="00DA191F">
        <w:rPr>
          <w:rFonts w:ascii="Arial" w:hAnsi="Arial" w:cs="Arial"/>
        </w:rPr>
        <w:t>implementační opatření</w:t>
      </w:r>
      <w:r w:rsidRPr="00DA191F">
        <w:rPr>
          <w:rFonts w:ascii="Arial" w:hAnsi="Arial" w:cs="Arial"/>
        </w:rPr>
        <w:t xml:space="preserve"> včetně </w:t>
      </w:r>
      <w:r w:rsidR="00DA191F">
        <w:rPr>
          <w:rFonts w:ascii="Arial" w:hAnsi="Arial" w:cs="Arial"/>
        </w:rPr>
        <w:t xml:space="preserve">odpovědných </w:t>
      </w:r>
      <w:r w:rsidRPr="00DA191F">
        <w:rPr>
          <w:rFonts w:ascii="Arial" w:hAnsi="Arial" w:cs="Arial"/>
        </w:rPr>
        <w:t>gestorů</w:t>
      </w:r>
      <w:r w:rsidR="00DA191F">
        <w:rPr>
          <w:rFonts w:ascii="Arial" w:hAnsi="Arial" w:cs="Arial"/>
        </w:rPr>
        <w:t xml:space="preserve"> – orgánů státní správy a</w:t>
      </w:r>
      <w:r w:rsidR="00901087">
        <w:rPr>
          <w:rFonts w:ascii="Arial" w:hAnsi="Arial" w:cs="Arial"/>
        </w:rPr>
        <w:t> </w:t>
      </w:r>
      <w:r w:rsidR="00DA191F">
        <w:rPr>
          <w:rFonts w:ascii="Arial" w:hAnsi="Arial" w:cs="Arial"/>
        </w:rPr>
        <w:t>organizačních složek státu</w:t>
      </w:r>
      <w:r w:rsidRPr="00DA191F">
        <w:rPr>
          <w:rFonts w:ascii="Arial" w:hAnsi="Arial" w:cs="Arial"/>
        </w:rPr>
        <w:t xml:space="preserve">. </w:t>
      </w:r>
      <w:r w:rsidR="00340B05" w:rsidRPr="00DA191F">
        <w:rPr>
          <w:rFonts w:ascii="Arial" w:hAnsi="Arial" w:cs="Arial"/>
        </w:rPr>
        <w:t>Úkoly související se sektorovou orientací</w:t>
      </w:r>
      <w:r w:rsidR="00261CDF">
        <w:rPr>
          <w:rFonts w:ascii="Arial" w:hAnsi="Arial" w:cs="Arial"/>
        </w:rPr>
        <w:t xml:space="preserve"> jsou</w:t>
      </w:r>
      <w:r w:rsidR="00340B05" w:rsidRPr="00DA191F">
        <w:rPr>
          <w:rFonts w:ascii="Arial" w:hAnsi="Arial" w:cs="Arial"/>
        </w:rPr>
        <w:t xml:space="preserve"> </w:t>
      </w:r>
      <w:r w:rsidR="00DA191F">
        <w:rPr>
          <w:rFonts w:ascii="Arial" w:hAnsi="Arial" w:cs="Arial"/>
        </w:rPr>
        <w:t>podrobněji rozvedeny v</w:t>
      </w:r>
      <w:r w:rsidR="00340B05" w:rsidRPr="00DA191F">
        <w:rPr>
          <w:rFonts w:ascii="Arial" w:hAnsi="Arial" w:cs="Arial"/>
        </w:rPr>
        <w:t xml:space="preserve"> </w:t>
      </w:r>
      <w:r w:rsidR="00340B05" w:rsidRPr="003B3777">
        <w:rPr>
          <w:rFonts w:ascii="Arial" w:hAnsi="Arial" w:cs="Arial"/>
          <w:b/>
        </w:rPr>
        <w:t>Národní RIS3 strategi</w:t>
      </w:r>
      <w:r w:rsidR="00DA191F" w:rsidRPr="003B3777">
        <w:rPr>
          <w:rFonts w:ascii="Arial" w:hAnsi="Arial" w:cs="Arial"/>
          <w:b/>
        </w:rPr>
        <w:t>i</w:t>
      </w:r>
      <w:r w:rsidR="00340B05" w:rsidRPr="003B3777">
        <w:rPr>
          <w:rFonts w:ascii="Arial" w:hAnsi="Arial" w:cs="Arial"/>
          <w:b/>
        </w:rPr>
        <w:t>.</w:t>
      </w:r>
      <w:r w:rsidR="00340B05" w:rsidRPr="00DA191F">
        <w:rPr>
          <w:rFonts w:ascii="Arial" w:hAnsi="Arial" w:cs="Arial"/>
        </w:rPr>
        <w:t xml:space="preserve"> </w:t>
      </w:r>
      <w:r w:rsidR="00241729" w:rsidRPr="00DA191F">
        <w:rPr>
          <w:rFonts w:ascii="Arial" w:hAnsi="Arial" w:cs="Arial"/>
        </w:rPr>
        <w:t>Strategická O</w:t>
      </w:r>
      <w:r w:rsidRPr="00DA191F">
        <w:rPr>
          <w:rFonts w:ascii="Arial" w:hAnsi="Arial" w:cs="Arial"/>
        </w:rPr>
        <w:t xml:space="preserve">patření s vazbou na způsob financování </w:t>
      </w:r>
      <w:r w:rsidR="00340B05" w:rsidRPr="003B3777">
        <w:rPr>
          <w:rFonts w:ascii="Arial" w:hAnsi="Arial" w:cs="Arial"/>
          <w:b/>
        </w:rPr>
        <w:t>výzkumných center a výzkumných infrastruktur</w:t>
      </w:r>
      <w:r w:rsidR="00340B05" w:rsidRPr="00DA191F">
        <w:rPr>
          <w:rFonts w:ascii="Arial" w:hAnsi="Arial" w:cs="Arial"/>
        </w:rPr>
        <w:t xml:space="preserve"> </w:t>
      </w:r>
      <w:r w:rsidR="00241729" w:rsidRPr="00DA191F">
        <w:rPr>
          <w:rFonts w:ascii="Arial" w:hAnsi="Arial" w:cs="Arial"/>
        </w:rPr>
        <w:t xml:space="preserve">stanovila vláda svým usnesením </w:t>
      </w:r>
      <w:r w:rsidR="00D85778">
        <w:rPr>
          <w:rFonts w:ascii="Arial" w:hAnsi="Arial" w:cs="Arial"/>
        </w:rPr>
        <w:t xml:space="preserve">ze dne 21. prosince 2015 </w:t>
      </w:r>
      <w:r w:rsidR="00DA191F">
        <w:rPr>
          <w:rFonts w:ascii="Arial" w:hAnsi="Arial" w:cs="Arial"/>
        </w:rPr>
        <w:t xml:space="preserve">č. </w:t>
      </w:r>
      <w:r w:rsidR="00241729" w:rsidRPr="00DA191F">
        <w:rPr>
          <w:rFonts w:ascii="Arial" w:hAnsi="Arial" w:cs="Arial"/>
        </w:rPr>
        <w:t>1067.</w:t>
      </w:r>
    </w:p>
    <w:p w:rsidR="00BB3D9E" w:rsidRPr="00DA191F" w:rsidRDefault="00BB3D9E" w:rsidP="00BB3D9E">
      <w:pPr>
        <w:jc w:val="both"/>
        <w:rPr>
          <w:rFonts w:ascii="Arial" w:hAnsi="Arial" w:cs="Arial"/>
          <w:b/>
        </w:rPr>
      </w:pPr>
      <w:r w:rsidRPr="00DA191F">
        <w:rPr>
          <w:rFonts w:ascii="Arial" w:hAnsi="Arial" w:cs="Arial"/>
          <w:b/>
        </w:rPr>
        <w:t>Oblast působení prostředků SR je nutno směřovat k dosažení následujících cílů</w:t>
      </w:r>
      <w:r w:rsidR="00DA191F">
        <w:rPr>
          <w:rFonts w:ascii="Arial" w:hAnsi="Arial" w:cs="Arial"/>
          <w:b/>
        </w:rPr>
        <w:t>:</w:t>
      </w:r>
    </w:p>
    <w:p w:rsidR="003B3777" w:rsidRPr="003B3777" w:rsidRDefault="00BB3D9E" w:rsidP="003B3777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  <w:b/>
        </w:rPr>
      </w:pPr>
      <w:r w:rsidRPr="003B3777">
        <w:rPr>
          <w:rFonts w:ascii="Arial" w:hAnsi="Arial" w:cs="Arial"/>
          <w:b/>
        </w:rPr>
        <w:t xml:space="preserve">Nastartovat motivační efekt podpory v podnikatelském sektoru </w:t>
      </w:r>
      <w:r w:rsidRPr="003B3777">
        <w:rPr>
          <w:rFonts w:ascii="Arial" w:hAnsi="Arial" w:cs="Arial"/>
        </w:rPr>
        <w:t xml:space="preserve">tak, aby podniky na základě státní intervence investovaly do </w:t>
      </w:r>
      <w:proofErr w:type="spellStart"/>
      <w:r w:rsidRPr="003B3777">
        <w:rPr>
          <w:rFonts w:ascii="Arial" w:hAnsi="Arial" w:cs="Arial"/>
        </w:rPr>
        <w:t>VaV</w:t>
      </w:r>
      <w:proofErr w:type="spellEnd"/>
      <w:r w:rsidRPr="003B3777">
        <w:rPr>
          <w:rFonts w:ascii="Arial" w:hAnsi="Arial" w:cs="Arial"/>
        </w:rPr>
        <w:t xml:space="preserve"> více vlastních prostředků a </w:t>
      </w:r>
      <w:r w:rsidRPr="003B3777">
        <w:rPr>
          <w:rFonts w:ascii="Arial" w:hAnsi="Arial" w:cs="Arial"/>
          <w:b/>
        </w:rPr>
        <w:t>nahradit tak chybějící prostředky z ESIF po roce 2020, resp. 2023</w:t>
      </w:r>
      <w:r w:rsidR="003B3777">
        <w:rPr>
          <w:rFonts w:ascii="Arial" w:hAnsi="Arial" w:cs="Arial"/>
          <w:b/>
        </w:rPr>
        <w:t>.</w:t>
      </w:r>
    </w:p>
    <w:p w:rsidR="003B3777" w:rsidRPr="003B3777" w:rsidRDefault="00BB3D9E" w:rsidP="003B3777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  <w:b/>
        </w:rPr>
      </w:pPr>
      <w:r w:rsidRPr="003B3777">
        <w:rPr>
          <w:rFonts w:ascii="Arial" w:hAnsi="Arial" w:cs="Arial"/>
          <w:b/>
        </w:rPr>
        <w:lastRenderedPageBreak/>
        <w:t xml:space="preserve">Posílit důvěru </w:t>
      </w:r>
      <w:r w:rsidR="0002667A" w:rsidRPr="003B3777">
        <w:rPr>
          <w:rFonts w:ascii="Arial" w:hAnsi="Arial" w:cs="Arial"/>
          <w:b/>
        </w:rPr>
        <w:t xml:space="preserve">zástupců </w:t>
      </w:r>
      <w:r w:rsidRPr="003B3777">
        <w:rPr>
          <w:rFonts w:ascii="Arial" w:hAnsi="Arial" w:cs="Arial"/>
          <w:b/>
        </w:rPr>
        <w:t xml:space="preserve">podnikatelského sektoru ve veřejný výzkum </w:t>
      </w:r>
      <w:r w:rsidRPr="003B3777">
        <w:rPr>
          <w:rFonts w:ascii="Arial" w:hAnsi="Arial" w:cs="Arial"/>
        </w:rPr>
        <w:t>tak, aby jej</w:t>
      </w:r>
      <w:r w:rsidR="003B3777" w:rsidRPr="003B3777">
        <w:rPr>
          <w:rFonts w:ascii="Arial" w:hAnsi="Arial" w:cs="Arial"/>
        </w:rPr>
        <w:t xml:space="preserve"> pro své potřeby více využívali</w:t>
      </w:r>
      <w:r w:rsidR="003B3777">
        <w:rPr>
          <w:rFonts w:ascii="Arial" w:hAnsi="Arial" w:cs="Arial"/>
        </w:rPr>
        <w:t>.</w:t>
      </w:r>
    </w:p>
    <w:p w:rsidR="003B3777" w:rsidRDefault="0002667A" w:rsidP="00AE7498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>K</w:t>
      </w:r>
      <w:r w:rsidR="00BB3D9E" w:rsidRPr="003B3777">
        <w:rPr>
          <w:rFonts w:ascii="Arial" w:hAnsi="Arial" w:cs="Arial"/>
          <w:b/>
        </w:rPr>
        <w:t xml:space="preserve">lást větší důraz na výzkum a vývoj v zásadních / přelomových oblastech </w:t>
      </w:r>
      <w:r w:rsidR="00BB3D9E" w:rsidRPr="003B3777">
        <w:rPr>
          <w:rFonts w:ascii="Arial" w:hAnsi="Arial" w:cs="Arial"/>
        </w:rPr>
        <w:t>jednotlivých vědních oborů, jejichž výsledky bude vhodné mezinárodně chránit.</w:t>
      </w:r>
    </w:p>
    <w:p w:rsidR="003B3777" w:rsidRPr="003B3777" w:rsidRDefault="00DA191F" w:rsidP="00AE7498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>P</w:t>
      </w:r>
      <w:r w:rsidR="00AE7498" w:rsidRPr="003B3777">
        <w:rPr>
          <w:rFonts w:ascii="Arial" w:hAnsi="Arial" w:cs="Arial"/>
          <w:b/>
        </w:rPr>
        <w:t>odporovat</w:t>
      </w:r>
      <w:r w:rsidR="00AE7498" w:rsidRPr="003B3777">
        <w:rPr>
          <w:rFonts w:ascii="Arial" w:hAnsi="Arial" w:cs="Arial"/>
        </w:rPr>
        <w:t xml:space="preserve"> </w:t>
      </w:r>
      <w:r w:rsidR="00AE7498" w:rsidRPr="003B3777">
        <w:rPr>
          <w:rFonts w:ascii="Arial" w:hAnsi="Arial" w:cs="Arial"/>
          <w:b/>
        </w:rPr>
        <w:t>výzkumnou základnu, tvořenou jak infrastrukturami</w:t>
      </w:r>
      <w:r w:rsidR="00AE7498" w:rsidRPr="003B3777">
        <w:rPr>
          <w:rFonts w:ascii="Arial" w:hAnsi="Arial" w:cs="Arial"/>
        </w:rPr>
        <w:t xml:space="preserve"> (nejenom budov</w:t>
      </w:r>
      <w:r w:rsidR="003B3777" w:rsidRPr="003B3777">
        <w:rPr>
          <w:rFonts w:ascii="Arial" w:hAnsi="Arial" w:cs="Arial"/>
        </w:rPr>
        <w:t xml:space="preserve">ami, </w:t>
      </w:r>
      <w:r w:rsidR="00AE7498" w:rsidRPr="003B3777">
        <w:rPr>
          <w:rFonts w:ascii="Arial" w:hAnsi="Arial" w:cs="Arial"/>
        </w:rPr>
        <w:t>ale především přístrojov</w:t>
      </w:r>
      <w:r w:rsidR="00340B05" w:rsidRPr="003B3777">
        <w:rPr>
          <w:rFonts w:ascii="Arial" w:hAnsi="Arial" w:cs="Arial"/>
        </w:rPr>
        <w:t>ým</w:t>
      </w:r>
      <w:r w:rsidR="00AE7498" w:rsidRPr="003B3777">
        <w:rPr>
          <w:rFonts w:ascii="Arial" w:hAnsi="Arial" w:cs="Arial"/>
        </w:rPr>
        <w:t xml:space="preserve"> vybavení</w:t>
      </w:r>
      <w:r w:rsidR="00340B05" w:rsidRPr="003B3777">
        <w:rPr>
          <w:rFonts w:ascii="Arial" w:hAnsi="Arial" w:cs="Arial"/>
        </w:rPr>
        <w:t>m</w:t>
      </w:r>
      <w:r w:rsidR="00AE7498" w:rsidRPr="003B3777">
        <w:rPr>
          <w:rFonts w:ascii="Arial" w:hAnsi="Arial" w:cs="Arial"/>
        </w:rPr>
        <w:t xml:space="preserve"> nezbytn</w:t>
      </w:r>
      <w:r w:rsidR="00340B05" w:rsidRPr="003B3777">
        <w:rPr>
          <w:rFonts w:ascii="Arial" w:hAnsi="Arial" w:cs="Arial"/>
        </w:rPr>
        <w:t>ým</w:t>
      </w:r>
      <w:r w:rsidR="00AE7498" w:rsidRPr="003B3777">
        <w:rPr>
          <w:rFonts w:ascii="Arial" w:hAnsi="Arial" w:cs="Arial"/>
        </w:rPr>
        <w:t xml:space="preserve"> pro většinu oborů </w:t>
      </w:r>
      <w:proofErr w:type="spellStart"/>
      <w:r w:rsidR="00AE7498" w:rsidRPr="003B3777">
        <w:rPr>
          <w:rFonts w:ascii="Arial" w:hAnsi="Arial" w:cs="Arial"/>
        </w:rPr>
        <w:t>VaV</w:t>
      </w:r>
      <w:proofErr w:type="spellEnd"/>
      <w:r w:rsidR="00AE7498" w:rsidRPr="003B3777">
        <w:rPr>
          <w:rFonts w:ascii="Arial" w:hAnsi="Arial" w:cs="Arial"/>
        </w:rPr>
        <w:t xml:space="preserve">), </w:t>
      </w:r>
      <w:r w:rsidR="00AE7498" w:rsidRPr="003B3777">
        <w:rPr>
          <w:rFonts w:ascii="Arial" w:hAnsi="Arial" w:cs="Arial"/>
          <w:b/>
        </w:rPr>
        <w:t>tak lidskými zdroji</w:t>
      </w:r>
      <w:r w:rsidR="003B3777" w:rsidRPr="003B3777">
        <w:rPr>
          <w:rFonts w:ascii="Arial" w:hAnsi="Arial" w:cs="Arial"/>
          <w:b/>
        </w:rPr>
        <w:t>,</w:t>
      </w:r>
      <w:r w:rsidR="001F6D0A" w:rsidRPr="003B3777">
        <w:rPr>
          <w:rFonts w:ascii="Arial" w:hAnsi="Arial" w:cs="Arial"/>
          <w:b/>
        </w:rPr>
        <w:t xml:space="preserve"> a to se zvláštním důrazem na </w:t>
      </w:r>
      <w:r w:rsidR="00340B05" w:rsidRPr="003B3777">
        <w:rPr>
          <w:rFonts w:ascii="Arial" w:hAnsi="Arial" w:cs="Arial"/>
          <w:b/>
        </w:rPr>
        <w:t xml:space="preserve">aplikovaný </w:t>
      </w:r>
      <w:proofErr w:type="spellStart"/>
      <w:r w:rsidR="001F6D0A" w:rsidRPr="003B3777">
        <w:rPr>
          <w:rFonts w:ascii="Arial" w:hAnsi="Arial" w:cs="Arial"/>
          <w:b/>
        </w:rPr>
        <w:t>VaV</w:t>
      </w:r>
      <w:proofErr w:type="spellEnd"/>
      <w:r w:rsidR="003B3777">
        <w:rPr>
          <w:rFonts w:ascii="Arial" w:hAnsi="Arial" w:cs="Arial"/>
          <w:b/>
        </w:rPr>
        <w:t>.</w:t>
      </w:r>
      <w:r w:rsidR="003B3777" w:rsidRPr="003B3777">
        <w:rPr>
          <w:rFonts w:ascii="Arial" w:hAnsi="Arial" w:cs="Arial"/>
          <w:b/>
        </w:rPr>
        <w:t xml:space="preserve"> </w:t>
      </w:r>
    </w:p>
    <w:p w:rsidR="003B3777" w:rsidRPr="003B3777" w:rsidRDefault="003B3777" w:rsidP="00AE7498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 xml:space="preserve">Vytvořit sektorová centra aplikovaného výzkumu </w:t>
      </w:r>
      <w:r w:rsidRPr="003B3777">
        <w:rPr>
          <w:rFonts w:ascii="Arial" w:hAnsi="Arial" w:cs="Arial"/>
        </w:rPr>
        <w:t xml:space="preserve">využitím potenciálu center </w:t>
      </w:r>
      <w:proofErr w:type="spellStart"/>
      <w:r w:rsidRPr="003B3777">
        <w:rPr>
          <w:rFonts w:ascii="Arial" w:hAnsi="Arial" w:cs="Arial"/>
        </w:rPr>
        <w:t>VaV</w:t>
      </w:r>
      <w:proofErr w:type="spellEnd"/>
      <w:r w:rsidRPr="003B3777">
        <w:rPr>
          <w:rFonts w:ascii="Arial" w:hAnsi="Arial" w:cs="Arial"/>
        </w:rPr>
        <w:t xml:space="preserve"> již vybudovaných z prostředků SF EU (zejména OP </w:t>
      </w:r>
      <w:proofErr w:type="spellStart"/>
      <w:r w:rsidRPr="003B3777">
        <w:rPr>
          <w:rFonts w:ascii="Arial" w:hAnsi="Arial" w:cs="Arial"/>
        </w:rPr>
        <w:t>VaVpI</w:t>
      </w:r>
      <w:proofErr w:type="spellEnd"/>
      <w:r w:rsidRPr="003B3777">
        <w:rPr>
          <w:rFonts w:ascii="Arial" w:hAnsi="Arial" w:cs="Arial"/>
        </w:rPr>
        <w:t>) jako základnu pro</w:t>
      </w:r>
      <w:r w:rsidR="00901087">
        <w:rPr>
          <w:rFonts w:ascii="Arial" w:hAnsi="Arial" w:cs="Arial"/>
        </w:rPr>
        <w:t> </w:t>
      </w:r>
      <w:r w:rsidRPr="003B3777">
        <w:rPr>
          <w:rFonts w:ascii="Arial" w:hAnsi="Arial" w:cs="Arial"/>
          <w:b/>
        </w:rPr>
        <w:t>dlouhodobou spolupráci v aplikovaném výzkumu.</w:t>
      </w:r>
    </w:p>
    <w:p w:rsidR="003B3777" w:rsidRDefault="00736F5D" w:rsidP="00FA6230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>P</w:t>
      </w:r>
      <w:r w:rsidR="00AE7498" w:rsidRPr="003B3777">
        <w:rPr>
          <w:rFonts w:ascii="Arial" w:hAnsi="Arial" w:cs="Arial"/>
          <w:b/>
        </w:rPr>
        <w:t>řitáhnout nadané lidi</w:t>
      </w:r>
      <w:r w:rsidR="00AE7498" w:rsidRPr="003B3777">
        <w:rPr>
          <w:rFonts w:ascii="Arial" w:hAnsi="Arial" w:cs="Arial"/>
        </w:rPr>
        <w:t xml:space="preserve"> s vysokým tvůrčím potenciálem na česká výzkumná pracoviště vybavená moderními technologiemi. </w:t>
      </w:r>
    </w:p>
    <w:p w:rsidR="003B3777" w:rsidRPr="003B3777" w:rsidRDefault="00B84480" w:rsidP="00FA6230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 xml:space="preserve">Dlouhodobě vést a kultivovat </w:t>
      </w:r>
      <w:r w:rsidR="00FA6230" w:rsidRPr="003B3777">
        <w:rPr>
          <w:rFonts w:ascii="Arial" w:hAnsi="Arial" w:cs="Arial"/>
          <w:b/>
        </w:rPr>
        <w:t>cílen</w:t>
      </w:r>
      <w:r w:rsidRPr="003B3777">
        <w:rPr>
          <w:rFonts w:ascii="Arial" w:hAnsi="Arial" w:cs="Arial"/>
          <w:b/>
        </w:rPr>
        <w:t>ou</w:t>
      </w:r>
      <w:r w:rsidR="00FA6230" w:rsidRPr="003B3777">
        <w:rPr>
          <w:rFonts w:ascii="Arial" w:hAnsi="Arial" w:cs="Arial"/>
          <w:b/>
        </w:rPr>
        <w:t xml:space="preserve"> diskusi se </w:t>
      </w:r>
      <w:proofErr w:type="spellStart"/>
      <w:r w:rsidR="00FA6230" w:rsidRPr="003B3777">
        <w:rPr>
          <w:rFonts w:ascii="Arial" w:hAnsi="Arial" w:cs="Arial"/>
          <w:b/>
        </w:rPr>
        <w:t>stakeholdery</w:t>
      </w:r>
      <w:proofErr w:type="spellEnd"/>
      <w:r w:rsidR="00FA6230" w:rsidRPr="003B3777">
        <w:rPr>
          <w:rFonts w:ascii="Arial" w:hAnsi="Arial" w:cs="Arial"/>
          <w:b/>
        </w:rPr>
        <w:t xml:space="preserve"> v oblasti průmyslu </w:t>
      </w:r>
      <w:r w:rsidR="00FA6230" w:rsidRPr="003B3777">
        <w:rPr>
          <w:rFonts w:ascii="Arial" w:hAnsi="Arial" w:cs="Arial"/>
        </w:rPr>
        <w:t>a souvisejících služeb</w:t>
      </w:r>
      <w:r w:rsidRPr="003B3777">
        <w:rPr>
          <w:rFonts w:ascii="Arial" w:hAnsi="Arial" w:cs="Arial"/>
        </w:rPr>
        <w:t xml:space="preserve"> a tím rozvíjet </w:t>
      </w:r>
      <w:r w:rsidR="00FA6230" w:rsidRPr="003B3777">
        <w:rPr>
          <w:rFonts w:ascii="Arial" w:hAnsi="Arial" w:cs="Arial"/>
        </w:rPr>
        <w:t xml:space="preserve">tzv. </w:t>
      </w:r>
      <w:r w:rsidR="00FA6230" w:rsidRPr="003B3777">
        <w:rPr>
          <w:rFonts w:ascii="Arial" w:hAnsi="Arial" w:cs="Arial"/>
          <w:b/>
        </w:rPr>
        <w:t>sektorový pohled na</w:t>
      </w:r>
      <w:r w:rsidR="00901087">
        <w:rPr>
          <w:rFonts w:ascii="Arial" w:hAnsi="Arial" w:cs="Arial"/>
          <w:b/>
        </w:rPr>
        <w:t> </w:t>
      </w:r>
      <w:r w:rsidR="00FA6230" w:rsidRPr="003B3777">
        <w:rPr>
          <w:rFonts w:ascii="Arial" w:hAnsi="Arial" w:cs="Arial"/>
          <w:b/>
        </w:rPr>
        <w:t xml:space="preserve">problematiku </w:t>
      </w:r>
      <w:proofErr w:type="spellStart"/>
      <w:r w:rsidR="00FA6230" w:rsidRPr="003B3777">
        <w:rPr>
          <w:rFonts w:ascii="Arial" w:hAnsi="Arial" w:cs="Arial"/>
          <w:b/>
        </w:rPr>
        <w:t>VaV</w:t>
      </w:r>
      <w:proofErr w:type="spellEnd"/>
      <w:r w:rsidR="00FA6230" w:rsidRPr="003B3777">
        <w:rPr>
          <w:rFonts w:ascii="Arial" w:hAnsi="Arial" w:cs="Arial"/>
          <w:b/>
        </w:rPr>
        <w:t xml:space="preserve"> </w:t>
      </w:r>
      <w:r w:rsidRPr="003B3777">
        <w:rPr>
          <w:rFonts w:ascii="Arial" w:hAnsi="Arial" w:cs="Arial"/>
          <w:b/>
        </w:rPr>
        <w:t xml:space="preserve">pro potřeby </w:t>
      </w:r>
      <w:r w:rsidR="00FA6230" w:rsidRPr="003B3777">
        <w:rPr>
          <w:rFonts w:ascii="Arial" w:hAnsi="Arial" w:cs="Arial"/>
          <w:b/>
        </w:rPr>
        <w:t>průmyslu</w:t>
      </w:r>
      <w:r w:rsidRPr="003B3777">
        <w:rPr>
          <w:rFonts w:ascii="Arial" w:hAnsi="Arial" w:cs="Arial"/>
          <w:b/>
        </w:rPr>
        <w:t xml:space="preserve">. </w:t>
      </w:r>
    </w:p>
    <w:p w:rsidR="000D73FC" w:rsidRDefault="00017155" w:rsidP="00FA6230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</w:rPr>
      </w:pPr>
      <w:r w:rsidRPr="003B3777">
        <w:rPr>
          <w:rFonts w:ascii="Arial" w:hAnsi="Arial" w:cs="Arial"/>
          <w:b/>
        </w:rPr>
        <w:t>Posílit mezinárodní spolupráci v aplikovaném výzkumu</w:t>
      </w:r>
      <w:r w:rsidRPr="003B3777">
        <w:rPr>
          <w:rFonts w:ascii="Arial" w:hAnsi="Arial" w:cs="Arial"/>
        </w:rPr>
        <w:t xml:space="preserve"> a zvýšit zapojení </w:t>
      </w:r>
      <w:r w:rsidR="00E61E87" w:rsidRPr="003B3777">
        <w:rPr>
          <w:rFonts w:ascii="Arial" w:hAnsi="Arial" w:cs="Arial"/>
        </w:rPr>
        <w:t>začínajících</w:t>
      </w:r>
      <w:r w:rsidRPr="003B3777">
        <w:rPr>
          <w:rFonts w:ascii="Arial" w:hAnsi="Arial" w:cs="Arial"/>
        </w:rPr>
        <w:t xml:space="preserve"> výzkumníků (</w:t>
      </w:r>
      <w:r w:rsidR="00E61E87" w:rsidRPr="003B3777">
        <w:rPr>
          <w:rFonts w:ascii="Arial" w:hAnsi="Arial" w:cs="Arial"/>
        </w:rPr>
        <w:t xml:space="preserve">cca </w:t>
      </w:r>
      <w:r w:rsidRPr="003B3777">
        <w:rPr>
          <w:rFonts w:ascii="Arial" w:hAnsi="Arial" w:cs="Arial"/>
        </w:rPr>
        <w:t>do 35 let</w:t>
      </w:r>
      <w:r w:rsidR="00E61E87" w:rsidRPr="003B3777">
        <w:rPr>
          <w:rFonts w:ascii="Arial" w:hAnsi="Arial" w:cs="Arial"/>
        </w:rPr>
        <w:t xml:space="preserve"> věku</w:t>
      </w:r>
      <w:r w:rsidRPr="003B3777">
        <w:rPr>
          <w:rFonts w:ascii="Arial" w:hAnsi="Arial" w:cs="Arial"/>
        </w:rPr>
        <w:t xml:space="preserve">). </w:t>
      </w:r>
    </w:p>
    <w:p w:rsidR="003B3777" w:rsidRPr="003B3777" w:rsidRDefault="003B3777" w:rsidP="003B3777">
      <w:pPr>
        <w:jc w:val="both"/>
        <w:rPr>
          <w:rFonts w:ascii="Arial" w:hAnsi="Arial" w:cs="Arial"/>
        </w:rPr>
      </w:pPr>
    </w:p>
    <w:p w:rsidR="00FA6230" w:rsidRPr="003B3777" w:rsidRDefault="00DA191F" w:rsidP="003B3777">
      <w:pPr>
        <w:pStyle w:val="Nadpis2"/>
        <w:numPr>
          <w:ilvl w:val="0"/>
          <w:numId w:val="4"/>
        </w:numPr>
        <w:spacing w:after="200"/>
        <w:ind w:left="714" w:hanging="357"/>
      </w:pPr>
      <w:bookmarkStart w:id="3" w:name="_Toc491159589"/>
      <w:r w:rsidRPr="003B3777">
        <w:t xml:space="preserve">Nástroje dosažení cílů v oblasti finančního řízení </w:t>
      </w:r>
      <w:proofErr w:type="spellStart"/>
      <w:r w:rsidRPr="003B3777">
        <w:t>VaVaI</w:t>
      </w:r>
      <w:bookmarkEnd w:id="3"/>
      <w:proofErr w:type="spellEnd"/>
    </w:p>
    <w:p w:rsidR="00017155" w:rsidRPr="00DA191F" w:rsidRDefault="00017155" w:rsidP="00FA6230">
      <w:p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K naplnění výše uvedených cílů poslouží následující finanční </w:t>
      </w:r>
      <w:r w:rsidR="00340B05" w:rsidRPr="00DA191F">
        <w:rPr>
          <w:rFonts w:ascii="Arial" w:hAnsi="Arial" w:cs="Arial"/>
        </w:rPr>
        <w:t>schémata</w:t>
      </w:r>
      <w:r w:rsidR="00901B57">
        <w:rPr>
          <w:rFonts w:ascii="Arial" w:hAnsi="Arial" w:cs="Arial"/>
        </w:rPr>
        <w:t>:</w:t>
      </w:r>
    </w:p>
    <w:p w:rsidR="00901B57" w:rsidRDefault="00340B05" w:rsidP="00901B5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901B57">
        <w:rPr>
          <w:rFonts w:ascii="Arial" w:hAnsi="Arial" w:cs="Arial"/>
          <w:b/>
        </w:rPr>
        <w:t>Sektorové programy</w:t>
      </w:r>
      <w:r w:rsidRPr="00DA191F">
        <w:rPr>
          <w:rFonts w:ascii="Arial" w:hAnsi="Arial" w:cs="Arial"/>
        </w:rPr>
        <w:t xml:space="preserve"> zaměřené na p</w:t>
      </w:r>
      <w:r w:rsidR="000D73FC" w:rsidRPr="00DA191F">
        <w:rPr>
          <w:rFonts w:ascii="Arial" w:hAnsi="Arial" w:cs="Arial"/>
        </w:rPr>
        <w:t>odpor</w:t>
      </w:r>
      <w:r w:rsidRPr="00DA191F">
        <w:rPr>
          <w:rFonts w:ascii="Arial" w:hAnsi="Arial" w:cs="Arial"/>
        </w:rPr>
        <w:t>u</w:t>
      </w:r>
      <w:r w:rsidR="000D73FC" w:rsidRPr="00DA191F">
        <w:rPr>
          <w:rFonts w:ascii="Arial" w:hAnsi="Arial" w:cs="Arial"/>
        </w:rPr>
        <w:t xml:space="preserve"> </w:t>
      </w:r>
      <w:proofErr w:type="spellStart"/>
      <w:r w:rsidR="000D73FC" w:rsidRPr="00DA191F">
        <w:rPr>
          <w:rFonts w:ascii="Arial" w:hAnsi="Arial" w:cs="Arial"/>
        </w:rPr>
        <w:t>kolaborativních</w:t>
      </w:r>
      <w:proofErr w:type="spellEnd"/>
      <w:r w:rsidR="000D73FC" w:rsidRPr="00DA191F">
        <w:rPr>
          <w:rFonts w:ascii="Arial" w:hAnsi="Arial" w:cs="Arial"/>
        </w:rPr>
        <w:t xml:space="preserve"> projektů řešících témata významná pro podniky</w:t>
      </w:r>
      <w:r w:rsidRPr="00DA191F">
        <w:rPr>
          <w:rFonts w:ascii="Arial" w:hAnsi="Arial" w:cs="Arial"/>
        </w:rPr>
        <w:t xml:space="preserve">. </w:t>
      </w:r>
    </w:p>
    <w:p w:rsidR="00BD59AE" w:rsidRDefault="00340B05" w:rsidP="00BD59AE">
      <w:pPr>
        <w:ind w:left="360"/>
        <w:jc w:val="both"/>
        <w:rPr>
          <w:rFonts w:ascii="Arial" w:hAnsi="Arial" w:cs="Arial"/>
        </w:rPr>
      </w:pPr>
      <w:r w:rsidRPr="00901B57">
        <w:rPr>
          <w:rFonts w:ascii="Arial" w:hAnsi="Arial" w:cs="Arial"/>
        </w:rPr>
        <w:t>Jedná se o implementaci</w:t>
      </w:r>
      <w:r w:rsidR="000D73FC" w:rsidRPr="00901B57">
        <w:rPr>
          <w:rFonts w:ascii="Arial" w:hAnsi="Arial" w:cs="Arial"/>
        </w:rPr>
        <w:t xml:space="preserve"> </w:t>
      </w:r>
      <w:r w:rsidRPr="00901B57">
        <w:rPr>
          <w:rFonts w:ascii="Arial" w:hAnsi="Arial" w:cs="Arial"/>
        </w:rPr>
        <w:t xml:space="preserve">Národní </w:t>
      </w:r>
      <w:r w:rsidR="000D73FC" w:rsidRPr="00901B57">
        <w:rPr>
          <w:rFonts w:ascii="Arial" w:hAnsi="Arial" w:cs="Arial"/>
        </w:rPr>
        <w:t>RIS3</w:t>
      </w:r>
      <w:r w:rsidRPr="00901B57">
        <w:rPr>
          <w:rFonts w:ascii="Arial" w:hAnsi="Arial" w:cs="Arial"/>
        </w:rPr>
        <w:t xml:space="preserve"> strategie</w:t>
      </w:r>
      <w:r w:rsidR="000D73FC" w:rsidRPr="00901B57">
        <w:rPr>
          <w:rFonts w:ascii="Arial" w:hAnsi="Arial" w:cs="Arial"/>
        </w:rPr>
        <w:t xml:space="preserve">. </w:t>
      </w:r>
      <w:r w:rsidR="00736F5D" w:rsidRPr="00901B57">
        <w:rPr>
          <w:rFonts w:ascii="Arial" w:hAnsi="Arial" w:cs="Arial"/>
        </w:rPr>
        <w:t xml:space="preserve">Programy primárně cílí </w:t>
      </w:r>
      <w:r w:rsidR="000D73FC" w:rsidRPr="00901B57">
        <w:rPr>
          <w:rFonts w:ascii="Arial" w:hAnsi="Arial" w:cs="Arial"/>
        </w:rPr>
        <w:t xml:space="preserve">na odvětví, kde tematicky vymezená spolupráce podniků s veřejnými subjekty </w:t>
      </w:r>
      <w:r w:rsidR="0039643F">
        <w:rPr>
          <w:rFonts w:ascii="Arial" w:hAnsi="Arial" w:cs="Arial"/>
        </w:rPr>
        <w:t>ve</w:t>
      </w:r>
      <w:r w:rsidR="000D73FC" w:rsidRPr="00901B57">
        <w:rPr>
          <w:rFonts w:ascii="Arial" w:hAnsi="Arial" w:cs="Arial"/>
        </w:rPr>
        <w:t xml:space="preserve"> výzkum</w:t>
      </w:r>
      <w:r w:rsidR="0039643F">
        <w:rPr>
          <w:rFonts w:ascii="Arial" w:hAnsi="Arial" w:cs="Arial"/>
        </w:rPr>
        <w:t>u</w:t>
      </w:r>
      <w:r w:rsidR="000D73FC" w:rsidRPr="00901B57">
        <w:rPr>
          <w:rFonts w:ascii="Arial" w:hAnsi="Arial" w:cs="Arial"/>
        </w:rPr>
        <w:t xml:space="preserve"> a vývoji dosud uspokojivě nefunguje a zároveň se jedná o témata s vysokým aplikačním potenciálem. </w:t>
      </w:r>
      <w:r w:rsidR="002969D2">
        <w:rPr>
          <w:rFonts w:ascii="Arial" w:hAnsi="Arial" w:cs="Arial"/>
        </w:rPr>
        <w:t>Očekávanými efekty jsou p</w:t>
      </w:r>
      <w:r w:rsidR="000D73FC" w:rsidRPr="00901B57">
        <w:rPr>
          <w:rFonts w:ascii="Arial" w:hAnsi="Arial" w:cs="Arial"/>
        </w:rPr>
        <w:t xml:space="preserve">osílení důvěry podniků ve veřejný </w:t>
      </w:r>
      <w:proofErr w:type="spellStart"/>
      <w:r w:rsidR="000D73FC" w:rsidRPr="00901B57">
        <w:rPr>
          <w:rFonts w:ascii="Arial" w:hAnsi="Arial" w:cs="Arial"/>
        </w:rPr>
        <w:t>VaV</w:t>
      </w:r>
      <w:proofErr w:type="spellEnd"/>
      <w:r w:rsidR="000D73FC" w:rsidRPr="00901B57">
        <w:rPr>
          <w:rFonts w:ascii="Arial" w:hAnsi="Arial" w:cs="Arial"/>
        </w:rPr>
        <w:t xml:space="preserve">, vytvoření nebo rozšíření </w:t>
      </w:r>
      <w:r w:rsidR="00017155" w:rsidRPr="00901B57">
        <w:rPr>
          <w:rFonts w:ascii="Arial" w:hAnsi="Arial" w:cs="Arial"/>
        </w:rPr>
        <w:t>sítě spolupracujících subjektů</w:t>
      </w:r>
      <w:r w:rsidR="000D73FC" w:rsidRPr="00901B57">
        <w:rPr>
          <w:rFonts w:ascii="Arial" w:hAnsi="Arial" w:cs="Arial"/>
        </w:rPr>
        <w:t xml:space="preserve">, ve střednědobém horizontu zvýšení vložených soukromých prostředků do </w:t>
      </w:r>
      <w:proofErr w:type="spellStart"/>
      <w:r w:rsidR="000D73FC" w:rsidRPr="00901B57">
        <w:rPr>
          <w:rFonts w:ascii="Arial" w:hAnsi="Arial" w:cs="Arial"/>
        </w:rPr>
        <w:t>kolaborativního</w:t>
      </w:r>
      <w:proofErr w:type="spellEnd"/>
      <w:r w:rsidR="000D73FC" w:rsidRPr="00901B57">
        <w:rPr>
          <w:rFonts w:ascii="Arial" w:hAnsi="Arial" w:cs="Arial"/>
        </w:rPr>
        <w:t xml:space="preserve"> výzkumu. </w:t>
      </w:r>
      <w:r w:rsidR="002969D2">
        <w:rPr>
          <w:rFonts w:ascii="Arial" w:hAnsi="Arial" w:cs="Arial"/>
        </w:rPr>
        <w:t>U sektorově zacílených programů je n</w:t>
      </w:r>
      <w:r w:rsidR="000D73FC" w:rsidRPr="00901B57">
        <w:rPr>
          <w:rFonts w:ascii="Arial" w:hAnsi="Arial" w:cs="Arial"/>
        </w:rPr>
        <w:t>utno důsledně hodnotit motivační účinek podpory</w:t>
      </w:r>
      <w:r w:rsidR="002969D2">
        <w:rPr>
          <w:rFonts w:ascii="Arial" w:hAnsi="Arial" w:cs="Arial"/>
        </w:rPr>
        <w:t xml:space="preserve"> - jedná se o </w:t>
      </w:r>
      <w:r w:rsidR="000D73FC" w:rsidRPr="00901B57">
        <w:rPr>
          <w:rFonts w:ascii="Arial" w:hAnsi="Arial" w:cs="Arial"/>
        </w:rPr>
        <w:t xml:space="preserve">povinnost dle práva EU (GBER), </w:t>
      </w:r>
      <w:r w:rsidR="002969D2">
        <w:rPr>
          <w:rFonts w:ascii="Arial" w:hAnsi="Arial" w:cs="Arial"/>
        </w:rPr>
        <w:t xml:space="preserve">a tím </w:t>
      </w:r>
      <w:r w:rsidR="000D73FC" w:rsidRPr="00901B57">
        <w:rPr>
          <w:rFonts w:ascii="Arial" w:hAnsi="Arial" w:cs="Arial"/>
        </w:rPr>
        <w:t xml:space="preserve">předejít nežádoucím účinkům </w:t>
      </w:r>
      <w:r w:rsidR="002969D2">
        <w:rPr>
          <w:rFonts w:ascii="Arial" w:hAnsi="Arial" w:cs="Arial"/>
        </w:rPr>
        <w:t>v podobě</w:t>
      </w:r>
      <w:r w:rsidR="000D73FC" w:rsidRPr="00901B57">
        <w:rPr>
          <w:rFonts w:ascii="Arial" w:hAnsi="Arial" w:cs="Arial"/>
        </w:rPr>
        <w:t xml:space="preserve"> vytěsňování soukromých prostředků veřejnými.</w:t>
      </w:r>
    </w:p>
    <w:p w:rsidR="00017155" w:rsidRDefault="00BD59AE" w:rsidP="00BD59A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Prvním vládou schváleným programem tohoto typu je </w:t>
      </w:r>
      <w:r w:rsidRPr="002969D2">
        <w:rPr>
          <w:rFonts w:ascii="Arial" w:hAnsi="Arial" w:cs="Arial"/>
          <w:b/>
        </w:rPr>
        <w:t>program THÉTA</w:t>
      </w:r>
      <w:r>
        <w:rPr>
          <w:rFonts w:ascii="Arial" w:hAnsi="Arial" w:cs="Arial"/>
        </w:rPr>
        <w:t xml:space="preserve"> </w:t>
      </w:r>
      <w:r w:rsidR="002969D2">
        <w:rPr>
          <w:rFonts w:ascii="Arial" w:hAnsi="Arial" w:cs="Arial"/>
        </w:rPr>
        <w:t>administrovaný</w:t>
      </w:r>
      <w:r>
        <w:rPr>
          <w:rFonts w:ascii="Arial" w:hAnsi="Arial" w:cs="Arial"/>
        </w:rPr>
        <w:t xml:space="preserve"> Technologickou agenturou ČR. Jedná se o program s konkrétně definovanými cíli v oblasti energetiky. Program byl vládou schválen v roce 2016, financování je plánováno od roku 2018 do roku 2025 s celkovou alokací </w:t>
      </w:r>
      <w:r w:rsidR="006266C5">
        <w:rPr>
          <w:rFonts w:ascii="Arial" w:hAnsi="Arial" w:cs="Arial"/>
        </w:rPr>
        <w:t xml:space="preserve">5,7 mld. Kč, z toho </w:t>
      </w:r>
      <w:r>
        <w:rPr>
          <w:rFonts w:ascii="Arial" w:hAnsi="Arial" w:cs="Arial"/>
        </w:rPr>
        <w:t>4 mld. Kč</w:t>
      </w:r>
      <w:r w:rsidR="006266C5">
        <w:rPr>
          <w:rFonts w:ascii="Arial" w:hAnsi="Arial" w:cs="Arial"/>
        </w:rPr>
        <w:t xml:space="preserve"> ze </w:t>
      </w:r>
      <w:r w:rsidR="002969D2">
        <w:rPr>
          <w:rFonts w:ascii="Arial" w:hAnsi="Arial" w:cs="Arial"/>
        </w:rPr>
        <w:t>SR</w:t>
      </w:r>
      <w:r>
        <w:rPr>
          <w:rFonts w:ascii="Arial" w:hAnsi="Arial" w:cs="Arial"/>
        </w:rPr>
        <w:t xml:space="preserve">. </w:t>
      </w:r>
    </w:p>
    <w:p w:rsidR="00A14734" w:rsidRDefault="00A14734" w:rsidP="00BD59AE">
      <w:pPr>
        <w:ind w:left="360"/>
        <w:jc w:val="both"/>
        <w:rPr>
          <w:rFonts w:ascii="Arial" w:hAnsi="Arial" w:cs="Arial"/>
        </w:rPr>
      </w:pPr>
    </w:p>
    <w:p w:rsidR="00A14734" w:rsidRPr="00BD59AE" w:rsidRDefault="00A14734" w:rsidP="00BD59AE">
      <w:pPr>
        <w:ind w:left="360"/>
        <w:jc w:val="both"/>
        <w:rPr>
          <w:rFonts w:ascii="Arial" w:hAnsi="Arial" w:cs="Arial"/>
        </w:rPr>
      </w:pPr>
    </w:p>
    <w:p w:rsidR="00901B57" w:rsidRDefault="00B84480" w:rsidP="00B8448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lastRenderedPageBreak/>
        <w:t xml:space="preserve">Programy zaměřené na vytvoření </w:t>
      </w:r>
      <w:r w:rsidRPr="00901B57">
        <w:rPr>
          <w:rFonts w:ascii="Arial" w:hAnsi="Arial" w:cs="Arial"/>
          <w:b/>
        </w:rPr>
        <w:t>sektorových center aplikovaného výzkumu</w:t>
      </w:r>
      <w:r w:rsidRPr="00DA191F">
        <w:rPr>
          <w:rFonts w:ascii="Arial" w:hAnsi="Arial" w:cs="Arial"/>
        </w:rPr>
        <w:t>.</w:t>
      </w:r>
    </w:p>
    <w:p w:rsidR="00B84480" w:rsidRPr="00901B57" w:rsidRDefault="00B84480" w:rsidP="00901B57">
      <w:pPr>
        <w:ind w:left="360"/>
        <w:jc w:val="both"/>
        <w:rPr>
          <w:rFonts w:ascii="Arial" w:hAnsi="Arial" w:cs="Arial"/>
        </w:rPr>
      </w:pPr>
      <w:r w:rsidRPr="00901B57">
        <w:rPr>
          <w:rFonts w:ascii="Arial" w:hAnsi="Arial" w:cs="Arial"/>
        </w:rPr>
        <w:t xml:space="preserve">Dojde k vytvoření nových </w:t>
      </w:r>
      <w:r w:rsidR="000D73FC" w:rsidRPr="00901B57">
        <w:rPr>
          <w:rFonts w:ascii="Arial" w:hAnsi="Arial" w:cs="Arial"/>
        </w:rPr>
        <w:t xml:space="preserve">partnerských sítí </w:t>
      </w:r>
      <w:r w:rsidRPr="00901B57">
        <w:rPr>
          <w:rFonts w:ascii="Arial" w:hAnsi="Arial" w:cs="Arial"/>
        </w:rPr>
        <w:t>v</w:t>
      </w:r>
      <w:r w:rsidR="000D73FC" w:rsidRPr="00901B57">
        <w:rPr>
          <w:rFonts w:ascii="Arial" w:hAnsi="Arial" w:cs="Arial"/>
        </w:rPr>
        <w:t xml:space="preserve"> odvětvích, kde tematicky vymezená spolupráce podniků s veřejnými subjekty </w:t>
      </w:r>
      <w:r w:rsidR="00123998">
        <w:rPr>
          <w:rFonts w:ascii="Arial" w:hAnsi="Arial" w:cs="Arial"/>
        </w:rPr>
        <w:t>ve</w:t>
      </w:r>
      <w:r w:rsidR="000D73FC" w:rsidRPr="00901B57">
        <w:rPr>
          <w:rFonts w:ascii="Arial" w:hAnsi="Arial" w:cs="Arial"/>
        </w:rPr>
        <w:t xml:space="preserve"> výzkum</w:t>
      </w:r>
      <w:r w:rsidR="00901B57">
        <w:rPr>
          <w:rFonts w:ascii="Arial" w:hAnsi="Arial" w:cs="Arial"/>
        </w:rPr>
        <w:t>u</w:t>
      </w:r>
      <w:r w:rsidR="000D73FC" w:rsidRPr="00901B57">
        <w:rPr>
          <w:rFonts w:ascii="Arial" w:hAnsi="Arial" w:cs="Arial"/>
        </w:rPr>
        <w:t xml:space="preserve"> a vývoji dosud uspokojivě nefunguje a zároveň se jedná o témata s vysokým aplikačním potenciálem. </w:t>
      </w:r>
    </w:p>
    <w:p w:rsidR="002660CA" w:rsidRPr="00DA191F" w:rsidRDefault="002660CA" w:rsidP="00B84480">
      <w:pPr>
        <w:ind w:left="360"/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Kromě </w:t>
      </w:r>
      <w:r w:rsidR="00901B57">
        <w:rPr>
          <w:rFonts w:ascii="Arial" w:hAnsi="Arial" w:cs="Arial"/>
        </w:rPr>
        <w:t>v</w:t>
      </w:r>
      <w:r w:rsidRPr="00DA191F">
        <w:rPr>
          <w:rFonts w:ascii="Arial" w:hAnsi="Arial" w:cs="Arial"/>
        </w:rPr>
        <w:t xml:space="preserve">ytvoření sítě spolupracujících subjektů dojde také k nastavení parametrů dlouhodobé spolupráce, čímž bude posílen </w:t>
      </w:r>
      <w:proofErr w:type="spellStart"/>
      <w:r w:rsidRPr="00DA191F">
        <w:rPr>
          <w:rFonts w:ascii="Arial" w:hAnsi="Arial" w:cs="Arial"/>
        </w:rPr>
        <w:t>VaV</w:t>
      </w:r>
      <w:proofErr w:type="spellEnd"/>
      <w:r w:rsidRPr="00DA191F">
        <w:rPr>
          <w:rFonts w:ascii="Arial" w:hAnsi="Arial" w:cs="Arial"/>
        </w:rPr>
        <w:t xml:space="preserve"> pro potřeby podnik</w:t>
      </w:r>
      <w:r w:rsidR="00123998">
        <w:rPr>
          <w:rFonts w:ascii="Arial" w:hAnsi="Arial" w:cs="Arial"/>
        </w:rPr>
        <w:t>ů</w:t>
      </w:r>
      <w:r w:rsidRPr="00DA191F">
        <w:rPr>
          <w:rFonts w:ascii="Arial" w:hAnsi="Arial" w:cs="Arial"/>
        </w:rPr>
        <w:t xml:space="preserve"> v dlouhodobém horizontu.</w:t>
      </w:r>
    </w:p>
    <w:p w:rsidR="00901B57" w:rsidRDefault="00B84480" w:rsidP="00901B57">
      <w:pPr>
        <w:ind w:left="360"/>
        <w:jc w:val="both"/>
        <w:rPr>
          <w:rFonts w:ascii="Arial" w:hAnsi="Arial" w:cs="Arial"/>
        </w:rPr>
      </w:pPr>
      <w:r w:rsidRPr="00DA191F">
        <w:rPr>
          <w:rFonts w:ascii="Arial" w:hAnsi="Arial" w:cs="Arial"/>
          <w:b/>
        </w:rPr>
        <w:t>Počáteční impuls bude vytvořen státní intervencí, následně poroste důvěra firem a</w:t>
      </w:r>
      <w:r w:rsidR="00901087">
        <w:rPr>
          <w:rFonts w:ascii="Arial" w:hAnsi="Arial" w:cs="Arial"/>
          <w:b/>
        </w:rPr>
        <w:t> </w:t>
      </w:r>
      <w:r w:rsidRPr="00DA191F">
        <w:rPr>
          <w:rFonts w:ascii="Arial" w:hAnsi="Arial" w:cs="Arial"/>
          <w:b/>
        </w:rPr>
        <w:t xml:space="preserve">jejich ochota více se finančně podílet na </w:t>
      </w:r>
      <w:proofErr w:type="spellStart"/>
      <w:r w:rsidRPr="00DA191F">
        <w:rPr>
          <w:rFonts w:ascii="Arial" w:hAnsi="Arial" w:cs="Arial"/>
          <w:b/>
        </w:rPr>
        <w:t>VaV</w:t>
      </w:r>
      <w:proofErr w:type="spellEnd"/>
      <w:r w:rsidRPr="00DA191F">
        <w:rPr>
          <w:rFonts w:ascii="Arial" w:hAnsi="Arial" w:cs="Arial"/>
        </w:rPr>
        <w:t xml:space="preserve">. Podobný mechanismus funguje v Německu v podobě </w:t>
      </w:r>
      <w:proofErr w:type="spellStart"/>
      <w:r w:rsidRPr="00DA191F">
        <w:rPr>
          <w:rFonts w:ascii="Arial" w:hAnsi="Arial" w:cs="Arial"/>
        </w:rPr>
        <w:t>Fraunhoferových</w:t>
      </w:r>
      <w:proofErr w:type="spellEnd"/>
      <w:r w:rsidRPr="00DA191F">
        <w:rPr>
          <w:rFonts w:ascii="Arial" w:hAnsi="Arial" w:cs="Arial"/>
        </w:rPr>
        <w:t xml:space="preserve"> ins</w:t>
      </w:r>
      <w:r w:rsidR="00901B57">
        <w:rPr>
          <w:rFonts w:ascii="Arial" w:hAnsi="Arial" w:cs="Arial"/>
        </w:rPr>
        <w:t>t</w:t>
      </w:r>
      <w:r w:rsidRPr="00DA191F">
        <w:rPr>
          <w:rFonts w:ascii="Arial" w:hAnsi="Arial" w:cs="Arial"/>
        </w:rPr>
        <w:t xml:space="preserve">itutů. </w:t>
      </w:r>
    </w:p>
    <w:p w:rsidR="00BD59AE" w:rsidRDefault="002660CA" w:rsidP="00901B57">
      <w:pPr>
        <w:ind w:left="360"/>
        <w:jc w:val="both"/>
        <w:rPr>
          <w:rFonts w:ascii="Arial" w:hAnsi="Arial" w:cs="Arial"/>
        </w:rPr>
      </w:pPr>
      <w:r w:rsidRPr="00F10CB9">
        <w:rPr>
          <w:rFonts w:ascii="Arial" w:hAnsi="Arial" w:cs="Arial"/>
        </w:rPr>
        <w:t>U tohoto nástroje je n</w:t>
      </w:r>
      <w:r w:rsidR="00B84480" w:rsidRPr="00DA191F">
        <w:rPr>
          <w:rFonts w:ascii="Arial" w:hAnsi="Arial" w:cs="Arial"/>
        </w:rPr>
        <w:t xml:space="preserve">utno důsledně hodnotit </w:t>
      </w:r>
      <w:r w:rsidRPr="00DA191F">
        <w:rPr>
          <w:rFonts w:ascii="Arial" w:hAnsi="Arial" w:cs="Arial"/>
        </w:rPr>
        <w:t xml:space="preserve">jeho </w:t>
      </w:r>
      <w:r w:rsidR="00B84480" w:rsidRPr="00DA191F">
        <w:rPr>
          <w:rFonts w:ascii="Arial" w:hAnsi="Arial" w:cs="Arial"/>
        </w:rPr>
        <w:t xml:space="preserve">přínos, sledovat životaschopnost spoluprací po ukončení </w:t>
      </w:r>
      <w:r w:rsidRPr="00DA191F">
        <w:rPr>
          <w:rFonts w:ascii="Arial" w:hAnsi="Arial" w:cs="Arial"/>
        </w:rPr>
        <w:t>státní intervence</w:t>
      </w:r>
      <w:r w:rsidR="00B84480" w:rsidRPr="00DA191F">
        <w:rPr>
          <w:rFonts w:ascii="Arial" w:hAnsi="Arial" w:cs="Arial"/>
        </w:rPr>
        <w:t xml:space="preserve">, schopnost </w:t>
      </w:r>
      <w:r w:rsidRPr="00DA191F">
        <w:rPr>
          <w:rFonts w:ascii="Arial" w:hAnsi="Arial" w:cs="Arial"/>
        </w:rPr>
        <w:t xml:space="preserve">center </w:t>
      </w:r>
      <w:r w:rsidR="00B84480" w:rsidRPr="00DA191F">
        <w:rPr>
          <w:rFonts w:ascii="Arial" w:hAnsi="Arial" w:cs="Arial"/>
        </w:rPr>
        <w:t>získávat mezinárodní projekty a kontrakty od mezinárodně významných firem.</w:t>
      </w:r>
    </w:p>
    <w:p w:rsidR="00BD59AE" w:rsidRDefault="0068236B" w:rsidP="00BD59A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77261" w:rsidRPr="006266C5">
        <w:rPr>
          <w:rFonts w:ascii="Arial" w:hAnsi="Arial" w:cs="Arial"/>
        </w:rPr>
        <w:t xml:space="preserve">láda </w:t>
      </w:r>
      <w:r>
        <w:rPr>
          <w:rFonts w:ascii="Arial" w:hAnsi="Arial" w:cs="Arial"/>
        </w:rPr>
        <w:t>v</w:t>
      </w:r>
      <w:r w:rsidR="00BD59AE" w:rsidRPr="006266C5">
        <w:rPr>
          <w:rFonts w:ascii="Arial" w:hAnsi="Arial" w:cs="Arial"/>
        </w:rPr>
        <w:t> roce 2017 schválila program Národní centra kompetence</w:t>
      </w:r>
      <w:r w:rsidR="009F067C">
        <w:rPr>
          <w:rFonts w:ascii="Arial" w:hAnsi="Arial" w:cs="Arial"/>
        </w:rPr>
        <w:t xml:space="preserve"> (dále jen „NCK“)</w:t>
      </w:r>
      <w:r w:rsidR="00947F00">
        <w:rPr>
          <w:rFonts w:ascii="Arial" w:hAnsi="Arial" w:cs="Arial"/>
        </w:rPr>
        <w:t>.</w:t>
      </w:r>
      <w:r w:rsidR="00BD59AE" w:rsidRPr="006266C5">
        <w:rPr>
          <w:rFonts w:ascii="Arial" w:hAnsi="Arial" w:cs="Arial"/>
        </w:rPr>
        <w:t xml:space="preserve"> </w:t>
      </w:r>
      <w:r w:rsidR="00947F00">
        <w:rPr>
          <w:rFonts w:ascii="Arial" w:hAnsi="Arial" w:cs="Arial"/>
        </w:rPr>
        <w:t xml:space="preserve">Tento program bude financován </w:t>
      </w:r>
      <w:r w:rsidR="00CC73BC">
        <w:rPr>
          <w:rFonts w:ascii="Arial" w:hAnsi="Arial" w:cs="Arial"/>
        </w:rPr>
        <w:t>z rozpočtové kapitoly</w:t>
      </w:r>
      <w:r w:rsidR="00BD59AE" w:rsidRPr="006266C5">
        <w:rPr>
          <w:rFonts w:ascii="Arial" w:hAnsi="Arial" w:cs="Arial"/>
        </w:rPr>
        <w:t xml:space="preserve"> </w:t>
      </w:r>
      <w:r w:rsidR="00CC73BC" w:rsidRPr="006266C5">
        <w:rPr>
          <w:rFonts w:ascii="Arial" w:hAnsi="Arial" w:cs="Arial"/>
        </w:rPr>
        <w:t xml:space="preserve">Technologické agentury ČR </w:t>
      </w:r>
      <w:r w:rsidR="00CC73BC">
        <w:rPr>
          <w:rFonts w:ascii="Arial" w:hAnsi="Arial" w:cs="Arial"/>
        </w:rPr>
        <w:t>v letech</w:t>
      </w:r>
      <w:r w:rsidR="00BD59AE" w:rsidRPr="006266C5">
        <w:rPr>
          <w:rFonts w:ascii="Arial" w:hAnsi="Arial" w:cs="Arial"/>
        </w:rPr>
        <w:t xml:space="preserve"> </w:t>
      </w:r>
      <w:r w:rsidR="006266C5" w:rsidRPr="006266C5">
        <w:rPr>
          <w:rFonts w:ascii="Arial" w:hAnsi="Arial" w:cs="Arial"/>
        </w:rPr>
        <w:t xml:space="preserve">2018 </w:t>
      </w:r>
      <w:r w:rsidR="006266C5">
        <w:rPr>
          <w:rFonts w:ascii="Arial" w:hAnsi="Arial" w:cs="Arial"/>
        </w:rPr>
        <w:t>–</w:t>
      </w:r>
      <w:r w:rsidR="006266C5" w:rsidRPr="006266C5">
        <w:rPr>
          <w:rFonts w:ascii="Arial" w:hAnsi="Arial" w:cs="Arial"/>
        </w:rPr>
        <w:t xml:space="preserve"> 2022</w:t>
      </w:r>
      <w:r w:rsidR="006266C5">
        <w:rPr>
          <w:rFonts w:ascii="Arial" w:hAnsi="Arial" w:cs="Arial"/>
        </w:rPr>
        <w:t xml:space="preserve"> s celkovou finanční alokací 2,3 mld. Kč, z toho 1,8 mld. Kč ze státního rozpočtu</w:t>
      </w:r>
      <w:r w:rsidR="00BD59AE" w:rsidRPr="006266C5">
        <w:rPr>
          <w:rFonts w:ascii="Arial" w:hAnsi="Arial" w:cs="Arial"/>
        </w:rPr>
        <w:t>. Na</w:t>
      </w:r>
      <w:r w:rsidR="006D186F">
        <w:rPr>
          <w:rFonts w:ascii="Arial" w:hAnsi="Arial" w:cs="Arial"/>
        </w:rPr>
        <w:t> </w:t>
      </w:r>
      <w:r w:rsidR="00BD59AE" w:rsidRPr="006266C5">
        <w:rPr>
          <w:rFonts w:ascii="Arial" w:hAnsi="Arial" w:cs="Arial"/>
        </w:rPr>
        <w:t>základě výstupů z</w:t>
      </w:r>
      <w:r w:rsidR="006266C5">
        <w:rPr>
          <w:rFonts w:ascii="Arial" w:hAnsi="Arial" w:cs="Arial"/>
        </w:rPr>
        <w:t xml:space="preserve"> průběžného </w:t>
      </w:r>
      <w:r w:rsidR="00BD59AE" w:rsidRPr="006266C5">
        <w:rPr>
          <w:rFonts w:ascii="Arial" w:hAnsi="Arial" w:cs="Arial"/>
        </w:rPr>
        <w:t>hodnocení tohoto programu bude připraven a případně spuštěn navazující program, který by měl být realizován v letech</w:t>
      </w:r>
      <w:r w:rsidR="00BD59AE">
        <w:rPr>
          <w:rFonts w:ascii="Arial" w:hAnsi="Arial" w:cs="Arial"/>
          <w:b/>
        </w:rPr>
        <w:t xml:space="preserve"> </w:t>
      </w:r>
      <w:r w:rsidR="006266C5" w:rsidRPr="006266C5">
        <w:rPr>
          <w:rFonts w:ascii="Arial" w:hAnsi="Arial" w:cs="Arial"/>
        </w:rPr>
        <w:t xml:space="preserve">2020 </w:t>
      </w:r>
      <w:r w:rsidR="006266C5">
        <w:rPr>
          <w:rFonts w:ascii="Arial" w:hAnsi="Arial" w:cs="Arial"/>
        </w:rPr>
        <w:t>–</w:t>
      </w:r>
      <w:r w:rsidR="006266C5" w:rsidRPr="006266C5">
        <w:rPr>
          <w:rFonts w:ascii="Arial" w:hAnsi="Arial" w:cs="Arial"/>
        </w:rPr>
        <w:t xml:space="preserve"> 2026</w:t>
      </w:r>
      <w:r w:rsidR="006266C5">
        <w:rPr>
          <w:rFonts w:ascii="Arial" w:hAnsi="Arial" w:cs="Arial"/>
        </w:rPr>
        <w:t>.</w:t>
      </w:r>
    </w:p>
    <w:p w:rsidR="00A14734" w:rsidRDefault="00A14734" w:rsidP="00BD59AE">
      <w:pPr>
        <w:ind w:left="360"/>
        <w:jc w:val="both"/>
        <w:rPr>
          <w:rFonts w:ascii="Arial" w:hAnsi="Arial" w:cs="Arial"/>
          <w:b/>
        </w:rPr>
      </w:pPr>
    </w:p>
    <w:p w:rsidR="00901B57" w:rsidRPr="00011F58" w:rsidRDefault="002660CA" w:rsidP="00BD59A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D59AE">
        <w:rPr>
          <w:rFonts w:ascii="Arial" w:hAnsi="Arial" w:cs="Arial"/>
          <w:b/>
        </w:rPr>
        <w:t xml:space="preserve">Posílení prostředků na dlouhodobý koncepční rozvoj veřejných výzkumných subjektů </w:t>
      </w:r>
      <w:r w:rsidRPr="00BD59AE">
        <w:rPr>
          <w:rFonts w:ascii="Arial" w:hAnsi="Arial" w:cs="Arial"/>
        </w:rPr>
        <w:t>(dále jen „RVO“)</w:t>
      </w:r>
      <w:r w:rsidRPr="00BD59AE">
        <w:rPr>
          <w:rFonts w:ascii="Arial" w:hAnsi="Arial" w:cs="Arial"/>
          <w:b/>
        </w:rPr>
        <w:t xml:space="preserve">. </w:t>
      </w:r>
    </w:p>
    <w:p w:rsidR="00011F58" w:rsidRPr="002105FA" w:rsidRDefault="00011F58" w:rsidP="002105FA">
      <w:pPr>
        <w:ind w:left="360"/>
        <w:jc w:val="both"/>
        <w:rPr>
          <w:rFonts w:ascii="Arial" w:hAnsi="Arial" w:cs="Arial"/>
        </w:rPr>
      </w:pPr>
      <w:r w:rsidRPr="002105FA">
        <w:rPr>
          <w:rFonts w:ascii="Arial" w:hAnsi="Arial" w:cs="Arial"/>
        </w:rPr>
        <w:t>Tento nástroj v prvé řadě má vést k </w:t>
      </w:r>
      <w:r w:rsidRPr="00204552">
        <w:rPr>
          <w:rFonts w:ascii="Arial" w:hAnsi="Arial" w:cs="Arial"/>
          <w:b/>
        </w:rPr>
        <w:t>dlouhodobé finanční stabilizaci výzkumných organizací</w:t>
      </w:r>
      <w:r w:rsidRPr="002105FA">
        <w:rPr>
          <w:rFonts w:ascii="Arial" w:hAnsi="Arial" w:cs="Arial"/>
        </w:rPr>
        <w:t xml:space="preserve">. Zvýšení finanční alokace RVO proběhne ve třech </w:t>
      </w:r>
      <w:r w:rsidR="002105FA" w:rsidRPr="002105FA">
        <w:rPr>
          <w:rFonts w:ascii="Arial" w:hAnsi="Arial" w:cs="Arial"/>
        </w:rPr>
        <w:t>úrovních:</w:t>
      </w:r>
    </w:p>
    <w:p w:rsidR="00693848" w:rsidRDefault="002105FA" w:rsidP="002A628F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2A628F">
        <w:rPr>
          <w:rFonts w:ascii="Arial" w:hAnsi="Arial" w:cs="Arial"/>
        </w:rPr>
        <w:t xml:space="preserve">Ve smyslu </w:t>
      </w:r>
      <w:r w:rsidR="00970AC7" w:rsidRPr="002A628F">
        <w:rPr>
          <w:rFonts w:ascii="Arial" w:hAnsi="Arial" w:cs="Arial"/>
          <w:b/>
        </w:rPr>
        <w:t>P</w:t>
      </w:r>
      <w:r w:rsidRPr="002A628F">
        <w:rPr>
          <w:rFonts w:ascii="Arial" w:hAnsi="Arial" w:cs="Arial"/>
          <w:b/>
        </w:rPr>
        <w:t xml:space="preserve">rohlášení o stabilizaci systému </w:t>
      </w:r>
      <w:proofErr w:type="spellStart"/>
      <w:r w:rsidRPr="002A628F">
        <w:rPr>
          <w:rFonts w:ascii="Arial" w:hAnsi="Arial" w:cs="Arial"/>
          <w:b/>
        </w:rPr>
        <w:t>VaVaI</w:t>
      </w:r>
      <w:proofErr w:type="spellEnd"/>
      <w:r w:rsidRPr="002A628F">
        <w:rPr>
          <w:rFonts w:ascii="Arial" w:hAnsi="Arial" w:cs="Arial"/>
          <w:b/>
        </w:rPr>
        <w:t xml:space="preserve"> v ČR</w:t>
      </w:r>
      <w:r w:rsidRPr="002A628F">
        <w:rPr>
          <w:rFonts w:ascii="Arial" w:hAnsi="Arial" w:cs="Arial"/>
        </w:rPr>
        <w:t xml:space="preserve"> signovaného 30.</w:t>
      </w:r>
      <w:r w:rsidR="00970AC7" w:rsidRPr="002A628F">
        <w:rPr>
          <w:rFonts w:ascii="Arial" w:hAnsi="Arial" w:cs="Arial"/>
        </w:rPr>
        <w:t> k</w:t>
      </w:r>
      <w:r w:rsidRPr="002A628F">
        <w:rPr>
          <w:rFonts w:ascii="Arial" w:hAnsi="Arial" w:cs="Arial"/>
        </w:rPr>
        <w:t xml:space="preserve">větna 2017 místopředsedou vlády pro vědu, výzkum a inovace, ministryní školství, mládeže a tělovýchovy, předsedkyní Akademie věd ČR </w:t>
      </w:r>
      <w:r w:rsidR="0039643F">
        <w:rPr>
          <w:rFonts w:ascii="Arial" w:hAnsi="Arial" w:cs="Arial"/>
        </w:rPr>
        <w:t xml:space="preserve">a </w:t>
      </w:r>
      <w:r w:rsidRPr="002A628F">
        <w:rPr>
          <w:rFonts w:ascii="Arial" w:hAnsi="Arial" w:cs="Arial"/>
        </w:rPr>
        <w:t xml:space="preserve">předsedou České konference rektorů bude </w:t>
      </w:r>
      <w:r w:rsidR="00970AC7" w:rsidRPr="002A628F">
        <w:rPr>
          <w:rFonts w:ascii="Arial" w:hAnsi="Arial" w:cs="Arial"/>
        </w:rPr>
        <w:t>v případě podpory pracovišť Akademie věd ČR a veřejných vysokých škol institucionální podpora navyšována každoročně nejméně o pět procent tak, aby v delším časovém horizontu dosáhla úrovně 70 % výdajů na</w:t>
      </w:r>
      <w:r w:rsidR="00901087">
        <w:rPr>
          <w:rFonts w:ascii="Arial" w:hAnsi="Arial" w:cs="Arial"/>
        </w:rPr>
        <w:t> </w:t>
      </w:r>
      <w:r w:rsidR="00970AC7" w:rsidRPr="002A628F">
        <w:rPr>
          <w:rFonts w:ascii="Arial" w:hAnsi="Arial" w:cs="Arial"/>
        </w:rPr>
        <w:t>výzkum a vývoj těchto pracovišť s tím, že nebude nepříznivě ovlivněna výše účelových prostředků v této oblasti.</w:t>
      </w:r>
    </w:p>
    <w:p w:rsidR="002A628F" w:rsidRPr="002A628F" w:rsidRDefault="002A628F" w:rsidP="00204552">
      <w:pPr>
        <w:spacing w:after="0"/>
        <w:jc w:val="both"/>
        <w:rPr>
          <w:rFonts w:ascii="Arial" w:hAnsi="Arial" w:cs="Arial"/>
        </w:rPr>
      </w:pPr>
    </w:p>
    <w:p w:rsidR="00011F58" w:rsidRDefault="00A877BB" w:rsidP="002A628F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693848">
        <w:rPr>
          <w:rFonts w:ascii="Arial" w:hAnsi="Arial" w:cs="Arial"/>
        </w:rPr>
        <w:t>V souladu s </w:t>
      </w:r>
      <w:r w:rsidR="00693848" w:rsidRPr="00693848">
        <w:rPr>
          <w:rFonts w:ascii="Arial" w:hAnsi="Arial" w:cs="Arial"/>
        </w:rPr>
        <w:t>M</w:t>
      </w:r>
      <w:r w:rsidRPr="00693848">
        <w:rPr>
          <w:rFonts w:ascii="Arial" w:hAnsi="Arial" w:cs="Arial"/>
        </w:rPr>
        <w:t xml:space="preserve">etodikou hodnocení </w:t>
      </w:r>
      <w:r w:rsidR="00693848" w:rsidRPr="00693848">
        <w:rPr>
          <w:rFonts w:ascii="Arial" w:hAnsi="Arial" w:cs="Arial"/>
        </w:rPr>
        <w:t xml:space="preserve">výzkumných organizací a hodnocení programů účelové podpory výzkumu, vývoje a inovací </w:t>
      </w:r>
      <w:r w:rsidRPr="00693848">
        <w:rPr>
          <w:rFonts w:ascii="Arial" w:hAnsi="Arial" w:cs="Arial"/>
        </w:rPr>
        <w:t xml:space="preserve">budou </w:t>
      </w:r>
      <w:r w:rsidR="00693848" w:rsidRPr="00693848">
        <w:rPr>
          <w:rFonts w:ascii="Arial" w:hAnsi="Arial" w:cs="Arial"/>
        </w:rPr>
        <w:t>p</w:t>
      </w:r>
      <w:r w:rsidRPr="00693848">
        <w:rPr>
          <w:rFonts w:ascii="Arial" w:hAnsi="Arial" w:cs="Arial"/>
        </w:rPr>
        <w:t>rostředky na RVO rozděleny na</w:t>
      </w:r>
      <w:r w:rsidR="00901087">
        <w:rPr>
          <w:rFonts w:ascii="Arial" w:hAnsi="Arial" w:cs="Arial"/>
        </w:rPr>
        <w:t> </w:t>
      </w:r>
      <w:r w:rsidRPr="00693848">
        <w:rPr>
          <w:rFonts w:ascii="Arial" w:hAnsi="Arial" w:cs="Arial"/>
        </w:rPr>
        <w:t xml:space="preserve">dvě složky: stabilizační (základna) a motivační (nárůst). </w:t>
      </w:r>
      <w:r w:rsidRPr="002A628F">
        <w:rPr>
          <w:rFonts w:ascii="Arial" w:hAnsi="Arial" w:cs="Arial"/>
          <w:b/>
        </w:rPr>
        <w:t>Motivační složka</w:t>
      </w:r>
      <w:r w:rsidRPr="00693848">
        <w:rPr>
          <w:rFonts w:ascii="Arial" w:hAnsi="Arial" w:cs="Arial"/>
        </w:rPr>
        <w:t>, minimálně v rozsahu daném meziročním nárůstem RVO, bude</w:t>
      </w:r>
      <w:r w:rsidR="00693848" w:rsidRPr="00693848">
        <w:rPr>
          <w:rFonts w:ascii="Arial" w:hAnsi="Arial" w:cs="Arial"/>
        </w:rPr>
        <w:t xml:space="preserve"> počínaje rokem 2018</w:t>
      </w:r>
      <w:r w:rsidRPr="00693848">
        <w:rPr>
          <w:rFonts w:ascii="Arial" w:hAnsi="Arial" w:cs="Arial"/>
        </w:rPr>
        <w:t xml:space="preserve"> </w:t>
      </w:r>
      <w:r w:rsidRPr="002A628F">
        <w:rPr>
          <w:rFonts w:ascii="Arial" w:hAnsi="Arial" w:cs="Arial"/>
          <w:b/>
        </w:rPr>
        <w:t>rozdělena na základě hodnocení</w:t>
      </w:r>
      <w:r w:rsidR="00693848" w:rsidRPr="00693848">
        <w:rPr>
          <w:rFonts w:ascii="Arial" w:hAnsi="Arial" w:cs="Arial"/>
        </w:rPr>
        <w:t>, jehož</w:t>
      </w:r>
      <w:r w:rsidRPr="00693848">
        <w:rPr>
          <w:rFonts w:ascii="Arial" w:hAnsi="Arial" w:cs="Arial"/>
        </w:rPr>
        <w:t xml:space="preserve"> </w:t>
      </w:r>
      <w:r w:rsidR="00693848" w:rsidRPr="00693848">
        <w:rPr>
          <w:rFonts w:ascii="Arial" w:hAnsi="Arial" w:cs="Arial"/>
        </w:rPr>
        <w:t>v</w:t>
      </w:r>
      <w:r w:rsidRPr="00693848">
        <w:rPr>
          <w:rFonts w:ascii="Arial" w:hAnsi="Arial" w:cs="Arial"/>
        </w:rPr>
        <w:t xml:space="preserve">ýsledkem bude rozdělení výzkumných organizací do 4 skupin A, B, C a D. </w:t>
      </w:r>
    </w:p>
    <w:p w:rsidR="002A628F" w:rsidRPr="002A628F" w:rsidRDefault="002A628F" w:rsidP="00204552">
      <w:pPr>
        <w:spacing w:after="0"/>
        <w:ind w:left="68"/>
        <w:jc w:val="both"/>
        <w:rPr>
          <w:rFonts w:ascii="Arial" w:hAnsi="Arial" w:cs="Arial"/>
        </w:rPr>
      </w:pPr>
    </w:p>
    <w:p w:rsidR="00901B57" w:rsidRDefault="002A628F" w:rsidP="002A628F">
      <w:pPr>
        <w:pStyle w:val="Odstavecseseznamem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 </w:t>
      </w:r>
      <w:r w:rsidRPr="00901B57">
        <w:rPr>
          <w:rFonts w:ascii="Arial" w:hAnsi="Arial" w:cs="Arial"/>
        </w:rPr>
        <w:t>odvětví</w:t>
      </w:r>
      <w:r>
        <w:rPr>
          <w:rFonts w:ascii="Arial" w:hAnsi="Arial" w:cs="Arial"/>
        </w:rPr>
        <w:t>ch</w:t>
      </w:r>
      <w:r w:rsidRPr="00901B57">
        <w:rPr>
          <w:rFonts w:ascii="Arial" w:hAnsi="Arial" w:cs="Arial"/>
        </w:rPr>
        <w:t xml:space="preserve"> a obor</w:t>
      </w:r>
      <w:r>
        <w:rPr>
          <w:rFonts w:ascii="Arial" w:hAnsi="Arial" w:cs="Arial"/>
        </w:rPr>
        <w:t>ech</w:t>
      </w:r>
      <w:r w:rsidRPr="00901B57">
        <w:rPr>
          <w:rFonts w:ascii="Arial" w:hAnsi="Arial" w:cs="Arial"/>
        </w:rPr>
        <w:t xml:space="preserve">, kde již existuje </w:t>
      </w:r>
      <w:r w:rsidRPr="002A628F">
        <w:rPr>
          <w:rFonts w:ascii="Arial" w:hAnsi="Arial" w:cs="Arial"/>
          <w:b/>
        </w:rPr>
        <w:t>spolupráce podnikatelského a veřejného sektoru</w:t>
      </w:r>
      <w:r w:rsidRPr="00901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dojde k </w:t>
      </w:r>
      <w:r w:rsidRPr="002A628F">
        <w:rPr>
          <w:rFonts w:ascii="Arial" w:hAnsi="Arial" w:cs="Arial"/>
          <w:b/>
        </w:rPr>
        <w:t>navýšení RVO</w:t>
      </w:r>
      <w:r>
        <w:rPr>
          <w:rFonts w:ascii="Arial" w:hAnsi="Arial" w:cs="Arial"/>
        </w:rPr>
        <w:t xml:space="preserve"> </w:t>
      </w:r>
      <w:r w:rsidRPr="00901B57">
        <w:rPr>
          <w:rFonts w:ascii="Arial" w:hAnsi="Arial" w:cs="Arial"/>
        </w:rPr>
        <w:t>s cílem tuto spolupráci posílit, případně rozšířit o</w:t>
      </w:r>
      <w:r w:rsidR="00901087">
        <w:rPr>
          <w:rFonts w:ascii="Arial" w:hAnsi="Arial" w:cs="Arial"/>
        </w:rPr>
        <w:t> </w:t>
      </w:r>
      <w:r w:rsidRPr="00901B57">
        <w:rPr>
          <w:rFonts w:ascii="Arial" w:hAnsi="Arial" w:cs="Arial"/>
        </w:rPr>
        <w:t>další témata.</w:t>
      </w:r>
      <w:r>
        <w:rPr>
          <w:rFonts w:ascii="Arial" w:hAnsi="Arial" w:cs="Arial"/>
        </w:rPr>
        <w:t xml:space="preserve"> </w:t>
      </w:r>
      <w:r w:rsidR="002660CA" w:rsidRPr="00901B57">
        <w:rPr>
          <w:rFonts w:ascii="Arial" w:hAnsi="Arial" w:cs="Arial"/>
        </w:rPr>
        <w:t xml:space="preserve">Podpořené subjekty však musí splňovat určitá kritéria ve vztahu ke znalostním potřebám podniků. </w:t>
      </w:r>
    </w:p>
    <w:p w:rsidR="002660CA" w:rsidRPr="00901B57" w:rsidRDefault="002660CA" w:rsidP="00901B57">
      <w:pPr>
        <w:ind w:left="360"/>
        <w:jc w:val="both"/>
        <w:rPr>
          <w:rFonts w:ascii="Arial" w:hAnsi="Arial" w:cs="Arial"/>
        </w:rPr>
      </w:pPr>
      <w:r w:rsidRPr="00901B57">
        <w:rPr>
          <w:rFonts w:ascii="Arial" w:hAnsi="Arial" w:cs="Arial"/>
        </w:rPr>
        <w:t>Nástroj by měl veřejné výzkumné subjekty dostatečně motivovat k nabízení výzkumných kapacit podnikům. Pokud se podniky rozhodnou těchto kapacit využít a zadat si v nich za</w:t>
      </w:r>
      <w:r w:rsidR="00901087">
        <w:rPr>
          <w:rFonts w:ascii="Arial" w:hAnsi="Arial" w:cs="Arial"/>
        </w:rPr>
        <w:t> </w:t>
      </w:r>
      <w:r w:rsidRPr="00901B57">
        <w:rPr>
          <w:rFonts w:ascii="Arial" w:hAnsi="Arial" w:cs="Arial"/>
        </w:rPr>
        <w:t>tržních podmínek realizaci výzkumu či vývoje pro svoji potřebu, bude ze státního rozpočtu prostřednictvím RVO částečně kompenzován jejich provoz. Nebude se však jednat o přímou dotaci na výzkumný nebo vývojový projekt, ten bude hrazen plně ze</w:t>
      </w:r>
      <w:r w:rsidR="00901087">
        <w:rPr>
          <w:rFonts w:ascii="Arial" w:hAnsi="Arial" w:cs="Arial"/>
        </w:rPr>
        <w:t> </w:t>
      </w:r>
      <w:r w:rsidRPr="00901B57">
        <w:rPr>
          <w:rFonts w:ascii="Arial" w:hAnsi="Arial" w:cs="Arial"/>
        </w:rPr>
        <w:t xml:space="preserve">zdrojů podniku. </w:t>
      </w:r>
    </w:p>
    <w:p w:rsidR="00B84480" w:rsidRDefault="002660CA" w:rsidP="002660CA">
      <w:pPr>
        <w:ind w:left="360"/>
        <w:jc w:val="both"/>
        <w:rPr>
          <w:rFonts w:ascii="Arial" w:hAnsi="Arial" w:cs="Arial"/>
        </w:rPr>
      </w:pPr>
      <w:r w:rsidRPr="00DA191F">
        <w:rPr>
          <w:rFonts w:ascii="Arial" w:hAnsi="Arial" w:cs="Arial"/>
        </w:rPr>
        <w:t xml:space="preserve">Kapacita výzkumného zařízení a s ní související náklady na obsluhu budou částečně využity na výzkum/vývoj </w:t>
      </w:r>
      <w:r w:rsidR="00CA1FD7">
        <w:rPr>
          <w:rFonts w:ascii="Arial" w:hAnsi="Arial" w:cs="Arial"/>
        </w:rPr>
        <w:t>jménem</w:t>
      </w:r>
      <w:r w:rsidRPr="00DA191F">
        <w:rPr>
          <w:rFonts w:ascii="Arial" w:hAnsi="Arial" w:cs="Arial"/>
        </w:rPr>
        <w:t xml:space="preserve"> podniku</w:t>
      </w:r>
      <w:r w:rsidR="00CA1FD7">
        <w:rPr>
          <w:rStyle w:val="Znakapoznpodarou"/>
          <w:rFonts w:ascii="Arial" w:hAnsi="Arial" w:cs="Arial"/>
        </w:rPr>
        <w:footnoteReference w:id="2"/>
      </w:r>
      <w:r w:rsidRPr="00DA191F">
        <w:rPr>
          <w:rFonts w:ascii="Arial" w:hAnsi="Arial" w:cs="Arial"/>
        </w:rPr>
        <w:t>. Část zbývající kapacity bude využita na</w:t>
      </w:r>
      <w:r w:rsidR="00901087">
        <w:rPr>
          <w:rFonts w:ascii="Arial" w:hAnsi="Arial" w:cs="Arial"/>
        </w:rPr>
        <w:t> </w:t>
      </w:r>
      <w:r w:rsidRPr="00DA191F">
        <w:rPr>
          <w:rFonts w:ascii="Arial" w:hAnsi="Arial" w:cs="Arial"/>
        </w:rPr>
        <w:t xml:space="preserve"> výzkum, jehož cíle definuje vlastník – veřejný subjekt. Náklady na tento výzkum bude zčásti hradit stát prostřednictvím navýšení RVO. Benefit v podobě navýšení RVO bude zároveň moci sloužit k obnově přístrojového vybavení a posílení </w:t>
      </w:r>
      <w:r w:rsidR="00EC30C2">
        <w:rPr>
          <w:rFonts w:ascii="Arial" w:hAnsi="Arial" w:cs="Arial"/>
        </w:rPr>
        <w:t>lidských zdrojů</w:t>
      </w:r>
      <w:r w:rsidRPr="00DA191F">
        <w:rPr>
          <w:rFonts w:ascii="Arial" w:hAnsi="Arial" w:cs="Arial"/>
        </w:rPr>
        <w:t>.</w:t>
      </w:r>
    </w:p>
    <w:p w:rsidR="00A14734" w:rsidRPr="00DA191F" w:rsidRDefault="00A14734" w:rsidP="002660CA">
      <w:pPr>
        <w:ind w:left="360"/>
        <w:jc w:val="both"/>
        <w:rPr>
          <w:rFonts w:ascii="Arial" w:hAnsi="Arial" w:cs="Arial"/>
        </w:rPr>
      </w:pPr>
    </w:p>
    <w:p w:rsidR="00901B57" w:rsidRDefault="002660CA" w:rsidP="00901B5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901B57">
        <w:rPr>
          <w:rFonts w:ascii="Arial" w:hAnsi="Arial" w:cs="Arial"/>
          <w:b/>
        </w:rPr>
        <w:t>Zavedení r</w:t>
      </w:r>
      <w:r w:rsidR="000D73FC" w:rsidRPr="00901B57">
        <w:rPr>
          <w:rFonts w:ascii="Arial" w:hAnsi="Arial" w:cs="Arial"/>
          <w:b/>
        </w:rPr>
        <w:t>evolvingov</w:t>
      </w:r>
      <w:r w:rsidRPr="00901B57">
        <w:rPr>
          <w:rFonts w:ascii="Arial" w:hAnsi="Arial" w:cs="Arial"/>
          <w:b/>
        </w:rPr>
        <w:t>ých</w:t>
      </w:r>
      <w:r w:rsidR="000D73FC" w:rsidRPr="00901B57">
        <w:rPr>
          <w:rFonts w:ascii="Arial" w:hAnsi="Arial" w:cs="Arial"/>
          <w:b/>
        </w:rPr>
        <w:t xml:space="preserve"> nástroj</w:t>
      </w:r>
      <w:r w:rsidRPr="00901B57">
        <w:rPr>
          <w:rFonts w:ascii="Arial" w:hAnsi="Arial" w:cs="Arial"/>
          <w:b/>
        </w:rPr>
        <w:t>ů</w:t>
      </w:r>
      <w:r w:rsidR="000D73FC" w:rsidRPr="00901B57">
        <w:rPr>
          <w:rFonts w:ascii="Arial" w:hAnsi="Arial" w:cs="Arial"/>
          <w:b/>
        </w:rPr>
        <w:t>.</w:t>
      </w:r>
      <w:r w:rsidR="000D73FC" w:rsidRPr="00901B57">
        <w:rPr>
          <w:rFonts w:ascii="Arial" w:hAnsi="Arial" w:cs="Arial"/>
        </w:rPr>
        <w:t xml:space="preserve"> </w:t>
      </w:r>
    </w:p>
    <w:p w:rsidR="00FA6230" w:rsidRDefault="000D73FC" w:rsidP="00901B57">
      <w:pPr>
        <w:ind w:left="360"/>
        <w:jc w:val="both"/>
        <w:rPr>
          <w:rFonts w:ascii="Arial" w:hAnsi="Arial" w:cs="Arial"/>
        </w:rPr>
      </w:pPr>
      <w:r w:rsidRPr="00901B57">
        <w:rPr>
          <w:rFonts w:ascii="Arial" w:hAnsi="Arial" w:cs="Arial"/>
        </w:rPr>
        <w:t>Zvýhodněné úvěry umožní podnikům investovat více prostředků do vývoje realizovaného s využitím kapacit veřejných výzkumných subjektů.</w:t>
      </w:r>
      <w:r w:rsidR="00794620" w:rsidRPr="00901B57">
        <w:rPr>
          <w:rFonts w:ascii="Arial" w:hAnsi="Arial" w:cs="Arial"/>
        </w:rPr>
        <w:t xml:space="preserve"> Zvláštní význam mají prostředky rizikového kapitálu označované jako </w:t>
      </w:r>
      <w:proofErr w:type="spellStart"/>
      <w:r w:rsidR="00794620" w:rsidRPr="00901B57">
        <w:rPr>
          <w:rFonts w:ascii="Arial" w:hAnsi="Arial" w:cs="Arial"/>
        </w:rPr>
        <w:t>pre-seed</w:t>
      </w:r>
      <w:proofErr w:type="spellEnd"/>
      <w:r w:rsidR="00794620" w:rsidRPr="00901B57">
        <w:rPr>
          <w:rFonts w:ascii="Arial" w:hAnsi="Arial" w:cs="Arial"/>
        </w:rPr>
        <w:t xml:space="preserve"> a </w:t>
      </w:r>
      <w:proofErr w:type="spellStart"/>
      <w:r w:rsidR="00794620" w:rsidRPr="00901B57">
        <w:rPr>
          <w:rFonts w:ascii="Arial" w:hAnsi="Arial" w:cs="Arial"/>
        </w:rPr>
        <w:t>seed</w:t>
      </w:r>
      <w:proofErr w:type="spellEnd"/>
      <w:r w:rsidR="00794620" w:rsidRPr="00901B57">
        <w:rPr>
          <w:rFonts w:ascii="Arial" w:hAnsi="Arial" w:cs="Arial"/>
        </w:rPr>
        <w:t xml:space="preserve"> fondy, které slouží k rozvoji zač</w:t>
      </w:r>
      <w:r w:rsidR="00901B57" w:rsidRPr="00901B57">
        <w:rPr>
          <w:rFonts w:ascii="Arial" w:hAnsi="Arial" w:cs="Arial"/>
        </w:rPr>
        <w:t>í</w:t>
      </w:r>
      <w:r w:rsidR="00794620" w:rsidRPr="00901B57">
        <w:rPr>
          <w:rFonts w:ascii="Arial" w:hAnsi="Arial" w:cs="Arial"/>
        </w:rPr>
        <w:t>nající</w:t>
      </w:r>
      <w:r w:rsidR="00901B57" w:rsidRPr="00901B57">
        <w:rPr>
          <w:rFonts w:ascii="Arial" w:hAnsi="Arial" w:cs="Arial"/>
        </w:rPr>
        <w:t>c</w:t>
      </w:r>
      <w:r w:rsidR="00794620" w:rsidRPr="00901B57">
        <w:rPr>
          <w:rFonts w:ascii="Arial" w:hAnsi="Arial" w:cs="Arial"/>
        </w:rPr>
        <w:t>h firem.</w:t>
      </w:r>
    </w:p>
    <w:p w:rsidR="00901B57" w:rsidRDefault="00901B57" w:rsidP="00901B5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Zřízení revolvingových nástrojů je součástí </w:t>
      </w:r>
      <w:r w:rsidRPr="00204552">
        <w:rPr>
          <w:rFonts w:ascii="Arial" w:hAnsi="Arial" w:cs="Arial"/>
          <w:b/>
        </w:rPr>
        <w:t>nového zákona o podpoře výzkumu, vývoje a inovací</w:t>
      </w:r>
      <w:r w:rsidR="00DD665F">
        <w:rPr>
          <w:rFonts w:ascii="Arial" w:hAnsi="Arial" w:cs="Arial"/>
        </w:rPr>
        <w:t>, který se aktuálně nachází v legislativním procesu</w:t>
      </w:r>
      <w:r>
        <w:rPr>
          <w:rFonts w:ascii="Arial" w:hAnsi="Arial" w:cs="Arial"/>
        </w:rPr>
        <w:t>.</w:t>
      </w:r>
      <w:r w:rsidR="00DD665F">
        <w:rPr>
          <w:rFonts w:ascii="Arial" w:hAnsi="Arial" w:cs="Arial"/>
        </w:rPr>
        <w:t xml:space="preserve"> Věcný záměr tohoto zákona schválila vláda v roce 2016</w:t>
      </w:r>
      <w:r w:rsidR="00A41D88">
        <w:rPr>
          <w:rFonts w:ascii="Arial" w:hAnsi="Arial" w:cs="Arial"/>
        </w:rPr>
        <w:t>, paragrafové znění bylo předloženo Legislativní radě vlády 8. srpna 2017</w:t>
      </w:r>
      <w:r w:rsidR="00DD665F">
        <w:rPr>
          <w:rFonts w:ascii="Arial" w:hAnsi="Arial" w:cs="Arial"/>
        </w:rPr>
        <w:t>.</w:t>
      </w:r>
    </w:p>
    <w:p w:rsidR="00A14734" w:rsidRPr="00901B57" w:rsidRDefault="00A14734" w:rsidP="00901B57">
      <w:pPr>
        <w:ind w:left="360"/>
        <w:jc w:val="both"/>
        <w:rPr>
          <w:rFonts w:ascii="Arial" w:hAnsi="Arial" w:cs="Arial"/>
        </w:rPr>
      </w:pPr>
    </w:p>
    <w:p w:rsidR="00DD665F" w:rsidRPr="00DD665F" w:rsidRDefault="00E61E87" w:rsidP="00DD66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DD665F">
        <w:rPr>
          <w:rFonts w:ascii="Arial" w:hAnsi="Arial" w:cs="Arial"/>
          <w:b/>
        </w:rPr>
        <w:t>Investiční pobídky.</w:t>
      </w:r>
      <w:r w:rsidRPr="00DD665F">
        <w:rPr>
          <w:rFonts w:ascii="Arial" w:hAnsi="Arial" w:cs="Arial"/>
        </w:rPr>
        <w:t xml:space="preserve"> </w:t>
      </w:r>
    </w:p>
    <w:p w:rsidR="00676CF6" w:rsidRDefault="00676CF6" w:rsidP="00DD665F">
      <w:pPr>
        <w:ind w:left="360"/>
        <w:jc w:val="both"/>
        <w:rPr>
          <w:rFonts w:ascii="Arial" w:hAnsi="Arial" w:cs="Arial"/>
        </w:rPr>
      </w:pPr>
      <w:r w:rsidRPr="00DD665F">
        <w:rPr>
          <w:rFonts w:ascii="Arial" w:hAnsi="Arial" w:cs="Arial"/>
        </w:rPr>
        <w:t xml:space="preserve">Je třeba vhodně zacílit investiční pobídky tak, aby se </w:t>
      </w:r>
      <w:r w:rsidRPr="00DD665F">
        <w:rPr>
          <w:rFonts w:ascii="Arial" w:hAnsi="Arial" w:cs="Arial"/>
          <w:b/>
        </w:rPr>
        <w:t>zamezilo podpoře globálních koncernů, které na českém trhu přímo konkurují MSP</w:t>
      </w:r>
      <w:r w:rsidRPr="00DD665F">
        <w:rPr>
          <w:rFonts w:ascii="Arial" w:hAnsi="Arial" w:cs="Arial"/>
        </w:rPr>
        <w:t xml:space="preserve"> a vytvářejí pracovní míst</w:t>
      </w:r>
      <w:r w:rsidR="00DD665F">
        <w:rPr>
          <w:rFonts w:ascii="Arial" w:hAnsi="Arial" w:cs="Arial"/>
        </w:rPr>
        <w:t>a s nízkými nároky na znalosti</w:t>
      </w:r>
      <w:r w:rsidR="00F10CB9">
        <w:rPr>
          <w:rFonts w:ascii="Arial" w:hAnsi="Arial" w:cs="Arial"/>
        </w:rPr>
        <w:t>, která</w:t>
      </w:r>
      <w:r w:rsidR="00261CDF">
        <w:rPr>
          <w:rFonts w:ascii="Arial" w:hAnsi="Arial" w:cs="Arial"/>
        </w:rPr>
        <w:t xml:space="preserve"> jsou</w:t>
      </w:r>
      <w:r w:rsidR="00F10CB9">
        <w:rPr>
          <w:rFonts w:ascii="Arial" w:hAnsi="Arial" w:cs="Arial"/>
        </w:rPr>
        <w:t xml:space="preserve"> tudíž</w:t>
      </w:r>
      <w:r w:rsidRPr="00DD665F">
        <w:rPr>
          <w:rFonts w:ascii="Arial" w:hAnsi="Arial" w:cs="Arial"/>
        </w:rPr>
        <w:t xml:space="preserve"> špatně placená.</w:t>
      </w:r>
    </w:p>
    <w:p w:rsidR="00A14734" w:rsidRDefault="00A14734" w:rsidP="00DD665F">
      <w:pPr>
        <w:ind w:left="360"/>
        <w:jc w:val="both"/>
        <w:rPr>
          <w:rFonts w:ascii="Arial" w:hAnsi="Arial" w:cs="Arial"/>
        </w:rPr>
      </w:pPr>
    </w:p>
    <w:p w:rsidR="00DD665F" w:rsidRPr="00B36C67" w:rsidRDefault="00DD665F" w:rsidP="00DD66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D85778">
        <w:rPr>
          <w:rFonts w:ascii="Arial" w:hAnsi="Arial" w:cs="Arial"/>
          <w:b/>
        </w:rPr>
        <w:t>Způsob financování výzkumných center a výzkumných infrastruktur</w:t>
      </w:r>
      <w:r>
        <w:rPr>
          <w:rFonts w:ascii="Arial" w:hAnsi="Arial" w:cs="Arial"/>
        </w:rPr>
        <w:t>.</w:t>
      </w:r>
      <w:r w:rsidRPr="00DD665F">
        <w:rPr>
          <w:rFonts w:ascii="Arial" w:hAnsi="Arial" w:cs="Arial"/>
          <w:b/>
        </w:rPr>
        <w:t xml:space="preserve"> </w:t>
      </w:r>
    </w:p>
    <w:p w:rsidR="00B36C67" w:rsidRDefault="00B36C67" w:rsidP="00B36C6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Principy </w:t>
      </w:r>
      <w:r w:rsidR="00D85778">
        <w:rPr>
          <w:rFonts w:ascii="Arial" w:hAnsi="Arial" w:cs="Arial"/>
        </w:rPr>
        <w:t xml:space="preserve">budoucího financování výzkumných center a výzkumných infrastruktur </w:t>
      </w:r>
      <w:r>
        <w:rPr>
          <w:rFonts w:ascii="Arial" w:hAnsi="Arial" w:cs="Arial"/>
        </w:rPr>
        <w:t>schválila vláda v roce 201</w:t>
      </w:r>
      <w:r w:rsidR="00D8577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usnesení</w:t>
      </w:r>
      <w:r w:rsidR="00D85778">
        <w:rPr>
          <w:rFonts w:ascii="Arial" w:hAnsi="Arial" w:cs="Arial"/>
        </w:rPr>
        <w:t>m č.</w:t>
      </w:r>
      <w:r>
        <w:rPr>
          <w:rFonts w:ascii="Arial" w:hAnsi="Arial" w:cs="Arial"/>
        </w:rPr>
        <w:t xml:space="preserve"> 1067</w:t>
      </w:r>
      <w:r w:rsidR="00D85778">
        <w:rPr>
          <w:rFonts w:ascii="Arial" w:hAnsi="Arial" w:cs="Arial"/>
        </w:rPr>
        <w:t xml:space="preserve">/2015. Zásadní je </w:t>
      </w:r>
      <w:proofErr w:type="spellStart"/>
      <w:r w:rsidR="00D85778" w:rsidRPr="00D85778">
        <w:rPr>
          <w:rFonts w:ascii="Arial" w:hAnsi="Arial" w:cs="Arial"/>
          <w:b/>
        </w:rPr>
        <w:t>zastropování</w:t>
      </w:r>
      <w:proofErr w:type="spellEnd"/>
      <w:r w:rsidR="00D85778" w:rsidRPr="00D85778">
        <w:rPr>
          <w:rFonts w:ascii="Arial" w:hAnsi="Arial" w:cs="Arial"/>
          <w:b/>
        </w:rPr>
        <w:t xml:space="preserve"> podpory velkých výzkumných infrastruktur na</w:t>
      </w:r>
      <w:r w:rsidR="00261CDF">
        <w:rPr>
          <w:rFonts w:ascii="Arial" w:hAnsi="Arial" w:cs="Arial"/>
          <w:b/>
        </w:rPr>
        <w:t xml:space="preserve"> nejvýše</w:t>
      </w:r>
      <w:r w:rsidR="00D85778" w:rsidRPr="00D85778">
        <w:rPr>
          <w:rFonts w:ascii="Arial" w:hAnsi="Arial" w:cs="Arial"/>
          <w:b/>
        </w:rPr>
        <w:t xml:space="preserve"> 10 % celkových výdajů SR na </w:t>
      </w:r>
      <w:proofErr w:type="spellStart"/>
      <w:r w:rsidR="00D85778" w:rsidRPr="00D85778">
        <w:rPr>
          <w:rFonts w:ascii="Arial" w:hAnsi="Arial" w:cs="Arial"/>
          <w:b/>
        </w:rPr>
        <w:t>VaVaI</w:t>
      </w:r>
      <w:proofErr w:type="spellEnd"/>
      <w:r w:rsidR="00D46520">
        <w:rPr>
          <w:rFonts w:ascii="Arial" w:hAnsi="Arial" w:cs="Arial"/>
          <w:b/>
        </w:rPr>
        <w:t xml:space="preserve">, </w:t>
      </w:r>
      <w:r w:rsidR="00D46520" w:rsidRPr="00D46520">
        <w:rPr>
          <w:rFonts w:ascii="Arial" w:hAnsi="Arial" w:cs="Arial"/>
        </w:rPr>
        <w:t xml:space="preserve">aby </w:t>
      </w:r>
      <w:r w:rsidR="00D46520" w:rsidRPr="00D46520">
        <w:rPr>
          <w:rFonts w:ascii="Arial" w:hAnsi="Arial" w:cs="Arial"/>
        </w:rPr>
        <w:lastRenderedPageBreak/>
        <w:t>nedo</w:t>
      </w:r>
      <w:r w:rsidR="00261CDF">
        <w:rPr>
          <w:rFonts w:ascii="Arial" w:hAnsi="Arial" w:cs="Arial"/>
        </w:rPr>
        <w:t>c</w:t>
      </w:r>
      <w:r w:rsidR="00D46520" w:rsidRPr="00D46520">
        <w:rPr>
          <w:rFonts w:ascii="Arial" w:hAnsi="Arial" w:cs="Arial"/>
        </w:rPr>
        <w:t>házelo k jejich nekontrolovatelnému rozšiřování</w:t>
      </w:r>
      <w:r w:rsidR="00D85778">
        <w:rPr>
          <w:rFonts w:ascii="Arial" w:hAnsi="Arial" w:cs="Arial"/>
        </w:rPr>
        <w:t>. Zároveň podpora velkých výzkumných infrastruktur v součtu s podporou na Národní programy udržitelnosti I a II počínaje rokem 2017 nepřekročí 33 % výdajů na RVO</w:t>
      </w:r>
      <w:r w:rsidR="00D46520">
        <w:rPr>
          <w:rFonts w:ascii="Arial" w:hAnsi="Arial" w:cs="Arial"/>
        </w:rPr>
        <w:t xml:space="preserve">, aby na velké výzkumné infrastruktury nedoplácely subjekty, které je neprovozují. </w:t>
      </w:r>
      <w:r w:rsidR="00D85778">
        <w:rPr>
          <w:rFonts w:ascii="Arial" w:hAnsi="Arial" w:cs="Arial"/>
        </w:rPr>
        <w:t>Celková podpora na RVO, projekty velkých výzkumných infrastruktur a Národní programy udržitelnosti I a II bude počínaje rokem 2018 činit minimálně 15 mld. Kč ročně.</w:t>
      </w:r>
      <w:r w:rsidR="00AD7E5B">
        <w:rPr>
          <w:rFonts w:ascii="Arial" w:hAnsi="Arial" w:cs="Arial"/>
        </w:rPr>
        <w:t xml:space="preserve"> Stanovení vychází ze současné struktury SR, kdy prostředky institucionální podpory tvoří přibližně polovinu celkových výdajů. </w:t>
      </w:r>
      <w:r w:rsidR="00AD7E5B" w:rsidRPr="00164F82">
        <w:rPr>
          <w:rFonts w:ascii="Arial" w:hAnsi="Arial" w:cs="Arial"/>
        </w:rPr>
        <w:t xml:space="preserve">V návaznosti na nové hodnocení </w:t>
      </w:r>
      <w:r w:rsidR="002A628F" w:rsidRPr="00164F82">
        <w:rPr>
          <w:rFonts w:ascii="Arial" w:hAnsi="Arial" w:cs="Arial"/>
        </w:rPr>
        <w:t>výzkumných organiz</w:t>
      </w:r>
      <w:r w:rsidR="00164F82">
        <w:rPr>
          <w:rFonts w:ascii="Arial" w:hAnsi="Arial" w:cs="Arial"/>
        </w:rPr>
        <w:t>a</w:t>
      </w:r>
      <w:r w:rsidR="002A628F" w:rsidRPr="00164F82">
        <w:rPr>
          <w:rFonts w:ascii="Arial" w:hAnsi="Arial" w:cs="Arial"/>
        </w:rPr>
        <w:t>cí</w:t>
      </w:r>
      <w:r w:rsidR="00AD7E5B" w:rsidRPr="00164F82">
        <w:rPr>
          <w:rFonts w:ascii="Arial" w:hAnsi="Arial" w:cs="Arial"/>
        </w:rPr>
        <w:t xml:space="preserve"> a jeho finanční dopad a</w:t>
      </w:r>
      <w:r w:rsidR="00901087">
        <w:rPr>
          <w:rFonts w:ascii="Arial" w:hAnsi="Arial" w:cs="Arial"/>
        </w:rPr>
        <w:t> </w:t>
      </w:r>
      <w:r w:rsidR="00AD7E5B" w:rsidRPr="00164F82">
        <w:rPr>
          <w:rFonts w:ascii="Arial" w:hAnsi="Arial" w:cs="Arial"/>
        </w:rPr>
        <w:t xml:space="preserve">také na </w:t>
      </w:r>
      <w:r w:rsidR="00164F82" w:rsidRPr="00164F82">
        <w:rPr>
          <w:rFonts w:ascii="Arial" w:hAnsi="Arial" w:cs="Arial"/>
        </w:rPr>
        <w:t xml:space="preserve">Prohlášení o stabilizaci systému </w:t>
      </w:r>
      <w:proofErr w:type="spellStart"/>
      <w:r w:rsidR="00164F82" w:rsidRPr="00164F82">
        <w:rPr>
          <w:rFonts w:ascii="Arial" w:hAnsi="Arial" w:cs="Arial"/>
        </w:rPr>
        <w:t>VaVaI</w:t>
      </w:r>
      <w:proofErr w:type="spellEnd"/>
      <w:r w:rsidR="00164F82" w:rsidRPr="00164F82">
        <w:rPr>
          <w:rFonts w:ascii="Arial" w:hAnsi="Arial" w:cs="Arial"/>
        </w:rPr>
        <w:t xml:space="preserve"> v ČR (viz bod 3)</w:t>
      </w:r>
      <w:r w:rsidR="00AD7E5B" w:rsidRPr="00164F82">
        <w:rPr>
          <w:rFonts w:ascii="Arial" w:hAnsi="Arial" w:cs="Arial"/>
        </w:rPr>
        <w:t xml:space="preserve"> předpokládáme </w:t>
      </w:r>
      <w:r w:rsidR="00FA7854">
        <w:rPr>
          <w:rFonts w:ascii="Arial" w:hAnsi="Arial" w:cs="Arial"/>
        </w:rPr>
        <w:t xml:space="preserve">výrazný </w:t>
      </w:r>
      <w:r w:rsidR="00AD7E5B" w:rsidRPr="00164F82">
        <w:rPr>
          <w:rFonts w:ascii="Arial" w:hAnsi="Arial" w:cs="Arial"/>
        </w:rPr>
        <w:t>nárůst nad tuto minimální hranici vlivem složky RVO.</w:t>
      </w:r>
    </w:p>
    <w:p w:rsidR="00D46520" w:rsidRDefault="00D46520" w:rsidP="00B36C6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Počítá se </w:t>
      </w:r>
      <w:r w:rsidR="00261CDF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tím, že Národní programy udržitelnosti budou postupně transformovány na</w:t>
      </w:r>
      <w:r w:rsidR="00901087">
        <w:rPr>
          <w:rFonts w:ascii="Arial" w:hAnsi="Arial" w:cs="Arial"/>
        </w:rPr>
        <w:t> </w:t>
      </w:r>
      <w:r>
        <w:rPr>
          <w:rFonts w:ascii="Arial" w:hAnsi="Arial" w:cs="Arial"/>
        </w:rPr>
        <w:t>institucionální prostředky RVO v návaznosti na nový způsob hodnocení výzkumných organizací podle Metodiky 2017+. Do tohoto způsobu hodnocení a na něj navázaného financování výzkumných organizací se promítne provozování výzkumných center a</w:t>
      </w:r>
      <w:r w:rsidR="00901087">
        <w:rPr>
          <w:rFonts w:ascii="Arial" w:hAnsi="Arial" w:cs="Arial"/>
        </w:rPr>
        <w:t> </w:t>
      </w:r>
      <w:r>
        <w:rPr>
          <w:rFonts w:ascii="Arial" w:hAnsi="Arial" w:cs="Arial"/>
        </w:rPr>
        <w:t>významných výzkumných infrastruktur</w:t>
      </w:r>
      <w:r w:rsidR="00F10CB9">
        <w:rPr>
          <w:rFonts w:ascii="Arial" w:hAnsi="Arial" w:cs="Arial"/>
        </w:rPr>
        <w:t>.</w:t>
      </w:r>
    </w:p>
    <w:p w:rsidR="00F10CB9" w:rsidRDefault="00F10CB9" w:rsidP="008854A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Zvláštní pozornost bude věnována </w:t>
      </w:r>
      <w:r w:rsidR="003F6D79">
        <w:rPr>
          <w:rFonts w:ascii="Arial" w:hAnsi="Arial" w:cs="Arial"/>
        </w:rPr>
        <w:t xml:space="preserve">infrastruktuře </w:t>
      </w:r>
      <w:proofErr w:type="spellStart"/>
      <w:r w:rsidR="003F6D79">
        <w:rPr>
          <w:rFonts w:ascii="Arial" w:hAnsi="Arial" w:cs="Arial"/>
        </w:rPr>
        <w:t>Extreme</w:t>
      </w:r>
      <w:proofErr w:type="spellEnd"/>
      <w:r w:rsidR="003F6D79">
        <w:rPr>
          <w:rFonts w:ascii="Arial" w:hAnsi="Arial" w:cs="Arial"/>
        </w:rPr>
        <w:t xml:space="preserve"> </w:t>
      </w:r>
      <w:proofErr w:type="spellStart"/>
      <w:r w:rsidR="003F6D79">
        <w:rPr>
          <w:rFonts w:ascii="Arial" w:hAnsi="Arial" w:cs="Arial"/>
        </w:rPr>
        <w:t>Light</w:t>
      </w:r>
      <w:proofErr w:type="spellEnd"/>
      <w:r w:rsidR="003F6D79">
        <w:rPr>
          <w:rFonts w:ascii="Arial" w:hAnsi="Arial" w:cs="Arial"/>
        </w:rPr>
        <w:t xml:space="preserve"> </w:t>
      </w:r>
      <w:proofErr w:type="spellStart"/>
      <w:r w:rsidR="003F6D79">
        <w:rPr>
          <w:rFonts w:ascii="Arial" w:hAnsi="Arial" w:cs="Arial"/>
        </w:rPr>
        <w:t>Infrastructure</w:t>
      </w:r>
      <w:proofErr w:type="spellEnd"/>
      <w:r w:rsidR="003F6D79">
        <w:rPr>
          <w:rFonts w:ascii="Arial" w:hAnsi="Arial" w:cs="Arial"/>
        </w:rPr>
        <w:t xml:space="preserve"> (dále jen „ELI“). </w:t>
      </w:r>
      <w:r w:rsidR="00065310">
        <w:rPr>
          <w:rFonts w:ascii="Arial" w:hAnsi="Arial" w:cs="Arial"/>
        </w:rPr>
        <w:t xml:space="preserve">Vzhledem ke skutečnosti, že se jedná o distribuovanou </w:t>
      </w:r>
      <w:r w:rsidR="003F6D79" w:rsidRPr="003F6D79">
        <w:rPr>
          <w:rFonts w:ascii="Arial" w:hAnsi="Arial" w:cs="Arial"/>
        </w:rPr>
        <w:t>výzkumn</w:t>
      </w:r>
      <w:r w:rsidR="00065310">
        <w:rPr>
          <w:rFonts w:ascii="Arial" w:hAnsi="Arial" w:cs="Arial"/>
        </w:rPr>
        <w:t>ou</w:t>
      </w:r>
      <w:r w:rsidR="003F6D79" w:rsidRPr="003F6D79">
        <w:rPr>
          <w:rFonts w:ascii="Arial" w:hAnsi="Arial" w:cs="Arial"/>
        </w:rPr>
        <w:t xml:space="preserve"> infrastruktur</w:t>
      </w:r>
      <w:r w:rsidR="00065310">
        <w:rPr>
          <w:rFonts w:ascii="Arial" w:hAnsi="Arial" w:cs="Arial"/>
        </w:rPr>
        <w:t>u</w:t>
      </w:r>
      <w:r w:rsidR="003F6D79" w:rsidRPr="003F6D79">
        <w:rPr>
          <w:rFonts w:ascii="Arial" w:hAnsi="Arial" w:cs="Arial"/>
        </w:rPr>
        <w:t xml:space="preserve"> (ELI </w:t>
      </w:r>
      <w:proofErr w:type="spellStart"/>
      <w:r w:rsidR="003F6D79" w:rsidRPr="003F6D79">
        <w:rPr>
          <w:rFonts w:ascii="Arial" w:hAnsi="Arial" w:cs="Arial"/>
        </w:rPr>
        <w:t>Beamlines</w:t>
      </w:r>
      <w:proofErr w:type="spellEnd"/>
      <w:r w:rsidR="003F6D79" w:rsidRPr="003F6D79">
        <w:rPr>
          <w:rFonts w:ascii="Arial" w:hAnsi="Arial" w:cs="Arial"/>
        </w:rPr>
        <w:t xml:space="preserve"> – Dolní Břežany</w:t>
      </w:r>
      <w:r w:rsidR="00065310">
        <w:rPr>
          <w:rFonts w:ascii="Arial" w:hAnsi="Arial" w:cs="Arial"/>
        </w:rPr>
        <w:t>,</w:t>
      </w:r>
      <w:r w:rsidR="003F6D79" w:rsidRPr="003F6D79">
        <w:rPr>
          <w:rFonts w:ascii="Arial" w:hAnsi="Arial" w:cs="Arial"/>
        </w:rPr>
        <w:t xml:space="preserve"> ČR</w:t>
      </w:r>
      <w:r w:rsidR="00065310">
        <w:rPr>
          <w:rFonts w:ascii="Arial" w:hAnsi="Arial" w:cs="Arial"/>
        </w:rPr>
        <w:t>;</w:t>
      </w:r>
      <w:r w:rsidR="003F6D79" w:rsidRPr="003F6D79">
        <w:rPr>
          <w:rFonts w:ascii="Arial" w:hAnsi="Arial" w:cs="Arial"/>
        </w:rPr>
        <w:t xml:space="preserve"> ELI </w:t>
      </w:r>
      <w:proofErr w:type="spellStart"/>
      <w:r w:rsidR="003F6D79" w:rsidRPr="003F6D79">
        <w:rPr>
          <w:rFonts w:ascii="Arial" w:hAnsi="Arial" w:cs="Arial"/>
        </w:rPr>
        <w:t>Attosecond</w:t>
      </w:r>
      <w:proofErr w:type="spellEnd"/>
      <w:r w:rsidR="003F6D79" w:rsidRPr="003F6D79">
        <w:rPr>
          <w:rFonts w:ascii="Arial" w:hAnsi="Arial" w:cs="Arial"/>
        </w:rPr>
        <w:t xml:space="preserve"> – Maďarsko</w:t>
      </w:r>
      <w:r w:rsidR="00065310">
        <w:rPr>
          <w:rFonts w:ascii="Arial" w:hAnsi="Arial" w:cs="Arial"/>
        </w:rPr>
        <w:t>;</w:t>
      </w:r>
      <w:r w:rsidR="003F6D79" w:rsidRPr="003F6D79">
        <w:rPr>
          <w:rFonts w:ascii="Arial" w:hAnsi="Arial" w:cs="Arial"/>
        </w:rPr>
        <w:t xml:space="preserve"> ELI </w:t>
      </w:r>
      <w:proofErr w:type="spellStart"/>
      <w:r w:rsidR="003F6D79" w:rsidRPr="003F6D79">
        <w:rPr>
          <w:rFonts w:ascii="Arial" w:hAnsi="Arial" w:cs="Arial"/>
        </w:rPr>
        <w:t>Nuclear</w:t>
      </w:r>
      <w:proofErr w:type="spellEnd"/>
      <w:r w:rsidR="003F6D79" w:rsidRPr="003F6D79">
        <w:rPr>
          <w:rFonts w:ascii="Arial" w:hAnsi="Arial" w:cs="Arial"/>
        </w:rPr>
        <w:t xml:space="preserve"> </w:t>
      </w:r>
      <w:proofErr w:type="spellStart"/>
      <w:r w:rsidR="003F6D79" w:rsidRPr="003F6D79">
        <w:rPr>
          <w:rFonts w:ascii="Arial" w:hAnsi="Arial" w:cs="Arial"/>
        </w:rPr>
        <w:t>Physics</w:t>
      </w:r>
      <w:proofErr w:type="spellEnd"/>
      <w:r w:rsidR="003F6D79" w:rsidRPr="003F6D79">
        <w:rPr>
          <w:rFonts w:ascii="Arial" w:hAnsi="Arial" w:cs="Arial"/>
        </w:rPr>
        <w:t xml:space="preserve"> – Rumunsko)</w:t>
      </w:r>
      <w:r w:rsidR="007963AA">
        <w:rPr>
          <w:rFonts w:ascii="Arial" w:hAnsi="Arial" w:cs="Arial"/>
        </w:rPr>
        <w:t>,</w:t>
      </w:r>
      <w:r w:rsidR="003F6D79" w:rsidRPr="003F6D79">
        <w:rPr>
          <w:rFonts w:ascii="Arial" w:hAnsi="Arial" w:cs="Arial"/>
        </w:rPr>
        <w:t xml:space="preserve"> </w:t>
      </w:r>
      <w:r w:rsidR="007963AA" w:rsidRPr="003F6D79">
        <w:rPr>
          <w:rFonts w:ascii="Arial" w:hAnsi="Arial" w:cs="Arial"/>
        </w:rPr>
        <w:t>je nutno</w:t>
      </w:r>
      <w:r w:rsidR="007963AA">
        <w:rPr>
          <w:rFonts w:ascii="Arial" w:hAnsi="Arial" w:cs="Arial"/>
        </w:rPr>
        <w:t xml:space="preserve"> v</w:t>
      </w:r>
      <w:r w:rsidR="003F6D79" w:rsidRPr="003F6D79">
        <w:rPr>
          <w:rFonts w:ascii="Arial" w:hAnsi="Arial" w:cs="Arial"/>
        </w:rPr>
        <w:t xml:space="preserve"> zájmu zajištění jednotného provozu založit entitu, která bude mít mezinárodní charakter. Bez ohledu na časový průběh založení </w:t>
      </w:r>
      <w:r w:rsidR="00000654">
        <w:rPr>
          <w:rFonts w:ascii="Arial" w:hAnsi="Arial" w:cs="Arial"/>
        </w:rPr>
        <w:t>samostatné entity</w:t>
      </w:r>
      <w:r w:rsidR="003F6D79" w:rsidRPr="003F6D79">
        <w:rPr>
          <w:rFonts w:ascii="Arial" w:hAnsi="Arial" w:cs="Arial"/>
        </w:rPr>
        <w:t xml:space="preserve"> s</w:t>
      </w:r>
      <w:r w:rsidR="00000654">
        <w:rPr>
          <w:rFonts w:ascii="Arial" w:hAnsi="Arial" w:cs="Arial"/>
        </w:rPr>
        <w:t> </w:t>
      </w:r>
      <w:r w:rsidR="003F6D79" w:rsidRPr="003F6D79">
        <w:rPr>
          <w:rFonts w:ascii="Arial" w:hAnsi="Arial" w:cs="Arial"/>
        </w:rPr>
        <w:t>ohledem na končící výstavbu centra a zahájení jeho provozu</w:t>
      </w:r>
      <w:r w:rsidR="00065310">
        <w:rPr>
          <w:rFonts w:ascii="Arial" w:hAnsi="Arial" w:cs="Arial"/>
        </w:rPr>
        <w:t xml:space="preserve"> (je plánováno na polovinu roku 2018)</w:t>
      </w:r>
      <w:r w:rsidR="003F6D79" w:rsidRPr="003F6D79">
        <w:rPr>
          <w:rFonts w:ascii="Arial" w:hAnsi="Arial" w:cs="Arial"/>
        </w:rPr>
        <w:t xml:space="preserve"> </w:t>
      </w:r>
      <w:r w:rsidR="00936F08">
        <w:rPr>
          <w:rFonts w:ascii="Arial" w:hAnsi="Arial" w:cs="Arial"/>
        </w:rPr>
        <w:t xml:space="preserve">je nezbytné </w:t>
      </w:r>
      <w:r w:rsidR="003F6D79" w:rsidRPr="003F6D79">
        <w:rPr>
          <w:rFonts w:ascii="Arial" w:hAnsi="Arial" w:cs="Arial"/>
        </w:rPr>
        <w:t xml:space="preserve">zajistit odpovídající plán financování a finanční udržitelnosti. </w:t>
      </w:r>
      <w:r w:rsidR="008854A0">
        <w:rPr>
          <w:rFonts w:ascii="Arial" w:hAnsi="Arial" w:cs="Arial"/>
        </w:rPr>
        <w:t>P</w:t>
      </w:r>
      <w:r w:rsidR="003F6D79" w:rsidRPr="003F6D79">
        <w:rPr>
          <w:rFonts w:ascii="Arial" w:hAnsi="Arial" w:cs="Arial"/>
        </w:rPr>
        <w:t xml:space="preserve">ro startovací provozní fázi </w:t>
      </w:r>
      <w:r w:rsidR="008854A0">
        <w:rPr>
          <w:rFonts w:ascii="Arial" w:hAnsi="Arial" w:cs="Arial"/>
        </w:rPr>
        <w:t>ELI dosud</w:t>
      </w:r>
      <w:r w:rsidR="003F6D79" w:rsidRPr="003F6D79">
        <w:rPr>
          <w:rFonts w:ascii="Arial" w:hAnsi="Arial" w:cs="Arial"/>
        </w:rPr>
        <w:t xml:space="preserve"> nejsou zaručeny odpovídající podíly příspěvků </w:t>
      </w:r>
      <w:proofErr w:type="spellStart"/>
      <w:r w:rsidR="003F6D79" w:rsidRPr="003F6D79">
        <w:rPr>
          <w:rFonts w:ascii="Arial" w:hAnsi="Arial" w:cs="Arial"/>
        </w:rPr>
        <w:t>nehostitelských</w:t>
      </w:r>
      <w:proofErr w:type="spellEnd"/>
      <w:r w:rsidR="003F6D79" w:rsidRPr="003F6D79">
        <w:rPr>
          <w:rFonts w:ascii="Arial" w:hAnsi="Arial" w:cs="Arial"/>
        </w:rPr>
        <w:t xml:space="preserve"> zemí. Je te</w:t>
      </w:r>
      <w:r w:rsidR="0039643F">
        <w:rPr>
          <w:rFonts w:ascii="Arial" w:hAnsi="Arial" w:cs="Arial"/>
        </w:rPr>
        <w:t xml:space="preserve">dy nutné zajistit střednědobé </w:t>
      </w:r>
      <w:r w:rsidR="003F6D79" w:rsidRPr="003F6D79">
        <w:rPr>
          <w:rFonts w:ascii="Arial" w:hAnsi="Arial" w:cs="Arial"/>
        </w:rPr>
        <w:t xml:space="preserve">financování ze strany </w:t>
      </w:r>
      <w:r w:rsidR="00204552">
        <w:rPr>
          <w:rFonts w:ascii="Arial" w:hAnsi="Arial" w:cs="Arial"/>
        </w:rPr>
        <w:t>SR</w:t>
      </w:r>
      <w:r w:rsidR="003F6D79" w:rsidRPr="003F6D79">
        <w:rPr>
          <w:rFonts w:ascii="Arial" w:hAnsi="Arial" w:cs="Arial"/>
        </w:rPr>
        <w:t xml:space="preserve"> ČR. V</w:t>
      </w:r>
      <w:r w:rsidR="008854A0">
        <w:rPr>
          <w:rFonts w:ascii="Arial" w:hAnsi="Arial" w:cs="Arial"/>
        </w:rPr>
        <w:t> </w:t>
      </w:r>
      <w:r w:rsidR="003F6D79" w:rsidRPr="003F6D79">
        <w:rPr>
          <w:rFonts w:ascii="Arial" w:hAnsi="Arial" w:cs="Arial"/>
        </w:rPr>
        <w:t xml:space="preserve">současnosti je navrženo </w:t>
      </w:r>
      <w:r w:rsidR="008854A0" w:rsidRPr="003F6D79">
        <w:rPr>
          <w:rFonts w:ascii="Arial" w:hAnsi="Arial" w:cs="Arial"/>
        </w:rPr>
        <w:t xml:space="preserve">následující </w:t>
      </w:r>
      <w:r w:rsidR="003F6D79" w:rsidRPr="003F6D79">
        <w:rPr>
          <w:rFonts w:ascii="Arial" w:hAnsi="Arial" w:cs="Arial"/>
        </w:rPr>
        <w:t>schéma podílu státního rozpočtu</w:t>
      </w:r>
      <w:r w:rsidR="008854A0">
        <w:rPr>
          <w:rFonts w:ascii="Arial" w:hAnsi="Arial" w:cs="Arial"/>
        </w:rPr>
        <w:t xml:space="preserve">: </w:t>
      </w:r>
      <w:r w:rsidR="00936F08">
        <w:rPr>
          <w:rFonts w:ascii="Arial" w:hAnsi="Arial" w:cs="Arial"/>
        </w:rPr>
        <w:t>V</w:t>
      </w:r>
      <w:r w:rsidR="008854A0">
        <w:rPr>
          <w:rFonts w:ascii="Arial" w:hAnsi="Arial" w:cs="Arial"/>
        </w:rPr>
        <w:t xml:space="preserve"> roce </w:t>
      </w:r>
      <w:r w:rsidR="003F6D79" w:rsidRPr="003F6D79">
        <w:rPr>
          <w:rFonts w:ascii="Arial" w:hAnsi="Arial" w:cs="Arial"/>
        </w:rPr>
        <w:t xml:space="preserve">2018 </w:t>
      </w:r>
      <w:r w:rsidR="008854A0">
        <w:rPr>
          <w:rFonts w:ascii="Arial" w:hAnsi="Arial" w:cs="Arial"/>
        </w:rPr>
        <w:t xml:space="preserve">bude uhrazeno </w:t>
      </w:r>
      <w:r w:rsidR="003F6D79" w:rsidRPr="003F6D79">
        <w:rPr>
          <w:rFonts w:ascii="Arial" w:hAnsi="Arial" w:cs="Arial"/>
        </w:rPr>
        <w:t>95</w:t>
      </w:r>
      <w:r w:rsidR="008854A0">
        <w:rPr>
          <w:rFonts w:ascii="Arial" w:hAnsi="Arial" w:cs="Arial"/>
        </w:rPr>
        <w:t> </w:t>
      </w:r>
      <w:r w:rsidR="003F6D79" w:rsidRPr="003F6D79">
        <w:rPr>
          <w:rFonts w:ascii="Arial" w:hAnsi="Arial" w:cs="Arial"/>
        </w:rPr>
        <w:t xml:space="preserve">% </w:t>
      </w:r>
      <w:r w:rsidR="008854A0" w:rsidRPr="003F6D79">
        <w:rPr>
          <w:rFonts w:ascii="Arial" w:hAnsi="Arial" w:cs="Arial"/>
        </w:rPr>
        <w:t>nákladů souvisejících s provozem infrastruktury pro externí uživatele</w:t>
      </w:r>
      <w:r w:rsidR="008854A0">
        <w:rPr>
          <w:rFonts w:ascii="Arial" w:hAnsi="Arial" w:cs="Arial"/>
        </w:rPr>
        <w:t>, v roce</w:t>
      </w:r>
      <w:r w:rsidR="003F6D79" w:rsidRPr="003F6D79">
        <w:rPr>
          <w:rFonts w:ascii="Arial" w:hAnsi="Arial" w:cs="Arial"/>
        </w:rPr>
        <w:t xml:space="preserve"> 2019 </w:t>
      </w:r>
      <w:r w:rsidR="008854A0">
        <w:rPr>
          <w:rFonts w:ascii="Arial" w:hAnsi="Arial" w:cs="Arial"/>
        </w:rPr>
        <w:t xml:space="preserve">dojde k poklesu na </w:t>
      </w:r>
      <w:r w:rsidR="003F6D79" w:rsidRPr="003F6D79">
        <w:rPr>
          <w:rFonts w:ascii="Arial" w:hAnsi="Arial" w:cs="Arial"/>
        </w:rPr>
        <w:t>75 %</w:t>
      </w:r>
      <w:r w:rsidR="008854A0">
        <w:rPr>
          <w:rFonts w:ascii="Arial" w:hAnsi="Arial" w:cs="Arial"/>
        </w:rPr>
        <w:t xml:space="preserve"> a v roce</w:t>
      </w:r>
      <w:r w:rsidR="003F6D79" w:rsidRPr="003F6D79">
        <w:rPr>
          <w:rFonts w:ascii="Arial" w:hAnsi="Arial" w:cs="Arial"/>
        </w:rPr>
        <w:t xml:space="preserve"> 2020 </w:t>
      </w:r>
      <w:r w:rsidR="008854A0">
        <w:rPr>
          <w:rFonts w:ascii="Arial" w:hAnsi="Arial" w:cs="Arial"/>
        </w:rPr>
        <w:t>na</w:t>
      </w:r>
      <w:r w:rsidR="003F6D79" w:rsidRPr="003F6D79">
        <w:rPr>
          <w:rFonts w:ascii="Arial" w:hAnsi="Arial" w:cs="Arial"/>
        </w:rPr>
        <w:t xml:space="preserve"> 60 %. Takto uvedené prostředky jsou v návrhu rozpočtu rozděleny mezi </w:t>
      </w:r>
      <w:r w:rsidR="00AD322E">
        <w:rPr>
          <w:rFonts w:ascii="Arial" w:hAnsi="Arial" w:cs="Arial"/>
        </w:rPr>
        <w:t>Ministerstvo školství, mládeže a</w:t>
      </w:r>
      <w:r w:rsidR="00901087">
        <w:rPr>
          <w:rFonts w:ascii="Arial" w:hAnsi="Arial" w:cs="Arial"/>
        </w:rPr>
        <w:t> </w:t>
      </w:r>
      <w:r w:rsidR="00AD322E">
        <w:rPr>
          <w:rFonts w:ascii="Arial" w:hAnsi="Arial" w:cs="Arial"/>
        </w:rPr>
        <w:t>tělovýchovy</w:t>
      </w:r>
      <w:r w:rsidR="003F6D79" w:rsidRPr="003F6D79">
        <w:rPr>
          <w:rFonts w:ascii="Arial" w:hAnsi="Arial" w:cs="Arial"/>
        </w:rPr>
        <w:t xml:space="preserve"> (</w:t>
      </w:r>
      <w:r w:rsidR="00AD322E">
        <w:rPr>
          <w:rFonts w:ascii="Arial" w:hAnsi="Arial" w:cs="Arial"/>
        </w:rPr>
        <w:t>Projekty</w:t>
      </w:r>
      <w:r w:rsidR="003F6D79" w:rsidRPr="003F6D79">
        <w:rPr>
          <w:rFonts w:ascii="Arial" w:hAnsi="Arial" w:cs="Arial"/>
        </w:rPr>
        <w:t xml:space="preserve"> </w:t>
      </w:r>
      <w:r w:rsidR="00AD322E">
        <w:rPr>
          <w:rFonts w:ascii="Arial" w:hAnsi="Arial" w:cs="Arial"/>
        </w:rPr>
        <w:t>v</w:t>
      </w:r>
      <w:r w:rsidR="003F6D79" w:rsidRPr="003F6D79">
        <w:rPr>
          <w:rFonts w:ascii="Arial" w:hAnsi="Arial" w:cs="Arial"/>
        </w:rPr>
        <w:t xml:space="preserve">elkých </w:t>
      </w:r>
      <w:r w:rsidR="00AD322E">
        <w:rPr>
          <w:rFonts w:ascii="Arial" w:hAnsi="Arial" w:cs="Arial"/>
        </w:rPr>
        <w:t xml:space="preserve">výzkumných </w:t>
      </w:r>
      <w:r w:rsidR="003F6D79" w:rsidRPr="003F6D79">
        <w:rPr>
          <w:rFonts w:ascii="Arial" w:hAnsi="Arial" w:cs="Arial"/>
        </w:rPr>
        <w:t xml:space="preserve">infrastruktur – 250 mil Kč) a </w:t>
      </w:r>
      <w:r w:rsidR="00F17964">
        <w:rPr>
          <w:rFonts w:ascii="Arial" w:hAnsi="Arial" w:cs="Arial"/>
        </w:rPr>
        <w:t>Akademii věd</w:t>
      </w:r>
      <w:r w:rsidR="003F6D79" w:rsidRPr="003F6D79">
        <w:rPr>
          <w:rFonts w:ascii="Arial" w:hAnsi="Arial" w:cs="Arial"/>
        </w:rPr>
        <w:t xml:space="preserve"> ČR (210 mil Kč). Vedle výše uvedených finančních prostředků pro zajištění přístupu externích uživatelů jsou v rámci ELI </w:t>
      </w:r>
      <w:proofErr w:type="spellStart"/>
      <w:r w:rsidR="003F6D79" w:rsidRPr="003F6D79">
        <w:rPr>
          <w:rFonts w:ascii="Arial" w:hAnsi="Arial" w:cs="Arial"/>
        </w:rPr>
        <w:t>Beamlines</w:t>
      </w:r>
      <w:proofErr w:type="spellEnd"/>
      <w:r w:rsidR="003F6D79" w:rsidRPr="003F6D79">
        <w:rPr>
          <w:rFonts w:ascii="Arial" w:hAnsi="Arial" w:cs="Arial"/>
        </w:rPr>
        <w:t xml:space="preserve"> realizovány výzkumné a vývojové projekty podpořené z Národního programu udržitelnosti II, Operačního programu Výzkum, vývoj a</w:t>
      </w:r>
      <w:r w:rsidR="00901087">
        <w:rPr>
          <w:rFonts w:ascii="Arial" w:hAnsi="Arial" w:cs="Arial"/>
        </w:rPr>
        <w:t> </w:t>
      </w:r>
      <w:r w:rsidR="003F6D79" w:rsidRPr="003F6D79">
        <w:rPr>
          <w:rFonts w:ascii="Arial" w:hAnsi="Arial" w:cs="Arial"/>
        </w:rPr>
        <w:t>vzdělávání a Horizont 2020. V případě úspěchu podaných projektů bude plně pokryta též potřeba upgradů do konce roku 2022.</w:t>
      </w:r>
    </w:p>
    <w:p w:rsidR="00316A3B" w:rsidRPr="00B36C67" w:rsidRDefault="00316A3B" w:rsidP="008854A0">
      <w:pPr>
        <w:ind w:left="360"/>
        <w:jc w:val="both"/>
        <w:rPr>
          <w:rFonts w:ascii="Arial" w:hAnsi="Arial" w:cs="Arial"/>
        </w:rPr>
      </w:pPr>
    </w:p>
    <w:p w:rsidR="00B36C67" w:rsidRDefault="00DD665F" w:rsidP="00DD66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DA191F">
        <w:rPr>
          <w:rFonts w:ascii="Arial" w:hAnsi="Arial" w:cs="Arial"/>
          <w:b/>
        </w:rPr>
        <w:t>rogramy na podporu aplikovaného výzkumu pro potřeby průmyslu</w:t>
      </w:r>
      <w:r w:rsidRPr="00DA191F">
        <w:rPr>
          <w:rFonts w:ascii="Arial" w:hAnsi="Arial" w:cs="Arial"/>
        </w:rPr>
        <w:t xml:space="preserve">, </w:t>
      </w:r>
      <w:r w:rsidR="00B36C67">
        <w:rPr>
          <w:rFonts w:ascii="Arial" w:hAnsi="Arial" w:cs="Arial"/>
        </w:rPr>
        <w:t xml:space="preserve">včetně mezinárodní spolupráce v aplikovaném výzkumu a podpory zapojení mladých výzkumníků do aplikovaného výzkumu. </w:t>
      </w:r>
    </w:p>
    <w:p w:rsidR="00DD665F" w:rsidRPr="00B36C67" w:rsidRDefault="00D46520" w:rsidP="00B36C6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Klíčovými programy v oblasti aplikovaného výzkumu pro potřeby průmyslu jsou </w:t>
      </w:r>
      <w:r w:rsidRPr="00AD322E">
        <w:rPr>
          <w:rFonts w:ascii="Arial" w:hAnsi="Arial" w:cs="Arial"/>
          <w:b/>
        </w:rPr>
        <w:t>program</w:t>
      </w:r>
      <w:r w:rsidR="00DD665F" w:rsidRPr="00AD322E">
        <w:rPr>
          <w:rFonts w:ascii="Arial" w:hAnsi="Arial" w:cs="Arial"/>
          <w:b/>
        </w:rPr>
        <w:t xml:space="preserve"> </w:t>
      </w:r>
      <w:r w:rsidRPr="00AD322E">
        <w:rPr>
          <w:rFonts w:ascii="Arial" w:hAnsi="Arial" w:cs="Arial"/>
          <w:b/>
        </w:rPr>
        <w:t>EPSILON</w:t>
      </w:r>
      <w:r w:rsidRPr="00B36C67">
        <w:rPr>
          <w:rFonts w:ascii="Arial" w:hAnsi="Arial" w:cs="Arial"/>
        </w:rPr>
        <w:t xml:space="preserve"> </w:t>
      </w:r>
      <w:r w:rsidR="00AD322E">
        <w:rPr>
          <w:rFonts w:ascii="Arial" w:hAnsi="Arial" w:cs="Arial"/>
        </w:rPr>
        <w:t xml:space="preserve">zabezpečovaný </w:t>
      </w:r>
      <w:r>
        <w:rPr>
          <w:rFonts w:ascii="Arial" w:hAnsi="Arial" w:cs="Arial"/>
        </w:rPr>
        <w:t>Technologick</w:t>
      </w:r>
      <w:r w:rsidR="00AD322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agentur</w:t>
      </w:r>
      <w:r w:rsidR="00AD322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ČR a </w:t>
      </w:r>
      <w:r w:rsidRPr="00AD322E">
        <w:rPr>
          <w:rFonts w:ascii="Arial" w:hAnsi="Arial" w:cs="Arial"/>
          <w:b/>
        </w:rPr>
        <w:t xml:space="preserve">program </w:t>
      </w:r>
      <w:r w:rsidR="00DD665F" w:rsidRPr="00AD322E">
        <w:rPr>
          <w:rFonts w:ascii="Arial" w:hAnsi="Arial" w:cs="Arial"/>
          <w:b/>
        </w:rPr>
        <w:t>TRIO</w:t>
      </w:r>
      <w:r w:rsidR="00DD665F" w:rsidRPr="00B36C67">
        <w:rPr>
          <w:rFonts w:ascii="Arial" w:hAnsi="Arial" w:cs="Arial"/>
        </w:rPr>
        <w:t xml:space="preserve"> </w:t>
      </w:r>
      <w:r w:rsidR="00AD322E">
        <w:rPr>
          <w:rFonts w:ascii="Arial" w:hAnsi="Arial" w:cs="Arial"/>
        </w:rPr>
        <w:t xml:space="preserve">zajišťovaný </w:t>
      </w:r>
      <w:r>
        <w:rPr>
          <w:rFonts w:ascii="Arial" w:hAnsi="Arial" w:cs="Arial"/>
        </w:rPr>
        <w:t>Ministerstv</w:t>
      </w:r>
      <w:r w:rsidR="00AD322E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průmyslu a obchodu</w:t>
      </w:r>
      <w:r w:rsidR="00DD665F" w:rsidRPr="00B36C67">
        <w:rPr>
          <w:rFonts w:ascii="Arial" w:hAnsi="Arial" w:cs="Arial"/>
        </w:rPr>
        <w:t>.</w:t>
      </w:r>
      <w:r w:rsidR="00BE7BF8">
        <w:rPr>
          <w:rFonts w:ascii="Arial" w:hAnsi="Arial" w:cs="Arial"/>
        </w:rPr>
        <w:t xml:space="preserve"> Program Epsilon byl schválen vládou již v roce 2013 a je financován od roku 2015. Finanční alokace je plánována do roku 2022 v celkové výši 16,2 mld. Kč, z toho ze SR 9,7 mld. Kč. Program TRIO schválila vláda v roce 2015 </w:t>
      </w:r>
      <w:r w:rsidR="00BE7BF8">
        <w:rPr>
          <w:rFonts w:ascii="Arial" w:hAnsi="Arial" w:cs="Arial"/>
        </w:rPr>
        <w:lastRenderedPageBreak/>
        <w:t>a</w:t>
      </w:r>
      <w:r w:rsidR="00901087">
        <w:rPr>
          <w:rFonts w:ascii="Arial" w:hAnsi="Arial" w:cs="Arial"/>
        </w:rPr>
        <w:t> </w:t>
      </w:r>
      <w:r w:rsidR="00BE7BF8">
        <w:rPr>
          <w:rFonts w:ascii="Arial" w:hAnsi="Arial" w:cs="Arial"/>
        </w:rPr>
        <w:t>zahájen byl o rok později.</w:t>
      </w:r>
      <w:r w:rsidR="00633D67">
        <w:rPr>
          <w:rFonts w:ascii="Arial" w:hAnsi="Arial" w:cs="Arial"/>
        </w:rPr>
        <w:t xml:space="preserve"> Od roku 2017 byla navýšena jeho finanční alokace. Předpokládá se doba realizace do roku 2021</w:t>
      </w:r>
      <w:r w:rsidR="007D58F0">
        <w:rPr>
          <w:rFonts w:ascii="Arial" w:hAnsi="Arial" w:cs="Arial"/>
        </w:rPr>
        <w:t>.</w:t>
      </w:r>
    </w:p>
    <w:p w:rsidR="00C02A94" w:rsidRDefault="00C02A94" w:rsidP="00D8577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 podpoře</w:t>
      </w:r>
      <w:r w:rsidR="00B36C67" w:rsidRPr="00DA191F">
        <w:rPr>
          <w:rFonts w:ascii="Arial" w:hAnsi="Arial" w:cs="Arial"/>
        </w:rPr>
        <w:t xml:space="preserve"> </w:t>
      </w:r>
      <w:r w:rsidR="00B36C67" w:rsidRPr="00D85778">
        <w:rPr>
          <w:rFonts w:ascii="Arial" w:hAnsi="Arial" w:cs="Arial"/>
        </w:rPr>
        <w:t>mezinárodní spolupráce v aplikovaném výzkumu</w:t>
      </w:r>
      <w:r w:rsidR="00B36C67" w:rsidRPr="00DA19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vláda schválila </w:t>
      </w:r>
      <w:r w:rsidRPr="00AD322E">
        <w:rPr>
          <w:rFonts w:ascii="Arial" w:hAnsi="Arial" w:cs="Arial"/>
          <w:b/>
        </w:rPr>
        <w:t>program DELTA</w:t>
      </w:r>
      <w:r>
        <w:rPr>
          <w:rFonts w:ascii="Arial" w:hAnsi="Arial" w:cs="Arial"/>
        </w:rPr>
        <w:t>, poskytovatelem je Technologická agentura ČR</w:t>
      </w:r>
      <w:r w:rsidR="00541130">
        <w:rPr>
          <w:rFonts w:ascii="Arial" w:hAnsi="Arial" w:cs="Arial"/>
        </w:rPr>
        <w:t xml:space="preserve">, která by měla </w:t>
      </w:r>
      <w:r w:rsidR="00204552">
        <w:rPr>
          <w:rFonts w:ascii="Arial" w:hAnsi="Arial" w:cs="Arial"/>
        </w:rPr>
        <w:t>do</w:t>
      </w:r>
      <w:r w:rsidR="00541130">
        <w:rPr>
          <w:rFonts w:ascii="Arial" w:hAnsi="Arial" w:cs="Arial"/>
        </w:rPr>
        <w:t xml:space="preserve"> září 2017 předložit Radě pro výzkum, vývoj a inovace</w:t>
      </w:r>
      <w:r w:rsidR="00316A3B">
        <w:rPr>
          <w:rFonts w:ascii="Arial" w:hAnsi="Arial" w:cs="Arial"/>
        </w:rPr>
        <w:t xml:space="preserve"> (dále jen „RVVI“)</w:t>
      </w:r>
      <w:r w:rsidR="00541130">
        <w:rPr>
          <w:rFonts w:ascii="Arial" w:hAnsi="Arial" w:cs="Arial"/>
        </w:rPr>
        <w:t xml:space="preserve"> ke stanovisku návrh navazujícího programu.</w:t>
      </w:r>
    </w:p>
    <w:p w:rsidR="00DD665F" w:rsidRDefault="00C02A94" w:rsidP="00D85778">
      <w:pPr>
        <w:ind w:left="360"/>
        <w:jc w:val="both"/>
        <w:rPr>
          <w:rFonts w:ascii="Arial" w:hAnsi="Arial" w:cs="Arial"/>
        </w:rPr>
      </w:pPr>
      <w:r w:rsidRPr="00D85778">
        <w:rPr>
          <w:rFonts w:ascii="Arial" w:hAnsi="Arial" w:cs="Arial"/>
        </w:rPr>
        <w:t>Z</w:t>
      </w:r>
      <w:r w:rsidR="00B36C67" w:rsidRPr="00D85778">
        <w:rPr>
          <w:rFonts w:ascii="Arial" w:hAnsi="Arial" w:cs="Arial"/>
        </w:rPr>
        <w:t>apojení mladých výzkumníků</w:t>
      </w:r>
      <w:r w:rsidR="00B36C67" w:rsidRPr="00DA19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bude iniciováno </w:t>
      </w:r>
      <w:r w:rsidRPr="00AD322E">
        <w:rPr>
          <w:rFonts w:ascii="Arial" w:hAnsi="Arial" w:cs="Arial"/>
          <w:b/>
        </w:rPr>
        <w:t>program</w:t>
      </w:r>
      <w:r w:rsidR="00541130" w:rsidRPr="00AD322E">
        <w:rPr>
          <w:rFonts w:ascii="Arial" w:hAnsi="Arial" w:cs="Arial"/>
          <w:b/>
        </w:rPr>
        <w:t>em</w:t>
      </w:r>
      <w:r w:rsidRPr="00AD322E">
        <w:rPr>
          <w:rFonts w:ascii="Arial" w:hAnsi="Arial" w:cs="Arial"/>
          <w:b/>
        </w:rPr>
        <w:t xml:space="preserve"> ZÉTA</w:t>
      </w:r>
      <w:r w:rsidR="00541130">
        <w:rPr>
          <w:rFonts w:ascii="Arial" w:hAnsi="Arial" w:cs="Arial"/>
        </w:rPr>
        <w:t xml:space="preserve"> administrovaným</w:t>
      </w:r>
      <w:r w:rsidR="00D46520">
        <w:rPr>
          <w:rFonts w:ascii="Arial" w:hAnsi="Arial" w:cs="Arial"/>
        </w:rPr>
        <w:t xml:space="preserve"> Technologick</w:t>
      </w:r>
      <w:r w:rsidR="00541130">
        <w:rPr>
          <w:rFonts w:ascii="Arial" w:hAnsi="Arial" w:cs="Arial"/>
        </w:rPr>
        <w:t>ou</w:t>
      </w:r>
      <w:r w:rsidR="00D46520">
        <w:rPr>
          <w:rFonts w:ascii="Arial" w:hAnsi="Arial" w:cs="Arial"/>
        </w:rPr>
        <w:t xml:space="preserve"> agentur</w:t>
      </w:r>
      <w:r w:rsidR="00A039B1">
        <w:rPr>
          <w:rFonts w:ascii="Arial" w:hAnsi="Arial" w:cs="Arial"/>
        </w:rPr>
        <w:t>ou</w:t>
      </w:r>
      <w:r w:rsidR="00D46520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>, kter</w:t>
      </w:r>
      <w:r w:rsidR="00A039B1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vláda schválila </w:t>
      </w:r>
      <w:r w:rsidR="00D46520">
        <w:rPr>
          <w:rFonts w:ascii="Arial" w:hAnsi="Arial" w:cs="Arial"/>
        </w:rPr>
        <w:t>v roce 2017</w:t>
      </w:r>
      <w:r w:rsidR="00B36C67" w:rsidRPr="00DA191F">
        <w:rPr>
          <w:rFonts w:ascii="Arial" w:hAnsi="Arial" w:cs="Arial"/>
        </w:rPr>
        <w:t>.</w:t>
      </w:r>
    </w:p>
    <w:p w:rsidR="007D58F0" w:rsidRDefault="007D58F0" w:rsidP="00D85778">
      <w:pPr>
        <w:ind w:left="360"/>
        <w:jc w:val="both"/>
        <w:rPr>
          <w:rFonts w:ascii="Arial" w:hAnsi="Arial" w:cs="Arial"/>
        </w:rPr>
      </w:pPr>
    </w:p>
    <w:p w:rsidR="00676CF6" w:rsidRDefault="004C5277" w:rsidP="004C527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4C5277">
        <w:rPr>
          <w:rFonts w:ascii="Arial" w:hAnsi="Arial" w:cs="Arial"/>
          <w:b/>
        </w:rPr>
        <w:t>Systematická podpora výzkumu a vývoje pro potřeby resortů</w:t>
      </w:r>
    </w:p>
    <w:p w:rsidR="00164F82" w:rsidRPr="00164F82" w:rsidRDefault="00164F82" w:rsidP="00066E56">
      <w:pPr>
        <w:ind w:left="360"/>
        <w:jc w:val="both"/>
        <w:rPr>
          <w:rFonts w:ascii="Arial" w:hAnsi="Arial" w:cs="Arial"/>
        </w:rPr>
      </w:pPr>
      <w:r w:rsidRPr="00164F82">
        <w:rPr>
          <w:rFonts w:ascii="Arial" w:hAnsi="Arial" w:cs="Arial"/>
        </w:rPr>
        <w:t>K financování výzkumných potřeb resortů slouží</w:t>
      </w:r>
      <w:r>
        <w:rPr>
          <w:rFonts w:ascii="Arial" w:hAnsi="Arial" w:cs="Arial"/>
        </w:rPr>
        <w:t xml:space="preserve"> primárně</w:t>
      </w:r>
      <w:r w:rsidRPr="00164F82">
        <w:rPr>
          <w:rFonts w:ascii="Arial" w:hAnsi="Arial" w:cs="Arial"/>
        </w:rPr>
        <w:t xml:space="preserve"> </w:t>
      </w:r>
      <w:r w:rsidR="00066E56" w:rsidRPr="00164F82">
        <w:rPr>
          <w:rFonts w:ascii="Arial" w:hAnsi="Arial" w:cs="Arial"/>
          <w:b/>
        </w:rPr>
        <w:t xml:space="preserve">program </w:t>
      </w:r>
      <w:r w:rsidR="00001E3E">
        <w:rPr>
          <w:rFonts w:ascii="Arial" w:hAnsi="Arial" w:cs="Arial"/>
          <w:b/>
        </w:rPr>
        <w:t>BETA</w:t>
      </w:r>
      <w:r w:rsidR="00680972">
        <w:rPr>
          <w:rFonts w:ascii="Arial" w:hAnsi="Arial" w:cs="Arial"/>
          <w:b/>
        </w:rPr>
        <w:t>2</w:t>
      </w:r>
      <w:r w:rsidR="00066E56" w:rsidRPr="00164F82">
        <w:rPr>
          <w:rFonts w:ascii="Arial" w:hAnsi="Arial" w:cs="Arial"/>
        </w:rPr>
        <w:t xml:space="preserve">. </w:t>
      </w:r>
      <w:r w:rsidRPr="00164F82">
        <w:rPr>
          <w:rFonts w:ascii="Arial" w:hAnsi="Arial" w:cs="Arial"/>
        </w:rPr>
        <w:t xml:space="preserve">Tento program schválila vláda </w:t>
      </w:r>
      <w:r w:rsidR="00680972">
        <w:rPr>
          <w:rFonts w:ascii="Arial" w:hAnsi="Arial" w:cs="Arial"/>
        </w:rPr>
        <w:t>v roce 2016</w:t>
      </w:r>
      <w:r w:rsidRPr="00164F82">
        <w:rPr>
          <w:rFonts w:ascii="Arial" w:hAnsi="Arial" w:cs="Arial"/>
        </w:rPr>
        <w:t xml:space="preserve"> s finanční alokací</w:t>
      </w:r>
      <w:r w:rsidR="00680972">
        <w:rPr>
          <w:rFonts w:ascii="Arial" w:hAnsi="Arial" w:cs="Arial"/>
        </w:rPr>
        <w:t xml:space="preserve"> 1 635 mil. Kč </w:t>
      </w:r>
      <w:r w:rsidRPr="00164F82">
        <w:rPr>
          <w:rFonts w:ascii="Arial" w:hAnsi="Arial" w:cs="Arial"/>
        </w:rPr>
        <w:t xml:space="preserve">ze SR </w:t>
      </w:r>
      <w:r w:rsidR="00AD322E">
        <w:rPr>
          <w:rFonts w:ascii="Arial" w:hAnsi="Arial" w:cs="Arial"/>
        </w:rPr>
        <w:t xml:space="preserve">rozdělované </w:t>
      </w:r>
      <w:r w:rsidRPr="00164F82">
        <w:rPr>
          <w:rFonts w:ascii="Arial" w:hAnsi="Arial" w:cs="Arial"/>
        </w:rPr>
        <w:t>prostřednictvím Technologické agentury ČR.</w:t>
      </w:r>
      <w:r w:rsidR="00680972">
        <w:rPr>
          <w:rFonts w:ascii="Arial" w:hAnsi="Arial" w:cs="Arial"/>
        </w:rPr>
        <w:t xml:space="preserve"> Program je </w:t>
      </w:r>
      <w:r w:rsidR="00316A3B">
        <w:rPr>
          <w:rFonts w:ascii="Arial" w:hAnsi="Arial" w:cs="Arial"/>
        </w:rPr>
        <w:t xml:space="preserve">na rozdíl od předchozího programu BETA </w:t>
      </w:r>
      <w:r w:rsidR="00680972">
        <w:rPr>
          <w:rFonts w:ascii="Arial" w:hAnsi="Arial" w:cs="Arial"/>
        </w:rPr>
        <w:t>členěn na podprogramy jednotlivých resortů, jejichž výzkumné potřeby program umožňuje financovat, a to včetně dílčí finanční alokace.</w:t>
      </w:r>
    </w:p>
    <w:p w:rsidR="00680972" w:rsidRDefault="00164F82" w:rsidP="00066E56">
      <w:pPr>
        <w:ind w:left="360"/>
        <w:jc w:val="both"/>
        <w:rPr>
          <w:rFonts w:ascii="Arial" w:hAnsi="Arial" w:cs="Arial"/>
        </w:rPr>
      </w:pPr>
      <w:r w:rsidRPr="00164F82">
        <w:rPr>
          <w:rFonts w:ascii="Arial" w:hAnsi="Arial" w:cs="Arial"/>
        </w:rPr>
        <w:t xml:space="preserve">K financování výzkumných potřeb resortů přispěje rovněž </w:t>
      </w:r>
      <w:r w:rsidRPr="00001E3E">
        <w:rPr>
          <w:rFonts w:ascii="Arial" w:hAnsi="Arial" w:cs="Arial"/>
          <w:b/>
        </w:rPr>
        <w:t>nový způsob h</w:t>
      </w:r>
      <w:r w:rsidR="00066E56" w:rsidRPr="00001E3E">
        <w:rPr>
          <w:rFonts w:ascii="Arial" w:hAnsi="Arial" w:cs="Arial"/>
          <w:b/>
        </w:rPr>
        <w:t>odnocení výzkumných organizací.</w:t>
      </w:r>
      <w:r w:rsidR="00066E56" w:rsidRPr="00164F82">
        <w:rPr>
          <w:rFonts w:ascii="Arial" w:hAnsi="Arial" w:cs="Arial"/>
        </w:rPr>
        <w:t xml:space="preserve"> Resorty budou vyhodnocovat jimi řízené výzkumné organizace mimo jiné i podle míry naplnění výzkumných potřeb resortů, které vycházejí z výzkumných a vývojových koncepcí těchto resortů. </w:t>
      </w:r>
    </w:p>
    <w:p w:rsidR="00066E56" w:rsidRDefault="00066E56" w:rsidP="00066E56">
      <w:pPr>
        <w:ind w:left="360"/>
        <w:jc w:val="both"/>
        <w:rPr>
          <w:rFonts w:ascii="Arial" w:hAnsi="Arial" w:cs="Arial"/>
        </w:rPr>
      </w:pPr>
      <w:r w:rsidRPr="00164F82">
        <w:rPr>
          <w:rFonts w:ascii="Arial" w:hAnsi="Arial" w:cs="Arial"/>
        </w:rPr>
        <w:t xml:space="preserve">Resortům, kterým byly reformou z roku 2008 odebrány prostředky SR na </w:t>
      </w:r>
      <w:proofErr w:type="spellStart"/>
      <w:r w:rsidR="00464ECF">
        <w:rPr>
          <w:rFonts w:ascii="Arial" w:hAnsi="Arial" w:cs="Arial"/>
        </w:rPr>
        <w:t>VaV</w:t>
      </w:r>
      <w:proofErr w:type="spellEnd"/>
      <w:r w:rsidRPr="00164F82">
        <w:rPr>
          <w:rFonts w:ascii="Arial" w:hAnsi="Arial" w:cs="Arial"/>
        </w:rPr>
        <w:t xml:space="preserve">, byly počínaje rokem </w:t>
      </w:r>
      <w:r w:rsidR="00164F82" w:rsidRPr="00164F82">
        <w:rPr>
          <w:rFonts w:ascii="Arial" w:hAnsi="Arial" w:cs="Arial"/>
        </w:rPr>
        <w:t xml:space="preserve">2017 </w:t>
      </w:r>
      <w:r w:rsidRPr="00164F82">
        <w:rPr>
          <w:rFonts w:ascii="Arial" w:hAnsi="Arial" w:cs="Arial"/>
        </w:rPr>
        <w:t>znovu přiděleny prostředky na RVO.</w:t>
      </w:r>
    </w:p>
    <w:p w:rsidR="00A14734" w:rsidRPr="00164F82" w:rsidRDefault="00A14734" w:rsidP="00066E56">
      <w:pPr>
        <w:ind w:left="360"/>
        <w:jc w:val="both"/>
        <w:rPr>
          <w:rFonts w:ascii="Arial" w:hAnsi="Arial" w:cs="Arial"/>
        </w:rPr>
      </w:pPr>
    </w:p>
    <w:p w:rsidR="004C5277" w:rsidRDefault="004C5277" w:rsidP="004C527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Podpora rozvoje společenských a humanitních věd</w:t>
      </w:r>
      <w:r w:rsidR="00464ECF">
        <w:rPr>
          <w:rFonts w:ascii="Arial" w:hAnsi="Arial" w:cs="Arial"/>
          <w:b/>
        </w:rPr>
        <w:t xml:space="preserve"> (dále jen „SHV“)</w:t>
      </w:r>
      <w:r>
        <w:rPr>
          <w:rFonts w:ascii="Arial" w:hAnsi="Arial" w:cs="Arial"/>
          <w:b/>
        </w:rPr>
        <w:t xml:space="preserve"> ve</w:t>
      </w:r>
      <w:r w:rsidR="00901087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vazbě na celospolečenské výzvy</w:t>
      </w:r>
    </w:p>
    <w:p w:rsidR="009D1AF8" w:rsidRPr="00A039B1" w:rsidRDefault="00164F82" w:rsidP="009D1AF8">
      <w:pPr>
        <w:ind w:left="360"/>
        <w:jc w:val="both"/>
        <w:rPr>
          <w:rFonts w:ascii="Arial" w:hAnsi="Arial" w:cs="Arial"/>
        </w:rPr>
      </w:pPr>
      <w:r w:rsidRPr="00A039B1">
        <w:rPr>
          <w:rFonts w:ascii="Arial" w:hAnsi="Arial" w:cs="Arial"/>
        </w:rPr>
        <w:t>Jedná se o obdobu</w:t>
      </w:r>
      <w:r w:rsidR="009D1AF8" w:rsidRPr="00A039B1">
        <w:rPr>
          <w:rFonts w:ascii="Arial" w:hAnsi="Arial" w:cs="Arial"/>
        </w:rPr>
        <w:t xml:space="preserve"> sektorových platforem pro potřeby průmyslu, zde však </w:t>
      </w:r>
      <w:r w:rsidR="009D1AF8" w:rsidRPr="00A039B1">
        <w:rPr>
          <w:rFonts w:ascii="Arial" w:hAnsi="Arial" w:cs="Arial"/>
          <w:b/>
        </w:rPr>
        <w:t>pro potřeby celé společnosti čelící globálním výzvám</w:t>
      </w:r>
      <w:r w:rsidR="009D1AF8" w:rsidRPr="00A039B1">
        <w:rPr>
          <w:rFonts w:ascii="Arial" w:hAnsi="Arial" w:cs="Arial"/>
        </w:rPr>
        <w:t xml:space="preserve">. </w:t>
      </w:r>
      <w:r w:rsidR="00464ECF" w:rsidRPr="00A039B1">
        <w:rPr>
          <w:rFonts w:ascii="Arial" w:hAnsi="Arial" w:cs="Arial"/>
        </w:rPr>
        <w:t xml:space="preserve">V současnosti nejsou SHV podporovány koncepčně podle témat, nýbrž podle potřeb resortů, které mají přiděleny prostředky SR na </w:t>
      </w:r>
      <w:proofErr w:type="spellStart"/>
      <w:r w:rsidR="00464ECF" w:rsidRPr="00A039B1">
        <w:rPr>
          <w:rFonts w:ascii="Arial" w:hAnsi="Arial" w:cs="Arial"/>
        </w:rPr>
        <w:t>VaV</w:t>
      </w:r>
      <w:proofErr w:type="spellEnd"/>
      <w:r w:rsidR="00464ECF" w:rsidRPr="00A039B1">
        <w:rPr>
          <w:rFonts w:ascii="Arial" w:hAnsi="Arial" w:cs="Arial"/>
        </w:rPr>
        <w:t>, přičemž resorty odpovědné za mnohá významná témata tyto prostředky nemají</w:t>
      </w:r>
      <w:r w:rsidR="00A039B1">
        <w:rPr>
          <w:rFonts w:ascii="Arial" w:hAnsi="Arial" w:cs="Arial"/>
        </w:rPr>
        <w:t xml:space="preserve"> (např. </w:t>
      </w:r>
      <w:r w:rsidR="00661AF0">
        <w:rPr>
          <w:rFonts w:ascii="Arial" w:hAnsi="Arial" w:cs="Arial"/>
        </w:rPr>
        <w:t>M</w:t>
      </w:r>
      <w:r w:rsidR="00A039B1">
        <w:rPr>
          <w:rFonts w:ascii="Arial" w:hAnsi="Arial" w:cs="Arial"/>
        </w:rPr>
        <w:t>inisterstvo zahraničních věcí</w:t>
      </w:r>
      <w:r w:rsidR="00661AF0">
        <w:rPr>
          <w:rFonts w:ascii="Arial" w:hAnsi="Arial" w:cs="Arial"/>
        </w:rPr>
        <w:t xml:space="preserve"> - migrace</w:t>
      </w:r>
      <w:r w:rsidR="00A039B1">
        <w:rPr>
          <w:rFonts w:ascii="Arial" w:hAnsi="Arial" w:cs="Arial"/>
        </w:rPr>
        <w:t>, Ministerstvo práce a sociálních věcí</w:t>
      </w:r>
      <w:r w:rsidR="00661AF0">
        <w:rPr>
          <w:rFonts w:ascii="Arial" w:hAnsi="Arial" w:cs="Arial"/>
        </w:rPr>
        <w:t xml:space="preserve"> – stárnutí populace, důchodová reforma</w:t>
      </w:r>
      <w:r w:rsidR="00A039B1">
        <w:rPr>
          <w:rFonts w:ascii="Arial" w:hAnsi="Arial" w:cs="Arial"/>
        </w:rPr>
        <w:t>, Ministerstvo životního prostředí</w:t>
      </w:r>
      <w:r w:rsidR="00661AF0">
        <w:rPr>
          <w:rFonts w:ascii="Arial" w:hAnsi="Arial" w:cs="Arial"/>
        </w:rPr>
        <w:t xml:space="preserve"> – klimatická změna, sucho</w:t>
      </w:r>
      <w:r w:rsidR="00A039B1">
        <w:rPr>
          <w:rFonts w:ascii="Arial" w:hAnsi="Arial" w:cs="Arial"/>
        </w:rPr>
        <w:t>).</w:t>
      </w:r>
    </w:p>
    <w:p w:rsidR="00464ECF" w:rsidRPr="00A039B1" w:rsidRDefault="00ED72D5" w:rsidP="009D1AF8">
      <w:pPr>
        <w:ind w:left="360"/>
        <w:jc w:val="both"/>
        <w:rPr>
          <w:rFonts w:ascii="Arial" w:hAnsi="Arial" w:cs="Arial"/>
        </w:rPr>
      </w:pPr>
      <w:r w:rsidRPr="00A039B1">
        <w:rPr>
          <w:rFonts w:ascii="Arial" w:hAnsi="Arial" w:cs="Arial"/>
        </w:rPr>
        <w:t xml:space="preserve">Na základě </w:t>
      </w:r>
      <w:r w:rsidR="00B34DDE">
        <w:rPr>
          <w:rFonts w:ascii="Arial" w:hAnsi="Arial" w:cs="Arial"/>
        </w:rPr>
        <w:t>usnesení</w:t>
      </w:r>
      <w:r w:rsidRPr="00A039B1">
        <w:rPr>
          <w:rFonts w:ascii="Arial" w:hAnsi="Arial" w:cs="Arial"/>
        </w:rPr>
        <w:t xml:space="preserve"> </w:t>
      </w:r>
      <w:r w:rsidR="00316A3B">
        <w:rPr>
          <w:rFonts w:ascii="Arial" w:hAnsi="Arial" w:cs="Arial"/>
        </w:rPr>
        <w:t>RVVI</w:t>
      </w:r>
      <w:r w:rsidRPr="00A039B1">
        <w:rPr>
          <w:rFonts w:ascii="Arial" w:hAnsi="Arial" w:cs="Arial"/>
        </w:rPr>
        <w:t xml:space="preserve"> </w:t>
      </w:r>
      <w:r w:rsidR="00857A7B">
        <w:rPr>
          <w:rFonts w:ascii="Arial" w:hAnsi="Arial" w:cs="Arial"/>
        </w:rPr>
        <w:t>byla</w:t>
      </w:r>
      <w:r w:rsidRPr="00A039B1">
        <w:rPr>
          <w:rFonts w:ascii="Arial" w:hAnsi="Arial" w:cs="Arial"/>
        </w:rPr>
        <w:t xml:space="preserve"> zřízena </w:t>
      </w:r>
      <w:r w:rsidRPr="00A039B1">
        <w:rPr>
          <w:rFonts w:ascii="Arial" w:hAnsi="Arial" w:cs="Arial"/>
          <w:b/>
        </w:rPr>
        <w:t>Komise pro SHV</w:t>
      </w:r>
      <w:r w:rsidRPr="00A039B1">
        <w:rPr>
          <w:rFonts w:ascii="Arial" w:hAnsi="Arial" w:cs="Arial"/>
        </w:rPr>
        <w:t xml:space="preserve">. Tento poradní </w:t>
      </w:r>
      <w:r w:rsidR="00464ECF" w:rsidRPr="00A039B1">
        <w:rPr>
          <w:rFonts w:ascii="Arial" w:hAnsi="Arial" w:cs="Arial"/>
        </w:rPr>
        <w:t>orgán</w:t>
      </w:r>
      <w:r w:rsidR="00A039B1">
        <w:rPr>
          <w:rFonts w:ascii="Arial" w:hAnsi="Arial" w:cs="Arial"/>
        </w:rPr>
        <w:t xml:space="preserve"> RVVI</w:t>
      </w:r>
      <w:r w:rsidR="00464ECF" w:rsidRPr="00A039B1">
        <w:rPr>
          <w:rFonts w:ascii="Arial" w:hAnsi="Arial" w:cs="Arial"/>
        </w:rPr>
        <w:t xml:space="preserve"> bude poskytovat vstupy potřebné pro věcně správnou implementaci programů zaměřených na SHV, </w:t>
      </w:r>
      <w:r w:rsidRPr="00A039B1">
        <w:rPr>
          <w:rFonts w:ascii="Arial" w:hAnsi="Arial" w:cs="Arial"/>
        </w:rPr>
        <w:t xml:space="preserve">bude </w:t>
      </w:r>
      <w:r w:rsidR="00464ECF" w:rsidRPr="00A039B1">
        <w:rPr>
          <w:rFonts w:ascii="Arial" w:hAnsi="Arial" w:cs="Arial"/>
        </w:rPr>
        <w:t xml:space="preserve">ale rovněž řešit otázky spojené s hodnocením, neboť SHV </w:t>
      </w:r>
      <w:r w:rsidR="0046479E">
        <w:rPr>
          <w:rFonts w:ascii="Arial" w:hAnsi="Arial" w:cs="Arial"/>
        </w:rPr>
        <w:t>v něm</w:t>
      </w:r>
      <w:r w:rsidR="00464ECF" w:rsidRPr="00A039B1">
        <w:rPr>
          <w:rFonts w:ascii="Arial" w:hAnsi="Arial" w:cs="Arial"/>
        </w:rPr>
        <w:t xml:space="preserve"> vykazují mnohá specifika.</w:t>
      </w:r>
    </w:p>
    <w:p w:rsidR="00A14734" w:rsidRDefault="00541130" w:rsidP="00A14734">
      <w:pPr>
        <w:ind w:left="360"/>
        <w:jc w:val="both"/>
        <w:rPr>
          <w:rFonts w:ascii="Arial" w:hAnsi="Arial" w:cs="Arial"/>
        </w:rPr>
      </w:pPr>
      <w:r w:rsidRPr="00A039B1">
        <w:rPr>
          <w:rFonts w:ascii="Arial" w:hAnsi="Arial" w:cs="Arial"/>
        </w:rPr>
        <w:t xml:space="preserve">Financování SHV pro potřeby společnosti bude realizováno především prostřednictvím </w:t>
      </w:r>
      <w:r w:rsidRPr="00A039B1">
        <w:rPr>
          <w:rFonts w:ascii="Arial" w:hAnsi="Arial" w:cs="Arial"/>
          <w:b/>
        </w:rPr>
        <w:t>programu É</w:t>
      </w:r>
      <w:r w:rsidR="00A039B1" w:rsidRPr="00A039B1">
        <w:rPr>
          <w:rFonts w:ascii="Arial" w:hAnsi="Arial" w:cs="Arial"/>
          <w:b/>
        </w:rPr>
        <w:t>TA</w:t>
      </w:r>
      <w:r w:rsidRPr="00A039B1">
        <w:rPr>
          <w:rFonts w:ascii="Arial" w:hAnsi="Arial" w:cs="Arial"/>
        </w:rPr>
        <w:t xml:space="preserve">. </w:t>
      </w:r>
      <w:r w:rsidR="007326B1">
        <w:rPr>
          <w:rFonts w:ascii="Arial" w:hAnsi="Arial" w:cs="Arial"/>
        </w:rPr>
        <w:t xml:space="preserve">Cílem tohoto programu je </w:t>
      </w:r>
      <w:r w:rsidR="007326B1" w:rsidRPr="007326B1">
        <w:rPr>
          <w:rFonts w:ascii="Arial" w:hAnsi="Arial" w:cs="Arial"/>
        </w:rPr>
        <w:t>posílení společenské a humanitní dimenze v</w:t>
      </w:r>
      <w:r w:rsidR="007326B1">
        <w:rPr>
          <w:rFonts w:ascii="Arial" w:hAnsi="Arial" w:cs="Arial"/>
        </w:rPr>
        <w:t> </w:t>
      </w:r>
      <w:r w:rsidR="007326B1" w:rsidRPr="007326B1">
        <w:rPr>
          <w:rFonts w:ascii="Arial" w:hAnsi="Arial" w:cs="Arial"/>
        </w:rPr>
        <w:t>aktivitách aplikovaného výzkumu, experimentálního vývoje a inovací a uplatnění výstupů těchto aktivit v podobě nových nebo podstatně zdokonalených stávajících výrobk</w:t>
      </w:r>
      <w:r w:rsidR="007326B1">
        <w:rPr>
          <w:rFonts w:ascii="Arial" w:hAnsi="Arial" w:cs="Arial"/>
        </w:rPr>
        <w:t>ů, postupů, procesů nebo služeb.</w:t>
      </w:r>
      <w:r w:rsidR="00A14734">
        <w:rPr>
          <w:rFonts w:ascii="Arial" w:hAnsi="Arial" w:cs="Arial"/>
        </w:rPr>
        <w:br w:type="page"/>
      </w:r>
    </w:p>
    <w:p w:rsidR="00E54163" w:rsidRPr="009A0C8B" w:rsidRDefault="00E54163" w:rsidP="00E54163">
      <w:pPr>
        <w:pStyle w:val="Nadpis2"/>
        <w:numPr>
          <w:ilvl w:val="0"/>
          <w:numId w:val="4"/>
        </w:numPr>
        <w:spacing w:after="200"/>
        <w:ind w:left="714" w:hanging="357"/>
      </w:pPr>
      <w:bookmarkStart w:id="4" w:name="_Toc491159590"/>
      <w:r w:rsidRPr="009A0C8B">
        <w:lastRenderedPageBreak/>
        <w:t>Sledování průběhu implementace a indikátory plnění</w:t>
      </w:r>
      <w:bookmarkEnd w:id="4"/>
    </w:p>
    <w:p w:rsidR="00E54163" w:rsidRDefault="00E54163" w:rsidP="00E541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Předkládaný materiál není samostatnou strategií, ale pouze </w:t>
      </w:r>
      <w:r w:rsidR="00A14734">
        <w:rPr>
          <w:rFonts w:ascii="Arial" w:hAnsi="Arial" w:cs="Arial"/>
        </w:rPr>
        <w:t>sumarizuje, komentuje a</w:t>
      </w:r>
      <w:r w:rsidR="00901087">
        <w:rPr>
          <w:rFonts w:ascii="Arial" w:hAnsi="Arial" w:cs="Arial"/>
        </w:rPr>
        <w:t> </w:t>
      </w:r>
      <w:r w:rsidR="00A14734">
        <w:rPr>
          <w:rFonts w:ascii="Arial" w:hAnsi="Arial" w:cs="Arial"/>
        </w:rPr>
        <w:t>zdůvodňuje</w:t>
      </w:r>
      <w:r>
        <w:rPr>
          <w:rFonts w:ascii="Arial" w:hAnsi="Arial" w:cs="Arial"/>
        </w:rPr>
        <w:t xml:space="preserve"> jeden z významných implementačních nástrojů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a Národní RIS3 strategie, kterým je dlouhodobý výhled SR. Materiál tudíž </w:t>
      </w:r>
      <w:r w:rsidR="00001E3E">
        <w:rPr>
          <w:rFonts w:ascii="Arial" w:hAnsi="Arial" w:cs="Arial"/>
        </w:rPr>
        <w:t xml:space="preserve">nezakládá povinnost </w:t>
      </w:r>
      <w:r w:rsidR="00661AF0">
        <w:rPr>
          <w:rFonts w:ascii="Arial" w:hAnsi="Arial" w:cs="Arial"/>
        </w:rPr>
        <w:t>detailn</w:t>
      </w:r>
      <w:r w:rsidR="00001E3E">
        <w:rPr>
          <w:rFonts w:ascii="Arial" w:hAnsi="Arial" w:cs="Arial"/>
        </w:rPr>
        <w:t>ího</w:t>
      </w:r>
      <w:r w:rsidR="00661AF0">
        <w:rPr>
          <w:rFonts w:ascii="Arial" w:hAnsi="Arial" w:cs="Arial"/>
        </w:rPr>
        <w:t xml:space="preserve"> vyhodnocován</w:t>
      </w:r>
      <w:r w:rsidR="00001E3E">
        <w:rPr>
          <w:rFonts w:ascii="Arial" w:hAnsi="Arial" w:cs="Arial"/>
        </w:rPr>
        <w:t>í</w:t>
      </w:r>
      <w:r w:rsidR="00661AF0">
        <w:rPr>
          <w:rFonts w:ascii="Arial" w:hAnsi="Arial" w:cs="Arial"/>
        </w:rPr>
        <w:t>.</w:t>
      </w:r>
    </w:p>
    <w:p w:rsidR="00E54163" w:rsidRDefault="00E54163" w:rsidP="00E541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Průběžný monitoring plnění strategických dokumentů, povinnost RVVI provádět každoročně Analýzu</w:t>
      </w:r>
      <w:r w:rsidR="00001E3E">
        <w:rPr>
          <w:rFonts w:ascii="Arial" w:hAnsi="Arial" w:cs="Arial"/>
        </w:rPr>
        <w:t xml:space="preserve"> stavu výzkumu, vývoje a inovací v ČR a jejich mezinárodní srovnání</w:t>
      </w:r>
      <w:r>
        <w:rPr>
          <w:rFonts w:ascii="Arial" w:hAnsi="Arial" w:cs="Arial"/>
        </w:rPr>
        <w:t xml:space="preserve"> a rovněž zavedení nového způsobu hodnocení výzkumných organizací umožní </w:t>
      </w:r>
      <w:r w:rsidRPr="00001E3E">
        <w:rPr>
          <w:rFonts w:ascii="Arial" w:hAnsi="Arial" w:cs="Arial"/>
          <w:b/>
        </w:rPr>
        <w:t>sledování mnoha indikátorů o stavu a kvalitě výzkumu, vývoje a inovací v ČR</w:t>
      </w:r>
      <w:r>
        <w:rPr>
          <w:rFonts w:ascii="Arial" w:hAnsi="Arial" w:cs="Arial"/>
        </w:rPr>
        <w:t xml:space="preserve">. Ve vazbě na jejich financování ze státního rozpočtu má největší význam sledování následujících </w:t>
      </w:r>
      <w:r w:rsidRPr="00001E3E">
        <w:rPr>
          <w:rFonts w:ascii="Arial" w:hAnsi="Arial" w:cs="Arial"/>
          <w:b/>
        </w:rPr>
        <w:t>metrik na</w:t>
      </w:r>
      <w:r w:rsidR="00901087">
        <w:rPr>
          <w:rFonts w:ascii="Arial" w:hAnsi="Arial" w:cs="Arial"/>
          <w:b/>
        </w:rPr>
        <w:t> </w:t>
      </w:r>
      <w:bookmarkStart w:id="5" w:name="_GoBack"/>
      <w:bookmarkEnd w:id="5"/>
      <w:r w:rsidRPr="00001E3E">
        <w:rPr>
          <w:rFonts w:ascii="Arial" w:hAnsi="Arial" w:cs="Arial"/>
          <w:b/>
        </w:rPr>
        <w:t>roční bázi</w:t>
      </w:r>
      <w:r w:rsidR="0080381D">
        <w:rPr>
          <w:rFonts w:ascii="Arial" w:hAnsi="Arial" w:cs="Arial"/>
          <w:b/>
        </w:rPr>
        <w:t>:</w:t>
      </w:r>
    </w:p>
    <w:p w:rsidR="00001E3E" w:rsidRPr="0080381D" w:rsidRDefault="00E54163" w:rsidP="0080381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0381D">
        <w:rPr>
          <w:rFonts w:ascii="Arial" w:hAnsi="Arial" w:cs="Arial"/>
          <w:b/>
        </w:rPr>
        <w:t>Kvalita publikací</w:t>
      </w:r>
      <w:r w:rsidRPr="0080381D">
        <w:rPr>
          <w:rFonts w:ascii="Arial" w:hAnsi="Arial" w:cs="Arial"/>
        </w:rPr>
        <w:t xml:space="preserve"> jako indikátor úspěšného financování zejména základního výzkumu</w:t>
      </w:r>
      <w:r w:rsidR="00001E3E" w:rsidRPr="0080381D">
        <w:rPr>
          <w:rFonts w:ascii="Arial" w:hAnsi="Arial" w:cs="Arial"/>
        </w:rPr>
        <w:t xml:space="preserve">. Zjišťována bude kvalita článků odvozená od citovanosti periodik i </w:t>
      </w:r>
      <w:r w:rsidR="0080381D">
        <w:rPr>
          <w:rFonts w:ascii="Arial" w:hAnsi="Arial" w:cs="Arial"/>
        </w:rPr>
        <w:t>skutečné</w:t>
      </w:r>
      <w:r w:rsidR="00001E3E" w:rsidRPr="0080381D">
        <w:rPr>
          <w:rFonts w:ascii="Arial" w:hAnsi="Arial" w:cs="Arial"/>
        </w:rPr>
        <w:t xml:space="preserve"> citovanost</w:t>
      </w:r>
      <w:r w:rsidR="0080381D">
        <w:rPr>
          <w:rFonts w:ascii="Arial" w:hAnsi="Arial" w:cs="Arial"/>
        </w:rPr>
        <w:t>i</w:t>
      </w:r>
      <w:r w:rsidR="00001E3E" w:rsidRPr="0080381D">
        <w:rPr>
          <w:rFonts w:ascii="Arial" w:hAnsi="Arial" w:cs="Arial"/>
        </w:rPr>
        <w:t xml:space="preserve"> </w:t>
      </w:r>
      <w:r w:rsidR="0080381D">
        <w:rPr>
          <w:rFonts w:ascii="Arial" w:hAnsi="Arial" w:cs="Arial"/>
        </w:rPr>
        <w:t xml:space="preserve">konkrétních </w:t>
      </w:r>
      <w:r w:rsidR="00001E3E" w:rsidRPr="0080381D">
        <w:rPr>
          <w:rFonts w:ascii="Arial" w:hAnsi="Arial" w:cs="Arial"/>
        </w:rPr>
        <w:t>článků.</w:t>
      </w:r>
    </w:p>
    <w:p w:rsidR="00E54163" w:rsidRPr="00AD322E" w:rsidRDefault="00E54163" w:rsidP="00E54163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AD322E">
        <w:rPr>
          <w:rFonts w:ascii="Arial" w:hAnsi="Arial" w:cs="Arial"/>
          <w:b/>
        </w:rPr>
        <w:t xml:space="preserve">Objem výdajů soukromého sektoru a jejich podíl na celkových výdajích na </w:t>
      </w:r>
      <w:proofErr w:type="spellStart"/>
      <w:r w:rsidRPr="00AD322E">
        <w:rPr>
          <w:rFonts w:ascii="Arial" w:hAnsi="Arial" w:cs="Arial"/>
          <w:b/>
        </w:rPr>
        <w:t>VaV</w:t>
      </w:r>
      <w:proofErr w:type="spellEnd"/>
      <w:r w:rsidRPr="00AD322E">
        <w:rPr>
          <w:rFonts w:ascii="Arial" w:hAnsi="Arial" w:cs="Arial"/>
        </w:rPr>
        <w:t xml:space="preserve"> jako indikátor úspěšného financování zejména aplikovaného výzkumu a vývoje</w:t>
      </w:r>
      <w:r w:rsidR="00001E3E" w:rsidRPr="00AD322E">
        <w:rPr>
          <w:rFonts w:ascii="Arial" w:hAnsi="Arial" w:cs="Arial"/>
        </w:rPr>
        <w:t>.</w:t>
      </w:r>
    </w:p>
    <w:p w:rsidR="00E54163" w:rsidRDefault="00E54163" w:rsidP="00E54163">
      <w:pPr>
        <w:sectPr w:rsidR="00E54163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2863" w:rsidRPr="00092863" w:rsidRDefault="00A039B1" w:rsidP="00A039B1">
      <w:pPr>
        <w:keepNext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Tab. 1: </w:t>
      </w:r>
      <w:r w:rsidRPr="00A039B1">
        <w:rPr>
          <w:rFonts w:ascii="Arial" w:hAnsi="Arial" w:cs="Arial"/>
          <w:b/>
        </w:rPr>
        <w:t>Finanční prostředky SR určené na podporu výzkumu, vývoje a inovací včetně dlouhodobého výhledu</w:t>
      </w:r>
      <w:r>
        <w:rPr>
          <w:rFonts w:ascii="Arial" w:hAnsi="Arial" w:cs="Arial"/>
          <w:b/>
        </w:rPr>
        <w:t xml:space="preserve"> (mil. Kč)</w:t>
      </w:r>
    </w:p>
    <w:tbl>
      <w:tblPr>
        <w:tblW w:w="0" w:type="auto"/>
        <w:jc w:val="center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977"/>
        <w:gridCol w:w="977"/>
        <w:gridCol w:w="977"/>
        <w:gridCol w:w="977"/>
        <w:gridCol w:w="976"/>
        <w:gridCol w:w="977"/>
        <w:gridCol w:w="977"/>
        <w:gridCol w:w="977"/>
        <w:gridCol w:w="977"/>
        <w:gridCol w:w="976"/>
        <w:gridCol w:w="977"/>
      </w:tblGrid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2024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národní cíl Evropa 2020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1 542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1 257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158</w:t>
            </w: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2 284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12 766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institucionální základna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12 117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13 117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14 796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15 693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17 455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17 552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17 975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21 886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23 637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25 528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27 571</w:t>
            </w:r>
          </w:p>
        </w:tc>
      </w:tr>
      <w:tr w:rsidR="00067429" w:rsidRPr="00067429" w:rsidTr="00067429">
        <w:trPr>
          <w:trHeight w:val="290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mezinárodní spolupráce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1 695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1 490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1 359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1 468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1 842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2 131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2 291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1 772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1 949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2 144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2 359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spolufinancování ESIF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705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947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1 270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1 960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2 106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1 819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1 408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čistá účelová podpora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9 214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8 320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8 676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10 277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11 157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12 293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13 320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11 491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11 991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12 491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12 991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67429">
              <w:rPr>
                <w:rFonts w:ascii="Arial" w:hAnsi="Arial" w:cs="Arial"/>
                <w:color w:val="000000"/>
              </w:rPr>
              <w:t>specif</w:t>
            </w:r>
            <w:proofErr w:type="spellEnd"/>
            <w:r w:rsidRPr="00067429">
              <w:rPr>
                <w:rFonts w:ascii="Arial" w:hAnsi="Arial" w:cs="Arial"/>
                <w:color w:val="000000"/>
              </w:rPr>
              <w:t>. vysokoškolský výzkum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1 165</w:t>
            </w:r>
          </w:p>
        </w:tc>
      </w:tr>
      <w:tr w:rsidR="00067429" w:rsidRPr="00067429" w:rsidTr="00067429">
        <w:trPr>
          <w:trHeight w:val="276"/>
          <w:jc w:val="center"/>
        </w:trPr>
        <w:tc>
          <w:tcPr>
            <w:tcW w:w="312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 xml:space="preserve">agenda </w:t>
            </w:r>
            <w:proofErr w:type="spellStart"/>
            <w:r w:rsidRPr="00067429">
              <w:rPr>
                <w:rFonts w:ascii="Arial" w:hAnsi="Arial" w:cs="Arial"/>
                <w:color w:val="000000"/>
              </w:rPr>
              <w:t>VaVaI</w:t>
            </w:r>
            <w:proofErr w:type="spellEnd"/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1 739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1 866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1 825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2 098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2 275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2 340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2 340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2 231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2 231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2 231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67429">
              <w:rPr>
                <w:rFonts w:ascii="Arial" w:hAnsi="Arial" w:cs="Arial"/>
                <w:color w:val="000000"/>
              </w:rPr>
              <w:t>2 231</w:t>
            </w:r>
          </w:p>
        </w:tc>
      </w:tr>
      <w:tr w:rsidR="00067429" w:rsidRPr="00067429" w:rsidTr="00067429">
        <w:trPr>
          <w:trHeight w:val="290"/>
          <w:jc w:val="center"/>
        </w:trPr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celkem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26 635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26 905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29 092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32 661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36 000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37 300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40 042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40 502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41 632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46 144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67429" w:rsidRPr="00067429" w:rsidRDefault="00067429" w:rsidP="00067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67429">
              <w:rPr>
                <w:rFonts w:ascii="Arial" w:hAnsi="Arial" w:cs="Arial"/>
                <w:b/>
                <w:bCs/>
                <w:color w:val="000000"/>
              </w:rPr>
              <w:t>59 082</w:t>
            </w:r>
          </w:p>
        </w:tc>
      </w:tr>
    </w:tbl>
    <w:p w:rsidR="00661AF0" w:rsidRDefault="00661AF0" w:rsidP="00661AF0">
      <w:pPr>
        <w:ind w:left="357"/>
        <w:jc w:val="both"/>
        <w:rPr>
          <w:rFonts w:ascii="Arial" w:hAnsi="Arial" w:cs="Arial"/>
        </w:rPr>
      </w:pPr>
    </w:p>
    <w:p w:rsidR="00067429" w:rsidRDefault="00661AF0" w:rsidP="00067429">
      <w:pPr>
        <w:spacing w:after="6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Pozn.:</w:t>
      </w:r>
      <w:r w:rsidR="0080381D">
        <w:rPr>
          <w:rFonts w:ascii="Arial" w:hAnsi="Arial" w:cs="Arial"/>
        </w:rPr>
        <w:t xml:space="preserve"> Údaje za období 2014 – 2017 byly schváleny příslušnými Zákony o státním rozpočtu; </w:t>
      </w:r>
    </w:p>
    <w:p w:rsidR="00067429" w:rsidRDefault="0080381D" w:rsidP="0080381D">
      <w:pPr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661AF0" w:rsidRPr="00661AF0">
        <w:rPr>
          <w:rFonts w:ascii="Arial" w:hAnsi="Arial" w:cs="Arial"/>
        </w:rPr>
        <w:t>daje za obd</w:t>
      </w:r>
      <w:r w:rsidR="00661AF0">
        <w:rPr>
          <w:rFonts w:ascii="Arial" w:hAnsi="Arial" w:cs="Arial"/>
        </w:rPr>
        <w:t>obí</w:t>
      </w:r>
      <w:r w:rsidR="00661AF0" w:rsidRPr="00661AF0">
        <w:rPr>
          <w:rFonts w:ascii="Arial" w:hAnsi="Arial" w:cs="Arial"/>
        </w:rPr>
        <w:t xml:space="preserve"> 2018</w:t>
      </w:r>
      <w:r>
        <w:rPr>
          <w:rFonts w:ascii="Arial" w:hAnsi="Arial" w:cs="Arial"/>
        </w:rPr>
        <w:t xml:space="preserve"> – </w:t>
      </w:r>
      <w:r w:rsidR="00661AF0" w:rsidRPr="00661AF0">
        <w:rPr>
          <w:rFonts w:ascii="Arial" w:hAnsi="Arial" w:cs="Arial"/>
        </w:rPr>
        <w:t>202</w:t>
      </w:r>
      <w:r w:rsidR="00067429">
        <w:rPr>
          <w:rFonts w:ascii="Arial" w:hAnsi="Arial" w:cs="Arial"/>
        </w:rPr>
        <w:t>4</w:t>
      </w:r>
      <w:r w:rsidR="00661AF0" w:rsidRPr="00661AF0">
        <w:rPr>
          <w:rFonts w:ascii="Arial" w:hAnsi="Arial" w:cs="Arial"/>
        </w:rPr>
        <w:t xml:space="preserve"> představují návrh výdajů schválený usn</w:t>
      </w:r>
      <w:r w:rsidR="00661AF0">
        <w:rPr>
          <w:rFonts w:ascii="Arial" w:hAnsi="Arial" w:cs="Arial"/>
        </w:rPr>
        <w:t>esením</w:t>
      </w:r>
      <w:r w:rsidR="00661AF0" w:rsidRPr="00661AF0">
        <w:rPr>
          <w:rFonts w:ascii="Arial" w:hAnsi="Arial" w:cs="Arial"/>
        </w:rPr>
        <w:t xml:space="preserve"> vl</w:t>
      </w:r>
      <w:r w:rsidR="00661AF0">
        <w:rPr>
          <w:rFonts w:ascii="Arial" w:hAnsi="Arial" w:cs="Arial"/>
        </w:rPr>
        <w:t>ády</w:t>
      </w:r>
      <w:r w:rsidR="00661AF0" w:rsidRPr="00661AF0">
        <w:rPr>
          <w:rFonts w:ascii="Arial" w:hAnsi="Arial" w:cs="Arial"/>
        </w:rPr>
        <w:t xml:space="preserve"> z 22.</w:t>
      </w:r>
      <w:r w:rsidR="00661AF0">
        <w:rPr>
          <w:rFonts w:ascii="Arial" w:hAnsi="Arial" w:cs="Arial"/>
        </w:rPr>
        <w:t xml:space="preserve"> května </w:t>
      </w:r>
      <w:r w:rsidR="00661AF0" w:rsidRPr="00661AF0">
        <w:rPr>
          <w:rFonts w:ascii="Arial" w:hAnsi="Arial" w:cs="Arial"/>
        </w:rPr>
        <w:t>2017 č. 385</w:t>
      </w:r>
      <w:r>
        <w:rPr>
          <w:rFonts w:ascii="Arial" w:hAnsi="Arial" w:cs="Arial"/>
        </w:rPr>
        <w:t xml:space="preserve">; </w:t>
      </w:r>
    </w:p>
    <w:p w:rsidR="00067429" w:rsidRDefault="00067429" w:rsidP="0080381D">
      <w:pPr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Popis položek:</w:t>
      </w:r>
    </w:p>
    <w:p w:rsidR="00891B22" w:rsidRDefault="00067429" w:rsidP="00891B22">
      <w:pPr>
        <w:spacing w:after="60"/>
        <w:ind w:left="357"/>
        <w:jc w:val="both"/>
        <w:rPr>
          <w:rFonts w:ascii="Arial" w:hAnsi="Arial" w:cs="Arial"/>
        </w:rPr>
      </w:pPr>
      <w:r w:rsidRPr="00891B22">
        <w:rPr>
          <w:rFonts w:ascii="Arial" w:hAnsi="Arial" w:cs="Arial"/>
          <w:b/>
        </w:rPr>
        <w:t>Národní cíl Evropa 2020</w:t>
      </w:r>
      <w:r>
        <w:rPr>
          <w:rFonts w:ascii="Arial" w:hAnsi="Arial" w:cs="Arial"/>
        </w:rPr>
        <w:t xml:space="preserve"> – Vychází z u</w:t>
      </w:r>
      <w:r w:rsidRPr="00067429">
        <w:rPr>
          <w:rFonts w:ascii="Arial" w:hAnsi="Arial" w:cs="Arial"/>
        </w:rPr>
        <w:t xml:space="preserve">snesení vlády ze dne 27. dubna 2011 č. 314, </w:t>
      </w:r>
      <w:r>
        <w:rPr>
          <w:rFonts w:ascii="Arial" w:hAnsi="Arial" w:cs="Arial"/>
        </w:rPr>
        <w:t xml:space="preserve">které definuje jako národní cíl pro ČR </w:t>
      </w:r>
      <w:r w:rsidR="00891B22">
        <w:rPr>
          <w:rFonts w:ascii="Arial" w:hAnsi="Arial" w:cs="Arial"/>
        </w:rPr>
        <w:t xml:space="preserve">v roce 2020 </w:t>
      </w:r>
      <w:r>
        <w:rPr>
          <w:rFonts w:ascii="Arial" w:hAnsi="Arial" w:cs="Arial"/>
        </w:rPr>
        <w:t xml:space="preserve">dosažení </w:t>
      </w:r>
      <w:r w:rsidRPr="00067429">
        <w:rPr>
          <w:rFonts w:ascii="Arial" w:hAnsi="Arial" w:cs="Arial"/>
        </w:rPr>
        <w:t>úrovně veřejn</w:t>
      </w:r>
      <w:r>
        <w:rPr>
          <w:rFonts w:ascii="Arial" w:hAnsi="Arial" w:cs="Arial"/>
        </w:rPr>
        <w:t>ých</w:t>
      </w:r>
      <w:r w:rsidRPr="00067429">
        <w:rPr>
          <w:rFonts w:ascii="Arial" w:hAnsi="Arial" w:cs="Arial"/>
        </w:rPr>
        <w:t xml:space="preserve"> výdaj</w:t>
      </w:r>
      <w:r>
        <w:rPr>
          <w:rFonts w:ascii="Arial" w:hAnsi="Arial" w:cs="Arial"/>
        </w:rPr>
        <w:t>ů</w:t>
      </w:r>
      <w:r w:rsidRPr="00067429"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VaVaI</w:t>
      </w:r>
      <w:proofErr w:type="spellEnd"/>
      <w:r w:rsidRPr="00067429">
        <w:rPr>
          <w:rFonts w:ascii="Arial" w:hAnsi="Arial" w:cs="Arial"/>
        </w:rPr>
        <w:t xml:space="preserve"> </w:t>
      </w:r>
      <w:r w:rsidR="00891B22">
        <w:rPr>
          <w:rFonts w:ascii="Arial" w:hAnsi="Arial" w:cs="Arial"/>
        </w:rPr>
        <w:t>odpovídající</w:t>
      </w:r>
      <w:r w:rsidRPr="00067429">
        <w:rPr>
          <w:rFonts w:ascii="Arial" w:hAnsi="Arial" w:cs="Arial"/>
        </w:rPr>
        <w:t xml:space="preserve"> 1</w:t>
      </w:r>
      <w:r w:rsidR="00092863">
        <w:rPr>
          <w:rFonts w:ascii="Arial" w:hAnsi="Arial" w:cs="Arial"/>
        </w:rPr>
        <w:t> </w:t>
      </w:r>
      <w:r w:rsidRPr="00067429">
        <w:rPr>
          <w:rFonts w:ascii="Arial" w:hAnsi="Arial" w:cs="Arial"/>
        </w:rPr>
        <w:t>% HDP</w:t>
      </w:r>
      <w:r w:rsidR="00891B22">
        <w:rPr>
          <w:rFonts w:ascii="Arial" w:hAnsi="Arial" w:cs="Arial"/>
        </w:rPr>
        <w:t>.</w:t>
      </w:r>
    </w:p>
    <w:p w:rsidR="00001E3E" w:rsidRDefault="00891B22" w:rsidP="00891B22">
      <w:pPr>
        <w:spacing w:after="60"/>
        <w:ind w:left="357"/>
        <w:jc w:val="both"/>
        <w:rPr>
          <w:rFonts w:ascii="Arial" w:hAnsi="Arial" w:cs="Arial"/>
        </w:rPr>
      </w:pPr>
      <w:r w:rsidRPr="00891B22">
        <w:rPr>
          <w:rFonts w:ascii="Arial" w:hAnsi="Arial" w:cs="Arial"/>
          <w:b/>
        </w:rPr>
        <w:t>Institucionální základna</w:t>
      </w:r>
      <w:r>
        <w:rPr>
          <w:rFonts w:ascii="Arial" w:hAnsi="Arial" w:cs="Arial"/>
        </w:rPr>
        <w:t xml:space="preserve"> – Je tvořena výdaji na podporu</w:t>
      </w:r>
      <w:r w:rsidRPr="00680972">
        <w:rPr>
          <w:rFonts w:ascii="Arial" w:hAnsi="Arial" w:cs="Arial"/>
        </w:rPr>
        <w:t xml:space="preserve"> </w:t>
      </w:r>
      <w:r w:rsidR="00680972" w:rsidRPr="00680972">
        <w:rPr>
          <w:rFonts w:ascii="Arial" w:hAnsi="Arial" w:cs="Arial"/>
        </w:rPr>
        <w:t>výzkumných organizací a výzkumných infrastruktur, obsahuj</w:t>
      </w:r>
      <w:r>
        <w:rPr>
          <w:rFonts w:ascii="Arial" w:hAnsi="Arial" w:cs="Arial"/>
        </w:rPr>
        <w:t>e</w:t>
      </w:r>
      <w:r w:rsidR="00680972" w:rsidRPr="00680972">
        <w:rPr>
          <w:rFonts w:ascii="Arial" w:hAnsi="Arial" w:cs="Arial"/>
        </w:rPr>
        <w:t xml:space="preserve"> </w:t>
      </w:r>
      <w:r w:rsidR="0046479E">
        <w:rPr>
          <w:rFonts w:ascii="Arial" w:hAnsi="Arial" w:cs="Arial"/>
        </w:rPr>
        <w:t xml:space="preserve">tudíž </w:t>
      </w:r>
      <w:r w:rsidR="00680972" w:rsidRPr="00680972">
        <w:rPr>
          <w:rFonts w:ascii="Arial" w:hAnsi="Arial" w:cs="Arial"/>
        </w:rPr>
        <w:t>také výdaje (</w:t>
      </w:r>
      <w:r w:rsidR="005005B5">
        <w:rPr>
          <w:rFonts w:ascii="Arial" w:hAnsi="Arial" w:cs="Arial"/>
        </w:rPr>
        <w:t xml:space="preserve">např. </w:t>
      </w:r>
      <w:r w:rsidR="00680972" w:rsidRPr="00680972">
        <w:rPr>
          <w:rFonts w:ascii="Arial" w:hAnsi="Arial" w:cs="Arial"/>
        </w:rPr>
        <w:t xml:space="preserve">na </w:t>
      </w:r>
      <w:r w:rsidR="005005B5">
        <w:rPr>
          <w:rFonts w:ascii="Arial" w:hAnsi="Arial" w:cs="Arial"/>
        </w:rPr>
        <w:t>P</w:t>
      </w:r>
      <w:r w:rsidR="00680972" w:rsidRPr="00680972">
        <w:rPr>
          <w:rFonts w:ascii="Arial" w:hAnsi="Arial" w:cs="Arial"/>
        </w:rPr>
        <w:t>rojekty velkých</w:t>
      </w:r>
      <w:r w:rsidR="005005B5">
        <w:rPr>
          <w:rFonts w:ascii="Arial" w:hAnsi="Arial" w:cs="Arial"/>
        </w:rPr>
        <w:t xml:space="preserve"> výzkumných</w:t>
      </w:r>
      <w:r w:rsidR="00680972" w:rsidRPr="00680972">
        <w:rPr>
          <w:rFonts w:ascii="Arial" w:hAnsi="Arial" w:cs="Arial"/>
        </w:rPr>
        <w:t xml:space="preserve"> infrastruktur, Národní programy udržitelnosti I a II,</w:t>
      </w:r>
      <w:r w:rsidR="00680972">
        <w:rPr>
          <w:rFonts w:ascii="Arial" w:hAnsi="Arial" w:cs="Arial"/>
        </w:rPr>
        <w:t xml:space="preserve"> </w:t>
      </w:r>
      <w:r w:rsidR="0046479E">
        <w:rPr>
          <w:rFonts w:ascii="Arial" w:hAnsi="Arial" w:cs="Arial"/>
        </w:rPr>
        <w:t>Národní centra kompetence, Centra excelence</w:t>
      </w:r>
      <w:r w:rsidR="00680972" w:rsidRPr="00680972">
        <w:rPr>
          <w:rFonts w:ascii="Arial" w:hAnsi="Arial" w:cs="Arial"/>
        </w:rPr>
        <w:t>)</w:t>
      </w:r>
      <w:r w:rsidR="005005B5">
        <w:rPr>
          <w:rFonts w:ascii="Arial" w:hAnsi="Arial" w:cs="Arial"/>
        </w:rPr>
        <w:t>, které jsou dle současné legislativy řazeny mezi účelové prostředky, přestože svým charakterem odpovídají prostředkům institucionálním.</w:t>
      </w:r>
    </w:p>
    <w:p w:rsidR="00364BEA" w:rsidRDefault="00364BEA" w:rsidP="00891B22">
      <w:pPr>
        <w:spacing w:after="6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Mezinárodní spolupráce </w:t>
      </w:r>
      <w:r>
        <w:rPr>
          <w:rFonts w:ascii="Arial" w:hAnsi="Arial" w:cs="Arial"/>
        </w:rPr>
        <w:t xml:space="preserve">– Jsou </w:t>
      </w:r>
      <w:r w:rsidR="00092863">
        <w:rPr>
          <w:rFonts w:ascii="Arial" w:hAnsi="Arial" w:cs="Arial"/>
        </w:rPr>
        <w:t xml:space="preserve">zde </w:t>
      </w:r>
      <w:r>
        <w:rPr>
          <w:rFonts w:ascii="Arial" w:hAnsi="Arial" w:cs="Arial"/>
        </w:rPr>
        <w:t xml:space="preserve">zařazeny </w:t>
      </w:r>
      <w:r w:rsidR="00995EA1">
        <w:rPr>
          <w:rFonts w:ascii="Arial" w:hAnsi="Arial" w:cs="Arial"/>
        </w:rPr>
        <w:t xml:space="preserve">výdaje na </w:t>
      </w:r>
      <w:r>
        <w:rPr>
          <w:rFonts w:ascii="Arial" w:hAnsi="Arial" w:cs="Arial"/>
        </w:rPr>
        <w:t xml:space="preserve">poplatky za účast ČR v mezinárodních programech </w:t>
      </w:r>
      <w:proofErr w:type="spellStart"/>
      <w:r>
        <w:rPr>
          <w:rFonts w:ascii="Arial" w:hAnsi="Arial" w:cs="Arial"/>
        </w:rPr>
        <w:t>VaV</w:t>
      </w:r>
      <w:proofErr w:type="spellEnd"/>
      <w:r>
        <w:rPr>
          <w:rFonts w:ascii="Arial" w:hAnsi="Arial" w:cs="Arial"/>
        </w:rPr>
        <w:t xml:space="preserve">, za členství v mezinárodních </w:t>
      </w:r>
      <w:r w:rsidR="00995EA1">
        <w:rPr>
          <w:rFonts w:ascii="Arial" w:hAnsi="Arial" w:cs="Arial"/>
        </w:rPr>
        <w:t>organizacích, výdaje na programy mezinárodní spolupráce a spolufinancování projektů mezinárodní spolupráce.</w:t>
      </w:r>
    </w:p>
    <w:p w:rsidR="00995EA1" w:rsidRDefault="00995EA1" w:rsidP="00891B22">
      <w:pPr>
        <w:spacing w:after="6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Spolufinancování ESIF </w:t>
      </w:r>
      <w:r>
        <w:rPr>
          <w:rFonts w:ascii="Arial" w:hAnsi="Arial" w:cs="Arial"/>
        </w:rPr>
        <w:t xml:space="preserve">– Jedná se o finanční spoluúčast ČR na Operačních programech v oblasti </w:t>
      </w:r>
      <w:proofErr w:type="spellStart"/>
      <w:r>
        <w:rPr>
          <w:rFonts w:ascii="Arial" w:hAnsi="Arial" w:cs="Arial"/>
        </w:rPr>
        <w:t>VaVaI</w:t>
      </w:r>
      <w:proofErr w:type="spellEnd"/>
      <w:r w:rsidR="00092863">
        <w:rPr>
          <w:rFonts w:ascii="Arial" w:hAnsi="Arial" w:cs="Arial"/>
        </w:rPr>
        <w:t>.</w:t>
      </w:r>
    </w:p>
    <w:p w:rsidR="00891B22" w:rsidRDefault="00891B22" w:rsidP="00891B22">
      <w:pPr>
        <w:spacing w:after="60"/>
        <w:ind w:left="357"/>
        <w:jc w:val="both"/>
        <w:rPr>
          <w:rFonts w:ascii="Arial" w:hAnsi="Arial" w:cs="Arial"/>
        </w:rPr>
      </w:pPr>
      <w:r w:rsidRPr="00891B22">
        <w:rPr>
          <w:rFonts w:ascii="Arial" w:hAnsi="Arial" w:cs="Arial"/>
          <w:b/>
        </w:rPr>
        <w:t>Čistá účelová podpora</w:t>
      </w:r>
      <w:r>
        <w:rPr>
          <w:rFonts w:ascii="Arial" w:hAnsi="Arial" w:cs="Arial"/>
        </w:rPr>
        <w:t xml:space="preserve"> – Je tvořena účelovými výdaji na programy a skupiny grantových projektů kromě programů na podporu výzkumných infrastruktur, výzkumných center a na podporu mezinárodní spolupráce</w:t>
      </w:r>
      <w:r w:rsidR="00364BEA">
        <w:rPr>
          <w:rFonts w:ascii="Arial" w:hAnsi="Arial" w:cs="Arial"/>
        </w:rPr>
        <w:t>.</w:t>
      </w:r>
    </w:p>
    <w:p w:rsidR="00891B22" w:rsidRPr="00891B22" w:rsidRDefault="00891B22" w:rsidP="00891B22">
      <w:pPr>
        <w:spacing w:after="6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Agenda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</w:rPr>
        <w:t xml:space="preserve"> – Součástí jsou výdaje na činnost RVVI, AV ČR, GA ČR, TA ČR, výdaje na </w:t>
      </w:r>
      <w:r w:rsidR="00364BEA">
        <w:rPr>
          <w:rFonts w:ascii="Arial" w:hAnsi="Arial" w:cs="Arial"/>
        </w:rPr>
        <w:t>pořádání veřejných soutěží, hodnocení projektů, výdaje na věcné nebo finanční ocenění mimořádných výsledků.</w:t>
      </w:r>
    </w:p>
    <w:p w:rsidR="005005B5" w:rsidRDefault="005005B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039B1" w:rsidRDefault="00A039B1" w:rsidP="00A039B1">
      <w:pPr>
        <w:keepNext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Tab. </w:t>
      </w:r>
      <w:r w:rsidR="00E5416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Pr="005005B5">
        <w:rPr>
          <w:rFonts w:ascii="Arial" w:hAnsi="Arial" w:cs="Arial"/>
          <w:b/>
        </w:rPr>
        <w:t xml:space="preserve">Financování vybraných programů </w:t>
      </w:r>
      <w:r w:rsidR="005005B5" w:rsidRPr="005005B5">
        <w:rPr>
          <w:rFonts w:ascii="Arial" w:hAnsi="Arial" w:cs="Arial"/>
          <w:b/>
        </w:rPr>
        <w:t xml:space="preserve">ze SR </w:t>
      </w:r>
      <w:r w:rsidRPr="00A039B1">
        <w:rPr>
          <w:rFonts w:ascii="Arial" w:hAnsi="Arial" w:cs="Arial"/>
          <w:b/>
        </w:rPr>
        <w:t>(mil</w:t>
      </w:r>
      <w:r w:rsidR="00FA03EF">
        <w:rPr>
          <w:rFonts w:ascii="Arial" w:hAnsi="Arial" w:cs="Arial"/>
          <w:b/>
        </w:rPr>
        <w:t>.</w:t>
      </w:r>
      <w:r w:rsidRPr="00A039B1">
        <w:rPr>
          <w:rFonts w:ascii="Arial" w:hAnsi="Arial" w:cs="Arial"/>
          <w:b/>
        </w:rPr>
        <w:t xml:space="preserve"> Kč)</w:t>
      </w:r>
    </w:p>
    <w:p w:rsidR="00CB10D1" w:rsidRDefault="00CB10D1" w:rsidP="00A039B1">
      <w:pPr>
        <w:keepNext/>
        <w:ind w:left="357"/>
        <w:jc w:val="both"/>
        <w:rPr>
          <w:rFonts w:ascii="Arial" w:hAnsi="Arial" w:cs="Arial"/>
        </w:rPr>
      </w:pPr>
    </w:p>
    <w:tbl>
      <w:tblPr>
        <w:tblW w:w="0" w:type="auto"/>
        <w:jc w:val="center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4"/>
        <w:gridCol w:w="835"/>
        <w:gridCol w:w="835"/>
        <w:gridCol w:w="835"/>
        <w:gridCol w:w="835"/>
        <w:gridCol w:w="836"/>
        <w:gridCol w:w="835"/>
        <w:gridCol w:w="835"/>
        <w:gridCol w:w="835"/>
        <w:gridCol w:w="835"/>
        <w:gridCol w:w="836"/>
        <w:gridCol w:w="1387"/>
      </w:tblGrid>
      <w:tr w:rsidR="007459DF" w:rsidRPr="007459DF" w:rsidTr="00995EA1">
        <w:trPr>
          <w:trHeight w:val="581"/>
          <w:jc w:val="center"/>
        </w:trPr>
        <w:tc>
          <w:tcPr>
            <w:tcW w:w="28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celkem za období</w:t>
            </w: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THÉTA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680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3 160</w:t>
            </w:r>
          </w:p>
        </w:tc>
      </w:tr>
      <w:tr w:rsidR="007459DF" w:rsidRPr="007459DF" w:rsidTr="00995EA1">
        <w:trPr>
          <w:trHeight w:val="552"/>
          <w:jc w:val="center"/>
        </w:trPr>
        <w:tc>
          <w:tcPr>
            <w:tcW w:w="285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6A4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NCK (do r. 201</w:t>
            </w:r>
            <w:r w:rsidR="006A4A54">
              <w:rPr>
                <w:rFonts w:ascii="Arial" w:hAnsi="Arial" w:cs="Arial"/>
                <w:color w:val="000000"/>
              </w:rPr>
              <w:t>9</w:t>
            </w:r>
            <w:r w:rsidRPr="007459DF">
              <w:rPr>
                <w:rFonts w:ascii="Arial" w:hAnsi="Arial" w:cs="Arial"/>
                <w:color w:val="000000"/>
              </w:rPr>
              <w:t xml:space="preserve"> i Centra kompetence)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812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894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930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1 030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952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1 054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1 072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1 072</w:t>
            </w:r>
          </w:p>
        </w:tc>
        <w:tc>
          <w:tcPr>
            <w:tcW w:w="138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9 430</w:t>
            </w:r>
          </w:p>
        </w:tc>
      </w:tr>
      <w:tr w:rsidR="007459DF" w:rsidRPr="007459DF" w:rsidTr="00995EA1">
        <w:trPr>
          <w:trHeight w:val="86"/>
          <w:jc w:val="center"/>
        </w:trPr>
        <w:tc>
          <w:tcPr>
            <w:tcW w:w="285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8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EPSILON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283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1 202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6A4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1 6</w:t>
            </w:r>
            <w:r w:rsidR="006A4A54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6A4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 xml:space="preserve">1 </w:t>
            </w:r>
            <w:r w:rsidR="006A4A54">
              <w:rPr>
                <w:rFonts w:ascii="Arial" w:hAnsi="Arial" w:cs="Arial"/>
                <w:color w:val="000000"/>
              </w:rPr>
              <w:t>662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6A4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1 46</w:t>
            </w:r>
            <w:r w:rsidR="006A4A5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720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CF0F0B" w:rsidP="00CF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="007459DF" w:rsidRPr="007459D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160</w:t>
            </w: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TRIO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1 050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1 069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1 479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2 028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6 096</w:t>
            </w: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6D0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 xml:space="preserve">DELTA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1 002</w:t>
            </w: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ZÉTA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570</w:t>
            </w:r>
          </w:p>
        </w:tc>
      </w:tr>
      <w:tr w:rsidR="007459DF" w:rsidRPr="007459DF" w:rsidTr="00995EA1">
        <w:trPr>
          <w:trHeight w:val="101"/>
          <w:jc w:val="center"/>
        </w:trPr>
        <w:tc>
          <w:tcPr>
            <w:tcW w:w="2854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87" w:type="dxa"/>
            <w:tcBorders>
              <w:top w:val="dashSmallGap" w:sz="4" w:space="0" w:color="auto"/>
              <w:left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BETA2 (do r. 2016 BETA)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388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388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83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1 997</w:t>
            </w:r>
          </w:p>
        </w:tc>
      </w:tr>
      <w:tr w:rsidR="007459DF" w:rsidRPr="007459DF" w:rsidTr="00995EA1">
        <w:trPr>
          <w:trHeight w:val="86"/>
          <w:jc w:val="center"/>
        </w:trPr>
        <w:tc>
          <w:tcPr>
            <w:tcW w:w="285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8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59DF" w:rsidRPr="007459DF" w:rsidTr="00995EA1">
        <w:trPr>
          <w:trHeight w:val="290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ÉTA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290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357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473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475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475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459DF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7459DF" w:rsidRPr="007459DF" w:rsidRDefault="007459DF" w:rsidP="0074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59DF">
              <w:rPr>
                <w:rFonts w:ascii="Arial" w:hAnsi="Arial" w:cs="Arial"/>
                <w:b/>
                <w:bCs/>
                <w:color w:val="000000"/>
              </w:rPr>
              <w:t>2 420</w:t>
            </w:r>
          </w:p>
        </w:tc>
      </w:tr>
    </w:tbl>
    <w:p w:rsidR="007459DF" w:rsidRDefault="007459DF" w:rsidP="00676CF6">
      <w:pPr>
        <w:jc w:val="both"/>
        <w:rPr>
          <w:rFonts w:ascii="Arial" w:hAnsi="Arial" w:cs="Arial"/>
        </w:rPr>
      </w:pPr>
    </w:p>
    <w:p w:rsidR="007459DF" w:rsidRDefault="007459DF" w:rsidP="00676C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6D01EA">
        <w:rPr>
          <w:rFonts w:ascii="Arial" w:hAnsi="Arial" w:cs="Arial"/>
        </w:rPr>
        <w:t xml:space="preserve">Údaje za období 2014 – 2016 představují skutečně čerpané prostředky uvedené v Informačním systému </w:t>
      </w:r>
      <w:proofErr w:type="spellStart"/>
      <w:r w:rsidR="006D01EA">
        <w:rPr>
          <w:rFonts w:ascii="Arial" w:hAnsi="Arial" w:cs="Arial"/>
        </w:rPr>
        <w:t>VaVaI</w:t>
      </w:r>
      <w:proofErr w:type="spellEnd"/>
      <w:r w:rsidR="006D01EA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 xml:space="preserve">Údaje za rok 2017 byly schváleny Zákonem </w:t>
      </w:r>
      <w:r w:rsidR="006D01EA">
        <w:rPr>
          <w:rFonts w:ascii="Arial" w:hAnsi="Arial" w:cs="Arial"/>
        </w:rPr>
        <w:t xml:space="preserve">č. 457 ze dne 7. prosince 2016 </w:t>
      </w:r>
      <w:r>
        <w:rPr>
          <w:rFonts w:ascii="Arial" w:hAnsi="Arial" w:cs="Arial"/>
        </w:rPr>
        <w:t>o státním rozpočtu</w:t>
      </w:r>
      <w:r w:rsidR="006D01EA">
        <w:rPr>
          <w:rFonts w:ascii="Arial" w:hAnsi="Arial" w:cs="Arial"/>
        </w:rPr>
        <w:t xml:space="preserve"> ČR na rok 2017</w:t>
      </w:r>
      <w:r>
        <w:rPr>
          <w:rFonts w:ascii="Arial" w:hAnsi="Arial" w:cs="Arial"/>
        </w:rPr>
        <w:t>; Ú</w:t>
      </w:r>
      <w:r w:rsidRPr="00661AF0">
        <w:rPr>
          <w:rFonts w:ascii="Arial" w:hAnsi="Arial" w:cs="Arial"/>
        </w:rPr>
        <w:t>daje za obd</w:t>
      </w:r>
      <w:r>
        <w:rPr>
          <w:rFonts w:ascii="Arial" w:hAnsi="Arial" w:cs="Arial"/>
        </w:rPr>
        <w:t>obí</w:t>
      </w:r>
      <w:r w:rsidRPr="00661AF0">
        <w:rPr>
          <w:rFonts w:ascii="Arial" w:hAnsi="Arial" w:cs="Arial"/>
        </w:rPr>
        <w:t xml:space="preserve"> 2018</w:t>
      </w:r>
      <w:r>
        <w:rPr>
          <w:rFonts w:ascii="Arial" w:hAnsi="Arial" w:cs="Arial"/>
        </w:rPr>
        <w:t xml:space="preserve"> – </w:t>
      </w:r>
      <w:r w:rsidRPr="00661AF0">
        <w:rPr>
          <w:rFonts w:ascii="Arial" w:hAnsi="Arial" w:cs="Arial"/>
        </w:rPr>
        <w:t>202</w:t>
      </w:r>
      <w:r w:rsidR="006D01EA">
        <w:rPr>
          <w:rFonts w:ascii="Arial" w:hAnsi="Arial" w:cs="Arial"/>
        </w:rPr>
        <w:t>0</w:t>
      </w:r>
      <w:r w:rsidRPr="00661AF0">
        <w:rPr>
          <w:rFonts w:ascii="Arial" w:hAnsi="Arial" w:cs="Arial"/>
        </w:rPr>
        <w:t xml:space="preserve"> představují návrh výdajů schválený usn</w:t>
      </w:r>
      <w:r>
        <w:rPr>
          <w:rFonts w:ascii="Arial" w:hAnsi="Arial" w:cs="Arial"/>
        </w:rPr>
        <w:t>esením</w:t>
      </w:r>
      <w:r w:rsidRPr="00661AF0">
        <w:rPr>
          <w:rFonts w:ascii="Arial" w:hAnsi="Arial" w:cs="Arial"/>
        </w:rPr>
        <w:t xml:space="preserve"> vl</w:t>
      </w:r>
      <w:r>
        <w:rPr>
          <w:rFonts w:ascii="Arial" w:hAnsi="Arial" w:cs="Arial"/>
        </w:rPr>
        <w:t>ády</w:t>
      </w:r>
      <w:r w:rsidRPr="00661AF0">
        <w:rPr>
          <w:rFonts w:ascii="Arial" w:hAnsi="Arial" w:cs="Arial"/>
        </w:rPr>
        <w:t xml:space="preserve"> z 22.</w:t>
      </w:r>
      <w:r>
        <w:rPr>
          <w:rFonts w:ascii="Arial" w:hAnsi="Arial" w:cs="Arial"/>
        </w:rPr>
        <w:t xml:space="preserve"> května </w:t>
      </w:r>
      <w:r w:rsidRPr="00661AF0">
        <w:rPr>
          <w:rFonts w:ascii="Arial" w:hAnsi="Arial" w:cs="Arial"/>
        </w:rPr>
        <w:t>2017 č. 385</w:t>
      </w:r>
      <w:r>
        <w:rPr>
          <w:rFonts w:ascii="Arial" w:hAnsi="Arial" w:cs="Arial"/>
        </w:rPr>
        <w:t xml:space="preserve">; </w:t>
      </w:r>
      <w:r w:rsidR="006D01EA">
        <w:rPr>
          <w:rFonts w:ascii="Arial" w:hAnsi="Arial" w:cs="Arial"/>
        </w:rPr>
        <w:t xml:space="preserve">Údaje od roku 2021 vycházejí </w:t>
      </w:r>
      <w:r w:rsidR="006A4A54">
        <w:rPr>
          <w:rFonts w:ascii="Arial" w:hAnsi="Arial" w:cs="Arial"/>
        </w:rPr>
        <w:t xml:space="preserve">z </w:t>
      </w:r>
      <w:r w:rsidR="006D01EA">
        <w:rPr>
          <w:rFonts w:ascii="Arial" w:hAnsi="Arial" w:cs="Arial"/>
        </w:rPr>
        <w:t xml:space="preserve">finančních alokací programů schválených vládou, nejsou </w:t>
      </w:r>
      <w:r w:rsidR="006A4A54">
        <w:rPr>
          <w:rFonts w:ascii="Arial" w:hAnsi="Arial" w:cs="Arial"/>
        </w:rPr>
        <w:t xml:space="preserve">zde </w:t>
      </w:r>
      <w:r w:rsidR="006D01EA">
        <w:rPr>
          <w:rFonts w:ascii="Arial" w:hAnsi="Arial" w:cs="Arial"/>
        </w:rPr>
        <w:t>zahrnuty výdaje na dosud neschválené programy (např. DELTA 2)</w:t>
      </w:r>
      <w:r w:rsidR="0046479E">
        <w:rPr>
          <w:rFonts w:ascii="Arial" w:hAnsi="Arial" w:cs="Arial"/>
        </w:rPr>
        <w:t>.</w:t>
      </w:r>
    </w:p>
    <w:p w:rsidR="00901B57" w:rsidRDefault="00901B57" w:rsidP="00DD665F">
      <w:pPr>
        <w:pStyle w:val="Nadpis2"/>
        <w:numPr>
          <w:ilvl w:val="0"/>
          <w:numId w:val="4"/>
        </w:numPr>
        <w:spacing w:after="200"/>
        <w:ind w:left="714" w:hanging="357"/>
      </w:pPr>
      <w:bookmarkStart w:id="6" w:name="_Toc491159591"/>
      <w:r>
        <w:lastRenderedPageBreak/>
        <w:t>Grafické přílohy</w:t>
      </w:r>
      <w:bookmarkEnd w:id="6"/>
    </w:p>
    <w:p w:rsidR="00901B57" w:rsidRDefault="007551CA" w:rsidP="007551CA">
      <w:pPr>
        <w:jc w:val="center"/>
      </w:pPr>
      <w:r>
        <w:rPr>
          <w:noProof/>
          <w:lang w:eastAsia="cs-CZ"/>
        </w:rPr>
        <w:drawing>
          <wp:inline distT="0" distB="0" distL="0" distR="0" wp14:anchorId="3B2881E0" wp14:editId="1C0B4E36">
            <wp:extent cx="7353300" cy="5351811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5351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7B16" w:rsidRDefault="007551CA" w:rsidP="008C3486">
      <w:pPr>
        <w:jc w:val="both"/>
        <w:rPr>
          <w:rFonts w:ascii="Arial" w:hAnsi="Arial" w:cs="Arial"/>
        </w:rPr>
      </w:pPr>
      <w:r w:rsidRPr="007551CA">
        <w:rPr>
          <w:noProof/>
          <w:lang w:eastAsia="cs-CZ"/>
        </w:rPr>
        <w:lastRenderedPageBreak/>
        <w:drawing>
          <wp:inline distT="0" distB="0" distL="0" distR="0" wp14:anchorId="78C42D4E" wp14:editId="190AF250">
            <wp:extent cx="8892540" cy="5752390"/>
            <wp:effectExtent l="0" t="0" r="3810" b="127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75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6"/>
        <w:gridCol w:w="976"/>
        <w:gridCol w:w="977"/>
        <w:gridCol w:w="977"/>
        <w:gridCol w:w="977"/>
        <w:gridCol w:w="977"/>
        <w:gridCol w:w="976"/>
        <w:gridCol w:w="977"/>
        <w:gridCol w:w="977"/>
        <w:gridCol w:w="977"/>
        <w:gridCol w:w="977"/>
      </w:tblGrid>
      <w:tr w:rsidR="002F7B16" w:rsidRPr="002F7B16" w:rsidTr="002F7B16">
        <w:trPr>
          <w:trHeight w:val="276"/>
          <w:jc w:val="center"/>
        </w:trPr>
        <w:tc>
          <w:tcPr>
            <w:tcW w:w="43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2024</w:t>
            </w:r>
          </w:p>
        </w:tc>
      </w:tr>
      <w:tr w:rsidR="002F7B16" w:rsidRPr="002F7B16" w:rsidTr="002F7B16">
        <w:trPr>
          <w:trHeight w:val="276"/>
          <w:jc w:val="center"/>
        </w:trPr>
        <w:tc>
          <w:tcPr>
            <w:tcW w:w="4306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podnikatelské zdroje (mil. Kč)</w:t>
            </w: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45 607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49 980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51 829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54 109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60 340</w:t>
            </w: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65 530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70 902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76 464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82 219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88 174</w:t>
            </w:r>
          </w:p>
        </w:tc>
      </w:tr>
      <w:tr w:rsidR="002F7B16" w:rsidRPr="002F7B16" w:rsidTr="002F7B16">
        <w:trPr>
          <w:trHeight w:val="276"/>
          <w:jc w:val="center"/>
        </w:trPr>
        <w:tc>
          <w:tcPr>
            <w:tcW w:w="430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podíl na HDP (%)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1,06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1,06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1,06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1,06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1,13</w:t>
            </w:r>
          </w:p>
        </w:tc>
        <w:tc>
          <w:tcPr>
            <w:tcW w:w="976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1,21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1,28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1,35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1,43</w:t>
            </w:r>
          </w:p>
        </w:tc>
        <w:tc>
          <w:tcPr>
            <w:tcW w:w="977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1,50</w:t>
            </w:r>
          </w:p>
        </w:tc>
      </w:tr>
      <w:tr w:rsidR="002F7B16" w:rsidRPr="002F7B16" w:rsidTr="002F7B16">
        <w:trPr>
          <w:trHeight w:val="276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meziroční růst podnikatelských zdrojů (%)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5,42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9,59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3,70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4,40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11,52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8,60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8,20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7,84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7,53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F7B16" w:rsidRPr="002F7B16" w:rsidRDefault="002F7B16" w:rsidP="002F7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F7B16">
              <w:rPr>
                <w:rFonts w:ascii="Arial" w:hAnsi="Arial" w:cs="Arial"/>
                <w:color w:val="000000"/>
              </w:rPr>
              <w:t>7,24</w:t>
            </w:r>
          </w:p>
        </w:tc>
      </w:tr>
    </w:tbl>
    <w:p w:rsidR="00B07BBA" w:rsidRDefault="00B07BBA" w:rsidP="00522853">
      <w:pPr>
        <w:spacing w:before="120" w:after="0"/>
        <w:jc w:val="both"/>
        <w:rPr>
          <w:rFonts w:ascii="Arial" w:hAnsi="Arial" w:cs="Arial"/>
          <w:i/>
          <w:sz w:val="18"/>
          <w:szCs w:val="18"/>
        </w:rPr>
      </w:pPr>
    </w:p>
    <w:p w:rsidR="002F7B16" w:rsidRDefault="002F7B16" w:rsidP="00522853">
      <w:pPr>
        <w:spacing w:before="120" w:after="0"/>
        <w:jc w:val="both"/>
        <w:rPr>
          <w:rFonts w:ascii="Arial" w:hAnsi="Arial" w:cs="Arial"/>
          <w:i/>
          <w:sz w:val="18"/>
          <w:szCs w:val="18"/>
        </w:rPr>
      </w:pPr>
      <w:r w:rsidRPr="00522853">
        <w:rPr>
          <w:rFonts w:ascii="Arial" w:hAnsi="Arial" w:cs="Arial"/>
          <w:i/>
          <w:sz w:val="18"/>
          <w:szCs w:val="18"/>
        </w:rPr>
        <w:t>Podnikatelské zdroje byly namodelovány na základě dat z ČSÚ pro léta 2005 až 2015</w:t>
      </w:r>
      <w:r w:rsidR="00522853">
        <w:rPr>
          <w:rFonts w:ascii="Arial" w:hAnsi="Arial" w:cs="Arial"/>
          <w:i/>
          <w:sz w:val="18"/>
          <w:szCs w:val="18"/>
        </w:rPr>
        <w:t>;</w:t>
      </w:r>
    </w:p>
    <w:p w:rsidR="00522853" w:rsidRPr="00522853" w:rsidRDefault="00522853" w:rsidP="00522853">
      <w:pPr>
        <w:spacing w:after="24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Vývoj HDP byl odhadnut dle Konvergenčního programu z dubna 2017, výchozím předpokladem je 2 % meziroční růst HDP po roce 2019</w:t>
      </w:r>
    </w:p>
    <w:p w:rsidR="005005B5" w:rsidRPr="005005B5" w:rsidRDefault="008C3486" w:rsidP="008C3486">
      <w:pPr>
        <w:jc w:val="both"/>
        <w:rPr>
          <w:rFonts w:ascii="Arial" w:hAnsi="Arial" w:cs="Arial"/>
        </w:rPr>
      </w:pPr>
      <w:r w:rsidRPr="005005B5">
        <w:rPr>
          <w:rFonts w:ascii="Arial" w:hAnsi="Arial" w:cs="Arial"/>
        </w:rPr>
        <w:t xml:space="preserve">Výdaje státního rozpočtu na </w:t>
      </w:r>
      <w:proofErr w:type="spellStart"/>
      <w:r w:rsidRPr="005005B5">
        <w:rPr>
          <w:rFonts w:ascii="Arial" w:hAnsi="Arial" w:cs="Arial"/>
        </w:rPr>
        <w:t>VaV</w:t>
      </w:r>
      <w:proofErr w:type="spellEnd"/>
      <w:r w:rsidRPr="005005B5">
        <w:rPr>
          <w:rFonts w:ascii="Arial" w:hAnsi="Arial" w:cs="Arial"/>
        </w:rPr>
        <w:t xml:space="preserve"> (modré sloupce) vykazují meziroční růst, s výjimkou roku 2013, </w:t>
      </w:r>
      <w:r w:rsidR="001025F1" w:rsidRPr="005005B5">
        <w:rPr>
          <w:rFonts w:ascii="Arial" w:hAnsi="Arial" w:cs="Arial"/>
        </w:rPr>
        <w:t>kdy</w:t>
      </w:r>
      <w:r w:rsidRPr="005005B5">
        <w:rPr>
          <w:rFonts w:ascii="Arial" w:hAnsi="Arial" w:cs="Arial"/>
        </w:rPr>
        <w:t xml:space="preserve"> došlo k poklesu. Z grafu je </w:t>
      </w:r>
      <w:r w:rsidR="0046479E">
        <w:rPr>
          <w:rFonts w:ascii="Arial" w:hAnsi="Arial" w:cs="Arial"/>
        </w:rPr>
        <w:t>zřejmé</w:t>
      </w:r>
      <w:r w:rsidRPr="005005B5">
        <w:rPr>
          <w:rFonts w:ascii="Arial" w:hAnsi="Arial" w:cs="Arial"/>
        </w:rPr>
        <w:t>, že pro splnění cíle Evropa 2020</w:t>
      </w:r>
      <w:r w:rsidR="002E771F" w:rsidRPr="005005B5">
        <w:rPr>
          <w:rStyle w:val="Znakapoznpodarou"/>
          <w:rFonts w:ascii="Arial" w:hAnsi="Arial" w:cs="Arial"/>
        </w:rPr>
        <w:footnoteReference w:id="3"/>
      </w:r>
      <w:r w:rsidR="005005B5" w:rsidRPr="005005B5">
        <w:rPr>
          <w:rFonts w:ascii="Arial" w:hAnsi="Arial" w:cs="Arial"/>
        </w:rPr>
        <w:t xml:space="preserve"> by bylo nutné</w:t>
      </w:r>
      <w:r w:rsidRPr="005005B5">
        <w:rPr>
          <w:rFonts w:ascii="Arial" w:hAnsi="Arial" w:cs="Arial"/>
        </w:rPr>
        <w:t xml:space="preserve"> </w:t>
      </w:r>
      <w:r w:rsidR="001025F1" w:rsidRPr="005005B5">
        <w:rPr>
          <w:rFonts w:ascii="Arial" w:hAnsi="Arial" w:cs="Arial"/>
        </w:rPr>
        <w:t xml:space="preserve">zásadně </w:t>
      </w:r>
      <w:r w:rsidRPr="005005B5">
        <w:rPr>
          <w:rFonts w:ascii="Arial" w:hAnsi="Arial" w:cs="Arial"/>
        </w:rPr>
        <w:t xml:space="preserve">navýšit výdaje ze SR na </w:t>
      </w:r>
      <w:proofErr w:type="spellStart"/>
      <w:r w:rsidRPr="005005B5">
        <w:rPr>
          <w:rFonts w:ascii="Arial" w:hAnsi="Arial" w:cs="Arial"/>
        </w:rPr>
        <w:t>VaVaI</w:t>
      </w:r>
      <w:proofErr w:type="spellEnd"/>
      <w:r w:rsidRPr="005005B5">
        <w:rPr>
          <w:rFonts w:ascii="Arial" w:hAnsi="Arial" w:cs="Arial"/>
        </w:rPr>
        <w:t xml:space="preserve"> pro roky 2020 – 2024</w:t>
      </w:r>
      <w:r w:rsidR="00D51254" w:rsidRPr="005005B5">
        <w:rPr>
          <w:rFonts w:ascii="Arial" w:hAnsi="Arial" w:cs="Arial"/>
        </w:rPr>
        <w:t>, v posledním uvedeném roce až na úroveň téměř 60 mld. Kč</w:t>
      </w:r>
      <w:r w:rsidR="005005B5" w:rsidRPr="005005B5">
        <w:rPr>
          <w:rFonts w:ascii="Arial" w:hAnsi="Arial" w:cs="Arial"/>
        </w:rPr>
        <w:t>.</w:t>
      </w:r>
      <w:r w:rsidR="005005B5">
        <w:rPr>
          <w:rFonts w:ascii="Arial" w:hAnsi="Arial" w:cs="Arial"/>
        </w:rPr>
        <w:t xml:space="preserve"> </w:t>
      </w:r>
    </w:p>
    <w:p w:rsidR="00995EA1" w:rsidRDefault="00B5375C" w:rsidP="00995EA1">
      <w:pPr>
        <w:jc w:val="both"/>
        <w:rPr>
          <w:rFonts w:ascii="Arial" w:hAnsi="Arial" w:cs="Arial"/>
        </w:rPr>
      </w:pPr>
      <w:r w:rsidRPr="005005B5">
        <w:rPr>
          <w:rFonts w:ascii="Arial" w:hAnsi="Arial" w:cs="Arial"/>
        </w:rPr>
        <w:t>Z</w:t>
      </w:r>
      <w:r w:rsidR="009A0C8B" w:rsidRPr="005005B5">
        <w:rPr>
          <w:rFonts w:ascii="Arial" w:hAnsi="Arial" w:cs="Arial"/>
        </w:rPr>
        <w:t> </w:t>
      </w:r>
      <w:r w:rsidR="008C3486" w:rsidRPr="005005B5">
        <w:rPr>
          <w:rFonts w:ascii="Arial" w:hAnsi="Arial" w:cs="Arial"/>
        </w:rPr>
        <w:t>trend</w:t>
      </w:r>
      <w:r w:rsidRPr="005005B5">
        <w:rPr>
          <w:rFonts w:ascii="Arial" w:hAnsi="Arial" w:cs="Arial"/>
        </w:rPr>
        <w:t>ů</w:t>
      </w:r>
      <w:r w:rsidR="008C3486" w:rsidRPr="005005B5">
        <w:rPr>
          <w:rFonts w:ascii="Arial" w:hAnsi="Arial" w:cs="Arial"/>
        </w:rPr>
        <w:t xml:space="preserve"> vývoje veřejných výdajů na </w:t>
      </w:r>
      <w:proofErr w:type="spellStart"/>
      <w:r w:rsidR="008C3486" w:rsidRPr="005005B5">
        <w:rPr>
          <w:rFonts w:ascii="Arial" w:hAnsi="Arial" w:cs="Arial"/>
        </w:rPr>
        <w:t>VaVaI</w:t>
      </w:r>
      <w:proofErr w:type="spellEnd"/>
      <w:r w:rsidR="008C3486" w:rsidRPr="005005B5">
        <w:rPr>
          <w:rFonts w:ascii="Arial" w:hAnsi="Arial" w:cs="Arial"/>
        </w:rPr>
        <w:t xml:space="preserve"> vč. ESIF</w:t>
      </w:r>
      <w:r w:rsidRPr="005005B5">
        <w:rPr>
          <w:rFonts w:ascii="Arial" w:hAnsi="Arial" w:cs="Arial"/>
        </w:rPr>
        <w:t xml:space="preserve"> (modrá křivka)</w:t>
      </w:r>
      <w:r w:rsidR="008C3486" w:rsidRPr="005005B5">
        <w:rPr>
          <w:rFonts w:ascii="Arial" w:hAnsi="Arial" w:cs="Arial"/>
        </w:rPr>
        <w:t>, veřejn</w:t>
      </w:r>
      <w:r w:rsidRPr="005005B5">
        <w:rPr>
          <w:rFonts w:ascii="Arial" w:hAnsi="Arial" w:cs="Arial"/>
        </w:rPr>
        <w:t>ých</w:t>
      </w:r>
      <w:r w:rsidR="008C3486" w:rsidRPr="005005B5">
        <w:rPr>
          <w:rFonts w:ascii="Arial" w:hAnsi="Arial" w:cs="Arial"/>
        </w:rPr>
        <w:t xml:space="preserve"> národní</w:t>
      </w:r>
      <w:r w:rsidRPr="005005B5">
        <w:rPr>
          <w:rFonts w:ascii="Arial" w:hAnsi="Arial" w:cs="Arial"/>
        </w:rPr>
        <w:t>ch</w:t>
      </w:r>
      <w:r w:rsidR="008C3486" w:rsidRPr="005005B5">
        <w:rPr>
          <w:rFonts w:ascii="Arial" w:hAnsi="Arial" w:cs="Arial"/>
        </w:rPr>
        <w:t xml:space="preserve"> výdaj</w:t>
      </w:r>
      <w:r w:rsidRPr="005005B5">
        <w:rPr>
          <w:rFonts w:ascii="Arial" w:hAnsi="Arial" w:cs="Arial"/>
        </w:rPr>
        <w:t>ů</w:t>
      </w:r>
      <w:r w:rsidR="008C3486" w:rsidRPr="005005B5">
        <w:rPr>
          <w:rFonts w:ascii="Arial" w:hAnsi="Arial" w:cs="Arial"/>
        </w:rPr>
        <w:t xml:space="preserve"> </w:t>
      </w:r>
      <w:r w:rsidRPr="005005B5">
        <w:rPr>
          <w:rFonts w:ascii="Arial" w:hAnsi="Arial" w:cs="Arial"/>
        </w:rPr>
        <w:t>(hnědá křivka</w:t>
      </w:r>
      <w:r w:rsidR="001025F1" w:rsidRPr="005005B5">
        <w:rPr>
          <w:rFonts w:ascii="Arial" w:hAnsi="Arial" w:cs="Arial"/>
        </w:rPr>
        <w:t>)</w:t>
      </w:r>
      <w:r w:rsidR="008C3486" w:rsidRPr="005005B5">
        <w:rPr>
          <w:rFonts w:ascii="Arial" w:hAnsi="Arial" w:cs="Arial"/>
        </w:rPr>
        <w:t xml:space="preserve"> a podnikatelsk</w:t>
      </w:r>
      <w:r w:rsidR="001025F1" w:rsidRPr="005005B5">
        <w:rPr>
          <w:rFonts w:ascii="Arial" w:hAnsi="Arial" w:cs="Arial"/>
        </w:rPr>
        <w:t>ých</w:t>
      </w:r>
      <w:r w:rsidR="008C3486" w:rsidRPr="005005B5">
        <w:rPr>
          <w:rFonts w:ascii="Arial" w:hAnsi="Arial" w:cs="Arial"/>
        </w:rPr>
        <w:t xml:space="preserve"> výdaj</w:t>
      </w:r>
      <w:r w:rsidR="001025F1" w:rsidRPr="005005B5">
        <w:rPr>
          <w:rFonts w:ascii="Arial" w:hAnsi="Arial" w:cs="Arial"/>
        </w:rPr>
        <w:t>ů (oranžová křivka)</w:t>
      </w:r>
      <w:r w:rsidR="008C3486" w:rsidRPr="005005B5">
        <w:rPr>
          <w:rFonts w:ascii="Arial" w:hAnsi="Arial" w:cs="Arial"/>
        </w:rPr>
        <w:t xml:space="preserve"> jako % HDP</w:t>
      </w:r>
      <w:r w:rsidR="001025F1" w:rsidRPr="005005B5">
        <w:rPr>
          <w:rFonts w:ascii="Arial" w:hAnsi="Arial" w:cs="Arial"/>
        </w:rPr>
        <w:t xml:space="preserve"> je</w:t>
      </w:r>
      <w:r w:rsidR="0046479E">
        <w:rPr>
          <w:rFonts w:ascii="Arial" w:hAnsi="Arial" w:cs="Arial"/>
        </w:rPr>
        <w:t xml:space="preserve"> patrná</w:t>
      </w:r>
      <w:r w:rsidR="001025F1" w:rsidRPr="005005B5">
        <w:rPr>
          <w:rFonts w:ascii="Arial" w:hAnsi="Arial" w:cs="Arial"/>
        </w:rPr>
        <w:t xml:space="preserve"> zásadní</w:t>
      </w:r>
      <w:r w:rsidR="008C3486" w:rsidRPr="005005B5">
        <w:rPr>
          <w:rFonts w:ascii="Arial" w:hAnsi="Arial" w:cs="Arial"/>
        </w:rPr>
        <w:t xml:space="preserve"> </w:t>
      </w:r>
      <w:r w:rsidR="001025F1" w:rsidRPr="005005B5">
        <w:rPr>
          <w:rFonts w:ascii="Arial" w:hAnsi="Arial" w:cs="Arial"/>
        </w:rPr>
        <w:t xml:space="preserve">stagnace </w:t>
      </w:r>
      <w:r w:rsidR="008C3486" w:rsidRPr="005005B5">
        <w:rPr>
          <w:rFonts w:ascii="Arial" w:hAnsi="Arial" w:cs="Arial"/>
        </w:rPr>
        <w:t xml:space="preserve">veřejných výdajů na </w:t>
      </w:r>
      <w:proofErr w:type="spellStart"/>
      <w:r w:rsidR="008C3486" w:rsidRPr="005005B5">
        <w:rPr>
          <w:rFonts w:ascii="Arial" w:hAnsi="Arial" w:cs="Arial"/>
        </w:rPr>
        <w:t>VaVaI</w:t>
      </w:r>
      <w:proofErr w:type="spellEnd"/>
      <w:r w:rsidR="008C3486" w:rsidRPr="005005B5">
        <w:rPr>
          <w:rFonts w:ascii="Arial" w:hAnsi="Arial" w:cs="Arial"/>
        </w:rPr>
        <w:t xml:space="preserve"> vč. ESIF a křivky veřejných národních výdajů na </w:t>
      </w:r>
      <w:proofErr w:type="spellStart"/>
      <w:r w:rsidR="008C3486" w:rsidRPr="005005B5">
        <w:rPr>
          <w:rFonts w:ascii="Arial" w:hAnsi="Arial" w:cs="Arial"/>
        </w:rPr>
        <w:t>VaVaI</w:t>
      </w:r>
      <w:proofErr w:type="spellEnd"/>
      <w:r w:rsidR="008C3486" w:rsidRPr="005005B5">
        <w:rPr>
          <w:rFonts w:ascii="Arial" w:hAnsi="Arial" w:cs="Arial"/>
        </w:rPr>
        <w:t xml:space="preserve">. </w:t>
      </w:r>
      <w:r w:rsidR="001025F1" w:rsidRPr="005005B5">
        <w:rPr>
          <w:rFonts w:ascii="Arial" w:hAnsi="Arial" w:cs="Arial"/>
        </w:rPr>
        <w:t>Vychází z </w:t>
      </w:r>
      <w:r w:rsidR="008C3486" w:rsidRPr="005005B5">
        <w:rPr>
          <w:rFonts w:ascii="Arial" w:hAnsi="Arial" w:cs="Arial"/>
        </w:rPr>
        <w:t>předpoklad</w:t>
      </w:r>
      <w:r w:rsidR="001025F1" w:rsidRPr="005005B5">
        <w:rPr>
          <w:rFonts w:ascii="Arial" w:hAnsi="Arial" w:cs="Arial"/>
        </w:rPr>
        <w:t xml:space="preserve">u </w:t>
      </w:r>
      <w:r w:rsidR="008C3486" w:rsidRPr="005005B5">
        <w:rPr>
          <w:rFonts w:ascii="Arial" w:hAnsi="Arial" w:cs="Arial"/>
        </w:rPr>
        <w:t xml:space="preserve">výrazného omezení prostředků na </w:t>
      </w:r>
      <w:proofErr w:type="spellStart"/>
      <w:r w:rsidR="008C3486" w:rsidRPr="005005B5">
        <w:rPr>
          <w:rFonts w:ascii="Arial" w:hAnsi="Arial" w:cs="Arial"/>
        </w:rPr>
        <w:t>VaVaI</w:t>
      </w:r>
      <w:proofErr w:type="spellEnd"/>
      <w:r w:rsidR="008C3486" w:rsidRPr="005005B5">
        <w:rPr>
          <w:rFonts w:ascii="Arial" w:hAnsi="Arial" w:cs="Arial"/>
        </w:rPr>
        <w:t xml:space="preserve"> pocházejících z Evropských strukturálních a investičních fondů</w:t>
      </w:r>
      <w:r w:rsidR="001025F1" w:rsidRPr="005005B5">
        <w:rPr>
          <w:rFonts w:ascii="Arial" w:hAnsi="Arial" w:cs="Arial"/>
        </w:rPr>
        <w:t xml:space="preserve">, které bude nahrazeno částečně </w:t>
      </w:r>
      <w:r w:rsidR="008C3486" w:rsidRPr="005005B5">
        <w:rPr>
          <w:rFonts w:ascii="Arial" w:hAnsi="Arial" w:cs="Arial"/>
        </w:rPr>
        <w:t>výdaj</w:t>
      </w:r>
      <w:r w:rsidR="001025F1" w:rsidRPr="005005B5">
        <w:rPr>
          <w:rFonts w:ascii="Arial" w:hAnsi="Arial" w:cs="Arial"/>
        </w:rPr>
        <w:t>i</w:t>
      </w:r>
      <w:r w:rsidR="008C3486" w:rsidRPr="005005B5">
        <w:rPr>
          <w:rFonts w:ascii="Arial" w:hAnsi="Arial" w:cs="Arial"/>
        </w:rPr>
        <w:t xml:space="preserve"> SR, ale hlavně </w:t>
      </w:r>
      <w:r w:rsidR="001025F1" w:rsidRPr="005005B5">
        <w:rPr>
          <w:rFonts w:ascii="Arial" w:hAnsi="Arial" w:cs="Arial"/>
        </w:rPr>
        <w:t>předpokládanými rostoucími výdaji soukromého sektoru</w:t>
      </w:r>
      <w:r w:rsidR="008C3486" w:rsidRPr="005005B5">
        <w:rPr>
          <w:rFonts w:ascii="Arial" w:hAnsi="Arial" w:cs="Arial"/>
        </w:rPr>
        <w:t>.</w:t>
      </w:r>
    </w:p>
    <w:p w:rsidR="000D73FC" w:rsidRDefault="000D73FC" w:rsidP="00995EA1"/>
    <w:sectPr w:rsidR="000D73FC" w:rsidSect="00995EA1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0F" w:rsidRDefault="00F8630F" w:rsidP="00740B02">
      <w:pPr>
        <w:spacing w:after="0" w:line="240" w:lineRule="auto"/>
      </w:pPr>
      <w:r>
        <w:separator/>
      </w:r>
    </w:p>
  </w:endnote>
  <w:endnote w:type="continuationSeparator" w:id="0">
    <w:p w:rsidR="00F8630F" w:rsidRDefault="00F8630F" w:rsidP="0074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98606"/>
      <w:docPartObj>
        <w:docPartGallery w:val="Page Numbers (Bottom of Page)"/>
        <w:docPartUnique/>
      </w:docPartObj>
    </w:sdtPr>
    <w:sdtEndPr/>
    <w:sdtContent>
      <w:p w:rsidR="00E54163" w:rsidRDefault="00E541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087">
          <w:rPr>
            <w:noProof/>
          </w:rPr>
          <w:t>8</w:t>
        </w:r>
        <w:r>
          <w:fldChar w:fldCharType="end"/>
        </w:r>
      </w:p>
    </w:sdtContent>
  </w:sdt>
  <w:p w:rsidR="00E54163" w:rsidRDefault="00E5416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327755"/>
      <w:docPartObj>
        <w:docPartGallery w:val="Page Numbers (Bottom of Page)"/>
        <w:docPartUnique/>
      </w:docPartObj>
    </w:sdtPr>
    <w:sdtEndPr/>
    <w:sdtContent>
      <w:p w:rsidR="00DC7D14" w:rsidRDefault="00DC7D1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087">
          <w:rPr>
            <w:noProof/>
          </w:rPr>
          <w:t>10</w:t>
        </w:r>
        <w:r>
          <w:fldChar w:fldCharType="end"/>
        </w:r>
      </w:p>
    </w:sdtContent>
  </w:sdt>
  <w:p w:rsidR="00DC7D14" w:rsidRDefault="00DC7D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0F" w:rsidRDefault="00F8630F" w:rsidP="00740B02">
      <w:pPr>
        <w:spacing w:after="0" w:line="240" w:lineRule="auto"/>
      </w:pPr>
      <w:r>
        <w:separator/>
      </w:r>
    </w:p>
  </w:footnote>
  <w:footnote w:type="continuationSeparator" w:id="0">
    <w:p w:rsidR="00F8630F" w:rsidRDefault="00F8630F" w:rsidP="00740B02">
      <w:pPr>
        <w:spacing w:after="0" w:line="240" w:lineRule="auto"/>
      </w:pPr>
      <w:r>
        <w:continuationSeparator/>
      </w:r>
    </w:p>
  </w:footnote>
  <w:footnote w:id="1">
    <w:p w:rsidR="0039643F" w:rsidRDefault="0039643F" w:rsidP="0039643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F52B8">
        <w:t xml:space="preserve">Zdroj dat: OECD, </w:t>
      </w:r>
      <w:proofErr w:type="spellStart"/>
      <w:r w:rsidRPr="00EF52B8">
        <w:t>Main</w:t>
      </w:r>
      <w:proofErr w:type="spellEnd"/>
      <w:r w:rsidRPr="00EF52B8">
        <w:t xml:space="preserve"> Science and Technology </w:t>
      </w:r>
      <w:proofErr w:type="spellStart"/>
      <w:r w:rsidRPr="00EF52B8">
        <w:t>Indicators</w:t>
      </w:r>
      <w:proofErr w:type="spellEnd"/>
      <w:r w:rsidRPr="00EF52B8">
        <w:t xml:space="preserve">, </w:t>
      </w:r>
      <w:proofErr w:type="spellStart"/>
      <w:r w:rsidRPr="00EF52B8">
        <w:t>Percentage</w:t>
      </w:r>
      <w:proofErr w:type="spellEnd"/>
      <w:r w:rsidRPr="00EF52B8">
        <w:t xml:space="preserve"> </w:t>
      </w:r>
      <w:proofErr w:type="spellStart"/>
      <w:r w:rsidRPr="00EF52B8">
        <w:t>of</w:t>
      </w:r>
      <w:proofErr w:type="spellEnd"/>
      <w:r w:rsidRPr="00EF52B8">
        <w:t xml:space="preserve"> GERD </w:t>
      </w:r>
      <w:proofErr w:type="spellStart"/>
      <w:r w:rsidRPr="00EF52B8">
        <w:t>financed</w:t>
      </w:r>
      <w:proofErr w:type="spellEnd"/>
      <w:r w:rsidRPr="00EF52B8">
        <w:t xml:space="preserve"> by </w:t>
      </w:r>
      <w:proofErr w:type="spellStart"/>
      <w:r w:rsidRPr="00EF52B8">
        <w:t>industry</w:t>
      </w:r>
      <w:proofErr w:type="spellEnd"/>
      <w:r w:rsidRPr="00EF52B8">
        <w:t>. Z</w:t>
      </w:r>
      <w:r>
        <w:t> </w:t>
      </w:r>
      <w:r w:rsidRPr="00EF52B8">
        <w:t xml:space="preserve">metodického pohledu se jedná pouze o podnikatelské zdroje tuzemské, tj. bez zahraničních. Protože se tuzemské a zahraniční podnikatelské zdroje při vykazování zpravodajským jednotkám – podnikům obtížně diferencují, přistoupil např. ČSÚ od roku 2015 k publikování sloučených údajů za zahraniční a tuzemské podnikatelské zdroje. </w:t>
      </w:r>
      <w:r>
        <w:t xml:space="preserve">V </w:t>
      </w:r>
      <w:r w:rsidRPr="00EF52B8">
        <w:t>mezinárodních databázích OECD jsou však údaje uváděny odděleně.</w:t>
      </w:r>
    </w:p>
  </w:footnote>
  <w:footnote w:id="2">
    <w:p w:rsidR="00CA1FD7" w:rsidRDefault="00CA1FD7" w:rsidP="00CA1FD7">
      <w:pPr>
        <w:pStyle w:val="Default"/>
        <w:jc w:val="both"/>
        <w:rPr>
          <w:sz w:val="19"/>
          <w:szCs w:val="19"/>
        </w:rPr>
      </w:pPr>
      <w:r>
        <w:rPr>
          <w:rStyle w:val="Znakapoznpodarou"/>
        </w:rPr>
        <w:footnoteRef/>
      </w:r>
      <w:r>
        <w:t xml:space="preserve"> </w:t>
      </w:r>
      <w:r w:rsidRPr="00CA1FD7">
        <w:rPr>
          <w:rFonts w:ascii="Arial" w:hAnsi="Arial" w:cs="Arial"/>
          <w:sz w:val="18"/>
          <w:szCs w:val="18"/>
        </w:rPr>
        <w:t xml:space="preserve">Podle </w:t>
      </w:r>
      <w:r>
        <w:rPr>
          <w:rFonts w:ascii="Arial" w:hAnsi="Arial" w:cs="Arial"/>
          <w:sz w:val="18"/>
          <w:szCs w:val="18"/>
        </w:rPr>
        <w:t xml:space="preserve">Sdělení Komise 2014/C 198/01 – Rámec pro státní podporu výzkumu, vývoje a inovací </w:t>
      </w:r>
      <w:r w:rsidRPr="00CA1FD7">
        <w:rPr>
          <w:rFonts w:ascii="Arial" w:hAnsi="Arial" w:cs="Arial"/>
          <w:bCs/>
          <w:sz w:val="18"/>
          <w:szCs w:val="18"/>
        </w:rPr>
        <w:t xml:space="preserve">je za výzkum jménem podniku považována situace, kdy </w:t>
      </w:r>
      <w:r w:rsidRPr="00CA1FD7">
        <w:rPr>
          <w:rFonts w:ascii="Arial" w:hAnsi="Arial" w:cs="Arial"/>
          <w:sz w:val="18"/>
          <w:szCs w:val="18"/>
        </w:rPr>
        <w:t>je výzkumná organizace nebo výzkumná infrastruktura využívána k provádění smluvního výzkumu nebo poskytování výzkumné služby určitému podniku, který obvykle stanoví podmínky smlouvy, vlastní výsledky výzkumných činností a nese riziko neúspěchu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CA1FD7" w:rsidRDefault="00CA1FD7">
      <w:pPr>
        <w:pStyle w:val="Textpoznpodarou"/>
      </w:pPr>
    </w:p>
  </w:footnote>
  <w:footnote w:id="3">
    <w:p w:rsidR="002E771F" w:rsidRDefault="002E771F" w:rsidP="009A0C8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A0C8B">
        <w:t>U</w:t>
      </w:r>
      <w:r>
        <w:t>snesením vlády ze dne 27. dubna 2011 č. 314,</w:t>
      </w:r>
      <w:r w:rsidR="009A0C8B">
        <w:t xml:space="preserve"> jehož součástí</w:t>
      </w:r>
      <w:r>
        <w:t xml:space="preserve"> je</w:t>
      </w:r>
      <w:r w:rsidR="009A0C8B">
        <w:t xml:space="preserve"> i</w:t>
      </w:r>
      <w:r>
        <w:t xml:space="preserve"> Národní program reforem ČR 2011, </w:t>
      </w:r>
      <w:r w:rsidR="009A0C8B">
        <w:t>byl pro</w:t>
      </w:r>
      <w:r>
        <w:t xml:space="preserve"> ČR stanov</w:t>
      </w:r>
      <w:r w:rsidR="009A0C8B">
        <w:t>en</w:t>
      </w:r>
      <w:r>
        <w:t xml:space="preserve"> národní cíl</w:t>
      </w:r>
      <w:r w:rsidR="009A0C8B">
        <w:t xml:space="preserve"> </w:t>
      </w:r>
      <w:r>
        <w:t>přijm</w:t>
      </w:r>
      <w:r w:rsidR="009A0C8B">
        <w:t>out</w:t>
      </w:r>
      <w:r>
        <w:t xml:space="preserve"> </w:t>
      </w:r>
      <w:r w:rsidR="009A0C8B">
        <w:t>„</w:t>
      </w:r>
      <w:r>
        <w:t xml:space="preserve">taková opatření, aby veřejné výdaje na vědu, výzkum, vývoj a inovace v </w:t>
      </w:r>
      <w:r w:rsidR="009A0C8B">
        <w:t>ČR</w:t>
      </w:r>
      <w:r>
        <w:t xml:space="preserve"> dosáhly v roce 2020 úrovně 1 % HDP</w:t>
      </w:r>
      <w:r w:rsidR="009A0C8B">
        <w:t>“ a současně učinit</w:t>
      </w:r>
      <w:r>
        <w:t xml:space="preserve"> </w:t>
      </w:r>
      <w:r w:rsidR="009A0C8B">
        <w:t>„</w:t>
      </w:r>
      <w:r>
        <w:t>všechny kroky k adekvátnímu zvýšení podílu soukromého sektoru na financování, a to tak, aby Česká republika přispěla k dosahování celoevropského cíle stanoveného v rámci Strategie Evropa 2020</w:t>
      </w:r>
      <w:r w:rsidR="009A0C8B">
        <w:t>“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02" w:rsidRPr="00995EA1" w:rsidRDefault="00740B02" w:rsidP="00995E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DA6"/>
    <w:multiLevelType w:val="hybridMultilevel"/>
    <w:tmpl w:val="7C343F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090EC8"/>
    <w:multiLevelType w:val="hybridMultilevel"/>
    <w:tmpl w:val="16DAFEA4"/>
    <w:lvl w:ilvl="0" w:tplc="5CACBFA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D2549"/>
    <w:multiLevelType w:val="hybridMultilevel"/>
    <w:tmpl w:val="46A4708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1019E"/>
    <w:multiLevelType w:val="hybridMultilevel"/>
    <w:tmpl w:val="1E6A5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52250D"/>
    <w:multiLevelType w:val="hybridMultilevel"/>
    <w:tmpl w:val="6B1EEE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93F82"/>
    <w:multiLevelType w:val="hybridMultilevel"/>
    <w:tmpl w:val="721E6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02"/>
    <w:rsid w:val="00000654"/>
    <w:rsid w:val="00001E3E"/>
    <w:rsid w:val="00005EAE"/>
    <w:rsid w:val="00006BE3"/>
    <w:rsid w:val="00011F58"/>
    <w:rsid w:val="00017155"/>
    <w:rsid w:val="00024100"/>
    <w:rsid w:val="0002667A"/>
    <w:rsid w:val="00027FF0"/>
    <w:rsid w:val="000521B3"/>
    <w:rsid w:val="00065310"/>
    <w:rsid w:val="00066E56"/>
    <w:rsid w:val="00067429"/>
    <w:rsid w:val="00092863"/>
    <w:rsid w:val="000D73FC"/>
    <w:rsid w:val="001025F1"/>
    <w:rsid w:val="00123998"/>
    <w:rsid w:val="00133A47"/>
    <w:rsid w:val="00164F82"/>
    <w:rsid w:val="0016718B"/>
    <w:rsid w:val="00177261"/>
    <w:rsid w:val="00181547"/>
    <w:rsid w:val="001974F9"/>
    <w:rsid w:val="001A5577"/>
    <w:rsid w:val="001C469A"/>
    <w:rsid w:val="001F6D0A"/>
    <w:rsid w:val="00204552"/>
    <w:rsid w:val="002105FA"/>
    <w:rsid w:val="00241729"/>
    <w:rsid w:val="00255197"/>
    <w:rsid w:val="00261CDF"/>
    <w:rsid w:val="002660CA"/>
    <w:rsid w:val="00280B9E"/>
    <w:rsid w:val="00290C84"/>
    <w:rsid w:val="002969D2"/>
    <w:rsid w:val="002A628F"/>
    <w:rsid w:val="002C0B35"/>
    <w:rsid w:val="002C1F19"/>
    <w:rsid w:val="002E771F"/>
    <w:rsid w:val="002F7B16"/>
    <w:rsid w:val="00306DFE"/>
    <w:rsid w:val="00316A3B"/>
    <w:rsid w:val="00321559"/>
    <w:rsid w:val="00340B05"/>
    <w:rsid w:val="00350655"/>
    <w:rsid w:val="00364BEA"/>
    <w:rsid w:val="0039643F"/>
    <w:rsid w:val="003A0FE9"/>
    <w:rsid w:val="003B3777"/>
    <w:rsid w:val="003F6D79"/>
    <w:rsid w:val="004548F4"/>
    <w:rsid w:val="0045646D"/>
    <w:rsid w:val="0046175C"/>
    <w:rsid w:val="004633B6"/>
    <w:rsid w:val="0046479E"/>
    <w:rsid w:val="00464ECF"/>
    <w:rsid w:val="00480048"/>
    <w:rsid w:val="004C5277"/>
    <w:rsid w:val="004D31FA"/>
    <w:rsid w:val="005005B5"/>
    <w:rsid w:val="00522853"/>
    <w:rsid w:val="00541130"/>
    <w:rsid w:val="00557B59"/>
    <w:rsid w:val="00580339"/>
    <w:rsid w:val="00591985"/>
    <w:rsid w:val="005B37BF"/>
    <w:rsid w:val="005E1FCE"/>
    <w:rsid w:val="005E222E"/>
    <w:rsid w:val="005F2AFF"/>
    <w:rsid w:val="006266C5"/>
    <w:rsid w:val="00633D67"/>
    <w:rsid w:val="00661AF0"/>
    <w:rsid w:val="00666BF2"/>
    <w:rsid w:val="00673EC5"/>
    <w:rsid w:val="00676CF6"/>
    <w:rsid w:val="00680972"/>
    <w:rsid w:val="0068236B"/>
    <w:rsid w:val="00682A02"/>
    <w:rsid w:val="00693848"/>
    <w:rsid w:val="006A4A54"/>
    <w:rsid w:val="006D01EA"/>
    <w:rsid w:val="006D186F"/>
    <w:rsid w:val="006D2AAB"/>
    <w:rsid w:val="006D6298"/>
    <w:rsid w:val="00717950"/>
    <w:rsid w:val="007326B1"/>
    <w:rsid w:val="00736F5D"/>
    <w:rsid w:val="00740B02"/>
    <w:rsid w:val="007459DF"/>
    <w:rsid w:val="007551CA"/>
    <w:rsid w:val="00794620"/>
    <w:rsid w:val="007963AA"/>
    <w:rsid w:val="007D1A09"/>
    <w:rsid w:val="007D58F0"/>
    <w:rsid w:val="0080381D"/>
    <w:rsid w:val="00833891"/>
    <w:rsid w:val="00857A7B"/>
    <w:rsid w:val="008854A0"/>
    <w:rsid w:val="00891B22"/>
    <w:rsid w:val="008B332C"/>
    <w:rsid w:val="008C3486"/>
    <w:rsid w:val="008E1482"/>
    <w:rsid w:val="00901087"/>
    <w:rsid w:val="00901B57"/>
    <w:rsid w:val="00936F08"/>
    <w:rsid w:val="00937282"/>
    <w:rsid w:val="00947F00"/>
    <w:rsid w:val="00963BF8"/>
    <w:rsid w:val="00970AC7"/>
    <w:rsid w:val="00971055"/>
    <w:rsid w:val="00973B5D"/>
    <w:rsid w:val="00995EA1"/>
    <w:rsid w:val="009A0C8B"/>
    <w:rsid w:val="009A154E"/>
    <w:rsid w:val="009D1AF8"/>
    <w:rsid w:val="009F067C"/>
    <w:rsid w:val="00A039B1"/>
    <w:rsid w:val="00A115C8"/>
    <w:rsid w:val="00A14205"/>
    <w:rsid w:val="00A14734"/>
    <w:rsid w:val="00A41D88"/>
    <w:rsid w:val="00A803BB"/>
    <w:rsid w:val="00A877BB"/>
    <w:rsid w:val="00AA0851"/>
    <w:rsid w:val="00AB11DF"/>
    <w:rsid w:val="00AD084B"/>
    <w:rsid w:val="00AD322E"/>
    <w:rsid w:val="00AD7E5B"/>
    <w:rsid w:val="00AE7498"/>
    <w:rsid w:val="00B07BBA"/>
    <w:rsid w:val="00B34DDE"/>
    <w:rsid w:val="00B36C67"/>
    <w:rsid w:val="00B5375C"/>
    <w:rsid w:val="00B55FB4"/>
    <w:rsid w:val="00B84480"/>
    <w:rsid w:val="00BA255F"/>
    <w:rsid w:val="00BB3D9E"/>
    <w:rsid w:val="00BD59AE"/>
    <w:rsid w:val="00BE7BF8"/>
    <w:rsid w:val="00BF24D8"/>
    <w:rsid w:val="00C02A94"/>
    <w:rsid w:val="00C15104"/>
    <w:rsid w:val="00C27FB1"/>
    <w:rsid w:val="00CA1FD7"/>
    <w:rsid w:val="00CB10D1"/>
    <w:rsid w:val="00CC73BC"/>
    <w:rsid w:val="00CF0F0B"/>
    <w:rsid w:val="00D46520"/>
    <w:rsid w:val="00D51254"/>
    <w:rsid w:val="00D85778"/>
    <w:rsid w:val="00DA191F"/>
    <w:rsid w:val="00DC7D14"/>
    <w:rsid w:val="00DD665F"/>
    <w:rsid w:val="00E150B8"/>
    <w:rsid w:val="00E36087"/>
    <w:rsid w:val="00E54163"/>
    <w:rsid w:val="00E61E87"/>
    <w:rsid w:val="00EC30C2"/>
    <w:rsid w:val="00EC4A99"/>
    <w:rsid w:val="00ED72D5"/>
    <w:rsid w:val="00F10CB9"/>
    <w:rsid w:val="00F17964"/>
    <w:rsid w:val="00F313BC"/>
    <w:rsid w:val="00F8630F"/>
    <w:rsid w:val="00FA03EF"/>
    <w:rsid w:val="00FA05A1"/>
    <w:rsid w:val="00FA6230"/>
    <w:rsid w:val="00FA7854"/>
    <w:rsid w:val="00FB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4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3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6C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740B02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74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4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0B02"/>
  </w:style>
  <w:style w:type="paragraph" w:styleId="Zpat">
    <w:name w:val="footer"/>
    <w:basedOn w:val="Normln"/>
    <w:link w:val="ZpatChar"/>
    <w:uiPriority w:val="99"/>
    <w:unhideWhenUsed/>
    <w:rsid w:val="0074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0B02"/>
  </w:style>
  <w:style w:type="paragraph" w:styleId="Textbubliny">
    <w:name w:val="Balloon Text"/>
    <w:basedOn w:val="Normln"/>
    <w:link w:val="TextbublinyChar"/>
    <w:uiPriority w:val="99"/>
    <w:semiHidden/>
    <w:unhideWhenUsed/>
    <w:rsid w:val="0074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B0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623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623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623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D73F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B3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6C6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36C6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6C6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36C67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36C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7D1A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A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A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A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A09"/>
    <w:rPr>
      <w:b/>
      <w:bCs/>
      <w:sz w:val="20"/>
      <w:szCs w:val="20"/>
    </w:rPr>
  </w:style>
  <w:style w:type="paragraph" w:customStyle="1" w:styleId="Default">
    <w:name w:val="Default"/>
    <w:rsid w:val="00CA1FD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4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3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6C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740B02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74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4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0B02"/>
  </w:style>
  <w:style w:type="paragraph" w:styleId="Zpat">
    <w:name w:val="footer"/>
    <w:basedOn w:val="Normln"/>
    <w:link w:val="ZpatChar"/>
    <w:uiPriority w:val="99"/>
    <w:unhideWhenUsed/>
    <w:rsid w:val="0074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0B02"/>
  </w:style>
  <w:style w:type="paragraph" w:styleId="Textbubliny">
    <w:name w:val="Balloon Text"/>
    <w:basedOn w:val="Normln"/>
    <w:link w:val="TextbublinyChar"/>
    <w:uiPriority w:val="99"/>
    <w:semiHidden/>
    <w:unhideWhenUsed/>
    <w:rsid w:val="0074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B0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623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623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623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D73F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B3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6C6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36C6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6C6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36C67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36C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7D1A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A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A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A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A09"/>
    <w:rPr>
      <w:b/>
      <w:bCs/>
      <w:sz w:val="20"/>
      <w:szCs w:val="20"/>
    </w:rPr>
  </w:style>
  <w:style w:type="paragraph" w:customStyle="1" w:styleId="Default">
    <w:name w:val="Default"/>
    <w:rsid w:val="00CA1FD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4563A-B212-4B17-A1B6-27FEA855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14</Pages>
  <Words>4037</Words>
  <Characters>23819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Vítek Tomáš</dc:creator>
  <cp:lastModifiedBy>Bártová Milada</cp:lastModifiedBy>
  <cp:revision>9</cp:revision>
  <dcterms:created xsi:type="dcterms:W3CDTF">2017-08-22T05:54:00Z</dcterms:created>
  <dcterms:modified xsi:type="dcterms:W3CDTF">2017-09-01T11:17:00Z</dcterms:modified>
</cp:coreProperties>
</file>