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06FED" w14:textId="71FDBED6" w:rsidR="002A672E" w:rsidRPr="001B0951" w:rsidRDefault="002A105D" w:rsidP="002A3262">
      <w:pPr>
        <w:spacing w:after="600"/>
        <w:jc w:val="center"/>
        <w:rPr>
          <w:rFonts w:ascii="Arial" w:hAnsi="Arial" w:cs="Arial"/>
          <w:b/>
          <w:sz w:val="30"/>
          <w:szCs w:val="30"/>
        </w:rPr>
      </w:pPr>
      <w:bookmarkStart w:id="0" w:name="_GoBack"/>
      <w:bookmarkEnd w:id="0"/>
      <w:r w:rsidRPr="001B0951">
        <w:rPr>
          <w:rFonts w:ascii="Arial" w:hAnsi="Arial" w:cs="Arial"/>
          <w:b/>
          <w:sz w:val="30"/>
          <w:szCs w:val="30"/>
        </w:rPr>
        <w:t xml:space="preserve">NÁVRH </w:t>
      </w:r>
      <w:r w:rsidR="00172813" w:rsidRPr="001B0951">
        <w:rPr>
          <w:rFonts w:ascii="Arial" w:hAnsi="Arial" w:cs="Arial"/>
          <w:b/>
          <w:sz w:val="30"/>
          <w:szCs w:val="30"/>
        </w:rPr>
        <w:t>ZMĚN V SYSTÉMU INVESTIČNÍCH POBÍDEK</w:t>
      </w:r>
    </w:p>
    <w:p w14:paraId="315B2493" w14:textId="6EB57905" w:rsidR="00AF2256" w:rsidRPr="001B0951" w:rsidRDefault="00BF3066" w:rsidP="0078610C">
      <w:pPr>
        <w:pStyle w:val="Bezmezer"/>
        <w:spacing w:after="240"/>
        <w:jc w:val="both"/>
        <w:rPr>
          <w:rFonts w:ascii="Arial" w:hAnsi="Arial" w:cs="Arial"/>
        </w:rPr>
      </w:pPr>
      <w:r w:rsidRPr="001B0951">
        <w:rPr>
          <w:rFonts w:ascii="Arial" w:hAnsi="Arial" w:cs="Arial"/>
        </w:rPr>
        <w:t>Při pohledu na poslední hospodářské výsledky české ekonomiky je zřetelné, že</w:t>
      </w:r>
      <w:r w:rsidR="00AF2256" w:rsidRPr="001B0951">
        <w:rPr>
          <w:rFonts w:ascii="Arial" w:hAnsi="Arial" w:cs="Arial"/>
        </w:rPr>
        <w:t xml:space="preserve"> Česká republika</w:t>
      </w:r>
      <w:r w:rsidRPr="001B0951">
        <w:rPr>
          <w:rFonts w:ascii="Arial" w:hAnsi="Arial" w:cs="Arial"/>
        </w:rPr>
        <w:t xml:space="preserve"> překonala hospodářskou krizi, vykázala v posledních letech</w:t>
      </w:r>
      <w:r w:rsidR="00775CA9">
        <w:rPr>
          <w:rFonts w:ascii="Arial" w:hAnsi="Arial" w:cs="Arial"/>
        </w:rPr>
        <w:t xml:space="preserve"> </w:t>
      </w:r>
      <w:r w:rsidR="00775CA9" w:rsidRPr="00550458">
        <w:rPr>
          <w:rFonts w:ascii="Arial" w:hAnsi="Arial" w:cs="Arial"/>
        </w:rPr>
        <w:t>ekonomický</w:t>
      </w:r>
      <w:r w:rsidRPr="00550458">
        <w:rPr>
          <w:rFonts w:ascii="Arial" w:hAnsi="Arial" w:cs="Arial"/>
        </w:rPr>
        <w:t xml:space="preserve"> růst a došlo k poklesu nezaměstnanosti. </w:t>
      </w:r>
      <w:r w:rsidR="00C34DA8" w:rsidRPr="00550458">
        <w:rPr>
          <w:rFonts w:ascii="Arial" w:hAnsi="Arial" w:cs="Arial"/>
        </w:rPr>
        <w:t>Domácí ekonomika se hospodářské úr</w:t>
      </w:r>
      <w:r w:rsidR="00775CA9" w:rsidRPr="00550458">
        <w:rPr>
          <w:rFonts w:ascii="Arial" w:hAnsi="Arial" w:cs="Arial"/>
        </w:rPr>
        <w:t xml:space="preserve">ovni Evropské unie přibližovala </w:t>
      </w:r>
      <w:r w:rsidR="00C34DA8" w:rsidRPr="00550458">
        <w:rPr>
          <w:rFonts w:ascii="Arial" w:hAnsi="Arial" w:cs="Arial"/>
        </w:rPr>
        <w:t>až do roku 2009, kdy hrubý domácí produkt na obyvatele (</w:t>
      </w:r>
      <w:r w:rsidR="00775CA9" w:rsidRPr="00550458">
        <w:rPr>
          <w:rFonts w:ascii="Arial" w:hAnsi="Arial" w:cs="Arial"/>
        </w:rPr>
        <w:t>v běžné paritě kupní síly</w:t>
      </w:r>
      <w:r w:rsidR="00C34DA8" w:rsidRPr="00550458">
        <w:rPr>
          <w:rFonts w:ascii="Arial" w:hAnsi="Arial" w:cs="Arial"/>
        </w:rPr>
        <w:t>) dosáhl 85 % průměru tohoto seskupení. Pozice České republiky mezi zeměmi Evropské unie se začala opět zlepšovat počínaje rokem 2013 a podle zatím posl</w:t>
      </w:r>
      <w:r w:rsidR="00BB056A" w:rsidRPr="00550458">
        <w:rPr>
          <w:rFonts w:ascii="Arial" w:hAnsi="Arial" w:cs="Arial"/>
        </w:rPr>
        <w:t>edních údajů dosáhla v roce 2016 již 88</w:t>
      </w:r>
      <w:r w:rsidR="00C34DA8" w:rsidRPr="00550458">
        <w:rPr>
          <w:rFonts w:ascii="Arial" w:hAnsi="Arial" w:cs="Arial"/>
        </w:rPr>
        <w:t xml:space="preserve"> % průměrného hrubého </w:t>
      </w:r>
      <w:r w:rsidR="00775CA9" w:rsidRPr="00550458">
        <w:rPr>
          <w:rFonts w:ascii="Arial" w:hAnsi="Arial" w:cs="Arial"/>
        </w:rPr>
        <w:t>domácího produktu na obyvatele Evropské u</w:t>
      </w:r>
      <w:r w:rsidR="00C34DA8" w:rsidRPr="00550458">
        <w:rPr>
          <w:rFonts w:ascii="Arial" w:hAnsi="Arial" w:cs="Arial"/>
        </w:rPr>
        <w:t>nie.</w:t>
      </w:r>
    </w:p>
    <w:p w14:paraId="62641665" w14:textId="170BC826" w:rsidR="0078610C" w:rsidRPr="001B0951" w:rsidRDefault="00AF2256" w:rsidP="0078610C">
      <w:pPr>
        <w:pStyle w:val="Bezmezer"/>
        <w:spacing w:after="240"/>
        <w:jc w:val="both"/>
        <w:rPr>
          <w:rFonts w:ascii="Arial" w:hAnsi="Arial" w:cs="Arial"/>
        </w:rPr>
      </w:pPr>
      <w:r w:rsidRPr="001B0951">
        <w:rPr>
          <w:rFonts w:ascii="Arial" w:hAnsi="Arial" w:cs="Arial"/>
        </w:rPr>
        <w:t>Významným faktorem růstu české ekonomiky byly od přelomu tisícil</w:t>
      </w:r>
      <w:r w:rsidR="00775CA9">
        <w:rPr>
          <w:rFonts w:ascii="Arial" w:hAnsi="Arial" w:cs="Arial"/>
        </w:rPr>
        <w:t xml:space="preserve">etí přímé zahraniční investice. </w:t>
      </w:r>
      <w:r w:rsidRPr="001B0951">
        <w:rPr>
          <w:rFonts w:ascii="Arial" w:hAnsi="Arial" w:cs="Arial"/>
        </w:rPr>
        <w:t>Svou roli zde rovněž sehrávaly i státní investiční pobídky, jejichž cílem bylo získat do země zahraniční kapitál a zvýšit konkurenceschopnost země. V současné ekonomické situaci je však důležité vést debatu o </w:t>
      </w:r>
      <w:r w:rsidR="00BF3066" w:rsidRPr="001B0951">
        <w:rPr>
          <w:rFonts w:ascii="Arial" w:hAnsi="Arial" w:cs="Arial"/>
        </w:rPr>
        <w:t xml:space="preserve">tom, jaká národohospodářská opatření by měl stát </w:t>
      </w:r>
      <w:r w:rsidR="00BF3066" w:rsidRPr="00550458">
        <w:rPr>
          <w:rFonts w:ascii="Arial" w:hAnsi="Arial" w:cs="Arial"/>
        </w:rPr>
        <w:t>uplatnit, aby se podařilo posunout Českou republiku dále na cestu rychlejšího přibližování</w:t>
      </w:r>
      <w:r w:rsidR="00775CA9" w:rsidRPr="00550458">
        <w:rPr>
          <w:rFonts w:ascii="Arial" w:hAnsi="Arial" w:cs="Arial"/>
        </w:rPr>
        <w:t xml:space="preserve"> k ekonomikám vyspělých států</w:t>
      </w:r>
      <w:r w:rsidR="00BF3066" w:rsidRPr="00550458">
        <w:rPr>
          <w:rFonts w:ascii="Arial" w:hAnsi="Arial" w:cs="Arial"/>
        </w:rPr>
        <w:t xml:space="preserve"> a rychlejšímu ekonomickému růstu.</w:t>
      </w:r>
      <w:r w:rsidR="00BF3066" w:rsidRPr="001B0951">
        <w:rPr>
          <w:rFonts w:ascii="Arial" w:hAnsi="Arial" w:cs="Arial"/>
        </w:rPr>
        <w:t xml:space="preserve"> </w:t>
      </w:r>
    </w:p>
    <w:p w14:paraId="3374B4C6" w14:textId="642B71E7" w:rsidR="00AF2256" w:rsidRPr="001B0951" w:rsidRDefault="00BF3066" w:rsidP="0078610C">
      <w:pPr>
        <w:pStyle w:val="Bezmezer"/>
        <w:spacing w:after="240"/>
        <w:jc w:val="both"/>
        <w:rPr>
          <w:rFonts w:ascii="Arial" w:hAnsi="Arial" w:cs="Arial"/>
        </w:rPr>
      </w:pPr>
      <w:r w:rsidRPr="001B0951">
        <w:rPr>
          <w:rFonts w:ascii="Arial" w:hAnsi="Arial" w:cs="Arial"/>
        </w:rPr>
        <w:t xml:space="preserve">V rámci této diskuse nesmí být opomenut systém investičních pobídek. Je vhodná doba </w:t>
      </w:r>
      <w:r w:rsidR="001D4A02" w:rsidRPr="001B0951">
        <w:rPr>
          <w:rFonts w:ascii="Arial" w:hAnsi="Arial" w:cs="Arial"/>
        </w:rPr>
        <w:br/>
      </w:r>
      <w:r w:rsidRPr="001B0951">
        <w:rPr>
          <w:rFonts w:ascii="Arial" w:hAnsi="Arial" w:cs="Arial"/>
        </w:rPr>
        <w:t>pro zhodnocení jejich fungování a nastavení systému do budouc</w:t>
      </w:r>
      <w:r w:rsidR="008B6E09" w:rsidRPr="001B0951">
        <w:rPr>
          <w:rFonts w:ascii="Arial" w:hAnsi="Arial" w:cs="Arial"/>
        </w:rPr>
        <w:t>na pro podpoření produktivity a </w:t>
      </w:r>
      <w:r w:rsidRPr="001B0951">
        <w:rPr>
          <w:rFonts w:ascii="Arial" w:hAnsi="Arial" w:cs="Arial"/>
        </w:rPr>
        <w:t xml:space="preserve">konvergence ekonomiky. </w:t>
      </w:r>
    </w:p>
    <w:p w14:paraId="76399D58" w14:textId="66AC6A76" w:rsidR="00951943" w:rsidRPr="00550458" w:rsidRDefault="00DE07FC" w:rsidP="0078610C">
      <w:pPr>
        <w:pStyle w:val="Bezmezer"/>
        <w:spacing w:after="240"/>
        <w:jc w:val="both"/>
        <w:rPr>
          <w:rFonts w:ascii="Arial" w:hAnsi="Arial" w:cs="Arial"/>
        </w:rPr>
      </w:pPr>
      <w:r w:rsidRPr="001B0951">
        <w:rPr>
          <w:rFonts w:ascii="Arial" w:hAnsi="Arial" w:cs="Arial"/>
        </w:rPr>
        <w:t>Předkládaný dokument proto obsahuje</w:t>
      </w:r>
      <w:r w:rsidR="0078610C" w:rsidRPr="001B0951">
        <w:rPr>
          <w:rFonts w:ascii="Arial" w:hAnsi="Arial" w:cs="Arial"/>
        </w:rPr>
        <w:t xml:space="preserve"> stručn</w:t>
      </w:r>
      <w:r w:rsidR="009A5CDC" w:rsidRPr="001B0951">
        <w:rPr>
          <w:rFonts w:ascii="Arial" w:hAnsi="Arial" w:cs="Arial"/>
        </w:rPr>
        <w:t>ý přehled</w:t>
      </w:r>
      <w:r w:rsidR="009475AC" w:rsidRPr="001B0951">
        <w:rPr>
          <w:rFonts w:ascii="Arial" w:hAnsi="Arial" w:cs="Arial"/>
        </w:rPr>
        <w:t xml:space="preserve"> současného stavu investičních pobídek a dále jsou předloženy návrhy</w:t>
      </w:r>
      <w:r w:rsidR="0078610C" w:rsidRPr="001B0951">
        <w:rPr>
          <w:rFonts w:ascii="Arial" w:hAnsi="Arial" w:cs="Arial"/>
        </w:rPr>
        <w:t xml:space="preserve"> možný</w:t>
      </w:r>
      <w:r w:rsidR="0078610C" w:rsidRPr="00550458">
        <w:rPr>
          <w:rFonts w:ascii="Arial" w:hAnsi="Arial" w:cs="Arial"/>
        </w:rPr>
        <w:t xml:space="preserve">ch změn </w:t>
      </w:r>
      <w:r w:rsidR="00A57874" w:rsidRPr="00550458">
        <w:rPr>
          <w:rFonts w:ascii="Arial" w:hAnsi="Arial" w:cs="Arial"/>
        </w:rPr>
        <w:t>reagující na aktuální ekonomický vývoj a proměňující se situaci na pracovním trhu</w:t>
      </w:r>
      <w:r w:rsidR="008E516E" w:rsidRPr="00550458">
        <w:rPr>
          <w:rFonts w:ascii="Arial" w:hAnsi="Arial" w:cs="Arial"/>
        </w:rPr>
        <w:t xml:space="preserve">. Fungování stávajícího systému investičních pobídek, konkrétní cíle a dopady, které má změna zákona o investičních pobídkách přinést budou součástí materiálů novely zákona o investičních pobídkách. Konkrétní návrhy změn budou projednány dotčenými rezorty při přípravě novely zákona o investičních pobídkách v roce 2018. </w:t>
      </w:r>
      <w:r w:rsidR="00951943" w:rsidRPr="00550458">
        <w:rPr>
          <w:rFonts w:ascii="Arial" w:hAnsi="Arial" w:cs="Arial"/>
        </w:rPr>
        <w:t xml:space="preserve">Protože je systém investičních pobídek upraven zákonem, </w:t>
      </w:r>
      <w:r w:rsidR="000B4EDE" w:rsidRPr="00550458">
        <w:rPr>
          <w:rFonts w:ascii="Arial" w:hAnsi="Arial" w:cs="Arial"/>
        </w:rPr>
        <w:t>bude</w:t>
      </w:r>
      <w:r w:rsidR="00951943" w:rsidRPr="00550458">
        <w:rPr>
          <w:rFonts w:ascii="Arial" w:hAnsi="Arial" w:cs="Arial"/>
        </w:rPr>
        <w:t xml:space="preserve"> k provedení změn zapotřebí změna příslušných právních předpisů</w:t>
      </w:r>
      <w:r w:rsidR="001D4A02" w:rsidRPr="00550458">
        <w:rPr>
          <w:rFonts w:ascii="Arial" w:hAnsi="Arial" w:cs="Arial"/>
        </w:rPr>
        <w:t xml:space="preserve">. </w:t>
      </w:r>
      <w:r w:rsidR="00951943" w:rsidRPr="00550458">
        <w:rPr>
          <w:rFonts w:ascii="Arial" w:hAnsi="Arial" w:cs="Arial"/>
        </w:rPr>
        <w:t xml:space="preserve">Předložení legislativního návrhu změn </w:t>
      </w:r>
      <w:r w:rsidR="000B4EDE" w:rsidRPr="00550458">
        <w:rPr>
          <w:rFonts w:ascii="Arial" w:hAnsi="Arial" w:cs="Arial"/>
        </w:rPr>
        <w:t>bude</w:t>
      </w:r>
      <w:r w:rsidR="00951943" w:rsidRPr="00550458">
        <w:rPr>
          <w:rFonts w:ascii="Arial" w:hAnsi="Arial" w:cs="Arial"/>
        </w:rPr>
        <w:t xml:space="preserve"> zařazeno do Plánu legislativních prací vlády </w:t>
      </w:r>
      <w:r w:rsidR="00EE360D" w:rsidRPr="00550458">
        <w:rPr>
          <w:rFonts w:ascii="Arial" w:hAnsi="Arial" w:cs="Arial"/>
        </w:rPr>
        <w:t>České republiky na</w:t>
      </w:r>
      <w:r w:rsidR="00951943" w:rsidRPr="00550458">
        <w:rPr>
          <w:rFonts w:ascii="Arial" w:hAnsi="Arial" w:cs="Arial"/>
        </w:rPr>
        <w:t xml:space="preserve"> rok 2018.</w:t>
      </w:r>
      <w:r w:rsidR="00EE360D" w:rsidRPr="00550458">
        <w:t xml:space="preserve"> </w:t>
      </w:r>
    </w:p>
    <w:p w14:paraId="128BA197" w14:textId="314736D3" w:rsidR="009475AC" w:rsidRPr="001B0951" w:rsidRDefault="009475AC" w:rsidP="0078610C">
      <w:pPr>
        <w:pStyle w:val="Bezmezer"/>
        <w:spacing w:after="240"/>
        <w:jc w:val="both"/>
        <w:rPr>
          <w:rFonts w:ascii="Arial" w:hAnsi="Arial" w:cs="Arial"/>
        </w:rPr>
      </w:pPr>
      <w:r w:rsidRPr="00550458">
        <w:rPr>
          <w:rFonts w:ascii="Arial" w:hAnsi="Arial" w:cs="Arial"/>
        </w:rPr>
        <w:t xml:space="preserve">V rámci systému investičních pobídek by měla být podpora přednostně směřována do těchto </w:t>
      </w:r>
      <w:r w:rsidR="00775CA9" w:rsidRPr="00550458">
        <w:rPr>
          <w:rFonts w:ascii="Arial" w:hAnsi="Arial" w:cs="Arial"/>
        </w:rPr>
        <w:t>činnost</w:t>
      </w:r>
      <w:r w:rsidRPr="00550458">
        <w:rPr>
          <w:rFonts w:ascii="Arial" w:hAnsi="Arial" w:cs="Arial"/>
        </w:rPr>
        <w:t>í:</w:t>
      </w:r>
    </w:p>
    <w:p w14:paraId="11C2D262" w14:textId="36BC5D32" w:rsidR="009475AC" w:rsidRPr="001B0951" w:rsidRDefault="009475AC" w:rsidP="000F52D0">
      <w:pPr>
        <w:pStyle w:val="Bezmezer"/>
        <w:numPr>
          <w:ilvl w:val="0"/>
          <w:numId w:val="28"/>
        </w:numPr>
        <w:spacing w:before="120" w:after="240"/>
        <w:jc w:val="both"/>
        <w:rPr>
          <w:rFonts w:ascii="Arial" w:hAnsi="Arial" w:cs="Arial"/>
          <w:b/>
        </w:rPr>
      </w:pPr>
      <w:r w:rsidRPr="001B0951">
        <w:rPr>
          <w:rFonts w:ascii="Arial" w:hAnsi="Arial" w:cs="Arial"/>
          <w:b/>
        </w:rPr>
        <w:t>zvýšená podpora investičních projektů s vysokou přidanou hodnotou,</w:t>
      </w:r>
    </w:p>
    <w:p w14:paraId="355C7EBD" w14:textId="4BF074F7" w:rsidR="000F52D0" w:rsidRPr="001B0951" w:rsidRDefault="009475AC" w:rsidP="000F52D0">
      <w:pPr>
        <w:pStyle w:val="Bezmezer"/>
        <w:numPr>
          <w:ilvl w:val="0"/>
          <w:numId w:val="28"/>
        </w:numPr>
        <w:spacing w:before="120" w:after="240"/>
        <w:jc w:val="both"/>
        <w:rPr>
          <w:rFonts w:ascii="Arial" w:hAnsi="Arial" w:cs="Arial"/>
          <w:b/>
        </w:rPr>
      </w:pPr>
      <w:r w:rsidRPr="001B0951">
        <w:rPr>
          <w:rFonts w:ascii="Arial" w:hAnsi="Arial" w:cs="Arial"/>
          <w:b/>
        </w:rPr>
        <w:t xml:space="preserve">přednostní podpora </w:t>
      </w:r>
      <w:r w:rsidR="00CA54DA" w:rsidRPr="001B0951">
        <w:rPr>
          <w:rFonts w:ascii="Arial" w:hAnsi="Arial" w:cs="Arial"/>
          <w:b/>
        </w:rPr>
        <w:t>hospodářsky problémových</w:t>
      </w:r>
      <w:r w:rsidRPr="001B0951">
        <w:rPr>
          <w:rFonts w:ascii="Arial" w:hAnsi="Arial" w:cs="Arial"/>
          <w:b/>
        </w:rPr>
        <w:t xml:space="preserve"> regionů </w:t>
      </w:r>
      <w:r w:rsidR="0078610C" w:rsidRPr="001B0951">
        <w:rPr>
          <w:rFonts w:ascii="Arial" w:hAnsi="Arial" w:cs="Arial"/>
          <w:b/>
        </w:rPr>
        <w:t xml:space="preserve">a regionů </w:t>
      </w:r>
      <w:r w:rsidR="0001430A" w:rsidRPr="001B0951">
        <w:rPr>
          <w:rFonts w:ascii="Arial" w:hAnsi="Arial" w:cs="Arial"/>
          <w:b/>
        </w:rPr>
        <w:t>s vysoko</w:t>
      </w:r>
      <w:r w:rsidR="000F52D0" w:rsidRPr="001B0951">
        <w:rPr>
          <w:rFonts w:ascii="Arial" w:hAnsi="Arial" w:cs="Arial"/>
          <w:b/>
        </w:rPr>
        <w:t>u mírou nezaměstnanosti,</w:t>
      </w:r>
    </w:p>
    <w:p w14:paraId="464AADBF" w14:textId="27DBC00F" w:rsidR="000F52D0" w:rsidRPr="001B0951" w:rsidRDefault="000F52D0" w:rsidP="000F52D0">
      <w:pPr>
        <w:pStyle w:val="Bezmezer"/>
        <w:numPr>
          <w:ilvl w:val="0"/>
          <w:numId w:val="28"/>
        </w:numPr>
        <w:spacing w:before="120" w:after="240"/>
        <w:jc w:val="both"/>
        <w:rPr>
          <w:rFonts w:ascii="Arial" w:hAnsi="Arial" w:cs="Arial"/>
          <w:b/>
        </w:rPr>
      </w:pPr>
      <w:r w:rsidRPr="001B0951">
        <w:rPr>
          <w:rFonts w:ascii="Arial" w:hAnsi="Arial" w:cs="Arial"/>
          <w:b/>
        </w:rPr>
        <w:t>zvýhodnění malých a středních podniků v systému investičních pobídek.</w:t>
      </w:r>
    </w:p>
    <w:p w14:paraId="0FE0C003" w14:textId="567AC295" w:rsidR="001F49CE" w:rsidRPr="001B0951" w:rsidRDefault="00AF2256" w:rsidP="00710005">
      <w:pPr>
        <w:pStyle w:val="Bezmezer"/>
        <w:spacing w:before="120" w:after="240"/>
        <w:jc w:val="both"/>
        <w:rPr>
          <w:rFonts w:ascii="Arial" w:hAnsi="Arial" w:cs="Arial"/>
        </w:rPr>
      </w:pPr>
      <w:r w:rsidRPr="001B0951">
        <w:rPr>
          <w:rFonts w:ascii="Arial" w:hAnsi="Arial" w:cs="Arial"/>
        </w:rPr>
        <w:t>Téma modifikace s</w:t>
      </w:r>
      <w:r w:rsidR="0025122C" w:rsidRPr="001B0951">
        <w:rPr>
          <w:rFonts w:ascii="Arial" w:hAnsi="Arial" w:cs="Arial"/>
        </w:rPr>
        <w:t>ystému investičních pobídek bylo</w:t>
      </w:r>
      <w:r w:rsidRPr="001B0951">
        <w:rPr>
          <w:rFonts w:ascii="Arial" w:hAnsi="Arial" w:cs="Arial"/>
        </w:rPr>
        <w:t xml:space="preserve"> předmětem jednání několika mezirezortních pracovních skupin. </w:t>
      </w:r>
      <w:r w:rsidR="00710005" w:rsidRPr="001B0951">
        <w:rPr>
          <w:rFonts w:ascii="Arial" w:hAnsi="Arial" w:cs="Arial"/>
        </w:rPr>
        <w:t xml:space="preserve">K tomuto tématu byla také na půdě Ministerstva průmyslu a obchodu organizována konference „Podpora investic do budoucna“, kde byl zhodnocen nejnovější ekonomický vývoj naší země z pohledu investic a přidané hodnoty a diskutovány náměty pro možné změny v systému investičních pobídek. Konference se účastnili zástupci Ministerstva průmyslu a obchodu, Ministerstva financí, Ministerstva práce a sociálních věcí, Agentury pro podporu podnikání a investic </w:t>
      </w:r>
      <w:proofErr w:type="spellStart"/>
      <w:r w:rsidR="00710005" w:rsidRPr="001B0951">
        <w:rPr>
          <w:rFonts w:ascii="Arial" w:hAnsi="Arial" w:cs="Arial"/>
        </w:rPr>
        <w:t>CzechInvest</w:t>
      </w:r>
      <w:proofErr w:type="spellEnd"/>
      <w:r w:rsidR="00710005" w:rsidRPr="001B0951">
        <w:rPr>
          <w:rFonts w:ascii="Arial" w:hAnsi="Arial" w:cs="Arial"/>
        </w:rPr>
        <w:t>, Úřadu pro ochranu hospodářské soutěže, dále se účastnili někteří členové hospodářského výboru Poslanecké sněmovny, Hospodářská komora, Českomoravská konfederace odborových svazů, Svaz průmyslu a dopravy, Konfederace zaměstnavatelských a podnikatelských svazů, Česká národní banka a řada dalších zástupců z podnikatelské sféry (investoři, konzultantské společnosti, ad.).</w:t>
      </w:r>
    </w:p>
    <w:p w14:paraId="30D56CD0" w14:textId="72284936" w:rsidR="00ED55C9" w:rsidRPr="001B0951" w:rsidRDefault="008D62C1" w:rsidP="004678AC">
      <w:pPr>
        <w:pStyle w:val="Nadpis1"/>
      </w:pPr>
      <w:r w:rsidRPr="001B0951">
        <w:lastRenderedPageBreak/>
        <w:t>S</w:t>
      </w:r>
      <w:r w:rsidR="004678AC" w:rsidRPr="001B0951">
        <w:t>oučasn</w:t>
      </w:r>
      <w:r w:rsidRPr="001B0951">
        <w:t>ý stav</w:t>
      </w:r>
    </w:p>
    <w:p w14:paraId="361E4DAB" w14:textId="678BA0E2" w:rsidR="00BE0175" w:rsidRPr="001B0951" w:rsidRDefault="00172813" w:rsidP="00402236">
      <w:pPr>
        <w:pStyle w:val="Odstavecseseznamem"/>
        <w:keepNext/>
        <w:spacing w:before="360" w:after="120"/>
        <w:ind w:left="0"/>
        <w:contextualSpacing w:val="0"/>
        <w:jc w:val="both"/>
        <w:rPr>
          <w:rFonts w:ascii="Arial" w:hAnsi="Arial" w:cs="Arial"/>
          <w:bCs/>
          <w:sz w:val="22"/>
          <w:szCs w:val="22"/>
        </w:rPr>
      </w:pPr>
      <w:r w:rsidRPr="001B0951">
        <w:rPr>
          <w:rFonts w:ascii="Arial" w:hAnsi="Arial" w:cs="Arial"/>
          <w:bCs/>
          <w:sz w:val="22"/>
          <w:szCs w:val="22"/>
        </w:rPr>
        <w:t>Veřejná podpora ve formě investičních pobídek je</w:t>
      </w:r>
      <w:r w:rsidR="00BE0175" w:rsidRPr="001B0951">
        <w:rPr>
          <w:rFonts w:ascii="Arial" w:hAnsi="Arial" w:cs="Arial"/>
          <w:bCs/>
          <w:sz w:val="22"/>
          <w:szCs w:val="22"/>
        </w:rPr>
        <w:t xml:space="preserve"> v</w:t>
      </w:r>
      <w:r w:rsidR="00A1768F" w:rsidRPr="001B0951">
        <w:rPr>
          <w:rFonts w:ascii="Arial" w:hAnsi="Arial" w:cs="Arial"/>
          <w:bCs/>
          <w:sz w:val="22"/>
          <w:szCs w:val="22"/>
        </w:rPr>
        <w:t> </w:t>
      </w:r>
      <w:r w:rsidR="00BE0175" w:rsidRPr="001B0951">
        <w:rPr>
          <w:rFonts w:ascii="Arial" w:hAnsi="Arial" w:cs="Arial"/>
          <w:bCs/>
          <w:sz w:val="22"/>
          <w:szCs w:val="22"/>
        </w:rPr>
        <w:t>České republice poskytován</w:t>
      </w:r>
      <w:r w:rsidRPr="001B0951">
        <w:rPr>
          <w:rFonts w:ascii="Arial" w:hAnsi="Arial" w:cs="Arial"/>
          <w:bCs/>
          <w:sz w:val="22"/>
          <w:szCs w:val="22"/>
        </w:rPr>
        <w:t>a</w:t>
      </w:r>
      <w:r w:rsidR="00BE0175" w:rsidRPr="001B0951">
        <w:rPr>
          <w:rFonts w:ascii="Arial" w:hAnsi="Arial" w:cs="Arial"/>
          <w:bCs/>
          <w:sz w:val="22"/>
          <w:szCs w:val="22"/>
        </w:rPr>
        <w:t xml:space="preserve"> od roku 1998</w:t>
      </w:r>
      <w:r w:rsidR="004678AC" w:rsidRPr="001B0951">
        <w:rPr>
          <w:rFonts w:ascii="Arial" w:hAnsi="Arial" w:cs="Arial"/>
          <w:bCs/>
          <w:sz w:val="22"/>
          <w:szCs w:val="22"/>
        </w:rPr>
        <w:t>, a </w:t>
      </w:r>
      <w:r w:rsidRPr="001B0951">
        <w:rPr>
          <w:rFonts w:ascii="Arial" w:hAnsi="Arial" w:cs="Arial"/>
          <w:bCs/>
          <w:sz w:val="22"/>
          <w:szCs w:val="22"/>
        </w:rPr>
        <w:t>to</w:t>
      </w:r>
      <w:r w:rsidR="00BE0175" w:rsidRPr="001B0951">
        <w:rPr>
          <w:rFonts w:ascii="Arial" w:hAnsi="Arial" w:cs="Arial"/>
          <w:bCs/>
          <w:sz w:val="22"/>
          <w:szCs w:val="22"/>
        </w:rPr>
        <w:t xml:space="preserve"> za účelem podpory hospodářského rozvoje a</w:t>
      </w:r>
      <w:r w:rsidR="00A1768F" w:rsidRPr="001B0951">
        <w:rPr>
          <w:rFonts w:ascii="Arial" w:hAnsi="Arial" w:cs="Arial"/>
          <w:bCs/>
          <w:sz w:val="22"/>
          <w:szCs w:val="22"/>
        </w:rPr>
        <w:t> </w:t>
      </w:r>
      <w:r w:rsidR="00BE0175" w:rsidRPr="001B0951">
        <w:rPr>
          <w:rFonts w:ascii="Arial" w:hAnsi="Arial" w:cs="Arial"/>
          <w:bCs/>
          <w:sz w:val="22"/>
          <w:szCs w:val="22"/>
        </w:rPr>
        <w:t>vytváření nových pracovních míst. Jako hlavní důvody pro zavedení investičních pobídek byly uváděny zejména:</w:t>
      </w:r>
    </w:p>
    <w:p w14:paraId="439672A9" w14:textId="441CEEAA" w:rsidR="00BE0175" w:rsidRPr="001B0951" w:rsidRDefault="00BE0175" w:rsidP="0078610C">
      <w:pPr>
        <w:pStyle w:val="Odstavecseseznamem"/>
        <w:keepNext/>
        <w:numPr>
          <w:ilvl w:val="0"/>
          <w:numId w:val="4"/>
        </w:numPr>
        <w:spacing w:after="120"/>
        <w:ind w:left="426"/>
        <w:contextualSpacing w:val="0"/>
        <w:jc w:val="both"/>
        <w:rPr>
          <w:rFonts w:ascii="Arial" w:hAnsi="Arial" w:cs="Arial"/>
          <w:bCs/>
          <w:sz w:val="22"/>
          <w:szCs w:val="22"/>
        </w:rPr>
      </w:pPr>
      <w:r w:rsidRPr="001B0951">
        <w:rPr>
          <w:rFonts w:ascii="Arial" w:hAnsi="Arial" w:cs="Arial"/>
          <w:bCs/>
          <w:sz w:val="22"/>
          <w:szCs w:val="22"/>
        </w:rPr>
        <w:t>eliminování rozdílů mezi méně a</w:t>
      </w:r>
      <w:r w:rsidR="00A1768F" w:rsidRPr="001B0951">
        <w:rPr>
          <w:rFonts w:ascii="Arial" w:hAnsi="Arial" w:cs="Arial"/>
          <w:bCs/>
          <w:sz w:val="22"/>
          <w:szCs w:val="22"/>
        </w:rPr>
        <w:t> </w:t>
      </w:r>
      <w:r w:rsidRPr="001B0951">
        <w:rPr>
          <w:rFonts w:ascii="Arial" w:hAnsi="Arial" w:cs="Arial"/>
          <w:bCs/>
          <w:sz w:val="22"/>
          <w:szCs w:val="22"/>
        </w:rPr>
        <w:t>více rozvinutými regiony v</w:t>
      </w:r>
      <w:r w:rsidR="00A1768F" w:rsidRPr="001B0951">
        <w:rPr>
          <w:rFonts w:ascii="Arial" w:hAnsi="Arial" w:cs="Arial"/>
          <w:bCs/>
          <w:sz w:val="22"/>
          <w:szCs w:val="22"/>
        </w:rPr>
        <w:t> </w:t>
      </w:r>
      <w:r w:rsidRPr="001B0951">
        <w:rPr>
          <w:rFonts w:ascii="Arial" w:hAnsi="Arial" w:cs="Arial"/>
          <w:bCs/>
          <w:sz w:val="22"/>
          <w:szCs w:val="22"/>
        </w:rPr>
        <w:t xml:space="preserve">zemi, </w:t>
      </w:r>
    </w:p>
    <w:p w14:paraId="7DB9998E" w14:textId="08363EDF" w:rsidR="00BE0175" w:rsidRPr="001B0951" w:rsidRDefault="00BE0175" w:rsidP="0078610C">
      <w:pPr>
        <w:pStyle w:val="Odstavecseseznamem"/>
        <w:keepNext/>
        <w:numPr>
          <w:ilvl w:val="0"/>
          <w:numId w:val="4"/>
        </w:numPr>
        <w:spacing w:after="120"/>
        <w:ind w:left="426"/>
        <w:contextualSpacing w:val="0"/>
        <w:jc w:val="both"/>
        <w:rPr>
          <w:rFonts w:ascii="Arial" w:hAnsi="Arial" w:cs="Arial"/>
          <w:bCs/>
          <w:sz w:val="22"/>
          <w:szCs w:val="22"/>
        </w:rPr>
      </w:pPr>
      <w:r w:rsidRPr="001B0951">
        <w:rPr>
          <w:rFonts w:ascii="Arial" w:hAnsi="Arial" w:cs="Arial"/>
          <w:bCs/>
          <w:sz w:val="22"/>
          <w:szCs w:val="22"/>
        </w:rPr>
        <w:t>snižování rozdílů v</w:t>
      </w:r>
      <w:r w:rsidR="00A1768F" w:rsidRPr="001B0951">
        <w:rPr>
          <w:rFonts w:ascii="Arial" w:hAnsi="Arial" w:cs="Arial"/>
          <w:bCs/>
          <w:sz w:val="22"/>
          <w:szCs w:val="22"/>
        </w:rPr>
        <w:t> </w:t>
      </w:r>
      <w:r w:rsidRPr="001B0951">
        <w:rPr>
          <w:rFonts w:ascii="Arial" w:hAnsi="Arial" w:cs="Arial"/>
          <w:bCs/>
          <w:sz w:val="22"/>
          <w:szCs w:val="22"/>
        </w:rPr>
        <w:t>míře nezaměstnanosti v</w:t>
      </w:r>
      <w:r w:rsidR="00A1768F" w:rsidRPr="001B0951">
        <w:rPr>
          <w:rFonts w:ascii="Arial" w:hAnsi="Arial" w:cs="Arial"/>
          <w:bCs/>
          <w:sz w:val="22"/>
          <w:szCs w:val="22"/>
        </w:rPr>
        <w:t> </w:t>
      </w:r>
      <w:r w:rsidRPr="001B0951">
        <w:rPr>
          <w:rFonts w:ascii="Arial" w:hAnsi="Arial" w:cs="Arial"/>
          <w:bCs/>
          <w:sz w:val="22"/>
          <w:szCs w:val="22"/>
        </w:rPr>
        <w:t>jednotlivých regionech prostřednictvím tvorby nových pracovních míst,</w:t>
      </w:r>
    </w:p>
    <w:p w14:paraId="5444C675" w14:textId="1690FFFA" w:rsidR="00BE0175" w:rsidRPr="001B0951" w:rsidRDefault="00BE0175" w:rsidP="0078610C">
      <w:pPr>
        <w:pStyle w:val="Odstavecseseznamem"/>
        <w:keepNext/>
        <w:numPr>
          <w:ilvl w:val="0"/>
          <w:numId w:val="4"/>
        </w:numPr>
        <w:spacing w:after="240"/>
        <w:ind w:left="426"/>
        <w:contextualSpacing w:val="0"/>
        <w:jc w:val="both"/>
        <w:rPr>
          <w:rFonts w:ascii="Arial" w:hAnsi="Arial" w:cs="Arial"/>
          <w:bCs/>
          <w:sz w:val="22"/>
          <w:szCs w:val="22"/>
        </w:rPr>
      </w:pPr>
      <w:r w:rsidRPr="001B0951">
        <w:rPr>
          <w:rFonts w:ascii="Arial" w:hAnsi="Arial" w:cs="Arial"/>
          <w:bCs/>
          <w:sz w:val="22"/>
          <w:szCs w:val="22"/>
        </w:rPr>
        <w:t>zvýšení konkurenceschopnosti České republiky v</w:t>
      </w:r>
      <w:r w:rsidR="00A1768F" w:rsidRPr="001B0951">
        <w:rPr>
          <w:rFonts w:ascii="Arial" w:hAnsi="Arial" w:cs="Arial"/>
          <w:bCs/>
          <w:sz w:val="22"/>
          <w:szCs w:val="22"/>
        </w:rPr>
        <w:t> </w:t>
      </w:r>
      <w:r w:rsidRPr="001B0951">
        <w:rPr>
          <w:rFonts w:ascii="Arial" w:hAnsi="Arial" w:cs="Arial"/>
          <w:bCs/>
          <w:sz w:val="22"/>
          <w:szCs w:val="22"/>
        </w:rPr>
        <w:t>oblasti přílivu zahraničních investic vůči ekonomikám dalších středoevropských států aj.</w:t>
      </w:r>
    </w:p>
    <w:p w14:paraId="6D7E69AB" w14:textId="10A3E11C" w:rsidR="00BE0175" w:rsidRPr="001B0951" w:rsidRDefault="00172813" w:rsidP="0078610C">
      <w:pPr>
        <w:pStyle w:val="Odstavecseseznamem"/>
        <w:spacing w:before="100" w:beforeAutospacing="1" w:after="120"/>
        <w:ind w:left="0"/>
        <w:contextualSpacing w:val="0"/>
        <w:jc w:val="both"/>
        <w:rPr>
          <w:rFonts w:ascii="Arial" w:hAnsi="Arial" w:cs="Arial"/>
          <w:bCs/>
          <w:sz w:val="22"/>
          <w:szCs w:val="22"/>
        </w:rPr>
      </w:pPr>
      <w:r w:rsidRPr="001B0951">
        <w:rPr>
          <w:rFonts w:ascii="Arial" w:hAnsi="Arial" w:cs="Arial"/>
          <w:bCs/>
          <w:sz w:val="22"/>
          <w:szCs w:val="22"/>
        </w:rPr>
        <w:t>Na zákonné úrovni</w:t>
      </w:r>
      <w:r w:rsidR="00BE0175" w:rsidRPr="001B0951">
        <w:rPr>
          <w:rFonts w:ascii="Arial" w:hAnsi="Arial" w:cs="Arial"/>
          <w:bCs/>
          <w:sz w:val="22"/>
          <w:szCs w:val="22"/>
        </w:rPr>
        <w:t xml:space="preserve"> jsou investiční pobídky upraveny od roku 2000, konkrétně od 1. května 2000, kdy nabyl účinnosti </w:t>
      </w:r>
      <w:r w:rsidR="00BE0175" w:rsidRPr="001B0951">
        <w:rPr>
          <w:rFonts w:ascii="Arial" w:hAnsi="Arial" w:cs="Arial"/>
          <w:b/>
          <w:bCs/>
          <w:sz w:val="22"/>
          <w:szCs w:val="22"/>
        </w:rPr>
        <w:t>zákon č. 72/2000 Sb., o</w:t>
      </w:r>
      <w:r w:rsidR="00A1768F" w:rsidRPr="001B0951">
        <w:rPr>
          <w:rFonts w:ascii="Arial" w:hAnsi="Arial" w:cs="Arial"/>
          <w:b/>
          <w:bCs/>
          <w:sz w:val="22"/>
          <w:szCs w:val="22"/>
        </w:rPr>
        <w:t> </w:t>
      </w:r>
      <w:r w:rsidR="00BE0175" w:rsidRPr="001B0951">
        <w:rPr>
          <w:rFonts w:ascii="Arial" w:hAnsi="Arial" w:cs="Arial"/>
          <w:b/>
          <w:bCs/>
          <w:sz w:val="22"/>
          <w:szCs w:val="22"/>
        </w:rPr>
        <w:t>investičních pobídkách a</w:t>
      </w:r>
      <w:r w:rsidR="00A1768F" w:rsidRPr="001B0951">
        <w:rPr>
          <w:rFonts w:ascii="Arial" w:hAnsi="Arial" w:cs="Arial"/>
          <w:b/>
          <w:bCs/>
          <w:sz w:val="22"/>
          <w:szCs w:val="22"/>
        </w:rPr>
        <w:t> </w:t>
      </w:r>
      <w:r w:rsidR="00BE0175" w:rsidRPr="001B0951">
        <w:rPr>
          <w:rFonts w:ascii="Arial" w:hAnsi="Arial" w:cs="Arial"/>
          <w:b/>
          <w:bCs/>
          <w:sz w:val="22"/>
          <w:szCs w:val="22"/>
        </w:rPr>
        <w:t>o změně některých zákonů</w:t>
      </w:r>
      <w:r w:rsidR="00BE0175" w:rsidRPr="00105404">
        <w:rPr>
          <w:rFonts w:ascii="Arial" w:hAnsi="Arial" w:cs="Arial"/>
          <w:b/>
          <w:bCs/>
          <w:sz w:val="22"/>
          <w:szCs w:val="22"/>
        </w:rPr>
        <w:t xml:space="preserve"> </w:t>
      </w:r>
      <w:r w:rsidR="00105404" w:rsidRPr="00105404">
        <w:rPr>
          <w:rFonts w:ascii="Arial" w:hAnsi="Arial" w:cs="Arial"/>
          <w:b/>
          <w:bCs/>
          <w:sz w:val="22"/>
          <w:szCs w:val="22"/>
        </w:rPr>
        <w:t>(zákon o investičních pobídkách)</w:t>
      </w:r>
      <w:r w:rsidR="00105404" w:rsidRPr="00105404">
        <w:rPr>
          <w:rFonts w:ascii="Arial" w:hAnsi="Arial" w:cs="Arial"/>
          <w:bCs/>
          <w:sz w:val="22"/>
          <w:szCs w:val="22"/>
        </w:rPr>
        <w:t xml:space="preserve">, ve znění pozdějších předpisů </w:t>
      </w:r>
      <w:r w:rsidR="00BE0175" w:rsidRPr="001B0951">
        <w:rPr>
          <w:rFonts w:ascii="Arial" w:hAnsi="Arial" w:cs="Arial"/>
          <w:bCs/>
          <w:sz w:val="22"/>
          <w:szCs w:val="22"/>
        </w:rPr>
        <w:t>(dále jen „zákon o</w:t>
      </w:r>
      <w:r w:rsidR="00A1768F" w:rsidRPr="001B0951">
        <w:rPr>
          <w:rFonts w:ascii="Arial" w:hAnsi="Arial" w:cs="Arial"/>
          <w:bCs/>
          <w:sz w:val="22"/>
          <w:szCs w:val="22"/>
        </w:rPr>
        <w:t> </w:t>
      </w:r>
      <w:r w:rsidR="00BE0175" w:rsidRPr="001B0951">
        <w:rPr>
          <w:rFonts w:ascii="Arial" w:hAnsi="Arial" w:cs="Arial"/>
          <w:bCs/>
          <w:sz w:val="22"/>
          <w:szCs w:val="22"/>
        </w:rPr>
        <w:t xml:space="preserve">investičních pobídkách“). </w:t>
      </w:r>
      <w:r w:rsidR="003A1625" w:rsidRPr="001B0951">
        <w:rPr>
          <w:rFonts w:ascii="Arial" w:hAnsi="Arial" w:cs="Arial"/>
          <w:bCs/>
          <w:sz w:val="22"/>
          <w:szCs w:val="22"/>
        </w:rPr>
        <w:t>Ten stanovuje formy investiční pobídky</w:t>
      </w:r>
      <w:r w:rsidR="00BE0175" w:rsidRPr="001B0951">
        <w:rPr>
          <w:rFonts w:ascii="Arial" w:hAnsi="Arial" w:cs="Arial"/>
          <w:bCs/>
          <w:sz w:val="22"/>
          <w:szCs w:val="22"/>
        </w:rPr>
        <w:t>, všeobecné podmínky pro jejich poskytování, postup při jejich poskytování a</w:t>
      </w:r>
      <w:r w:rsidR="00A1768F" w:rsidRPr="001B0951">
        <w:rPr>
          <w:rFonts w:ascii="Arial" w:hAnsi="Arial" w:cs="Arial"/>
          <w:bCs/>
          <w:sz w:val="22"/>
          <w:szCs w:val="22"/>
        </w:rPr>
        <w:t> </w:t>
      </w:r>
      <w:r w:rsidR="00BE0175" w:rsidRPr="001B0951">
        <w:rPr>
          <w:rFonts w:ascii="Arial" w:hAnsi="Arial" w:cs="Arial"/>
          <w:bCs/>
          <w:sz w:val="22"/>
          <w:szCs w:val="22"/>
        </w:rPr>
        <w:t>výkon státní správy s</w:t>
      </w:r>
      <w:r w:rsidR="00A1768F" w:rsidRPr="001B0951">
        <w:rPr>
          <w:rFonts w:ascii="Arial" w:hAnsi="Arial" w:cs="Arial"/>
          <w:bCs/>
          <w:sz w:val="22"/>
          <w:szCs w:val="22"/>
        </w:rPr>
        <w:t> </w:t>
      </w:r>
      <w:r w:rsidR="00BE0175" w:rsidRPr="001B0951">
        <w:rPr>
          <w:rFonts w:ascii="Arial" w:hAnsi="Arial" w:cs="Arial"/>
          <w:bCs/>
          <w:sz w:val="22"/>
          <w:szCs w:val="22"/>
        </w:rPr>
        <w:t xml:space="preserve">tím související. Tvoří </w:t>
      </w:r>
      <w:r w:rsidR="005A786D" w:rsidRPr="001B0951">
        <w:rPr>
          <w:rFonts w:ascii="Arial" w:hAnsi="Arial" w:cs="Arial"/>
          <w:bCs/>
          <w:sz w:val="22"/>
          <w:szCs w:val="22"/>
        </w:rPr>
        <w:t xml:space="preserve">tak </w:t>
      </w:r>
      <w:r w:rsidR="00BE0175" w:rsidRPr="001B0951">
        <w:rPr>
          <w:rFonts w:ascii="Arial" w:hAnsi="Arial" w:cs="Arial"/>
          <w:bCs/>
          <w:sz w:val="22"/>
          <w:szCs w:val="22"/>
        </w:rPr>
        <w:t xml:space="preserve">základní právní normu celého systému investičních pobídek. Mimo </w:t>
      </w:r>
      <w:r w:rsidR="005A786D" w:rsidRPr="001B0951">
        <w:rPr>
          <w:rFonts w:ascii="Arial" w:hAnsi="Arial" w:cs="Arial"/>
          <w:bCs/>
          <w:sz w:val="22"/>
          <w:szCs w:val="22"/>
        </w:rPr>
        <w:t xml:space="preserve">tento </w:t>
      </w:r>
      <w:r w:rsidR="00BE0175" w:rsidRPr="001B0951">
        <w:rPr>
          <w:rFonts w:ascii="Arial" w:hAnsi="Arial" w:cs="Arial"/>
          <w:bCs/>
          <w:sz w:val="22"/>
          <w:szCs w:val="22"/>
        </w:rPr>
        <w:t>zákon tvoří systém investičních pobídek i</w:t>
      </w:r>
      <w:r w:rsidR="00A1768F" w:rsidRPr="001B0951">
        <w:rPr>
          <w:rFonts w:ascii="Arial" w:hAnsi="Arial" w:cs="Arial"/>
          <w:bCs/>
          <w:sz w:val="22"/>
          <w:szCs w:val="22"/>
        </w:rPr>
        <w:t> </w:t>
      </w:r>
      <w:r w:rsidR="00BE0175" w:rsidRPr="001B0951">
        <w:rPr>
          <w:rFonts w:ascii="Arial" w:hAnsi="Arial" w:cs="Arial"/>
          <w:bCs/>
          <w:sz w:val="22"/>
          <w:szCs w:val="22"/>
        </w:rPr>
        <w:t>další právní normy, a</w:t>
      </w:r>
      <w:r w:rsidR="00A1768F" w:rsidRPr="001B0951">
        <w:rPr>
          <w:rFonts w:ascii="Arial" w:hAnsi="Arial" w:cs="Arial"/>
          <w:bCs/>
          <w:sz w:val="22"/>
          <w:szCs w:val="22"/>
        </w:rPr>
        <w:t> </w:t>
      </w:r>
      <w:r w:rsidR="00BE0175" w:rsidRPr="001B0951">
        <w:rPr>
          <w:rFonts w:ascii="Arial" w:hAnsi="Arial" w:cs="Arial"/>
          <w:bCs/>
          <w:sz w:val="22"/>
          <w:szCs w:val="22"/>
        </w:rPr>
        <w:t>to především:</w:t>
      </w:r>
    </w:p>
    <w:p w14:paraId="25A8A5EE" w14:textId="430020AD" w:rsidR="00BE0175" w:rsidRPr="001B0951" w:rsidRDefault="00BE0175" w:rsidP="0078610C">
      <w:pPr>
        <w:pStyle w:val="Odstavecseseznamem"/>
        <w:spacing w:after="120"/>
        <w:ind w:left="425" w:hanging="425"/>
        <w:contextualSpacing w:val="0"/>
        <w:jc w:val="both"/>
        <w:rPr>
          <w:rFonts w:ascii="Arial" w:hAnsi="Arial" w:cs="Arial"/>
          <w:bCs/>
          <w:sz w:val="22"/>
          <w:szCs w:val="22"/>
        </w:rPr>
      </w:pPr>
      <w:r w:rsidRPr="001B0951">
        <w:rPr>
          <w:rFonts w:ascii="Arial" w:hAnsi="Arial" w:cs="Arial"/>
          <w:bCs/>
          <w:sz w:val="22"/>
          <w:szCs w:val="22"/>
        </w:rPr>
        <w:t>-</w:t>
      </w:r>
      <w:r w:rsidRPr="001B0951">
        <w:rPr>
          <w:rFonts w:ascii="Arial" w:hAnsi="Arial" w:cs="Arial"/>
          <w:bCs/>
          <w:sz w:val="22"/>
          <w:szCs w:val="22"/>
        </w:rPr>
        <w:tab/>
        <w:t>zákon č. 586/1992 Sb., o</w:t>
      </w:r>
      <w:r w:rsidR="00A1768F" w:rsidRPr="001B0951">
        <w:rPr>
          <w:rFonts w:ascii="Arial" w:hAnsi="Arial" w:cs="Arial"/>
          <w:bCs/>
          <w:sz w:val="22"/>
          <w:szCs w:val="22"/>
        </w:rPr>
        <w:t> </w:t>
      </w:r>
      <w:r w:rsidRPr="001B0951">
        <w:rPr>
          <w:rFonts w:ascii="Arial" w:hAnsi="Arial" w:cs="Arial"/>
          <w:bCs/>
          <w:sz w:val="22"/>
          <w:szCs w:val="22"/>
        </w:rPr>
        <w:t>daních z</w:t>
      </w:r>
      <w:r w:rsidR="00A1768F" w:rsidRPr="001B0951">
        <w:rPr>
          <w:rFonts w:ascii="Arial" w:hAnsi="Arial" w:cs="Arial"/>
          <w:bCs/>
          <w:sz w:val="22"/>
          <w:szCs w:val="22"/>
        </w:rPr>
        <w:t> </w:t>
      </w:r>
      <w:r w:rsidRPr="001B0951">
        <w:rPr>
          <w:rFonts w:ascii="Arial" w:hAnsi="Arial" w:cs="Arial"/>
          <w:bCs/>
          <w:sz w:val="22"/>
          <w:szCs w:val="22"/>
        </w:rPr>
        <w:t>příjmů, ve znění pozdějších předpisů,</w:t>
      </w:r>
    </w:p>
    <w:p w14:paraId="51F26903" w14:textId="4CD2FA2D" w:rsidR="00BE0175" w:rsidRPr="001B0951" w:rsidRDefault="00BE0175" w:rsidP="0078610C">
      <w:pPr>
        <w:pStyle w:val="Odstavecseseznamem"/>
        <w:spacing w:after="120"/>
        <w:ind w:left="425" w:hanging="425"/>
        <w:contextualSpacing w:val="0"/>
        <w:jc w:val="both"/>
        <w:rPr>
          <w:rFonts w:ascii="Arial" w:hAnsi="Arial" w:cs="Arial"/>
          <w:bCs/>
          <w:sz w:val="22"/>
          <w:szCs w:val="22"/>
        </w:rPr>
      </w:pPr>
      <w:r w:rsidRPr="001B0951">
        <w:rPr>
          <w:rFonts w:ascii="Arial" w:hAnsi="Arial" w:cs="Arial"/>
          <w:bCs/>
          <w:sz w:val="22"/>
          <w:szCs w:val="22"/>
        </w:rPr>
        <w:t>-</w:t>
      </w:r>
      <w:r w:rsidRPr="001B0951">
        <w:rPr>
          <w:rFonts w:ascii="Arial" w:hAnsi="Arial" w:cs="Arial"/>
          <w:bCs/>
          <w:sz w:val="22"/>
          <w:szCs w:val="22"/>
        </w:rPr>
        <w:tab/>
        <w:t>zákon č. 435/2004 Sb., o</w:t>
      </w:r>
      <w:r w:rsidR="00A1768F" w:rsidRPr="001B0951">
        <w:rPr>
          <w:rFonts w:ascii="Arial" w:hAnsi="Arial" w:cs="Arial"/>
          <w:bCs/>
          <w:sz w:val="22"/>
          <w:szCs w:val="22"/>
        </w:rPr>
        <w:t> </w:t>
      </w:r>
      <w:r w:rsidRPr="001B0951">
        <w:rPr>
          <w:rFonts w:ascii="Arial" w:hAnsi="Arial" w:cs="Arial"/>
          <w:bCs/>
          <w:sz w:val="22"/>
          <w:szCs w:val="22"/>
        </w:rPr>
        <w:t>zaměstnanosti, ve znění pozdějších předpisů,</w:t>
      </w:r>
    </w:p>
    <w:p w14:paraId="5BB371DA" w14:textId="67D2BEBD" w:rsidR="00BE0175" w:rsidRPr="001B0951" w:rsidRDefault="00BE0175" w:rsidP="0078610C">
      <w:pPr>
        <w:pStyle w:val="Odstavecseseznamem"/>
        <w:spacing w:after="120"/>
        <w:ind w:left="425" w:hanging="425"/>
        <w:contextualSpacing w:val="0"/>
        <w:jc w:val="both"/>
        <w:rPr>
          <w:rFonts w:ascii="Arial" w:hAnsi="Arial" w:cs="Arial"/>
          <w:bCs/>
          <w:sz w:val="22"/>
          <w:szCs w:val="22"/>
        </w:rPr>
      </w:pPr>
      <w:r w:rsidRPr="001B0951">
        <w:rPr>
          <w:rFonts w:ascii="Arial" w:hAnsi="Arial" w:cs="Arial"/>
          <w:bCs/>
          <w:sz w:val="22"/>
          <w:szCs w:val="22"/>
        </w:rPr>
        <w:t>-</w:t>
      </w:r>
      <w:r w:rsidRPr="001B0951">
        <w:rPr>
          <w:rFonts w:ascii="Arial" w:hAnsi="Arial" w:cs="Arial"/>
          <w:bCs/>
          <w:sz w:val="22"/>
          <w:szCs w:val="22"/>
        </w:rPr>
        <w:tab/>
        <w:t>zákon č. 338/1992 Sb., o</w:t>
      </w:r>
      <w:r w:rsidR="00A1768F" w:rsidRPr="001B0951">
        <w:rPr>
          <w:rFonts w:ascii="Arial" w:hAnsi="Arial" w:cs="Arial"/>
          <w:bCs/>
          <w:sz w:val="22"/>
          <w:szCs w:val="22"/>
        </w:rPr>
        <w:t> </w:t>
      </w:r>
      <w:r w:rsidRPr="001B0951">
        <w:rPr>
          <w:rFonts w:ascii="Arial" w:hAnsi="Arial" w:cs="Arial"/>
          <w:bCs/>
          <w:sz w:val="22"/>
          <w:szCs w:val="22"/>
        </w:rPr>
        <w:t>dani z</w:t>
      </w:r>
      <w:r w:rsidR="00A1768F" w:rsidRPr="001B0951">
        <w:rPr>
          <w:rFonts w:ascii="Arial" w:hAnsi="Arial" w:cs="Arial"/>
          <w:bCs/>
          <w:sz w:val="22"/>
          <w:szCs w:val="22"/>
        </w:rPr>
        <w:t> </w:t>
      </w:r>
      <w:r w:rsidRPr="001B0951">
        <w:rPr>
          <w:rFonts w:ascii="Arial" w:hAnsi="Arial" w:cs="Arial"/>
          <w:bCs/>
          <w:sz w:val="22"/>
          <w:szCs w:val="22"/>
        </w:rPr>
        <w:t>nemovitých věcí,</w:t>
      </w:r>
      <w:r w:rsidR="00A3193D" w:rsidRPr="001B0951">
        <w:rPr>
          <w:rFonts w:ascii="Arial" w:hAnsi="Arial" w:cs="Arial"/>
          <w:bCs/>
          <w:sz w:val="22"/>
          <w:szCs w:val="22"/>
        </w:rPr>
        <w:t xml:space="preserve"> ve znění pozdějších předpisů,</w:t>
      </w:r>
    </w:p>
    <w:p w14:paraId="0E23A944" w14:textId="45865245" w:rsidR="00BE0175" w:rsidRPr="001B0951" w:rsidRDefault="00BE0175" w:rsidP="0078610C">
      <w:pPr>
        <w:pStyle w:val="Odstavecseseznamem"/>
        <w:spacing w:after="120"/>
        <w:ind w:left="425" w:hanging="425"/>
        <w:contextualSpacing w:val="0"/>
        <w:jc w:val="both"/>
        <w:rPr>
          <w:rFonts w:ascii="Arial" w:hAnsi="Arial" w:cs="Arial"/>
          <w:bCs/>
          <w:sz w:val="22"/>
          <w:szCs w:val="22"/>
        </w:rPr>
      </w:pPr>
      <w:r w:rsidRPr="001B0951">
        <w:rPr>
          <w:rFonts w:ascii="Arial" w:hAnsi="Arial" w:cs="Arial"/>
          <w:bCs/>
          <w:sz w:val="22"/>
          <w:szCs w:val="22"/>
        </w:rPr>
        <w:t>-</w:t>
      </w:r>
      <w:r w:rsidRPr="001B0951">
        <w:rPr>
          <w:rFonts w:ascii="Arial" w:hAnsi="Arial" w:cs="Arial"/>
          <w:bCs/>
          <w:sz w:val="22"/>
          <w:szCs w:val="22"/>
        </w:rPr>
        <w:tab/>
        <w:t>nařízení vlády č. 515/2004 Sb., o</w:t>
      </w:r>
      <w:r w:rsidR="00A1768F" w:rsidRPr="001B0951">
        <w:rPr>
          <w:rFonts w:ascii="Arial" w:hAnsi="Arial" w:cs="Arial"/>
          <w:bCs/>
          <w:sz w:val="22"/>
          <w:szCs w:val="22"/>
        </w:rPr>
        <w:t> </w:t>
      </w:r>
      <w:r w:rsidRPr="001B0951">
        <w:rPr>
          <w:rFonts w:ascii="Arial" w:hAnsi="Arial" w:cs="Arial"/>
          <w:bCs/>
          <w:sz w:val="22"/>
          <w:szCs w:val="22"/>
        </w:rPr>
        <w:t>hmotné podpoře na vytváření nových pracovních míst a</w:t>
      </w:r>
      <w:r w:rsidR="00A1768F" w:rsidRPr="001B0951">
        <w:rPr>
          <w:rFonts w:ascii="Arial" w:hAnsi="Arial" w:cs="Arial"/>
          <w:bCs/>
          <w:sz w:val="22"/>
          <w:szCs w:val="22"/>
        </w:rPr>
        <w:t> </w:t>
      </w:r>
      <w:r w:rsidRPr="001B0951">
        <w:rPr>
          <w:rFonts w:ascii="Arial" w:hAnsi="Arial" w:cs="Arial"/>
          <w:bCs/>
          <w:sz w:val="22"/>
          <w:szCs w:val="22"/>
        </w:rPr>
        <w:t>hmotné podpoře rekvalifikace nebo školení zaměstnanců v</w:t>
      </w:r>
      <w:r w:rsidR="00A1768F" w:rsidRPr="001B0951">
        <w:rPr>
          <w:rFonts w:ascii="Arial" w:hAnsi="Arial" w:cs="Arial"/>
          <w:bCs/>
          <w:sz w:val="22"/>
          <w:szCs w:val="22"/>
        </w:rPr>
        <w:t> </w:t>
      </w:r>
      <w:r w:rsidRPr="001B0951">
        <w:rPr>
          <w:rFonts w:ascii="Arial" w:hAnsi="Arial" w:cs="Arial"/>
          <w:bCs/>
          <w:sz w:val="22"/>
          <w:szCs w:val="22"/>
        </w:rPr>
        <w:t>rámci investičních pobídek, ve znění pozdějších předpisů,</w:t>
      </w:r>
    </w:p>
    <w:p w14:paraId="09214CDB" w14:textId="50582380" w:rsidR="00BE0175" w:rsidRPr="001B0951" w:rsidRDefault="00BE0175" w:rsidP="0078610C">
      <w:pPr>
        <w:pStyle w:val="Odstavecseseznamem"/>
        <w:spacing w:after="240"/>
        <w:ind w:left="426" w:hanging="426"/>
        <w:contextualSpacing w:val="0"/>
        <w:jc w:val="both"/>
        <w:rPr>
          <w:rFonts w:ascii="Arial" w:hAnsi="Arial" w:cs="Arial"/>
          <w:bCs/>
          <w:sz w:val="22"/>
          <w:szCs w:val="22"/>
        </w:rPr>
      </w:pPr>
      <w:r w:rsidRPr="001B0951">
        <w:rPr>
          <w:rFonts w:ascii="Arial" w:hAnsi="Arial" w:cs="Arial"/>
          <w:bCs/>
          <w:sz w:val="22"/>
          <w:szCs w:val="22"/>
        </w:rPr>
        <w:t>-</w:t>
      </w:r>
      <w:r w:rsidRPr="001B0951">
        <w:rPr>
          <w:rFonts w:ascii="Arial" w:hAnsi="Arial" w:cs="Arial"/>
          <w:bCs/>
          <w:sz w:val="22"/>
          <w:szCs w:val="22"/>
        </w:rPr>
        <w:tab/>
        <w:t>nařízení vlády č. 596/2006 Sb., kterým se stanoví přípustná míra veřejné podpory v</w:t>
      </w:r>
      <w:r w:rsidR="00A1768F" w:rsidRPr="001B0951">
        <w:rPr>
          <w:rFonts w:ascii="Arial" w:hAnsi="Arial" w:cs="Arial"/>
          <w:bCs/>
          <w:sz w:val="22"/>
          <w:szCs w:val="22"/>
        </w:rPr>
        <w:t> </w:t>
      </w:r>
      <w:r w:rsidRPr="001B0951">
        <w:rPr>
          <w:rFonts w:ascii="Arial" w:hAnsi="Arial" w:cs="Arial"/>
          <w:bCs/>
          <w:sz w:val="22"/>
          <w:szCs w:val="22"/>
        </w:rPr>
        <w:t xml:space="preserve">regionech soudržnosti České republiky, ve znění pozdějších předpisů. </w:t>
      </w:r>
    </w:p>
    <w:p w14:paraId="4F054710" w14:textId="77777777" w:rsidR="00897A5C" w:rsidRPr="001B0951" w:rsidRDefault="005F52B4" w:rsidP="0078610C">
      <w:pPr>
        <w:overflowPunct w:val="0"/>
        <w:autoSpaceDE w:val="0"/>
        <w:autoSpaceDN w:val="0"/>
        <w:adjustRightInd w:val="0"/>
        <w:spacing w:after="240"/>
        <w:jc w:val="both"/>
        <w:textAlignment w:val="baseline"/>
        <w:rPr>
          <w:rFonts w:ascii="Arial" w:hAnsi="Arial" w:cs="Arial"/>
          <w:bCs/>
          <w:sz w:val="22"/>
          <w:szCs w:val="22"/>
        </w:rPr>
      </w:pPr>
      <w:r w:rsidRPr="001B0951">
        <w:rPr>
          <w:rFonts w:ascii="Arial" w:hAnsi="Arial" w:cs="Arial"/>
          <w:bCs/>
          <w:sz w:val="22"/>
          <w:szCs w:val="22"/>
        </w:rPr>
        <w:t xml:space="preserve">Zákon o investičních pobídkách upravuje systém poskytování veřejné podpory v mezích Evropskou unií stanovené blokové výjimky. </w:t>
      </w:r>
      <w:r w:rsidR="00897A5C" w:rsidRPr="001B0951">
        <w:rPr>
          <w:rFonts w:ascii="Arial" w:hAnsi="Arial" w:cs="Arial"/>
          <w:bCs/>
          <w:sz w:val="22"/>
          <w:szCs w:val="22"/>
        </w:rPr>
        <w:t>Povolená výše veřejné podpory pro velké podniky činí v souladu s Mapou regionální podpory 25 % způsobilých nákladů.</w:t>
      </w:r>
    </w:p>
    <w:p w14:paraId="6648A06D" w14:textId="18841631" w:rsidR="00897A5C" w:rsidRPr="001B0951" w:rsidRDefault="005F52B4" w:rsidP="0078610C">
      <w:pPr>
        <w:overflowPunct w:val="0"/>
        <w:autoSpaceDE w:val="0"/>
        <w:autoSpaceDN w:val="0"/>
        <w:adjustRightInd w:val="0"/>
        <w:spacing w:after="240"/>
        <w:jc w:val="both"/>
        <w:textAlignment w:val="baseline"/>
        <w:rPr>
          <w:rFonts w:ascii="Arial" w:hAnsi="Arial" w:cs="Arial"/>
          <w:bCs/>
          <w:sz w:val="22"/>
          <w:szCs w:val="22"/>
        </w:rPr>
      </w:pPr>
      <w:r w:rsidRPr="001B0951">
        <w:rPr>
          <w:rFonts w:ascii="Arial" w:hAnsi="Arial" w:cs="Arial"/>
          <w:bCs/>
          <w:sz w:val="22"/>
          <w:szCs w:val="22"/>
        </w:rPr>
        <w:t xml:space="preserve">Veřejná podpora je poskytována převážně ve formě slevy na dani z příjmů (aktuálně na dobu 10 let) </w:t>
      </w:r>
      <w:r w:rsidR="0025122C" w:rsidRPr="001B0951">
        <w:rPr>
          <w:rFonts w:ascii="Arial" w:hAnsi="Arial" w:cs="Arial"/>
          <w:bCs/>
          <w:sz w:val="22"/>
          <w:szCs w:val="22"/>
        </w:rPr>
        <w:t>a</w:t>
      </w:r>
      <w:r w:rsidRPr="001B0951">
        <w:rPr>
          <w:rFonts w:ascii="Arial" w:hAnsi="Arial" w:cs="Arial"/>
          <w:bCs/>
          <w:sz w:val="22"/>
          <w:szCs w:val="22"/>
        </w:rPr>
        <w:t xml:space="preserve"> hmotné podpory (dotace), a to ať již na vytváření nových pracovních míst a s nimi související školení nových zaměstnanců, nebo na pořízení dlouhodobého majetku pro strategické investiční akce. </w:t>
      </w:r>
    </w:p>
    <w:p w14:paraId="6E9484DC" w14:textId="22406D0D" w:rsidR="00380651" w:rsidRPr="001B0951" w:rsidRDefault="00670C1E"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bCs/>
          <w:sz w:val="22"/>
          <w:szCs w:val="22"/>
        </w:rPr>
        <w:t xml:space="preserve">Od svého zavedení byly investiční pobídky dostupné pouze pro výrobní projekty ve zpracovatelském průmyslu. </w:t>
      </w:r>
      <w:r w:rsidR="00C95779" w:rsidRPr="001B0951">
        <w:rPr>
          <w:rFonts w:ascii="Arial" w:hAnsi="Arial" w:cs="Arial"/>
          <w:bCs/>
          <w:sz w:val="22"/>
          <w:szCs w:val="22"/>
        </w:rPr>
        <w:t xml:space="preserve">Nevýrobní činnosti jako jsou strategické služby a činnost technologických center byly podporovány od roku 2002, a to dotacemi poskytovanými na základě rámcových programů. Fungování těchto programů však bylo ukončeno již v roce 2008. V roce 2012 byla proto podpora těchto činností zařazena přímo do zákona o investičních pobídkách. </w:t>
      </w:r>
      <w:r w:rsidR="00380651" w:rsidRPr="001B0951">
        <w:rPr>
          <w:rFonts w:ascii="Arial" w:hAnsi="Arial" w:cs="Arial"/>
          <w:sz w:val="22"/>
          <w:szCs w:val="22"/>
        </w:rPr>
        <w:t xml:space="preserve">V rámci stávajícího znění zákona o investičních pobídkách jsou </w:t>
      </w:r>
      <w:r w:rsidR="004678AC" w:rsidRPr="001B0951">
        <w:rPr>
          <w:rFonts w:ascii="Arial" w:hAnsi="Arial" w:cs="Arial"/>
          <w:sz w:val="22"/>
          <w:szCs w:val="22"/>
        </w:rPr>
        <w:t>tak</w:t>
      </w:r>
      <w:r w:rsidR="00775CA9">
        <w:rPr>
          <w:rFonts w:ascii="Arial" w:hAnsi="Arial" w:cs="Arial"/>
          <w:sz w:val="22"/>
          <w:szCs w:val="22"/>
        </w:rPr>
        <w:t xml:space="preserve"> podporovány následující činnosti</w:t>
      </w:r>
      <w:r w:rsidR="00380651" w:rsidRPr="001B0951">
        <w:rPr>
          <w:rFonts w:ascii="Arial" w:hAnsi="Arial" w:cs="Arial"/>
          <w:sz w:val="22"/>
          <w:szCs w:val="22"/>
        </w:rPr>
        <w:t>:</w:t>
      </w:r>
    </w:p>
    <w:p w14:paraId="52B9E9F3" w14:textId="77777777" w:rsidR="00380651" w:rsidRPr="001B0951" w:rsidRDefault="00380651" w:rsidP="0078610C">
      <w:pPr>
        <w:numPr>
          <w:ilvl w:val="0"/>
          <w:numId w:val="17"/>
        </w:numPr>
        <w:overflowPunct w:val="0"/>
        <w:autoSpaceDE w:val="0"/>
        <w:autoSpaceDN w:val="0"/>
        <w:adjustRightInd w:val="0"/>
        <w:spacing w:after="240"/>
        <w:ind w:left="284" w:hanging="218"/>
        <w:jc w:val="both"/>
        <w:textAlignment w:val="baseline"/>
        <w:rPr>
          <w:rFonts w:ascii="Arial" w:hAnsi="Arial" w:cs="Arial"/>
          <w:sz w:val="22"/>
          <w:szCs w:val="22"/>
        </w:rPr>
      </w:pPr>
      <w:r w:rsidRPr="001B0951">
        <w:rPr>
          <w:rFonts w:ascii="Arial" w:hAnsi="Arial" w:cs="Arial"/>
          <w:sz w:val="22"/>
          <w:szCs w:val="22"/>
          <w:u w:val="single"/>
        </w:rPr>
        <w:t>zavedení nebo rozšíření výroby v oborech zpracovatelského průmyslu</w:t>
      </w:r>
      <w:r w:rsidRPr="001B0951">
        <w:rPr>
          <w:rFonts w:ascii="Arial" w:hAnsi="Arial" w:cs="Arial"/>
          <w:sz w:val="22"/>
          <w:szCs w:val="22"/>
        </w:rPr>
        <w:t>;</w:t>
      </w:r>
    </w:p>
    <w:p w14:paraId="4150FD33" w14:textId="1E8741DA" w:rsidR="00380651" w:rsidRPr="001B0951" w:rsidRDefault="00380651" w:rsidP="0078610C">
      <w:pPr>
        <w:numPr>
          <w:ilvl w:val="0"/>
          <w:numId w:val="17"/>
        </w:numPr>
        <w:overflowPunct w:val="0"/>
        <w:autoSpaceDE w:val="0"/>
        <w:autoSpaceDN w:val="0"/>
        <w:adjustRightInd w:val="0"/>
        <w:spacing w:after="240"/>
        <w:ind w:left="284" w:hanging="218"/>
        <w:jc w:val="both"/>
        <w:textAlignment w:val="baseline"/>
        <w:rPr>
          <w:rFonts w:ascii="Arial" w:hAnsi="Arial" w:cs="Arial"/>
          <w:sz w:val="22"/>
          <w:szCs w:val="22"/>
        </w:rPr>
      </w:pPr>
      <w:r w:rsidRPr="001B0951">
        <w:rPr>
          <w:rFonts w:ascii="Arial" w:hAnsi="Arial" w:cs="Arial"/>
          <w:sz w:val="22"/>
          <w:szCs w:val="22"/>
          <w:u w:val="single"/>
        </w:rPr>
        <w:t>vybudování nebo rozšíření technologického centra</w:t>
      </w:r>
      <w:r w:rsidRPr="001B0951">
        <w:rPr>
          <w:rFonts w:ascii="Arial" w:hAnsi="Arial" w:cs="Arial"/>
          <w:sz w:val="22"/>
          <w:szCs w:val="22"/>
        </w:rPr>
        <w:t xml:space="preserve"> se zaměř</w:t>
      </w:r>
      <w:r w:rsidR="00CA3B38" w:rsidRPr="001B0951">
        <w:rPr>
          <w:rFonts w:ascii="Arial" w:hAnsi="Arial" w:cs="Arial"/>
          <w:sz w:val="22"/>
          <w:szCs w:val="22"/>
        </w:rPr>
        <w:t>en</w:t>
      </w:r>
      <w:r w:rsidRPr="001B0951">
        <w:rPr>
          <w:rFonts w:ascii="Arial" w:hAnsi="Arial" w:cs="Arial"/>
          <w:sz w:val="22"/>
          <w:szCs w:val="22"/>
        </w:rPr>
        <w:t>ím na aplikovaný výzkum, vývoj nebo inovace technicky vyspělých výrobků, technologií a výrobních procesů za účelem použití ve výrobě a zvýšení přidané hodnoty;</w:t>
      </w:r>
    </w:p>
    <w:p w14:paraId="5B0E52E9" w14:textId="77777777" w:rsidR="00380651" w:rsidRPr="001B0951" w:rsidRDefault="00380651" w:rsidP="0078610C">
      <w:pPr>
        <w:numPr>
          <w:ilvl w:val="0"/>
          <w:numId w:val="17"/>
        </w:numPr>
        <w:overflowPunct w:val="0"/>
        <w:autoSpaceDE w:val="0"/>
        <w:autoSpaceDN w:val="0"/>
        <w:adjustRightInd w:val="0"/>
        <w:spacing w:after="240"/>
        <w:ind w:left="284" w:hanging="218"/>
        <w:jc w:val="both"/>
        <w:textAlignment w:val="baseline"/>
        <w:rPr>
          <w:rFonts w:ascii="Arial" w:hAnsi="Arial" w:cs="Arial"/>
          <w:sz w:val="22"/>
          <w:szCs w:val="22"/>
        </w:rPr>
      </w:pPr>
      <w:r w:rsidRPr="001B0951">
        <w:rPr>
          <w:rFonts w:ascii="Arial" w:hAnsi="Arial" w:cs="Arial"/>
          <w:sz w:val="22"/>
          <w:szCs w:val="22"/>
          <w:u w:val="single"/>
        </w:rPr>
        <w:lastRenderedPageBreak/>
        <w:t>zahájení nebo rozšíření činnosti centra strategických služeb</w:t>
      </w:r>
      <w:r w:rsidRPr="001B0951">
        <w:rPr>
          <w:rFonts w:ascii="Arial" w:hAnsi="Arial" w:cs="Arial"/>
          <w:sz w:val="22"/>
          <w:szCs w:val="22"/>
        </w:rPr>
        <w:t>, což zahrnuje centra pro tvorbu softwaru, opravárenská centra, centra sdílených služeb, datová centra a centra zákaznické podpory.</w:t>
      </w:r>
    </w:p>
    <w:p w14:paraId="15652330" w14:textId="31CAD344" w:rsidR="00CE3DC1" w:rsidRPr="001B0951" w:rsidRDefault="00BE0175" w:rsidP="00E4384E">
      <w:pPr>
        <w:pStyle w:val="Odstavecseseznamem"/>
        <w:spacing w:after="240"/>
        <w:ind w:left="0"/>
        <w:contextualSpacing w:val="0"/>
        <w:jc w:val="both"/>
        <w:rPr>
          <w:rFonts w:ascii="Arial" w:hAnsi="Arial" w:cs="Arial"/>
          <w:bCs/>
          <w:sz w:val="22"/>
          <w:szCs w:val="22"/>
        </w:rPr>
      </w:pPr>
      <w:r w:rsidRPr="001B0951">
        <w:rPr>
          <w:rFonts w:ascii="Arial" w:hAnsi="Arial" w:cs="Arial"/>
          <w:bCs/>
          <w:sz w:val="22"/>
          <w:szCs w:val="22"/>
        </w:rPr>
        <w:t>Zákon o</w:t>
      </w:r>
      <w:r w:rsidR="00A1768F" w:rsidRPr="001B0951">
        <w:rPr>
          <w:rFonts w:ascii="Arial" w:hAnsi="Arial" w:cs="Arial"/>
          <w:bCs/>
          <w:sz w:val="22"/>
          <w:szCs w:val="22"/>
        </w:rPr>
        <w:t> </w:t>
      </w:r>
      <w:r w:rsidRPr="001B0951">
        <w:rPr>
          <w:rFonts w:ascii="Arial" w:hAnsi="Arial" w:cs="Arial"/>
          <w:bCs/>
          <w:sz w:val="22"/>
          <w:szCs w:val="22"/>
        </w:rPr>
        <w:t>investičních pobídkách byl za svou existenci několikrát no</w:t>
      </w:r>
      <w:r w:rsidR="004678AC" w:rsidRPr="001B0951">
        <w:rPr>
          <w:rFonts w:ascii="Arial" w:hAnsi="Arial" w:cs="Arial"/>
          <w:bCs/>
          <w:sz w:val="22"/>
          <w:szCs w:val="22"/>
        </w:rPr>
        <w:t>velizován, naposledy zákonem č. </w:t>
      </w:r>
      <w:r w:rsidRPr="001B0951">
        <w:rPr>
          <w:rFonts w:ascii="Arial" w:hAnsi="Arial" w:cs="Arial"/>
          <w:bCs/>
          <w:sz w:val="22"/>
          <w:szCs w:val="22"/>
        </w:rPr>
        <w:t>84/2015 Sb., s</w:t>
      </w:r>
      <w:r w:rsidR="00A1768F" w:rsidRPr="001B0951">
        <w:rPr>
          <w:rFonts w:ascii="Arial" w:hAnsi="Arial" w:cs="Arial"/>
          <w:bCs/>
          <w:sz w:val="22"/>
          <w:szCs w:val="22"/>
        </w:rPr>
        <w:t> </w:t>
      </w:r>
      <w:r w:rsidRPr="001B0951">
        <w:rPr>
          <w:rFonts w:ascii="Arial" w:hAnsi="Arial" w:cs="Arial"/>
          <w:bCs/>
          <w:sz w:val="22"/>
          <w:szCs w:val="22"/>
        </w:rPr>
        <w:t xml:space="preserve">účinností od 1. května 2015. </w:t>
      </w:r>
      <w:r w:rsidR="00CE3DC1" w:rsidRPr="001B0951">
        <w:rPr>
          <w:rFonts w:ascii="Arial" w:hAnsi="Arial" w:cs="Arial"/>
          <w:bCs/>
          <w:sz w:val="22"/>
          <w:szCs w:val="22"/>
        </w:rPr>
        <w:t>Touto novelou byla v</w:t>
      </w:r>
      <w:r w:rsidR="00A1768F" w:rsidRPr="001B0951">
        <w:rPr>
          <w:rFonts w:ascii="Arial" w:hAnsi="Arial" w:cs="Arial"/>
          <w:bCs/>
          <w:sz w:val="22"/>
          <w:szCs w:val="22"/>
        </w:rPr>
        <w:t> </w:t>
      </w:r>
      <w:r w:rsidR="00CE3DC1" w:rsidRPr="001B0951">
        <w:rPr>
          <w:rFonts w:ascii="Arial" w:hAnsi="Arial" w:cs="Arial"/>
          <w:bCs/>
          <w:sz w:val="22"/>
          <w:szCs w:val="22"/>
        </w:rPr>
        <w:t>zákoně o</w:t>
      </w:r>
      <w:r w:rsidR="00A1768F" w:rsidRPr="001B0951">
        <w:rPr>
          <w:rFonts w:ascii="Arial" w:hAnsi="Arial" w:cs="Arial"/>
          <w:bCs/>
          <w:sz w:val="22"/>
          <w:szCs w:val="22"/>
        </w:rPr>
        <w:t> </w:t>
      </w:r>
      <w:r w:rsidR="00CE3DC1" w:rsidRPr="001B0951">
        <w:rPr>
          <w:rFonts w:ascii="Arial" w:hAnsi="Arial" w:cs="Arial"/>
          <w:bCs/>
          <w:sz w:val="22"/>
          <w:szCs w:val="22"/>
        </w:rPr>
        <w:t>investičních pobídkách provedena adaptace nových evropských předpisů pro oblast veřejné podpory a</w:t>
      </w:r>
      <w:r w:rsidR="00A1768F" w:rsidRPr="001B0951">
        <w:rPr>
          <w:rFonts w:ascii="Arial" w:hAnsi="Arial" w:cs="Arial"/>
          <w:bCs/>
          <w:sz w:val="22"/>
          <w:szCs w:val="22"/>
        </w:rPr>
        <w:t> </w:t>
      </w:r>
      <w:r w:rsidR="00CE3DC1" w:rsidRPr="001B0951">
        <w:rPr>
          <w:rFonts w:ascii="Arial" w:hAnsi="Arial" w:cs="Arial"/>
          <w:bCs/>
          <w:sz w:val="22"/>
          <w:szCs w:val="22"/>
        </w:rPr>
        <w:t>byly zavedeny i</w:t>
      </w:r>
      <w:r w:rsidR="00A1768F" w:rsidRPr="001B0951">
        <w:rPr>
          <w:rFonts w:ascii="Arial" w:hAnsi="Arial" w:cs="Arial"/>
          <w:bCs/>
          <w:sz w:val="22"/>
          <w:szCs w:val="22"/>
        </w:rPr>
        <w:t> </w:t>
      </w:r>
      <w:r w:rsidR="00CE3DC1" w:rsidRPr="001B0951">
        <w:rPr>
          <w:rFonts w:ascii="Arial" w:hAnsi="Arial" w:cs="Arial"/>
          <w:bCs/>
          <w:sz w:val="22"/>
          <w:szCs w:val="22"/>
        </w:rPr>
        <w:t>některé nové stimuly a</w:t>
      </w:r>
      <w:r w:rsidR="00A1768F" w:rsidRPr="001B0951">
        <w:rPr>
          <w:rFonts w:ascii="Arial" w:hAnsi="Arial" w:cs="Arial"/>
          <w:bCs/>
          <w:sz w:val="22"/>
          <w:szCs w:val="22"/>
        </w:rPr>
        <w:t> </w:t>
      </w:r>
      <w:r w:rsidR="00CE3DC1" w:rsidRPr="001B0951">
        <w:rPr>
          <w:rFonts w:ascii="Arial" w:hAnsi="Arial" w:cs="Arial"/>
          <w:bCs/>
          <w:sz w:val="22"/>
          <w:szCs w:val="22"/>
        </w:rPr>
        <w:t>odstraněny nejvýraznější limitující překážky v</w:t>
      </w:r>
      <w:r w:rsidR="00A1768F" w:rsidRPr="001B0951">
        <w:rPr>
          <w:rFonts w:ascii="Arial" w:hAnsi="Arial" w:cs="Arial"/>
          <w:bCs/>
          <w:sz w:val="22"/>
          <w:szCs w:val="22"/>
        </w:rPr>
        <w:t> </w:t>
      </w:r>
      <w:r w:rsidR="00CE3DC1" w:rsidRPr="001B0951">
        <w:rPr>
          <w:rFonts w:ascii="Arial" w:hAnsi="Arial" w:cs="Arial"/>
          <w:bCs/>
          <w:sz w:val="22"/>
          <w:szCs w:val="22"/>
        </w:rPr>
        <w:t xml:space="preserve">systému investičních pobídek za účelem kompenzace nižší </w:t>
      </w:r>
      <w:r w:rsidR="007B4597" w:rsidRPr="001B0951">
        <w:rPr>
          <w:rFonts w:ascii="Arial" w:hAnsi="Arial" w:cs="Arial"/>
          <w:bCs/>
          <w:sz w:val="22"/>
          <w:szCs w:val="22"/>
        </w:rPr>
        <w:t>míry</w:t>
      </w:r>
      <w:r w:rsidR="00CE3DC1" w:rsidRPr="001B0951">
        <w:rPr>
          <w:rFonts w:ascii="Arial" w:hAnsi="Arial" w:cs="Arial"/>
          <w:bCs/>
          <w:sz w:val="22"/>
          <w:szCs w:val="22"/>
        </w:rPr>
        <w:t xml:space="preserve"> veřejné podpory</w:t>
      </w:r>
      <w:r w:rsidR="007B4597" w:rsidRPr="001B0951">
        <w:rPr>
          <w:rFonts w:ascii="Arial" w:hAnsi="Arial" w:cs="Arial"/>
          <w:bCs/>
          <w:sz w:val="22"/>
          <w:szCs w:val="22"/>
        </w:rPr>
        <w:t>, která začala v České republice platit od 1. července 2014</w:t>
      </w:r>
      <w:r w:rsidR="00CE3DC1" w:rsidRPr="001B0951">
        <w:rPr>
          <w:rFonts w:ascii="Arial" w:hAnsi="Arial" w:cs="Arial"/>
          <w:bCs/>
          <w:sz w:val="22"/>
          <w:szCs w:val="22"/>
        </w:rPr>
        <w:t xml:space="preserve">. </w:t>
      </w:r>
    </w:p>
    <w:p w14:paraId="231C30E1" w14:textId="02E38A27" w:rsidR="00380651" w:rsidRPr="001B0951" w:rsidRDefault="00380651"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 xml:space="preserve">Tabulka níže shrnuje přehled podpořených investičních akcí do </w:t>
      </w:r>
      <w:r w:rsidR="00C0646E" w:rsidRPr="001B0951">
        <w:rPr>
          <w:rFonts w:ascii="Arial" w:hAnsi="Arial" w:cs="Arial"/>
          <w:sz w:val="22"/>
          <w:szCs w:val="22"/>
        </w:rPr>
        <w:t>31</w:t>
      </w:r>
      <w:r w:rsidRPr="001B0951">
        <w:rPr>
          <w:rFonts w:ascii="Arial" w:hAnsi="Arial" w:cs="Arial"/>
          <w:sz w:val="22"/>
          <w:szCs w:val="22"/>
        </w:rPr>
        <w:t xml:space="preserve">. </w:t>
      </w:r>
      <w:r w:rsidR="00C0646E" w:rsidRPr="001B0951">
        <w:rPr>
          <w:rFonts w:ascii="Arial" w:hAnsi="Arial" w:cs="Arial"/>
          <w:sz w:val="22"/>
          <w:szCs w:val="22"/>
        </w:rPr>
        <w:t>prosince</w:t>
      </w:r>
      <w:r w:rsidRPr="001B0951">
        <w:rPr>
          <w:rFonts w:ascii="Arial" w:hAnsi="Arial" w:cs="Arial"/>
          <w:sz w:val="22"/>
          <w:szCs w:val="22"/>
        </w:rPr>
        <w:t xml:space="preserve"> 2016. </w:t>
      </w:r>
    </w:p>
    <w:p w14:paraId="69405ABF" w14:textId="77777777" w:rsidR="00772126" w:rsidRPr="001B0951" w:rsidRDefault="00772126" w:rsidP="0078610C">
      <w:pPr>
        <w:overflowPunct w:val="0"/>
        <w:autoSpaceDE w:val="0"/>
        <w:autoSpaceDN w:val="0"/>
        <w:adjustRightInd w:val="0"/>
        <w:jc w:val="both"/>
        <w:textAlignment w:val="baseline"/>
        <w:rPr>
          <w:rFonts w:ascii="Arial" w:hAnsi="Arial" w:cs="Arial"/>
          <w:sz w:val="22"/>
          <w:szCs w:val="22"/>
        </w:rPr>
      </w:pPr>
    </w:p>
    <w:tbl>
      <w:tblPr>
        <w:tblStyle w:val="Mkatabulky"/>
        <w:tblW w:w="0" w:type="auto"/>
        <w:tblLook w:val="04A0" w:firstRow="1" w:lastRow="0" w:firstColumn="1" w:lastColumn="0" w:noHBand="0" w:noVBand="1"/>
      </w:tblPr>
      <w:tblGrid>
        <w:gridCol w:w="1271"/>
        <w:gridCol w:w="1843"/>
        <w:gridCol w:w="1843"/>
        <w:gridCol w:w="1842"/>
        <w:gridCol w:w="1843"/>
      </w:tblGrid>
      <w:tr w:rsidR="004F4350" w:rsidRPr="001B0951" w14:paraId="230F2D0C" w14:textId="77777777" w:rsidTr="004920EB">
        <w:tc>
          <w:tcPr>
            <w:tcW w:w="1271" w:type="dxa"/>
            <w:tcBorders>
              <w:bottom w:val="single" w:sz="12" w:space="0" w:color="auto"/>
            </w:tcBorders>
          </w:tcPr>
          <w:p w14:paraId="2418F672" w14:textId="7066B725"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Rok</w:t>
            </w:r>
          </w:p>
        </w:tc>
        <w:tc>
          <w:tcPr>
            <w:tcW w:w="1843" w:type="dxa"/>
            <w:tcBorders>
              <w:bottom w:val="single" w:sz="12" w:space="0" w:color="auto"/>
            </w:tcBorders>
          </w:tcPr>
          <w:p w14:paraId="2E6388FB" w14:textId="77777777"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Počet vydaných</w:t>
            </w:r>
          </w:p>
          <w:p w14:paraId="207B8B04" w14:textId="77777777"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 xml:space="preserve">rozhodnutí </w:t>
            </w:r>
          </w:p>
          <w:p w14:paraId="6CB333ED" w14:textId="3E90D200"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o podpoře</w:t>
            </w:r>
          </w:p>
        </w:tc>
        <w:tc>
          <w:tcPr>
            <w:tcW w:w="1843" w:type="dxa"/>
            <w:tcBorders>
              <w:bottom w:val="single" w:sz="12" w:space="0" w:color="auto"/>
            </w:tcBorders>
          </w:tcPr>
          <w:p w14:paraId="54D510A8" w14:textId="77777777"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Výše veřejné</w:t>
            </w:r>
          </w:p>
          <w:p w14:paraId="543BB2E4" w14:textId="77777777"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 xml:space="preserve">podpory </w:t>
            </w:r>
          </w:p>
          <w:p w14:paraId="31DBF400" w14:textId="114AB3C4" w:rsidR="00772126" w:rsidRPr="001B0951" w:rsidRDefault="00772126" w:rsidP="0078610C">
            <w:pPr>
              <w:overflowPunct w:val="0"/>
              <w:autoSpaceDE w:val="0"/>
              <w:autoSpaceDN w:val="0"/>
              <w:adjustRightInd w:val="0"/>
              <w:jc w:val="both"/>
              <w:textAlignment w:val="baseline"/>
              <w:rPr>
                <w:rFonts w:ascii="Arial" w:hAnsi="Arial" w:cs="Arial"/>
                <w:i/>
                <w:sz w:val="22"/>
                <w:szCs w:val="22"/>
              </w:rPr>
            </w:pPr>
            <w:r w:rsidRPr="001B0951">
              <w:rPr>
                <w:rFonts w:ascii="Arial" w:hAnsi="Arial" w:cs="Arial"/>
                <w:i/>
                <w:sz w:val="22"/>
                <w:szCs w:val="22"/>
              </w:rPr>
              <w:t>(v mil. Kč)</w:t>
            </w:r>
          </w:p>
        </w:tc>
        <w:tc>
          <w:tcPr>
            <w:tcW w:w="1842" w:type="dxa"/>
            <w:tcBorders>
              <w:bottom w:val="single" w:sz="12" w:space="0" w:color="auto"/>
            </w:tcBorders>
          </w:tcPr>
          <w:p w14:paraId="79DF1EFF" w14:textId="77777777"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Výše podpořené</w:t>
            </w:r>
          </w:p>
          <w:p w14:paraId="402FCA57" w14:textId="77777777"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 xml:space="preserve">investice </w:t>
            </w:r>
          </w:p>
          <w:p w14:paraId="5E2C62DD" w14:textId="04724CB7" w:rsidR="00772126" w:rsidRPr="001B0951" w:rsidRDefault="00772126" w:rsidP="0078610C">
            <w:pPr>
              <w:overflowPunct w:val="0"/>
              <w:autoSpaceDE w:val="0"/>
              <w:autoSpaceDN w:val="0"/>
              <w:adjustRightInd w:val="0"/>
              <w:jc w:val="both"/>
              <w:textAlignment w:val="baseline"/>
              <w:rPr>
                <w:rFonts w:ascii="Arial" w:hAnsi="Arial" w:cs="Arial"/>
                <w:i/>
                <w:sz w:val="22"/>
                <w:szCs w:val="22"/>
              </w:rPr>
            </w:pPr>
            <w:r w:rsidRPr="001B0951">
              <w:rPr>
                <w:rFonts w:ascii="Arial" w:hAnsi="Arial" w:cs="Arial"/>
                <w:i/>
                <w:sz w:val="22"/>
                <w:szCs w:val="22"/>
              </w:rPr>
              <w:t>(v mil. Kč)</w:t>
            </w:r>
          </w:p>
        </w:tc>
        <w:tc>
          <w:tcPr>
            <w:tcW w:w="1843" w:type="dxa"/>
            <w:tcBorders>
              <w:bottom w:val="single" w:sz="12" w:space="0" w:color="auto"/>
            </w:tcBorders>
          </w:tcPr>
          <w:p w14:paraId="2FF5CB8B" w14:textId="77777777"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Počet nových</w:t>
            </w:r>
          </w:p>
          <w:p w14:paraId="67D9A155" w14:textId="078A0A80" w:rsidR="00772126" w:rsidRPr="001B0951" w:rsidRDefault="00772126" w:rsidP="0078610C">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pracovních míst</w:t>
            </w:r>
          </w:p>
        </w:tc>
      </w:tr>
      <w:tr w:rsidR="004F4350" w:rsidRPr="001B0951" w14:paraId="384F296C" w14:textId="77777777" w:rsidTr="004920EB">
        <w:tc>
          <w:tcPr>
            <w:tcW w:w="1271" w:type="dxa"/>
            <w:tcBorders>
              <w:top w:val="single" w:sz="12" w:space="0" w:color="auto"/>
            </w:tcBorders>
          </w:tcPr>
          <w:p w14:paraId="183FDFCE" w14:textId="55C1798F"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2000</w:t>
            </w:r>
          </w:p>
        </w:tc>
        <w:tc>
          <w:tcPr>
            <w:tcW w:w="1843" w:type="dxa"/>
            <w:tcBorders>
              <w:top w:val="single" w:sz="12" w:space="0" w:color="auto"/>
            </w:tcBorders>
          </w:tcPr>
          <w:p w14:paraId="6579AF62" w14:textId="4F00CADE"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14</w:t>
            </w:r>
          </w:p>
        </w:tc>
        <w:tc>
          <w:tcPr>
            <w:tcW w:w="1843" w:type="dxa"/>
            <w:tcBorders>
              <w:top w:val="single" w:sz="12" w:space="0" w:color="auto"/>
            </w:tcBorders>
          </w:tcPr>
          <w:p w14:paraId="084A42BC" w14:textId="58B01816"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6 825</w:t>
            </w:r>
          </w:p>
        </w:tc>
        <w:tc>
          <w:tcPr>
            <w:tcW w:w="1842" w:type="dxa"/>
            <w:tcBorders>
              <w:top w:val="single" w:sz="12" w:space="0" w:color="auto"/>
            </w:tcBorders>
          </w:tcPr>
          <w:p w14:paraId="23EECAA4" w14:textId="553E209F"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16 475</w:t>
            </w:r>
          </w:p>
        </w:tc>
        <w:tc>
          <w:tcPr>
            <w:tcW w:w="1843" w:type="dxa"/>
            <w:tcBorders>
              <w:top w:val="single" w:sz="12" w:space="0" w:color="auto"/>
            </w:tcBorders>
          </w:tcPr>
          <w:p w14:paraId="1AE0ACBA" w14:textId="6FADF7D9"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2 341</w:t>
            </w:r>
          </w:p>
        </w:tc>
      </w:tr>
      <w:tr w:rsidR="00772126" w:rsidRPr="001B0951" w14:paraId="0742B2F0" w14:textId="77777777" w:rsidTr="004920EB">
        <w:tc>
          <w:tcPr>
            <w:tcW w:w="1271" w:type="dxa"/>
          </w:tcPr>
          <w:p w14:paraId="4FF4E382" w14:textId="66AE9372"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2001</w:t>
            </w:r>
          </w:p>
        </w:tc>
        <w:tc>
          <w:tcPr>
            <w:tcW w:w="1843" w:type="dxa"/>
          </w:tcPr>
          <w:p w14:paraId="00C8D2D0" w14:textId="6C738069"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46</w:t>
            </w:r>
          </w:p>
        </w:tc>
        <w:tc>
          <w:tcPr>
            <w:tcW w:w="1843" w:type="dxa"/>
          </w:tcPr>
          <w:p w14:paraId="334C2E36" w14:textId="7698E0C0"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21 558</w:t>
            </w:r>
          </w:p>
        </w:tc>
        <w:tc>
          <w:tcPr>
            <w:tcW w:w="1842" w:type="dxa"/>
          </w:tcPr>
          <w:p w14:paraId="0C958D63" w14:textId="4B76497B"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56 396</w:t>
            </w:r>
          </w:p>
        </w:tc>
        <w:tc>
          <w:tcPr>
            <w:tcW w:w="1843" w:type="dxa"/>
          </w:tcPr>
          <w:p w14:paraId="605DBDAE" w14:textId="000A2750"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13 302</w:t>
            </w:r>
          </w:p>
        </w:tc>
      </w:tr>
      <w:tr w:rsidR="00772126" w:rsidRPr="001B0951" w14:paraId="47F1BC83" w14:textId="77777777" w:rsidTr="004920EB">
        <w:tc>
          <w:tcPr>
            <w:tcW w:w="1271" w:type="dxa"/>
          </w:tcPr>
          <w:p w14:paraId="24D76094" w14:textId="525B7340"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2002</w:t>
            </w:r>
          </w:p>
        </w:tc>
        <w:tc>
          <w:tcPr>
            <w:tcW w:w="1843" w:type="dxa"/>
          </w:tcPr>
          <w:p w14:paraId="75A0DADD" w14:textId="26122D37"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38</w:t>
            </w:r>
          </w:p>
        </w:tc>
        <w:tc>
          <w:tcPr>
            <w:tcW w:w="1843" w:type="dxa"/>
          </w:tcPr>
          <w:p w14:paraId="36F94CF7" w14:textId="61F32101"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17 851</w:t>
            </w:r>
          </w:p>
        </w:tc>
        <w:tc>
          <w:tcPr>
            <w:tcW w:w="1842" w:type="dxa"/>
          </w:tcPr>
          <w:p w14:paraId="150A832A" w14:textId="13EDC5BC"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45 181</w:t>
            </w:r>
          </w:p>
        </w:tc>
        <w:tc>
          <w:tcPr>
            <w:tcW w:w="1843" w:type="dxa"/>
          </w:tcPr>
          <w:p w14:paraId="4F569728" w14:textId="2092D5B2"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8 244</w:t>
            </w:r>
          </w:p>
        </w:tc>
      </w:tr>
      <w:tr w:rsidR="00772126" w:rsidRPr="001B0951" w14:paraId="2226DB53" w14:textId="77777777" w:rsidTr="004920EB">
        <w:tc>
          <w:tcPr>
            <w:tcW w:w="1271" w:type="dxa"/>
          </w:tcPr>
          <w:p w14:paraId="1FD9C568" w14:textId="1961523E"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2003</w:t>
            </w:r>
          </w:p>
        </w:tc>
        <w:tc>
          <w:tcPr>
            <w:tcW w:w="1843" w:type="dxa"/>
          </w:tcPr>
          <w:p w14:paraId="0076FC21" w14:textId="225D4E34"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31</w:t>
            </w:r>
          </w:p>
        </w:tc>
        <w:tc>
          <w:tcPr>
            <w:tcW w:w="1843" w:type="dxa"/>
          </w:tcPr>
          <w:p w14:paraId="6FB32D31" w14:textId="47461BEC"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10 957</w:t>
            </w:r>
          </w:p>
        </w:tc>
        <w:tc>
          <w:tcPr>
            <w:tcW w:w="1842" w:type="dxa"/>
          </w:tcPr>
          <w:p w14:paraId="47D99B46" w14:textId="23C76CCE"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25 216</w:t>
            </w:r>
          </w:p>
        </w:tc>
        <w:tc>
          <w:tcPr>
            <w:tcW w:w="1843" w:type="dxa"/>
          </w:tcPr>
          <w:p w14:paraId="0226B628" w14:textId="3C1CD8E5"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10 365</w:t>
            </w:r>
          </w:p>
        </w:tc>
      </w:tr>
      <w:tr w:rsidR="00772126" w:rsidRPr="001B0951" w14:paraId="3FC8960C" w14:textId="77777777" w:rsidTr="004920EB">
        <w:tc>
          <w:tcPr>
            <w:tcW w:w="1271" w:type="dxa"/>
          </w:tcPr>
          <w:p w14:paraId="47B8BADF" w14:textId="459CCEE4"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2004</w:t>
            </w:r>
          </w:p>
        </w:tc>
        <w:tc>
          <w:tcPr>
            <w:tcW w:w="1843" w:type="dxa"/>
          </w:tcPr>
          <w:p w14:paraId="14E5E4F1" w14:textId="708DF5B5"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31</w:t>
            </w:r>
          </w:p>
        </w:tc>
        <w:tc>
          <w:tcPr>
            <w:tcW w:w="1843" w:type="dxa"/>
          </w:tcPr>
          <w:p w14:paraId="528CA28E" w14:textId="67AA1089"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15 765</w:t>
            </w:r>
          </w:p>
        </w:tc>
        <w:tc>
          <w:tcPr>
            <w:tcW w:w="1842" w:type="dxa"/>
          </w:tcPr>
          <w:p w14:paraId="7844F37B" w14:textId="34A5D475"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53 579</w:t>
            </w:r>
          </w:p>
        </w:tc>
        <w:tc>
          <w:tcPr>
            <w:tcW w:w="1843" w:type="dxa"/>
          </w:tcPr>
          <w:p w14:paraId="083DA3FB" w14:textId="39B99864"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7 479</w:t>
            </w:r>
          </w:p>
        </w:tc>
      </w:tr>
      <w:tr w:rsidR="00772126" w:rsidRPr="001B0951" w14:paraId="4B01955A" w14:textId="77777777" w:rsidTr="004920EB">
        <w:tc>
          <w:tcPr>
            <w:tcW w:w="1271" w:type="dxa"/>
          </w:tcPr>
          <w:p w14:paraId="0D31173D" w14:textId="2BB9EDC7"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2005</w:t>
            </w:r>
          </w:p>
        </w:tc>
        <w:tc>
          <w:tcPr>
            <w:tcW w:w="1843" w:type="dxa"/>
          </w:tcPr>
          <w:p w14:paraId="2F554093" w14:textId="11181246"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57</w:t>
            </w:r>
          </w:p>
        </w:tc>
        <w:tc>
          <w:tcPr>
            <w:tcW w:w="1843" w:type="dxa"/>
          </w:tcPr>
          <w:p w14:paraId="749B10D4" w14:textId="024955E1"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16 287</w:t>
            </w:r>
          </w:p>
        </w:tc>
        <w:tc>
          <w:tcPr>
            <w:tcW w:w="1842" w:type="dxa"/>
          </w:tcPr>
          <w:p w14:paraId="7BE19584" w14:textId="58D45A21"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39 252</w:t>
            </w:r>
          </w:p>
        </w:tc>
        <w:tc>
          <w:tcPr>
            <w:tcW w:w="1843" w:type="dxa"/>
          </w:tcPr>
          <w:p w14:paraId="1831D693" w14:textId="20180DF2"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7 637</w:t>
            </w:r>
          </w:p>
        </w:tc>
      </w:tr>
      <w:tr w:rsidR="00772126" w:rsidRPr="001B0951" w14:paraId="7CE0E10F" w14:textId="77777777" w:rsidTr="004920EB">
        <w:tc>
          <w:tcPr>
            <w:tcW w:w="1271" w:type="dxa"/>
          </w:tcPr>
          <w:p w14:paraId="16CB7045" w14:textId="696D2ABA"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2006</w:t>
            </w:r>
          </w:p>
        </w:tc>
        <w:tc>
          <w:tcPr>
            <w:tcW w:w="1843" w:type="dxa"/>
          </w:tcPr>
          <w:p w14:paraId="159EC0FD" w14:textId="6381C219"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149</w:t>
            </w:r>
          </w:p>
        </w:tc>
        <w:tc>
          <w:tcPr>
            <w:tcW w:w="1843" w:type="dxa"/>
          </w:tcPr>
          <w:p w14:paraId="065E6D0D" w14:textId="527040C0"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49 528</w:t>
            </w:r>
          </w:p>
        </w:tc>
        <w:tc>
          <w:tcPr>
            <w:tcW w:w="1842" w:type="dxa"/>
          </w:tcPr>
          <w:p w14:paraId="6F8A359B" w14:textId="659284B8"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107 729</w:t>
            </w:r>
          </w:p>
        </w:tc>
        <w:tc>
          <w:tcPr>
            <w:tcW w:w="1843" w:type="dxa"/>
          </w:tcPr>
          <w:p w14:paraId="243769C1" w14:textId="55DBB9AE"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30 100</w:t>
            </w:r>
          </w:p>
        </w:tc>
      </w:tr>
      <w:tr w:rsidR="00772126" w:rsidRPr="001B0951" w14:paraId="3402D46D" w14:textId="77777777" w:rsidTr="004920EB">
        <w:tc>
          <w:tcPr>
            <w:tcW w:w="1271" w:type="dxa"/>
          </w:tcPr>
          <w:p w14:paraId="5A26F562" w14:textId="1C0D0CA5"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2007</w:t>
            </w:r>
          </w:p>
        </w:tc>
        <w:tc>
          <w:tcPr>
            <w:tcW w:w="1843" w:type="dxa"/>
          </w:tcPr>
          <w:p w14:paraId="23A09109" w14:textId="04001B8B"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55</w:t>
            </w:r>
          </w:p>
        </w:tc>
        <w:tc>
          <w:tcPr>
            <w:tcW w:w="1843" w:type="dxa"/>
          </w:tcPr>
          <w:p w14:paraId="61E8D757" w14:textId="3770DF71"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11 436</w:t>
            </w:r>
          </w:p>
        </w:tc>
        <w:tc>
          <w:tcPr>
            <w:tcW w:w="1842" w:type="dxa"/>
          </w:tcPr>
          <w:p w14:paraId="3C9A12FA" w14:textId="40FA73CA"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30 903</w:t>
            </w:r>
          </w:p>
        </w:tc>
        <w:tc>
          <w:tcPr>
            <w:tcW w:w="1843" w:type="dxa"/>
          </w:tcPr>
          <w:p w14:paraId="7DD6C9A6" w14:textId="696F2DF6"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7 342</w:t>
            </w:r>
          </w:p>
        </w:tc>
      </w:tr>
      <w:tr w:rsidR="00772126" w:rsidRPr="001B0951" w14:paraId="1FA2D21D" w14:textId="77777777" w:rsidTr="004920EB">
        <w:tc>
          <w:tcPr>
            <w:tcW w:w="1271" w:type="dxa"/>
          </w:tcPr>
          <w:p w14:paraId="6B9C1B75" w14:textId="3BAADF12"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2008</w:t>
            </w:r>
          </w:p>
        </w:tc>
        <w:tc>
          <w:tcPr>
            <w:tcW w:w="1843" w:type="dxa"/>
          </w:tcPr>
          <w:p w14:paraId="5ED64ABE" w14:textId="132D4A89"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114</w:t>
            </w:r>
          </w:p>
        </w:tc>
        <w:tc>
          <w:tcPr>
            <w:tcW w:w="1843" w:type="dxa"/>
          </w:tcPr>
          <w:p w14:paraId="5DFE42F3" w14:textId="0038CCCB"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18 222</w:t>
            </w:r>
          </w:p>
        </w:tc>
        <w:tc>
          <w:tcPr>
            <w:tcW w:w="1842" w:type="dxa"/>
          </w:tcPr>
          <w:p w14:paraId="7E5B3BA4" w14:textId="6338EA44"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87 848</w:t>
            </w:r>
          </w:p>
        </w:tc>
        <w:tc>
          <w:tcPr>
            <w:tcW w:w="1843" w:type="dxa"/>
          </w:tcPr>
          <w:p w14:paraId="0D0BFAD7" w14:textId="694329D4"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17 356</w:t>
            </w:r>
          </w:p>
        </w:tc>
      </w:tr>
      <w:tr w:rsidR="00772126" w:rsidRPr="001B0951" w14:paraId="735F461D" w14:textId="77777777" w:rsidTr="004920EB">
        <w:tc>
          <w:tcPr>
            <w:tcW w:w="1271" w:type="dxa"/>
          </w:tcPr>
          <w:p w14:paraId="44636B5E" w14:textId="253C9A2B"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2009</w:t>
            </w:r>
          </w:p>
        </w:tc>
        <w:tc>
          <w:tcPr>
            <w:tcW w:w="1843" w:type="dxa"/>
          </w:tcPr>
          <w:p w14:paraId="351ABDE8" w14:textId="4B913599"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35</w:t>
            </w:r>
          </w:p>
        </w:tc>
        <w:tc>
          <w:tcPr>
            <w:tcW w:w="1843" w:type="dxa"/>
          </w:tcPr>
          <w:p w14:paraId="5DF42F11" w14:textId="1E1539F3"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5 143</w:t>
            </w:r>
          </w:p>
        </w:tc>
        <w:tc>
          <w:tcPr>
            <w:tcW w:w="1842" w:type="dxa"/>
          </w:tcPr>
          <w:p w14:paraId="7BBE8B72" w14:textId="19802366"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15 392</w:t>
            </w:r>
          </w:p>
        </w:tc>
        <w:tc>
          <w:tcPr>
            <w:tcW w:w="1843" w:type="dxa"/>
          </w:tcPr>
          <w:p w14:paraId="57F8804F" w14:textId="50A8A6B2"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8 724</w:t>
            </w:r>
          </w:p>
        </w:tc>
      </w:tr>
      <w:tr w:rsidR="00772126" w:rsidRPr="001B0951" w14:paraId="7BDAC0F1" w14:textId="77777777" w:rsidTr="004920EB">
        <w:tc>
          <w:tcPr>
            <w:tcW w:w="1271" w:type="dxa"/>
          </w:tcPr>
          <w:p w14:paraId="2911CA8F" w14:textId="20F33B4A"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2010</w:t>
            </w:r>
          </w:p>
        </w:tc>
        <w:tc>
          <w:tcPr>
            <w:tcW w:w="1843" w:type="dxa"/>
          </w:tcPr>
          <w:p w14:paraId="2A94ABE3" w14:textId="1CC20188"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13</w:t>
            </w:r>
          </w:p>
        </w:tc>
        <w:tc>
          <w:tcPr>
            <w:tcW w:w="1843" w:type="dxa"/>
          </w:tcPr>
          <w:p w14:paraId="2492F86F" w14:textId="2F5CED95"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1 667</w:t>
            </w:r>
          </w:p>
        </w:tc>
        <w:tc>
          <w:tcPr>
            <w:tcW w:w="1842" w:type="dxa"/>
          </w:tcPr>
          <w:p w14:paraId="3551936A" w14:textId="63DABAB9"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4 879</w:t>
            </w:r>
          </w:p>
        </w:tc>
        <w:tc>
          <w:tcPr>
            <w:tcW w:w="1843" w:type="dxa"/>
          </w:tcPr>
          <w:p w14:paraId="1591223A" w14:textId="710FDE17"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2 111</w:t>
            </w:r>
          </w:p>
        </w:tc>
      </w:tr>
      <w:tr w:rsidR="00772126" w:rsidRPr="001B0951" w14:paraId="7D971798" w14:textId="77777777" w:rsidTr="004920EB">
        <w:tc>
          <w:tcPr>
            <w:tcW w:w="1271" w:type="dxa"/>
          </w:tcPr>
          <w:p w14:paraId="1228CE65" w14:textId="2E364D4A"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2011</w:t>
            </w:r>
          </w:p>
        </w:tc>
        <w:tc>
          <w:tcPr>
            <w:tcW w:w="1843" w:type="dxa"/>
          </w:tcPr>
          <w:p w14:paraId="4282C172" w14:textId="59C174CE"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24</w:t>
            </w:r>
          </w:p>
        </w:tc>
        <w:tc>
          <w:tcPr>
            <w:tcW w:w="1843" w:type="dxa"/>
          </w:tcPr>
          <w:p w14:paraId="2D441A91" w14:textId="1B1327E0"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5 540</w:t>
            </w:r>
          </w:p>
        </w:tc>
        <w:tc>
          <w:tcPr>
            <w:tcW w:w="1842" w:type="dxa"/>
          </w:tcPr>
          <w:p w14:paraId="28BBF296" w14:textId="593A2DA9"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16 917</w:t>
            </w:r>
          </w:p>
        </w:tc>
        <w:tc>
          <w:tcPr>
            <w:tcW w:w="1843" w:type="dxa"/>
          </w:tcPr>
          <w:p w14:paraId="4D562A06" w14:textId="08C819FC"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5 027</w:t>
            </w:r>
          </w:p>
        </w:tc>
      </w:tr>
      <w:tr w:rsidR="00772126" w:rsidRPr="001B0951" w14:paraId="2E6925F5" w14:textId="77777777" w:rsidTr="004920EB">
        <w:tc>
          <w:tcPr>
            <w:tcW w:w="1271" w:type="dxa"/>
          </w:tcPr>
          <w:p w14:paraId="2871263F" w14:textId="743FEDB1"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2012</w:t>
            </w:r>
          </w:p>
        </w:tc>
        <w:tc>
          <w:tcPr>
            <w:tcW w:w="1843" w:type="dxa"/>
          </w:tcPr>
          <w:p w14:paraId="17D4F477" w14:textId="6DAAD7BA"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41</w:t>
            </w:r>
          </w:p>
        </w:tc>
        <w:tc>
          <w:tcPr>
            <w:tcW w:w="1843" w:type="dxa"/>
          </w:tcPr>
          <w:p w14:paraId="5FB327D6" w14:textId="48ED7F70"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5 259</w:t>
            </w:r>
          </w:p>
        </w:tc>
        <w:tc>
          <w:tcPr>
            <w:tcW w:w="1842" w:type="dxa"/>
          </w:tcPr>
          <w:p w14:paraId="770C15D4" w14:textId="27F6A029"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16 339</w:t>
            </w:r>
          </w:p>
        </w:tc>
        <w:tc>
          <w:tcPr>
            <w:tcW w:w="1843" w:type="dxa"/>
          </w:tcPr>
          <w:p w14:paraId="25AE6519" w14:textId="7F99954F"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3 433</w:t>
            </w:r>
          </w:p>
        </w:tc>
      </w:tr>
      <w:tr w:rsidR="00772126" w:rsidRPr="001B0951" w14:paraId="7296825D" w14:textId="77777777" w:rsidTr="004920EB">
        <w:tc>
          <w:tcPr>
            <w:tcW w:w="1271" w:type="dxa"/>
          </w:tcPr>
          <w:p w14:paraId="12E1F27C" w14:textId="538E8906"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2013</w:t>
            </w:r>
          </w:p>
        </w:tc>
        <w:tc>
          <w:tcPr>
            <w:tcW w:w="1843" w:type="dxa"/>
          </w:tcPr>
          <w:p w14:paraId="012047A8" w14:textId="4E22F30E"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95</w:t>
            </w:r>
          </w:p>
        </w:tc>
        <w:tc>
          <w:tcPr>
            <w:tcW w:w="1843" w:type="dxa"/>
          </w:tcPr>
          <w:p w14:paraId="4E69ABE2" w14:textId="5A3EB4F7"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14 978</w:t>
            </w:r>
          </w:p>
        </w:tc>
        <w:tc>
          <w:tcPr>
            <w:tcW w:w="1842" w:type="dxa"/>
          </w:tcPr>
          <w:p w14:paraId="46F3CB41" w14:textId="3B6B10B9"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47 001</w:t>
            </w:r>
          </w:p>
        </w:tc>
        <w:tc>
          <w:tcPr>
            <w:tcW w:w="1843" w:type="dxa"/>
          </w:tcPr>
          <w:p w14:paraId="11C94CDD" w14:textId="420203D1"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11 017</w:t>
            </w:r>
          </w:p>
        </w:tc>
      </w:tr>
      <w:tr w:rsidR="00772126" w:rsidRPr="001B0951" w14:paraId="3DEC7222" w14:textId="77777777" w:rsidTr="004920EB">
        <w:tc>
          <w:tcPr>
            <w:tcW w:w="1271" w:type="dxa"/>
          </w:tcPr>
          <w:p w14:paraId="13141FF3" w14:textId="1E2B9069"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2014</w:t>
            </w:r>
          </w:p>
        </w:tc>
        <w:tc>
          <w:tcPr>
            <w:tcW w:w="1843" w:type="dxa"/>
          </w:tcPr>
          <w:p w14:paraId="061A71FE" w14:textId="2DD33CEC"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149</w:t>
            </w:r>
          </w:p>
        </w:tc>
        <w:tc>
          <w:tcPr>
            <w:tcW w:w="1843" w:type="dxa"/>
          </w:tcPr>
          <w:p w14:paraId="3F93C00A" w14:textId="32B15A4C"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25 134</w:t>
            </w:r>
          </w:p>
        </w:tc>
        <w:tc>
          <w:tcPr>
            <w:tcW w:w="1842" w:type="dxa"/>
          </w:tcPr>
          <w:p w14:paraId="223B2443" w14:textId="156D5C28"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78 536</w:t>
            </w:r>
          </w:p>
        </w:tc>
        <w:tc>
          <w:tcPr>
            <w:tcW w:w="1843" w:type="dxa"/>
          </w:tcPr>
          <w:p w14:paraId="51EAF601" w14:textId="6259362D"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14 673</w:t>
            </w:r>
          </w:p>
        </w:tc>
      </w:tr>
      <w:tr w:rsidR="00772126" w:rsidRPr="001B0951" w14:paraId="0906246A" w14:textId="77777777" w:rsidTr="004920EB">
        <w:tc>
          <w:tcPr>
            <w:tcW w:w="1271" w:type="dxa"/>
          </w:tcPr>
          <w:p w14:paraId="32E3602A" w14:textId="084FCED6"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2015</w:t>
            </w:r>
          </w:p>
        </w:tc>
        <w:tc>
          <w:tcPr>
            <w:tcW w:w="1843" w:type="dxa"/>
          </w:tcPr>
          <w:p w14:paraId="57ECEE9E" w14:textId="1BD50599"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57</w:t>
            </w:r>
          </w:p>
        </w:tc>
        <w:tc>
          <w:tcPr>
            <w:tcW w:w="1843" w:type="dxa"/>
          </w:tcPr>
          <w:p w14:paraId="378B088D" w14:textId="58E1E508"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5 023</w:t>
            </w:r>
          </w:p>
        </w:tc>
        <w:tc>
          <w:tcPr>
            <w:tcW w:w="1842" w:type="dxa"/>
          </w:tcPr>
          <w:p w14:paraId="6BD3EB4D" w14:textId="1F7520EE"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22 094</w:t>
            </w:r>
          </w:p>
        </w:tc>
        <w:tc>
          <w:tcPr>
            <w:tcW w:w="1843" w:type="dxa"/>
          </w:tcPr>
          <w:p w14:paraId="3BF6E042" w14:textId="1380409B"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4 178</w:t>
            </w:r>
          </w:p>
        </w:tc>
      </w:tr>
      <w:tr w:rsidR="004F4350" w:rsidRPr="001B0951" w14:paraId="5E5CCF65" w14:textId="77777777" w:rsidTr="004920EB">
        <w:tc>
          <w:tcPr>
            <w:tcW w:w="1271" w:type="dxa"/>
            <w:tcBorders>
              <w:bottom w:val="single" w:sz="12" w:space="0" w:color="auto"/>
            </w:tcBorders>
          </w:tcPr>
          <w:p w14:paraId="4BAFA137" w14:textId="78BE8E2D" w:rsidR="00772126" w:rsidRPr="001B0951" w:rsidRDefault="00772126" w:rsidP="00772126">
            <w:pPr>
              <w:overflowPunct w:val="0"/>
              <w:autoSpaceDE w:val="0"/>
              <w:autoSpaceDN w:val="0"/>
              <w:adjustRightInd w:val="0"/>
              <w:jc w:val="both"/>
              <w:textAlignment w:val="baseline"/>
              <w:rPr>
                <w:rFonts w:ascii="Arial" w:hAnsi="Arial" w:cs="Arial"/>
                <w:sz w:val="22"/>
                <w:szCs w:val="22"/>
              </w:rPr>
            </w:pPr>
            <w:r w:rsidRPr="001B0951">
              <w:rPr>
                <w:rFonts w:ascii="Arial" w:hAnsi="Arial" w:cs="Arial"/>
                <w:sz w:val="22"/>
                <w:szCs w:val="22"/>
              </w:rPr>
              <w:t>2016</w:t>
            </w:r>
          </w:p>
        </w:tc>
        <w:tc>
          <w:tcPr>
            <w:tcW w:w="1843" w:type="dxa"/>
            <w:tcBorders>
              <w:bottom w:val="single" w:sz="12" w:space="0" w:color="auto"/>
            </w:tcBorders>
          </w:tcPr>
          <w:p w14:paraId="2BC8A95A" w14:textId="56448C95" w:rsidR="00772126" w:rsidRPr="001B0951" w:rsidRDefault="00772126" w:rsidP="004920EB">
            <w:pPr>
              <w:overflowPunct w:val="0"/>
              <w:autoSpaceDE w:val="0"/>
              <w:autoSpaceDN w:val="0"/>
              <w:adjustRightInd w:val="0"/>
              <w:jc w:val="center"/>
              <w:textAlignment w:val="baseline"/>
              <w:rPr>
                <w:rFonts w:ascii="Arial" w:hAnsi="Arial" w:cs="Arial"/>
                <w:sz w:val="22"/>
                <w:szCs w:val="22"/>
              </w:rPr>
            </w:pPr>
            <w:r w:rsidRPr="001B0951">
              <w:rPr>
                <w:rFonts w:ascii="Arial" w:hAnsi="Arial" w:cs="Arial"/>
                <w:sz w:val="22"/>
                <w:szCs w:val="22"/>
              </w:rPr>
              <w:t>72</w:t>
            </w:r>
          </w:p>
        </w:tc>
        <w:tc>
          <w:tcPr>
            <w:tcW w:w="1843" w:type="dxa"/>
            <w:tcBorders>
              <w:bottom w:val="single" w:sz="12" w:space="0" w:color="auto"/>
            </w:tcBorders>
          </w:tcPr>
          <w:p w14:paraId="4C15AA86" w14:textId="6D1C526C"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12 485</w:t>
            </w:r>
          </w:p>
        </w:tc>
        <w:tc>
          <w:tcPr>
            <w:tcW w:w="1842" w:type="dxa"/>
            <w:tcBorders>
              <w:bottom w:val="single" w:sz="12" w:space="0" w:color="auto"/>
            </w:tcBorders>
          </w:tcPr>
          <w:p w14:paraId="763BC5CC" w14:textId="6B7D1F5A"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60 237</w:t>
            </w:r>
          </w:p>
        </w:tc>
        <w:tc>
          <w:tcPr>
            <w:tcW w:w="1843" w:type="dxa"/>
            <w:tcBorders>
              <w:bottom w:val="single" w:sz="12" w:space="0" w:color="auto"/>
            </w:tcBorders>
          </w:tcPr>
          <w:p w14:paraId="6E200B42" w14:textId="3A3B2F22" w:rsidR="00772126" w:rsidRPr="001B0951" w:rsidRDefault="00772126" w:rsidP="004920EB">
            <w:pPr>
              <w:overflowPunct w:val="0"/>
              <w:autoSpaceDE w:val="0"/>
              <w:autoSpaceDN w:val="0"/>
              <w:adjustRightInd w:val="0"/>
              <w:jc w:val="right"/>
              <w:textAlignment w:val="baseline"/>
              <w:rPr>
                <w:rFonts w:ascii="Arial" w:hAnsi="Arial" w:cs="Arial"/>
                <w:sz w:val="22"/>
                <w:szCs w:val="22"/>
              </w:rPr>
            </w:pPr>
            <w:r w:rsidRPr="001B0951">
              <w:rPr>
                <w:rFonts w:ascii="Arial" w:hAnsi="Arial" w:cs="Arial"/>
                <w:sz w:val="22"/>
                <w:szCs w:val="22"/>
              </w:rPr>
              <w:t>9 866</w:t>
            </w:r>
          </w:p>
        </w:tc>
      </w:tr>
      <w:tr w:rsidR="004F4350" w:rsidRPr="001B0951" w14:paraId="6560B1DE" w14:textId="77777777" w:rsidTr="004920EB">
        <w:tc>
          <w:tcPr>
            <w:tcW w:w="1271" w:type="dxa"/>
            <w:tcBorders>
              <w:top w:val="single" w:sz="12" w:space="0" w:color="auto"/>
            </w:tcBorders>
          </w:tcPr>
          <w:p w14:paraId="298D4F9A" w14:textId="41615B85" w:rsidR="00772126" w:rsidRPr="001B0951" w:rsidRDefault="00772126" w:rsidP="00772126">
            <w:pPr>
              <w:overflowPunct w:val="0"/>
              <w:autoSpaceDE w:val="0"/>
              <w:autoSpaceDN w:val="0"/>
              <w:adjustRightInd w:val="0"/>
              <w:jc w:val="both"/>
              <w:textAlignment w:val="baseline"/>
              <w:rPr>
                <w:rFonts w:ascii="Arial" w:hAnsi="Arial" w:cs="Arial"/>
                <w:b/>
                <w:sz w:val="22"/>
                <w:szCs w:val="22"/>
              </w:rPr>
            </w:pPr>
            <w:r w:rsidRPr="001B0951">
              <w:rPr>
                <w:rFonts w:ascii="Arial" w:hAnsi="Arial" w:cs="Arial"/>
                <w:b/>
                <w:sz w:val="22"/>
                <w:szCs w:val="22"/>
              </w:rPr>
              <w:t>Celkem</w:t>
            </w:r>
          </w:p>
        </w:tc>
        <w:tc>
          <w:tcPr>
            <w:tcW w:w="1843" w:type="dxa"/>
            <w:tcBorders>
              <w:top w:val="single" w:sz="12" w:space="0" w:color="auto"/>
            </w:tcBorders>
          </w:tcPr>
          <w:p w14:paraId="2D338EBA" w14:textId="1ED20D58" w:rsidR="00772126" w:rsidRPr="001B0951" w:rsidRDefault="00772126" w:rsidP="004920EB">
            <w:pPr>
              <w:overflowPunct w:val="0"/>
              <w:autoSpaceDE w:val="0"/>
              <w:autoSpaceDN w:val="0"/>
              <w:adjustRightInd w:val="0"/>
              <w:jc w:val="center"/>
              <w:textAlignment w:val="baseline"/>
              <w:rPr>
                <w:rFonts w:ascii="Arial" w:hAnsi="Arial" w:cs="Arial"/>
                <w:b/>
                <w:sz w:val="22"/>
                <w:szCs w:val="22"/>
              </w:rPr>
            </w:pPr>
            <w:r w:rsidRPr="001B0951">
              <w:rPr>
                <w:rFonts w:ascii="Arial" w:hAnsi="Arial" w:cs="Arial"/>
                <w:b/>
                <w:sz w:val="22"/>
                <w:szCs w:val="22"/>
              </w:rPr>
              <w:t>1006</w:t>
            </w:r>
          </w:p>
        </w:tc>
        <w:tc>
          <w:tcPr>
            <w:tcW w:w="1843" w:type="dxa"/>
            <w:tcBorders>
              <w:top w:val="single" w:sz="12" w:space="0" w:color="auto"/>
            </w:tcBorders>
          </w:tcPr>
          <w:p w14:paraId="2DF74FDC" w14:textId="7292F65D" w:rsidR="00772126" w:rsidRPr="001B0951" w:rsidRDefault="00772126" w:rsidP="004920EB">
            <w:pPr>
              <w:overflowPunct w:val="0"/>
              <w:autoSpaceDE w:val="0"/>
              <w:autoSpaceDN w:val="0"/>
              <w:adjustRightInd w:val="0"/>
              <w:jc w:val="right"/>
              <w:textAlignment w:val="baseline"/>
              <w:rPr>
                <w:rFonts w:ascii="Arial" w:hAnsi="Arial" w:cs="Arial"/>
                <w:b/>
                <w:sz w:val="22"/>
                <w:szCs w:val="22"/>
              </w:rPr>
            </w:pPr>
            <w:r w:rsidRPr="001B0951">
              <w:rPr>
                <w:rFonts w:ascii="Arial" w:hAnsi="Arial" w:cs="Arial"/>
                <w:b/>
                <w:sz w:val="22"/>
                <w:szCs w:val="22"/>
              </w:rPr>
              <w:t>238 270</w:t>
            </w:r>
          </w:p>
        </w:tc>
        <w:tc>
          <w:tcPr>
            <w:tcW w:w="1842" w:type="dxa"/>
            <w:tcBorders>
              <w:top w:val="single" w:sz="12" w:space="0" w:color="auto"/>
            </w:tcBorders>
          </w:tcPr>
          <w:p w14:paraId="03BF800B" w14:textId="3A28B82E" w:rsidR="00772126" w:rsidRPr="001B0951" w:rsidRDefault="00772126" w:rsidP="004920EB">
            <w:pPr>
              <w:overflowPunct w:val="0"/>
              <w:autoSpaceDE w:val="0"/>
              <w:autoSpaceDN w:val="0"/>
              <w:adjustRightInd w:val="0"/>
              <w:jc w:val="right"/>
              <w:textAlignment w:val="baseline"/>
              <w:rPr>
                <w:rFonts w:ascii="Arial" w:hAnsi="Arial" w:cs="Arial"/>
                <w:b/>
                <w:sz w:val="22"/>
                <w:szCs w:val="22"/>
              </w:rPr>
            </w:pPr>
            <w:r w:rsidRPr="001B0951">
              <w:rPr>
                <w:rFonts w:ascii="Arial" w:hAnsi="Arial" w:cs="Arial"/>
                <w:b/>
                <w:sz w:val="22"/>
                <w:szCs w:val="22"/>
              </w:rPr>
              <w:t>693 622</w:t>
            </w:r>
          </w:p>
        </w:tc>
        <w:tc>
          <w:tcPr>
            <w:tcW w:w="1843" w:type="dxa"/>
            <w:tcBorders>
              <w:top w:val="single" w:sz="12" w:space="0" w:color="auto"/>
            </w:tcBorders>
          </w:tcPr>
          <w:p w14:paraId="649FE6A8" w14:textId="0B8C075E" w:rsidR="00772126" w:rsidRPr="001B0951" w:rsidRDefault="00772126" w:rsidP="004920EB">
            <w:pPr>
              <w:overflowPunct w:val="0"/>
              <w:autoSpaceDE w:val="0"/>
              <w:autoSpaceDN w:val="0"/>
              <w:adjustRightInd w:val="0"/>
              <w:jc w:val="right"/>
              <w:textAlignment w:val="baseline"/>
              <w:rPr>
                <w:rFonts w:ascii="Arial" w:hAnsi="Arial" w:cs="Arial"/>
                <w:b/>
                <w:sz w:val="22"/>
                <w:szCs w:val="22"/>
              </w:rPr>
            </w:pPr>
            <w:r w:rsidRPr="001B0951">
              <w:rPr>
                <w:rFonts w:ascii="Arial" w:hAnsi="Arial" w:cs="Arial"/>
                <w:b/>
                <w:sz w:val="22"/>
                <w:szCs w:val="22"/>
              </w:rPr>
              <w:t>160 691</w:t>
            </w:r>
          </w:p>
        </w:tc>
      </w:tr>
    </w:tbl>
    <w:p w14:paraId="38863988" w14:textId="0AAF6A72" w:rsidR="00380651" w:rsidRPr="001B0951" w:rsidRDefault="00380651" w:rsidP="00380651">
      <w:pPr>
        <w:overflowPunct w:val="0"/>
        <w:autoSpaceDE w:val="0"/>
        <w:autoSpaceDN w:val="0"/>
        <w:adjustRightInd w:val="0"/>
        <w:spacing w:after="160" w:line="240" w:lineRule="exact"/>
        <w:jc w:val="both"/>
        <w:textAlignment w:val="baseline"/>
        <w:rPr>
          <w:rFonts w:ascii="Arial" w:hAnsi="Arial" w:cs="Arial"/>
          <w:sz w:val="18"/>
          <w:szCs w:val="18"/>
        </w:rPr>
      </w:pPr>
      <w:r w:rsidRPr="001B0951">
        <w:rPr>
          <w:rFonts w:ascii="Arial" w:hAnsi="Arial" w:cs="Arial"/>
          <w:sz w:val="18"/>
          <w:szCs w:val="18"/>
        </w:rPr>
        <w:t>Zdroj: MPO</w:t>
      </w:r>
    </w:p>
    <w:p w14:paraId="1059E083" w14:textId="21BA8223" w:rsidR="00380651" w:rsidRPr="001B0951" w:rsidRDefault="00380651" w:rsidP="0078610C">
      <w:pPr>
        <w:overflowPunct w:val="0"/>
        <w:autoSpaceDE w:val="0"/>
        <w:autoSpaceDN w:val="0"/>
        <w:adjustRightInd w:val="0"/>
        <w:spacing w:after="240"/>
        <w:jc w:val="both"/>
        <w:textAlignment w:val="baseline"/>
        <w:rPr>
          <w:rFonts w:ascii="Arial" w:hAnsi="Arial" w:cs="Arial"/>
          <w:b/>
          <w:sz w:val="22"/>
          <w:szCs w:val="22"/>
        </w:rPr>
      </w:pPr>
      <w:r w:rsidRPr="001B0951">
        <w:rPr>
          <w:rFonts w:ascii="Arial" w:hAnsi="Arial" w:cs="Arial"/>
          <w:sz w:val="22"/>
          <w:szCs w:val="22"/>
        </w:rPr>
        <w:t>Od roku 2012, kdy byla do zákona o investičních pobídkách zavedena podpora technologických center a center strategických služeb, bylo k 3</w:t>
      </w:r>
      <w:r w:rsidR="007D2D63" w:rsidRPr="001B0951">
        <w:rPr>
          <w:rFonts w:ascii="Arial" w:hAnsi="Arial" w:cs="Arial"/>
          <w:sz w:val="22"/>
          <w:szCs w:val="22"/>
        </w:rPr>
        <w:t>1</w:t>
      </w:r>
      <w:r w:rsidRPr="001B0951">
        <w:rPr>
          <w:rFonts w:ascii="Arial" w:hAnsi="Arial" w:cs="Arial"/>
          <w:sz w:val="22"/>
          <w:szCs w:val="22"/>
        </w:rPr>
        <w:t xml:space="preserve">. </w:t>
      </w:r>
      <w:r w:rsidR="007D2D63" w:rsidRPr="001B0951">
        <w:rPr>
          <w:rFonts w:ascii="Arial" w:hAnsi="Arial" w:cs="Arial"/>
          <w:sz w:val="22"/>
          <w:szCs w:val="22"/>
        </w:rPr>
        <w:t>prosinci</w:t>
      </w:r>
      <w:r w:rsidRPr="001B0951">
        <w:rPr>
          <w:rFonts w:ascii="Arial" w:hAnsi="Arial" w:cs="Arial"/>
          <w:sz w:val="22"/>
          <w:szCs w:val="22"/>
        </w:rPr>
        <w:t xml:space="preserve"> 2016</w:t>
      </w:r>
      <w:r w:rsidR="007D2D63" w:rsidRPr="001B0951">
        <w:rPr>
          <w:rFonts w:ascii="Arial" w:hAnsi="Arial" w:cs="Arial"/>
          <w:sz w:val="22"/>
          <w:szCs w:val="22"/>
        </w:rPr>
        <w:t xml:space="preserve"> přijato celkem </w:t>
      </w:r>
      <w:r w:rsidR="0039607B" w:rsidRPr="001B0951">
        <w:rPr>
          <w:rFonts w:ascii="Arial" w:hAnsi="Arial" w:cs="Arial"/>
          <w:sz w:val="22"/>
          <w:szCs w:val="22"/>
        </w:rPr>
        <w:t>419</w:t>
      </w:r>
      <w:r w:rsidR="007D2D63" w:rsidRPr="001B0951">
        <w:rPr>
          <w:rFonts w:ascii="Arial" w:hAnsi="Arial" w:cs="Arial"/>
          <w:sz w:val="22"/>
          <w:szCs w:val="22"/>
        </w:rPr>
        <w:t xml:space="preserve"> žádostí o </w:t>
      </w:r>
      <w:r w:rsidRPr="001B0951">
        <w:rPr>
          <w:rFonts w:ascii="Arial" w:hAnsi="Arial" w:cs="Arial"/>
          <w:sz w:val="22"/>
          <w:szCs w:val="22"/>
        </w:rPr>
        <w:t xml:space="preserve">podporu, </w:t>
      </w:r>
      <w:r w:rsidRPr="001B0951">
        <w:rPr>
          <w:rFonts w:ascii="Arial" w:hAnsi="Arial" w:cs="Arial"/>
          <w:b/>
          <w:sz w:val="22"/>
          <w:szCs w:val="22"/>
        </w:rPr>
        <w:t>z toho 7 žádostí bylo z oblasti technologických center a 1</w:t>
      </w:r>
      <w:r w:rsidR="007D2D63" w:rsidRPr="001B0951">
        <w:rPr>
          <w:rFonts w:ascii="Arial" w:hAnsi="Arial" w:cs="Arial"/>
          <w:b/>
          <w:sz w:val="22"/>
          <w:szCs w:val="22"/>
        </w:rPr>
        <w:t>8</w:t>
      </w:r>
      <w:r w:rsidRPr="001B0951">
        <w:rPr>
          <w:rFonts w:ascii="Arial" w:hAnsi="Arial" w:cs="Arial"/>
          <w:b/>
          <w:sz w:val="22"/>
          <w:szCs w:val="22"/>
        </w:rPr>
        <w:t xml:space="preserve"> z oblasti center strategických služeb.</w:t>
      </w:r>
    </w:p>
    <w:p w14:paraId="66AC8A43" w14:textId="32895B02" w:rsidR="0067215A" w:rsidRPr="001B0951" w:rsidRDefault="006130CF" w:rsidP="004678AC">
      <w:pPr>
        <w:pStyle w:val="Nadpis1"/>
      </w:pPr>
      <w:r w:rsidRPr="001B0951">
        <w:t xml:space="preserve">Zdůvodnění nezbytnosti </w:t>
      </w:r>
      <w:r w:rsidR="004678AC" w:rsidRPr="001B0951">
        <w:t>změn</w:t>
      </w:r>
    </w:p>
    <w:p w14:paraId="37E378D2" w14:textId="7F1F7E75" w:rsidR="0067215A" w:rsidRPr="001B0951" w:rsidRDefault="00615996" w:rsidP="00615996">
      <w:pPr>
        <w:pStyle w:val="Podtitul"/>
      </w:pPr>
      <w:r w:rsidRPr="001B0951">
        <w:t>Vyšší p</w:t>
      </w:r>
      <w:r w:rsidR="0099126D" w:rsidRPr="001B0951">
        <w:t>řidaná hodnota</w:t>
      </w:r>
    </w:p>
    <w:p w14:paraId="1C8526E7" w14:textId="66CC5A80" w:rsidR="00460B2C" w:rsidRPr="001B0951" w:rsidRDefault="00FB59B0" w:rsidP="00FB59B0">
      <w:pPr>
        <w:spacing w:after="240"/>
        <w:jc w:val="both"/>
        <w:rPr>
          <w:rFonts w:ascii="Arial" w:hAnsi="Arial" w:cs="Arial"/>
          <w:sz w:val="22"/>
          <w:szCs w:val="22"/>
        </w:rPr>
      </w:pPr>
      <w:r w:rsidRPr="001B0951">
        <w:rPr>
          <w:rFonts w:ascii="Arial" w:eastAsia="Calibri" w:hAnsi="Arial" w:cs="Arial"/>
          <w:color w:val="000000"/>
          <w:sz w:val="22"/>
          <w:szCs w:val="22"/>
          <w:lang w:eastAsia="en-US"/>
        </w:rPr>
        <w:t xml:space="preserve">V rámci současného nastavení systému investičních pobídek jsou z více než 90 % předkládány žádosti o podporu z oblasti výroby, kde se zákon </w:t>
      </w:r>
      <w:r w:rsidR="00956408" w:rsidRPr="001B0951">
        <w:rPr>
          <w:rFonts w:ascii="Arial" w:eastAsia="Calibri" w:hAnsi="Arial" w:cs="Arial"/>
          <w:color w:val="000000"/>
          <w:sz w:val="22"/>
          <w:szCs w:val="22"/>
          <w:lang w:eastAsia="en-US"/>
        </w:rPr>
        <w:t>ukázal</w:t>
      </w:r>
      <w:r w:rsidRPr="001B0951">
        <w:rPr>
          <w:rFonts w:ascii="Arial" w:eastAsia="Calibri" w:hAnsi="Arial" w:cs="Arial"/>
          <w:color w:val="000000"/>
          <w:sz w:val="22"/>
          <w:szCs w:val="22"/>
          <w:lang w:eastAsia="en-US"/>
        </w:rPr>
        <w:t xml:space="preserve"> jako </w:t>
      </w:r>
      <w:r w:rsidRPr="00550458">
        <w:rPr>
          <w:rFonts w:ascii="Arial" w:eastAsia="Calibri" w:hAnsi="Arial" w:cs="Arial"/>
          <w:color w:val="000000"/>
          <w:sz w:val="22"/>
          <w:szCs w:val="22"/>
          <w:lang w:eastAsia="en-US"/>
        </w:rPr>
        <w:t xml:space="preserve">velmi motivační. </w:t>
      </w:r>
      <w:r w:rsidR="00761B0B" w:rsidRPr="00550458">
        <w:rPr>
          <w:rFonts w:ascii="Arial" w:eastAsia="Calibri" w:hAnsi="Arial" w:cs="Arial"/>
          <w:color w:val="000000"/>
          <w:sz w:val="22"/>
          <w:szCs w:val="22"/>
          <w:lang w:eastAsia="en-US"/>
        </w:rPr>
        <w:t>P</w:t>
      </w:r>
      <w:r w:rsidRPr="00550458">
        <w:rPr>
          <w:rFonts w:ascii="Arial" w:eastAsia="Calibri" w:hAnsi="Arial" w:cs="Arial"/>
          <w:color w:val="000000"/>
          <w:sz w:val="22"/>
          <w:szCs w:val="22"/>
          <w:lang w:eastAsia="en-US"/>
        </w:rPr>
        <w:t>arametry</w:t>
      </w:r>
      <w:r w:rsidR="00761B0B" w:rsidRPr="00550458">
        <w:rPr>
          <w:rFonts w:ascii="Arial" w:eastAsia="Calibri" w:hAnsi="Arial" w:cs="Arial"/>
          <w:color w:val="000000"/>
          <w:sz w:val="22"/>
          <w:szCs w:val="22"/>
          <w:lang w:eastAsia="en-US"/>
        </w:rPr>
        <w:t xml:space="preserve"> podporovaných</w:t>
      </w:r>
      <w:r w:rsidR="00460B2C" w:rsidRPr="00550458">
        <w:rPr>
          <w:rFonts w:ascii="Arial" w:eastAsia="Calibri" w:hAnsi="Arial" w:cs="Arial"/>
          <w:color w:val="000000"/>
          <w:sz w:val="22"/>
          <w:szCs w:val="22"/>
          <w:lang w:eastAsia="en-US"/>
        </w:rPr>
        <w:t xml:space="preserve"> výrobních</w:t>
      </w:r>
      <w:r w:rsidR="00761B0B" w:rsidRPr="00550458">
        <w:rPr>
          <w:rFonts w:ascii="Arial" w:eastAsia="Calibri" w:hAnsi="Arial" w:cs="Arial"/>
          <w:color w:val="000000"/>
          <w:sz w:val="22"/>
          <w:szCs w:val="22"/>
          <w:lang w:eastAsia="en-US"/>
        </w:rPr>
        <w:t xml:space="preserve"> investic zákon vymezuje prostřednictvím </w:t>
      </w:r>
      <w:r w:rsidRPr="00550458">
        <w:rPr>
          <w:rFonts w:ascii="Arial" w:eastAsia="Calibri" w:hAnsi="Arial" w:cs="Arial"/>
          <w:color w:val="000000"/>
          <w:sz w:val="22"/>
          <w:szCs w:val="22"/>
          <w:lang w:eastAsia="en-US"/>
        </w:rPr>
        <w:t>výš</w:t>
      </w:r>
      <w:r w:rsidR="00761B0B" w:rsidRPr="00550458">
        <w:rPr>
          <w:rFonts w:ascii="Arial" w:eastAsia="Calibri" w:hAnsi="Arial" w:cs="Arial"/>
          <w:color w:val="000000"/>
          <w:sz w:val="22"/>
          <w:szCs w:val="22"/>
          <w:lang w:eastAsia="en-US"/>
        </w:rPr>
        <w:t>e</w:t>
      </w:r>
      <w:r w:rsidR="008104C3" w:rsidRPr="00550458">
        <w:rPr>
          <w:rFonts w:ascii="Arial" w:eastAsia="Calibri" w:hAnsi="Arial" w:cs="Arial"/>
          <w:color w:val="000000"/>
          <w:sz w:val="22"/>
          <w:szCs w:val="22"/>
          <w:lang w:eastAsia="en-US"/>
        </w:rPr>
        <w:t xml:space="preserve"> minimální</w:t>
      </w:r>
      <w:r w:rsidRPr="00550458">
        <w:rPr>
          <w:rFonts w:ascii="Arial" w:eastAsia="Calibri" w:hAnsi="Arial" w:cs="Arial"/>
          <w:color w:val="000000"/>
          <w:sz w:val="22"/>
          <w:szCs w:val="22"/>
          <w:lang w:eastAsia="en-US"/>
        </w:rPr>
        <w:t xml:space="preserve"> investice (100 mil. Kč, v některých lokalitách pouze 50 mil. Kč) a </w:t>
      </w:r>
      <w:r w:rsidR="008104C3" w:rsidRPr="00550458">
        <w:rPr>
          <w:rFonts w:ascii="Arial" w:eastAsia="Calibri" w:hAnsi="Arial" w:cs="Arial"/>
          <w:color w:val="000000"/>
          <w:sz w:val="22"/>
          <w:szCs w:val="22"/>
          <w:lang w:eastAsia="en-US"/>
        </w:rPr>
        <w:t xml:space="preserve">minimálního </w:t>
      </w:r>
      <w:r w:rsidRPr="00550458">
        <w:rPr>
          <w:rFonts w:ascii="Arial" w:eastAsia="Calibri" w:hAnsi="Arial" w:cs="Arial"/>
          <w:color w:val="000000"/>
          <w:sz w:val="22"/>
          <w:szCs w:val="22"/>
          <w:lang w:eastAsia="en-US"/>
        </w:rPr>
        <w:t>poč</w:t>
      </w:r>
      <w:r w:rsidR="00956408" w:rsidRPr="00550458">
        <w:rPr>
          <w:rFonts w:ascii="Arial" w:eastAsia="Calibri" w:hAnsi="Arial" w:cs="Arial"/>
          <w:color w:val="000000"/>
          <w:sz w:val="22"/>
          <w:szCs w:val="22"/>
          <w:lang w:eastAsia="en-US"/>
        </w:rPr>
        <w:t>tu</w:t>
      </w:r>
      <w:r w:rsidRPr="00550458">
        <w:rPr>
          <w:rFonts w:ascii="Arial" w:eastAsia="Calibri" w:hAnsi="Arial" w:cs="Arial"/>
          <w:color w:val="000000"/>
          <w:sz w:val="22"/>
          <w:szCs w:val="22"/>
          <w:lang w:eastAsia="en-US"/>
        </w:rPr>
        <w:t xml:space="preserve"> </w:t>
      </w:r>
      <w:r w:rsidR="00956408" w:rsidRPr="00550458">
        <w:rPr>
          <w:rFonts w:ascii="Arial" w:eastAsia="Calibri" w:hAnsi="Arial" w:cs="Arial"/>
          <w:color w:val="000000"/>
          <w:sz w:val="22"/>
          <w:szCs w:val="22"/>
          <w:lang w:eastAsia="en-US"/>
        </w:rPr>
        <w:t>nově vytvořených</w:t>
      </w:r>
      <w:r w:rsidRPr="00550458">
        <w:rPr>
          <w:rFonts w:ascii="Arial" w:eastAsia="Calibri" w:hAnsi="Arial" w:cs="Arial"/>
          <w:color w:val="000000"/>
          <w:sz w:val="22"/>
          <w:szCs w:val="22"/>
          <w:lang w:eastAsia="en-US"/>
        </w:rPr>
        <w:t xml:space="preserve"> pracovních míst (20). </w:t>
      </w:r>
      <w:r w:rsidR="00620583" w:rsidRPr="00550458">
        <w:rPr>
          <w:rFonts w:ascii="Arial" w:eastAsia="Calibri" w:hAnsi="Arial" w:cs="Arial"/>
          <w:color w:val="000000"/>
          <w:sz w:val="22"/>
          <w:szCs w:val="22"/>
          <w:lang w:eastAsia="en-US"/>
        </w:rPr>
        <w:t>Systém</w:t>
      </w:r>
      <w:r w:rsidRPr="00550458">
        <w:rPr>
          <w:rFonts w:ascii="Arial" w:eastAsia="Calibri" w:hAnsi="Arial" w:cs="Arial"/>
          <w:color w:val="000000"/>
          <w:sz w:val="22"/>
          <w:szCs w:val="22"/>
          <w:lang w:eastAsia="en-US"/>
        </w:rPr>
        <w:t xml:space="preserve"> investičních pobídek v tuto chvíli </w:t>
      </w:r>
      <w:r w:rsidR="00620583" w:rsidRPr="00550458">
        <w:rPr>
          <w:rFonts w:ascii="Arial" w:eastAsia="Calibri" w:hAnsi="Arial" w:cs="Arial"/>
          <w:color w:val="000000"/>
          <w:sz w:val="22"/>
          <w:szCs w:val="22"/>
          <w:lang w:eastAsia="en-US"/>
        </w:rPr>
        <w:t>neumožňuje</w:t>
      </w:r>
      <w:r w:rsidRPr="001B0951">
        <w:rPr>
          <w:rFonts w:ascii="Arial" w:eastAsia="Calibri" w:hAnsi="Arial" w:cs="Arial"/>
          <w:color w:val="000000"/>
          <w:sz w:val="22"/>
          <w:szCs w:val="22"/>
          <w:lang w:eastAsia="en-US"/>
        </w:rPr>
        <w:t xml:space="preserve"> zvýhodnit projekty, které jsou více technologicky náročné, mají větší podíl zapojení do výzkumu a vývoje nebo vyšší podíl kvalifikovanější pracovní síly.</w:t>
      </w:r>
      <w:r w:rsidRPr="001B0951">
        <w:rPr>
          <w:rFonts w:ascii="Arial" w:hAnsi="Arial" w:cs="Arial"/>
          <w:sz w:val="22"/>
          <w:szCs w:val="22"/>
        </w:rPr>
        <w:t xml:space="preserve"> </w:t>
      </w:r>
    </w:p>
    <w:p w14:paraId="311DA473" w14:textId="48B8C820" w:rsidR="00FB59B0" w:rsidRPr="001B0951" w:rsidRDefault="00FB59B0" w:rsidP="00FB59B0">
      <w:pPr>
        <w:spacing w:after="240"/>
        <w:jc w:val="both"/>
        <w:rPr>
          <w:rFonts w:ascii="Arial" w:eastAsia="Calibri" w:hAnsi="Arial" w:cs="Arial"/>
          <w:color w:val="000000"/>
          <w:sz w:val="22"/>
          <w:szCs w:val="22"/>
          <w:lang w:eastAsia="en-US"/>
        </w:rPr>
      </w:pPr>
      <w:r w:rsidRPr="00550458">
        <w:rPr>
          <w:rFonts w:ascii="Arial" w:hAnsi="Arial" w:cs="Arial"/>
          <w:sz w:val="22"/>
          <w:szCs w:val="22"/>
        </w:rPr>
        <w:lastRenderedPageBreak/>
        <w:t>Pokud jde o nevýrobní projekty, tj. projekty technologických center nebo strategických služeb, zde se zatím zvýšení počtu předkládaných žádostí neprojevilo.</w:t>
      </w:r>
      <w:r w:rsidR="00620583" w:rsidRPr="00550458">
        <w:rPr>
          <w:rFonts w:ascii="Arial" w:hAnsi="Arial" w:cs="Arial"/>
          <w:sz w:val="22"/>
          <w:szCs w:val="22"/>
        </w:rPr>
        <w:t xml:space="preserve"> Od roku 2012</w:t>
      </w:r>
      <w:r w:rsidR="008104C3" w:rsidRPr="00550458">
        <w:rPr>
          <w:rFonts w:ascii="Arial" w:hAnsi="Arial" w:cs="Arial"/>
          <w:sz w:val="22"/>
          <w:szCs w:val="22"/>
        </w:rPr>
        <w:t xml:space="preserve"> do konce roku 2016</w:t>
      </w:r>
      <w:r w:rsidR="00620583" w:rsidRPr="00550458">
        <w:rPr>
          <w:rFonts w:ascii="Arial" w:hAnsi="Arial" w:cs="Arial"/>
          <w:sz w:val="22"/>
          <w:szCs w:val="22"/>
        </w:rPr>
        <w:t xml:space="preserve"> jich bylo podáno pouze 25.</w:t>
      </w:r>
      <w:r w:rsidRPr="001B0951">
        <w:rPr>
          <w:rFonts w:ascii="Arial" w:eastAsia="Calibri" w:hAnsi="Arial" w:cs="Arial"/>
          <w:color w:val="000000"/>
          <w:sz w:val="22"/>
          <w:szCs w:val="22"/>
          <w:lang w:eastAsia="en-US"/>
        </w:rPr>
        <w:t xml:space="preserve"> </w:t>
      </w:r>
    </w:p>
    <w:p w14:paraId="26ED407A" w14:textId="4CF63210" w:rsidR="004678AC" w:rsidRPr="001B0951" w:rsidRDefault="00BD1B7A" w:rsidP="0078610C">
      <w:pPr>
        <w:spacing w:after="240"/>
        <w:jc w:val="both"/>
        <w:rPr>
          <w:rFonts w:ascii="Arial" w:eastAsia="Calibri" w:hAnsi="Arial" w:cs="Arial"/>
          <w:color w:val="000000"/>
          <w:sz w:val="22"/>
          <w:szCs w:val="22"/>
          <w:lang w:eastAsia="en-US"/>
        </w:rPr>
      </w:pPr>
      <w:r w:rsidRPr="001B0951">
        <w:rPr>
          <w:rFonts w:ascii="Arial" w:eastAsia="Calibri" w:hAnsi="Arial" w:cs="Arial"/>
          <w:color w:val="000000"/>
          <w:sz w:val="22"/>
          <w:szCs w:val="22"/>
          <w:lang w:eastAsia="en-US"/>
        </w:rPr>
        <w:t xml:space="preserve">Ve struktuře české ekonomiky je cca 60 % hrubé přidané hodnoty vytvářeno v odvětví služeb, nicméně průběh hospodářského cyklu je primárně určován průmyslem, který se na její tvorbě podílí zhruba jednou třetinou. Bylo tomu tak v době nedávné hospodářské krize, kdy pokles ekonomiky byl vyvolán především </w:t>
      </w:r>
      <w:r w:rsidR="008104C3">
        <w:rPr>
          <w:rFonts w:ascii="Arial" w:eastAsia="Calibri" w:hAnsi="Arial" w:cs="Arial"/>
          <w:color w:val="000000"/>
          <w:sz w:val="22"/>
          <w:szCs w:val="22"/>
          <w:lang w:eastAsia="en-US"/>
        </w:rPr>
        <w:t>propadem</w:t>
      </w:r>
      <w:r w:rsidRPr="001B0951">
        <w:rPr>
          <w:rFonts w:ascii="Arial" w:eastAsia="Calibri" w:hAnsi="Arial" w:cs="Arial"/>
          <w:color w:val="000000"/>
          <w:sz w:val="22"/>
          <w:szCs w:val="22"/>
          <w:lang w:eastAsia="en-US"/>
        </w:rPr>
        <w:t xml:space="preserve"> průmyslu, ale platí to i pro současné období prosperity, kdy je průmysl hlavním tahounem ekonomiky. </w:t>
      </w:r>
    </w:p>
    <w:p w14:paraId="7E98E492" w14:textId="76CF4E4D" w:rsidR="00BD1B7A" w:rsidRPr="001B0951" w:rsidRDefault="00882171" w:rsidP="0078610C">
      <w:pPr>
        <w:spacing w:after="240"/>
        <w:jc w:val="both"/>
        <w:rPr>
          <w:rFonts w:ascii="Arial" w:eastAsia="Calibri" w:hAnsi="Arial" w:cs="Arial"/>
          <w:color w:val="000000"/>
          <w:sz w:val="22"/>
          <w:szCs w:val="22"/>
          <w:lang w:eastAsia="en-US"/>
        </w:rPr>
      </w:pPr>
      <w:r w:rsidRPr="001B0951">
        <w:rPr>
          <w:rFonts w:ascii="Arial" w:eastAsia="Calibri" w:hAnsi="Arial" w:cs="Arial"/>
          <w:color w:val="000000"/>
          <w:sz w:val="22"/>
          <w:szCs w:val="22"/>
          <w:lang w:eastAsia="en-US"/>
        </w:rPr>
        <w:t>Průmysl se v české ekonomice těší dlouholeté významné tradici. Jeho současnou pozici charakterizuje silná exportní orientace, proto je pro domácí ekonomiku životně důležitý vývoj zahraniční poptávky. Na současných příznivých výsledcích má hlavní zásluhu automobilový průmysl, který těží z obnoveného růstu na evropském automobilovém trhu, ale i z rostoucích prodejů tuzemských výrobců. Z této situace profitují také navazující odvětví a obory zpracovatelského průmyslu.</w:t>
      </w:r>
    </w:p>
    <w:p w14:paraId="74B833A9" w14:textId="0B770FE4" w:rsidR="008046D1" w:rsidRPr="001B0951" w:rsidRDefault="00150D9D" w:rsidP="008046D1">
      <w:pPr>
        <w:spacing w:after="240"/>
        <w:jc w:val="both"/>
        <w:rPr>
          <w:rFonts w:ascii="Arial" w:eastAsia="Calibri" w:hAnsi="Arial" w:cs="Arial"/>
          <w:color w:val="000000"/>
          <w:sz w:val="22"/>
          <w:szCs w:val="22"/>
          <w:lang w:eastAsia="en-US"/>
        </w:rPr>
      </w:pPr>
      <w:r w:rsidRPr="001B0951">
        <w:rPr>
          <w:rFonts w:ascii="Arial" w:eastAsia="Calibri" w:hAnsi="Arial" w:cs="Arial"/>
          <w:color w:val="000000"/>
          <w:sz w:val="22"/>
          <w:szCs w:val="22"/>
          <w:lang w:eastAsia="en-US"/>
        </w:rPr>
        <w:t>Výroba ve zpracovatelském průmyslu</w:t>
      </w:r>
      <w:r w:rsidR="008046D1" w:rsidRPr="001B0951">
        <w:rPr>
          <w:rFonts w:ascii="Arial" w:eastAsia="Calibri" w:hAnsi="Arial" w:cs="Arial"/>
          <w:color w:val="000000"/>
          <w:sz w:val="22"/>
          <w:szCs w:val="22"/>
          <w:lang w:eastAsia="en-US"/>
        </w:rPr>
        <w:t xml:space="preserve"> je však často us</w:t>
      </w:r>
      <w:r w:rsidRPr="001B0951">
        <w:rPr>
          <w:rFonts w:ascii="Arial" w:eastAsia="Calibri" w:hAnsi="Arial" w:cs="Arial"/>
          <w:color w:val="000000"/>
          <w:sz w:val="22"/>
          <w:szCs w:val="22"/>
          <w:lang w:eastAsia="en-US"/>
        </w:rPr>
        <w:t>kutečňována s nízkými náklady a </w:t>
      </w:r>
      <w:r w:rsidR="008104C3">
        <w:rPr>
          <w:rFonts w:ascii="Arial" w:eastAsia="Calibri" w:hAnsi="Arial" w:cs="Arial"/>
          <w:color w:val="000000"/>
          <w:sz w:val="22"/>
          <w:szCs w:val="22"/>
          <w:lang w:eastAsia="en-US"/>
        </w:rPr>
        <w:t>nízkým odměňováním</w:t>
      </w:r>
      <w:r w:rsidR="008046D1" w:rsidRPr="001B0951">
        <w:rPr>
          <w:rFonts w:ascii="Arial" w:eastAsia="Calibri" w:hAnsi="Arial" w:cs="Arial"/>
          <w:color w:val="000000"/>
          <w:sz w:val="22"/>
          <w:szCs w:val="22"/>
          <w:lang w:eastAsia="en-US"/>
        </w:rPr>
        <w:t xml:space="preserve"> práce. Výrazně lépe jsou odměňovány </w:t>
      </w:r>
      <w:proofErr w:type="spellStart"/>
      <w:r w:rsidR="008046D1" w:rsidRPr="001B0951">
        <w:rPr>
          <w:rFonts w:ascii="Arial" w:eastAsia="Calibri" w:hAnsi="Arial" w:cs="Arial"/>
          <w:color w:val="000000"/>
          <w:sz w:val="22"/>
          <w:szCs w:val="22"/>
          <w:lang w:eastAsia="en-US"/>
        </w:rPr>
        <w:t>předprodukční</w:t>
      </w:r>
      <w:proofErr w:type="spellEnd"/>
      <w:r w:rsidR="008046D1" w:rsidRPr="001B0951">
        <w:rPr>
          <w:rFonts w:ascii="Arial" w:eastAsia="Calibri" w:hAnsi="Arial" w:cs="Arial"/>
          <w:color w:val="000000"/>
          <w:sz w:val="22"/>
          <w:szCs w:val="22"/>
          <w:lang w:eastAsia="en-US"/>
        </w:rPr>
        <w:t xml:space="preserve"> a poprodukční fáze výrobního procesu. Jedná se především o oblasti výzkumu, vývoje, designu, managementu, marketingu a prodejní služby. Je oceňována schopnost výrobek či službu vymyslet, </w:t>
      </w:r>
      <w:r w:rsidR="00511D10" w:rsidRPr="001B0951">
        <w:rPr>
          <w:rFonts w:ascii="Arial" w:eastAsia="Calibri" w:hAnsi="Arial" w:cs="Arial"/>
          <w:color w:val="000000"/>
          <w:sz w:val="22"/>
          <w:szCs w:val="22"/>
          <w:lang w:eastAsia="en-US"/>
        </w:rPr>
        <w:t>navrhnout</w:t>
      </w:r>
      <w:r w:rsidR="008046D1" w:rsidRPr="001B0951">
        <w:rPr>
          <w:rFonts w:ascii="Arial" w:eastAsia="Calibri" w:hAnsi="Arial" w:cs="Arial"/>
          <w:color w:val="000000"/>
          <w:sz w:val="22"/>
          <w:szCs w:val="22"/>
          <w:lang w:eastAsia="en-US"/>
        </w:rPr>
        <w:t xml:space="preserve"> ekonomický způsob výroby a způsob poskytování, a samotný prodej. Pakliže má hospodářská politika z</w:t>
      </w:r>
      <w:r w:rsidRPr="001B0951">
        <w:rPr>
          <w:rFonts w:ascii="Arial" w:eastAsia="Calibri" w:hAnsi="Arial" w:cs="Arial"/>
          <w:color w:val="000000"/>
          <w:sz w:val="22"/>
          <w:szCs w:val="22"/>
          <w:lang w:eastAsia="en-US"/>
        </w:rPr>
        <w:t>acílit svou snahu n</w:t>
      </w:r>
      <w:r w:rsidRPr="00550458">
        <w:rPr>
          <w:rFonts w:ascii="Arial" w:eastAsia="Calibri" w:hAnsi="Arial" w:cs="Arial"/>
          <w:color w:val="000000"/>
          <w:sz w:val="22"/>
          <w:szCs w:val="22"/>
          <w:lang w:eastAsia="en-US"/>
        </w:rPr>
        <w:t xml:space="preserve">a </w:t>
      </w:r>
      <w:r w:rsidR="008104C3" w:rsidRPr="00550458">
        <w:rPr>
          <w:rFonts w:ascii="Arial" w:eastAsia="Calibri" w:hAnsi="Arial" w:cs="Arial"/>
          <w:color w:val="000000"/>
          <w:sz w:val="22"/>
          <w:szCs w:val="22"/>
          <w:lang w:eastAsia="en-US"/>
        </w:rPr>
        <w:t>zvyšování produkt</w:t>
      </w:r>
      <w:r w:rsidR="008104C3">
        <w:rPr>
          <w:rFonts w:ascii="Arial" w:eastAsia="Calibri" w:hAnsi="Arial" w:cs="Arial"/>
          <w:color w:val="000000"/>
          <w:sz w:val="22"/>
          <w:szCs w:val="22"/>
          <w:lang w:eastAsia="en-US"/>
        </w:rPr>
        <w:t>ivity</w:t>
      </w:r>
      <w:r w:rsidRPr="001B0951">
        <w:rPr>
          <w:rFonts w:ascii="Arial" w:eastAsia="Calibri" w:hAnsi="Arial" w:cs="Arial"/>
          <w:color w:val="000000"/>
          <w:sz w:val="22"/>
          <w:szCs w:val="22"/>
          <w:lang w:eastAsia="en-US"/>
        </w:rPr>
        <w:t>, s čímž souvisí i</w:t>
      </w:r>
      <w:r w:rsidR="00550458">
        <w:rPr>
          <w:rFonts w:ascii="Arial" w:eastAsia="Calibri" w:hAnsi="Arial" w:cs="Arial"/>
          <w:color w:val="000000"/>
          <w:sz w:val="22"/>
          <w:szCs w:val="22"/>
          <w:lang w:eastAsia="en-US"/>
        </w:rPr>
        <w:t> </w:t>
      </w:r>
      <w:r w:rsidR="008046D1" w:rsidRPr="001B0951">
        <w:rPr>
          <w:rFonts w:ascii="Arial" w:eastAsia="Calibri" w:hAnsi="Arial" w:cs="Arial"/>
          <w:color w:val="000000"/>
          <w:sz w:val="22"/>
          <w:szCs w:val="22"/>
          <w:lang w:eastAsia="en-US"/>
        </w:rPr>
        <w:t xml:space="preserve">lepší odměňování zaměstnanců, je třeba hledat cesty, jak se stát koncovým dodavatelem a obsáhnout celý hodnotový řetězec. </w:t>
      </w:r>
    </w:p>
    <w:p w14:paraId="23D8F5D2" w14:textId="7101E6C7" w:rsidR="004678AC" w:rsidRPr="001B0951" w:rsidRDefault="00A37E8B" w:rsidP="004678AC">
      <w:pPr>
        <w:spacing w:after="240"/>
        <w:jc w:val="both"/>
        <w:rPr>
          <w:rFonts w:ascii="Arial" w:eastAsia="Calibri" w:hAnsi="Arial" w:cs="Arial"/>
          <w:color w:val="000000"/>
          <w:sz w:val="22"/>
          <w:szCs w:val="22"/>
          <w:lang w:eastAsia="en-US"/>
        </w:rPr>
      </w:pPr>
      <w:r w:rsidRPr="001B0951">
        <w:rPr>
          <w:rFonts w:ascii="Arial" w:eastAsia="Calibri" w:hAnsi="Arial" w:cs="Arial"/>
          <w:color w:val="000000"/>
          <w:sz w:val="22"/>
          <w:szCs w:val="22"/>
          <w:lang w:eastAsia="en-US"/>
        </w:rPr>
        <w:t>Z pohledu malé otevřené ekonom</w:t>
      </w:r>
      <w:r w:rsidRPr="00550458">
        <w:rPr>
          <w:rFonts w:ascii="Arial" w:eastAsia="Calibri" w:hAnsi="Arial" w:cs="Arial"/>
          <w:color w:val="000000"/>
          <w:sz w:val="22"/>
          <w:szCs w:val="22"/>
          <w:lang w:eastAsia="en-US"/>
        </w:rPr>
        <w:t>iky</w:t>
      </w:r>
      <w:r w:rsidR="008104C3" w:rsidRPr="00550458">
        <w:rPr>
          <w:rFonts w:ascii="Arial" w:eastAsia="Calibri" w:hAnsi="Arial" w:cs="Arial"/>
          <w:color w:val="000000"/>
          <w:sz w:val="22"/>
          <w:szCs w:val="22"/>
          <w:lang w:eastAsia="en-US"/>
        </w:rPr>
        <w:t>, kterou je i Česká republika,</w:t>
      </w:r>
      <w:r w:rsidR="008104C3">
        <w:rPr>
          <w:rFonts w:ascii="Arial" w:eastAsia="Calibri" w:hAnsi="Arial" w:cs="Arial"/>
          <w:color w:val="000000"/>
          <w:sz w:val="22"/>
          <w:szCs w:val="22"/>
          <w:lang w:eastAsia="en-US"/>
        </w:rPr>
        <w:t xml:space="preserve"> </w:t>
      </w:r>
      <w:r w:rsidRPr="001B0951">
        <w:rPr>
          <w:rFonts w:ascii="Arial" w:eastAsia="Calibri" w:hAnsi="Arial" w:cs="Arial"/>
          <w:color w:val="000000"/>
          <w:sz w:val="22"/>
          <w:szCs w:val="22"/>
          <w:lang w:eastAsia="en-US"/>
        </w:rPr>
        <w:t>je významné, jakou přidanou hodnotu je schopna vtělit do svých exportů, což je jedním z hlavních faktorů její prosperity.</w:t>
      </w:r>
      <w:r w:rsidR="004678AC" w:rsidRPr="001B0951">
        <w:rPr>
          <w:rFonts w:ascii="Arial" w:eastAsia="Calibri" w:hAnsi="Arial" w:cs="Arial"/>
          <w:color w:val="000000"/>
          <w:sz w:val="22"/>
          <w:szCs w:val="22"/>
          <w:lang w:eastAsia="en-US"/>
        </w:rPr>
        <w:t xml:space="preserve"> Firmy pod zahraniční kontrolou jsou stěžejními nositeli </w:t>
      </w:r>
      <w:r w:rsidR="00550458">
        <w:rPr>
          <w:rFonts w:ascii="Arial" w:eastAsia="Calibri" w:hAnsi="Arial" w:cs="Arial"/>
          <w:color w:val="000000"/>
          <w:sz w:val="22"/>
          <w:szCs w:val="22"/>
          <w:lang w:eastAsia="en-US"/>
        </w:rPr>
        <w:t>růstu, přestože působí převážně v </w:t>
      </w:r>
      <w:r w:rsidR="004678AC" w:rsidRPr="001B0951">
        <w:rPr>
          <w:rFonts w:ascii="Arial" w:eastAsia="Calibri" w:hAnsi="Arial" w:cs="Arial"/>
          <w:color w:val="000000"/>
          <w:sz w:val="22"/>
          <w:szCs w:val="22"/>
          <w:lang w:eastAsia="en-US"/>
        </w:rPr>
        <w:t>nižších stupních globálních hodnotových řetězců, s nižším podílem na tvorbě přidané hodnoty, která navíc podléhá přerozdělování v rámci nadnárodních firem.</w:t>
      </w:r>
    </w:p>
    <w:p w14:paraId="66CDD9A7" w14:textId="3E00B43B" w:rsidR="00900B40" w:rsidRPr="001B0951" w:rsidRDefault="00F9443B" w:rsidP="00900B40">
      <w:pPr>
        <w:spacing w:after="240"/>
        <w:jc w:val="both"/>
        <w:rPr>
          <w:rFonts w:ascii="Arial" w:eastAsia="Calibri" w:hAnsi="Arial" w:cs="Arial"/>
          <w:color w:val="000000"/>
          <w:sz w:val="22"/>
          <w:szCs w:val="22"/>
          <w:lang w:eastAsia="en-US"/>
        </w:rPr>
      </w:pPr>
      <w:r w:rsidRPr="001B0951">
        <w:rPr>
          <w:rFonts w:ascii="Arial" w:eastAsia="Calibri" w:hAnsi="Arial" w:cs="Arial"/>
          <w:color w:val="000000"/>
          <w:sz w:val="22"/>
          <w:szCs w:val="22"/>
          <w:lang w:eastAsia="en-US"/>
        </w:rPr>
        <w:t>Z analýz MPO vyplývá, že existuje prokazatelná vazba mezi výdaji na výzkum, vývoj a inovace na straně jedné a produktivitou na straně druhé. Podniky s výzkumem, vývojem a inovacemi dosahují významně vyšší produktivity práce</w:t>
      </w:r>
      <w:r w:rsidR="00900B40" w:rsidRPr="001B0951">
        <w:rPr>
          <w:rStyle w:val="Znakapoznpodarou"/>
          <w:rFonts w:ascii="Arial" w:eastAsia="Calibri" w:hAnsi="Arial" w:cs="Arial"/>
          <w:color w:val="000000"/>
          <w:sz w:val="22"/>
          <w:szCs w:val="22"/>
          <w:lang w:eastAsia="en-US"/>
        </w:rPr>
        <w:footnoteReference w:id="1"/>
      </w:r>
      <w:r w:rsidRPr="001B0951">
        <w:rPr>
          <w:rFonts w:ascii="Arial" w:eastAsia="Calibri" w:hAnsi="Arial" w:cs="Arial"/>
          <w:color w:val="000000"/>
          <w:sz w:val="22"/>
          <w:szCs w:val="22"/>
          <w:lang w:eastAsia="en-US"/>
        </w:rPr>
        <w:t>. Jeví se proto jako žádoucí při koncipování systému investičních pobídek podporovat projekty</w:t>
      </w:r>
      <w:r w:rsidR="002A21C2">
        <w:rPr>
          <w:rFonts w:ascii="Arial" w:eastAsia="Calibri" w:hAnsi="Arial" w:cs="Arial"/>
          <w:color w:val="000000"/>
          <w:sz w:val="22"/>
          <w:szCs w:val="22"/>
          <w:lang w:eastAsia="en-US"/>
        </w:rPr>
        <w:t xml:space="preserve"> firem, jež se aktivně zapojují do </w:t>
      </w:r>
      <w:r w:rsidR="006F22AC" w:rsidRPr="001B0951">
        <w:rPr>
          <w:rFonts w:ascii="Arial" w:eastAsia="Calibri" w:hAnsi="Arial" w:cs="Arial"/>
          <w:color w:val="000000"/>
          <w:sz w:val="22"/>
          <w:szCs w:val="22"/>
          <w:lang w:eastAsia="en-US"/>
        </w:rPr>
        <w:t>výzkumu, vývoje a </w:t>
      </w:r>
      <w:r w:rsidRPr="001B0951">
        <w:rPr>
          <w:rFonts w:ascii="Arial" w:eastAsia="Calibri" w:hAnsi="Arial" w:cs="Arial"/>
          <w:color w:val="000000"/>
          <w:sz w:val="22"/>
          <w:szCs w:val="22"/>
          <w:lang w:eastAsia="en-US"/>
        </w:rPr>
        <w:t xml:space="preserve">inovací a </w:t>
      </w:r>
      <w:r w:rsidR="002A21C2">
        <w:rPr>
          <w:rFonts w:ascii="Arial" w:eastAsia="Calibri" w:hAnsi="Arial" w:cs="Arial"/>
          <w:color w:val="000000"/>
          <w:sz w:val="22"/>
          <w:szCs w:val="22"/>
          <w:lang w:eastAsia="en-US"/>
        </w:rPr>
        <w:t>kde je větší podíl</w:t>
      </w:r>
      <w:r w:rsidRPr="001B0951">
        <w:rPr>
          <w:rFonts w:ascii="Arial" w:eastAsia="Calibri" w:hAnsi="Arial" w:cs="Arial"/>
          <w:color w:val="000000"/>
          <w:sz w:val="22"/>
          <w:szCs w:val="22"/>
          <w:lang w:eastAsia="en-US"/>
        </w:rPr>
        <w:t xml:space="preserve"> vysoce kvalifikované pracovní síly. </w:t>
      </w:r>
    </w:p>
    <w:p w14:paraId="77311836" w14:textId="52DCC504" w:rsidR="004D30B5" w:rsidRPr="001B0951" w:rsidRDefault="00FB59B0" w:rsidP="0011542A">
      <w:pPr>
        <w:spacing w:after="240"/>
        <w:jc w:val="both"/>
      </w:pPr>
      <w:r w:rsidRPr="001B0951">
        <w:rPr>
          <w:rFonts w:ascii="Arial" w:eastAsia="Calibri" w:hAnsi="Arial" w:cs="Arial"/>
          <w:color w:val="000000"/>
          <w:sz w:val="22"/>
          <w:szCs w:val="22"/>
          <w:lang w:eastAsia="en-US"/>
        </w:rPr>
        <w:t xml:space="preserve">Nový systém investičních pobídek by se měl proto soustředit zejména na projekty jako jsou strategické služby a technologická centra, která se vyznačují vysokým podílem vzdělané pracovní síly a kde lze předpokládat, že přidaná hodnota bude ve větší míře realizována přímo v naší zemi. Na druhé straně by se ale neměly opominout ani projekty výrobní, kde by však měl být akcentován </w:t>
      </w:r>
      <w:r w:rsidR="00EC3423" w:rsidRPr="001B0951">
        <w:rPr>
          <w:rFonts w:ascii="Arial" w:eastAsia="Calibri" w:hAnsi="Arial" w:cs="Arial"/>
          <w:color w:val="000000"/>
          <w:sz w:val="22"/>
          <w:szCs w:val="22"/>
          <w:lang w:eastAsia="en-US"/>
        </w:rPr>
        <w:t>podíl vysoce kvalifikovaných pracovníků</w:t>
      </w:r>
      <w:r w:rsidRPr="001B0951">
        <w:rPr>
          <w:rFonts w:ascii="Arial" w:eastAsia="Calibri" w:hAnsi="Arial" w:cs="Arial"/>
          <w:color w:val="000000"/>
          <w:sz w:val="22"/>
          <w:szCs w:val="22"/>
          <w:lang w:eastAsia="en-US"/>
        </w:rPr>
        <w:t>.</w:t>
      </w:r>
      <w:r w:rsidR="00EC3423" w:rsidRPr="001B0951">
        <w:rPr>
          <w:rFonts w:ascii="Arial" w:eastAsia="Calibri" w:hAnsi="Arial" w:cs="Arial"/>
          <w:color w:val="000000"/>
          <w:sz w:val="22"/>
          <w:szCs w:val="22"/>
          <w:lang w:eastAsia="en-US"/>
        </w:rPr>
        <w:t xml:space="preserve"> </w:t>
      </w:r>
      <w:r w:rsidR="005D599E" w:rsidRPr="001B0951">
        <w:rPr>
          <w:rFonts w:ascii="Arial" w:eastAsia="Calibri" w:hAnsi="Arial" w:cs="Arial"/>
          <w:color w:val="000000"/>
          <w:sz w:val="22"/>
          <w:szCs w:val="22"/>
          <w:lang w:eastAsia="en-US"/>
        </w:rPr>
        <w:t xml:space="preserve">Spíše než </w:t>
      </w:r>
      <w:r w:rsidR="00EC3423" w:rsidRPr="001B0951">
        <w:rPr>
          <w:rFonts w:ascii="Arial" w:eastAsia="Calibri" w:hAnsi="Arial" w:cs="Arial"/>
          <w:color w:val="000000"/>
          <w:sz w:val="22"/>
          <w:szCs w:val="22"/>
          <w:lang w:eastAsia="en-US"/>
        </w:rPr>
        <w:t xml:space="preserve">na </w:t>
      </w:r>
      <w:r w:rsidR="005D599E" w:rsidRPr="001B0951">
        <w:rPr>
          <w:rFonts w:ascii="Arial" w:eastAsia="Calibri" w:hAnsi="Arial" w:cs="Arial"/>
          <w:color w:val="000000"/>
          <w:sz w:val="22"/>
          <w:szCs w:val="22"/>
          <w:lang w:eastAsia="en-US"/>
        </w:rPr>
        <w:t xml:space="preserve">zvyšování celkového objemu výroby by </w:t>
      </w:r>
      <w:r w:rsidR="00EC3423" w:rsidRPr="001B0951">
        <w:rPr>
          <w:rFonts w:ascii="Arial" w:eastAsia="Calibri" w:hAnsi="Arial" w:cs="Arial"/>
          <w:color w:val="000000"/>
          <w:sz w:val="22"/>
          <w:szCs w:val="22"/>
          <w:lang w:eastAsia="en-US"/>
        </w:rPr>
        <w:t>se t</w:t>
      </w:r>
      <w:r w:rsidR="005D599E" w:rsidRPr="001B0951">
        <w:rPr>
          <w:rFonts w:ascii="Arial" w:eastAsia="Calibri" w:hAnsi="Arial" w:cs="Arial"/>
          <w:color w:val="000000"/>
          <w:sz w:val="22"/>
          <w:szCs w:val="22"/>
          <w:lang w:eastAsia="en-US"/>
        </w:rPr>
        <w:t xml:space="preserve">ak </w:t>
      </w:r>
      <w:r w:rsidR="00EC3423" w:rsidRPr="001B0951">
        <w:rPr>
          <w:rFonts w:ascii="Arial" w:eastAsia="Calibri" w:hAnsi="Arial" w:cs="Arial"/>
          <w:color w:val="000000"/>
          <w:sz w:val="22"/>
          <w:szCs w:val="22"/>
          <w:lang w:eastAsia="en-US"/>
        </w:rPr>
        <w:t xml:space="preserve">systém investičních </w:t>
      </w:r>
      <w:r w:rsidR="008046D1" w:rsidRPr="001B0951">
        <w:rPr>
          <w:rFonts w:ascii="Arial" w:eastAsia="Calibri" w:hAnsi="Arial" w:cs="Arial"/>
          <w:color w:val="000000"/>
          <w:sz w:val="22"/>
          <w:szCs w:val="22"/>
          <w:lang w:eastAsia="en-US"/>
        </w:rPr>
        <w:t>pobídek měl soustředit na podporu</w:t>
      </w:r>
      <w:r w:rsidR="00EC3423" w:rsidRPr="001B0951">
        <w:rPr>
          <w:rFonts w:ascii="Arial" w:eastAsia="Calibri" w:hAnsi="Arial" w:cs="Arial"/>
          <w:color w:val="000000"/>
          <w:sz w:val="22"/>
          <w:szCs w:val="22"/>
          <w:lang w:eastAsia="en-US"/>
        </w:rPr>
        <w:t xml:space="preserve"> vyššího</w:t>
      </w:r>
      <w:r w:rsidR="008046D1" w:rsidRPr="001B0951">
        <w:rPr>
          <w:rFonts w:ascii="Arial" w:eastAsia="Calibri" w:hAnsi="Arial" w:cs="Arial"/>
          <w:color w:val="000000"/>
          <w:sz w:val="22"/>
          <w:szCs w:val="22"/>
          <w:lang w:eastAsia="en-US"/>
        </w:rPr>
        <w:t xml:space="preserve"> podílu přidané hodnoty v </w:t>
      </w:r>
      <w:r w:rsidR="005D599E" w:rsidRPr="001B0951">
        <w:rPr>
          <w:rFonts w:ascii="Arial" w:eastAsia="Calibri" w:hAnsi="Arial" w:cs="Arial"/>
          <w:color w:val="000000"/>
          <w:sz w:val="22"/>
          <w:szCs w:val="22"/>
          <w:lang w:eastAsia="en-US"/>
        </w:rPr>
        <w:t>produkci.</w:t>
      </w:r>
    </w:p>
    <w:p w14:paraId="657ABD53" w14:textId="0CC2577B" w:rsidR="0067215A" w:rsidRPr="001B0951" w:rsidRDefault="00615996" w:rsidP="00615996">
      <w:pPr>
        <w:pStyle w:val="Podtitul"/>
      </w:pPr>
      <w:r w:rsidRPr="001B0951">
        <w:t>Nízká nezaměstnanost</w:t>
      </w:r>
    </w:p>
    <w:p w14:paraId="30BE0BCB" w14:textId="67EEDCCD" w:rsidR="0067215A" w:rsidRPr="001B0951" w:rsidRDefault="005D242E" w:rsidP="00E4384E">
      <w:pPr>
        <w:spacing w:after="240"/>
        <w:jc w:val="both"/>
        <w:rPr>
          <w:rFonts w:ascii="Arial" w:hAnsi="Arial" w:cs="Arial"/>
          <w:bCs/>
          <w:sz w:val="22"/>
          <w:szCs w:val="22"/>
        </w:rPr>
      </w:pPr>
      <w:r w:rsidRPr="001B0951">
        <w:rPr>
          <w:rFonts w:ascii="Arial" w:hAnsi="Arial" w:cs="Arial"/>
          <w:bCs/>
          <w:sz w:val="22"/>
          <w:szCs w:val="22"/>
        </w:rPr>
        <w:t>Český trh práce se v současné době pohybuje za hranicí přirozené míry nezaměstnanosti</w:t>
      </w:r>
      <w:r w:rsidR="00826069" w:rsidRPr="001B0951">
        <w:rPr>
          <w:rFonts w:ascii="Arial" w:hAnsi="Arial" w:cs="Arial"/>
          <w:bCs/>
          <w:sz w:val="22"/>
          <w:szCs w:val="22"/>
        </w:rPr>
        <w:t>.</w:t>
      </w:r>
      <w:r w:rsidR="00615996" w:rsidRPr="001B0951">
        <w:rPr>
          <w:rFonts w:ascii="Arial" w:hAnsi="Arial" w:cs="Arial"/>
          <w:bCs/>
          <w:sz w:val="22"/>
          <w:szCs w:val="22"/>
        </w:rPr>
        <w:t xml:space="preserve"> K 31. prosinci 2016 činil podíl nezaměstnaných v České republice 5,2 %.</w:t>
      </w:r>
      <w:r w:rsidR="00826069" w:rsidRPr="001B0951">
        <w:rPr>
          <w:rFonts w:ascii="Arial" w:hAnsi="Arial" w:cs="Arial"/>
          <w:bCs/>
          <w:sz w:val="22"/>
          <w:szCs w:val="22"/>
        </w:rPr>
        <w:t xml:space="preserve"> Za velmi pozitivní lze považovat fakt, že se meziročně snížil také podíl dlouhodobě nezaměstnaných.</w:t>
      </w:r>
      <w:r w:rsidR="00EF5970" w:rsidRPr="001B0951">
        <w:rPr>
          <w:rFonts w:ascii="Arial" w:hAnsi="Arial" w:cs="Arial"/>
          <w:bCs/>
          <w:sz w:val="22"/>
          <w:szCs w:val="22"/>
        </w:rPr>
        <w:t xml:space="preserve"> Sezónně neočištěná míra nezaměstnanosti zpracovávaná </w:t>
      </w:r>
      <w:r w:rsidR="008104C3">
        <w:rPr>
          <w:rFonts w:ascii="Arial" w:hAnsi="Arial" w:cs="Arial"/>
          <w:bCs/>
          <w:sz w:val="22"/>
          <w:szCs w:val="22"/>
        </w:rPr>
        <w:t>statistickým úřadem EUROSTAT</w:t>
      </w:r>
      <w:r w:rsidR="00EF5970" w:rsidRPr="001B0951">
        <w:rPr>
          <w:rFonts w:ascii="Arial" w:hAnsi="Arial" w:cs="Arial"/>
          <w:bCs/>
          <w:sz w:val="22"/>
          <w:szCs w:val="22"/>
        </w:rPr>
        <w:t xml:space="preserve"> pro </w:t>
      </w:r>
      <w:r w:rsidR="00EF5970" w:rsidRPr="001B0951">
        <w:rPr>
          <w:rFonts w:ascii="Arial" w:hAnsi="Arial" w:cs="Arial"/>
          <w:bCs/>
          <w:sz w:val="22"/>
          <w:szCs w:val="22"/>
        </w:rPr>
        <w:lastRenderedPageBreak/>
        <w:t>mezin</w:t>
      </w:r>
      <w:r w:rsidR="0028126F">
        <w:rPr>
          <w:rFonts w:ascii="Arial" w:hAnsi="Arial" w:cs="Arial"/>
          <w:bCs/>
          <w:sz w:val="22"/>
          <w:szCs w:val="22"/>
        </w:rPr>
        <w:t xml:space="preserve">árodní srovnání byla v prosinci 2016 </w:t>
      </w:r>
      <w:r w:rsidR="00EF5970" w:rsidRPr="001B0951">
        <w:rPr>
          <w:rFonts w:ascii="Arial" w:hAnsi="Arial" w:cs="Arial"/>
          <w:bCs/>
          <w:sz w:val="22"/>
          <w:szCs w:val="22"/>
        </w:rPr>
        <w:t>pro Českou republiku 3,6 %, v</w:t>
      </w:r>
      <w:r w:rsidR="0028126F">
        <w:rPr>
          <w:rFonts w:ascii="Arial" w:hAnsi="Arial" w:cs="Arial"/>
          <w:bCs/>
          <w:sz w:val="22"/>
          <w:szCs w:val="22"/>
        </w:rPr>
        <w:t> Evropské unii 8,1 </w:t>
      </w:r>
      <w:r w:rsidR="00EF5970" w:rsidRPr="001B0951">
        <w:rPr>
          <w:rFonts w:ascii="Arial" w:hAnsi="Arial" w:cs="Arial"/>
          <w:bCs/>
          <w:sz w:val="22"/>
          <w:szCs w:val="22"/>
        </w:rPr>
        <w:t>%.  Sezónně očištěná míra nezaměstnanosti byla v České republice 3,5 % a v</w:t>
      </w:r>
      <w:r w:rsidR="0028126F">
        <w:rPr>
          <w:rFonts w:ascii="Arial" w:hAnsi="Arial" w:cs="Arial"/>
          <w:bCs/>
          <w:sz w:val="22"/>
          <w:szCs w:val="22"/>
        </w:rPr>
        <w:t xml:space="preserve"> EU </w:t>
      </w:r>
      <w:r w:rsidR="00EF5970" w:rsidRPr="001B0951">
        <w:rPr>
          <w:rFonts w:ascii="Arial" w:hAnsi="Arial" w:cs="Arial"/>
          <w:bCs/>
          <w:sz w:val="22"/>
          <w:szCs w:val="22"/>
        </w:rPr>
        <w:t>8,2 %.</w:t>
      </w:r>
      <w:r w:rsidR="00EF5970" w:rsidRPr="001B0951">
        <w:rPr>
          <w:rStyle w:val="Znakapoznpodarou"/>
          <w:rFonts w:ascii="Arial" w:hAnsi="Arial" w:cs="Arial"/>
          <w:bCs/>
          <w:sz w:val="22"/>
          <w:szCs w:val="22"/>
        </w:rPr>
        <w:footnoteReference w:id="2"/>
      </w:r>
    </w:p>
    <w:p w14:paraId="31A2AEC2" w14:textId="075FC0D3" w:rsidR="006020CD" w:rsidRPr="00550458" w:rsidRDefault="006020CD" w:rsidP="00E4384E">
      <w:pPr>
        <w:spacing w:after="120"/>
        <w:jc w:val="both"/>
        <w:rPr>
          <w:rFonts w:ascii="Arial" w:hAnsi="Arial" w:cs="Arial"/>
          <w:bCs/>
          <w:sz w:val="22"/>
          <w:szCs w:val="22"/>
        </w:rPr>
      </w:pPr>
      <w:r w:rsidRPr="001B0951">
        <w:rPr>
          <w:rFonts w:ascii="Arial" w:hAnsi="Arial" w:cs="Arial"/>
          <w:bCs/>
          <w:sz w:val="22"/>
          <w:szCs w:val="22"/>
        </w:rPr>
        <w:t xml:space="preserve">Přes pozitivní vývoj na trhu práce zejména v oblasti poptávky po pracovní síle se v mnoha </w:t>
      </w:r>
      <w:r w:rsidRPr="00550458">
        <w:rPr>
          <w:rFonts w:ascii="Arial" w:hAnsi="Arial" w:cs="Arial"/>
          <w:bCs/>
          <w:sz w:val="22"/>
          <w:szCs w:val="22"/>
        </w:rPr>
        <w:t>povoláních objevují výrazné disproporce mezi poptávkou a nabídkou</w:t>
      </w:r>
      <w:r w:rsidR="000E6E28" w:rsidRPr="00550458">
        <w:rPr>
          <w:rFonts w:ascii="Arial" w:hAnsi="Arial" w:cs="Arial"/>
          <w:bCs/>
          <w:sz w:val="22"/>
          <w:szCs w:val="22"/>
        </w:rPr>
        <w:t>, kdy poptávka mnohdy převyšuje nabídku</w:t>
      </w:r>
      <w:r w:rsidRPr="00550458">
        <w:rPr>
          <w:rFonts w:ascii="Arial" w:hAnsi="Arial" w:cs="Arial"/>
          <w:bCs/>
          <w:sz w:val="22"/>
          <w:szCs w:val="22"/>
        </w:rPr>
        <w:t>. V oblasti poptávky a</w:t>
      </w:r>
      <w:r w:rsidR="00E4384E" w:rsidRPr="00550458">
        <w:rPr>
          <w:rFonts w:ascii="Arial" w:hAnsi="Arial" w:cs="Arial"/>
          <w:bCs/>
          <w:sz w:val="22"/>
          <w:szCs w:val="22"/>
        </w:rPr>
        <w:t> </w:t>
      </w:r>
      <w:r w:rsidRPr="00550458">
        <w:rPr>
          <w:rFonts w:ascii="Arial" w:hAnsi="Arial" w:cs="Arial"/>
          <w:bCs/>
          <w:sz w:val="22"/>
          <w:szCs w:val="22"/>
        </w:rPr>
        <w:t>nabídky pracovní síly lze vysledovat hlavní faktory, které omezují funkční zprostředkování zaměstnání a vytvářejí nesoulad na trhu práce:</w:t>
      </w:r>
    </w:p>
    <w:p w14:paraId="4917186D" w14:textId="77777777" w:rsidR="006020CD" w:rsidRPr="00550458" w:rsidRDefault="006020CD" w:rsidP="00E4384E">
      <w:pPr>
        <w:spacing w:after="120"/>
        <w:ind w:left="426" w:hanging="142"/>
        <w:jc w:val="both"/>
        <w:rPr>
          <w:rFonts w:ascii="Arial" w:hAnsi="Arial" w:cs="Arial"/>
          <w:bCs/>
          <w:sz w:val="22"/>
          <w:szCs w:val="22"/>
        </w:rPr>
      </w:pPr>
      <w:r w:rsidRPr="00550458">
        <w:rPr>
          <w:rFonts w:ascii="Arial" w:hAnsi="Arial" w:cs="Arial"/>
          <w:bCs/>
          <w:sz w:val="22"/>
          <w:szCs w:val="22"/>
        </w:rPr>
        <w:t>•</w:t>
      </w:r>
      <w:r w:rsidRPr="00550458">
        <w:rPr>
          <w:rFonts w:ascii="Arial" w:hAnsi="Arial" w:cs="Arial"/>
          <w:bCs/>
          <w:sz w:val="22"/>
          <w:szCs w:val="22"/>
        </w:rPr>
        <w:tab/>
        <w:t>nesoulad v kvalifikačních požadavcích zaměstnavatelů a v kvalifikaci, kterou zaměstnanci disponují (zejména technické obory);</w:t>
      </w:r>
    </w:p>
    <w:p w14:paraId="7F75004B" w14:textId="086C6F8A" w:rsidR="000E6E28" w:rsidRPr="00550458" w:rsidRDefault="00DA0172" w:rsidP="00E4384E">
      <w:pPr>
        <w:spacing w:after="240"/>
        <w:ind w:left="426" w:hanging="142"/>
        <w:jc w:val="both"/>
        <w:rPr>
          <w:rFonts w:ascii="Arial" w:hAnsi="Arial" w:cs="Arial"/>
          <w:bCs/>
          <w:sz w:val="22"/>
          <w:szCs w:val="22"/>
        </w:rPr>
      </w:pPr>
      <w:r w:rsidRPr="00550458">
        <w:rPr>
          <w:rFonts w:ascii="Arial" w:hAnsi="Arial" w:cs="Arial"/>
          <w:bCs/>
          <w:sz w:val="22"/>
          <w:szCs w:val="22"/>
        </w:rPr>
        <w:t>•</w:t>
      </w:r>
      <w:r w:rsidRPr="00550458">
        <w:rPr>
          <w:rFonts w:ascii="Arial" w:hAnsi="Arial" w:cs="Arial"/>
          <w:bCs/>
          <w:sz w:val="22"/>
          <w:szCs w:val="22"/>
        </w:rPr>
        <w:tab/>
        <w:t>rozdíl</w:t>
      </w:r>
      <w:r w:rsidR="006020CD" w:rsidRPr="00550458">
        <w:rPr>
          <w:rFonts w:ascii="Arial" w:hAnsi="Arial" w:cs="Arial"/>
          <w:bCs/>
          <w:sz w:val="22"/>
          <w:szCs w:val="22"/>
        </w:rPr>
        <w:t>né pohledy zaměstnavatelů a zaměstnanců na mzdo</w:t>
      </w:r>
      <w:r w:rsidR="000E6E28" w:rsidRPr="00550458">
        <w:rPr>
          <w:rFonts w:ascii="Arial" w:hAnsi="Arial" w:cs="Arial"/>
          <w:bCs/>
          <w:sz w:val="22"/>
          <w:szCs w:val="22"/>
        </w:rPr>
        <w:t>vé, pracovní a životní podmínky</w:t>
      </w:r>
      <w:r w:rsidR="006020CD" w:rsidRPr="00550458">
        <w:rPr>
          <w:rFonts w:ascii="Arial" w:hAnsi="Arial" w:cs="Arial"/>
          <w:bCs/>
          <w:sz w:val="22"/>
          <w:szCs w:val="22"/>
        </w:rPr>
        <w:t xml:space="preserve"> </w:t>
      </w:r>
    </w:p>
    <w:p w14:paraId="1610E02C" w14:textId="42FFAA91" w:rsidR="006020CD" w:rsidRPr="00550458" w:rsidRDefault="000E6E28" w:rsidP="000E6E28">
      <w:pPr>
        <w:spacing w:after="240"/>
        <w:ind w:left="426" w:hanging="142"/>
        <w:jc w:val="both"/>
        <w:rPr>
          <w:rFonts w:ascii="Arial" w:hAnsi="Arial" w:cs="Arial"/>
          <w:bCs/>
          <w:sz w:val="22"/>
          <w:szCs w:val="22"/>
        </w:rPr>
      </w:pPr>
      <w:r w:rsidRPr="00550458">
        <w:rPr>
          <w:rFonts w:ascii="Arial" w:hAnsi="Arial" w:cs="Arial"/>
          <w:bCs/>
          <w:sz w:val="22"/>
          <w:szCs w:val="22"/>
        </w:rPr>
        <w:t xml:space="preserve">• </w:t>
      </w:r>
      <w:r w:rsidR="006020CD" w:rsidRPr="00550458">
        <w:rPr>
          <w:rFonts w:ascii="Arial" w:hAnsi="Arial" w:cs="Arial"/>
          <w:bCs/>
          <w:sz w:val="22"/>
          <w:szCs w:val="22"/>
        </w:rPr>
        <w:t>problematika zadluženost</w:t>
      </w:r>
      <w:r w:rsidR="005D242E" w:rsidRPr="00550458">
        <w:rPr>
          <w:rFonts w:ascii="Arial" w:hAnsi="Arial" w:cs="Arial"/>
          <w:bCs/>
          <w:sz w:val="22"/>
          <w:szCs w:val="22"/>
        </w:rPr>
        <w:t>i</w:t>
      </w:r>
      <w:r w:rsidR="006020CD" w:rsidRPr="00550458">
        <w:rPr>
          <w:rFonts w:ascii="Arial" w:hAnsi="Arial" w:cs="Arial"/>
          <w:bCs/>
          <w:sz w:val="22"/>
          <w:szCs w:val="22"/>
        </w:rPr>
        <w:t xml:space="preserve"> domácností a sociálních dávek</w:t>
      </w:r>
      <w:r w:rsidRPr="00550458">
        <w:rPr>
          <w:rFonts w:ascii="Arial" w:hAnsi="Arial" w:cs="Arial"/>
          <w:bCs/>
          <w:sz w:val="22"/>
          <w:szCs w:val="22"/>
        </w:rPr>
        <w:t xml:space="preserve"> na straně zaměstnanců</w:t>
      </w:r>
      <w:r w:rsidR="006020CD" w:rsidRPr="00550458">
        <w:rPr>
          <w:rFonts w:ascii="Arial" w:hAnsi="Arial" w:cs="Arial"/>
          <w:bCs/>
          <w:sz w:val="22"/>
          <w:szCs w:val="22"/>
        </w:rPr>
        <w:t xml:space="preserve">. </w:t>
      </w:r>
    </w:p>
    <w:p w14:paraId="11F3DA7E" w14:textId="408039D2" w:rsidR="00826069" w:rsidRPr="001B0951" w:rsidRDefault="005D242E" w:rsidP="00E4384E">
      <w:pPr>
        <w:spacing w:after="240"/>
        <w:jc w:val="both"/>
        <w:rPr>
          <w:rFonts w:ascii="Arial" w:hAnsi="Arial" w:cs="Arial"/>
          <w:bCs/>
          <w:sz w:val="22"/>
          <w:szCs w:val="22"/>
        </w:rPr>
      </w:pPr>
      <w:r w:rsidRPr="00550458">
        <w:rPr>
          <w:rFonts w:ascii="Arial" w:hAnsi="Arial" w:cs="Arial"/>
          <w:bCs/>
          <w:sz w:val="22"/>
          <w:szCs w:val="22"/>
        </w:rPr>
        <w:t>P</w:t>
      </w:r>
      <w:r w:rsidR="006020CD" w:rsidRPr="00550458">
        <w:rPr>
          <w:rFonts w:ascii="Arial" w:hAnsi="Arial" w:cs="Arial"/>
          <w:bCs/>
          <w:sz w:val="22"/>
          <w:szCs w:val="22"/>
        </w:rPr>
        <w:t>řir</w:t>
      </w:r>
      <w:r w:rsidR="00E4384E" w:rsidRPr="00550458">
        <w:rPr>
          <w:rFonts w:ascii="Arial" w:hAnsi="Arial" w:cs="Arial"/>
          <w:bCs/>
          <w:sz w:val="22"/>
          <w:szCs w:val="22"/>
        </w:rPr>
        <w:t>ozenou míru nezaměstnanosti v České republice</w:t>
      </w:r>
      <w:r w:rsidR="006020CD" w:rsidRPr="00550458">
        <w:rPr>
          <w:rFonts w:ascii="Arial" w:hAnsi="Arial" w:cs="Arial"/>
          <w:bCs/>
          <w:sz w:val="22"/>
          <w:szCs w:val="22"/>
        </w:rPr>
        <w:t xml:space="preserve"> </w:t>
      </w:r>
      <w:r w:rsidR="00BB056A" w:rsidRPr="00550458">
        <w:rPr>
          <w:rFonts w:ascii="Arial" w:hAnsi="Arial" w:cs="Arial"/>
          <w:bCs/>
          <w:sz w:val="22"/>
          <w:szCs w:val="22"/>
        </w:rPr>
        <w:t xml:space="preserve">bylo možné </w:t>
      </w:r>
      <w:r w:rsidR="006020CD" w:rsidRPr="00550458">
        <w:rPr>
          <w:rFonts w:ascii="Arial" w:hAnsi="Arial" w:cs="Arial"/>
          <w:bCs/>
          <w:sz w:val="22"/>
          <w:szCs w:val="22"/>
        </w:rPr>
        <w:t xml:space="preserve">odhadovat </w:t>
      </w:r>
      <w:r w:rsidR="00BB056A" w:rsidRPr="00550458">
        <w:rPr>
          <w:rFonts w:ascii="Arial" w:hAnsi="Arial" w:cs="Arial"/>
          <w:bCs/>
          <w:sz w:val="22"/>
          <w:szCs w:val="22"/>
        </w:rPr>
        <w:t xml:space="preserve">na konci roku 2016 </w:t>
      </w:r>
      <w:r w:rsidR="006020CD" w:rsidRPr="00550458">
        <w:rPr>
          <w:rFonts w:ascii="Arial" w:hAnsi="Arial" w:cs="Arial"/>
          <w:bCs/>
          <w:sz w:val="22"/>
          <w:szCs w:val="22"/>
        </w:rPr>
        <w:t>kolem 6 % z celkového objemu pracovní síly.</w:t>
      </w:r>
      <w:r w:rsidR="00BB056A" w:rsidRPr="00550458">
        <w:rPr>
          <w:rStyle w:val="Znakapoznpodarou"/>
          <w:rFonts w:ascii="Arial" w:hAnsi="Arial" w:cs="Arial"/>
          <w:bCs/>
          <w:sz w:val="22"/>
          <w:szCs w:val="22"/>
        </w:rPr>
        <w:footnoteReference w:id="3"/>
      </w:r>
      <w:r w:rsidR="006020CD" w:rsidRPr="001B0951">
        <w:rPr>
          <w:rFonts w:ascii="Arial" w:hAnsi="Arial" w:cs="Arial"/>
          <w:bCs/>
          <w:sz w:val="22"/>
          <w:szCs w:val="22"/>
        </w:rPr>
        <w:t xml:space="preserve"> Ne vždy však bývá přirozená míra nezaměstnanosti optimálním stavem, zvláště pokud její významnou část tvoří strukturální složka, což je současný případ českého trhu práce. Právě strukturální nezaměstnanost je důsledkem nesouladu mezi poptávkou na lokální či regionální úrovni trhu práce a nabízenými dovednostmi pracovníků, kteří zde hledají zaměstnání. I když počet volných pracovních míst může být stejný nebo vyšší než počet nezaměstnaných, diskvalifikuje nezaměstnané nedostatek (či naopak přebytek) dovedností potřebných pro nabízená zaměstnání. Problémem bývá často také skutečnost, že žijí mimo loka</w:t>
      </w:r>
      <w:r w:rsidR="00550458">
        <w:rPr>
          <w:rFonts w:ascii="Arial" w:hAnsi="Arial" w:cs="Arial"/>
          <w:bCs/>
          <w:sz w:val="22"/>
          <w:szCs w:val="22"/>
        </w:rPr>
        <w:t>litu, kde jsou pracovní místa k </w:t>
      </w:r>
      <w:r w:rsidR="006020CD" w:rsidRPr="001B0951">
        <w:rPr>
          <w:rFonts w:ascii="Arial" w:hAnsi="Arial" w:cs="Arial"/>
          <w:bCs/>
          <w:sz w:val="22"/>
          <w:szCs w:val="22"/>
        </w:rPr>
        <w:t>dispozici.</w:t>
      </w:r>
    </w:p>
    <w:p w14:paraId="148235C5" w14:textId="79489861" w:rsidR="00E4384E" w:rsidRPr="001B0951" w:rsidRDefault="00E4384E" w:rsidP="00E4384E">
      <w:pPr>
        <w:spacing w:after="240"/>
        <w:jc w:val="both"/>
        <w:rPr>
          <w:rFonts w:ascii="Arial" w:hAnsi="Arial" w:cs="Arial"/>
          <w:bCs/>
          <w:sz w:val="22"/>
          <w:szCs w:val="22"/>
        </w:rPr>
      </w:pPr>
      <w:r w:rsidRPr="001B0951">
        <w:rPr>
          <w:rFonts w:ascii="Arial" w:hAnsi="Arial" w:cs="Arial"/>
          <w:bCs/>
          <w:sz w:val="22"/>
          <w:szCs w:val="22"/>
        </w:rPr>
        <w:t>Systém investičních pobídek se od svého zavedení zaměřuje na podpor</w:t>
      </w:r>
      <w:r w:rsidR="00910A97" w:rsidRPr="001B0951">
        <w:rPr>
          <w:rFonts w:ascii="Arial" w:hAnsi="Arial" w:cs="Arial"/>
          <w:bCs/>
          <w:sz w:val="22"/>
          <w:szCs w:val="22"/>
        </w:rPr>
        <w:t xml:space="preserve">u tvorby nových pracovních míst. </w:t>
      </w:r>
      <w:r w:rsidR="006E3AD1" w:rsidRPr="001B0951">
        <w:rPr>
          <w:rFonts w:ascii="Arial" w:hAnsi="Arial" w:cs="Arial"/>
          <w:bCs/>
          <w:sz w:val="22"/>
          <w:szCs w:val="22"/>
        </w:rPr>
        <w:t>Pokud investor</w:t>
      </w:r>
      <w:r w:rsidR="00F93675" w:rsidRPr="001B0951">
        <w:rPr>
          <w:rFonts w:ascii="Arial" w:hAnsi="Arial" w:cs="Arial"/>
          <w:bCs/>
          <w:sz w:val="22"/>
          <w:szCs w:val="22"/>
        </w:rPr>
        <w:t xml:space="preserve"> dle svých investičních předpokladů vytvoření nových pracovních míst očekáv</w:t>
      </w:r>
      <w:r w:rsidR="006E3AD1" w:rsidRPr="001B0951">
        <w:rPr>
          <w:rFonts w:ascii="Arial" w:hAnsi="Arial" w:cs="Arial"/>
          <w:bCs/>
          <w:sz w:val="22"/>
          <w:szCs w:val="22"/>
        </w:rPr>
        <w:t>á</w:t>
      </w:r>
      <w:r w:rsidR="00F93675" w:rsidRPr="001B0951">
        <w:rPr>
          <w:rFonts w:ascii="Arial" w:hAnsi="Arial" w:cs="Arial"/>
          <w:bCs/>
          <w:sz w:val="22"/>
          <w:szCs w:val="22"/>
        </w:rPr>
        <w:t xml:space="preserve">, </w:t>
      </w:r>
      <w:r w:rsidR="006E3AD1" w:rsidRPr="001B0951">
        <w:rPr>
          <w:rFonts w:ascii="Arial" w:hAnsi="Arial" w:cs="Arial"/>
          <w:bCs/>
          <w:sz w:val="22"/>
          <w:szCs w:val="22"/>
        </w:rPr>
        <w:t xml:space="preserve">ale </w:t>
      </w:r>
      <w:r w:rsidR="00F93675" w:rsidRPr="001B0951">
        <w:rPr>
          <w:rFonts w:ascii="Arial" w:hAnsi="Arial" w:cs="Arial"/>
          <w:bCs/>
          <w:sz w:val="22"/>
          <w:szCs w:val="22"/>
        </w:rPr>
        <w:t xml:space="preserve">reálně </w:t>
      </w:r>
      <w:r w:rsidR="006E3AD1" w:rsidRPr="001B0951">
        <w:rPr>
          <w:rFonts w:ascii="Arial" w:hAnsi="Arial" w:cs="Arial"/>
          <w:bCs/>
          <w:sz w:val="22"/>
          <w:szCs w:val="22"/>
        </w:rPr>
        <w:t>není</w:t>
      </w:r>
      <w:r w:rsidR="00F93675" w:rsidRPr="001B0951">
        <w:rPr>
          <w:rFonts w:ascii="Arial" w:hAnsi="Arial" w:cs="Arial"/>
          <w:bCs/>
          <w:sz w:val="22"/>
          <w:szCs w:val="22"/>
        </w:rPr>
        <w:t xml:space="preserve"> schop</w:t>
      </w:r>
      <w:r w:rsidR="006E3AD1" w:rsidRPr="001B0951">
        <w:rPr>
          <w:rFonts w:ascii="Arial" w:hAnsi="Arial" w:cs="Arial"/>
          <w:bCs/>
          <w:sz w:val="22"/>
          <w:szCs w:val="22"/>
        </w:rPr>
        <w:t>e</w:t>
      </w:r>
      <w:r w:rsidR="00F93675" w:rsidRPr="001B0951">
        <w:rPr>
          <w:rFonts w:ascii="Arial" w:hAnsi="Arial" w:cs="Arial"/>
          <w:bCs/>
          <w:sz w:val="22"/>
          <w:szCs w:val="22"/>
        </w:rPr>
        <w:t>n</w:t>
      </w:r>
      <w:r w:rsidR="006E3AD1" w:rsidRPr="001B0951">
        <w:rPr>
          <w:rFonts w:ascii="Arial" w:hAnsi="Arial" w:cs="Arial"/>
          <w:bCs/>
          <w:sz w:val="22"/>
          <w:szCs w:val="22"/>
        </w:rPr>
        <w:t xml:space="preserve"> </w:t>
      </w:r>
      <w:r w:rsidR="00F93675" w:rsidRPr="001B0951">
        <w:rPr>
          <w:rFonts w:ascii="Arial" w:hAnsi="Arial" w:cs="Arial"/>
          <w:bCs/>
          <w:sz w:val="22"/>
          <w:szCs w:val="22"/>
        </w:rPr>
        <w:t>tato pracovní místa obsadit</w:t>
      </w:r>
      <w:r w:rsidR="006E3AD1" w:rsidRPr="001B0951">
        <w:rPr>
          <w:rFonts w:ascii="Arial" w:hAnsi="Arial" w:cs="Arial"/>
          <w:bCs/>
          <w:sz w:val="22"/>
          <w:szCs w:val="22"/>
        </w:rPr>
        <w:t xml:space="preserve">, </w:t>
      </w:r>
      <w:r w:rsidR="00D32113" w:rsidRPr="001B0951">
        <w:rPr>
          <w:rFonts w:ascii="Arial" w:hAnsi="Arial" w:cs="Arial"/>
          <w:bCs/>
          <w:sz w:val="22"/>
          <w:szCs w:val="22"/>
        </w:rPr>
        <w:t>dojde</w:t>
      </w:r>
      <w:r w:rsidR="006E3AD1" w:rsidRPr="001B0951">
        <w:rPr>
          <w:rFonts w:ascii="Arial" w:hAnsi="Arial" w:cs="Arial"/>
          <w:bCs/>
          <w:sz w:val="22"/>
          <w:szCs w:val="22"/>
        </w:rPr>
        <w:t xml:space="preserve"> k </w:t>
      </w:r>
      <w:r w:rsidR="00932165" w:rsidRPr="001B0951">
        <w:rPr>
          <w:rFonts w:ascii="Arial" w:hAnsi="Arial" w:cs="Arial"/>
          <w:bCs/>
          <w:sz w:val="22"/>
          <w:szCs w:val="22"/>
        </w:rPr>
        <w:t xml:space="preserve">nesplnění podmínek udělení podpory a ztrátě investiční pobídky. </w:t>
      </w:r>
      <w:r w:rsidR="005D242E" w:rsidRPr="001B0951">
        <w:rPr>
          <w:rFonts w:ascii="Arial" w:hAnsi="Arial" w:cs="Arial"/>
          <w:bCs/>
          <w:sz w:val="22"/>
          <w:szCs w:val="22"/>
        </w:rPr>
        <w:t>S</w:t>
      </w:r>
      <w:r w:rsidR="00F93675" w:rsidRPr="001B0951">
        <w:rPr>
          <w:rFonts w:ascii="Arial" w:hAnsi="Arial" w:cs="Arial"/>
          <w:bCs/>
          <w:sz w:val="22"/>
          <w:szCs w:val="22"/>
        </w:rPr>
        <w:t>ituac</w:t>
      </w:r>
      <w:r w:rsidR="00932165" w:rsidRPr="001B0951">
        <w:rPr>
          <w:rFonts w:ascii="Arial" w:hAnsi="Arial" w:cs="Arial"/>
          <w:bCs/>
          <w:sz w:val="22"/>
          <w:szCs w:val="22"/>
        </w:rPr>
        <w:t xml:space="preserve">e </w:t>
      </w:r>
      <w:r w:rsidR="005D242E" w:rsidRPr="001B0951">
        <w:rPr>
          <w:rFonts w:ascii="Arial" w:hAnsi="Arial" w:cs="Arial"/>
          <w:bCs/>
          <w:sz w:val="22"/>
          <w:szCs w:val="22"/>
        </w:rPr>
        <w:t xml:space="preserve">na trhu práce tak </w:t>
      </w:r>
      <w:r w:rsidR="00932165" w:rsidRPr="001B0951">
        <w:rPr>
          <w:rFonts w:ascii="Arial" w:hAnsi="Arial" w:cs="Arial"/>
          <w:bCs/>
          <w:sz w:val="22"/>
          <w:szCs w:val="22"/>
        </w:rPr>
        <w:t>ztěžuje</w:t>
      </w:r>
      <w:r w:rsidR="00F93675" w:rsidRPr="001B0951">
        <w:rPr>
          <w:rFonts w:ascii="Arial" w:hAnsi="Arial" w:cs="Arial"/>
          <w:bCs/>
          <w:sz w:val="22"/>
          <w:szCs w:val="22"/>
        </w:rPr>
        <w:t xml:space="preserve"> </w:t>
      </w:r>
      <w:r w:rsidR="00932165" w:rsidRPr="001B0951">
        <w:rPr>
          <w:rFonts w:ascii="Arial" w:hAnsi="Arial" w:cs="Arial"/>
          <w:bCs/>
          <w:sz w:val="22"/>
          <w:szCs w:val="22"/>
        </w:rPr>
        <w:t>možnost podpory</w:t>
      </w:r>
      <w:r w:rsidR="00F93675" w:rsidRPr="001B0951">
        <w:rPr>
          <w:rFonts w:ascii="Arial" w:hAnsi="Arial" w:cs="Arial"/>
          <w:bCs/>
          <w:sz w:val="22"/>
          <w:szCs w:val="22"/>
        </w:rPr>
        <w:t xml:space="preserve"> vlastní výroby, ale i </w:t>
      </w:r>
      <w:r w:rsidR="00932165" w:rsidRPr="001B0951">
        <w:rPr>
          <w:rFonts w:ascii="Arial" w:hAnsi="Arial" w:cs="Arial"/>
          <w:bCs/>
          <w:sz w:val="22"/>
          <w:szCs w:val="22"/>
        </w:rPr>
        <w:t>podpory</w:t>
      </w:r>
      <w:r w:rsidR="00F93675" w:rsidRPr="001B0951">
        <w:rPr>
          <w:rFonts w:ascii="Arial" w:hAnsi="Arial" w:cs="Arial"/>
          <w:bCs/>
          <w:sz w:val="22"/>
          <w:szCs w:val="22"/>
        </w:rPr>
        <w:t xml:space="preserve"> nevýrobních projektů</w:t>
      </w:r>
      <w:r w:rsidR="00932165" w:rsidRPr="001B0951">
        <w:rPr>
          <w:rFonts w:ascii="Arial" w:hAnsi="Arial" w:cs="Arial"/>
          <w:bCs/>
          <w:sz w:val="22"/>
          <w:szCs w:val="22"/>
        </w:rPr>
        <w:t xml:space="preserve">. Pokud má totiž investor více provozů, je povinen prokázat </w:t>
      </w:r>
      <w:r w:rsidR="00F93675" w:rsidRPr="001B0951">
        <w:rPr>
          <w:rFonts w:ascii="Arial" w:hAnsi="Arial" w:cs="Arial"/>
          <w:bCs/>
          <w:sz w:val="22"/>
          <w:szCs w:val="22"/>
        </w:rPr>
        <w:t>zvýšení počtu zaměstnanců nejen za podpořený provoz, ale za celou společnost (IČO)</w:t>
      </w:r>
      <w:r w:rsidR="009950D9" w:rsidRPr="001B0951">
        <w:rPr>
          <w:rFonts w:ascii="Arial" w:hAnsi="Arial" w:cs="Arial"/>
          <w:bCs/>
          <w:sz w:val="22"/>
          <w:szCs w:val="22"/>
        </w:rPr>
        <w:t>, kde se zohled</w:t>
      </w:r>
      <w:r w:rsidR="00D65B80" w:rsidRPr="001B0951">
        <w:rPr>
          <w:rFonts w:ascii="Arial" w:hAnsi="Arial" w:cs="Arial"/>
          <w:bCs/>
          <w:sz w:val="22"/>
          <w:szCs w:val="22"/>
        </w:rPr>
        <w:t xml:space="preserve">ňují všechny </w:t>
      </w:r>
      <w:r w:rsidR="00F93675" w:rsidRPr="001B0951">
        <w:rPr>
          <w:rFonts w:ascii="Arial" w:hAnsi="Arial" w:cs="Arial"/>
          <w:bCs/>
          <w:sz w:val="22"/>
          <w:szCs w:val="22"/>
        </w:rPr>
        <w:t>provozy.</w:t>
      </w:r>
    </w:p>
    <w:p w14:paraId="73C42752" w14:textId="0B9D238A" w:rsidR="000F52D0" w:rsidRPr="001B0951" w:rsidRDefault="00921FA5" w:rsidP="00E4384E">
      <w:pPr>
        <w:spacing w:after="240"/>
        <w:jc w:val="both"/>
        <w:rPr>
          <w:rFonts w:ascii="Arial" w:hAnsi="Arial" w:cs="Arial"/>
          <w:b/>
          <w:bCs/>
          <w:sz w:val="22"/>
          <w:szCs w:val="22"/>
        </w:rPr>
      </w:pPr>
      <w:r>
        <w:rPr>
          <w:rFonts w:ascii="Arial" w:hAnsi="Arial" w:cs="Arial"/>
          <w:b/>
          <w:bCs/>
          <w:sz w:val="22"/>
          <w:szCs w:val="22"/>
        </w:rPr>
        <w:t>Nízký</w:t>
      </w:r>
      <w:r w:rsidR="000F52D0" w:rsidRPr="001B0951">
        <w:rPr>
          <w:rFonts w:ascii="Arial" w:hAnsi="Arial" w:cs="Arial"/>
          <w:b/>
          <w:bCs/>
          <w:sz w:val="22"/>
          <w:szCs w:val="22"/>
        </w:rPr>
        <w:t xml:space="preserve"> podíl malých a středních podniků v systému investičních pobídek</w:t>
      </w:r>
    </w:p>
    <w:p w14:paraId="740EA27D" w14:textId="653F67AC" w:rsidR="000F52D0" w:rsidRPr="001B0951" w:rsidRDefault="000F52D0" w:rsidP="00E4384E">
      <w:pPr>
        <w:spacing w:after="240"/>
        <w:jc w:val="both"/>
        <w:rPr>
          <w:rFonts w:ascii="Arial" w:hAnsi="Arial" w:cs="Arial"/>
          <w:bCs/>
          <w:sz w:val="22"/>
          <w:szCs w:val="22"/>
        </w:rPr>
      </w:pPr>
      <w:r w:rsidRPr="001B0951">
        <w:rPr>
          <w:rFonts w:ascii="Arial" w:hAnsi="Arial" w:cs="Arial"/>
          <w:sz w:val="22"/>
          <w:szCs w:val="22"/>
        </w:rPr>
        <w:t xml:space="preserve">Systém investičních pobídek již v současné podobě umožňuje získat investiční pobídku také malými a středními podniky. Vzhledem k nastaveným </w:t>
      </w:r>
      <w:r w:rsidR="00562EEA" w:rsidRPr="001B0951">
        <w:rPr>
          <w:rFonts w:ascii="Arial" w:hAnsi="Arial" w:cs="Arial"/>
          <w:sz w:val="22"/>
          <w:szCs w:val="22"/>
        </w:rPr>
        <w:t>podmí</w:t>
      </w:r>
      <w:r w:rsidR="00562EEA" w:rsidRPr="00550458">
        <w:rPr>
          <w:rFonts w:ascii="Arial" w:hAnsi="Arial" w:cs="Arial"/>
          <w:sz w:val="22"/>
          <w:szCs w:val="22"/>
        </w:rPr>
        <w:t xml:space="preserve">nkám, </w:t>
      </w:r>
      <w:r w:rsidR="000E6E28" w:rsidRPr="00550458">
        <w:rPr>
          <w:rFonts w:ascii="Arial" w:hAnsi="Arial" w:cs="Arial"/>
          <w:sz w:val="22"/>
          <w:szCs w:val="22"/>
        </w:rPr>
        <w:t>kterými jsou</w:t>
      </w:r>
      <w:r w:rsidR="000E6E28">
        <w:rPr>
          <w:rFonts w:ascii="Arial" w:hAnsi="Arial" w:cs="Arial"/>
          <w:sz w:val="22"/>
          <w:szCs w:val="22"/>
        </w:rPr>
        <w:t xml:space="preserve"> </w:t>
      </w:r>
      <w:r w:rsidR="00562EEA" w:rsidRPr="001B0951">
        <w:rPr>
          <w:rFonts w:ascii="Arial" w:hAnsi="Arial" w:cs="Arial"/>
          <w:sz w:val="22"/>
          <w:szCs w:val="22"/>
        </w:rPr>
        <w:t xml:space="preserve">zejména minimální výše investice a počet nově vytvořených pracovních míst, má tento segment podniků v systému investičních pobídek dlouhodobě </w:t>
      </w:r>
      <w:r w:rsidR="00921FA5">
        <w:rPr>
          <w:rFonts w:ascii="Arial" w:hAnsi="Arial" w:cs="Arial"/>
          <w:sz w:val="22"/>
          <w:szCs w:val="22"/>
        </w:rPr>
        <w:t>nízké</w:t>
      </w:r>
      <w:r w:rsidR="00562EEA" w:rsidRPr="001B0951">
        <w:rPr>
          <w:rFonts w:ascii="Arial" w:hAnsi="Arial" w:cs="Arial"/>
          <w:sz w:val="22"/>
          <w:szCs w:val="22"/>
        </w:rPr>
        <w:t xml:space="preserve"> zastoupení (v roce 2016 pouze 16,7 % ze všech vydaných Rozhodnutí o příslibu investiční pobídky).</w:t>
      </w:r>
    </w:p>
    <w:p w14:paraId="12C98645" w14:textId="1DA37EA2" w:rsidR="005906B2" w:rsidRPr="001B0951" w:rsidRDefault="005906B2" w:rsidP="008978F1">
      <w:pPr>
        <w:pStyle w:val="Nadpis1"/>
        <w:spacing w:after="240"/>
      </w:pPr>
      <w:r w:rsidRPr="001B0951">
        <w:t>Podpora vyšší přidané hodnoty v okolních státech</w:t>
      </w:r>
    </w:p>
    <w:p w14:paraId="67E37F9C" w14:textId="4D03EDF7" w:rsidR="005906B2" w:rsidRPr="001B0951" w:rsidRDefault="008978F1" w:rsidP="00B83D18">
      <w:pPr>
        <w:spacing w:before="240"/>
        <w:jc w:val="both"/>
        <w:rPr>
          <w:rFonts w:ascii="Arial" w:hAnsi="Arial" w:cs="Arial"/>
          <w:sz w:val="22"/>
          <w:szCs w:val="22"/>
        </w:rPr>
      </w:pPr>
      <w:r w:rsidRPr="001B0951">
        <w:rPr>
          <w:rFonts w:ascii="Arial" w:hAnsi="Arial" w:cs="Arial"/>
          <w:sz w:val="22"/>
          <w:szCs w:val="22"/>
        </w:rPr>
        <w:t>V rámci hledání vhodného způsobu budoucího nastavení systému investičních pobídek bylo srovnáváno i nastavení investičních pobídek v okolních státech, a to zejména z pohledu podpory vyšší přidané hodnoty.</w:t>
      </w:r>
      <w:r w:rsidR="00F343D0" w:rsidRPr="001B0951">
        <w:rPr>
          <w:rFonts w:ascii="Arial" w:hAnsi="Arial" w:cs="Arial"/>
          <w:sz w:val="22"/>
          <w:szCs w:val="22"/>
        </w:rPr>
        <w:t xml:space="preserve"> </w:t>
      </w:r>
    </w:p>
    <w:p w14:paraId="6094AB5C" w14:textId="1936593B" w:rsidR="004C7604" w:rsidRPr="001B0951" w:rsidRDefault="004C7604" w:rsidP="00B83D18">
      <w:pPr>
        <w:spacing w:before="240"/>
        <w:jc w:val="both"/>
        <w:rPr>
          <w:rFonts w:ascii="Arial" w:hAnsi="Arial" w:cs="Arial"/>
          <w:b/>
          <w:sz w:val="22"/>
          <w:szCs w:val="22"/>
        </w:rPr>
      </w:pPr>
      <w:r w:rsidRPr="001B0951">
        <w:rPr>
          <w:rFonts w:ascii="Arial" w:hAnsi="Arial" w:cs="Arial"/>
          <w:b/>
          <w:sz w:val="22"/>
          <w:szCs w:val="22"/>
        </w:rPr>
        <w:t>Slovensko</w:t>
      </w:r>
    </w:p>
    <w:p w14:paraId="427EE57A" w14:textId="45552F61" w:rsidR="004C7604" w:rsidRPr="001B0951" w:rsidRDefault="004C7604" w:rsidP="00B83D18">
      <w:pPr>
        <w:spacing w:before="240"/>
        <w:jc w:val="both"/>
        <w:rPr>
          <w:rFonts w:ascii="Arial" w:hAnsi="Arial" w:cs="Arial"/>
          <w:sz w:val="22"/>
          <w:szCs w:val="22"/>
        </w:rPr>
      </w:pPr>
      <w:r w:rsidRPr="001B0951">
        <w:rPr>
          <w:rFonts w:ascii="Arial" w:hAnsi="Arial" w:cs="Arial"/>
          <w:sz w:val="22"/>
          <w:szCs w:val="22"/>
        </w:rPr>
        <w:lastRenderedPageBreak/>
        <w:t xml:space="preserve">V rámci slovenského systému investičních pobídek </w:t>
      </w:r>
      <w:r w:rsidR="00D2292D" w:rsidRPr="001B0951">
        <w:rPr>
          <w:rFonts w:ascii="Arial" w:hAnsi="Arial" w:cs="Arial"/>
          <w:sz w:val="22"/>
          <w:szCs w:val="22"/>
        </w:rPr>
        <w:t>jsou upřednostňována pracovní místa vytvořená v rámci technologických</w:t>
      </w:r>
      <w:r w:rsidRPr="001B0951">
        <w:rPr>
          <w:rFonts w:ascii="Arial" w:hAnsi="Arial" w:cs="Arial"/>
          <w:sz w:val="22"/>
          <w:szCs w:val="22"/>
        </w:rPr>
        <w:t xml:space="preserve"> cent</w:t>
      </w:r>
      <w:r w:rsidR="00D2292D" w:rsidRPr="001B0951">
        <w:rPr>
          <w:rFonts w:ascii="Arial" w:hAnsi="Arial" w:cs="Arial"/>
          <w:sz w:val="22"/>
          <w:szCs w:val="22"/>
        </w:rPr>
        <w:t>e</w:t>
      </w:r>
      <w:r w:rsidRPr="001B0951">
        <w:rPr>
          <w:rFonts w:ascii="Arial" w:hAnsi="Arial" w:cs="Arial"/>
          <w:sz w:val="22"/>
          <w:szCs w:val="22"/>
        </w:rPr>
        <w:t>r a cent</w:t>
      </w:r>
      <w:r w:rsidR="00D2292D" w:rsidRPr="001B0951">
        <w:rPr>
          <w:rFonts w:ascii="Arial" w:hAnsi="Arial" w:cs="Arial"/>
          <w:sz w:val="22"/>
          <w:szCs w:val="22"/>
        </w:rPr>
        <w:t>e</w:t>
      </w:r>
      <w:r w:rsidRPr="001B0951">
        <w:rPr>
          <w:rFonts w:ascii="Arial" w:hAnsi="Arial" w:cs="Arial"/>
          <w:sz w:val="22"/>
          <w:szCs w:val="22"/>
        </w:rPr>
        <w:t>r strategických služeb,</w:t>
      </w:r>
      <w:r w:rsidR="00127C7A">
        <w:rPr>
          <w:rFonts w:ascii="Arial" w:hAnsi="Arial" w:cs="Arial"/>
          <w:sz w:val="22"/>
          <w:szCs w:val="22"/>
        </w:rPr>
        <w:t xml:space="preserve"> na která</w:t>
      </w:r>
      <w:r w:rsidR="00D2292D" w:rsidRPr="001B0951">
        <w:rPr>
          <w:rFonts w:ascii="Arial" w:hAnsi="Arial" w:cs="Arial"/>
          <w:sz w:val="22"/>
          <w:szCs w:val="22"/>
        </w:rPr>
        <w:t xml:space="preserve"> je možné získat příspěvek ve formě dotace ve všech podporovaných regionech Slovenska. Centra jsou navíc podmíněna i podílem</w:t>
      </w:r>
      <w:r w:rsidRPr="001B0951">
        <w:rPr>
          <w:rFonts w:ascii="Arial" w:hAnsi="Arial" w:cs="Arial"/>
          <w:sz w:val="22"/>
          <w:szCs w:val="22"/>
        </w:rPr>
        <w:t xml:space="preserve"> 60-70 % vysokoškolsk</w:t>
      </w:r>
      <w:r w:rsidR="00D2292D" w:rsidRPr="001B0951">
        <w:rPr>
          <w:rFonts w:ascii="Arial" w:hAnsi="Arial" w:cs="Arial"/>
          <w:sz w:val="22"/>
          <w:szCs w:val="22"/>
        </w:rPr>
        <w:t>y vzdělaných zaměstnanců.</w:t>
      </w:r>
      <w:r w:rsidR="009B3D5F" w:rsidRPr="001B0951">
        <w:rPr>
          <w:rFonts w:ascii="Arial" w:hAnsi="Arial" w:cs="Arial"/>
          <w:sz w:val="22"/>
          <w:szCs w:val="22"/>
        </w:rPr>
        <w:t xml:space="preserve"> Přiznání investiční pobídky podléhá </w:t>
      </w:r>
      <w:r w:rsidR="00B418B4" w:rsidRPr="001B0951">
        <w:rPr>
          <w:rFonts w:ascii="Arial" w:hAnsi="Arial" w:cs="Arial"/>
          <w:sz w:val="22"/>
          <w:szCs w:val="22"/>
        </w:rPr>
        <w:t xml:space="preserve">vždy </w:t>
      </w:r>
      <w:r w:rsidR="009B3D5F" w:rsidRPr="001B0951">
        <w:rPr>
          <w:rFonts w:ascii="Arial" w:hAnsi="Arial" w:cs="Arial"/>
          <w:sz w:val="22"/>
          <w:szCs w:val="22"/>
        </w:rPr>
        <w:t>schválení vládou.</w:t>
      </w:r>
    </w:p>
    <w:p w14:paraId="0D90EE35" w14:textId="77777777" w:rsidR="00074B87" w:rsidRPr="001B0951" w:rsidRDefault="00074B87" w:rsidP="00074B87">
      <w:pPr>
        <w:spacing w:before="240"/>
        <w:jc w:val="both"/>
        <w:rPr>
          <w:rFonts w:ascii="Arial" w:hAnsi="Arial" w:cs="Arial"/>
          <w:b/>
          <w:sz w:val="22"/>
          <w:szCs w:val="22"/>
        </w:rPr>
      </w:pPr>
      <w:r w:rsidRPr="001B0951">
        <w:rPr>
          <w:rFonts w:ascii="Arial" w:hAnsi="Arial" w:cs="Arial"/>
          <w:b/>
          <w:sz w:val="22"/>
          <w:szCs w:val="22"/>
        </w:rPr>
        <w:t>Maďarsko</w:t>
      </w:r>
    </w:p>
    <w:p w14:paraId="0C0F1065" w14:textId="4C791A02" w:rsidR="00074B87" w:rsidRPr="001B0951" w:rsidRDefault="00074B87" w:rsidP="00074B87">
      <w:pPr>
        <w:spacing w:before="240"/>
        <w:jc w:val="both"/>
        <w:rPr>
          <w:rFonts w:ascii="Arial" w:hAnsi="Arial" w:cs="Arial"/>
          <w:sz w:val="22"/>
          <w:szCs w:val="22"/>
        </w:rPr>
      </w:pPr>
      <w:r w:rsidRPr="001B0951">
        <w:rPr>
          <w:rFonts w:ascii="Arial" w:hAnsi="Arial" w:cs="Arial"/>
          <w:sz w:val="22"/>
          <w:szCs w:val="22"/>
        </w:rPr>
        <w:t xml:space="preserve">Zde závisí poskytnutí podpory na individuálním posouzení vládou. Kromě předem stanovených podmínek </w:t>
      </w:r>
      <w:r w:rsidRPr="00550458">
        <w:rPr>
          <w:rFonts w:ascii="Arial" w:hAnsi="Arial" w:cs="Arial"/>
          <w:sz w:val="22"/>
          <w:szCs w:val="22"/>
        </w:rPr>
        <w:t>(</w:t>
      </w:r>
      <w:r w:rsidR="000E6E28" w:rsidRPr="00550458">
        <w:rPr>
          <w:rFonts w:ascii="Arial" w:hAnsi="Arial" w:cs="Arial"/>
          <w:sz w:val="22"/>
          <w:szCs w:val="22"/>
        </w:rPr>
        <w:t>např.</w:t>
      </w:r>
      <w:r w:rsidR="000E6E28">
        <w:rPr>
          <w:rFonts w:ascii="Arial" w:hAnsi="Arial" w:cs="Arial"/>
          <w:sz w:val="22"/>
          <w:szCs w:val="22"/>
        </w:rPr>
        <w:t xml:space="preserve"> </w:t>
      </w:r>
      <w:r w:rsidRPr="001B0951">
        <w:rPr>
          <w:rFonts w:ascii="Arial" w:hAnsi="Arial" w:cs="Arial"/>
          <w:sz w:val="22"/>
          <w:szCs w:val="22"/>
        </w:rPr>
        <w:t>výše investice, počet pracovních míst) je možné v rámci schvalování podpory dojednat i další podmínky poskytnutí podpory.</w:t>
      </w:r>
    </w:p>
    <w:p w14:paraId="7E055EA6" w14:textId="77777777" w:rsidR="00F71DB4" w:rsidRPr="001B0951" w:rsidRDefault="00F71DB4" w:rsidP="00B83D18">
      <w:pPr>
        <w:spacing w:before="240"/>
        <w:jc w:val="both"/>
        <w:rPr>
          <w:rFonts w:ascii="Arial" w:hAnsi="Arial" w:cs="Arial"/>
          <w:b/>
          <w:sz w:val="22"/>
          <w:szCs w:val="22"/>
        </w:rPr>
      </w:pPr>
      <w:r w:rsidRPr="001B0951">
        <w:rPr>
          <w:rFonts w:ascii="Arial" w:hAnsi="Arial" w:cs="Arial"/>
          <w:b/>
          <w:sz w:val="22"/>
          <w:szCs w:val="22"/>
        </w:rPr>
        <w:t>Polsko</w:t>
      </w:r>
    </w:p>
    <w:p w14:paraId="4563EC21" w14:textId="19096D4A" w:rsidR="00F71DB4" w:rsidRPr="001B0951" w:rsidRDefault="00F71DB4" w:rsidP="00B83D18">
      <w:pPr>
        <w:spacing w:before="240"/>
        <w:jc w:val="both"/>
        <w:rPr>
          <w:rFonts w:ascii="Arial" w:hAnsi="Arial" w:cs="Arial"/>
          <w:sz w:val="22"/>
          <w:szCs w:val="22"/>
        </w:rPr>
      </w:pPr>
      <w:r w:rsidRPr="001B0951">
        <w:rPr>
          <w:rFonts w:ascii="Arial" w:hAnsi="Arial" w:cs="Arial"/>
          <w:sz w:val="22"/>
          <w:szCs w:val="22"/>
        </w:rPr>
        <w:t xml:space="preserve">Hmotná podpora na pracovní místa </w:t>
      </w:r>
      <w:r w:rsidR="006B1D28" w:rsidRPr="001B0951">
        <w:rPr>
          <w:rFonts w:ascii="Arial" w:hAnsi="Arial" w:cs="Arial"/>
          <w:sz w:val="22"/>
          <w:szCs w:val="22"/>
        </w:rPr>
        <w:t xml:space="preserve">je za určitých podmínek poskytována kdekoliv </w:t>
      </w:r>
      <w:r w:rsidRPr="001B0951">
        <w:rPr>
          <w:rFonts w:ascii="Arial" w:hAnsi="Arial" w:cs="Arial"/>
          <w:sz w:val="22"/>
          <w:szCs w:val="22"/>
        </w:rPr>
        <w:t>pro centra strategických služeb</w:t>
      </w:r>
      <w:r w:rsidR="006B1D28" w:rsidRPr="001B0951">
        <w:rPr>
          <w:rFonts w:ascii="Arial" w:hAnsi="Arial" w:cs="Arial"/>
          <w:sz w:val="22"/>
          <w:szCs w:val="22"/>
        </w:rPr>
        <w:t xml:space="preserve"> (min. 250 pracovních míst)</w:t>
      </w:r>
      <w:r w:rsidRPr="001B0951">
        <w:rPr>
          <w:rFonts w:ascii="Arial" w:hAnsi="Arial" w:cs="Arial"/>
          <w:sz w:val="22"/>
          <w:szCs w:val="22"/>
        </w:rPr>
        <w:t xml:space="preserve">, technologická centra </w:t>
      </w:r>
      <w:r w:rsidR="006B1D28" w:rsidRPr="001B0951">
        <w:rPr>
          <w:rFonts w:ascii="Arial" w:hAnsi="Arial" w:cs="Arial"/>
          <w:sz w:val="22"/>
          <w:szCs w:val="22"/>
        </w:rPr>
        <w:t xml:space="preserve">(pouze pro vysokoškolsky vzdělané zaměstnance) </w:t>
      </w:r>
      <w:r w:rsidRPr="001B0951">
        <w:rPr>
          <w:rFonts w:ascii="Arial" w:hAnsi="Arial" w:cs="Arial"/>
          <w:sz w:val="22"/>
          <w:szCs w:val="22"/>
        </w:rPr>
        <w:t xml:space="preserve">a investice </w:t>
      </w:r>
      <w:r w:rsidR="006B1D28" w:rsidRPr="001B0951">
        <w:rPr>
          <w:rFonts w:ascii="Arial" w:hAnsi="Arial" w:cs="Arial"/>
          <w:sz w:val="22"/>
          <w:szCs w:val="22"/>
        </w:rPr>
        <w:t>významného</w:t>
      </w:r>
      <w:r w:rsidRPr="001B0951">
        <w:rPr>
          <w:rFonts w:ascii="Arial" w:hAnsi="Arial" w:cs="Arial"/>
          <w:sz w:val="22"/>
          <w:szCs w:val="22"/>
        </w:rPr>
        <w:t xml:space="preserve"> rozsahu</w:t>
      </w:r>
      <w:r w:rsidR="006B1D28" w:rsidRPr="001B0951">
        <w:rPr>
          <w:rFonts w:ascii="Arial" w:hAnsi="Arial" w:cs="Arial"/>
          <w:sz w:val="22"/>
          <w:szCs w:val="22"/>
        </w:rPr>
        <w:t>. U</w:t>
      </w:r>
      <w:r w:rsidRPr="001B0951">
        <w:rPr>
          <w:rFonts w:ascii="Arial" w:hAnsi="Arial" w:cs="Arial"/>
          <w:sz w:val="22"/>
          <w:szCs w:val="22"/>
        </w:rPr>
        <w:t xml:space="preserve"> výroby </w:t>
      </w:r>
      <w:r w:rsidR="006B1D28" w:rsidRPr="001B0951">
        <w:rPr>
          <w:rFonts w:ascii="Arial" w:hAnsi="Arial" w:cs="Arial"/>
          <w:sz w:val="22"/>
          <w:szCs w:val="22"/>
        </w:rPr>
        <w:t xml:space="preserve">je možné poskytnout podporu pracovních míst pouze </w:t>
      </w:r>
      <w:r w:rsidRPr="001B0951">
        <w:rPr>
          <w:rFonts w:ascii="Arial" w:hAnsi="Arial" w:cs="Arial"/>
          <w:sz w:val="22"/>
          <w:szCs w:val="22"/>
        </w:rPr>
        <w:t xml:space="preserve">v prioritních sektorech </w:t>
      </w:r>
      <w:r w:rsidR="006B1D28" w:rsidRPr="001B0951">
        <w:rPr>
          <w:rFonts w:ascii="Arial" w:hAnsi="Arial" w:cs="Arial"/>
          <w:sz w:val="22"/>
          <w:szCs w:val="22"/>
        </w:rPr>
        <w:t xml:space="preserve">a </w:t>
      </w:r>
      <w:r w:rsidR="00FE2746" w:rsidRPr="001B0951">
        <w:rPr>
          <w:rFonts w:ascii="Arial" w:hAnsi="Arial" w:cs="Arial"/>
          <w:sz w:val="22"/>
          <w:szCs w:val="22"/>
        </w:rPr>
        <w:t>při vytvoření alespoň 250 pracovních míst</w:t>
      </w:r>
      <w:r w:rsidRPr="001B0951">
        <w:rPr>
          <w:rFonts w:ascii="Arial" w:hAnsi="Arial" w:cs="Arial"/>
          <w:sz w:val="22"/>
          <w:szCs w:val="22"/>
        </w:rPr>
        <w:t>.</w:t>
      </w:r>
    </w:p>
    <w:p w14:paraId="17C206E0" w14:textId="1EEE2E4D" w:rsidR="00B418B4" w:rsidRPr="001B0951" w:rsidRDefault="00B418B4" w:rsidP="00B83D18">
      <w:pPr>
        <w:spacing w:before="240"/>
        <w:ind w:right="26"/>
        <w:jc w:val="both"/>
        <w:rPr>
          <w:rFonts w:ascii="Arial" w:eastAsia="Calibri" w:hAnsi="Arial" w:cs="Arial"/>
          <w:b/>
          <w:iCs/>
          <w:color w:val="000000"/>
          <w:sz w:val="22"/>
          <w:szCs w:val="22"/>
          <w:lang w:eastAsia="en-US"/>
        </w:rPr>
      </w:pPr>
      <w:r w:rsidRPr="001B0951">
        <w:rPr>
          <w:rFonts w:ascii="Arial" w:eastAsia="Calibri" w:hAnsi="Arial" w:cs="Arial"/>
          <w:b/>
          <w:iCs/>
          <w:color w:val="000000"/>
          <w:sz w:val="22"/>
          <w:szCs w:val="22"/>
          <w:lang w:eastAsia="en-US"/>
        </w:rPr>
        <w:t>Bulharsko</w:t>
      </w:r>
    </w:p>
    <w:p w14:paraId="6CBF6270" w14:textId="098E873C" w:rsidR="00B418B4" w:rsidRPr="001B0951" w:rsidRDefault="00B418B4" w:rsidP="00B83D18">
      <w:pPr>
        <w:spacing w:before="240"/>
        <w:ind w:right="26"/>
        <w:jc w:val="both"/>
        <w:rPr>
          <w:rFonts w:ascii="Arial" w:eastAsia="Calibri" w:hAnsi="Arial" w:cs="Arial"/>
          <w:iCs/>
          <w:color w:val="000000"/>
          <w:sz w:val="22"/>
          <w:szCs w:val="22"/>
          <w:lang w:eastAsia="en-US"/>
        </w:rPr>
      </w:pPr>
      <w:r w:rsidRPr="001B0951">
        <w:rPr>
          <w:rFonts w:ascii="Arial" w:eastAsia="Calibri" w:hAnsi="Arial" w:cs="Arial"/>
          <w:iCs/>
          <w:color w:val="000000"/>
          <w:sz w:val="22"/>
          <w:szCs w:val="22"/>
          <w:lang w:eastAsia="en-US"/>
        </w:rPr>
        <w:t xml:space="preserve">Kritéria pro přidělení investiční podmínky (př. minimální investice nebo minimální počet nově vytvořených pracovních míst) se snižují, pokud se jedná o projekt v </w:t>
      </w:r>
      <w:proofErr w:type="spellStart"/>
      <w:r w:rsidRPr="001B0951">
        <w:rPr>
          <w:rFonts w:ascii="Arial" w:eastAsia="Calibri" w:hAnsi="Arial" w:cs="Arial"/>
          <w:iCs/>
          <w:color w:val="000000"/>
          <w:sz w:val="22"/>
          <w:szCs w:val="22"/>
          <w:lang w:eastAsia="en-US"/>
        </w:rPr>
        <w:t>high-tech</w:t>
      </w:r>
      <w:proofErr w:type="spellEnd"/>
      <w:r w:rsidRPr="001B0951">
        <w:rPr>
          <w:rFonts w:ascii="Arial" w:eastAsia="Calibri" w:hAnsi="Arial" w:cs="Arial"/>
          <w:iCs/>
          <w:color w:val="000000"/>
          <w:sz w:val="22"/>
          <w:szCs w:val="22"/>
          <w:lang w:eastAsia="en-US"/>
        </w:rPr>
        <w:t xml:space="preserve">, sektoru služeb znalostně zaměřeném, nebo v </w:t>
      </w:r>
      <w:proofErr w:type="spellStart"/>
      <w:r w:rsidRPr="001B0951">
        <w:rPr>
          <w:rFonts w:ascii="Arial" w:eastAsia="Calibri" w:hAnsi="Arial" w:cs="Arial"/>
          <w:iCs/>
          <w:color w:val="000000"/>
          <w:sz w:val="22"/>
          <w:szCs w:val="22"/>
          <w:lang w:eastAsia="en-US"/>
        </w:rPr>
        <w:t>high-tech</w:t>
      </w:r>
      <w:proofErr w:type="spellEnd"/>
      <w:r w:rsidRPr="001B0951">
        <w:rPr>
          <w:rFonts w:ascii="Arial" w:eastAsia="Calibri" w:hAnsi="Arial" w:cs="Arial"/>
          <w:iCs/>
          <w:color w:val="000000"/>
          <w:sz w:val="22"/>
          <w:szCs w:val="22"/>
          <w:lang w:eastAsia="en-US"/>
        </w:rPr>
        <w:t xml:space="preserve"> výrobě.</w:t>
      </w:r>
    </w:p>
    <w:p w14:paraId="3963F5A4" w14:textId="6881073C" w:rsidR="0067015B" w:rsidRPr="001B0951" w:rsidRDefault="0067015B" w:rsidP="00B83D18">
      <w:pPr>
        <w:spacing w:before="240"/>
        <w:ind w:right="26"/>
        <w:jc w:val="both"/>
        <w:rPr>
          <w:rFonts w:ascii="Arial" w:eastAsia="Calibri" w:hAnsi="Arial" w:cs="Arial"/>
          <w:b/>
          <w:iCs/>
          <w:color w:val="000000"/>
          <w:sz w:val="22"/>
          <w:szCs w:val="22"/>
          <w:lang w:eastAsia="en-US"/>
        </w:rPr>
      </w:pPr>
      <w:r w:rsidRPr="001B0951">
        <w:rPr>
          <w:rFonts w:ascii="Arial" w:eastAsia="Calibri" w:hAnsi="Arial" w:cs="Arial"/>
          <w:b/>
          <w:iCs/>
          <w:color w:val="000000"/>
          <w:sz w:val="22"/>
          <w:szCs w:val="22"/>
          <w:lang w:eastAsia="en-US"/>
        </w:rPr>
        <w:t>Irsko</w:t>
      </w:r>
    </w:p>
    <w:p w14:paraId="427DA427" w14:textId="4AD36128" w:rsidR="0067015B" w:rsidRPr="001B0951" w:rsidRDefault="0067015B" w:rsidP="00B83D18">
      <w:pPr>
        <w:spacing w:before="240" w:after="240"/>
        <w:ind w:right="28"/>
        <w:jc w:val="both"/>
        <w:rPr>
          <w:rFonts w:ascii="Arial" w:eastAsia="Calibri" w:hAnsi="Arial" w:cs="Arial"/>
          <w:iCs/>
          <w:color w:val="000000"/>
          <w:sz w:val="22"/>
          <w:szCs w:val="22"/>
          <w:lang w:eastAsia="en-US"/>
        </w:rPr>
      </w:pPr>
      <w:r w:rsidRPr="001B0951">
        <w:rPr>
          <w:rFonts w:ascii="Arial" w:eastAsia="Calibri" w:hAnsi="Arial" w:cs="Arial"/>
          <w:iCs/>
          <w:color w:val="000000"/>
          <w:sz w:val="22"/>
          <w:szCs w:val="22"/>
          <w:lang w:eastAsia="en-US"/>
        </w:rPr>
        <w:t>Granty na školení zaměstnanců jsou poskytovány zejména firmám, které chtějí rozšít znalosti a dovednosti stávajících zaměstnanců, přičemž tyto granty jsou zaměřeny zejména na firmy, které chtějí dosáhnout diverzifikace a rozšíření portfolia svých produktů nebo služeb. Vyloučen ze školení je klasický rutinní provozní výcvik.</w:t>
      </w:r>
    </w:p>
    <w:p w14:paraId="2076C919" w14:textId="1618B15E" w:rsidR="000A43C5" w:rsidRPr="001B0951" w:rsidRDefault="00957C93" w:rsidP="004678AC">
      <w:pPr>
        <w:pStyle w:val="Nadpis1"/>
      </w:pPr>
      <w:r w:rsidRPr="001B0951">
        <w:t>Přehled</w:t>
      </w:r>
      <w:r w:rsidR="00ED55C9" w:rsidRPr="001B0951">
        <w:t xml:space="preserve"> navrhovan</w:t>
      </w:r>
      <w:r w:rsidR="007B4597" w:rsidRPr="001B0951">
        <w:t>ých změn</w:t>
      </w:r>
    </w:p>
    <w:p w14:paraId="7FFA94C6" w14:textId="4F4FF2F6" w:rsidR="00D344F7" w:rsidRPr="001B0951" w:rsidRDefault="00D344F7" w:rsidP="00545760">
      <w:pPr>
        <w:pStyle w:val="Nadpis2"/>
        <w:numPr>
          <w:ilvl w:val="0"/>
          <w:numId w:val="25"/>
        </w:numPr>
        <w:ind w:left="0" w:firstLine="0"/>
      </w:pPr>
      <w:r w:rsidRPr="001B0951">
        <w:t xml:space="preserve">Vyšší přidaná hodnota – nevýrobní činnosti </w:t>
      </w:r>
    </w:p>
    <w:p w14:paraId="6DC2D78F" w14:textId="01DDC484" w:rsidR="00D344F7" w:rsidRPr="001B0951" w:rsidRDefault="00D344F7" w:rsidP="0078610C">
      <w:pPr>
        <w:overflowPunct w:val="0"/>
        <w:autoSpaceDE w:val="0"/>
        <w:autoSpaceDN w:val="0"/>
        <w:adjustRightInd w:val="0"/>
        <w:spacing w:before="240" w:after="240"/>
        <w:jc w:val="both"/>
        <w:textAlignment w:val="baseline"/>
        <w:rPr>
          <w:rFonts w:ascii="Arial" w:hAnsi="Arial" w:cs="Arial"/>
          <w:sz w:val="22"/>
          <w:szCs w:val="22"/>
          <w:u w:val="single"/>
        </w:rPr>
      </w:pPr>
      <w:r w:rsidRPr="001B0951">
        <w:rPr>
          <w:rFonts w:ascii="Arial" w:hAnsi="Arial" w:cs="Arial"/>
          <w:sz w:val="22"/>
          <w:szCs w:val="22"/>
          <w:u w:val="single"/>
        </w:rPr>
        <w:t>Posílení podpory technologických center a center strategických služeb</w:t>
      </w:r>
    </w:p>
    <w:p w14:paraId="66D469AE" w14:textId="77777777" w:rsidR="00D344F7" w:rsidRPr="001B0951" w:rsidRDefault="00D344F7" w:rsidP="0078610C">
      <w:pPr>
        <w:overflowPunct w:val="0"/>
        <w:autoSpaceDE w:val="0"/>
        <w:autoSpaceDN w:val="0"/>
        <w:adjustRightInd w:val="0"/>
        <w:spacing w:after="240"/>
        <w:jc w:val="both"/>
        <w:textAlignment w:val="baseline"/>
        <w:rPr>
          <w:rFonts w:ascii="Arial" w:hAnsi="Arial" w:cs="Arial"/>
          <w:i/>
          <w:sz w:val="22"/>
          <w:szCs w:val="22"/>
        </w:rPr>
      </w:pPr>
      <w:r w:rsidRPr="001B0951">
        <w:rPr>
          <w:rFonts w:ascii="Arial" w:hAnsi="Arial" w:cs="Arial"/>
          <w:i/>
          <w:sz w:val="22"/>
          <w:szCs w:val="22"/>
        </w:rPr>
        <w:t>Současný stav:</w:t>
      </w:r>
    </w:p>
    <w:p w14:paraId="7DE7253A" w14:textId="21229C2F" w:rsidR="00D344F7" w:rsidRPr="001B0951" w:rsidRDefault="000A576B"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 xml:space="preserve">Podpora technologických center a center strategických služeb je již v zákoně zavedena. </w:t>
      </w:r>
      <w:r w:rsidR="00D344F7" w:rsidRPr="001B0951">
        <w:rPr>
          <w:rFonts w:ascii="Arial" w:hAnsi="Arial" w:cs="Arial"/>
          <w:sz w:val="22"/>
          <w:szCs w:val="22"/>
        </w:rPr>
        <w:t xml:space="preserve">Podle současného znění zákona je </w:t>
      </w:r>
      <w:r w:rsidRPr="001B0951">
        <w:rPr>
          <w:rFonts w:ascii="Arial" w:hAnsi="Arial" w:cs="Arial"/>
          <w:sz w:val="22"/>
          <w:szCs w:val="22"/>
        </w:rPr>
        <w:t xml:space="preserve">však </w:t>
      </w:r>
      <w:r w:rsidR="00D344F7" w:rsidRPr="001B0951">
        <w:rPr>
          <w:rFonts w:ascii="Arial" w:hAnsi="Arial" w:cs="Arial"/>
          <w:sz w:val="22"/>
          <w:szCs w:val="22"/>
        </w:rPr>
        <w:t xml:space="preserve">těmto centrům nabízena nejčastěji sleva na dani z příjmů. Dotační formy podpory jsou dostupné pouze pro strategicky velké investice v technologickém centru (tzn. 100 pracovních míst a 200 mil. Kč investice do </w:t>
      </w:r>
      <w:r w:rsidR="00A03F3C" w:rsidRPr="001B0951">
        <w:rPr>
          <w:rFonts w:ascii="Arial" w:hAnsi="Arial" w:cs="Arial"/>
          <w:sz w:val="22"/>
          <w:szCs w:val="22"/>
        </w:rPr>
        <w:t xml:space="preserve">dlouhodobého </w:t>
      </w:r>
      <w:r w:rsidR="00D344F7" w:rsidRPr="001B0951">
        <w:rPr>
          <w:rFonts w:ascii="Arial" w:hAnsi="Arial" w:cs="Arial"/>
          <w:sz w:val="22"/>
          <w:szCs w:val="22"/>
        </w:rPr>
        <w:t xml:space="preserve">majetku) nebo pro investice uskutečněné v okresech s nejvyšší mírou nezaměstnanosti. Všichni příjemci navíc mají povinnost vytvořit určitý počet nových pracovních míst, jejichž čistý nárůst se počítá za celou </w:t>
      </w:r>
      <w:r w:rsidR="00A03F3C" w:rsidRPr="001B0951">
        <w:rPr>
          <w:rFonts w:ascii="Arial" w:hAnsi="Arial" w:cs="Arial"/>
          <w:sz w:val="22"/>
          <w:szCs w:val="22"/>
        </w:rPr>
        <w:t xml:space="preserve">obchodní </w:t>
      </w:r>
      <w:r w:rsidR="00D344F7" w:rsidRPr="001B0951">
        <w:rPr>
          <w:rFonts w:ascii="Arial" w:hAnsi="Arial" w:cs="Arial"/>
          <w:sz w:val="22"/>
          <w:szCs w:val="22"/>
        </w:rPr>
        <w:t xml:space="preserve">společnost (IČO). </w:t>
      </w:r>
    </w:p>
    <w:p w14:paraId="278C2D4A" w14:textId="77777777" w:rsidR="00D344F7" w:rsidRPr="001B0951" w:rsidRDefault="00D344F7" w:rsidP="00A03F3C">
      <w:pPr>
        <w:keepNext/>
        <w:overflowPunct w:val="0"/>
        <w:autoSpaceDE w:val="0"/>
        <w:autoSpaceDN w:val="0"/>
        <w:adjustRightInd w:val="0"/>
        <w:spacing w:after="240"/>
        <w:jc w:val="both"/>
        <w:textAlignment w:val="baseline"/>
        <w:rPr>
          <w:rFonts w:ascii="Arial" w:hAnsi="Arial" w:cs="Arial"/>
          <w:i/>
          <w:sz w:val="22"/>
          <w:szCs w:val="22"/>
        </w:rPr>
      </w:pPr>
      <w:r w:rsidRPr="001B0951">
        <w:rPr>
          <w:rFonts w:ascii="Arial" w:hAnsi="Arial" w:cs="Arial"/>
          <w:i/>
          <w:sz w:val="22"/>
          <w:szCs w:val="22"/>
        </w:rPr>
        <w:t>Návrhy změn:</w:t>
      </w:r>
    </w:p>
    <w:p w14:paraId="47B2363E" w14:textId="77777777" w:rsidR="00D344F7" w:rsidRPr="001B0951" w:rsidRDefault="00D344F7" w:rsidP="00A30355">
      <w:pPr>
        <w:numPr>
          <w:ilvl w:val="0"/>
          <w:numId w:val="18"/>
        </w:numPr>
        <w:overflowPunct w:val="0"/>
        <w:autoSpaceDE w:val="0"/>
        <w:autoSpaceDN w:val="0"/>
        <w:adjustRightInd w:val="0"/>
        <w:spacing w:after="240"/>
        <w:ind w:left="426" w:hanging="426"/>
        <w:jc w:val="both"/>
        <w:textAlignment w:val="baseline"/>
        <w:rPr>
          <w:rFonts w:ascii="Arial" w:hAnsi="Arial" w:cs="Arial"/>
          <w:sz w:val="22"/>
          <w:szCs w:val="22"/>
        </w:rPr>
      </w:pPr>
      <w:r w:rsidRPr="001B0951">
        <w:rPr>
          <w:rFonts w:ascii="Arial" w:hAnsi="Arial" w:cs="Arial"/>
          <w:sz w:val="22"/>
          <w:szCs w:val="22"/>
        </w:rPr>
        <w:t>Rozšířit možnosti poskytování dotačních forem podpory pro tento typ činnosti:</w:t>
      </w:r>
    </w:p>
    <w:p w14:paraId="4F0BC9B9" w14:textId="61E7D00C" w:rsidR="007D4647" w:rsidRPr="001B0951" w:rsidRDefault="00A30355" w:rsidP="00A30355">
      <w:pPr>
        <w:numPr>
          <w:ilvl w:val="1"/>
          <w:numId w:val="18"/>
        </w:numPr>
        <w:overflowPunct w:val="0"/>
        <w:autoSpaceDE w:val="0"/>
        <w:autoSpaceDN w:val="0"/>
        <w:adjustRightInd w:val="0"/>
        <w:spacing w:after="240"/>
        <w:ind w:left="426" w:hanging="426"/>
        <w:jc w:val="both"/>
        <w:textAlignment w:val="baseline"/>
        <w:rPr>
          <w:rFonts w:ascii="Arial" w:hAnsi="Arial" w:cs="Arial"/>
          <w:b/>
          <w:sz w:val="22"/>
          <w:szCs w:val="22"/>
        </w:rPr>
      </w:pPr>
      <w:r w:rsidRPr="001B0951">
        <w:rPr>
          <w:rFonts w:ascii="Arial" w:hAnsi="Arial" w:cs="Arial"/>
          <w:b/>
          <w:sz w:val="22"/>
          <w:szCs w:val="22"/>
        </w:rPr>
        <w:lastRenderedPageBreak/>
        <w:t>Z</w:t>
      </w:r>
      <w:r w:rsidR="00D344F7" w:rsidRPr="001B0951">
        <w:rPr>
          <w:rFonts w:ascii="Arial" w:hAnsi="Arial" w:cs="Arial"/>
          <w:b/>
          <w:sz w:val="22"/>
          <w:szCs w:val="22"/>
        </w:rPr>
        <w:t xml:space="preserve">výšit limit pro poskytování hmotné podpory pořízení dlouhodobého </w:t>
      </w:r>
      <w:r w:rsidR="007D4647" w:rsidRPr="001B0951">
        <w:rPr>
          <w:rFonts w:ascii="Arial" w:hAnsi="Arial" w:cs="Arial"/>
          <w:b/>
          <w:sz w:val="22"/>
          <w:szCs w:val="22"/>
        </w:rPr>
        <w:t>majetku</w:t>
      </w:r>
    </w:p>
    <w:p w14:paraId="1AD7B182" w14:textId="191027E4" w:rsidR="00D344F7" w:rsidRDefault="007D4647" w:rsidP="00A30355">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H</w:t>
      </w:r>
      <w:r w:rsidR="00D344F7" w:rsidRPr="001B0951">
        <w:rPr>
          <w:rFonts w:ascii="Arial" w:hAnsi="Arial" w:cs="Arial"/>
          <w:sz w:val="22"/>
          <w:szCs w:val="22"/>
        </w:rPr>
        <w:t>motn</w:t>
      </w:r>
      <w:r w:rsidRPr="001B0951">
        <w:rPr>
          <w:rFonts w:ascii="Arial" w:hAnsi="Arial" w:cs="Arial"/>
          <w:sz w:val="22"/>
          <w:szCs w:val="22"/>
        </w:rPr>
        <w:t>á podpora dlouhodobého hmotného</w:t>
      </w:r>
      <w:r w:rsidR="00D344F7" w:rsidRPr="001B0951">
        <w:rPr>
          <w:rFonts w:ascii="Arial" w:hAnsi="Arial" w:cs="Arial"/>
          <w:sz w:val="22"/>
          <w:szCs w:val="22"/>
        </w:rPr>
        <w:t xml:space="preserve"> a nehmotného majetku pro strategická technologická centra </w:t>
      </w:r>
      <w:r w:rsidRPr="001B0951">
        <w:rPr>
          <w:rFonts w:ascii="Arial" w:hAnsi="Arial" w:cs="Arial"/>
          <w:sz w:val="22"/>
          <w:szCs w:val="22"/>
        </w:rPr>
        <w:t xml:space="preserve">by byla navýšena </w:t>
      </w:r>
      <w:r w:rsidRPr="001B0951">
        <w:rPr>
          <w:rFonts w:ascii="Arial" w:hAnsi="Arial" w:cs="Arial"/>
          <w:b/>
          <w:sz w:val="22"/>
          <w:szCs w:val="22"/>
        </w:rPr>
        <w:t>až na 20 % způsobilých nákladů</w:t>
      </w:r>
      <w:r w:rsidRPr="001B0951">
        <w:rPr>
          <w:rFonts w:ascii="Arial" w:hAnsi="Arial" w:cs="Arial"/>
          <w:sz w:val="22"/>
          <w:szCs w:val="22"/>
        </w:rPr>
        <w:t>.</w:t>
      </w:r>
      <w:r w:rsidR="005F0A7A">
        <w:rPr>
          <w:rFonts w:ascii="Arial" w:hAnsi="Arial" w:cs="Arial"/>
          <w:sz w:val="22"/>
          <w:szCs w:val="22"/>
        </w:rPr>
        <w:t xml:space="preserve"> </w:t>
      </w:r>
    </w:p>
    <w:p w14:paraId="1C3ABF7F" w14:textId="4A6D88DE" w:rsidR="00D344F7" w:rsidRPr="001B0951" w:rsidRDefault="00D344F7"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 xml:space="preserve">Podle současného znění zákona je možné </w:t>
      </w:r>
      <w:r w:rsidR="009E250B" w:rsidRPr="001B0951">
        <w:rPr>
          <w:rFonts w:ascii="Arial" w:hAnsi="Arial" w:cs="Arial"/>
          <w:sz w:val="22"/>
          <w:szCs w:val="22"/>
        </w:rPr>
        <w:t>těmto</w:t>
      </w:r>
      <w:r w:rsidRPr="001B0951">
        <w:rPr>
          <w:rFonts w:ascii="Arial" w:hAnsi="Arial" w:cs="Arial"/>
          <w:sz w:val="22"/>
          <w:szCs w:val="22"/>
        </w:rPr>
        <w:t xml:space="preserve"> centrům nabídnout hmotnou podporu na pořízení dlouhodobého majetku maximálně do výše 10 % způsobilých nákladů, nebo v případě, kdy je současně realizována i strategická investiční </w:t>
      </w:r>
      <w:r w:rsidR="00A30355" w:rsidRPr="001B0951">
        <w:rPr>
          <w:rFonts w:ascii="Arial" w:hAnsi="Arial" w:cs="Arial"/>
          <w:sz w:val="22"/>
          <w:szCs w:val="22"/>
        </w:rPr>
        <w:t>akce ve výrobě, až do výše 12,5 </w:t>
      </w:r>
      <w:r w:rsidRPr="001B0951">
        <w:rPr>
          <w:rFonts w:ascii="Arial" w:hAnsi="Arial" w:cs="Arial"/>
          <w:sz w:val="22"/>
          <w:szCs w:val="22"/>
        </w:rPr>
        <w:t xml:space="preserve">% způsobilých nákladů. </w:t>
      </w:r>
      <w:r w:rsidR="00A30355" w:rsidRPr="001B0951">
        <w:rPr>
          <w:rFonts w:ascii="Arial" w:hAnsi="Arial" w:cs="Arial"/>
          <w:sz w:val="22"/>
          <w:szCs w:val="22"/>
        </w:rPr>
        <w:t xml:space="preserve">Hodnota </w:t>
      </w:r>
      <w:r w:rsidR="007D4647" w:rsidRPr="001B0951">
        <w:rPr>
          <w:rFonts w:ascii="Arial" w:hAnsi="Arial" w:cs="Arial"/>
          <w:sz w:val="22"/>
          <w:szCs w:val="22"/>
        </w:rPr>
        <w:t>hmotn</w:t>
      </w:r>
      <w:r w:rsidR="00A30355" w:rsidRPr="001B0951">
        <w:rPr>
          <w:rFonts w:ascii="Arial" w:hAnsi="Arial" w:cs="Arial"/>
          <w:sz w:val="22"/>
          <w:szCs w:val="22"/>
        </w:rPr>
        <w:t>é podpory</w:t>
      </w:r>
      <w:r w:rsidR="007D4647" w:rsidRPr="001B0951">
        <w:rPr>
          <w:rFonts w:ascii="Arial" w:hAnsi="Arial" w:cs="Arial"/>
          <w:sz w:val="22"/>
          <w:szCs w:val="22"/>
        </w:rPr>
        <w:t xml:space="preserve"> na majetek </w:t>
      </w:r>
      <w:r w:rsidR="00A30355" w:rsidRPr="001B0951">
        <w:rPr>
          <w:rFonts w:ascii="Arial" w:hAnsi="Arial" w:cs="Arial"/>
          <w:sz w:val="22"/>
          <w:szCs w:val="22"/>
        </w:rPr>
        <w:t>je tedy stejná</w:t>
      </w:r>
      <w:r w:rsidR="007D4647" w:rsidRPr="001B0951">
        <w:rPr>
          <w:rFonts w:ascii="Arial" w:hAnsi="Arial" w:cs="Arial"/>
          <w:sz w:val="22"/>
          <w:szCs w:val="22"/>
        </w:rPr>
        <w:t xml:space="preserve"> jako pro strategické investice ve výrobě. </w:t>
      </w:r>
      <w:r w:rsidRPr="001B0951">
        <w:rPr>
          <w:rFonts w:ascii="Arial" w:hAnsi="Arial" w:cs="Arial"/>
          <w:sz w:val="22"/>
          <w:szCs w:val="22"/>
        </w:rPr>
        <w:t xml:space="preserve">Protože </w:t>
      </w:r>
      <w:r w:rsidR="007D4647" w:rsidRPr="001B0951">
        <w:rPr>
          <w:rFonts w:ascii="Arial" w:hAnsi="Arial" w:cs="Arial"/>
          <w:sz w:val="22"/>
          <w:szCs w:val="22"/>
        </w:rPr>
        <w:t xml:space="preserve">jsou ale tyto investice významné nejen svým rozsahem, ale i </w:t>
      </w:r>
      <w:r w:rsidRPr="001B0951">
        <w:rPr>
          <w:rFonts w:ascii="Arial" w:hAnsi="Arial" w:cs="Arial"/>
          <w:sz w:val="22"/>
          <w:szCs w:val="22"/>
        </w:rPr>
        <w:t> vysokou přidanou hodnotou</w:t>
      </w:r>
      <w:r w:rsidR="007D4647" w:rsidRPr="001B0951">
        <w:rPr>
          <w:rFonts w:ascii="Arial" w:hAnsi="Arial" w:cs="Arial"/>
          <w:sz w:val="22"/>
          <w:szCs w:val="22"/>
        </w:rPr>
        <w:t xml:space="preserve"> realizovanou na daném území</w:t>
      </w:r>
      <w:r w:rsidRPr="001B0951">
        <w:rPr>
          <w:rFonts w:ascii="Arial" w:hAnsi="Arial" w:cs="Arial"/>
          <w:sz w:val="22"/>
          <w:szCs w:val="22"/>
        </w:rPr>
        <w:t>, navrhuje se zvýhodnit tento typ investic navýš</w:t>
      </w:r>
      <w:r w:rsidRPr="00550458">
        <w:rPr>
          <w:rFonts w:ascii="Arial" w:hAnsi="Arial" w:cs="Arial"/>
          <w:sz w:val="22"/>
          <w:szCs w:val="22"/>
        </w:rPr>
        <w:t xml:space="preserve">ením </w:t>
      </w:r>
      <w:r w:rsidR="004931BC" w:rsidRPr="00550458">
        <w:rPr>
          <w:rFonts w:ascii="Arial" w:hAnsi="Arial" w:cs="Arial"/>
          <w:sz w:val="22"/>
          <w:szCs w:val="22"/>
        </w:rPr>
        <w:t xml:space="preserve">limitu pro poskytování </w:t>
      </w:r>
      <w:r w:rsidRPr="00550458">
        <w:rPr>
          <w:rFonts w:ascii="Arial" w:hAnsi="Arial" w:cs="Arial"/>
          <w:sz w:val="22"/>
          <w:szCs w:val="22"/>
        </w:rPr>
        <w:t>hm</w:t>
      </w:r>
      <w:r w:rsidRPr="001B0951">
        <w:rPr>
          <w:rFonts w:ascii="Arial" w:hAnsi="Arial" w:cs="Arial"/>
          <w:sz w:val="22"/>
          <w:szCs w:val="22"/>
        </w:rPr>
        <w:t>otné podpory oproti výrobě.</w:t>
      </w:r>
    </w:p>
    <w:p w14:paraId="29C1D50C" w14:textId="5CB0BCC9" w:rsidR="004A13B0" w:rsidRPr="001B0951" w:rsidRDefault="00A30355" w:rsidP="0078610C">
      <w:pPr>
        <w:numPr>
          <w:ilvl w:val="1"/>
          <w:numId w:val="18"/>
        </w:numPr>
        <w:overflowPunct w:val="0"/>
        <w:autoSpaceDE w:val="0"/>
        <w:autoSpaceDN w:val="0"/>
        <w:adjustRightInd w:val="0"/>
        <w:spacing w:after="240"/>
        <w:ind w:left="426"/>
        <w:jc w:val="both"/>
        <w:textAlignment w:val="baseline"/>
        <w:rPr>
          <w:rFonts w:ascii="Arial" w:hAnsi="Arial" w:cs="Arial"/>
          <w:b/>
          <w:sz w:val="22"/>
          <w:szCs w:val="22"/>
        </w:rPr>
      </w:pPr>
      <w:r w:rsidRPr="001B0951">
        <w:rPr>
          <w:rFonts w:ascii="Arial" w:hAnsi="Arial" w:cs="Arial"/>
          <w:b/>
          <w:sz w:val="22"/>
          <w:szCs w:val="22"/>
        </w:rPr>
        <w:t>Z</w:t>
      </w:r>
      <w:r w:rsidR="004A13B0" w:rsidRPr="001B0951">
        <w:rPr>
          <w:rFonts w:ascii="Arial" w:hAnsi="Arial" w:cs="Arial"/>
          <w:b/>
          <w:sz w:val="22"/>
          <w:szCs w:val="22"/>
        </w:rPr>
        <w:t>avést poskytování hmotné p</w:t>
      </w:r>
      <w:r w:rsidRPr="001B0951">
        <w:rPr>
          <w:rFonts w:ascii="Arial" w:hAnsi="Arial" w:cs="Arial"/>
          <w:b/>
          <w:sz w:val="22"/>
          <w:szCs w:val="22"/>
        </w:rPr>
        <w:t xml:space="preserve">odpory </w:t>
      </w:r>
      <w:r w:rsidR="00BE5CBB" w:rsidRPr="001B0951">
        <w:rPr>
          <w:rFonts w:ascii="Arial" w:hAnsi="Arial" w:cs="Arial"/>
          <w:b/>
          <w:sz w:val="22"/>
          <w:szCs w:val="22"/>
        </w:rPr>
        <w:t xml:space="preserve">pro technologická centra a strategické služby </w:t>
      </w:r>
      <w:r w:rsidRPr="001B0951">
        <w:rPr>
          <w:rFonts w:ascii="Arial" w:hAnsi="Arial" w:cs="Arial"/>
          <w:b/>
          <w:sz w:val="22"/>
          <w:szCs w:val="22"/>
        </w:rPr>
        <w:t>v celé České republice</w:t>
      </w:r>
    </w:p>
    <w:p w14:paraId="14D131CC" w14:textId="32E2CBB6" w:rsidR="00D344F7" w:rsidRPr="001B0951" w:rsidRDefault="004A13B0" w:rsidP="0078610C">
      <w:pPr>
        <w:overflowPunct w:val="0"/>
        <w:autoSpaceDE w:val="0"/>
        <w:autoSpaceDN w:val="0"/>
        <w:adjustRightInd w:val="0"/>
        <w:spacing w:after="240"/>
        <w:ind w:left="66"/>
        <w:jc w:val="both"/>
        <w:textAlignment w:val="baseline"/>
        <w:rPr>
          <w:rFonts w:ascii="Arial" w:hAnsi="Arial" w:cs="Arial"/>
          <w:sz w:val="22"/>
          <w:szCs w:val="22"/>
        </w:rPr>
      </w:pPr>
      <w:r w:rsidRPr="001B0951">
        <w:rPr>
          <w:rFonts w:ascii="Arial" w:hAnsi="Arial" w:cs="Arial"/>
          <w:sz w:val="22"/>
          <w:szCs w:val="22"/>
        </w:rPr>
        <w:t xml:space="preserve">Pro centra strategických služeb a technologická centra by bylo zavedeno poskytování hmotné podpory </w:t>
      </w:r>
      <w:r w:rsidR="00BE5CBB" w:rsidRPr="001B0951">
        <w:rPr>
          <w:rFonts w:ascii="Arial" w:hAnsi="Arial" w:cs="Arial"/>
          <w:sz w:val="22"/>
          <w:szCs w:val="22"/>
        </w:rPr>
        <w:t xml:space="preserve">nových pracovních míst </w:t>
      </w:r>
      <w:r w:rsidRPr="001B0951">
        <w:rPr>
          <w:rFonts w:ascii="Arial" w:hAnsi="Arial" w:cs="Arial"/>
          <w:sz w:val="22"/>
          <w:szCs w:val="22"/>
        </w:rPr>
        <w:t>ve všech okresech České republiky (kromě Prahy</w:t>
      </w:r>
      <w:r w:rsidR="003E11FF" w:rsidRPr="001B0951">
        <w:rPr>
          <w:rFonts w:ascii="Arial" w:hAnsi="Arial" w:cs="Arial"/>
          <w:sz w:val="22"/>
          <w:szCs w:val="22"/>
        </w:rPr>
        <w:t>, kde není regionální podpora povolena</w:t>
      </w:r>
      <w:r w:rsidRPr="001B0951">
        <w:rPr>
          <w:rFonts w:ascii="Arial" w:hAnsi="Arial" w:cs="Arial"/>
          <w:sz w:val="22"/>
          <w:szCs w:val="22"/>
        </w:rPr>
        <w:t xml:space="preserve">). Tato podpora by se stanovila jako pevná částka na jednoho </w:t>
      </w:r>
      <w:r w:rsidR="00BE5CBB" w:rsidRPr="001B0951">
        <w:rPr>
          <w:rFonts w:ascii="Arial" w:hAnsi="Arial" w:cs="Arial"/>
          <w:sz w:val="22"/>
          <w:szCs w:val="22"/>
        </w:rPr>
        <w:t xml:space="preserve">nového </w:t>
      </w:r>
      <w:r w:rsidRPr="001B0951">
        <w:rPr>
          <w:rFonts w:ascii="Arial" w:hAnsi="Arial" w:cs="Arial"/>
          <w:sz w:val="22"/>
          <w:szCs w:val="22"/>
        </w:rPr>
        <w:t xml:space="preserve">zaměstnance pracujícího v rámci podpořeného projektu (např. </w:t>
      </w:r>
      <w:r w:rsidR="00D344F7" w:rsidRPr="001B0951">
        <w:rPr>
          <w:rFonts w:ascii="Arial" w:hAnsi="Arial" w:cs="Arial"/>
          <w:sz w:val="22"/>
          <w:szCs w:val="22"/>
        </w:rPr>
        <w:t>ve výši 200 tis. Kč)</w:t>
      </w:r>
      <w:r w:rsidR="00BE5CBB" w:rsidRPr="001B0951">
        <w:rPr>
          <w:rFonts w:ascii="Arial" w:hAnsi="Arial" w:cs="Arial"/>
          <w:sz w:val="22"/>
          <w:szCs w:val="22"/>
        </w:rPr>
        <w:t xml:space="preserve"> a </w:t>
      </w:r>
      <w:r w:rsidRPr="001B0951">
        <w:rPr>
          <w:rFonts w:ascii="Arial" w:hAnsi="Arial" w:cs="Arial"/>
          <w:sz w:val="22"/>
          <w:szCs w:val="22"/>
        </w:rPr>
        <w:t>dále také jako procento z nákladů na rekvalifikaci nebo školení zaměstnanců (</w:t>
      </w:r>
      <w:r w:rsidR="00D344F7" w:rsidRPr="001B0951">
        <w:rPr>
          <w:rFonts w:ascii="Arial" w:hAnsi="Arial" w:cs="Arial"/>
          <w:sz w:val="22"/>
          <w:szCs w:val="22"/>
        </w:rPr>
        <w:t xml:space="preserve">např. ve výši 25 % nákladů na rekvalifikaci </w:t>
      </w:r>
      <w:r w:rsidR="00A30355" w:rsidRPr="001B0951">
        <w:rPr>
          <w:rFonts w:ascii="Arial" w:hAnsi="Arial" w:cs="Arial"/>
          <w:sz w:val="22"/>
          <w:szCs w:val="22"/>
        </w:rPr>
        <w:t>a</w:t>
      </w:r>
      <w:r w:rsidR="00D344F7" w:rsidRPr="001B0951">
        <w:rPr>
          <w:rFonts w:ascii="Arial" w:hAnsi="Arial" w:cs="Arial"/>
          <w:sz w:val="22"/>
          <w:szCs w:val="22"/>
        </w:rPr>
        <w:t xml:space="preserve"> školení)</w:t>
      </w:r>
      <w:r w:rsidR="00420B35" w:rsidRPr="001B0951">
        <w:rPr>
          <w:rFonts w:ascii="Arial" w:hAnsi="Arial" w:cs="Arial"/>
          <w:sz w:val="22"/>
          <w:szCs w:val="22"/>
        </w:rPr>
        <w:t>.</w:t>
      </w:r>
      <w:r w:rsidR="00D344F7" w:rsidRPr="001B0951">
        <w:rPr>
          <w:rFonts w:ascii="Arial" w:hAnsi="Arial" w:cs="Arial"/>
          <w:sz w:val="22"/>
          <w:szCs w:val="22"/>
        </w:rPr>
        <w:t xml:space="preserve"> </w:t>
      </w:r>
    </w:p>
    <w:p w14:paraId="402C6327" w14:textId="1A021252" w:rsidR="00D344F7" w:rsidRPr="001B0951" w:rsidRDefault="00D344F7"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Technologická centra a centra strategických služeb se vyznačují vysokým podílem vzdělané pracovní síly a vysoké přidané hodnoty. Podpora těcht</w:t>
      </w:r>
      <w:r w:rsidR="00A30355" w:rsidRPr="001B0951">
        <w:rPr>
          <w:rFonts w:ascii="Arial" w:hAnsi="Arial" w:cs="Arial"/>
          <w:sz w:val="22"/>
          <w:szCs w:val="22"/>
        </w:rPr>
        <w:t>o typů center je již v zákoně o </w:t>
      </w:r>
      <w:r w:rsidRPr="001B0951">
        <w:rPr>
          <w:rFonts w:ascii="Arial" w:hAnsi="Arial" w:cs="Arial"/>
          <w:sz w:val="22"/>
          <w:szCs w:val="22"/>
        </w:rPr>
        <w:t>in</w:t>
      </w:r>
      <w:r w:rsidR="00246975" w:rsidRPr="001B0951">
        <w:rPr>
          <w:rFonts w:ascii="Arial" w:hAnsi="Arial" w:cs="Arial"/>
          <w:sz w:val="22"/>
          <w:szCs w:val="22"/>
        </w:rPr>
        <w:t>vestičních pobídkách zavedena, s</w:t>
      </w:r>
      <w:r w:rsidRPr="001B0951">
        <w:rPr>
          <w:rFonts w:ascii="Arial" w:hAnsi="Arial" w:cs="Arial"/>
          <w:sz w:val="22"/>
          <w:szCs w:val="22"/>
        </w:rPr>
        <w:t>leva na dani z příjmů však nebývá pro tato cent</w:t>
      </w:r>
      <w:r w:rsidR="00246975" w:rsidRPr="001B0951">
        <w:rPr>
          <w:rFonts w:ascii="Arial" w:hAnsi="Arial" w:cs="Arial"/>
          <w:sz w:val="22"/>
          <w:szCs w:val="22"/>
        </w:rPr>
        <w:t>ra příliš motivujícím nástrojem. N</w:t>
      </w:r>
      <w:r w:rsidRPr="001B0951">
        <w:rPr>
          <w:rFonts w:ascii="Arial" w:hAnsi="Arial" w:cs="Arial"/>
          <w:sz w:val="22"/>
          <w:szCs w:val="22"/>
        </w:rPr>
        <w:t xml:space="preserve">avíc pro technologická centra již existuje možnost odečitatelné položky na výzkum a vývoj upravené přímo zákonem o daních z příjmů. Proto se jako nejvhodnější forma podpory jeví dotace na pracovní místa a rekvalifikaci nebo školení zaměstnanců, neboť vysoce kvalifikovaná pracovní místa jsou pro tento typ center nejdůležitějším předpokladem.  </w:t>
      </w:r>
    </w:p>
    <w:p w14:paraId="01E4B094" w14:textId="7C103252" w:rsidR="00D344F7" w:rsidRPr="001B0951" w:rsidRDefault="00276150" w:rsidP="001F49CE">
      <w:pPr>
        <w:keepNext/>
        <w:numPr>
          <w:ilvl w:val="0"/>
          <w:numId w:val="18"/>
        </w:numPr>
        <w:overflowPunct w:val="0"/>
        <w:autoSpaceDE w:val="0"/>
        <w:autoSpaceDN w:val="0"/>
        <w:adjustRightInd w:val="0"/>
        <w:spacing w:after="240"/>
        <w:ind w:left="426" w:hanging="426"/>
        <w:jc w:val="both"/>
        <w:textAlignment w:val="baseline"/>
        <w:rPr>
          <w:rFonts w:ascii="Arial" w:hAnsi="Arial" w:cs="Arial"/>
          <w:b/>
          <w:sz w:val="22"/>
          <w:szCs w:val="22"/>
        </w:rPr>
      </w:pPr>
      <w:r w:rsidRPr="001B0951">
        <w:rPr>
          <w:rFonts w:ascii="Arial" w:hAnsi="Arial" w:cs="Arial"/>
          <w:b/>
          <w:sz w:val="22"/>
          <w:szCs w:val="22"/>
        </w:rPr>
        <w:t>Změnit</w:t>
      </w:r>
      <w:r w:rsidR="00D344F7" w:rsidRPr="001B0951">
        <w:rPr>
          <w:rFonts w:ascii="Arial" w:hAnsi="Arial" w:cs="Arial"/>
          <w:b/>
          <w:sz w:val="22"/>
          <w:szCs w:val="22"/>
        </w:rPr>
        <w:t xml:space="preserve"> podmínky </w:t>
      </w:r>
      <w:r w:rsidRPr="001B0951">
        <w:rPr>
          <w:rFonts w:ascii="Arial" w:hAnsi="Arial" w:cs="Arial"/>
          <w:b/>
          <w:sz w:val="22"/>
          <w:szCs w:val="22"/>
        </w:rPr>
        <w:t>pro</w:t>
      </w:r>
      <w:r w:rsidR="00D344F7" w:rsidRPr="001B0951">
        <w:rPr>
          <w:rFonts w:ascii="Arial" w:hAnsi="Arial" w:cs="Arial"/>
          <w:b/>
          <w:sz w:val="22"/>
          <w:szCs w:val="22"/>
        </w:rPr>
        <w:t xml:space="preserve"> vytváření nových pracovních míst:</w:t>
      </w:r>
    </w:p>
    <w:p w14:paraId="0A09C893" w14:textId="723C7235" w:rsidR="00CB375B" w:rsidRPr="00550458" w:rsidRDefault="00CB375B" w:rsidP="0078610C">
      <w:pPr>
        <w:overflowPunct w:val="0"/>
        <w:autoSpaceDE w:val="0"/>
        <w:autoSpaceDN w:val="0"/>
        <w:adjustRightInd w:val="0"/>
        <w:spacing w:after="240"/>
        <w:jc w:val="both"/>
        <w:textAlignment w:val="baseline"/>
        <w:rPr>
          <w:rFonts w:ascii="Arial" w:hAnsi="Arial" w:cs="Arial"/>
          <w:sz w:val="22"/>
          <w:szCs w:val="22"/>
        </w:rPr>
      </w:pPr>
      <w:r w:rsidRPr="00550458">
        <w:rPr>
          <w:rFonts w:ascii="Arial" w:hAnsi="Arial" w:cs="Arial"/>
          <w:b/>
          <w:sz w:val="22"/>
          <w:szCs w:val="22"/>
        </w:rPr>
        <w:t>2.1</w:t>
      </w:r>
      <w:r w:rsidRPr="00550458">
        <w:rPr>
          <w:rFonts w:ascii="Arial" w:hAnsi="Arial" w:cs="Arial"/>
          <w:sz w:val="22"/>
          <w:szCs w:val="22"/>
        </w:rPr>
        <w:t xml:space="preserve"> </w:t>
      </w:r>
      <w:r w:rsidRPr="00550458">
        <w:rPr>
          <w:rFonts w:ascii="Arial" w:hAnsi="Arial" w:cs="Arial"/>
          <w:b/>
          <w:sz w:val="22"/>
          <w:szCs w:val="22"/>
        </w:rPr>
        <w:t>Změna definice nového pracovního místa</w:t>
      </w:r>
    </w:p>
    <w:p w14:paraId="3D56D656" w14:textId="34606CD8" w:rsidR="00D344F7" w:rsidRPr="00550458" w:rsidRDefault="00420B35" w:rsidP="0078610C">
      <w:pPr>
        <w:overflowPunct w:val="0"/>
        <w:autoSpaceDE w:val="0"/>
        <w:autoSpaceDN w:val="0"/>
        <w:adjustRightInd w:val="0"/>
        <w:spacing w:after="240"/>
        <w:jc w:val="both"/>
        <w:textAlignment w:val="baseline"/>
        <w:rPr>
          <w:rFonts w:ascii="Arial" w:hAnsi="Arial" w:cs="Arial"/>
          <w:sz w:val="22"/>
          <w:szCs w:val="22"/>
        </w:rPr>
      </w:pPr>
      <w:r w:rsidRPr="00550458">
        <w:rPr>
          <w:rFonts w:ascii="Arial" w:hAnsi="Arial" w:cs="Arial"/>
          <w:sz w:val="22"/>
          <w:szCs w:val="22"/>
        </w:rPr>
        <w:t>N</w:t>
      </w:r>
      <w:r w:rsidR="00D344F7" w:rsidRPr="00550458">
        <w:rPr>
          <w:rFonts w:ascii="Arial" w:hAnsi="Arial" w:cs="Arial"/>
          <w:sz w:val="22"/>
          <w:szCs w:val="22"/>
        </w:rPr>
        <w:t xml:space="preserve">ovým pracovním místem by bylo takové pracovní místo, které povede k nárůstu počtu pracovních míst za provozovnu, nikoli za celou </w:t>
      </w:r>
      <w:r w:rsidR="00AC1DCB" w:rsidRPr="00550458">
        <w:rPr>
          <w:rFonts w:ascii="Arial" w:hAnsi="Arial" w:cs="Arial"/>
          <w:sz w:val="22"/>
          <w:szCs w:val="22"/>
        </w:rPr>
        <w:t xml:space="preserve">obchodní </w:t>
      </w:r>
      <w:r w:rsidR="00D344F7" w:rsidRPr="00550458">
        <w:rPr>
          <w:rFonts w:ascii="Arial" w:hAnsi="Arial" w:cs="Arial"/>
          <w:sz w:val="22"/>
          <w:szCs w:val="22"/>
        </w:rPr>
        <w:t xml:space="preserve">společnost. </w:t>
      </w:r>
    </w:p>
    <w:p w14:paraId="356FD41F" w14:textId="0D9E556E" w:rsidR="00D344F7" w:rsidRPr="00550458" w:rsidRDefault="00D344F7" w:rsidP="0078610C">
      <w:pPr>
        <w:overflowPunct w:val="0"/>
        <w:autoSpaceDE w:val="0"/>
        <w:autoSpaceDN w:val="0"/>
        <w:adjustRightInd w:val="0"/>
        <w:spacing w:after="240"/>
        <w:jc w:val="both"/>
        <w:textAlignment w:val="baseline"/>
        <w:rPr>
          <w:rFonts w:ascii="Arial" w:hAnsi="Arial" w:cs="Arial"/>
          <w:sz w:val="22"/>
          <w:szCs w:val="22"/>
        </w:rPr>
      </w:pPr>
      <w:r w:rsidRPr="00550458">
        <w:rPr>
          <w:rFonts w:ascii="Arial" w:hAnsi="Arial" w:cs="Arial"/>
          <w:sz w:val="22"/>
          <w:szCs w:val="22"/>
        </w:rPr>
        <w:t>V současnosti se za nové pracovní místo považuje pouze takové místo, které znamená čistý nárůst zaměstnanců za celou společnost (IČO), tedy za všechny provozy</w:t>
      </w:r>
      <w:r w:rsidR="004B6E38" w:rsidRPr="00550458">
        <w:rPr>
          <w:rFonts w:ascii="Arial" w:hAnsi="Arial" w:cs="Arial"/>
          <w:sz w:val="22"/>
          <w:szCs w:val="22"/>
        </w:rPr>
        <w:t xml:space="preserve"> v rámci celé České republiky</w:t>
      </w:r>
      <w:r w:rsidRPr="00550458">
        <w:rPr>
          <w:rFonts w:ascii="Arial" w:hAnsi="Arial" w:cs="Arial"/>
          <w:sz w:val="22"/>
          <w:szCs w:val="22"/>
        </w:rPr>
        <w:t>. V případě, že společnost rozšiřuje technologické centrum a současně propustí v některém ze svých výrobních závodů</w:t>
      </w:r>
      <w:r w:rsidR="004F7411" w:rsidRPr="00550458">
        <w:rPr>
          <w:rFonts w:ascii="Arial" w:hAnsi="Arial" w:cs="Arial"/>
          <w:sz w:val="22"/>
          <w:szCs w:val="22"/>
        </w:rPr>
        <w:t xml:space="preserve"> umístěných</w:t>
      </w:r>
      <w:r w:rsidR="00291195" w:rsidRPr="00550458">
        <w:rPr>
          <w:rFonts w:ascii="Arial" w:hAnsi="Arial" w:cs="Arial"/>
          <w:sz w:val="22"/>
          <w:szCs w:val="22"/>
        </w:rPr>
        <w:t xml:space="preserve"> ve zcela jiné lokalitě</w:t>
      </w:r>
      <w:r w:rsidRPr="00550458">
        <w:rPr>
          <w:rFonts w:ascii="Arial" w:hAnsi="Arial" w:cs="Arial"/>
          <w:sz w:val="22"/>
          <w:szCs w:val="22"/>
        </w:rPr>
        <w:t xml:space="preserve"> </w:t>
      </w:r>
      <w:r w:rsidR="00291195" w:rsidRPr="00550458">
        <w:rPr>
          <w:rFonts w:ascii="Arial" w:hAnsi="Arial" w:cs="Arial"/>
          <w:sz w:val="22"/>
          <w:szCs w:val="22"/>
        </w:rPr>
        <w:t>několik</w:t>
      </w:r>
      <w:r w:rsidRPr="00550458">
        <w:rPr>
          <w:rFonts w:ascii="Arial" w:hAnsi="Arial" w:cs="Arial"/>
          <w:sz w:val="22"/>
          <w:szCs w:val="22"/>
        </w:rPr>
        <w:t xml:space="preserve"> zaměstnanc</w:t>
      </w:r>
      <w:r w:rsidR="00291195" w:rsidRPr="00550458">
        <w:rPr>
          <w:rFonts w:ascii="Arial" w:hAnsi="Arial" w:cs="Arial"/>
          <w:sz w:val="22"/>
          <w:szCs w:val="22"/>
        </w:rPr>
        <w:t>ů</w:t>
      </w:r>
      <w:r w:rsidRPr="00550458">
        <w:rPr>
          <w:rFonts w:ascii="Arial" w:hAnsi="Arial" w:cs="Arial"/>
          <w:sz w:val="22"/>
          <w:szCs w:val="22"/>
        </w:rPr>
        <w:t>, např. z důvodu vyšší automatizace, je společnost povinna nahradit i propuštěné zaměstnance z</w:t>
      </w:r>
      <w:r w:rsidR="004D349C" w:rsidRPr="00550458">
        <w:rPr>
          <w:rFonts w:ascii="Arial" w:hAnsi="Arial" w:cs="Arial"/>
          <w:sz w:val="22"/>
          <w:szCs w:val="22"/>
        </w:rPr>
        <w:t> </w:t>
      </w:r>
      <w:r w:rsidRPr="00550458">
        <w:rPr>
          <w:rFonts w:ascii="Arial" w:hAnsi="Arial" w:cs="Arial"/>
          <w:sz w:val="22"/>
          <w:szCs w:val="22"/>
        </w:rPr>
        <w:t>výroby</w:t>
      </w:r>
      <w:r w:rsidR="004D349C" w:rsidRPr="00550458">
        <w:rPr>
          <w:rFonts w:ascii="Arial" w:hAnsi="Arial" w:cs="Arial"/>
          <w:sz w:val="22"/>
          <w:szCs w:val="22"/>
        </w:rPr>
        <w:t xml:space="preserve">, byť toto propuštění s technologickým </w:t>
      </w:r>
      <w:r w:rsidR="004F7411" w:rsidRPr="00550458">
        <w:rPr>
          <w:rFonts w:ascii="Arial" w:hAnsi="Arial" w:cs="Arial"/>
          <w:sz w:val="22"/>
          <w:szCs w:val="22"/>
        </w:rPr>
        <w:t xml:space="preserve">centrem </w:t>
      </w:r>
      <w:r w:rsidR="004D349C" w:rsidRPr="00550458">
        <w:rPr>
          <w:rFonts w:ascii="Arial" w:hAnsi="Arial" w:cs="Arial"/>
          <w:sz w:val="22"/>
          <w:szCs w:val="22"/>
        </w:rPr>
        <w:t>nijak nesouvisí</w:t>
      </w:r>
      <w:r w:rsidRPr="00550458">
        <w:rPr>
          <w:rFonts w:ascii="Arial" w:hAnsi="Arial" w:cs="Arial"/>
          <w:sz w:val="22"/>
          <w:szCs w:val="22"/>
        </w:rPr>
        <w:t>. Díky</w:t>
      </w:r>
      <w:r w:rsidR="00291195" w:rsidRPr="00550458">
        <w:rPr>
          <w:rFonts w:ascii="Arial" w:hAnsi="Arial" w:cs="Arial"/>
          <w:sz w:val="22"/>
          <w:szCs w:val="22"/>
        </w:rPr>
        <w:t xml:space="preserve"> navrhované změně </w:t>
      </w:r>
      <w:r w:rsidR="004F7411" w:rsidRPr="00550458">
        <w:rPr>
          <w:rFonts w:ascii="Arial" w:hAnsi="Arial" w:cs="Arial"/>
          <w:sz w:val="22"/>
          <w:szCs w:val="22"/>
        </w:rPr>
        <w:t>by bylo možné</w:t>
      </w:r>
      <w:r w:rsidRPr="00550458">
        <w:rPr>
          <w:rFonts w:ascii="Arial" w:hAnsi="Arial" w:cs="Arial"/>
          <w:sz w:val="22"/>
          <w:szCs w:val="22"/>
        </w:rPr>
        <w:t xml:space="preserve">, </w:t>
      </w:r>
      <w:r w:rsidR="004F7411" w:rsidRPr="00550458">
        <w:rPr>
          <w:rFonts w:ascii="Arial" w:hAnsi="Arial" w:cs="Arial"/>
          <w:sz w:val="22"/>
          <w:szCs w:val="22"/>
        </w:rPr>
        <w:t>aby</w:t>
      </w:r>
      <w:r w:rsidRPr="00550458">
        <w:rPr>
          <w:rFonts w:ascii="Arial" w:hAnsi="Arial" w:cs="Arial"/>
          <w:sz w:val="22"/>
          <w:szCs w:val="22"/>
        </w:rPr>
        <w:t xml:space="preserve"> </w:t>
      </w:r>
      <w:r w:rsidR="00291195" w:rsidRPr="00550458">
        <w:rPr>
          <w:rFonts w:ascii="Arial" w:hAnsi="Arial" w:cs="Arial"/>
          <w:sz w:val="22"/>
          <w:szCs w:val="22"/>
        </w:rPr>
        <w:t xml:space="preserve">investor </w:t>
      </w:r>
      <w:r w:rsidR="004F7411" w:rsidRPr="00550458">
        <w:rPr>
          <w:rFonts w:ascii="Arial" w:hAnsi="Arial" w:cs="Arial"/>
          <w:sz w:val="22"/>
          <w:szCs w:val="22"/>
        </w:rPr>
        <w:t>vytvořil</w:t>
      </w:r>
      <w:r w:rsidRPr="00550458">
        <w:rPr>
          <w:rFonts w:ascii="Arial" w:hAnsi="Arial" w:cs="Arial"/>
          <w:sz w:val="22"/>
          <w:szCs w:val="22"/>
        </w:rPr>
        <w:t xml:space="preserve"> nová pracovní místa pouze v technologickém centru</w:t>
      </w:r>
      <w:r w:rsidR="004F7411" w:rsidRPr="00550458">
        <w:rPr>
          <w:rFonts w:ascii="Arial" w:hAnsi="Arial" w:cs="Arial"/>
          <w:sz w:val="22"/>
          <w:szCs w:val="22"/>
        </w:rPr>
        <w:t>, resp. lokalitě</w:t>
      </w:r>
      <w:r w:rsidRPr="00550458">
        <w:rPr>
          <w:rFonts w:ascii="Arial" w:hAnsi="Arial" w:cs="Arial"/>
          <w:sz w:val="22"/>
          <w:szCs w:val="22"/>
        </w:rPr>
        <w:t>.</w:t>
      </w:r>
      <w:r w:rsidR="004B6E38" w:rsidRPr="00550458">
        <w:rPr>
          <w:rFonts w:ascii="Arial" w:hAnsi="Arial" w:cs="Arial"/>
          <w:sz w:val="22"/>
          <w:szCs w:val="22"/>
        </w:rPr>
        <w:t xml:space="preserve"> S ohledem na </w:t>
      </w:r>
      <w:proofErr w:type="spellStart"/>
      <w:r w:rsidR="004B6E38" w:rsidRPr="00550458">
        <w:rPr>
          <w:rFonts w:ascii="Arial" w:hAnsi="Arial" w:cs="Arial"/>
          <w:sz w:val="22"/>
          <w:szCs w:val="22"/>
        </w:rPr>
        <w:t>spravovatelnost</w:t>
      </w:r>
      <w:proofErr w:type="spellEnd"/>
      <w:r w:rsidR="004B6E38" w:rsidRPr="00550458">
        <w:rPr>
          <w:rFonts w:ascii="Arial" w:hAnsi="Arial" w:cs="Arial"/>
          <w:sz w:val="22"/>
          <w:szCs w:val="22"/>
        </w:rPr>
        <w:t xml:space="preserve"> podmínky by </w:t>
      </w:r>
      <w:r w:rsidR="004F7411" w:rsidRPr="00550458">
        <w:rPr>
          <w:rFonts w:ascii="Arial" w:hAnsi="Arial" w:cs="Arial"/>
          <w:sz w:val="22"/>
          <w:szCs w:val="22"/>
        </w:rPr>
        <w:t xml:space="preserve">totiž </w:t>
      </w:r>
      <w:r w:rsidR="004B6E38" w:rsidRPr="00550458">
        <w:rPr>
          <w:rFonts w:ascii="Arial" w:hAnsi="Arial" w:cs="Arial"/>
          <w:sz w:val="22"/>
          <w:szCs w:val="22"/>
        </w:rPr>
        <w:t xml:space="preserve">provozovna byla </w:t>
      </w:r>
      <w:r w:rsidR="00291195" w:rsidRPr="00550458">
        <w:rPr>
          <w:rFonts w:ascii="Arial" w:hAnsi="Arial" w:cs="Arial"/>
          <w:sz w:val="22"/>
          <w:szCs w:val="22"/>
        </w:rPr>
        <w:t>vymezena</w:t>
      </w:r>
      <w:r w:rsidR="004B6E38" w:rsidRPr="00550458">
        <w:rPr>
          <w:rFonts w:ascii="Arial" w:hAnsi="Arial" w:cs="Arial"/>
          <w:sz w:val="22"/>
          <w:szCs w:val="22"/>
        </w:rPr>
        <w:t xml:space="preserve"> prostřednictvím lokality – tj. územím obce.</w:t>
      </w:r>
    </w:p>
    <w:p w14:paraId="13F64FFF" w14:textId="70078848" w:rsidR="00CB375B" w:rsidRPr="00550458" w:rsidRDefault="00CB375B" w:rsidP="0078610C">
      <w:pPr>
        <w:overflowPunct w:val="0"/>
        <w:autoSpaceDE w:val="0"/>
        <w:autoSpaceDN w:val="0"/>
        <w:adjustRightInd w:val="0"/>
        <w:spacing w:after="240"/>
        <w:jc w:val="both"/>
        <w:textAlignment w:val="baseline"/>
        <w:rPr>
          <w:rFonts w:ascii="Arial" w:hAnsi="Arial" w:cs="Arial"/>
          <w:b/>
          <w:sz w:val="22"/>
          <w:szCs w:val="22"/>
        </w:rPr>
      </w:pPr>
      <w:r w:rsidRPr="00550458">
        <w:rPr>
          <w:rFonts w:ascii="Arial" w:hAnsi="Arial" w:cs="Arial"/>
          <w:b/>
          <w:sz w:val="22"/>
          <w:szCs w:val="22"/>
        </w:rPr>
        <w:t>2.2 Snížení minimální</w:t>
      </w:r>
      <w:r w:rsidR="00127C7A">
        <w:rPr>
          <w:rFonts w:ascii="Arial" w:hAnsi="Arial" w:cs="Arial"/>
          <w:b/>
          <w:sz w:val="22"/>
          <w:szCs w:val="22"/>
        </w:rPr>
        <w:t>ho</w:t>
      </w:r>
      <w:r w:rsidRPr="00550458">
        <w:rPr>
          <w:rFonts w:ascii="Arial" w:hAnsi="Arial" w:cs="Arial"/>
          <w:b/>
          <w:sz w:val="22"/>
          <w:szCs w:val="22"/>
        </w:rPr>
        <w:t xml:space="preserve"> počtu nových pracovních míst u strategických technologických center</w:t>
      </w:r>
    </w:p>
    <w:p w14:paraId="3619FE7B" w14:textId="072E82CD" w:rsidR="00CB375B" w:rsidRPr="001B0951" w:rsidRDefault="00CB375B" w:rsidP="0078610C">
      <w:pPr>
        <w:overflowPunct w:val="0"/>
        <w:autoSpaceDE w:val="0"/>
        <w:autoSpaceDN w:val="0"/>
        <w:adjustRightInd w:val="0"/>
        <w:spacing w:after="240"/>
        <w:jc w:val="both"/>
        <w:textAlignment w:val="baseline"/>
        <w:rPr>
          <w:rFonts w:ascii="Arial" w:hAnsi="Arial" w:cs="Arial"/>
          <w:sz w:val="22"/>
          <w:szCs w:val="22"/>
        </w:rPr>
      </w:pPr>
      <w:r w:rsidRPr="00550458">
        <w:rPr>
          <w:rFonts w:ascii="Arial" w:hAnsi="Arial" w:cs="Arial"/>
          <w:sz w:val="22"/>
          <w:szCs w:val="22"/>
        </w:rPr>
        <w:t>V současné době je</w:t>
      </w:r>
      <w:r w:rsidR="00815A00" w:rsidRPr="00550458">
        <w:rPr>
          <w:rFonts w:ascii="Arial" w:hAnsi="Arial" w:cs="Arial"/>
          <w:sz w:val="22"/>
          <w:szCs w:val="22"/>
        </w:rPr>
        <w:t xml:space="preserve"> </w:t>
      </w:r>
      <w:r w:rsidRPr="00550458">
        <w:rPr>
          <w:rFonts w:ascii="Arial" w:hAnsi="Arial" w:cs="Arial"/>
          <w:sz w:val="22"/>
          <w:szCs w:val="22"/>
        </w:rPr>
        <w:t>u strategických techno</w:t>
      </w:r>
      <w:r w:rsidR="00815A00" w:rsidRPr="00550458">
        <w:rPr>
          <w:rFonts w:ascii="Arial" w:hAnsi="Arial" w:cs="Arial"/>
          <w:sz w:val="22"/>
          <w:szCs w:val="22"/>
        </w:rPr>
        <w:t>logických center podmínkou vytvoření 100 novýc</w:t>
      </w:r>
      <w:r w:rsidR="00497F6C" w:rsidRPr="00550458">
        <w:rPr>
          <w:rFonts w:ascii="Arial" w:hAnsi="Arial" w:cs="Arial"/>
          <w:sz w:val="22"/>
          <w:szCs w:val="22"/>
        </w:rPr>
        <w:t>h pracovních míst. Tato podmínka</w:t>
      </w:r>
      <w:r w:rsidR="00815A00" w:rsidRPr="00550458">
        <w:rPr>
          <w:rFonts w:ascii="Arial" w:hAnsi="Arial" w:cs="Arial"/>
          <w:sz w:val="22"/>
          <w:szCs w:val="22"/>
        </w:rPr>
        <w:t xml:space="preserve"> je však značně limitující, proto se navrhuje snížení minimálního počtu nových pracovních míst u tohoto typu investice</w:t>
      </w:r>
      <w:r w:rsidR="00610289">
        <w:rPr>
          <w:rFonts w:ascii="Arial" w:hAnsi="Arial" w:cs="Arial"/>
          <w:sz w:val="22"/>
          <w:szCs w:val="22"/>
        </w:rPr>
        <w:t xml:space="preserve"> na </w:t>
      </w:r>
      <w:r w:rsidR="001179D6">
        <w:rPr>
          <w:rFonts w:ascii="Arial" w:hAnsi="Arial" w:cs="Arial"/>
          <w:sz w:val="22"/>
          <w:szCs w:val="22"/>
        </w:rPr>
        <w:t>70</w:t>
      </w:r>
      <w:r w:rsidR="00815A00" w:rsidRPr="00550458">
        <w:rPr>
          <w:rFonts w:ascii="Arial" w:hAnsi="Arial" w:cs="Arial"/>
          <w:sz w:val="22"/>
          <w:szCs w:val="22"/>
        </w:rPr>
        <w:t>.</w:t>
      </w:r>
      <w:r w:rsidR="00815A00">
        <w:rPr>
          <w:rFonts w:ascii="Arial" w:hAnsi="Arial" w:cs="Arial"/>
          <w:sz w:val="22"/>
          <w:szCs w:val="22"/>
        </w:rPr>
        <w:t xml:space="preserve"> </w:t>
      </w:r>
    </w:p>
    <w:p w14:paraId="1E2987E6" w14:textId="131C059E" w:rsidR="00D344F7" w:rsidRPr="001B0951" w:rsidRDefault="00D344F7" w:rsidP="00545760">
      <w:pPr>
        <w:pStyle w:val="Nadpis2"/>
        <w:keepNext/>
        <w:keepLines/>
        <w:numPr>
          <w:ilvl w:val="0"/>
          <w:numId w:val="25"/>
        </w:numPr>
        <w:ind w:left="0" w:firstLine="0"/>
        <w:rPr>
          <w:sz w:val="22"/>
          <w:szCs w:val="22"/>
        </w:rPr>
      </w:pPr>
      <w:r w:rsidRPr="001B0951">
        <w:lastRenderedPageBreak/>
        <w:t>Vyšší přidaná hodnota – výrobní projekty</w:t>
      </w:r>
      <w:r w:rsidRPr="001B0951">
        <w:rPr>
          <w:sz w:val="22"/>
          <w:szCs w:val="22"/>
        </w:rPr>
        <w:t xml:space="preserve"> </w:t>
      </w:r>
    </w:p>
    <w:p w14:paraId="60062BC8" w14:textId="77777777" w:rsidR="00846628" w:rsidRPr="001B0951" w:rsidRDefault="00846628" w:rsidP="00545760">
      <w:pPr>
        <w:keepNext/>
        <w:keepLines/>
        <w:overflowPunct w:val="0"/>
        <w:autoSpaceDE w:val="0"/>
        <w:autoSpaceDN w:val="0"/>
        <w:adjustRightInd w:val="0"/>
        <w:spacing w:after="240"/>
        <w:jc w:val="both"/>
        <w:textAlignment w:val="baseline"/>
        <w:rPr>
          <w:rFonts w:ascii="Arial" w:hAnsi="Arial" w:cs="Arial"/>
          <w:i/>
          <w:sz w:val="22"/>
          <w:szCs w:val="22"/>
        </w:rPr>
      </w:pPr>
      <w:r w:rsidRPr="001B0951">
        <w:rPr>
          <w:rFonts w:ascii="Arial" w:hAnsi="Arial" w:cs="Arial"/>
          <w:i/>
          <w:sz w:val="22"/>
          <w:szCs w:val="22"/>
        </w:rPr>
        <w:t>Současný stav:</w:t>
      </w:r>
    </w:p>
    <w:p w14:paraId="6A960C07" w14:textId="22E124B7" w:rsidR="00846628" w:rsidRPr="001B0951" w:rsidRDefault="002C423E" w:rsidP="00545760">
      <w:pPr>
        <w:keepNext/>
        <w:keepLines/>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 xml:space="preserve">Výrobní investice jsou v rámci zákona o investičních pobídkách podporovány bez ohledu na technologickou náročnost, </w:t>
      </w:r>
      <w:r w:rsidR="00807C62">
        <w:rPr>
          <w:rFonts w:ascii="Arial" w:hAnsi="Arial" w:cs="Arial"/>
          <w:sz w:val="22"/>
          <w:szCs w:val="22"/>
        </w:rPr>
        <w:t>podíl</w:t>
      </w:r>
      <w:r w:rsidR="00807C62" w:rsidRPr="001B0951">
        <w:rPr>
          <w:rFonts w:ascii="Arial" w:hAnsi="Arial" w:cs="Arial"/>
          <w:sz w:val="22"/>
          <w:szCs w:val="22"/>
        </w:rPr>
        <w:t xml:space="preserve"> kvalifikované pracovní síly </w:t>
      </w:r>
      <w:r w:rsidR="00807C62">
        <w:rPr>
          <w:rFonts w:ascii="Arial" w:hAnsi="Arial" w:cs="Arial"/>
          <w:sz w:val="22"/>
          <w:szCs w:val="22"/>
        </w:rPr>
        <w:t xml:space="preserve">či </w:t>
      </w:r>
      <w:r w:rsidRPr="001B0951">
        <w:rPr>
          <w:rFonts w:ascii="Arial" w:hAnsi="Arial" w:cs="Arial"/>
          <w:sz w:val="22"/>
          <w:szCs w:val="22"/>
        </w:rPr>
        <w:t xml:space="preserve">zapojení </w:t>
      </w:r>
      <w:r w:rsidR="00807C62">
        <w:rPr>
          <w:rFonts w:ascii="Arial" w:hAnsi="Arial" w:cs="Arial"/>
          <w:sz w:val="22"/>
          <w:szCs w:val="22"/>
        </w:rPr>
        <w:t xml:space="preserve">firem </w:t>
      </w:r>
      <w:r w:rsidR="000C256E">
        <w:rPr>
          <w:rFonts w:ascii="Arial" w:hAnsi="Arial" w:cs="Arial"/>
          <w:sz w:val="22"/>
          <w:szCs w:val="22"/>
        </w:rPr>
        <w:t>do výzkumu a </w:t>
      </w:r>
      <w:r w:rsidR="00807C62">
        <w:rPr>
          <w:rFonts w:ascii="Arial" w:hAnsi="Arial" w:cs="Arial"/>
          <w:sz w:val="22"/>
          <w:szCs w:val="22"/>
        </w:rPr>
        <w:t>vývoje</w:t>
      </w:r>
      <w:r w:rsidRPr="001B0951">
        <w:rPr>
          <w:rFonts w:ascii="Arial" w:hAnsi="Arial" w:cs="Arial"/>
          <w:sz w:val="22"/>
          <w:szCs w:val="22"/>
        </w:rPr>
        <w:t xml:space="preserve">. Podmínky udělení podpory jsou definovány pouze přes objem pořízeného dlouhodobého majetku a přes počet nových pracovních míst. </w:t>
      </w:r>
    </w:p>
    <w:p w14:paraId="063A18AA" w14:textId="5F12B7DC" w:rsidR="00FE2EEA" w:rsidRPr="001B0951" w:rsidRDefault="00846628" w:rsidP="0078610C">
      <w:pPr>
        <w:overflowPunct w:val="0"/>
        <w:autoSpaceDE w:val="0"/>
        <w:autoSpaceDN w:val="0"/>
        <w:adjustRightInd w:val="0"/>
        <w:spacing w:after="240"/>
        <w:jc w:val="both"/>
        <w:textAlignment w:val="baseline"/>
        <w:rPr>
          <w:rFonts w:ascii="Arial" w:hAnsi="Arial" w:cs="Arial"/>
          <w:i/>
          <w:sz w:val="22"/>
          <w:szCs w:val="22"/>
        </w:rPr>
      </w:pPr>
      <w:r w:rsidRPr="001B0951">
        <w:rPr>
          <w:rFonts w:ascii="Arial" w:hAnsi="Arial" w:cs="Arial"/>
          <w:i/>
          <w:sz w:val="22"/>
          <w:szCs w:val="22"/>
        </w:rPr>
        <w:t>Návrhy změn</w:t>
      </w:r>
    </w:p>
    <w:p w14:paraId="492F50DB" w14:textId="636DD08A" w:rsidR="00441D40" w:rsidRPr="001B0951" w:rsidRDefault="00441D40" w:rsidP="0082652B">
      <w:pPr>
        <w:pStyle w:val="Odstavecseseznamem"/>
        <w:numPr>
          <w:ilvl w:val="0"/>
          <w:numId w:val="27"/>
        </w:numPr>
        <w:overflowPunct w:val="0"/>
        <w:autoSpaceDE w:val="0"/>
        <w:autoSpaceDN w:val="0"/>
        <w:adjustRightInd w:val="0"/>
        <w:spacing w:after="240"/>
        <w:ind w:left="284"/>
        <w:jc w:val="both"/>
        <w:textAlignment w:val="baseline"/>
        <w:rPr>
          <w:rFonts w:ascii="Arial" w:hAnsi="Arial" w:cs="Arial"/>
          <w:b/>
          <w:sz w:val="22"/>
          <w:szCs w:val="22"/>
        </w:rPr>
      </w:pPr>
      <w:r w:rsidRPr="001B0951">
        <w:rPr>
          <w:rFonts w:ascii="Arial" w:hAnsi="Arial" w:cs="Arial"/>
          <w:b/>
          <w:sz w:val="22"/>
          <w:szCs w:val="22"/>
        </w:rPr>
        <w:t>Nastavení minimální mzdy zaměstnanců ve výrobě</w:t>
      </w:r>
      <w:r w:rsidR="0082652B" w:rsidRPr="001B0951">
        <w:rPr>
          <w:rFonts w:ascii="Arial" w:hAnsi="Arial" w:cs="Arial"/>
          <w:b/>
          <w:sz w:val="22"/>
          <w:szCs w:val="22"/>
        </w:rPr>
        <w:t>, příp. podmínky vyššího vzdělání</w:t>
      </w:r>
    </w:p>
    <w:p w14:paraId="11760936" w14:textId="63F387DA" w:rsidR="006757EB" w:rsidRPr="001B0951" w:rsidRDefault="006757EB"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 xml:space="preserve">Jako vstupní podmínka pro podporu výrobních projektů by byla </w:t>
      </w:r>
      <w:r w:rsidR="00EC0B4D" w:rsidRPr="001B0951">
        <w:rPr>
          <w:rFonts w:ascii="Arial" w:hAnsi="Arial" w:cs="Arial"/>
          <w:sz w:val="22"/>
          <w:szCs w:val="22"/>
        </w:rPr>
        <w:t>zavedena</w:t>
      </w:r>
      <w:r w:rsidRPr="001B0951">
        <w:rPr>
          <w:rFonts w:ascii="Arial" w:hAnsi="Arial" w:cs="Arial"/>
          <w:sz w:val="22"/>
          <w:szCs w:val="22"/>
        </w:rPr>
        <w:t xml:space="preserve"> i minimální </w:t>
      </w:r>
      <w:r w:rsidR="00534CB0" w:rsidRPr="001B0951">
        <w:rPr>
          <w:rFonts w:ascii="Arial" w:hAnsi="Arial" w:cs="Arial"/>
          <w:sz w:val="22"/>
          <w:szCs w:val="22"/>
        </w:rPr>
        <w:t>výše</w:t>
      </w:r>
      <w:r w:rsidRPr="001B0951">
        <w:rPr>
          <w:rFonts w:ascii="Arial" w:hAnsi="Arial" w:cs="Arial"/>
          <w:sz w:val="22"/>
          <w:szCs w:val="22"/>
        </w:rPr>
        <w:t xml:space="preserve"> </w:t>
      </w:r>
      <w:r w:rsidR="00534CB0" w:rsidRPr="001B0951">
        <w:rPr>
          <w:rFonts w:ascii="Arial" w:hAnsi="Arial" w:cs="Arial"/>
          <w:sz w:val="22"/>
          <w:szCs w:val="22"/>
        </w:rPr>
        <w:t xml:space="preserve">vyplácených </w:t>
      </w:r>
      <w:r w:rsidRPr="001B0951">
        <w:rPr>
          <w:rFonts w:ascii="Arial" w:hAnsi="Arial" w:cs="Arial"/>
          <w:sz w:val="22"/>
          <w:szCs w:val="22"/>
        </w:rPr>
        <w:t>mezd zaměstnanců</w:t>
      </w:r>
      <w:r w:rsidR="00441D40" w:rsidRPr="001B0951">
        <w:rPr>
          <w:rFonts w:ascii="Arial" w:hAnsi="Arial" w:cs="Arial"/>
          <w:sz w:val="22"/>
          <w:szCs w:val="22"/>
        </w:rPr>
        <w:t>m</w:t>
      </w:r>
      <w:r w:rsidR="00534CB0" w:rsidRPr="001B0951">
        <w:rPr>
          <w:rFonts w:ascii="Arial" w:hAnsi="Arial" w:cs="Arial"/>
          <w:sz w:val="22"/>
          <w:szCs w:val="22"/>
        </w:rPr>
        <w:t>.</w:t>
      </w:r>
    </w:p>
    <w:p w14:paraId="10AFB188" w14:textId="0A11FD76" w:rsidR="00441D40" w:rsidRPr="001B0951" w:rsidRDefault="00FE2EEA"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Při</w:t>
      </w:r>
      <w:r w:rsidR="002C423E" w:rsidRPr="001B0951">
        <w:rPr>
          <w:rFonts w:ascii="Arial" w:hAnsi="Arial" w:cs="Arial"/>
          <w:sz w:val="22"/>
          <w:szCs w:val="22"/>
        </w:rPr>
        <w:t xml:space="preserve"> hledání způsobu nastavení požadavku vyšší produktivity ve výrobě bylo zvažováno použití řady </w:t>
      </w:r>
      <w:r w:rsidR="00732C73" w:rsidRPr="001B0951">
        <w:rPr>
          <w:rFonts w:ascii="Arial" w:hAnsi="Arial" w:cs="Arial"/>
          <w:sz w:val="22"/>
          <w:szCs w:val="22"/>
        </w:rPr>
        <w:t>ukazatel</w:t>
      </w:r>
      <w:r w:rsidR="002C423E" w:rsidRPr="001B0951">
        <w:rPr>
          <w:rFonts w:ascii="Arial" w:hAnsi="Arial" w:cs="Arial"/>
          <w:sz w:val="22"/>
          <w:szCs w:val="22"/>
        </w:rPr>
        <w:t xml:space="preserve">ů </w:t>
      </w:r>
      <w:r w:rsidR="00732C73" w:rsidRPr="001B0951">
        <w:rPr>
          <w:rFonts w:ascii="Arial" w:hAnsi="Arial" w:cs="Arial"/>
          <w:sz w:val="22"/>
          <w:szCs w:val="22"/>
        </w:rPr>
        <w:t>konstruovan</w:t>
      </w:r>
      <w:r w:rsidR="002C423E" w:rsidRPr="001B0951">
        <w:rPr>
          <w:rFonts w:ascii="Arial" w:hAnsi="Arial" w:cs="Arial"/>
          <w:sz w:val="22"/>
          <w:szCs w:val="22"/>
        </w:rPr>
        <w:t>ých</w:t>
      </w:r>
      <w:r w:rsidR="00732C73" w:rsidRPr="001B0951">
        <w:rPr>
          <w:rFonts w:ascii="Arial" w:hAnsi="Arial" w:cs="Arial"/>
          <w:sz w:val="22"/>
          <w:szCs w:val="22"/>
        </w:rPr>
        <w:t xml:space="preserve"> na základě produktivity práce, </w:t>
      </w:r>
      <w:r w:rsidR="002C423E" w:rsidRPr="001B0951">
        <w:rPr>
          <w:rFonts w:ascii="Arial" w:hAnsi="Arial" w:cs="Arial"/>
          <w:sz w:val="22"/>
          <w:szCs w:val="22"/>
        </w:rPr>
        <w:t>hrubé přidané hodnoty,</w:t>
      </w:r>
      <w:r w:rsidR="00732C73" w:rsidRPr="001B0951">
        <w:rPr>
          <w:rFonts w:ascii="Arial" w:hAnsi="Arial" w:cs="Arial"/>
          <w:sz w:val="22"/>
          <w:szCs w:val="22"/>
        </w:rPr>
        <w:t xml:space="preserve"> vývozní výkonnosti</w:t>
      </w:r>
      <w:r w:rsidR="002C423E" w:rsidRPr="001B0951">
        <w:rPr>
          <w:rFonts w:ascii="Arial" w:hAnsi="Arial" w:cs="Arial"/>
          <w:sz w:val="22"/>
          <w:szCs w:val="22"/>
        </w:rPr>
        <w:t xml:space="preserve"> i ukazatele vztahující se k</w:t>
      </w:r>
      <w:r w:rsidR="00B5291E" w:rsidRPr="001B0951">
        <w:rPr>
          <w:rFonts w:ascii="Arial" w:hAnsi="Arial" w:cs="Arial"/>
          <w:sz w:val="22"/>
          <w:szCs w:val="22"/>
        </w:rPr>
        <w:t xml:space="preserve"> výdajům na </w:t>
      </w:r>
      <w:r w:rsidR="002C423E" w:rsidRPr="001B0951">
        <w:rPr>
          <w:rFonts w:ascii="Arial" w:hAnsi="Arial" w:cs="Arial"/>
          <w:sz w:val="22"/>
          <w:szCs w:val="22"/>
        </w:rPr>
        <w:t xml:space="preserve">výzkum a vývoj či vzdělání zaměstnanců. </w:t>
      </w:r>
      <w:r w:rsidRPr="001B0951">
        <w:rPr>
          <w:rFonts w:ascii="Arial" w:hAnsi="Arial" w:cs="Arial"/>
          <w:sz w:val="22"/>
          <w:szCs w:val="22"/>
        </w:rPr>
        <w:t>P</w:t>
      </w:r>
      <w:r w:rsidR="00732C73" w:rsidRPr="001B0951">
        <w:rPr>
          <w:rFonts w:ascii="Arial" w:hAnsi="Arial" w:cs="Arial"/>
          <w:sz w:val="22"/>
          <w:szCs w:val="22"/>
        </w:rPr>
        <w:t xml:space="preserve">ro účely nastavení budoucího směřování investičních pobídek se </w:t>
      </w:r>
      <w:r w:rsidRPr="001B0951">
        <w:rPr>
          <w:rFonts w:ascii="Arial" w:hAnsi="Arial" w:cs="Arial"/>
          <w:sz w:val="22"/>
          <w:szCs w:val="22"/>
        </w:rPr>
        <w:t xml:space="preserve">však tyto ukazatele </w:t>
      </w:r>
      <w:r w:rsidR="00732C73" w:rsidRPr="001B0951">
        <w:rPr>
          <w:rFonts w:ascii="Arial" w:hAnsi="Arial" w:cs="Arial"/>
          <w:sz w:val="22"/>
          <w:szCs w:val="22"/>
        </w:rPr>
        <w:t>nejeví jako dobře uchopitelné</w:t>
      </w:r>
      <w:r w:rsidR="002C423E" w:rsidRPr="001B0951">
        <w:rPr>
          <w:rFonts w:ascii="Arial" w:hAnsi="Arial" w:cs="Arial"/>
          <w:sz w:val="22"/>
          <w:szCs w:val="22"/>
        </w:rPr>
        <w:t xml:space="preserve"> a snadno </w:t>
      </w:r>
      <w:proofErr w:type="spellStart"/>
      <w:r w:rsidR="002C423E" w:rsidRPr="001B0951">
        <w:rPr>
          <w:rFonts w:ascii="Arial" w:hAnsi="Arial" w:cs="Arial"/>
          <w:sz w:val="22"/>
          <w:szCs w:val="22"/>
        </w:rPr>
        <w:t>spravovatelné</w:t>
      </w:r>
      <w:proofErr w:type="spellEnd"/>
      <w:r w:rsidR="00FD48C5" w:rsidRPr="001B0951">
        <w:rPr>
          <w:rFonts w:ascii="Arial" w:hAnsi="Arial" w:cs="Arial"/>
          <w:sz w:val="22"/>
          <w:szCs w:val="22"/>
        </w:rPr>
        <w:t xml:space="preserve"> podmínky</w:t>
      </w:r>
      <w:r w:rsidR="002C423E" w:rsidRPr="001B0951">
        <w:rPr>
          <w:rFonts w:ascii="Arial" w:hAnsi="Arial" w:cs="Arial"/>
          <w:sz w:val="22"/>
          <w:szCs w:val="22"/>
        </w:rPr>
        <w:t>. Jako nejvhodnější způsob se tak navrhuje nastavení podmínky prostřednictvím minimální</w:t>
      </w:r>
      <w:r w:rsidR="00C34DA8" w:rsidRPr="001B0951">
        <w:rPr>
          <w:rFonts w:ascii="Arial" w:hAnsi="Arial" w:cs="Arial"/>
          <w:sz w:val="22"/>
          <w:szCs w:val="22"/>
        </w:rPr>
        <w:t xml:space="preserve"> výše</w:t>
      </w:r>
      <w:r w:rsidR="002C423E" w:rsidRPr="001B0951">
        <w:rPr>
          <w:rFonts w:ascii="Arial" w:hAnsi="Arial" w:cs="Arial"/>
          <w:sz w:val="22"/>
          <w:szCs w:val="22"/>
        </w:rPr>
        <w:t xml:space="preserve"> hrubé mzdy pracovníků podílejících se na realizaci projektu.</w:t>
      </w:r>
      <w:r w:rsidR="00441D40" w:rsidRPr="001B0951">
        <w:rPr>
          <w:rFonts w:ascii="Arial" w:hAnsi="Arial" w:cs="Arial"/>
          <w:sz w:val="22"/>
          <w:szCs w:val="22"/>
        </w:rPr>
        <w:t xml:space="preserve"> Aby nedošlo k nerovnosti mezi zaměstnanci, vztahovala by se podmínka na všechny zaměstnance s místem výkonu práce v dané oblasti.</w:t>
      </w:r>
    </w:p>
    <w:p w14:paraId="6B0289A6" w14:textId="40604123" w:rsidR="00D344F7" w:rsidRPr="001B0951" w:rsidRDefault="002C423E"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Minimální</w:t>
      </w:r>
      <w:r w:rsidR="00C34DA8" w:rsidRPr="001B0951">
        <w:rPr>
          <w:rFonts w:ascii="Arial" w:hAnsi="Arial" w:cs="Arial"/>
          <w:sz w:val="22"/>
          <w:szCs w:val="22"/>
        </w:rPr>
        <w:t xml:space="preserve"> výše</w:t>
      </w:r>
      <w:r w:rsidRPr="001B0951">
        <w:rPr>
          <w:rFonts w:ascii="Arial" w:hAnsi="Arial" w:cs="Arial"/>
          <w:sz w:val="22"/>
          <w:szCs w:val="22"/>
        </w:rPr>
        <w:t xml:space="preserve"> mzd</w:t>
      </w:r>
      <w:r w:rsidR="00C34DA8" w:rsidRPr="001B0951">
        <w:rPr>
          <w:rFonts w:ascii="Arial" w:hAnsi="Arial" w:cs="Arial"/>
          <w:sz w:val="22"/>
          <w:szCs w:val="22"/>
        </w:rPr>
        <w:t>y</w:t>
      </w:r>
      <w:r w:rsidRPr="001B0951">
        <w:rPr>
          <w:rFonts w:ascii="Arial" w:hAnsi="Arial" w:cs="Arial"/>
          <w:sz w:val="22"/>
          <w:szCs w:val="22"/>
        </w:rPr>
        <w:t xml:space="preserve"> by byla odvozena od pr</w:t>
      </w:r>
      <w:r w:rsidRPr="00550458">
        <w:rPr>
          <w:rFonts w:ascii="Arial" w:hAnsi="Arial" w:cs="Arial"/>
          <w:sz w:val="22"/>
          <w:szCs w:val="22"/>
        </w:rPr>
        <w:t xml:space="preserve">ůměrné mzdy </w:t>
      </w:r>
      <w:r w:rsidR="00441D40" w:rsidRPr="00550458">
        <w:rPr>
          <w:rFonts w:ascii="Arial" w:hAnsi="Arial" w:cs="Arial"/>
          <w:sz w:val="22"/>
          <w:szCs w:val="22"/>
        </w:rPr>
        <w:t xml:space="preserve">v kraji. </w:t>
      </w:r>
      <w:r w:rsidR="00B06977" w:rsidRPr="00550458">
        <w:rPr>
          <w:rFonts w:ascii="Arial" w:hAnsi="Arial" w:cs="Arial"/>
          <w:sz w:val="22"/>
          <w:szCs w:val="22"/>
        </w:rPr>
        <w:t>Pro účely nastavení podmínek zákona o investičních pobídkách by byl</w:t>
      </w:r>
      <w:r w:rsidR="00441D40" w:rsidRPr="00550458">
        <w:rPr>
          <w:rFonts w:ascii="Arial" w:hAnsi="Arial" w:cs="Arial"/>
          <w:sz w:val="22"/>
          <w:szCs w:val="22"/>
        </w:rPr>
        <w:t xml:space="preserve">o stanoveno, že </w:t>
      </w:r>
      <w:r w:rsidR="00CB375B" w:rsidRPr="00550458">
        <w:rPr>
          <w:rFonts w:ascii="Arial" w:hAnsi="Arial" w:cs="Arial"/>
          <w:sz w:val="22"/>
          <w:szCs w:val="22"/>
        </w:rPr>
        <w:t>8</w:t>
      </w:r>
      <w:r w:rsidR="00441D40" w:rsidRPr="00550458">
        <w:rPr>
          <w:rFonts w:ascii="Arial" w:hAnsi="Arial" w:cs="Arial"/>
          <w:sz w:val="22"/>
          <w:szCs w:val="22"/>
        </w:rPr>
        <w:t>0 % zaměstnanců</w:t>
      </w:r>
      <w:r w:rsidR="00CB375B" w:rsidRPr="00550458">
        <w:rPr>
          <w:rFonts w:ascii="Arial" w:hAnsi="Arial" w:cs="Arial"/>
          <w:sz w:val="22"/>
          <w:szCs w:val="22"/>
        </w:rPr>
        <w:t xml:space="preserve"> ve výrobě</w:t>
      </w:r>
      <w:r w:rsidR="00441D40" w:rsidRPr="00550458">
        <w:rPr>
          <w:rFonts w:ascii="Arial" w:hAnsi="Arial" w:cs="Arial"/>
          <w:sz w:val="22"/>
          <w:szCs w:val="22"/>
        </w:rPr>
        <w:t xml:space="preserve"> musí dostávat mzdu alespoň ve výši průměrné mzdy v kraji.</w:t>
      </w:r>
      <w:r w:rsidR="00441D40" w:rsidRPr="001B0951">
        <w:rPr>
          <w:rFonts w:ascii="Arial" w:hAnsi="Arial" w:cs="Arial"/>
          <w:sz w:val="22"/>
          <w:szCs w:val="22"/>
        </w:rPr>
        <w:t xml:space="preserve"> </w:t>
      </w:r>
    </w:p>
    <w:p w14:paraId="2FC6F37B" w14:textId="454FD7E4" w:rsidR="00F465CC" w:rsidRPr="001B0951" w:rsidRDefault="00F465CC"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Alternativně by bylo možné zvážit i nastavení podmínky vyšší produktivity prostřednictvím povinnosti minimálního počtu nových zaměstnanců s vysokoškolským vzděláním. Vhodnost takové podmínky pro oblast výroby, včetně jejího konkrétního nastavení, by byla posouzena v rámci přípravy vlastního návrhu právního předpisu na provedení změn.</w:t>
      </w:r>
    </w:p>
    <w:p w14:paraId="22CE5F57" w14:textId="0A68A82B" w:rsidR="00B5010E" w:rsidRPr="001B0951" w:rsidRDefault="00B5010E" w:rsidP="00B5010E">
      <w:pPr>
        <w:pStyle w:val="Odstavecseseznamem"/>
        <w:numPr>
          <w:ilvl w:val="0"/>
          <w:numId w:val="27"/>
        </w:numPr>
        <w:overflowPunct w:val="0"/>
        <w:autoSpaceDE w:val="0"/>
        <w:autoSpaceDN w:val="0"/>
        <w:adjustRightInd w:val="0"/>
        <w:spacing w:after="240"/>
        <w:jc w:val="both"/>
        <w:textAlignment w:val="baseline"/>
        <w:rPr>
          <w:rFonts w:ascii="Arial" w:hAnsi="Arial" w:cs="Arial"/>
          <w:b/>
          <w:sz w:val="22"/>
          <w:szCs w:val="22"/>
        </w:rPr>
      </w:pPr>
      <w:r w:rsidRPr="001B0951">
        <w:rPr>
          <w:rFonts w:ascii="Arial" w:hAnsi="Arial" w:cs="Arial"/>
          <w:b/>
          <w:sz w:val="22"/>
          <w:szCs w:val="22"/>
        </w:rPr>
        <w:t>Stanovení podmínky reinvestice zisku po zdanění</w:t>
      </w:r>
    </w:p>
    <w:p w14:paraId="68E883CE" w14:textId="4AE1298F" w:rsidR="00AF4B67" w:rsidRPr="001B0951" w:rsidRDefault="00AF4B67"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 xml:space="preserve">Další podmínkou, která by mohla být zvážena při nastavování </w:t>
      </w:r>
      <w:r w:rsidR="00A11A55" w:rsidRPr="001B0951">
        <w:rPr>
          <w:rFonts w:ascii="Arial" w:hAnsi="Arial" w:cs="Arial"/>
          <w:sz w:val="22"/>
          <w:szCs w:val="22"/>
        </w:rPr>
        <w:t>podpory výrobních projektů</w:t>
      </w:r>
      <w:r w:rsidR="009D1BF9" w:rsidRPr="001B0951">
        <w:rPr>
          <w:rFonts w:ascii="Arial" w:hAnsi="Arial" w:cs="Arial"/>
          <w:sz w:val="22"/>
          <w:szCs w:val="22"/>
        </w:rPr>
        <w:t>,</w:t>
      </w:r>
      <w:r w:rsidR="00A11A55" w:rsidRPr="001B0951">
        <w:rPr>
          <w:rFonts w:ascii="Arial" w:hAnsi="Arial" w:cs="Arial"/>
          <w:sz w:val="22"/>
          <w:szCs w:val="22"/>
        </w:rPr>
        <w:t xml:space="preserve"> je i </w:t>
      </w:r>
      <w:r w:rsidRPr="001B0951">
        <w:rPr>
          <w:rFonts w:ascii="Arial" w:hAnsi="Arial" w:cs="Arial"/>
          <w:sz w:val="22"/>
          <w:szCs w:val="22"/>
        </w:rPr>
        <w:t xml:space="preserve">podmínka vztahující se k povinnosti reinvestovat v České republice část zisku. Odliv výnosů je </w:t>
      </w:r>
      <w:r w:rsidR="001E2457" w:rsidRPr="001B0951">
        <w:rPr>
          <w:rFonts w:ascii="Arial" w:hAnsi="Arial" w:cs="Arial"/>
          <w:sz w:val="22"/>
          <w:szCs w:val="22"/>
        </w:rPr>
        <w:t>přirozeným důsledkem expanze přímých zahraničních investic</w:t>
      </w:r>
      <w:r w:rsidRPr="001B0951">
        <w:rPr>
          <w:rFonts w:ascii="Arial" w:hAnsi="Arial" w:cs="Arial"/>
          <w:sz w:val="22"/>
          <w:szCs w:val="22"/>
        </w:rPr>
        <w:t xml:space="preserve"> v</w:t>
      </w:r>
      <w:r w:rsidR="001E2457" w:rsidRPr="001B0951">
        <w:rPr>
          <w:rFonts w:ascii="Arial" w:hAnsi="Arial" w:cs="Arial"/>
          <w:sz w:val="22"/>
          <w:szCs w:val="22"/>
        </w:rPr>
        <w:t xml:space="preserve"> regionu. V členských státech Evropské unie</w:t>
      </w:r>
      <w:r w:rsidRPr="001B0951">
        <w:rPr>
          <w:rFonts w:ascii="Arial" w:hAnsi="Arial" w:cs="Arial"/>
          <w:sz w:val="22"/>
          <w:szCs w:val="22"/>
        </w:rPr>
        <w:t xml:space="preserve"> ze střední a</w:t>
      </w:r>
      <w:r w:rsidR="001E2457" w:rsidRPr="001B0951">
        <w:rPr>
          <w:rFonts w:ascii="Arial" w:hAnsi="Arial" w:cs="Arial"/>
          <w:sz w:val="22"/>
          <w:szCs w:val="22"/>
        </w:rPr>
        <w:t> východní Evropy, a zejména v České republice</w:t>
      </w:r>
      <w:r w:rsidRPr="001B0951">
        <w:rPr>
          <w:rFonts w:ascii="Arial" w:hAnsi="Arial" w:cs="Arial"/>
          <w:sz w:val="22"/>
          <w:szCs w:val="22"/>
        </w:rPr>
        <w:t>, je však míra odlivu výnosů několikanásobně vyšší, než by odpovídalo empirickým a teoretickým předpokladům odvozený</w:t>
      </w:r>
      <w:r w:rsidR="001E2457" w:rsidRPr="001B0951">
        <w:rPr>
          <w:rFonts w:ascii="Arial" w:hAnsi="Arial" w:cs="Arial"/>
          <w:sz w:val="22"/>
          <w:szCs w:val="22"/>
        </w:rPr>
        <w:t>m ze situace na vnitřním trhu Evropské unie</w:t>
      </w:r>
      <w:r w:rsidRPr="001B0951">
        <w:rPr>
          <w:rFonts w:ascii="Arial" w:hAnsi="Arial" w:cs="Arial"/>
          <w:sz w:val="22"/>
          <w:szCs w:val="22"/>
        </w:rPr>
        <w:t>.</w:t>
      </w:r>
      <w:r w:rsidR="008E0DA3" w:rsidRPr="001B0951">
        <w:rPr>
          <w:rStyle w:val="Znakapoznpodarou"/>
          <w:rFonts w:ascii="Arial" w:hAnsi="Arial" w:cs="Arial"/>
          <w:sz w:val="22"/>
          <w:szCs w:val="22"/>
        </w:rPr>
        <w:footnoteReference w:id="4"/>
      </w:r>
    </w:p>
    <w:p w14:paraId="6C082873" w14:textId="146427F6" w:rsidR="00B5010E" w:rsidRPr="001B0951" w:rsidRDefault="00B5010E"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 xml:space="preserve">V rámci zákona o investičních pobídkách by mohlo být stanoveno, že společnost je povinna použít minimálně </w:t>
      </w:r>
      <w:r w:rsidR="00B5246B" w:rsidRPr="001B0951">
        <w:rPr>
          <w:rFonts w:ascii="Arial" w:hAnsi="Arial" w:cs="Arial"/>
          <w:sz w:val="22"/>
          <w:szCs w:val="22"/>
        </w:rPr>
        <w:t>5</w:t>
      </w:r>
      <w:r w:rsidRPr="001B0951">
        <w:rPr>
          <w:rFonts w:ascii="Arial" w:hAnsi="Arial" w:cs="Arial"/>
          <w:sz w:val="22"/>
          <w:szCs w:val="22"/>
        </w:rPr>
        <w:t>0 % dosaženého zisku po zdanění kumulovaného za období 5 let po dokončení podpořené investiční akce na reinvestici</w:t>
      </w:r>
      <w:r w:rsidR="00CE0873" w:rsidRPr="001B0951">
        <w:rPr>
          <w:rFonts w:ascii="Arial" w:hAnsi="Arial" w:cs="Arial"/>
          <w:sz w:val="22"/>
          <w:szCs w:val="22"/>
        </w:rPr>
        <w:t xml:space="preserve"> v České republice</w:t>
      </w:r>
      <w:r w:rsidRPr="001B0951">
        <w:rPr>
          <w:rFonts w:ascii="Arial" w:hAnsi="Arial" w:cs="Arial"/>
          <w:sz w:val="22"/>
          <w:szCs w:val="22"/>
        </w:rPr>
        <w:t>. Reinvestici zisku by byla povinna provést do 7 let od dokončení podpořené investiční akce a mohla by jej použít jednak na investici do dlouhodobého</w:t>
      </w:r>
      <w:r w:rsidR="00D75667" w:rsidRPr="001B0951">
        <w:rPr>
          <w:rFonts w:ascii="Arial" w:hAnsi="Arial" w:cs="Arial"/>
          <w:sz w:val="22"/>
          <w:szCs w:val="22"/>
        </w:rPr>
        <w:t xml:space="preserve"> hmotného a nehmotného</w:t>
      </w:r>
      <w:r w:rsidRPr="001B0951">
        <w:rPr>
          <w:rFonts w:ascii="Arial" w:hAnsi="Arial" w:cs="Arial"/>
          <w:sz w:val="22"/>
          <w:szCs w:val="22"/>
        </w:rPr>
        <w:t xml:space="preserve"> majetku a jednak na investici do mezd zaměstnanců.</w:t>
      </w:r>
    </w:p>
    <w:p w14:paraId="136D91AF" w14:textId="62E2DCA0" w:rsidR="00B5010E" w:rsidRPr="001B0951" w:rsidRDefault="00B5010E"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lastRenderedPageBreak/>
        <w:t xml:space="preserve">Dodržování této podmínky by bylo </w:t>
      </w:r>
      <w:r w:rsidR="00B5246B" w:rsidRPr="001B0951">
        <w:rPr>
          <w:rFonts w:ascii="Arial" w:hAnsi="Arial" w:cs="Arial"/>
          <w:sz w:val="22"/>
          <w:szCs w:val="22"/>
        </w:rPr>
        <w:t>zavázáno</w:t>
      </w:r>
      <w:r w:rsidRPr="001B0951">
        <w:rPr>
          <w:rFonts w:ascii="Arial" w:hAnsi="Arial" w:cs="Arial"/>
          <w:sz w:val="22"/>
          <w:szCs w:val="22"/>
        </w:rPr>
        <w:t xml:space="preserve"> buď možnou sankcí v případě jejího nesplnění (společnost by byla povinna pobídku vrátit), nebo bonusem do budoucna.</w:t>
      </w:r>
    </w:p>
    <w:p w14:paraId="1ECD79CB" w14:textId="36D35159" w:rsidR="00B5010E" w:rsidRPr="001B0951" w:rsidRDefault="00B5010E"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Další možností k zajištění povinnosti reinvestice zisku by bylo kontrolovat tuto podmínku již při vlastním posky</w:t>
      </w:r>
      <w:r w:rsidR="00550458">
        <w:rPr>
          <w:rFonts w:ascii="Arial" w:hAnsi="Arial" w:cs="Arial"/>
          <w:sz w:val="22"/>
          <w:szCs w:val="22"/>
        </w:rPr>
        <w:t xml:space="preserve">tování investiční pobídky, </w:t>
      </w:r>
      <w:proofErr w:type="gramStart"/>
      <w:r w:rsidR="00550458">
        <w:rPr>
          <w:rFonts w:ascii="Arial" w:hAnsi="Arial" w:cs="Arial"/>
          <w:sz w:val="22"/>
          <w:szCs w:val="22"/>
        </w:rPr>
        <w:t xml:space="preserve">tzn. </w:t>
      </w:r>
      <w:r w:rsidRPr="001B0951">
        <w:rPr>
          <w:rFonts w:ascii="Arial" w:hAnsi="Arial" w:cs="Arial"/>
          <w:sz w:val="22"/>
          <w:szCs w:val="22"/>
        </w:rPr>
        <w:t>že</w:t>
      </w:r>
      <w:proofErr w:type="gramEnd"/>
      <w:r w:rsidRPr="001B0951">
        <w:rPr>
          <w:rFonts w:ascii="Arial" w:hAnsi="Arial" w:cs="Arial"/>
          <w:sz w:val="22"/>
          <w:szCs w:val="22"/>
        </w:rPr>
        <w:t xml:space="preserve"> při předložení záměru by bylo posuzováno, jak společnost reinvestovala zisk v minulých letech (např. ve 3 letech před podáním záměru získat investiční pobídku). U nových společností by se posuzovalo, jak rozděluje zisk </w:t>
      </w:r>
      <w:r w:rsidR="00742EF2" w:rsidRPr="001B0951">
        <w:rPr>
          <w:rFonts w:ascii="Arial" w:hAnsi="Arial" w:cs="Arial"/>
          <w:sz w:val="22"/>
          <w:szCs w:val="22"/>
        </w:rPr>
        <w:t>společnost s podstatným vlivem za předpokladu, že se bude jednat o rezidenta v České republice</w:t>
      </w:r>
      <w:r w:rsidRPr="001B0951">
        <w:rPr>
          <w:rFonts w:ascii="Arial" w:hAnsi="Arial" w:cs="Arial"/>
          <w:sz w:val="22"/>
          <w:szCs w:val="22"/>
        </w:rPr>
        <w:t xml:space="preserve">. </w:t>
      </w:r>
    </w:p>
    <w:p w14:paraId="0FE5D47E" w14:textId="55B0B5EC" w:rsidR="002638E6" w:rsidRPr="001B0951" w:rsidRDefault="0082652B" w:rsidP="002638E6">
      <w:pPr>
        <w:pStyle w:val="Odstavecseseznamem"/>
        <w:numPr>
          <w:ilvl w:val="0"/>
          <w:numId w:val="27"/>
        </w:numPr>
        <w:overflowPunct w:val="0"/>
        <w:autoSpaceDE w:val="0"/>
        <w:autoSpaceDN w:val="0"/>
        <w:adjustRightInd w:val="0"/>
        <w:spacing w:after="240"/>
        <w:jc w:val="both"/>
        <w:textAlignment w:val="baseline"/>
        <w:rPr>
          <w:rFonts w:ascii="Arial" w:hAnsi="Arial" w:cs="Arial"/>
          <w:b/>
          <w:sz w:val="22"/>
          <w:szCs w:val="22"/>
        </w:rPr>
      </w:pPr>
      <w:r w:rsidRPr="001B0951">
        <w:rPr>
          <w:rFonts w:ascii="Arial" w:hAnsi="Arial" w:cs="Arial"/>
          <w:b/>
          <w:sz w:val="22"/>
          <w:szCs w:val="22"/>
        </w:rPr>
        <w:t>Posuzování s</w:t>
      </w:r>
      <w:r w:rsidR="002638E6" w:rsidRPr="001B0951">
        <w:rPr>
          <w:rFonts w:ascii="Arial" w:hAnsi="Arial" w:cs="Arial"/>
          <w:b/>
          <w:sz w:val="22"/>
          <w:szCs w:val="22"/>
        </w:rPr>
        <w:t>trategické investiční akce</w:t>
      </w:r>
      <w:r w:rsidRPr="001B0951">
        <w:rPr>
          <w:rFonts w:ascii="Arial" w:hAnsi="Arial" w:cs="Arial"/>
          <w:b/>
          <w:sz w:val="22"/>
          <w:szCs w:val="22"/>
        </w:rPr>
        <w:t xml:space="preserve"> z pohledu vyšší přidané hodnoty</w:t>
      </w:r>
    </w:p>
    <w:p w14:paraId="5363DB14" w14:textId="65A4810C" w:rsidR="00A34F73" w:rsidRPr="001B0951" w:rsidRDefault="002638E6" w:rsidP="00AB1288">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Mezi strategické investiční akce</w:t>
      </w:r>
      <w:r w:rsidR="0082652B" w:rsidRPr="001B0951">
        <w:rPr>
          <w:rFonts w:ascii="Arial" w:hAnsi="Arial" w:cs="Arial"/>
          <w:sz w:val="22"/>
          <w:szCs w:val="22"/>
        </w:rPr>
        <w:t xml:space="preserve"> ve výrobě</w:t>
      </w:r>
      <w:r w:rsidRPr="001B0951">
        <w:rPr>
          <w:rFonts w:ascii="Arial" w:hAnsi="Arial" w:cs="Arial"/>
          <w:sz w:val="22"/>
          <w:szCs w:val="22"/>
        </w:rPr>
        <w:t xml:space="preserve"> patří investice </w:t>
      </w:r>
      <w:r w:rsidR="00471EC1" w:rsidRPr="001B0951">
        <w:rPr>
          <w:rFonts w:ascii="Arial" w:hAnsi="Arial" w:cs="Arial"/>
          <w:sz w:val="22"/>
          <w:szCs w:val="22"/>
        </w:rPr>
        <w:t>nej</w:t>
      </w:r>
      <w:r w:rsidRPr="001B0951">
        <w:rPr>
          <w:rFonts w:ascii="Arial" w:hAnsi="Arial" w:cs="Arial"/>
          <w:sz w:val="22"/>
          <w:szCs w:val="22"/>
        </w:rPr>
        <w:t xml:space="preserve">většího rozsahu (min. 500 nových </w:t>
      </w:r>
      <w:r w:rsidRPr="00550458">
        <w:rPr>
          <w:rFonts w:ascii="Arial" w:hAnsi="Arial" w:cs="Arial"/>
          <w:sz w:val="22"/>
          <w:szCs w:val="22"/>
        </w:rPr>
        <w:t xml:space="preserve">pracovních míst a </w:t>
      </w:r>
      <w:r w:rsidR="00471EC1" w:rsidRPr="00550458">
        <w:rPr>
          <w:rFonts w:ascii="Arial" w:hAnsi="Arial" w:cs="Arial"/>
          <w:sz w:val="22"/>
          <w:szCs w:val="22"/>
        </w:rPr>
        <w:t xml:space="preserve">investice </w:t>
      </w:r>
      <w:r w:rsidRPr="00550458">
        <w:rPr>
          <w:rFonts w:ascii="Arial" w:hAnsi="Arial" w:cs="Arial"/>
          <w:sz w:val="22"/>
          <w:szCs w:val="22"/>
        </w:rPr>
        <w:t>min. 500 mil. Kč do dlouhodobého majetku)</w:t>
      </w:r>
      <w:r w:rsidR="00471EC1" w:rsidRPr="00550458">
        <w:rPr>
          <w:rFonts w:ascii="Arial" w:hAnsi="Arial" w:cs="Arial"/>
          <w:sz w:val="22"/>
          <w:szCs w:val="22"/>
        </w:rPr>
        <w:t xml:space="preserve">. </w:t>
      </w:r>
      <w:r w:rsidR="004931BC" w:rsidRPr="00550458">
        <w:rPr>
          <w:rFonts w:ascii="Arial" w:hAnsi="Arial" w:cs="Arial"/>
          <w:sz w:val="22"/>
          <w:szCs w:val="22"/>
        </w:rPr>
        <w:t>Na t</w:t>
      </w:r>
      <w:r w:rsidR="00471EC1" w:rsidRPr="00550458">
        <w:rPr>
          <w:rFonts w:ascii="Arial" w:hAnsi="Arial" w:cs="Arial"/>
          <w:sz w:val="22"/>
          <w:szCs w:val="22"/>
        </w:rPr>
        <w:t xml:space="preserve">yto investice </w:t>
      </w:r>
      <w:r w:rsidR="004931BC" w:rsidRPr="00550458">
        <w:rPr>
          <w:rFonts w:ascii="Arial" w:hAnsi="Arial" w:cs="Arial"/>
          <w:sz w:val="22"/>
          <w:szCs w:val="22"/>
        </w:rPr>
        <w:t xml:space="preserve">je </w:t>
      </w:r>
      <w:r w:rsidR="00471EC1" w:rsidRPr="00550458">
        <w:rPr>
          <w:rFonts w:ascii="Arial" w:hAnsi="Arial" w:cs="Arial"/>
          <w:sz w:val="22"/>
          <w:szCs w:val="22"/>
        </w:rPr>
        <w:t>pak m</w:t>
      </w:r>
      <w:r w:rsidR="00471EC1" w:rsidRPr="001B0951">
        <w:rPr>
          <w:rFonts w:ascii="Arial" w:hAnsi="Arial" w:cs="Arial"/>
          <w:sz w:val="22"/>
          <w:szCs w:val="22"/>
        </w:rPr>
        <w:t xml:space="preserve">ožnost požádat vládu o finanční příspěvek na pořízení dlouhodobého </w:t>
      </w:r>
      <w:r w:rsidR="00D62144" w:rsidRPr="001B0951">
        <w:rPr>
          <w:rFonts w:ascii="Arial" w:hAnsi="Arial" w:cs="Arial"/>
          <w:sz w:val="22"/>
          <w:szCs w:val="22"/>
        </w:rPr>
        <w:t>hmotného a </w:t>
      </w:r>
      <w:r w:rsidR="0082652B" w:rsidRPr="001B0951">
        <w:rPr>
          <w:rFonts w:ascii="Arial" w:hAnsi="Arial" w:cs="Arial"/>
          <w:sz w:val="22"/>
          <w:szCs w:val="22"/>
        </w:rPr>
        <w:t xml:space="preserve">nehmotného </w:t>
      </w:r>
      <w:r w:rsidR="00471EC1" w:rsidRPr="001B0951">
        <w:rPr>
          <w:rFonts w:ascii="Arial" w:hAnsi="Arial" w:cs="Arial"/>
          <w:sz w:val="22"/>
          <w:szCs w:val="22"/>
        </w:rPr>
        <w:t>majetku</w:t>
      </w:r>
      <w:r w:rsidR="0082652B" w:rsidRPr="001B0951">
        <w:rPr>
          <w:rFonts w:ascii="Arial" w:hAnsi="Arial" w:cs="Arial"/>
          <w:sz w:val="22"/>
          <w:szCs w:val="22"/>
        </w:rPr>
        <w:t>, aktuálně až do výše 10 % hodnoty majetku.</w:t>
      </w:r>
      <w:r w:rsidR="00D62144" w:rsidRPr="001B0951">
        <w:rPr>
          <w:rFonts w:ascii="Arial" w:hAnsi="Arial" w:cs="Arial"/>
          <w:sz w:val="22"/>
          <w:szCs w:val="22"/>
        </w:rPr>
        <w:t xml:space="preserve"> Při rozhodování o </w:t>
      </w:r>
      <w:r w:rsidR="00AB1288" w:rsidRPr="001B0951">
        <w:rPr>
          <w:rFonts w:ascii="Arial" w:hAnsi="Arial" w:cs="Arial"/>
          <w:sz w:val="22"/>
          <w:szCs w:val="22"/>
        </w:rPr>
        <w:t xml:space="preserve">poskytnutí tohoto příspěvku, příp. jeho výši, by nově mohla být zohledněna i míra vyšší přidané hodnoty, kterou s sebou daná investice přináší. Kvalita takové investice by se posuzovala prostřednictvím </w:t>
      </w:r>
      <w:r w:rsidR="005D1AC7" w:rsidRPr="001B0951">
        <w:rPr>
          <w:rFonts w:ascii="Arial" w:hAnsi="Arial" w:cs="Arial"/>
          <w:sz w:val="22"/>
          <w:szCs w:val="22"/>
        </w:rPr>
        <w:t xml:space="preserve">předem definovaného </w:t>
      </w:r>
      <w:r w:rsidR="00AB1288" w:rsidRPr="001B0951">
        <w:rPr>
          <w:rFonts w:ascii="Arial" w:hAnsi="Arial" w:cs="Arial"/>
          <w:sz w:val="22"/>
          <w:szCs w:val="22"/>
        </w:rPr>
        <w:t xml:space="preserve">souboru kritérií, jež by zohlednilo Ministerstvo průmyslu a obchodu </w:t>
      </w:r>
      <w:r w:rsidR="00D631D6" w:rsidRPr="001B0951">
        <w:rPr>
          <w:rFonts w:ascii="Arial" w:hAnsi="Arial" w:cs="Arial"/>
          <w:sz w:val="22"/>
          <w:szCs w:val="22"/>
        </w:rPr>
        <w:t xml:space="preserve">již </w:t>
      </w:r>
      <w:r w:rsidR="00AB1288" w:rsidRPr="001B0951">
        <w:rPr>
          <w:rFonts w:ascii="Arial" w:hAnsi="Arial" w:cs="Arial"/>
          <w:sz w:val="22"/>
          <w:szCs w:val="22"/>
        </w:rPr>
        <w:t xml:space="preserve">při přípravě materiálu na vládu, kterým bude rozhodováno o schválení finančního příspěvku. </w:t>
      </w:r>
      <w:r w:rsidR="00A34F73" w:rsidRPr="001B0951">
        <w:rPr>
          <w:rFonts w:ascii="Arial" w:hAnsi="Arial" w:cs="Arial"/>
          <w:sz w:val="22"/>
          <w:szCs w:val="22"/>
        </w:rPr>
        <w:t xml:space="preserve">Tato kritéria by </w:t>
      </w:r>
      <w:r w:rsidR="000C256E">
        <w:rPr>
          <w:rFonts w:ascii="Arial" w:hAnsi="Arial" w:cs="Arial"/>
          <w:sz w:val="22"/>
          <w:szCs w:val="22"/>
        </w:rPr>
        <w:t xml:space="preserve">mohla </w:t>
      </w:r>
      <w:r w:rsidR="00A34F73" w:rsidRPr="001B0951">
        <w:rPr>
          <w:rFonts w:ascii="Arial" w:hAnsi="Arial" w:cs="Arial"/>
          <w:sz w:val="22"/>
          <w:szCs w:val="22"/>
        </w:rPr>
        <w:t>reflekto</w:t>
      </w:r>
      <w:r w:rsidR="000C256E">
        <w:rPr>
          <w:rFonts w:ascii="Arial" w:hAnsi="Arial" w:cs="Arial"/>
          <w:sz w:val="22"/>
          <w:szCs w:val="22"/>
        </w:rPr>
        <w:t>vat</w:t>
      </w:r>
      <w:r w:rsidR="00373E76" w:rsidRPr="001B0951">
        <w:rPr>
          <w:rFonts w:ascii="Arial" w:hAnsi="Arial" w:cs="Arial"/>
          <w:sz w:val="22"/>
          <w:szCs w:val="22"/>
        </w:rPr>
        <w:t xml:space="preserve"> míru zapojení </w:t>
      </w:r>
      <w:r w:rsidR="000C256E">
        <w:rPr>
          <w:rFonts w:ascii="Arial" w:hAnsi="Arial" w:cs="Arial"/>
          <w:sz w:val="22"/>
          <w:szCs w:val="22"/>
        </w:rPr>
        <w:t xml:space="preserve">žadatele </w:t>
      </w:r>
      <w:r w:rsidR="00373E76" w:rsidRPr="001B0951">
        <w:rPr>
          <w:rFonts w:ascii="Arial" w:hAnsi="Arial" w:cs="Arial"/>
          <w:sz w:val="22"/>
          <w:szCs w:val="22"/>
        </w:rPr>
        <w:t>do výzkumu a </w:t>
      </w:r>
      <w:r w:rsidR="00A34F73" w:rsidRPr="001B0951">
        <w:rPr>
          <w:rFonts w:ascii="Arial" w:hAnsi="Arial" w:cs="Arial"/>
          <w:sz w:val="22"/>
          <w:szCs w:val="22"/>
        </w:rPr>
        <w:t>vývoje, pokročilost pořízených technologií</w:t>
      </w:r>
      <w:r w:rsidR="000C256E">
        <w:rPr>
          <w:rFonts w:ascii="Arial" w:hAnsi="Arial" w:cs="Arial"/>
          <w:sz w:val="22"/>
          <w:szCs w:val="22"/>
        </w:rPr>
        <w:t xml:space="preserve"> v rámci investice</w:t>
      </w:r>
      <w:r w:rsidR="00A34F73" w:rsidRPr="001B0951">
        <w:rPr>
          <w:rFonts w:ascii="Arial" w:hAnsi="Arial" w:cs="Arial"/>
          <w:sz w:val="22"/>
          <w:szCs w:val="22"/>
        </w:rPr>
        <w:t xml:space="preserve">, spolupráci s univerzitami apod. </w:t>
      </w:r>
    </w:p>
    <w:p w14:paraId="5BA17875" w14:textId="640FC398" w:rsidR="00AB1288" w:rsidRPr="001B0951" w:rsidRDefault="00AB1288" w:rsidP="00AB1288">
      <w:pPr>
        <w:overflowPunct w:val="0"/>
        <w:autoSpaceDE w:val="0"/>
        <w:autoSpaceDN w:val="0"/>
        <w:adjustRightInd w:val="0"/>
        <w:spacing w:after="240"/>
        <w:contextualSpacing/>
        <w:jc w:val="both"/>
        <w:textAlignment w:val="baseline"/>
        <w:rPr>
          <w:rFonts w:ascii="Arial" w:hAnsi="Arial" w:cs="Arial"/>
          <w:sz w:val="22"/>
          <w:szCs w:val="22"/>
        </w:rPr>
      </w:pPr>
      <w:r w:rsidRPr="001B0951">
        <w:rPr>
          <w:rFonts w:ascii="Arial" w:hAnsi="Arial" w:cs="Arial"/>
          <w:sz w:val="22"/>
          <w:szCs w:val="22"/>
        </w:rPr>
        <w:t xml:space="preserve">Aby bylo možné řádně vyhodnotit náklady a přínosy plynoucí z podpory této akce, byla by </w:t>
      </w:r>
      <w:r w:rsidR="00A34F73" w:rsidRPr="001B0951">
        <w:rPr>
          <w:rFonts w:ascii="Arial" w:hAnsi="Arial" w:cs="Arial"/>
          <w:sz w:val="22"/>
          <w:szCs w:val="22"/>
        </w:rPr>
        <w:t xml:space="preserve">dále </w:t>
      </w:r>
      <w:r w:rsidRPr="001B0951">
        <w:rPr>
          <w:rFonts w:ascii="Arial" w:hAnsi="Arial" w:cs="Arial"/>
          <w:sz w:val="22"/>
          <w:szCs w:val="22"/>
        </w:rPr>
        <w:t xml:space="preserve">zavedena i povinnost takovému žadateli provést kvantitativní analýzu přínosů investiční akce pro region a stát již při předložení žádosti o podporu. </w:t>
      </w:r>
    </w:p>
    <w:p w14:paraId="7CD63880" w14:textId="51255E7A" w:rsidR="0042197B" w:rsidRPr="001B0951" w:rsidRDefault="0042197B" w:rsidP="0042197B">
      <w:pPr>
        <w:pStyle w:val="Odstavecseseznamem"/>
        <w:numPr>
          <w:ilvl w:val="0"/>
          <w:numId w:val="27"/>
        </w:numPr>
        <w:overflowPunct w:val="0"/>
        <w:autoSpaceDE w:val="0"/>
        <w:autoSpaceDN w:val="0"/>
        <w:adjustRightInd w:val="0"/>
        <w:spacing w:after="240"/>
        <w:jc w:val="both"/>
        <w:textAlignment w:val="baseline"/>
        <w:rPr>
          <w:rFonts w:ascii="Arial" w:hAnsi="Arial" w:cs="Arial"/>
          <w:b/>
          <w:sz w:val="22"/>
          <w:szCs w:val="22"/>
        </w:rPr>
      </w:pPr>
      <w:r w:rsidRPr="001B0951">
        <w:rPr>
          <w:rFonts w:ascii="Arial" w:hAnsi="Arial" w:cs="Arial"/>
          <w:b/>
          <w:sz w:val="22"/>
          <w:szCs w:val="22"/>
        </w:rPr>
        <w:t xml:space="preserve">Zvyšování energetické účinnosti </w:t>
      </w:r>
    </w:p>
    <w:p w14:paraId="0BF5CB26" w14:textId="0F79A363" w:rsidR="0042197B" w:rsidRPr="001B0951" w:rsidRDefault="0042197B" w:rsidP="0042197B">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Vzhledem k tomu, že energetická náročnost českého průmyslu je vyšší než průměr Evropské unie, a že zde tudíž existuje ne</w:t>
      </w:r>
      <w:r w:rsidR="004931BC">
        <w:rPr>
          <w:rFonts w:ascii="Arial" w:hAnsi="Arial" w:cs="Arial"/>
          <w:sz w:val="22"/>
          <w:szCs w:val="22"/>
        </w:rPr>
        <w:t xml:space="preserve">naplněný </w:t>
      </w:r>
      <w:r w:rsidRPr="001B0951">
        <w:rPr>
          <w:rFonts w:ascii="Arial" w:hAnsi="Arial" w:cs="Arial"/>
          <w:sz w:val="22"/>
          <w:szCs w:val="22"/>
        </w:rPr>
        <w:t>potenciál úspor energie, bylo by možné v rámci změn systému investičních pobídek zvážit i způsob nastavení podpory v oblasti výroby tak, aby podpora přispívala současně ke snižování energetické náročnosti technologických a výrobních procesů. Konkrétní nastavení této případné podmínky by bylo diskutováno v rámci přípravy návrhu právního předpisu.</w:t>
      </w:r>
    </w:p>
    <w:p w14:paraId="09112FB1" w14:textId="21D22A1E" w:rsidR="00D344F7" w:rsidRPr="001B0951" w:rsidRDefault="001F49CE" w:rsidP="00A003AC">
      <w:pPr>
        <w:pStyle w:val="Nadpis2"/>
        <w:numPr>
          <w:ilvl w:val="0"/>
          <w:numId w:val="25"/>
        </w:numPr>
        <w:ind w:left="0" w:firstLine="0"/>
        <w:rPr>
          <w:sz w:val="22"/>
          <w:szCs w:val="22"/>
        </w:rPr>
      </w:pPr>
      <w:r w:rsidRPr="001B0951">
        <w:t>P</w:t>
      </w:r>
      <w:r w:rsidR="00846628" w:rsidRPr="001B0951">
        <w:t>odpor</w:t>
      </w:r>
      <w:r w:rsidRPr="001B0951">
        <w:t>a</w:t>
      </w:r>
      <w:r w:rsidR="000C256E">
        <w:t xml:space="preserve"> výrobních investic</w:t>
      </w:r>
      <w:r w:rsidR="00846628" w:rsidRPr="001B0951">
        <w:t xml:space="preserve"> v</w:t>
      </w:r>
      <w:r w:rsidR="00FD48C5" w:rsidRPr="001B0951">
        <w:t> hospodářsky problémových</w:t>
      </w:r>
      <w:r w:rsidR="00846628" w:rsidRPr="001B0951">
        <w:t xml:space="preserve"> regionech</w:t>
      </w:r>
      <w:r w:rsidR="00D344F7" w:rsidRPr="001B0951">
        <w:t xml:space="preserve"> </w:t>
      </w:r>
      <w:r w:rsidR="000C256E">
        <w:t>a </w:t>
      </w:r>
      <w:r w:rsidRPr="001B0951">
        <w:t xml:space="preserve">regionech </w:t>
      </w:r>
      <w:r w:rsidR="00D344F7" w:rsidRPr="001B0951">
        <w:t>s vysokou mírou nezaměstnanosti</w:t>
      </w:r>
    </w:p>
    <w:p w14:paraId="5C5A553A" w14:textId="24358DFE" w:rsidR="00711995" w:rsidRPr="001B0951" w:rsidRDefault="00711995" w:rsidP="0078610C">
      <w:pPr>
        <w:overflowPunct w:val="0"/>
        <w:autoSpaceDE w:val="0"/>
        <w:autoSpaceDN w:val="0"/>
        <w:adjustRightInd w:val="0"/>
        <w:spacing w:after="240"/>
        <w:jc w:val="both"/>
        <w:textAlignment w:val="baseline"/>
        <w:rPr>
          <w:rFonts w:ascii="Arial" w:hAnsi="Arial" w:cs="Arial"/>
          <w:b/>
          <w:sz w:val="22"/>
          <w:szCs w:val="22"/>
        </w:rPr>
      </w:pPr>
      <w:r w:rsidRPr="001B0951">
        <w:rPr>
          <w:rFonts w:ascii="Arial" w:hAnsi="Arial" w:cs="Arial"/>
          <w:b/>
          <w:sz w:val="22"/>
          <w:szCs w:val="22"/>
        </w:rPr>
        <w:t>1. Podpora v hospodářsky problémových regionech</w:t>
      </w:r>
    </w:p>
    <w:p w14:paraId="4B58D34F" w14:textId="70700B03" w:rsidR="00846628" w:rsidRPr="001B0951" w:rsidRDefault="00CF5061"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S ohledem na vládou schválený seznam státem podporovaných regionů</w:t>
      </w:r>
      <w:r w:rsidR="002D1634" w:rsidRPr="001B0951">
        <w:rPr>
          <w:rFonts w:ascii="Arial" w:hAnsi="Arial" w:cs="Arial"/>
          <w:sz w:val="22"/>
          <w:szCs w:val="22"/>
        </w:rPr>
        <w:t xml:space="preserve"> </w:t>
      </w:r>
      <w:r w:rsidR="00760E28" w:rsidRPr="001B0951">
        <w:rPr>
          <w:rFonts w:ascii="Arial" w:hAnsi="Arial" w:cs="Arial"/>
          <w:sz w:val="22"/>
          <w:szCs w:val="22"/>
        </w:rPr>
        <w:t>lze zvážit</w:t>
      </w:r>
      <w:r w:rsidR="002D1634" w:rsidRPr="001B0951">
        <w:rPr>
          <w:rFonts w:ascii="Arial" w:hAnsi="Arial" w:cs="Arial"/>
          <w:sz w:val="22"/>
          <w:szCs w:val="22"/>
        </w:rPr>
        <w:t> </w:t>
      </w:r>
      <w:r w:rsidR="00760E28" w:rsidRPr="001B0951">
        <w:rPr>
          <w:rFonts w:ascii="Arial" w:hAnsi="Arial" w:cs="Arial"/>
          <w:sz w:val="22"/>
          <w:szCs w:val="22"/>
        </w:rPr>
        <w:t xml:space="preserve">možnost </w:t>
      </w:r>
      <w:r w:rsidR="002D1634" w:rsidRPr="001B0951">
        <w:rPr>
          <w:rFonts w:ascii="Arial" w:hAnsi="Arial" w:cs="Arial"/>
          <w:sz w:val="22"/>
          <w:szCs w:val="22"/>
        </w:rPr>
        <w:t xml:space="preserve">zachovat </w:t>
      </w:r>
      <w:r w:rsidRPr="001B0951">
        <w:rPr>
          <w:rFonts w:ascii="Arial" w:hAnsi="Arial" w:cs="Arial"/>
          <w:sz w:val="22"/>
          <w:szCs w:val="22"/>
        </w:rPr>
        <w:t>p</w:t>
      </w:r>
      <w:r w:rsidR="002D1634" w:rsidRPr="001B0951">
        <w:rPr>
          <w:rFonts w:ascii="Arial" w:hAnsi="Arial" w:cs="Arial"/>
          <w:sz w:val="22"/>
          <w:szCs w:val="22"/>
        </w:rPr>
        <w:t>odporu</w:t>
      </w:r>
      <w:r w:rsidR="00413894" w:rsidRPr="001B0951">
        <w:rPr>
          <w:rFonts w:ascii="Arial" w:hAnsi="Arial" w:cs="Arial"/>
          <w:sz w:val="22"/>
          <w:szCs w:val="22"/>
        </w:rPr>
        <w:t xml:space="preserve"> výroby ve zpracovatelském průmyslu </w:t>
      </w:r>
      <w:r w:rsidR="00B060FB" w:rsidRPr="001B0951">
        <w:rPr>
          <w:rFonts w:ascii="Arial" w:hAnsi="Arial" w:cs="Arial"/>
          <w:sz w:val="22"/>
          <w:szCs w:val="22"/>
        </w:rPr>
        <w:t xml:space="preserve">za stávajících podmínek </w:t>
      </w:r>
      <w:r w:rsidR="00413894" w:rsidRPr="001B0951">
        <w:rPr>
          <w:rFonts w:ascii="Arial" w:hAnsi="Arial" w:cs="Arial"/>
          <w:sz w:val="22"/>
          <w:szCs w:val="22"/>
        </w:rPr>
        <w:t>v</w:t>
      </w:r>
      <w:r w:rsidR="009F1CB2" w:rsidRPr="001B0951">
        <w:rPr>
          <w:rFonts w:ascii="Arial" w:hAnsi="Arial" w:cs="Arial"/>
          <w:sz w:val="22"/>
          <w:szCs w:val="22"/>
        </w:rPr>
        <w:t xml:space="preserve"> hospodářsky problémových regionech. Tyto regiony jsou tvořeny územím vybraných 57 obcí </w:t>
      </w:r>
      <w:r w:rsidR="009F1CB2" w:rsidRPr="00550458">
        <w:rPr>
          <w:rFonts w:ascii="Arial" w:hAnsi="Arial" w:cs="Arial"/>
          <w:sz w:val="22"/>
          <w:szCs w:val="22"/>
        </w:rPr>
        <w:t>s rozšířenou působností a jsou stanoveny usnesením vlády č. 344 ze dne 15. května 2013.</w:t>
      </w:r>
      <w:r w:rsidR="00BA3B88" w:rsidRPr="00550458">
        <w:rPr>
          <w:rFonts w:ascii="Arial" w:hAnsi="Arial" w:cs="Arial"/>
          <w:sz w:val="22"/>
          <w:szCs w:val="22"/>
        </w:rPr>
        <w:t xml:space="preserve"> V ostatních regionech by byly podmínky pro podporu výroby v oborech zpracovatelského průmyslu upraveny</w:t>
      </w:r>
      <w:r w:rsidR="00F010DE" w:rsidRPr="00550458">
        <w:rPr>
          <w:rFonts w:ascii="Arial" w:hAnsi="Arial" w:cs="Arial"/>
          <w:sz w:val="22"/>
          <w:szCs w:val="22"/>
        </w:rPr>
        <w:t xml:space="preserve"> (podle části B)</w:t>
      </w:r>
      <w:r w:rsidR="00BA3B88" w:rsidRPr="00550458">
        <w:rPr>
          <w:rFonts w:ascii="Arial" w:hAnsi="Arial" w:cs="Arial"/>
          <w:sz w:val="22"/>
          <w:szCs w:val="22"/>
        </w:rPr>
        <w:t>.</w:t>
      </w:r>
      <w:r w:rsidR="00BA3B88">
        <w:rPr>
          <w:rFonts w:ascii="Arial" w:hAnsi="Arial" w:cs="Arial"/>
          <w:sz w:val="22"/>
          <w:szCs w:val="22"/>
        </w:rPr>
        <w:t xml:space="preserve"> </w:t>
      </w:r>
    </w:p>
    <w:p w14:paraId="71D39499" w14:textId="55374CB2" w:rsidR="00711995" w:rsidRPr="001B0951" w:rsidRDefault="00B060FB" w:rsidP="00B060FB">
      <w:pPr>
        <w:pStyle w:val="Odstavecseseznamem"/>
        <w:overflowPunct w:val="0"/>
        <w:autoSpaceDE w:val="0"/>
        <w:autoSpaceDN w:val="0"/>
        <w:adjustRightInd w:val="0"/>
        <w:spacing w:after="240"/>
        <w:ind w:left="0"/>
        <w:jc w:val="both"/>
        <w:textAlignment w:val="baseline"/>
        <w:rPr>
          <w:rFonts w:ascii="Arial" w:hAnsi="Arial" w:cs="Arial"/>
          <w:b/>
          <w:sz w:val="22"/>
          <w:szCs w:val="22"/>
        </w:rPr>
      </w:pPr>
      <w:r w:rsidRPr="001B0951">
        <w:rPr>
          <w:rFonts w:ascii="Arial" w:hAnsi="Arial" w:cs="Arial"/>
          <w:b/>
          <w:sz w:val="22"/>
          <w:szCs w:val="22"/>
        </w:rPr>
        <w:t xml:space="preserve">2. </w:t>
      </w:r>
      <w:r w:rsidR="00711995" w:rsidRPr="001B0951">
        <w:rPr>
          <w:rFonts w:ascii="Arial" w:hAnsi="Arial" w:cs="Arial"/>
          <w:b/>
          <w:sz w:val="22"/>
          <w:szCs w:val="22"/>
        </w:rPr>
        <w:t>Podpora v regionech s vysokou mírou nezaměstnanosti</w:t>
      </w:r>
    </w:p>
    <w:p w14:paraId="38F2F9C5" w14:textId="697E891B" w:rsidR="00711995" w:rsidRPr="001B0951" w:rsidRDefault="00711995"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 xml:space="preserve">Při nízké míře nezaměstnanosti dochází mezi podniky k přetahování zaměstnanců. </w:t>
      </w:r>
      <w:r w:rsidR="00D344F7" w:rsidRPr="001B0951">
        <w:rPr>
          <w:rFonts w:ascii="Arial" w:hAnsi="Arial" w:cs="Arial"/>
          <w:sz w:val="22"/>
          <w:szCs w:val="22"/>
        </w:rPr>
        <w:t>V rámci aktivní politiky zaměstnanosti je všem projektů</w:t>
      </w:r>
      <w:r w:rsidR="00413894" w:rsidRPr="001B0951">
        <w:rPr>
          <w:rFonts w:ascii="Arial" w:hAnsi="Arial" w:cs="Arial"/>
          <w:sz w:val="22"/>
          <w:szCs w:val="22"/>
        </w:rPr>
        <w:t>m podporovaným v rámci zákona o </w:t>
      </w:r>
      <w:r w:rsidR="00D344F7" w:rsidRPr="001B0951">
        <w:rPr>
          <w:rFonts w:ascii="Arial" w:hAnsi="Arial" w:cs="Arial"/>
          <w:sz w:val="22"/>
          <w:szCs w:val="22"/>
        </w:rPr>
        <w:t>investičních pobídkách</w:t>
      </w:r>
      <w:r w:rsidRPr="001B0951">
        <w:rPr>
          <w:rFonts w:ascii="Arial" w:hAnsi="Arial" w:cs="Arial"/>
          <w:sz w:val="22"/>
          <w:szCs w:val="22"/>
        </w:rPr>
        <w:t xml:space="preserve"> aktuálně</w:t>
      </w:r>
      <w:r w:rsidR="00D344F7" w:rsidRPr="001B0951">
        <w:rPr>
          <w:rFonts w:ascii="Arial" w:hAnsi="Arial" w:cs="Arial"/>
          <w:sz w:val="22"/>
          <w:szCs w:val="22"/>
        </w:rPr>
        <w:t xml:space="preserve"> dostupná možnost poskytnutí hmotné podpory vytváření </w:t>
      </w:r>
      <w:r w:rsidR="00D344F7" w:rsidRPr="001B0951">
        <w:rPr>
          <w:rFonts w:ascii="Arial" w:hAnsi="Arial" w:cs="Arial"/>
          <w:sz w:val="22"/>
          <w:szCs w:val="22"/>
        </w:rPr>
        <w:lastRenderedPageBreak/>
        <w:t>nových pracovních míst v okresech, kde je</w:t>
      </w:r>
      <w:r w:rsidRPr="001B0951">
        <w:rPr>
          <w:rFonts w:ascii="Arial" w:hAnsi="Arial" w:cs="Arial"/>
          <w:sz w:val="22"/>
          <w:szCs w:val="22"/>
        </w:rPr>
        <w:t xml:space="preserve"> míra nezaměstnanosti alespoň o </w:t>
      </w:r>
      <w:r w:rsidR="00D344F7" w:rsidRPr="001B0951">
        <w:rPr>
          <w:rFonts w:ascii="Arial" w:hAnsi="Arial" w:cs="Arial"/>
          <w:sz w:val="22"/>
          <w:szCs w:val="22"/>
        </w:rPr>
        <w:t>25 % vyšší než republikový průměr. Při nízké průměrné míře neza</w:t>
      </w:r>
      <w:r w:rsidRPr="001B0951">
        <w:rPr>
          <w:rFonts w:ascii="Arial" w:hAnsi="Arial" w:cs="Arial"/>
          <w:sz w:val="22"/>
          <w:szCs w:val="22"/>
        </w:rPr>
        <w:t xml:space="preserve">městnanosti v ČR (např. </w:t>
      </w:r>
      <w:r w:rsidR="008A3344" w:rsidRPr="001B0951">
        <w:rPr>
          <w:rFonts w:ascii="Arial" w:hAnsi="Arial" w:cs="Arial"/>
          <w:sz w:val="22"/>
          <w:szCs w:val="22"/>
        </w:rPr>
        <w:t>5</w:t>
      </w:r>
      <w:r w:rsidRPr="001B0951">
        <w:rPr>
          <w:rFonts w:ascii="Arial" w:hAnsi="Arial" w:cs="Arial"/>
          <w:sz w:val="22"/>
          <w:szCs w:val="22"/>
        </w:rPr>
        <w:t> </w:t>
      </w:r>
      <w:r w:rsidR="00D926F1" w:rsidRPr="001B0951">
        <w:rPr>
          <w:rFonts w:ascii="Arial" w:hAnsi="Arial" w:cs="Arial"/>
          <w:sz w:val="22"/>
          <w:szCs w:val="22"/>
        </w:rPr>
        <w:t>%) je však již i </w:t>
      </w:r>
      <w:r w:rsidR="00D344F7" w:rsidRPr="001B0951">
        <w:rPr>
          <w:rFonts w:ascii="Arial" w:hAnsi="Arial" w:cs="Arial"/>
          <w:sz w:val="22"/>
          <w:szCs w:val="22"/>
        </w:rPr>
        <w:t>v těchto podporovaných okresech míra neza</w:t>
      </w:r>
      <w:r w:rsidRPr="001B0951">
        <w:rPr>
          <w:rFonts w:ascii="Arial" w:hAnsi="Arial" w:cs="Arial"/>
          <w:sz w:val="22"/>
          <w:szCs w:val="22"/>
        </w:rPr>
        <w:t>městnanosti velmi nízká (</w:t>
      </w:r>
      <w:r w:rsidR="008A3344" w:rsidRPr="001B0951">
        <w:rPr>
          <w:rFonts w:ascii="Arial" w:hAnsi="Arial" w:cs="Arial"/>
          <w:sz w:val="22"/>
          <w:szCs w:val="22"/>
        </w:rPr>
        <w:t>tj. 6,25</w:t>
      </w:r>
      <w:r w:rsidRPr="001B0951">
        <w:rPr>
          <w:rFonts w:ascii="Arial" w:hAnsi="Arial" w:cs="Arial"/>
          <w:sz w:val="22"/>
          <w:szCs w:val="22"/>
        </w:rPr>
        <w:t> </w:t>
      </w:r>
      <w:r w:rsidR="00D344F7" w:rsidRPr="001B0951">
        <w:rPr>
          <w:rFonts w:ascii="Arial" w:hAnsi="Arial" w:cs="Arial"/>
          <w:sz w:val="22"/>
          <w:szCs w:val="22"/>
        </w:rPr>
        <w:t xml:space="preserve">%). </w:t>
      </w:r>
    </w:p>
    <w:p w14:paraId="185C837A" w14:textId="32FC4908" w:rsidR="00A003AC" w:rsidRPr="001B0951" w:rsidRDefault="00711995"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P</w:t>
      </w:r>
      <w:r w:rsidR="00846628" w:rsidRPr="001B0951">
        <w:rPr>
          <w:rFonts w:ascii="Arial" w:hAnsi="Arial" w:cs="Arial"/>
          <w:sz w:val="22"/>
          <w:szCs w:val="22"/>
        </w:rPr>
        <w:t>oskytování hmotné podpory vytváření pracovních míst</w:t>
      </w:r>
      <w:r w:rsidR="000C256E">
        <w:rPr>
          <w:rFonts w:ascii="Arial" w:hAnsi="Arial" w:cs="Arial"/>
          <w:sz w:val="22"/>
          <w:szCs w:val="22"/>
        </w:rPr>
        <w:t xml:space="preserve"> projektům z oblasti výroby</w:t>
      </w:r>
      <w:r w:rsidR="00846628" w:rsidRPr="001B0951">
        <w:rPr>
          <w:rFonts w:ascii="Arial" w:hAnsi="Arial" w:cs="Arial"/>
          <w:sz w:val="22"/>
          <w:szCs w:val="22"/>
        </w:rPr>
        <w:t xml:space="preserve"> by </w:t>
      </w:r>
      <w:r w:rsidRPr="001B0951">
        <w:rPr>
          <w:rFonts w:ascii="Arial" w:hAnsi="Arial" w:cs="Arial"/>
          <w:sz w:val="22"/>
          <w:szCs w:val="22"/>
        </w:rPr>
        <w:t xml:space="preserve">proto </w:t>
      </w:r>
      <w:r w:rsidR="00846628" w:rsidRPr="001B0951">
        <w:rPr>
          <w:rFonts w:ascii="Arial" w:hAnsi="Arial" w:cs="Arial"/>
          <w:sz w:val="22"/>
          <w:szCs w:val="22"/>
        </w:rPr>
        <w:t>bylo zároveň fixně podmíněno minimální mírou nezaměstnanosti v okrese (např. 7,5 %)</w:t>
      </w:r>
      <w:r w:rsidR="000252DA" w:rsidRPr="001B0951">
        <w:rPr>
          <w:rFonts w:ascii="Arial" w:hAnsi="Arial" w:cs="Arial"/>
          <w:sz w:val="22"/>
          <w:szCs w:val="22"/>
        </w:rPr>
        <w:t>, aby podpora směřovala pouze do okresů se skutečně vysokou mírou nezaměstnanosti.</w:t>
      </w:r>
      <w:r w:rsidRPr="001B0951">
        <w:rPr>
          <w:rFonts w:ascii="Arial" w:hAnsi="Arial" w:cs="Arial"/>
          <w:sz w:val="22"/>
          <w:szCs w:val="22"/>
        </w:rPr>
        <w:t xml:space="preserve"> </w:t>
      </w:r>
      <w:r w:rsidR="00D344F7" w:rsidRPr="001B0951">
        <w:rPr>
          <w:rFonts w:ascii="Arial" w:hAnsi="Arial" w:cs="Arial"/>
          <w:sz w:val="22"/>
          <w:szCs w:val="22"/>
        </w:rPr>
        <w:t xml:space="preserve">Návrh tedy pracuje s konceptem, kdy by hmotná podpora pracovních míst </w:t>
      </w:r>
      <w:r w:rsidR="000C256E">
        <w:rPr>
          <w:rFonts w:ascii="Arial" w:hAnsi="Arial" w:cs="Arial"/>
          <w:sz w:val="22"/>
          <w:szCs w:val="22"/>
        </w:rPr>
        <w:t xml:space="preserve">pro výrobu </w:t>
      </w:r>
      <w:r w:rsidR="00D344F7" w:rsidRPr="001B0951">
        <w:rPr>
          <w:rFonts w:ascii="Arial" w:hAnsi="Arial" w:cs="Arial"/>
          <w:sz w:val="22"/>
          <w:szCs w:val="22"/>
        </w:rPr>
        <w:t>byla poskytována pouze v okresech, kde je míra nezaměstnanosti alespoň o 25 % vyšší než průměr (současn</w:t>
      </w:r>
      <w:r w:rsidR="000252DA" w:rsidRPr="001B0951">
        <w:rPr>
          <w:rFonts w:ascii="Arial" w:hAnsi="Arial" w:cs="Arial"/>
          <w:sz w:val="22"/>
          <w:szCs w:val="22"/>
        </w:rPr>
        <w:t>ý stav) a zároveň vyšší než 7,5 </w:t>
      </w:r>
      <w:r w:rsidR="00D344F7" w:rsidRPr="001B0951">
        <w:rPr>
          <w:rFonts w:ascii="Arial" w:hAnsi="Arial" w:cs="Arial"/>
          <w:sz w:val="22"/>
          <w:szCs w:val="22"/>
        </w:rPr>
        <w:t xml:space="preserve">%. V okresech, kde je míra nezaměstnanosti nižší než 7,5 %, by tedy podpora pracovních míst </w:t>
      </w:r>
      <w:r w:rsidR="000C256E">
        <w:rPr>
          <w:rFonts w:ascii="Arial" w:hAnsi="Arial" w:cs="Arial"/>
          <w:sz w:val="22"/>
          <w:szCs w:val="22"/>
        </w:rPr>
        <w:t xml:space="preserve">ve výrobě </w:t>
      </w:r>
      <w:r w:rsidR="00D344F7" w:rsidRPr="001B0951">
        <w:rPr>
          <w:rFonts w:ascii="Arial" w:hAnsi="Arial" w:cs="Arial"/>
          <w:sz w:val="22"/>
          <w:szCs w:val="22"/>
        </w:rPr>
        <w:t>nebyla poskytována. Za účelem zvýšení pružnosti sledování statistiky nezaměstnanosti by bylo možné zvážit zkrácení posuzovaného období na 1 uzavřené po</w:t>
      </w:r>
      <w:r w:rsidR="00413894" w:rsidRPr="001B0951">
        <w:rPr>
          <w:rFonts w:ascii="Arial" w:hAnsi="Arial" w:cs="Arial"/>
          <w:sz w:val="22"/>
          <w:szCs w:val="22"/>
        </w:rPr>
        <w:t>loletí (namísto stávajících 2).</w:t>
      </w:r>
    </w:p>
    <w:p w14:paraId="0AD2D44F" w14:textId="32F41936" w:rsidR="00A003AC" w:rsidRPr="001B0951" w:rsidRDefault="00A003AC" w:rsidP="00A003AC">
      <w:pPr>
        <w:pStyle w:val="Odstavecseseznamem"/>
        <w:numPr>
          <w:ilvl w:val="0"/>
          <w:numId w:val="25"/>
        </w:numPr>
        <w:overflowPunct w:val="0"/>
        <w:autoSpaceDE w:val="0"/>
        <w:autoSpaceDN w:val="0"/>
        <w:adjustRightInd w:val="0"/>
        <w:spacing w:before="480" w:after="240"/>
        <w:ind w:left="0" w:hanging="11"/>
        <w:jc w:val="both"/>
        <w:textAlignment w:val="baseline"/>
        <w:rPr>
          <w:rFonts w:ascii="Arial" w:hAnsi="Arial" w:cs="Arial"/>
          <w:b/>
        </w:rPr>
      </w:pPr>
      <w:r w:rsidRPr="001B0951">
        <w:rPr>
          <w:rFonts w:ascii="Arial" w:hAnsi="Arial" w:cs="Arial"/>
          <w:b/>
        </w:rPr>
        <w:t>Zvýhodnění malých a středních podniků v systému investičních pobídek</w:t>
      </w:r>
    </w:p>
    <w:p w14:paraId="5977FF1D" w14:textId="77777777" w:rsidR="00A003AC" w:rsidRPr="001B0951" w:rsidRDefault="00A003AC" w:rsidP="00A003AC">
      <w:pPr>
        <w:pStyle w:val="Odstavecseseznamem"/>
        <w:overflowPunct w:val="0"/>
        <w:autoSpaceDE w:val="0"/>
        <w:autoSpaceDN w:val="0"/>
        <w:adjustRightInd w:val="0"/>
        <w:spacing w:before="480" w:after="240"/>
        <w:ind w:left="0"/>
        <w:jc w:val="both"/>
        <w:textAlignment w:val="baseline"/>
        <w:rPr>
          <w:rFonts w:ascii="Arial" w:hAnsi="Arial" w:cs="Arial"/>
          <w:b/>
        </w:rPr>
      </w:pPr>
    </w:p>
    <w:p w14:paraId="6B82D4D9" w14:textId="4F2941CD" w:rsidR="00A003AC" w:rsidRPr="001B0951" w:rsidRDefault="00C41427" w:rsidP="00A003AC">
      <w:pPr>
        <w:pStyle w:val="Odstavecseseznamem"/>
        <w:overflowPunct w:val="0"/>
        <w:autoSpaceDE w:val="0"/>
        <w:autoSpaceDN w:val="0"/>
        <w:adjustRightInd w:val="0"/>
        <w:spacing w:before="480" w:after="240"/>
        <w:ind w:left="0"/>
        <w:jc w:val="both"/>
        <w:textAlignment w:val="baseline"/>
        <w:rPr>
          <w:rFonts w:ascii="Arial" w:hAnsi="Arial" w:cs="Arial"/>
          <w:sz w:val="22"/>
          <w:szCs w:val="22"/>
        </w:rPr>
      </w:pPr>
      <w:r w:rsidRPr="001B0951">
        <w:rPr>
          <w:rFonts w:ascii="Arial" w:hAnsi="Arial" w:cs="Arial"/>
          <w:sz w:val="22"/>
          <w:szCs w:val="22"/>
        </w:rPr>
        <w:t xml:space="preserve">Malé a střední podniky mají dlouhodobě </w:t>
      </w:r>
      <w:r w:rsidR="00921FA5">
        <w:rPr>
          <w:rFonts w:ascii="Arial" w:hAnsi="Arial" w:cs="Arial"/>
          <w:sz w:val="22"/>
          <w:szCs w:val="22"/>
        </w:rPr>
        <w:t>nízké</w:t>
      </w:r>
      <w:r w:rsidRPr="001B0951">
        <w:rPr>
          <w:rFonts w:ascii="Arial" w:hAnsi="Arial" w:cs="Arial"/>
          <w:sz w:val="22"/>
          <w:szCs w:val="22"/>
        </w:rPr>
        <w:t xml:space="preserve"> zastoupení v </w:t>
      </w:r>
      <w:r w:rsidR="00921FA5">
        <w:rPr>
          <w:rFonts w:ascii="Arial" w:hAnsi="Arial" w:cs="Arial"/>
          <w:sz w:val="22"/>
          <w:szCs w:val="22"/>
        </w:rPr>
        <w:t>systému investičních pobídek (v </w:t>
      </w:r>
      <w:r w:rsidRPr="001B0951">
        <w:rPr>
          <w:rFonts w:ascii="Arial" w:hAnsi="Arial" w:cs="Arial"/>
          <w:sz w:val="22"/>
          <w:szCs w:val="22"/>
        </w:rPr>
        <w:t xml:space="preserve">roce 2016 pouze 16,7 % ze všech vydaných Rozhodnutí o příslibu investiční pobídky). Z tohoto důvodu by mohly být malé a střední podniky zvýhodněny pro vstup </w:t>
      </w:r>
      <w:r w:rsidRPr="001B0951">
        <w:rPr>
          <w:rFonts w:ascii="Arial" w:hAnsi="Arial" w:cs="Arial"/>
          <w:sz w:val="22"/>
          <w:szCs w:val="22"/>
        </w:rPr>
        <w:br/>
      </w:r>
      <w:r w:rsidR="000F52D0" w:rsidRPr="001B0951">
        <w:rPr>
          <w:rFonts w:ascii="Arial" w:hAnsi="Arial" w:cs="Arial"/>
          <w:sz w:val="22"/>
          <w:szCs w:val="22"/>
        </w:rPr>
        <w:t>do systému investičních pobídek. T</w:t>
      </w:r>
      <w:r w:rsidRPr="001B0951">
        <w:rPr>
          <w:rFonts w:ascii="Arial" w:hAnsi="Arial" w:cs="Arial"/>
          <w:sz w:val="22"/>
          <w:szCs w:val="22"/>
        </w:rPr>
        <w:t xml:space="preserve">oho je možné docílit prostřednictvím </w:t>
      </w:r>
      <w:r w:rsidR="000F52D0" w:rsidRPr="001B0951">
        <w:rPr>
          <w:rFonts w:ascii="Arial" w:hAnsi="Arial" w:cs="Arial"/>
          <w:sz w:val="22"/>
          <w:szCs w:val="22"/>
        </w:rPr>
        <w:t>úpravy</w:t>
      </w:r>
      <w:r w:rsidRPr="001B0951">
        <w:rPr>
          <w:rFonts w:ascii="Arial" w:hAnsi="Arial" w:cs="Arial"/>
          <w:sz w:val="22"/>
          <w:szCs w:val="22"/>
        </w:rPr>
        <w:t xml:space="preserve"> podmínek</w:t>
      </w:r>
      <w:r w:rsidR="00760E28" w:rsidRPr="001B0951">
        <w:rPr>
          <w:rFonts w:ascii="Arial" w:hAnsi="Arial" w:cs="Arial"/>
          <w:sz w:val="22"/>
          <w:szCs w:val="22"/>
        </w:rPr>
        <w:t xml:space="preserve"> </w:t>
      </w:r>
      <w:r w:rsidR="000F52D0" w:rsidRPr="001B0951">
        <w:rPr>
          <w:rFonts w:ascii="Arial" w:hAnsi="Arial" w:cs="Arial"/>
          <w:sz w:val="22"/>
          <w:szCs w:val="22"/>
        </w:rPr>
        <w:br/>
      </w:r>
      <w:r w:rsidR="00760E28" w:rsidRPr="001B0951">
        <w:rPr>
          <w:rFonts w:ascii="Arial" w:hAnsi="Arial" w:cs="Arial"/>
          <w:sz w:val="22"/>
          <w:szCs w:val="22"/>
        </w:rPr>
        <w:t>pro získání investiční pobídky</w:t>
      </w:r>
      <w:r w:rsidR="000F52D0" w:rsidRPr="001B0951">
        <w:rPr>
          <w:rFonts w:ascii="Arial" w:hAnsi="Arial" w:cs="Arial"/>
          <w:sz w:val="22"/>
          <w:szCs w:val="22"/>
        </w:rPr>
        <w:t xml:space="preserve"> pro tento segment podniků</w:t>
      </w:r>
      <w:r w:rsidR="00760E28" w:rsidRPr="001B0951">
        <w:rPr>
          <w:rFonts w:ascii="Arial" w:hAnsi="Arial" w:cs="Arial"/>
          <w:sz w:val="22"/>
          <w:szCs w:val="22"/>
        </w:rPr>
        <w:t>,</w:t>
      </w:r>
      <w:r w:rsidR="000F52D0" w:rsidRPr="001B0951">
        <w:rPr>
          <w:rFonts w:ascii="Arial" w:hAnsi="Arial" w:cs="Arial"/>
          <w:sz w:val="22"/>
          <w:szCs w:val="22"/>
        </w:rPr>
        <w:t xml:space="preserve"> např. </w:t>
      </w:r>
      <w:r w:rsidRPr="001B0951">
        <w:rPr>
          <w:rFonts w:ascii="Arial" w:hAnsi="Arial" w:cs="Arial"/>
          <w:sz w:val="22"/>
          <w:szCs w:val="22"/>
        </w:rPr>
        <w:t xml:space="preserve">snížením </w:t>
      </w:r>
      <w:r w:rsidR="00760E28" w:rsidRPr="001B0951">
        <w:rPr>
          <w:rFonts w:ascii="Arial" w:hAnsi="Arial" w:cs="Arial"/>
          <w:sz w:val="22"/>
          <w:szCs w:val="22"/>
        </w:rPr>
        <w:t>výše minimální investice</w:t>
      </w:r>
      <w:r w:rsidR="00562EEA" w:rsidRPr="001B0951">
        <w:rPr>
          <w:rFonts w:ascii="Arial" w:hAnsi="Arial" w:cs="Arial"/>
          <w:sz w:val="22"/>
          <w:szCs w:val="22"/>
        </w:rPr>
        <w:t>, snížením počtu nově vytvořených pracovních míst apod.</w:t>
      </w:r>
    </w:p>
    <w:p w14:paraId="698BBB43" w14:textId="379B3CAC" w:rsidR="00D344F7" w:rsidRPr="001B0951" w:rsidRDefault="00D344F7" w:rsidP="00545760">
      <w:pPr>
        <w:pStyle w:val="Nadpis2"/>
        <w:numPr>
          <w:ilvl w:val="0"/>
          <w:numId w:val="25"/>
        </w:numPr>
        <w:ind w:left="0" w:firstLine="0"/>
        <w:rPr>
          <w:sz w:val="22"/>
          <w:szCs w:val="22"/>
          <w:u w:val="single"/>
        </w:rPr>
      </w:pPr>
      <w:r w:rsidRPr="001B0951">
        <w:t xml:space="preserve">Odstranění </w:t>
      </w:r>
      <w:r w:rsidR="004E60BE" w:rsidRPr="001B0951">
        <w:t xml:space="preserve">některých </w:t>
      </w:r>
      <w:r w:rsidRPr="001B0951">
        <w:t>překážek</w:t>
      </w:r>
      <w:r w:rsidR="004E60BE" w:rsidRPr="001B0951">
        <w:t>, zejména</w:t>
      </w:r>
      <w:r w:rsidRPr="001B0951">
        <w:t xml:space="preserve"> v oblasti zaměstnávání pracovníků</w:t>
      </w:r>
    </w:p>
    <w:p w14:paraId="309BDC2C" w14:textId="73EDF444" w:rsidR="00D344F7" w:rsidRPr="001B0951" w:rsidRDefault="00D344F7" w:rsidP="00D926F1">
      <w:pPr>
        <w:overflowPunct w:val="0"/>
        <w:autoSpaceDE w:val="0"/>
        <w:autoSpaceDN w:val="0"/>
        <w:adjustRightInd w:val="0"/>
        <w:spacing w:after="240"/>
        <w:ind w:left="426" w:hanging="426"/>
        <w:jc w:val="both"/>
        <w:textAlignment w:val="baseline"/>
        <w:rPr>
          <w:rFonts w:ascii="Arial" w:hAnsi="Arial" w:cs="Arial"/>
          <w:sz w:val="22"/>
          <w:szCs w:val="22"/>
        </w:rPr>
      </w:pPr>
      <w:r w:rsidRPr="001B0951">
        <w:rPr>
          <w:rFonts w:ascii="Arial" w:hAnsi="Arial" w:cs="Arial"/>
          <w:sz w:val="22"/>
          <w:szCs w:val="22"/>
        </w:rPr>
        <w:t xml:space="preserve">1. </w:t>
      </w:r>
      <w:r w:rsidRPr="001B0951">
        <w:rPr>
          <w:rFonts w:ascii="Arial" w:hAnsi="Arial" w:cs="Arial"/>
          <w:sz w:val="22"/>
          <w:szCs w:val="22"/>
        </w:rPr>
        <w:tab/>
        <w:t>Úprava definice nového pracovního místa tak, aby umožňovala i zaměstnávání pracovníků na částečný úvazek či zaměstnávání dl</w:t>
      </w:r>
      <w:r w:rsidR="004E60BE" w:rsidRPr="001B0951">
        <w:rPr>
          <w:rFonts w:ascii="Arial" w:hAnsi="Arial" w:cs="Arial"/>
          <w:sz w:val="22"/>
          <w:szCs w:val="22"/>
        </w:rPr>
        <w:t>ouhodobě pobývajících rezidentů.</w:t>
      </w:r>
    </w:p>
    <w:p w14:paraId="3169F4DF" w14:textId="487DC948" w:rsidR="00D344F7" w:rsidRPr="001B0951" w:rsidRDefault="00D344F7"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 xml:space="preserve">Společnosti se v současné době potýkají s nedostatkem pracovníků. </w:t>
      </w:r>
      <w:r w:rsidR="000956CB" w:rsidRPr="001B0951">
        <w:rPr>
          <w:rFonts w:ascii="Arial" w:hAnsi="Arial" w:cs="Arial"/>
          <w:sz w:val="22"/>
          <w:szCs w:val="22"/>
        </w:rPr>
        <w:t xml:space="preserve">V rámci stávajícího znění zákona o investičních pobídkách však mohou na nových pracovních místech zaměstnat pouze pracovníky na plný úvazek, kteří jsou občanem České republiky nebo státním příslušníkem členského státu Evropské unie či jeho rodinným příslušníkem. </w:t>
      </w:r>
      <w:r w:rsidRPr="001B0951">
        <w:rPr>
          <w:rFonts w:ascii="Arial" w:hAnsi="Arial" w:cs="Arial"/>
          <w:sz w:val="22"/>
          <w:szCs w:val="22"/>
        </w:rPr>
        <w:t xml:space="preserve">Návrhem by </w:t>
      </w:r>
      <w:r w:rsidR="00FA48EC" w:rsidRPr="001B0951">
        <w:rPr>
          <w:rFonts w:ascii="Arial" w:hAnsi="Arial" w:cs="Arial"/>
          <w:sz w:val="22"/>
          <w:szCs w:val="22"/>
        </w:rPr>
        <w:t xml:space="preserve">tak </w:t>
      </w:r>
      <w:r w:rsidRPr="001B0951">
        <w:rPr>
          <w:rFonts w:ascii="Arial" w:hAnsi="Arial" w:cs="Arial"/>
          <w:sz w:val="22"/>
          <w:szCs w:val="22"/>
        </w:rPr>
        <w:t xml:space="preserve">byla odstraněna </w:t>
      </w:r>
      <w:r w:rsidR="004931BC" w:rsidRPr="00550458">
        <w:rPr>
          <w:rFonts w:ascii="Arial" w:hAnsi="Arial" w:cs="Arial"/>
          <w:sz w:val="22"/>
          <w:szCs w:val="22"/>
        </w:rPr>
        <w:t xml:space="preserve">tato </w:t>
      </w:r>
      <w:r w:rsidRPr="00550458">
        <w:rPr>
          <w:rFonts w:ascii="Arial" w:hAnsi="Arial" w:cs="Arial"/>
          <w:sz w:val="22"/>
          <w:szCs w:val="22"/>
        </w:rPr>
        <w:t>zpřísnění</w:t>
      </w:r>
      <w:r w:rsidRPr="001B0951">
        <w:rPr>
          <w:rFonts w:ascii="Arial" w:hAnsi="Arial" w:cs="Arial"/>
          <w:sz w:val="22"/>
          <w:szCs w:val="22"/>
        </w:rPr>
        <w:t xml:space="preserve">, která byla nastavena nad rámec evropských předpisů. </w:t>
      </w:r>
    </w:p>
    <w:p w14:paraId="48E3E3D5" w14:textId="77777777" w:rsidR="00D344F7" w:rsidRPr="001B0951" w:rsidRDefault="00D344F7" w:rsidP="00D926F1">
      <w:pPr>
        <w:overflowPunct w:val="0"/>
        <w:autoSpaceDE w:val="0"/>
        <w:autoSpaceDN w:val="0"/>
        <w:adjustRightInd w:val="0"/>
        <w:spacing w:after="240"/>
        <w:ind w:left="426" w:hanging="426"/>
        <w:jc w:val="both"/>
        <w:textAlignment w:val="baseline"/>
        <w:rPr>
          <w:rFonts w:ascii="Arial" w:hAnsi="Arial" w:cs="Arial"/>
          <w:sz w:val="22"/>
          <w:szCs w:val="22"/>
        </w:rPr>
      </w:pPr>
      <w:r w:rsidRPr="001B0951">
        <w:rPr>
          <w:rFonts w:ascii="Arial" w:hAnsi="Arial" w:cs="Arial"/>
          <w:sz w:val="22"/>
          <w:szCs w:val="22"/>
        </w:rPr>
        <w:t xml:space="preserve">2. </w:t>
      </w:r>
      <w:r w:rsidRPr="001B0951">
        <w:rPr>
          <w:rFonts w:ascii="Arial" w:hAnsi="Arial" w:cs="Arial"/>
          <w:sz w:val="22"/>
          <w:szCs w:val="22"/>
        </w:rPr>
        <w:tab/>
        <w:t>Omezení lhůty pro zachování nových pracovních míst pouze na 5 let u těch míst, která netvoří základ pro způsobilé náklady, ale pouze pro splnění všeobecných podmínek.</w:t>
      </w:r>
    </w:p>
    <w:p w14:paraId="73E79B5C" w14:textId="77777777" w:rsidR="00D344F7" w:rsidRPr="001B0951" w:rsidRDefault="00D344F7"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Projektům z oblasti výroby se poskytuje podpora vůči způsobilým nákladům, které jsou tvořeny hodnotou majetku. I přesto jsou příjemci podpory povinni zachovat po celou dobu čerpání investiční pobídky nejen podpořený majetek, ale i nově vytvořená pracovní místa (minimálně v rozsahu stanoveném zákonem, tj. 20). Protože investiční pobídka se poskytuje nejčastěji ve formě slevy na dani z příjmů, jsou příjemci podpory povinni zachovat nová pracovní místa někdy i po dobu 13 let (3 roky má společnost na vytvoření nových pracovních míst a dalších 10 let má společnost na čerpání slevy na dani z příjmů). Navrhuje se proto omezit lhůtu pro zachování nových pracovních míst v případech, kdy jsou způsobilé náklady tvořeny hodnotou majetku, pouze na dobu 5 let.</w:t>
      </w:r>
    </w:p>
    <w:p w14:paraId="3F276D81" w14:textId="32C035F7" w:rsidR="00D344F7" w:rsidRPr="001B0951" w:rsidRDefault="00D344F7" w:rsidP="00D926F1">
      <w:pPr>
        <w:pStyle w:val="Odstavecseseznamem"/>
        <w:numPr>
          <w:ilvl w:val="0"/>
          <w:numId w:val="18"/>
        </w:numPr>
        <w:overflowPunct w:val="0"/>
        <w:autoSpaceDE w:val="0"/>
        <w:autoSpaceDN w:val="0"/>
        <w:adjustRightInd w:val="0"/>
        <w:spacing w:after="240"/>
        <w:ind w:left="426" w:hanging="426"/>
        <w:contextualSpacing w:val="0"/>
        <w:jc w:val="both"/>
        <w:textAlignment w:val="baseline"/>
        <w:rPr>
          <w:rFonts w:ascii="Arial" w:hAnsi="Arial" w:cs="Arial"/>
          <w:sz w:val="22"/>
          <w:szCs w:val="22"/>
        </w:rPr>
      </w:pPr>
      <w:r w:rsidRPr="001B0951">
        <w:rPr>
          <w:rFonts w:ascii="Arial" w:hAnsi="Arial" w:cs="Arial"/>
          <w:sz w:val="22"/>
          <w:szCs w:val="22"/>
        </w:rPr>
        <w:t>Zvážit možnost posílení role nařízení vlády v rámci systému investičních pobídek.</w:t>
      </w:r>
    </w:p>
    <w:p w14:paraId="3E11F8FB" w14:textId="1B334613" w:rsidR="00D344F7" w:rsidRPr="001B0951" w:rsidRDefault="00D344F7" w:rsidP="0078610C">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Parametry podporovaných investic jsou stanoveny přímo zákonem</w:t>
      </w:r>
      <w:r w:rsidR="002E609E" w:rsidRPr="001B0951">
        <w:rPr>
          <w:rFonts w:ascii="Arial" w:hAnsi="Arial" w:cs="Arial"/>
          <w:sz w:val="22"/>
          <w:szCs w:val="22"/>
        </w:rPr>
        <w:t xml:space="preserve"> (výše investice, počet nových pracovních míst)</w:t>
      </w:r>
      <w:r w:rsidRPr="001B0951">
        <w:rPr>
          <w:rFonts w:ascii="Arial" w:hAnsi="Arial" w:cs="Arial"/>
          <w:sz w:val="22"/>
          <w:szCs w:val="22"/>
        </w:rPr>
        <w:t>. V případě změny ekonomické situace</w:t>
      </w:r>
      <w:r w:rsidR="004E60BE" w:rsidRPr="001B0951">
        <w:rPr>
          <w:rFonts w:ascii="Arial" w:hAnsi="Arial" w:cs="Arial"/>
          <w:sz w:val="22"/>
          <w:szCs w:val="22"/>
        </w:rPr>
        <w:t xml:space="preserve"> v České republice</w:t>
      </w:r>
      <w:r w:rsidRPr="001B0951">
        <w:rPr>
          <w:rFonts w:ascii="Arial" w:hAnsi="Arial" w:cs="Arial"/>
          <w:sz w:val="22"/>
          <w:szCs w:val="22"/>
        </w:rPr>
        <w:t xml:space="preserve"> není </w:t>
      </w:r>
      <w:r w:rsidRPr="001B0951">
        <w:rPr>
          <w:rFonts w:ascii="Arial" w:hAnsi="Arial" w:cs="Arial"/>
          <w:sz w:val="22"/>
          <w:szCs w:val="22"/>
        </w:rPr>
        <w:lastRenderedPageBreak/>
        <w:t xml:space="preserve">možné pružně reagovat úpravou podmínek, neboť k jejich změně je potřeba změna zákona. </w:t>
      </w:r>
      <w:r w:rsidR="002E609E" w:rsidRPr="001B0951">
        <w:rPr>
          <w:rFonts w:ascii="Arial" w:hAnsi="Arial" w:cs="Arial"/>
          <w:sz w:val="22"/>
          <w:szCs w:val="22"/>
        </w:rPr>
        <w:t xml:space="preserve">Pokud by parametry podporovaných investic byly stanoveny nařízením vlády, </w:t>
      </w:r>
      <w:r w:rsidRPr="001B0951">
        <w:rPr>
          <w:rFonts w:ascii="Arial" w:hAnsi="Arial" w:cs="Arial"/>
          <w:sz w:val="22"/>
          <w:szCs w:val="22"/>
        </w:rPr>
        <w:t>přispělo</w:t>
      </w:r>
      <w:r w:rsidR="002E609E" w:rsidRPr="001B0951">
        <w:rPr>
          <w:rFonts w:ascii="Arial" w:hAnsi="Arial" w:cs="Arial"/>
          <w:sz w:val="22"/>
          <w:szCs w:val="22"/>
        </w:rPr>
        <w:t xml:space="preserve"> by to</w:t>
      </w:r>
      <w:r w:rsidRPr="001B0951">
        <w:rPr>
          <w:rFonts w:ascii="Arial" w:hAnsi="Arial" w:cs="Arial"/>
          <w:sz w:val="22"/>
          <w:szCs w:val="22"/>
        </w:rPr>
        <w:t xml:space="preserve"> ke zvýšení flexibility systému, neboť změna nařízení vlády je časově méně náročná.</w:t>
      </w:r>
      <w:r w:rsidR="00AF35BD" w:rsidRPr="001B0951">
        <w:rPr>
          <w:rFonts w:ascii="Arial" w:hAnsi="Arial" w:cs="Arial"/>
          <w:sz w:val="22"/>
          <w:szCs w:val="22"/>
        </w:rPr>
        <w:t xml:space="preserve"> Např. v období nízké nezaměstnanosti by mohla být podmínka vytváření nových pracovních míst ve výrobě snížena na minimum, event. zcela vypuštěna. </w:t>
      </w:r>
    </w:p>
    <w:p w14:paraId="5E4E940E" w14:textId="67AD22EA" w:rsidR="001277B8" w:rsidRPr="001B0951" w:rsidRDefault="00AD5518" w:rsidP="00545760">
      <w:pPr>
        <w:pStyle w:val="Nadpis2"/>
        <w:numPr>
          <w:ilvl w:val="0"/>
          <w:numId w:val="25"/>
        </w:numPr>
        <w:ind w:left="0" w:firstLine="0"/>
        <w:rPr>
          <w:u w:val="single"/>
        </w:rPr>
      </w:pPr>
      <w:r w:rsidRPr="001B0951">
        <w:t>Technické změny</w:t>
      </w:r>
    </w:p>
    <w:p w14:paraId="35928201" w14:textId="44A574EF" w:rsidR="006571BD" w:rsidRPr="001B0951" w:rsidRDefault="006571BD" w:rsidP="00402236">
      <w:pPr>
        <w:spacing w:after="240"/>
        <w:jc w:val="both"/>
        <w:rPr>
          <w:rFonts w:ascii="Arial" w:hAnsi="Arial" w:cs="Arial"/>
          <w:sz w:val="22"/>
          <w:szCs w:val="22"/>
        </w:rPr>
      </w:pPr>
      <w:r w:rsidRPr="001B0951">
        <w:rPr>
          <w:rFonts w:ascii="Arial" w:hAnsi="Arial" w:cs="Arial"/>
          <w:sz w:val="22"/>
          <w:szCs w:val="22"/>
        </w:rPr>
        <w:t>N</w:t>
      </w:r>
      <w:r w:rsidR="007E6A55" w:rsidRPr="001B0951">
        <w:rPr>
          <w:rFonts w:ascii="Arial" w:hAnsi="Arial" w:cs="Arial"/>
          <w:sz w:val="22"/>
          <w:szCs w:val="22"/>
        </w:rPr>
        <w:t>avrhuje se provést n</w:t>
      </w:r>
      <w:r w:rsidRPr="001B0951">
        <w:rPr>
          <w:rFonts w:ascii="Arial" w:hAnsi="Arial" w:cs="Arial"/>
          <w:sz w:val="22"/>
          <w:szCs w:val="22"/>
        </w:rPr>
        <w:t xml:space="preserve">ěkolik technických změn, které </w:t>
      </w:r>
      <w:r w:rsidR="004A5DAE" w:rsidRPr="001B0951">
        <w:rPr>
          <w:rFonts w:ascii="Arial" w:hAnsi="Arial" w:cs="Arial"/>
          <w:sz w:val="22"/>
          <w:szCs w:val="22"/>
        </w:rPr>
        <w:t xml:space="preserve">mají za cíl zpřesnit stávající </w:t>
      </w:r>
      <w:r w:rsidR="00C83CE3" w:rsidRPr="001B0951">
        <w:rPr>
          <w:rFonts w:ascii="Arial" w:hAnsi="Arial" w:cs="Arial"/>
          <w:sz w:val="22"/>
          <w:szCs w:val="22"/>
        </w:rPr>
        <w:t>znění zákona o investičních pobídkách</w:t>
      </w:r>
      <w:r w:rsidRPr="001B0951">
        <w:rPr>
          <w:rFonts w:ascii="Arial" w:hAnsi="Arial" w:cs="Arial"/>
          <w:sz w:val="22"/>
          <w:szCs w:val="22"/>
        </w:rPr>
        <w:t>:</w:t>
      </w:r>
    </w:p>
    <w:p w14:paraId="5E75534E" w14:textId="6DF43F45" w:rsidR="006571BD" w:rsidRPr="001B0951" w:rsidRDefault="00AC60D9" w:rsidP="0078610C">
      <w:pPr>
        <w:pStyle w:val="Odstavecseseznamem"/>
        <w:numPr>
          <w:ilvl w:val="0"/>
          <w:numId w:val="14"/>
        </w:numPr>
        <w:spacing w:before="120" w:after="240"/>
        <w:ind w:left="425" w:hanging="357"/>
        <w:contextualSpacing w:val="0"/>
        <w:jc w:val="both"/>
        <w:rPr>
          <w:rFonts w:ascii="Arial" w:hAnsi="Arial" w:cs="Arial"/>
          <w:sz w:val="22"/>
          <w:szCs w:val="22"/>
        </w:rPr>
      </w:pPr>
      <w:r w:rsidRPr="001B0951">
        <w:rPr>
          <w:rFonts w:ascii="Arial" w:hAnsi="Arial" w:cs="Arial"/>
          <w:sz w:val="22"/>
          <w:szCs w:val="22"/>
        </w:rPr>
        <w:t>precizace některých dosavadních pojmů zákona o investičních pobídkách na základě připomínek Evropské komise (</w:t>
      </w:r>
      <w:r w:rsidR="00592498">
        <w:rPr>
          <w:rFonts w:ascii="Arial" w:hAnsi="Arial" w:cs="Arial"/>
          <w:sz w:val="22"/>
          <w:szCs w:val="22"/>
        </w:rPr>
        <w:t xml:space="preserve">např. </w:t>
      </w:r>
      <w:r w:rsidRPr="001B0951">
        <w:rPr>
          <w:rFonts w:ascii="Arial" w:hAnsi="Arial" w:cs="Arial"/>
          <w:sz w:val="22"/>
          <w:szCs w:val="22"/>
        </w:rPr>
        <w:t>sjednocení pojmů jednoho/propojeného podniku, zpř</w:t>
      </w:r>
      <w:r w:rsidR="0043540C" w:rsidRPr="001B0951">
        <w:rPr>
          <w:rFonts w:ascii="Arial" w:hAnsi="Arial" w:cs="Arial"/>
          <w:sz w:val="22"/>
          <w:szCs w:val="22"/>
        </w:rPr>
        <w:t>esnění způsobilých nákladů</w:t>
      </w:r>
      <w:r w:rsidRPr="001B0951">
        <w:rPr>
          <w:rFonts w:ascii="Arial" w:hAnsi="Arial" w:cs="Arial"/>
          <w:sz w:val="22"/>
          <w:szCs w:val="22"/>
        </w:rPr>
        <w:t>)</w:t>
      </w:r>
      <w:r w:rsidR="006571BD" w:rsidRPr="001B0951">
        <w:rPr>
          <w:rFonts w:ascii="Arial" w:hAnsi="Arial" w:cs="Arial"/>
          <w:sz w:val="22"/>
          <w:szCs w:val="22"/>
        </w:rPr>
        <w:t>,</w:t>
      </w:r>
    </w:p>
    <w:p w14:paraId="67334E82" w14:textId="612964FE" w:rsidR="00AC60D9" w:rsidRPr="001B0951" w:rsidRDefault="00CA0F2D" w:rsidP="0078610C">
      <w:pPr>
        <w:pStyle w:val="Odstavecseseznamem"/>
        <w:numPr>
          <w:ilvl w:val="0"/>
          <w:numId w:val="14"/>
        </w:numPr>
        <w:spacing w:before="120" w:after="240"/>
        <w:ind w:left="425" w:hanging="357"/>
        <w:contextualSpacing w:val="0"/>
        <w:jc w:val="both"/>
        <w:rPr>
          <w:rFonts w:ascii="Arial" w:hAnsi="Arial" w:cs="Arial"/>
          <w:sz w:val="22"/>
          <w:szCs w:val="22"/>
        </w:rPr>
      </w:pPr>
      <w:r w:rsidRPr="001B0951">
        <w:rPr>
          <w:rFonts w:ascii="Arial" w:hAnsi="Arial" w:cs="Arial"/>
          <w:sz w:val="22"/>
          <w:szCs w:val="22"/>
        </w:rPr>
        <w:t>zavedení</w:t>
      </w:r>
      <w:r w:rsidR="006571BD" w:rsidRPr="001B0951">
        <w:rPr>
          <w:rFonts w:ascii="Arial" w:hAnsi="Arial" w:cs="Arial"/>
          <w:sz w:val="22"/>
          <w:szCs w:val="22"/>
        </w:rPr>
        <w:t xml:space="preserve"> povinnosti </w:t>
      </w:r>
      <w:r w:rsidRPr="001B0951">
        <w:rPr>
          <w:rFonts w:ascii="Arial" w:hAnsi="Arial" w:cs="Arial"/>
          <w:sz w:val="22"/>
          <w:szCs w:val="22"/>
        </w:rPr>
        <w:t xml:space="preserve">pro žadatele o investiční pobídku spočívající v </w:t>
      </w:r>
      <w:r w:rsidR="006571BD" w:rsidRPr="001B0951">
        <w:rPr>
          <w:rFonts w:ascii="Arial" w:hAnsi="Arial" w:cs="Arial"/>
          <w:sz w:val="22"/>
          <w:szCs w:val="22"/>
        </w:rPr>
        <w:t>předkládání některých účetních dokladů v návaznosti na nutnost ověření pod</w:t>
      </w:r>
      <w:r w:rsidR="00D675A3" w:rsidRPr="001B0951">
        <w:rPr>
          <w:rFonts w:ascii="Arial" w:hAnsi="Arial" w:cs="Arial"/>
          <w:sz w:val="22"/>
          <w:szCs w:val="22"/>
        </w:rPr>
        <w:t>mínky, že se nejedná o podnik v </w:t>
      </w:r>
      <w:r w:rsidR="007479B8" w:rsidRPr="001B0951">
        <w:rPr>
          <w:rFonts w:ascii="Arial" w:hAnsi="Arial" w:cs="Arial"/>
          <w:sz w:val="22"/>
          <w:szCs w:val="22"/>
        </w:rPr>
        <w:t xml:space="preserve">obtížích, </w:t>
      </w:r>
    </w:p>
    <w:p w14:paraId="213D57CB" w14:textId="3657C18C" w:rsidR="00AC60D9" w:rsidRPr="00550458" w:rsidRDefault="00AC60D9" w:rsidP="0078610C">
      <w:pPr>
        <w:pStyle w:val="Odstavecseseznamem"/>
        <w:numPr>
          <w:ilvl w:val="0"/>
          <w:numId w:val="14"/>
        </w:numPr>
        <w:spacing w:before="120" w:after="240"/>
        <w:ind w:left="425" w:hanging="357"/>
        <w:contextualSpacing w:val="0"/>
        <w:jc w:val="both"/>
        <w:rPr>
          <w:rFonts w:ascii="Arial" w:hAnsi="Arial" w:cs="Arial"/>
          <w:sz w:val="22"/>
          <w:szCs w:val="22"/>
        </w:rPr>
      </w:pPr>
      <w:r w:rsidRPr="001B0951">
        <w:rPr>
          <w:rFonts w:ascii="Arial" w:hAnsi="Arial" w:cs="Arial"/>
          <w:sz w:val="22"/>
          <w:szCs w:val="22"/>
        </w:rPr>
        <w:t xml:space="preserve">nastavení kontrolního mechanismu pro podmínky diverzifikace výroby a zásadní změny výrobního procesu, které vyplývají z přímo použitelného předpisu Evropské unie - určení </w:t>
      </w:r>
      <w:r w:rsidRPr="00550458">
        <w:rPr>
          <w:rFonts w:ascii="Arial" w:hAnsi="Arial" w:cs="Arial"/>
          <w:sz w:val="22"/>
          <w:szCs w:val="22"/>
        </w:rPr>
        <w:t>kontrolního orgánu, lhůty pro výkon kontroly, sankce za nesplnění, ad.</w:t>
      </w:r>
    </w:p>
    <w:p w14:paraId="4329F06B" w14:textId="550A6E3D" w:rsidR="007660E0" w:rsidRPr="00550458" w:rsidRDefault="007660E0" w:rsidP="0078610C">
      <w:pPr>
        <w:pStyle w:val="Odstavecseseznamem"/>
        <w:numPr>
          <w:ilvl w:val="0"/>
          <w:numId w:val="14"/>
        </w:numPr>
        <w:spacing w:before="120" w:after="240"/>
        <w:ind w:left="425" w:hanging="357"/>
        <w:contextualSpacing w:val="0"/>
        <w:jc w:val="both"/>
        <w:rPr>
          <w:rFonts w:ascii="Arial" w:hAnsi="Arial" w:cs="Arial"/>
          <w:sz w:val="22"/>
          <w:szCs w:val="22"/>
        </w:rPr>
      </w:pPr>
      <w:r w:rsidRPr="00550458">
        <w:rPr>
          <w:rFonts w:ascii="Arial" w:hAnsi="Arial" w:cs="Arial"/>
          <w:sz w:val="22"/>
          <w:szCs w:val="22"/>
        </w:rPr>
        <w:t>implementace veškerých změn týkající</w:t>
      </w:r>
      <w:r w:rsidR="0036763F" w:rsidRPr="00550458">
        <w:rPr>
          <w:rFonts w:ascii="Arial" w:hAnsi="Arial" w:cs="Arial"/>
          <w:sz w:val="22"/>
          <w:szCs w:val="22"/>
        </w:rPr>
        <w:t>ch</w:t>
      </w:r>
      <w:r w:rsidRPr="00550458">
        <w:rPr>
          <w:rFonts w:ascii="Arial" w:hAnsi="Arial" w:cs="Arial"/>
          <w:sz w:val="22"/>
          <w:szCs w:val="22"/>
        </w:rPr>
        <w:t xml:space="preserve"> se regionální investiční podpory, jež vyplývají z </w:t>
      </w:r>
      <w:r w:rsidR="0036763F" w:rsidRPr="00550458">
        <w:rPr>
          <w:rFonts w:ascii="Arial" w:hAnsi="Arial" w:cs="Arial"/>
          <w:sz w:val="22"/>
          <w:szCs w:val="22"/>
        </w:rPr>
        <w:t>n</w:t>
      </w:r>
      <w:r w:rsidRPr="00550458">
        <w:rPr>
          <w:rFonts w:ascii="Arial" w:hAnsi="Arial" w:cs="Arial"/>
          <w:sz w:val="22"/>
          <w:szCs w:val="22"/>
        </w:rPr>
        <w:t>ařízení Komise (EU) 2017/1084 ze dne 14. června 2017, kterým se mění nařízení</w:t>
      </w:r>
      <w:r w:rsidR="0036763F" w:rsidRPr="00550458">
        <w:rPr>
          <w:rFonts w:ascii="Arial" w:hAnsi="Arial" w:cs="Arial"/>
          <w:sz w:val="22"/>
          <w:szCs w:val="22"/>
        </w:rPr>
        <w:t xml:space="preserve"> Komise</w:t>
      </w:r>
      <w:r w:rsidRPr="00550458">
        <w:rPr>
          <w:rFonts w:ascii="Arial" w:hAnsi="Arial" w:cs="Arial"/>
          <w:sz w:val="22"/>
          <w:szCs w:val="22"/>
        </w:rPr>
        <w:t xml:space="preserve"> (EU) č. 651/2014. </w:t>
      </w:r>
    </w:p>
    <w:p w14:paraId="6D82F500" w14:textId="53FDF55D" w:rsidR="009C235D" w:rsidRPr="001B0951" w:rsidRDefault="009C235D" w:rsidP="009C235D">
      <w:pPr>
        <w:pStyle w:val="Nadpis1"/>
      </w:pPr>
      <w:r w:rsidRPr="001B0951">
        <w:t>Způsob realizace navrhovaných změn</w:t>
      </w:r>
    </w:p>
    <w:p w14:paraId="4843EC02" w14:textId="70672475" w:rsidR="00A3649B" w:rsidRPr="001B0951" w:rsidRDefault="00A3649B" w:rsidP="00A3649B">
      <w:pPr>
        <w:overflowPunct w:val="0"/>
        <w:autoSpaceDE w:val="0"/>
        <w:autoSpaceDN w:val="0"/>
        <w:adjustRightInd w:val="0"/>
        <w:spacing w:before="360" w:after="240"/>
        <w:jc w:val="both"/>
        <w:textAlignment w:val="baseline"/>
        <w:rPr>
          <w:rFonts w:ascii="Arial" w:hAnsi="Arial" w:cs="Arial"/>
          <w:sz w:val="22"/>
          <w:szCs w:val="22"/>
        </w:rPr>
      </w:pPr>
      <w:r w:rsidRPr="001B0951">
        <w:rPr>
          <w:rFonts w:ascii="Arial" w:hAnsi="Arial" w:cs="Arial"/>
          <w:sz w:val="22"/>
          <w:szCs w:val="22"/>
        </w:rPr>
        <w:t xml:space="preserve">Protože je systém investičních pobídek upraven na zákonné úrovni, </w:t>
      </w:r>
      <w:r w:rsidR="00CE3E42" w:rsidRPr="001B0951">
        <w:rPr>
          <w:rFonts w:ascii="Arial" w:hAnsi="Arial" w:cs="Arial"/>
          <w:sz w:val="22"/>
          <w:szCs w:val="22"/>
        </w:rPr>
        <w:t>bude</w:t>
      </w:r>
      <w:r w:rsidRPr="001B0951">
        <w:rPr>
          <w:rFonts w:ascii="Arial" w:hAnsi="Arial" w:cs="Arial"/>
          <w:sz w:val="22"/>
          <w:szCs w:val="22"/>
        </w:rPr>
        <w:t xml:space="preserve"> k provedení změn zapotřebí změna příslušných právních předpisů. Předložení legislativního návrhu změn </w:t>
      </w:r>
      <w:r w:rsidR="00CE3E42" w:rsidRPr="001B0951">
        <w:rPr>
          <w:rFonts w:ascii="Arial" w:hAnsi="Arial" w:cs="Arial"/>
          <w:sz w:val="22"/>
          <w:szCs w:val="22"/>
        </w:rPr>
        <w:t>bude</w:t>
      </w:r>
      <w:r w:rsidRPr="001B0951">
        <w:rPr>
          <w:rFonts w:ascii="Arial" w:hAnsi="Arial" w:cs="Arial"/>
          <w:sz w:val="22"/>
          <w:szCs w:val="22"/>
        </w:rPr>
        <w:t xml:space="preserve"> zařazeno do Plánu legislativních prací vlády České republiky na rok 2018.</w:t>
      </w:r>
    </w:p>
    <w:p w14:paraId="3EA12618" w14:textId="35D4D254" w:rsidR="0043540C" w:rsidRPr="001B0951" w:rsidRDefault="0043540C" w:rsidP="00A3649B">
      <w:pPr>
        <w:overflowPunct w:val="0"/>
        <w:autoSpaceDE w:val="0"/>
        <w:autoSpaceDN w:val="0"/>
        <w:adjustRightInd w:val="0"/>
        <w:spacing w:after="240"/>
        <w:jc w:val="both"/>
        <w:textAlignment w:val="baseline"/>
        <w:rPr>
          <w:rFonts w:ascii="Arial" w:hAnsi="Arial" w:cs="Arial"/>
          <w:sz w:val="22"/>
          <w:szCs w:val="22"/>
        </w:rPr>
      </w:pPr>
      <w:r w:rsidRPr="001B0951">
        <w:rPr>
          <w:rFonts w:ascii="Arial" w:hAnsi="Arial" w:cs="Arial"/>
          <w:sz w:val="22"/>
          <w:szCs w:val="22"/>
        </w:rPr>
        <w:t xml:space="preserve">Navrhované změny by </w:t>
      </w:r>
      <w:r w:rsidR="00CE3E42" w:rsidRPr="001B0951">
        <w:rPr>
          <w:rFonts w:ascii="Arial" w:hAnsi="Arial" w:cs="Arial"/>
          <w:sz w:val="22"/>
          <w:szCs w:val="22"/>
        </w:rPr>
        <w:t>měly být</w:t>
      </w:r>
      <w:r w:rsidRPr="001B0951">
        <w:rPr>
          <w:rFonts w:ascii="Arial" w:hAnsi="Arial" w:cs="Arial"/>
          <w:sz w:val="22"/>
          <w:szCs w:val="22"/>
        </w:rPr>
        <w:t xml:space="preserve"> provedeny změnou zákona o i</w:t>
      </w:r>
      <w:r w:rsidR="00245154" w:rsidRPr="001B0951">
        <w:rPr>
          <w:rFonts w:ascii="Arial" w:hAnsi="Arial" w:cs="Arial"/>
          <w:sz w:val="22"/>
          <w:szCs w:val="22"/>
        </w:rPr>
        <w:t>nvestičních pobídkách, změnou § </w:t>
      </w:r>
      <w:r w:rsidRPr="001B0951">
        <w:rPr>
          <w:rFonts w:ascii="Arial" w:hAnsi="Arial" w:cs="Arial"/>
          <w:sz w:val="22"/>
          <w:szCs w:val="22"/>
        </w:rPr>
        <w:t xml:space="preserve">111 zákona </w:t>
      </w:r>
      <w:r w:rsidR="000343DA">
        <w:rPr>
          <w:rFonts w:ascii="Arial" w:hAnsi="Arial" w:cs="Arial"/>
          <w:sz w:val="22"/>
          <w:szCs w:val="22"/>
        </w:rPr>
        <w:t xml:space="preserve">č. 435/2004 Sb., </w:t>
      </w:r>
      <w:r w:rsidRPr="001B0951">
        <w:rPr>
          <w:rFonts w:ascii="Arial" w:hAnsi="Arial" w:cs="Arial"/>
          <w:sz w:val="22"/>
          <w:szCs w:val="22"/>
        </w:rPr>
        <w:t>o zaměstnanosti</w:t>
      </w:r>
      <w:r w:rsidR="000343DA">
        <w:rPr>
          <w:rFonts w:ascii="Arial" w:hAnsi="Arial" w:cs="Arial"/>
          <w:sz w:val="22"/>
          <w:szCs w:val="22"/>
        </w:rPr>
        <w:t>, ve znění pozdějších předpisů</w:t>
      </w:r>
      <w:r w:rsidRPr="001B0951">
        <w:rPr>
          <w:rFonts w:ascii="Arial" w:hAnsi="Arial" w:cs="Arial"/>
          <w:sz w:val="22"/>
          <w:szCs w:val="22"/>
        </w:rPr>
        <w:t xml:space="preserve"> a změnou prováděcího předpisu k zákonu o zaměstnanosti</w:t>
      </w:r>
      <w:r w:rsidR="00423F35" w:rsidRPr="001B0951">
        <w:rPr>
          <w:rFonts w:ascii="Arial" w:hAnsi="Arial" w:cs="Arial"/>
          <w:sz w:val="22"/>
          <w:szCs w:val="22"/>
        </w:rPr>
        <w:t>, kterým je nařízení vlády</w:t>
      </w:r>
      <w:r w:rsidRPr="001B0951">
        <w:rPr>
          <w:rFonts w:ascii="Arial" w:hAnsi="Arial" w:cs="Arial"/>
          <w:sz w:val="22"/>
          <w:szCs w:val="22"/>
        </w:rPr>
        <w:t xml:space="preserve"> č.</w:t>
      </w:r>
      <w:r w:rsidR="00245154" w:rsidRPr="001B0951">
        <w:rPr>
          <w:rFonts w:ascii="Arial" w:hAnsi="Arial" w:cs="Arial"/>
          <w:sz w:val="22"/>
          <w:szCs w:val="22"/>
        </w:rPr>
        <w:t> </w:t>
      </w:r>
      <w:r w:rsidRPr="001B0951">
        <w:rPr>
          <w:rFonts w:ascii="Arial" w:hAnsi="Arial" w:cs="Arial"/>
          <w:sz w:val="22"/>
          <w:szCs w:val="22"/>
        </w:rPr>
        <w:t>515/2004 Sb.</w:t>
      </w:r>
      <w:r w:rsidR="000343DA">
        <w:rPr>
          <w:rFonts w:ascii="Arial" w:hAnsi="Arial" w:cs="Arial"/>
          <w:sz w:val="22"/>
          <w:szCs w:val="22"/>
        </w:rPr>
        <w:t>,</w:t>
      </w:r>
      <w:r w:rsidR="000343DA" w:rsidRPr="000343DA">
        <w:t xml:space="preserve"> </w:t>
      </w:r>
      <w:r w:rsidR="000343DA">
        <w:rPr>
          <w:rFonts w:ascii="Arial" w:hAnsi="Arial" w:cs="Arial"/>
          <w:sz w:val="22"/>
          <w:szCs w:val="22"/>
        </w:rPr>
        <w:t>o </w:t>
      </w:r>
      <w:r w:rsidR="000343DA" w:rsidRPr="000343DA">
        <w:rPr>
          <w:rFonts w:ascii="Arial" w:hAnsi="Arial" w:cs="Arial"/>
          <w:sz w:val="22"/>
          <w:szCs w:val="22"/>
        </w:rPr>
        <w:t>hmotné podpoře na vytváření nových pracovních míst a hmotné podpoře rekvalifikace nebo školení zaměstnanců v rámci investičních pobídek</w:t>
      </w:r>
      <w:r w:rsidR="000343DA">
        <w:rPr>
          <w:rFonts w:ascii="Arial" w:hAnsi="Arial" w:cs="Arial"/>
          <w:sz w:val="22"/>
          <w:szCs w:val="22"/>
        </w:rPr>
        <w:t>.</w:t>
      </w:r>
      <w:r w:rsidRPr="001B0951">
        <w:rPr>
          <w:rFonts w:ascii="Arial" w:hAnsi="Arial" w:cs="Arial"/>
          <w:sz w:val="22"/>
          <w:szCs w:val="22"/>
        </w:rPr>
        <w:t xml:space="preserve"> </w:t>
      </w:r>
      <w:r w:rsidR="00545760" w:rsidRPr="001B0951">
        <w:rPr>
          <w:rFonts w:ascii="Arial" w:hAnsi="Arial" w:cs="Arial"/>
          <w:sz w:val="22"/>
          <w:szCs w:val="22"/>
        </w:rPr>
        <w:t xml:space="preserve">V případě </w:t>
      </w:r>
      <w:r w:rsidR="00DE44C0" w:rsidRPr="001B0951">
        <w:rPr>
          <w:rFonts w:ascii="Arial" w:hAnsi="Arial" w:cs="Arial"/>
          <w:sz w:val="22"/>
          <w:szCs w:val="22"/>
        </w:rPr>
        <w:t>převedení nastavení parametrů podporovaných investic</w:t>
      </w:r>
      <w:r w:rsidR="00423F35" w:rsidRPr="001B0951">
        <w:rPr>
          <w:rFonts w:ascii="Arial" w:hAnsi="Arial" w:cs="Arial"/>
          <w:sz w:val="22"/>
          <w:szCs w:val="22"/>
        </w:rPr>
        <w:t xml:space="preserve"> z působnosti zákona</w:t>
      </w:r>
      <w:r w:rsidR="00DE44C0" w:rsidRPr="001B0951">
        <w:rPr>
          <w:rFonts w:ascii="Arial" w:hAnsi="Arial" w:cs="Arial"/>
          <w:sz w:val="22"/>
          <w:szCs w:val="22"/>
        </w:rPr>
        <w:t xml:space="preserve"> do působnosti nařízení vlády </w:t>
      </w:r>
      <w:r w:rsidR="00CE3E42" w:rsidRPr="001B0951">
        <w:rPr>
          <w:rFonts w:ascii="Arial" w:hAnsi="Arial" w:cs="Arial"/>
          <w:sz w:val="22"/>
          <w:szCs w:val="22"/>
        </w:rPr>
        <w:t>bude</w:t>
      </w:r>
      <w:r w:rsidR="00DE44C0" w:rsidRPr="001B0951">
        <w:rPr>
          <w:rFonts w:ascii="Arial" w:hAnsi="Arial" w:cs="Arial"/>
          <w:sz w:val="22"/>
          <w:szCs w:val="22"/>
        </w:rPr>
        <w:t xml:space="preserve"> dále nutné </w:t>
      </w:r>
      <w:r w:rsidR="008B1FAC" w:rsidRPr="001B0951">
        <w:rPr>
          <w:rFonts w:ascii="Arial" w:hAnsi="Arial" w:cs="Arial"/>
          <w:sz w:val="22"/>
          <w:szCs w:val="22"/>
        </w:rPr>
        <w:t>přijetí</w:t>
      </w:r>
      <w:r w:rsidR="00DE44C0" w:rsidRPr="001B0951">
        <w:rPr>
          <w:rFonts w:ascii="Arial" w:hAnsi="Arial" w:cs="Arial"/>
          <w:sz w:val="22"/>
          <w:szCs w:val="22"/>
        </w:rPr>
        <w:t xml:space="preserve"> i</w:t>
      </w:r>
      <w:r w:rsidR="00245154" w:rsidRPr="001B0951">
        <w:rPr>
          <w:rFonts w:ascii="Arial" w:hAnsi="Arial" w:cs="Arial"/>
          <w:sz w:val="22"/>
          <w:szCs w:val="22"/>
        </w:rPr>
        <w:t xml:space="preserve"> nového prováděcího předpisu k zákonu o investičních pobídkách, který by parametry podporovaných investic</w:t>
      </w:r>
      <w:r w:rsidR="00DE44C0" w:rsidRPr="001B0951">
        <w:rPr>
          <w:rFonts w:ascii="Arial" w:hAnsi="Arial" w:cs="Arial"/>
          <w:sz w:val="22"/>
          <w:szCs w:val="22"/>
        </w:rPr>
        <w:t xml:space="preserve"> stanovoval</w:t>
      </w:r>
      <w:r w:rsidR="00245154" w:rsidRPr="001B0951">
        <w:rPr>
          <w:rFonts w:ascii="Arial" w:hAnsi="Arial" w:cs="Arial"/>
          <w:sz w:val="22"/>
          <w:szCs w:val="22"/>
        </w:rPr>
        <w:t xml:space="preserve"> (výše investice a počet nově vytvořených pracovních míst).</w:t>
      </w:r>
    </w:p>
    <w:p w14:paraId="39D00969" w14:textId="28F0E4E2" w:rsidR="00794FC4" w:rsidRPr="001B0951" w:rsidRDefault="00794FC4" w:rsidP="00943108">
      <w:pPr>
        <w:pStyle w:val="Nadpis1"/>
      </w:pPr>
      <w:r w:rsidRPr="001B0951">
        <w:t xml:space="preserve">Předpokládaný hospodářský </w:t>
      </w:r>
      <w:r w:rsidR="00943108" w:rsidRPr="001B0951">
        <w:t>dopad</w:t>
      </w:r>
    </w:p>
    <w:p w14:paraId="2D5E0649" w14:textId="7DBD186E" w:rsidR="000F3887" w:rsidRPr="001B0951" w:rsidRDefault="00E51B7A" w:rsidP="00402236">
      <w:pPr>
        <w:spacing w:before="360" w:after="240"/>
        <w:jc w:val="both"/>
        <w:rPr>
          <w:rFonts w:ascii="Arial" w:hAnsi="Arial" w:cs="Arial"/>
          <w:bCs/>
          <w:sz w:val="22"/>
          <w:szCs w:val="22"/>
        </w:rPr>
      </w:pPr>
      <w:r w:rsidRPr="001B0951">
        <w:rPr>
          <w:rFonts w:ascii="Arial" w:hAnsi="Arial" w:cs="Arial"/>
          <w:bCs/>
          <w:sz w:val="22"/>
          <w:szCs w:val="22"/>
        </w:rPr>
        <w:t xml:space="preserve">U předkládaných návrhů změn se </w:t>
      </w:r>
      <w:r w:rsidR="00186619" w:rsidRPr="001B0951">
        <w:rPr>
          <w:rFonts w:ascii="Arial" w:hAnsi="Arial" w:cs="Arial"/>
          <w:bCs/>
          <w:sz w:val="22"/>
          <w:szCs w:val="22"/>
        </w:rPr>
        <w:t xml:space="preserve">předběžně </w:t>
      </w:r>
      <w:r w:rsidRPr="001B0951">
        <w:rPr>
          <w:rFonts w:ascii="Arial" w:hAnsi="Arial" w:cs="Arial"/>
          <w:b/>
          <w:bCs/>
          <w:sz w:val="22"/>
          <w:szCs w:val="22"/>
        </w:rPr>
        <w:t xml:space="preserve">nepředpokládá zvýšení </w:t>
      </w:r>
      <w:r w:rsidR="00592498">
        <w:rPr>
          <w:rFonts w:ascii="Arial" w:hAnsi="Arial" w:cs="Arial"/>
          <w:b/>
          <w:bCs/>
          <w:sz w:val="22"/>
          <w:szCs w:val="22"/>
        </w:rPr>
        <w:t>výdajů</w:t>
      </w:r>
      <w:r w:rsidRPr="001B0951">
        <w:rPr>
          <w:rFonts w:ascii="Arial" w:hAnsi="Arial" w:cs="Arial"/>
          <w:b/>
          <w:bCs/>
          <w:sz w:val="22"/>
          <w:szCs w:val="22"/>
        </w:rPr>
        <w:t xml:space="preserve"> státního rozpočtu</w:t>
      </w:r>
      <w:r w:rsidRPr="001B0951">
        <w:rPr>
          <w:rFonts w:ascii="Arial" w:hAnsi="Arial" w:cs="Arial"/>
          <w:bCs/>
          <w:sz w:val="22"/>
          <w:szCs w:val="22"/>
        </w:rPr>
        <w:t xml:space="preserve">. Navrhované změny sice mají za cíl zvýšit počet projektů s vyšší přidanou hodnotou (technologická centra, strategické služby), na druhou stranu ale dojde k omezení podpory výrobních projektů, kde proto </w:t>
      </w:r>
      <w:r w:rsidR="006E22ED" w:rsidRPr="001B0951">
        <w:rPr>
          <w:rFonts w:ascii="Arial" w:hAnsi="Arial" w:cs="Arial"/>
          <w:bCs/>
          <w:sz w:val="22"/>
          <w:szCs w:val="22"/>
        </w:rPr>
        <w:t>předpokládáme</w:t>
      </w:r>
      <w:r w:rsidRPr="001B0951">
        <w:rPr>
          <w:rFonts w:ascii="Arial" w:hAnsi="Arial" w:cs="Arial"/>
          <w:bCs/>
          <w:sz w:val="22"/>
          <w:szCs w:val="22"/>
        </w:rPr>
        <w:t xml:space="preserve"> pokles počtu podpořených projektů. </w:t>
      </w:r>
      <w:r w:rsidR="000F3887" w:rsidRPr="001B0951">
        <w:rPr>
          <w:rFonts w:ascii="Arial" w:hAnsi="Arial" w:cs="Arial"/>
          <w:bCs/>
          <w:sz w:val="22"/>
          <w:szCs w:val="22"/>
        </w:rPr>
        <w:t>Posílením dotačních prvků podpory</w:t>
      </w:r>
      <w:r w:rsidR="00722B61" w:rsidRPr="001B0951">
        <w:rPr>
          <w:rFonts w:ascii="Arial" w:hAnsi="Arial" w:cs="Arial"/>
          <w:bCs/>
          <w:sz w:val="22"/>
          <w:szCs w:val="22"/>
        </w:rPr>
        <w:t xml:space="preserve"> </w:t>
      </w:r>
      <w:r w:rsidR="000F3887" w:rsidRPr="001B0951">
        <w:rPr>
          <w:rFonts w:ascii="Arial" w:hAnsi="Arial" w:cs="Arial"/>
          <w:bCs/>
          <w:sz w:val="22"/>
          <w:szCs w:val="22"/>
        </w:rPr>
        <w:t xml:space="preserve">na úkor daňových nedojde ke zvýšení </w:t>
      </w:r>
      <w:r w:rsidR="00592498">
        <w:rPr>
          <w:rFonts w:ascii="Arial" w:hAnsi="Arial" w:cs="Arial"/>
          <w:bCs/>
          <w:sz w:val="22"/>
          <w:szCs w:val="22"/>
        </w:rPr>
        <w:t>výdajů</w:t>
      </w:r>
      <w:r w:rsidR="000F3887" w:rsidRPr="001B0951">
        <w:rPr>
          <w:rFonts w:ascii="Arial" w:hAnsi="Arial" w:cs="Arial"/>
          <w:bCs/>
          <w:sz w:val="22"/>
          <w:szCs w:val="22"/>
        </w:rPr>
        <w:t xml:space="preserve"> státního </w:t>
      </w:r>
      <w:r w:rsidR="000F3887" w:rsidRPr="001B0951">
        <w:rPr>
          <w:rFonts w:ascii="Arial" w:hAnsi="Arial" w:cs="Arial"/>
          <w:bCs/>
          <w:sz w:val="22"/>
          <w:szCs w:val="22"/>
        </w:rPr>
        <w:lastRenderedPageBreak/>
        <w:t xml:space="preserve">rozpočtu, ale pouze k posunu čerpání podpory v čase (dotace bude vyplacena dříve, než by došlo k čerpání pobídky formou slevy na dani z příjmů). </w:t>
      </w:r>
    </w:p>
    <w:p w14:paraId="6CC5FE22" w14:textId="4A1D7D6F" w:rsidR="00B57FE6" w:rsidRPr="001B0951" w:rsidRDefault="000F3887" w:rsidP="00402236">
      <w:pPr>
        <w:spacing w:after="240"/>
        <w:jc w:val="both"/>
        <w:rPr>
          <w:rFonts w:ascii="Arial" w:hAnsi="Arial" w:cs="Arial"/>
          <w:bCs/>
          <w:sz w:val="22"/>
          <w:szCs w:val="22"/>
        </w:rPr>
      </w:pPr>
      <w:r w:rsidRPr="001B0951">
        <w:rPr>
          <w:rFonts w:ascii="Arial" w:hAnsi="Arial" w:cs="Arial"/>
          <w:bCs/>
          <w:sz w:val="22"/>
          <w:szCs w:val="22"/>
        </w:rPr>
        <w:t xml:space="preserve">Dále lze předpokládat </w:t>
      </w:r>
      <w:r w:rsidR="00635955" w:rsidRPr="001B0951">
        <w:rPr>
          <w:rFonts w:ascii="Arial" w:hAnsi="Arial" w:cs="Arial"/>
          <w:bCs/>
          <w:sz w:val="22"/>
          <w:szCs w:val="22"/>
        </w:rPr>
        <w:t xml:space="preserve">zvýšení inkasa státu </w:t>
      </w:r>
      <w:r w:rsidR="002137B4" w:rsidRPr="001B0951">
        <w:rPr>
          <w:rFonts w:ascii="Arial" w:hAnsi="Arial" w:cs="Arial"/>
          <w:bCs/>
          <w:sz w:val="22"/>
          <w:szCs w:val="22"/>
        </w:rPr>
        <w:t>z titulu</w:t>
      </w:r>
      <w:r w:rsidR="00AC3ABD" w:rsidRPr="001B0951">
        <w:rPr>
          <w:rFonts w:ascii="Arial" w:hAnsi="Arial" w:cs="Arial"/>
          <w:bCs/>
          <w:sz w:val="22"/>
          <w:szCs w:val="22"/>
        </w:rPr>
        <w:t xml:space="preserve"> investičních pobídek, neboť podpora bude soustředěna na projekty s vyšší přidanou hodnotou, které by měly být doprovázeny vyššími tržbami i vyššími mzdami, z nichž poplynou i vyšší příjmy do</w:t>
      </w:r>
      <w:r w:rsidRPr="001B0951">
        <w:rPr>
          <w:rFonts w:ascii="Arial" w:hAnsi="Arial" w:cs="Arial"/>
          <w:bCs/>
          <w:sz w:val="22"/>
          <w:szCs w:val="22"/>
        </w:rPr>
        <w:t xml:space="preserve"> státního rozpoč</w:t>
      </w:r>
      <w:r w:rsidR="00AC3ABD" w:rsidRPr="001B0951">
        <w:rPr>
          <w:rFonts w:ascii="Arial" w:hAnsi="Arial" w:cs="Arial"/>
          <w:bCs/>
          <w:sz w:val="22"/>
          <w:szCs w:val="22"/>
        </w:rPr>
        <w:t>tu</w:t>
      </w:r>
      <w:r w:rsidR="00635955" w:rsidRPr="001B0951">
        <w:rPr>
          <w:rFonts w:ascii="Arial" w:hAnsi="Arial" w:cs="Arial"/>
          <w:bCs/>
          <w:sz w:val="22"/>
          <w:szCs w:val="22"/>
        </w:rPr>
        <w:t xml:space="preserve"> (příjmy ze sociální</w:t>
      </w:r>
      <w:r w:rsidR="0039745C" w:rsidRPr="001B0951">
        <w:rPr>
          <w:rFonts w:ascii="Arial" w:hAnsi="Arial" w:cs="Arial"/>
          <w:bCs/>
          <w:sz w:val="22"/>
          <w:szCs w:val="22"/>
        </w:rPr>
        <w:t>ho pojištění a daní z příjm</w:t>
      </w:r>
      <w:r w:rsidR="00485F14" w:rsidRPr="001B0951">
        <w:rPr>
          <w:rFonts w:ascii="Arial" w:hAnsi="Arial" w:cs="Arial"/>
          <w:bCs/>
          <w:sz w:val="22"/>
          <w:szCs w:val="22"/>
        </w:rPr>
        <w:t>ů fyzických osob, daní</w:t>
      </w:r>
      <w:r w:rsidR="0039745C" w:rsidRPr="001B0951">
        <w:rPr>
          <w:rFonts w:ascii="Arial" w:hAnsi="Arial" w:cs="Arial"/>
          <w:bCs/>
          <w:sz w:val="22"/>
          <w:szCs w:val="22"/>
        </w:rPr>
        <w:t xml:space="preserve"> z příjmů právnických osob </w:t>
      </w:r>
      <w:r w:rsidR="00635955" w:rsidRPr="001B0951">
        <w:rPr>
          <w:rFonts w:ascii="Arial" w:hAnsi="Arial" w:cs="Arial"/>
          <w:bCs/>
          <w:sz w:val="22"/>
          <w:szCs w:val="22"/>
        </w:rPr>
        <w:t>i</w:t>
      </w:r>
      <w:r w:rsidR="00485F14" w:rsidRPr="001B0951">
        <w:rPr>
          <w:rFonts w:ascii="Arial" w:hAnsi="Arial" w:cs="Arial"/>
          <w:bCs/>
          <w:sz w:val="22"/>
          <w:szCs w:val="22"/>
        </w:rPr>
        <w:t xml:space="preserve"> nepřímých daní</w:t>
      </w:r>
      <w:r w:rsidR="004B61BE" w:rsidRPr="001B0951">
        <w:rPr>
          <w:rFonts w:ascii="Arial" w:hAnsi="Arial" w:cs="Arial"/>
          <w:bCs/>
          <w:sz w:val="22"/>
          <w:szCs w:val="22"/>
        </w:rPr>
        <w:t xml:space="preserve"> z vyšší produktivity nových investic</w:t>
      </w:r>
      <w:r w:rsidR="00635955" w:rsidRPr="001B0951">
        <w:rPr>
          <w:rFonts w:ascii="Arial" w:hAnsi="Arial" w:cs="Arial"/>
          <w:bCs/>
          <w:sz w:val="22"/>
          <w:szCs w:val="22"/>
        </w:rPr>
        <w:t>)</w:t>
      </w:r>
      <w:r w:rsidR="0039745C" w:rsidRPr="001B0951">
        <w:rPr>
          <w:rFonts w:ascii="Arial" w:hAnsi="Arial" w:cs="Arial"/>
          <w:bCs/>
          <w:sz w:val="22"/>
          <w:szCs w:val="22"/>
        </w:rPr>
        <w:t>.</w:t>
      </w:r>
    </w:p>
    <w:p w14:paraId="3A3B4105" w14:textId="7D17587C" w:rsidR="004B61BE" w:rsidRPr="001B0951" w:rsidRDefault="00F8592C" w:rsidP="00402236">
      <w:pPr>
        <w:spacing w:after="240"/>
        <w:jc w:val="both"/>
        <w:rPr>
          <w:rFonts w:ascii="Arial" w:hAnsi="Arial" w:cs="Arial"/>
          <w:bCs/>
          <w:sz w:val="22"/>
          <w:szCs w:val="22"/>
        </w:rPr>
      </w:pPr>
      <w:r w:rsidRPr="001B0951">
        <w:rPr>
          <w:rFonts w:ascii="Arial" w:hAnsi="Arial" w:cs="Arial"/>
          <w:bCs/>
          <w:sz w:val="22"/>
          <w:szCs w:val="22"/>
        </w:rPr>
        <w:t xml:space="preserve">Z hlediska dopadu na </w:t>
      </w:r>
      <w:r w:rsidR="00F14E48" w:rsidRPr="001B0951">
        <w:rPr>
          <w:rFonts w:ascii="Arial" w:hAnsi="Arial" w:cs="Arial"/>
          <w:b/>
          <w:bCs/>
          <w:sz w:val="22"/>
          <w:szCs w:val="22"/>
        </w:rPr>
        <w:t xml:space="preserve">podnikatelské a investiční prostředí </w:t>
      </w:r>
      <w:r w:rsidR="00F14E48" w:rsidRPr="001B0951">
        <w:rPr>
          <w:rFonts w:ascii="Arial" w:hAnsi="Arial" w:cs="Arial"/>
          <w:bCs/>
          <w:sz w:val="22"/>
          <w:szCs w:val="22"/>
        </w:rPr>
        <w:t>v České republice</w:t>
      </w:r>
      <w:r w:rsidRPr="001B0951">
        <w:rPr>
          <w:rFonts w:ascii="Arial" w:hAnsi="Arial" w:cs="Arial"/>
          <w:bCs/>
          <w:sz w:val="22"/>
          <w:szCs w:val="22"/>
        </w:rPr>
        <w:t xml:space="preserve"> budou mít navrhované změny pozitivní dopad.</w:t>
      </w:r>
      <w:r w:rsidR="00F14E48" w:rsidRPr="001B0951">
        <w:rPr>
          <w:rFonts w:ascii="Arial" w:hAnsi="Arial" w:cs="Arial"/>
          <w:bCs/>
          <w:sz w:val="22"/>
          <w:szCs w:val="22"/>
        </w:rPr>
        <w:t xml:space="preserve"> </w:t>
      </w:r>
      <w:r w:rsidR="004B61BE" w:rsidRPr="001B0951">
        <w:rPr>
          <w:rFonts w:ascii="Arial" w:hAnsi="Arial" w:cs="Arial"/>
          <w:bCs/>
          <w:sz w:val="22"/>
          <w:szCs w:val="22"/>
        </w:rPr>
        <w:t xml:space="preserve">Dojde k navýšení dotační formy podpory pro </w:t>
      </w:r>
      <w:r w:rsidRPr="001B0951">
        <w:rPr>
          <w:rFonts w:ascii="Arial" w:hAnsi="Arial" w:cs="Arial"/>
          <w:bCs/>
          <w:sz w:val="22"/>
          <w:szCs w:val="22"/>
        </w:rPr>
        <w:t xml:space="preserve">ty investiční akce, kde je </w:t>
      </w:r>
      <w:r w:rsidR="006A06DD" w:rsidRPr="001B0951">
        <w:rPr>
          <w:rFonts w:ascii="Arial" w:hAnsi="Arial" w:cs="Arial"/>
          <w:bCs/>
          <w:sz w:val="22"/>
          <w:szCs w:val="22"/>
        </w:rPr>
        <w:t xml:space="preserve">největší </w:t>
      </w:r>
      <w:r w:rsidRPr="001B0951">
        <w:rPr>
          <w:rFonts w:ascii="Arial" w:hAnsi="Arial" w:cs="Arial"/>
          <w:bCs/>
          <w:sz w:val="22"/>
          <w:szCs w:val="22"/>
        </w:rPr>
        <w:t xml:space="preserve">předpoklad realizace přidané hodnoty v naší zemi (technologická centra, centra strategických služeb). Dále dojde </w:t>
      </w:r>
      <w:r w:rsidR="004B61BE" w:rsidRPr="001B0951">
        <w:rPr>
          <w:rFonts w:ascii="Arial" w:hAnsi="Arial" w:cs="Arial"/>
          <w:bCs/>
          <w:sz w:val="22"/>
          <w:szCs w:val="22"/>
        </w:rPr>
        <w:t>k odstranění některých administrativních překážek při zaměstnávání nových pracovníků v rámci realizace podpořených investic. Bude zavedena možnost zaměstnat na nových pracovních místech pracovníky na částečné úvazky či dlouhodobě pobývající rezidenty, čímž se usnadní situace zaměstnavatelů při získávání nových pracovníků</w:t>
      </w:r>
      <w:r w:rsidR="00470FC5" w:rsidRPr="001B0951">
        <w:rPr>
          <w:rFonts w:ascii="Arial" w:hAnsi="Arial" w:cs="Arial"/>
          <w:bCs/>
          <w:sz w:val="22"/>
          <w:szCs w:val="22"/>
        </w:rPr>
        <w:t xml:space="preserve"> v rámci investičních pobídek. </w:t>
      </w:r>
    </w:p>
    <w:p w14:paraId="52DA17D5" w14:textId="7A11AEBB" w:rsidR="00C5372C" w:rsidRDefault="0089498F" w:rsidP="00402236">
      <w:pPr>
        <w:spacing w:after="240"/>
        <w:jc w:val="both"/>
        <w:rPr>
          <w:rFonts w:ascii="Arial" w:hAnsi="Arial" w:cs="Arial"/>
          <w:bCs/>
          <w:sz w:val="22"/>
          <w:szCs w:val="22"/>
        </w:rPr>
      </w:pPr>
      <w:r w:rsidRPr="001B0951">
        <w:rPr>
          <w:rFonts w:ascii="Arial" w:hAnsi="Arial" w:cs="Arial"/>
          <w:bCs/>
          <w:sz w:val="22"/>
          <w:szCs w:val="22"/>
        </w:rPr>
        <w:t>Navrhovan</w:t>
      </w:r>
      <w:r w:rsidR="00470FC5" w:rsidRPr="001B0951">
        <w:rPr>
          <w:rFonts w:ascii="Arial" w:hAnsi="Arial" w:cs="Arial"/>
          <w:bCs/>
          <w:sz w:val="22"/>
          <w:szCs w:val="22"/>
        </w:rPr>
        <w:t>á úprava systému investičních pobídek</w:t>
      </w:r>
      <w:r w:rsidR="00095C85" w:rsidRPr="001B0951">
        <w:rPr>
          <w:rFonts w:ascii="Arial" w:hAnsi="Arial" w:cs="Arial"/>
          <w:bCs/>
          <w:sz w:val="22"/>
          <w:szCs w:val="22"/>
        </w:rPr>
        <w:t xml:space="preserve"> nepředpoklád</w:t>
      </w:r>
      <w:r w:rsidR="00470FC5" w:rsidRPr="001B0951">
        <w:rPr>
          <w:rFonts w:ascii="Arial" w:hAnsi="Arial" w:cs="Arial"/>
          <w:bCs/>
          <w:sz w:val="22"/>
          <w:szCs w:val="22"/>
        </w:rPr>
        <w:t>á</w:t>
      </w:r>
      <w:r w:rsidR="00C5372C" w:rsidRPr="001B0951">
        <w:rPr>
          <w:rFonts w:ascii="Arial" w:hAnsi="Arial" w:cs="Arial"/>
          <w:bCs/>
          <w:sz w:val="22"/>
          <w:szCs w:val="22"/>
        </w:rPr>
        <w:t xml:space="preserve"> </w:t>
      </w:r>
      <w:r w:rsidRPr="001B0951">
        <w:rPr>
          <w:rFonts w:ascii="Arial" w:hAnsi="Arial" w:cs="Arial"/>
          <w:bCs/>
          <w:sz w:val="22"/>
          <w:szCs w:val="22"/>
        </w:rPr>
        <w:t xml:space="preserve">žádné </w:t>
      </w:r>
      <w:r w:rsidR="00C5372C" w:rsidRPr="001B0951">
        <w:rPr>
          <w:rFonts w:ascii="Arial" w:hAnsi="Arial" w:cs="Arial"/>
          <w:bCs/>
          <w:sz w:val="22"/>
          <w:szCs w:val="22"/>
        </w:rPr>
        <w:t>dopad</w:t>
      </w:r>
      <w:r w:rsidRPr="001B0951">
        <w:rPr>
          <w:rFonts w:ascii="Arial" w:hAnsi="Arial" w:cs="Arial"/>
          <w:bCs/>
          <w:sz w:val="22"/>
          <w:szCs w:val="22"/>
        </w:rPr>
        <w:t>y</w:t>
      </w:r>
      <w:r w:rsidR="005F0A7A">
        <w:rPr>
          <w:rFonts w:ascii="Arial" w:hAnsi="Arial" w:cs="Arial"/>
          <w:bCs/>
          <w:sz w:val="22"/>
          <w:szCs w:val="22"/>
        </w:rPr>
        <w:t xml:space="preserve"> na životní prostředí. </w:t>
      </w:r>
    </w:p>
    <w:p w14:paraId="260DCA2C" w14:textId="181DBE33" w:rsidR="005F0A7A" w:rsidRDefault="005F0A7A" w:rsidP="00402236">
      <w:pPr>
        <w:spacing w:after="240"/>
        <w:jc w:val="both"/>
        <w:rPr>
          <w:rFonts w:ascii="Arial" w:hAnsi="Arial" w:cs="Arial"/>
          <w:bCs/>
          <w:sz w:val="22"/>
          <w:szCs w:val="22"/>
        </w:rPr>
      </w:pPr>
      <w:r w:rsidRPr="00550458">
        <w:rPr>
          <w:rFonts w:ascii="Arial" w:hAnsi="Arial" w:cs="Arial"/>
          <w:bCs/>
          <w:sz w:val="22"/>
          <w:szCs w:val="22"/>
        </w:rPr>
        <w:t xml:space="preserve">Zvažovaná opatření nebudou mít vliv na </w:t>
      </w:r>
      <w:proofErr w:type="gramStart"/>
      <w:r w:rsidRPr="00550458">
        <w:rPr>
          <w:rFonts w:ascii="Arial" w:hAnsi="Arial" w:cs="Arial"/>
          <w:bCs/>
          <w:sz w:val="22"/>
          <w:szCs w:val="22"/>
        </w:rPr>
        <w:t>statní</w:t>
      </w:r>
      <w:proofErr w:type="gramEnd"/>
      <w:r w:rsidRPr="00550458">
        <w:rPr>
          <w:rFonts w:ascii="Arial" w:hAnsi="Arial" w:cs="Arial"/>
          <w:bCs/>
          <w:sz w:val="22"/>
          <w:szCs w:val="22"/>
        </w:rPr>
        <w:t xml:space="preserve"> rozpočet pro oblast </w:t>
      </w:r>
      <w:r w:rsidR="00D41770">
        <w:rPr>
          <w:rFonts w:ascii="Arial" w:hAnsi="Arial" w:cs="Arial"/>
          <w:bCs/>
          <w:sz w:val="22"/>
          <w:szCs w:val="22"/>
        </w:rPr>
        <w:t>výzkumu, vývoje a inovací</w:t>
      </w:r>
      <w:r w:rsidRPr="00550458">
        <w:rPr>
          <w:rFonts w:ascii="Arial" w:hAnsi="Arial" w:cs="Arial"/>
          <w:bCs/>
          <w:sz w:val="22"/>
          <w:szCs w:val="22"/>
        </w:rPr>
        <w:t>.</w:t>
      </w:r>
      <w:r>
        <w:rPr>
          <w:rFonts w:ascii="Arial" w:hAnsi="Arial" w:cs="Arial"/>
          <w:bCs/>
          <w:sz w:val="22"/>
          <w:szCs w:val="22"/>
        </w:rPr>
        <w:t xml:space="preserve"> </w:t>
      </w:r>
    </w:p>
    <w:p w14:paraId="09F71223" w14:textId="41D219C7" w:rsidR="00C36C74" w:rsidRPr="001B0951" w:rsidRDefault="00C36C74" w:rsidP="00402236">
      <w:pPr>
        <w:spacing w:after="240"/>
        <w:jc w:val="both"/>
        <w:rPr>
          <w:rFonts w:ascii="Arial" w:hAnsi="Arial" w:cs="Arial"/>
          <w:bCs/>
          <w:sz w:val="22"/>
          <w:szCs w:val="22"/>
        </w:rPr>
      </w:pPr>
      <w:r w:rsidRPr="00550458">
        <w:rPr>
          <w:rFonts w:ascii="Arial" w:hAnsi="Arial" w:cs="Arial"/>
          <w:bCs/>
          <w:sz w:val="22"/>
          <w:szCs w:val="22"/>
        </w:rPr>
        <w:t>Systém investičních pobídek se svým zaměřením nepřekrývá s programy financovanými z ESI fondů a nebude tedy docházet ke dvojímu financování stejných aktivit.</w:t>
      </w:r>
    </w:p>
    <w:p w14:paraId="497C0A5B" w14:textId="6D434FD0" w:rsidR="00AE3159" w:rsidRPr="001B0951" w:rsidRDefault="00470FC5" w:rsidP="00402236">
      <w:pPr>
        <w:spacing w:after="240"/>
        <w:jc w:val="both"/>
        <w:rPr>
          <w:rFonts w:ascii="Arial" w:hAnsi="Arial" w:cs="Arial"/>
          <w:bCs/>
          <w:sz w:val="22"/>
          <w:szCs w:val="22"/>
        </w:rPr>
      </w:pPr>
      <w:r w:rsidRPr="001B0951">
        <w:rPr>
          <w:rFonts w:ascii="Arial" w:hAnsi="Arial" w:cs="Arial"/>
          <w:bCs/>
          <w:sz w:val="22"/>
          <w:szCs w:val="22"/>
        </w:rPr>
        <w:t>Systém investičních pobídek, ani žádná z navrhovaných změn,</w:t>
      </w:r>
      <w:r w:rsidR="00943108" w:rsidRPr="001B0951">
        <w:rPr>
          <w:rFonts w:ascii="Arial" w:hAnsi="Arial" w:cs="Arial"/>
          <w:bCs/>
          <w:sz w:val="22"/>
          <w:szCs w:val="22"/>
        </w:rPr>
        <w:t xml:space="preserve"> neupravuje vztahy, které by se dotýkaly zákazu diskriminace (ve smyslu antidiskriminačního zákona jde o nerovné zacházení či znevýhodnění některé osoby z důvodu rasy, etnického původu, národnosti, pohlaví, sexuální orientace, věku, zdravotního postižení, náboženského vyznání, víry či světového názoru). Lze proto konstatovat, že navrhované řešení nemá žádné dopady ve vztahu k zákazu diskriminace.  Z hlediska rovnosti žen a mužů je návrh neutrální, neboť navrhovaná úprava je pro obě pohlaví stejná.</w:t>
      </w:r>
    </w:p>
    <w:p w14:paraId="049C08FC" w14:textId="1A366CF7" w:rsidR="00186619" w:rsidRPr="001B0951" w:rsidRDefault="00CE3E42" w:rsidP="00402236">
      <w:pPr>
        <w:spacing w:after="240"/>
        <w:jc w:val="both"/>
        <w:rPr>
          <w:rFonts w:ascii="Arial" w:hAnsi="Arial" w:cs="Arial"/>
          <w:bCs/>
          <w:sz w:val="22"/>
          <w:szCs w:val="22"/>
        </w:rPr>
      </w:pPr>
      <w:r w:rsidRPr="001B0951">
        <w:rPr>
          <w:rFonts w:ascii="Arial" w:hAnsi="Arial" w:cs="Arial"/>
          <w:bCs/>
          <w:sz w:val="22"/>
          <w:szCs w:val="22"/>
        </w:rPr>
        <w:t>Bližší</w:t>
      </w:r>
      <w:r w:rsidR="00186619" w:rsidRPr="001B0951">
        <w:rPr>
          <w:rFonts w:ascii="Arial" w:hAnsi="Arial" w:cs="Arial"/>
          <w:bCs/>
          <w:sz w:val="22"/>
          <w:szCs w:val="22"/>
        </w:rPr>
        <w:t xml:space="preserve"> zhodnocení dopadů zvažovaných změn bude součástí hodnocení dopadů regulace, které bude zpracováno v souladu s Obecnými zásadami pro hodnocení dopadů regulaci při přípravě návrhu zákona, který</w:t>
      </w:r>
      <w:r w:rsidR="00B25575" w:rsidRPr="001B0951">
        <w:rPr>
          <w:rFonts w:ascii="Arial" w:hAnsi="Arial" w:cs="Arial"/>
          <w:bCs/>
          <w:sz w:val="22"/>
          <w:szCs w:val="22"/>
        </w:rPr>
        <w:t>m</w:t>
      </w:r>
      <w:r w:rsidR="00186619" w:rsidRPr="001B0951">
        <w:rPr>
          <w:rFonts w:ascii="Arial" w:hAnsi="Arial" w:cs="Arial"/>
          <w:bCs/>
          <w:sz w:val="22"/>
          <w:szCs w:val="22"/>
        </w:rPr>
        <w:t xml:space="preserve"> by</w:t>
      </w:r>
      <w:r w:rsidR="00B25575" w:rsidRPr="001B0951">
        <w:rPr>
          <w:rFonts w:ascii="Arial" w:hAnsi="Arial" w:cs="Arial"/>
          <w:bCs/>
          <w:sz w:val="22"/>
          <w:szCs w:val="22"/>
        </w:rPr>
        <w:t xml:space="preserve"> se</w:t>
      </w:r>
      <w:r w:rsidR="00186619" w:rsidRPr="001B0951">
        <w:rPr>
          <w:rFonts w:ascii="Arial" w:hAnsi="Arial" w:cs="Arial"/>
          <w:bCs/>
          <w:sz w:val="22"/>
          <w:szCs w:val="22"/>
        </w:rPr>
        <w:t xml:space="preserve"> měnil zákon o investičních pobídkách a příp. i další související předpisy.</w:t>
      </w:r>
    </w:p>
    <w:p w14:paraId="5D606F18" w14:textId="77777777" w:rsidR="00722B61" w:rsidRPr="001B0951" w:rsidRDefault="00722B61" w:rsidP="00722B61">
      <w:pPr>
        <w:pStyle w:val="Nadpis1"/>
      </w:pPr>
      <w:r w:rsidRPr="001B0951">
        <w:t xml:space="preserve">Zhodnocení slučitelnosti s předpisy Evropské Unie </w:t>
      </w:r>
    </w:p>
    <w:p w14:paraId="5792D12C" w14:textId="77777777" w:rsidR="00722B61" w:rsidRPr="001B0951" w:rsidRDefault="00722B61" w:rsidP="00722B61">
      <w:pPr>
        <w:spacing w:before="360" w:after="120"/>
        <w:jc w:val="both"/>
        <w:rPr>
          <w:rFonts w:ascii="Arial" w:hAnsi="Arial" w:cs="Arial"/>
          <w:bCs/>
          <w:sz w:val="22"/>
          <w:szCs w:val="22"/>
        </w:rPr>
      </w:pPr>
      <w:r w:rsidRPr="001B0951">
        <w:rPr>
          <w:rFonts w:ascii="Arial" w:hAnsi="Arial" w:cs="Arial"/>
          <w:bCs/>
          <w:sz w:val="22"/>
          <w:szCs w:val="22"/>
        </w:rPr>
        <w:t>Zákona o investičních pobídkách se dotýkají tyto právní akty Evropské unie:</w:t>
      </w:r>
    </w:p>
    <w:p w14:paraId="366F5C94" w14:textId="77777777" w:rsidR="00722B61" w:rsidRPr="001B0951" w:rsidRDefault="00722B61" w:rsidP="00722B61">
      <w:pPr>
        <w:pStyle w:val="Odstavecseseznamem"/>
        <w:numPr>
          <w:ilvl w:val="0"/>
          <w:numId w:val="21"/>
        </w:numPr>
        <w:spacing w:after="120"/>
        <w:ind w:left="567" w:hanging="425"/>
        <w:contextualSpacing w:val="0"/>
        <w:jc w:val="both"/>
        <w:rPr>
          <w:rFonts w:ascii="Arial" w:hAnsi="Arial" w:cs="Arial"/>
          <w:bCs/>
          <w:sz w:val="22"/>
          <w:szCs w:val="22"/>
        </w:rPr>
      </w:pPr>
      <w:r w:rsidRPr="001B0951">
        <w:rPr>
          <w:rFonts w:ascii="Arial" w:hAnsi="Arial" w:cs="Arial"/>
          <w:bCs/>
          <w:sz w:val="22"/>
          <w:szCs w:val="22"/>
        </w:rPr>
        <w:t>Smlouva o fungování Evropské unie, zejména čl. 107 a čl. 108 této smlouvy,</w:t>
      </w:r>
    </w:p>
    <w:p w14:paraId="693F5A34" w14:textId="77777777" w:rsidR="00722B61" w:rsidRDefault="00722B61" w:rsidP="00722B61">
      <w:pPr>
        <w:pStyle w:val="Odstavecseseznamem"/>
        <w:numPr>
          <w:ilvl w:val="0"/>
          <w:numId w:val="21"/>
        </w:numPr>
        <w:spacing w:after="120"/>
        <w:ind w:left="567" w:hanging="425"/>
        <w:contextualSpacing w:val="0"/>
        <w:jc w:val="both"/>
        <w:rPr>
          <w:rFonts w:ascii="Arial" w:hAnsi="Arial" w:cs="Arial"/>
          <w:bCs/>
          <w:sz w:val="22"/>
          <w:szCs w:val="22"/>
        </w:rPr>
      </w:pPr>
      <w:r w:rsidRPr="001B0951">
        <w:rPr>
          <w:rFonts w:ascii="Arial" w:hAnsi="Arial" w:cs="Arial"/>
          <w:bCs/>
          <w:sz w:val="22"/>
          <w:szCs w:val="22"/>
        </w:rPr>
        <w:t>Nařízení Komise (EU) č. 651/2014 ze dne 17. června 2014, kterým se v souladu s články 107 a 108 Smlouvy prohlašují určité kategorie podpory za slučitelné s vnitřním trhem,</w:t>
      </w:r>
    </w:p>
    <w:p w14:paraId="4BFCB03C" w14:textId="639BBC90" w:rsidR="003D4A51" w:rsidRPr="00550458" w:rsidRDefault="003D4A51" w:rsidP="00722B61">
      <w:pPr>
        <w:pStyle w:val="Odstavecseseznamem"/>
        <w:numPr>
          <w:ilvl w:val="0"/>
          <w:numId w:val="21"/>
        </w:numPr>
        <w:spacing w:after="120"/>
        <w:ind w:left="567" w:hanging="425"/>
        <w:contextualSpacing w:val="0"/>
        <w:jc w:val="both"/>
        <w:rPr>
          <w:rFonts w:ascii="Arial" w:hAnsi="Arial" w:cs="Arial"/>
          <w:bCs/>
          <w:sz w:val="22"/>
          <w:szCs w:val="22"/>
        </w:rPr>
      </w:pPr>
      <w:r w:rsidRPr="00550458">
        <w:rPr>
          <w:rFonts w:ascii="Arial" w:hAnsi="Arial" w:cs="Arial"/>
          <w:bCs/>
          <w:sz w:val="22"/>
          <w:szCs w:val="22"/>
        </w:rPr>
        <w:t xml:space="preserve">Nařízení Komise (EU) 2017/1084 ze dne 14. června 2017, kterým se mění nařízení </w:t>
      </w:r>
      <w:r w:rsidR="00FA6C0C" w:rsidRPr="00550458">
        <w:rPr>
          <w:rFonts w:ascii="Arial" w:hAnsi="Arial" w:cs="Arial"/>
          <w:bCs/>
          <w:sz w:val="22"/>
          <w:szCs w:val="22"/>
        </w:rPr>
        <w:t xml:space="preserve">Komise </w:t>
      </w:r>
      <w:r w:rsidRPr="00550458">
        <w:rPr>
          <w:rFonts w:ascii="Arial" w:hAnsi="Arial" w:cs="Arial"/>
          <w:bCs/>
          <w:sz w:val="22"/>
          <w:szCs w:val="22"/>
        </w:rPr>
        <w:t xml:space="preserve">(EU) č. 651/2014. </w:t>
      </w:r>
    </w:p>
    <w:p w14:paraId="3E745ED3" w14:textId="77777777" w:rsidR="00722B61" w:rsidRPr="001B0951" w:rsidRDefault="00722B61" w:rsidP="00722B61">
      <w:pPr>
        <w:pStyle w:val="Odstavecseseznamem"/>
        <w:numPr>
          <w:ilvl w:val="0"/>
          <w:numId w:val="21"/>
        </w:numPr>
        <w:spacing w:after="120"/>
        <w:ind w:left="567" w:hanging="425"/>
        <w:contextualSpacing w:val="0"/>
        <w:jc w:val="both"/>
        <w:rPr>
          <w:rFonts w:ascii="Arial" w:hAnsi="Arial" w:cs="Arial"/>
          <w:bCs/>
          <w:sz w:val="22"/>
          <w:szCs w:val="22"/>
        </w:rPr>
      </w:pPr>
      <w:r w:rsidRPr="001B0951">
        <w:rPr>
          <w:rFonts w:ascii="Arial" w:hAnsi="Arial" w:cs="Arial"/>
          <w:bCs/>
          <w:sz w:val="22"/>
          <w:szCs w:val="22"/>
        </w:rPr>
        <w:t>Pokyny k regionální státní podpoře na období 2014-2020,</w:t>
      </w:r>
    </w:p>
    <w:p w14:paraId="116687A4" w14:textId="77777777" w:rsidR="00722B61" w:rsidRPr="001B0951" w:rsidRDefault="00722B61" w:rsidP="00722B61">
      <w:pPr>
        <w:pStyle w:val="Odstavecseseznamem"/>
        <w:numPr>
          <w:ilvl w:val="0"/>
          <w:numId w:val="21"/>
        </w:numPr>
        <w:spacing w:before="120" w:after="240"/>
        <w:ind w:left="567" w:hanging="425"/>
        <w:contextualSpacing w:val="0"/>
        <w:jc w:val="both"/>
        <w:rPr>
          <w:rFonts w:ascii="Arial" w:hAnsi="Arial" w:cs="Arial"/>
          <w:bCs/>
          <w:sz w:val="22"/>
          <w:szCs w:val="22"/>
        </w:rPr>
      </w:pPr>
      <w:r w:rsidRPr="001B0951">
        <w:rPr>
          <w:rFonts w:ascii="Arial" w:hAnsi="Arial" w:cs="Arial"/>
          <w:bCs/>
          <w:sz w:val="22"/>
          <w:szCs w:val="22"/>
        </w:rPr>
        <w:t>Mapa regionální podpory na období 2014-2020.</w:t>
      </w:r>
    </w:p>
    <w:p w14:paraId="256E60E4" w14:textId="77777777" w:rsidR="00722B61" w:rsidRPr="001B0951" w:rsidRDefault="00722B61" w:rsidP="00402236">
      <w:pPr>
        <w:spacing w:after="240"/>
        <w:jc w:val="both"/>
        <w:rPr>
          <w:rFonts w:ascii="Arial" w:hAnsi="Arial" w:cs="Arial"/>
          <w:bCs/>
          <w:sz w:val="22"/>
          <w:szCs w:val="22"/>
        </w:rPr>
      </w:pPr>
      <w:r w:rsidRPr="001B0951">
        <w:rPr>
          <w:rFonts w:ascii="Arial" w:hAnsi="Arial" w:cs="Arial"/>
          <w:bCs/>
          <w:sz w:val="22"/>
          <w:szCs w:val="22"/>
        </w:rPr>
        <w:lastRenderedPageBreak/>
        <w:t>Adaptace nového nařízení Komise (EU) č. 651/2014 ze dne 17. června 2014 byla provedena novelou zákona o investičních pobídkách, konkrétně zákonem č. 84/2015 Sb., kterým se mění zákon č. 72/2000 Sb., o investičních pobídkách a o změně některých zákonů (zákon o investičních pobídkách), ve znění pozdějších předpisů, a další související zákony.</w:t>
      </w:r>
    </w:p>
    <w:p w14:paraId="1687DB27" w14:textId="2864C88C" w:rsidR="00722B61" w:rsidRPr="001B0951" w:rsidRDefault="00722B61" w:rsidP="00402236">
      <w:pPr>
        <w:spacing w:after="240"/>
        <w:jc w:val="both"/>
        <w:rPr>
          <w:rFonts w:ascii="Arial" w:hAnsi="Arial" w:cs="Arial"/>
          <w:bCs/>
          <w:sz w:val="22"/>
          <w:szCs w:val="22"/>
        </w:rPr>
      </w:pPr>
      <w:r w:rsidRPr="001B0951">
        <w:rPr>
          <w:rFonts w:ascii="Arial" w:hAnsi="Arial" w:cs="Arial"/>
          <w:bCs/>
          <w:sz w:val="22"/>
          <w:szCs w:val="22"/>
        </w:rPr>
        <w:t xml:space="preserve">Z pohledu evropských předpisů pro oblast veřejné podpory je systém investičních pobídek velkým režimem státní podpory, neboť průměrný rozpočet přesahuje 150 mil. EUR ročně. </w:t>
      </w:r>
      <w:r w:rsidR="00592498">
        <w:rPr>
          <w:rFonts w:ascii="Arial" w:hAnsi="Arial" w:cs="Arial"/>
          <w:bCs/>
          <w:sz w:val="22"/>
          <w:szCs w:val="22"/>
        </w:rPr>
        <w:t>Byl proto</w:t>
      </w:r>
      <w:r w:rsidRPr="001B0951">
        <w:rPr>
          <w:rFonts w:ascii="Arial" w:hAnsi="Arial" w:cs="Arial"/>
          <w:bCs/>
          <w:sz w:val="22"/>
          <w:szCs w:val="22"/>
        </w:rPr>
        <w:t xml:space="preserve"> sestaven Plán hodnocení, podle kterého je průběžně ověřováno, zda jsou naplňovány předpoklady a podmínky slučitelnosti systému investičních pobídek s vnitřním trhem Evropské unie. Protože Evropská komise schválila svým rozhodnutím ze dne 10. prosince 2014 k zákonu o investičních pobídkách Plán hodnocení, prodloužila tím i možnost pro poskytování investičních pobídek podle blokové výjimky stanovené naříz</w:t>
      </w:r>
      <w:r w:rsidR="006E22ED" w:rsidRPr="001B0951">
        <w:rPr>
          <w:rFonts w:ascii="Arial" w:hAnsi="Arial" w:cs="Arial"/>
          <w:bCs/>
          <w:sz w:val="22"/>
          <w:szCs w:val="22"/>
        </w:rPr>
        <w:t>ením Komise (EU) č. 651/2014, a </w:t>
      </w:r>
      <w:r w:rsidRPr="001B0951">
        <w:rPr>
          <w:rFonts w:ascii="Arial" w:hAnsi="Arial" w:cs="Arial"/>
          <w:bCs/>
          <w:sz w:val="22"/>
          <w:szCs w:val="22"/>
        </w:rPr>
        <w:t>to až do 31. prosince 2020. V souladu s výše uvedeným rozhodnutím je Česká republika povinna oznámit Evropské komisi veškeré změny, které mají být v systému investičních pobídek provedeny.</w:t>
      </w:r>
    </w:p>
    <w:p w14:paraId="483109B3" w14:textId="52DAEEE3" w:rsidR="001656F1" w:rsidRPr="0078610C" w:rsidRDefault="001656F1" w:rsidP="00402236">
      <w:pPr>
        <w:spacing w:after="240"/>
        <w:jc w:val="both"/>
        <w:rPr>
          <w:rFonts w:ascii="Arial" w:hAnsi="Arial" w:cs="Arial"/>
          <w:bCs/>
          <w:sz w:val="22"/>
          <w:szCs w:val="22"/>
        </w:rPr>
      </w:pPr>
      <w:r w:rsidRPr="001B0951">
        <w:rPr>
          <w:rFonts w:ascii="Arial" w:hAnsi="Arial" w:cs="Arial"/>
          <w:bCs/>
          <w:sz w:val="22"/>
          <w:szCs w:val="22"/>
        </w:rPr>
        <w:t>Zároveň je třeba vzít na zřetel, že z nařízení Komise (EU) č. 651/2014 vyplývají některá omezení pro poskytování veřejné podpory. Jedná se zejména o vyloučení podpory ve prospěch činností v odvětví oceli, v uhelném průmyslu, v odvětví stavby lodí, v odvětví výroby syntetických vláken, v odvětví dopravy, jakož i v odvětví souvisej</w:t>
      </w:r>
      <w:r w:rsidR="00592498">
        <w:rPr>
          <w:rFonts w:ascii="Arial" w:hAnsi="Arial" w:cs="Arial"/>
          <w:bCs/>
          <w:sz w:val="22"/>
          <w:szCs w:val="22"/>
        </w:rPr>
        <w:t>ící infrastruktury, ve výrobě a </w:t>
      </w:r>
      <w:r w:rsidRPr="001B0951">
        <w:rPr>
          <w:rFonts w:ascii="Arial" w:hAnsi="Arial" w:cs="Arial"/>
          <w:bCs/>
          <w:sz w:val="22"/>
          <w:szCs w:val="22"/>
        </w:rPr>
        <w:t>distribuci energie a v oblasti energetické infrastruktury apod.</w:t>
      </w:r>
    </w:p>
    <w:p w14:paraId="78C38C3B" w14:textId="77777777" w:rsidR="00722B61" w:rsidRPr="0078610C" w:rsidRDefault="00722B61" w:rsidP="00221A70">
      <w:pPr>
        <w:spacing w:before="100" w:beforeAutospacing="1" w:after="240"/>
        <w:jc w:val="both"/>
        <w:rPr>
          <w:rFonts w:ascii="Arial" w:hAnsi="Arial" w:cs="Arial"/>
          <w:b/>
          <w:bCs/>
          <w:smallCaps/>
          <w:sz w:val="22"/>
          <w:szCs w:val="22"/>
        </w:rPr>
      </w:pPr>
    </w:p>
    <w:sectPr w:rsidR="00722B61" w:rsidRPr="0078610C" w:rsidSect="00ED3B9B">
      <w:footerReference w:type="default" r:id="rId9"/>
      <w:pgSz w:w="11906" w:h="16838"/>
      <w:pgMar w:top="1417" w:right="1417" w:bottom="1417"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696241" w14:textId="77777777" w:rsidR="000230F4" w:rsidRDefault="000230F4">
      <w:r>
        <w:separator/>
      </w:r>
    </w:p>
  </w:endnote>
  <w:endnote w:type="continuationSeparator" w:id="0">
    <w:p w14:paraId="37FC3A05" w14:textId="77777777" w:rsidR="000230F4" w:rsidRDefault="00023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New Roman (PCL6)">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72392" w14:textId="77777777" w:rsidR="000230F4" w:rsidRPr="005A786D" w:rsidRDefault="000230F4" w:rsidP="00615996">
    <w:pPr>
      <w:pStyle w:val="Podtitul"/>
    </w:pPr>
    <w:r w:rsidRPr="005A786D">
      <w:t xml:space="preserve">Stránka </w:t>
    </w:r>
    <w:r w:rsidRPr="005A786D">
      <w:fldChar w:fldCharType="begin"/>
    </w:r>
    <w:r w:rsidRPr="005A786D">
      <w:instrText>PAGE</w:instrText>
    </w:r>
    <w:r w:rsidRPr="005A786D">
      <w:fldChar w:fldCharType="separate"/>
    </w:r>
    <w:r w:rsidR="00932C75">
      <w:rPr>
        <w:noProof/>
      </w:rPr>
      <w:t>2</w:t>
    </w:r>
    <w:r w:rsidRPr="005A786D">
      <w:fldChar w:fldCharType="end"/>
    </w:r>
    <w:r w:rsidRPr="005A786D">
      <w:t xml:space="preserve"> (celkem </w:t>
    </w:r>
    <w:r w:rsidRPr="005A786D">
      <w:fldChar w:fldCharType="begin"/>
    </w:r>
    <w:r w:rsidRPr="005A786D">
      <w:instrText>NUMPAGES</w:instrText>
    </w:r>
    <w:r w:rsidRPr="005A786D">
      <w:fldChar w:fldCharType="separate"/>
    </w:r>
    <w:r w:rsidR="00932C75">
      <w:rPr>
        <w:noProof/>
      </w:rPr>
      <w:t>13</w:t>
    </w:r>
    <w:r w:rsidRPr="005A786D">
      <w:fldChar w:fldCharType="end"/>
    </w:r>
    <w:r w:rsidRPr="005A786D">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5EBEA" w14:textId="77777777" w:rsidR="000230F4" w:rsidRDefault="000230F4">
      <w:r>
        <w:separator/>
      </w:r>
    </w:p>
  </w:footnote>
  <w:footnote w:type="continuationSeparator" w:id="0">
    <w:p w14:paraId="5849BE89" w14:textId="77777777" w:rsidR="000230F4" w:rsidRDefault="000230F4">
      <w:r>
        <w:continuationSeparator/>
      </w:r>
    </w:p>
  </w:footnote>
  <w:footnote w:id="1">
    <w:p w14:paraId="4DD43133" w14:textId="16DE9693" w:rsidR="00900B40" w:rsidRPr="00EF5970" w:rsidRDefault="00900B40">
      <w:pPr>
        <w:pStyle w:val="Textpoznpodarou"/>
        <w:rPr>
          <w:rFonts w:ascii="Arial" w:hAnsi="Arial" w:cs="Arial"/>
          <w:sz w:val="18"/>
          <w:szCs w:val="18"/>
        </w:rPr>
      </w:pPr>
      <w:r>
        <w:rPr>
          <w:rStyle w:val="Znakapoznpodarou"/>
        </w:rPr>
        <w:footnoteRef/>
      </w:r>
      <w:r>
        <w:t xml:space="preserve"> </w:t>
      </w:r>
      <w:r w:rsidRPr="00775CA9">
        <w:rPr>
          <w:rFonts w:asciiTheme="minorHAnsi" w:eastAsia="Calibri" w:hAnsiTheme="minorHAnsi" w:cs="Arial"/>
          <w:color w:val="000000"/>
          <w:sz w:val="18"/>
          <w:szCs w:val="18"/>
          <w:lang w:eastAsia="en-US"/>
        </w:rPr>
        <w:t>Panorama zpracovatelského průmyslu 2015, kapitola 1.2.4, str. 49</w:t>
      </w:r>
      <w:r w:rsidR="005D242E" w:rsidRPr="00775CA9">
        <w:rPr>
          <w:rFonts w:asciiTheme="minorHAnsi" w:eastAsia="Calibri" w:hAnsiTheme="minorHAnsi" w:cs="Arial"/>
          <w:color w:val="000000"/>
          <w:sz w:val="18"/>
          <w:szCs w:val="18"/>
          <w:lang w:eastAsia="en-US"/>
        </w:rPr>
        <w:t>.</w:t>
      </w:r>
    </w:p>
  </w:footnote>
  <w:footnote w:id="2">
    <w:p w14:paraId="1B3C1934" w14:textId="426DC4E0" w:rsidR="00EF5970" w:rsidRPr="00EF5970" w:rsidRDefault="00EF5970">
      <w:pPr>
        <w:pStyle w:val="Textpoznpodarou"/>
        <w:rPr>
          <w:rFonts w:ascii="Arial" w:hAnsi="Arial" w:cs="Arial"/>
          <w:sz w:val="18"/>
          <w:szCs w:val="18"/>
        </w:rPr>
      </w:pPr>
      <w:r w:rsidRPr="00EF5970">
        <w:rPr>
          <w:rStyle w:val="Znakapoznpodarou"/>
          <w:rFonts w:ascii="Arial" w:hAnsi="Arial" w:cs="Arial"/>
          <w:sz w:val="18"/>
          <w:szCs w:val="18"/>
        </w:rPr>
        <w:footnoteRef/>
      </w:r>
      <w:r w:rsidRPr="00EF5970">
        <w:rPr>
          <w:rFonts w:ascii="Arial" w:hAnsi="Arial" w:cs="Arial"/>
          <w:sz w:val="18"/>
          <w:szCs w:val="18"/>
        </w:rPr>
        <w:t xml:space="preserve"> https://portal.mpsv.cz/sz/stat/nz/mes</w:t>
      </w:r>
    </w:p>
  </w:footnote>
  <w:footnote w:id="3">
    <w:p w14:paraId="4EA6E565" w14:textId="2155EE07" w:rsidR="00BB056A" w:rsidRDefault="00BB056A">
      <w:pPr>
        <w:pStyle w:val="Textpoznpodarou"/>
      </w:pPr>
      <w:r>
        <w:rPr>
          <w:rStyle w:val="Znakapoznpodarou"/>
        </w:rPr>
        <w:footnoteRef/>
      </w:r>
      <w:r>
        <w:t xml:space="preserve"> </w:t>
      </w:r>
      <w:r w:rsidR="00BA3B88" w:rsidRPr="00775CA9">
        <w:rPr>
          <w:sz w:val="18"/>
          <w:szCs w:val="18"/>
        </w:rPr>
        <w:t>zdroj MPO</w:t>
      </w:r>
    </w:p>
  </w:footnote>
  <w:footnote w:id="4">
    <w:p w14:paraId="46E063AE" w14:textId="77777777" w:rsidR="008E0DA3" w:rsidRPr="00775CA9" w:rsidRDefault="008E0DA3" w:rsidP="008E0DA3">
      <w:pPr>
        <w:pStyle w:val="Textpoznpodarou"/>
        <w:rPr>
          <w:rFonts w:asciiTheme="minorHAnsi" w:hAnsiTheme="minorHAnsi" w:cs="Arial"/>
          <w:sz w:val="18"/>
          <w:szCs w:val="18"/>
        </w:rPr>
      </w:pPr>
      <w:r>
        <w:rPr>
          <w:rStyle w:val="Znakapoznpodarou"/>
        </w:rPr>
        <w:footnoteRef/>
      </w:r>
      <w:r w:rsidRPr="008E0DA3">
        <w:rPr>
          <w:rFonts w:ascii="Arial" w:hAnsi="Arial" w:cs="Arial"/>
          <w:sz w:val="22"/>
          <w:szCs w:val="22"/>
        </w:rPr>
        <w:t xml:space="preserve"> </w:t>
      </w:r>
      <w:r w:rsidRPr="00775CA9">
        <w:rPr>
          <w:rFonts w:asciiTheme="minorHAnsi" w:hAnsiTheme="minorHAnsi" w:cs="Arial"/>
          <w:sz w:val="18"/>
          <w:szCs w:val="18"/>
        </w:rPr>
        <w:t xml:space="preserve">ÚŘAD VLÁDY ČR. Analýza odlivu zisků: Důsledky pro českou ekonomiku a návrhy opatření - </w:t>
      </w:r>
    </w:p>
    <w:p w14:paraId="365F21DD" w14:textId="295CF6EF" w:rsidR="008E0DA3" w:rsidRPr="00090DE5" w:rsidRDefault="008E0DA3" w:rsidP="008E0DA3">
      <w:pPr>
        <w:pStyle w:val="Textpoznpodarou"/>
        <w:rPr>
          <w:rFonts w:ascii="Arial" w:hAnsi="Arial" w:cs="Arial"/>
          <w:sz w:val="18"/>
          <w:szCs w:val="18"/>
        </w:rPr>
      </w:pPr>
      <w:r w:rsidRPr="00775CA9">
        <w:rPr>
          <w:rFonts w:asciiTheme="minorHAnsi" w:hAnsiTheme="minorHAnsi" w:cs="Arial"/>
          <w:sz w:val="18"/>
          <w:szCs w:val="18"/>
        </w:rPr>
        <w:t xml:space="preserve"> Příspěvek k debatě o udržitelnosti českého hospodářského modelu. In: Úřad vlády [online]. Listopad 2016 [vid. 2016-12-02]. Dostupné z: https://www.vlada.cz/assets/media-centrum/aktualne/Analyza-odlivu-zisku.pdf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DB86EE4"/>
    <w:lvl w:ilvl="0">
      <w:start w:val="1"/>
      <w:numFmt w:val="bullet"/>
      <w:lvlText w:val=""/>
      <w:lvlJc w:val="left"/>
      <w:pPr>
        <w:tabs>
          <w:tab w:val="num" w:pos="360"/>
        </w:tabs>
        <w:ind w:left="360" w:hanging="360"/>
      </w:pPr>
      <w:rPr>
        <w:rFonts w:ascii="Symbol" w:hAnsi="Symbol" w:hint="default"/>
      </w:rPr>
    </w:lvl>
  </w:abstractNum>
  <w:abstractNum w:abstractNumId="1">
    <w:nsid w:val="00405383"/>
    <w:multiLevelType w:val="hybridMultilevel"/>
    <w:tmpl w:val="753C0E22"/>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nsid w:val="00A7280A"/>
    <w:multiLevelType w:val="hybridMultilevel"/>
    <w:tmpl w:val="9DE6ED60"/>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A754D0"/>
    <w:multiLevelType w:val="multilevel"/>
    <w:tmpl w:val="B1EAFDE0"/>
    <w:lvl w:ilvl="0">
      <w:start w:val="1"/>
      <w:numFmt w:val="upperLetter"/>
      <w:lvlText w:val="%1)"/>
      <w:lvlJc w:val="left"/>
      <w:pPr>
        <w:tabs>
          <w:tab w:val="num" w:pos="785"/>
        </w:tabs>
        <w:ind w:left="0" w:firstLine="425"/>
      </w:pPr>
      <w:rPr>
        <w:rFonts w:hint="default"/>
      </w:rPr>
    </w:lvl>
    <w:lvl w:ilvl="1">
      <w:start w:val="1"/>
      <w:numFmt w:val="lowerLetter"/>
      <w:lvlText w:val="%2)"/>
      <w:lvlJc w:val="left"/>
      <w:pPr>
        <w:tabs>
          <w:tab w:val="num" w:pos="425"/>
        </w:tabs>
        <w:ind w:left="425" w:hanging="425"/>
      </w:pPr>
      <w:rPr>
        <w:rFonts w:ascii="Times New Roman" w:hAnsi="Times New Roman" w:cs="Times New Roman" w:hint="default"/>
      </w:rPr>
    </w:lvl>
    <w:lvl w:ilvl="2">
      <w:start w:val="1"/>
      <w:numFmt w:val="decimal"/>
      <w:isLgl/>
      <w:lvlText w:val="%3."/>
      <w:lvlJc w:val="left"/>
      <w:pPr>
        <w:tabs>
          <w:tab w:val="num" w:pos="851"/>
        </w:tabs>
        <w:ind w:left="851" w:hanging="426"/>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52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600"/>
        </w:tabs>
        <w:ind w:left="3240" w:hanging="360"/>
      </w:pPr>
      <w:rPr>
        <w:rFonts w:ascii="Times New Roman" w:hAnsi="Times New Roman" w:cs="Times New Roman" w:hint="default"/>
      </w:rPr>
    </w:lvl>
  </w:abstractNum>
  <w:abstractNum w:abstractNumId="4">
    <w:nsid w:val="0C2B0DAC"/>
    <w:multiLevelType w:val="hybridMultilevel"/>
    <w:tmpl w:val="4B0EBD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3A61EB"/>
    <w:multiLevelType w:val="hybridMultilevel"/>
    <w:tmpl w:val="6A1069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4726A8B"/>
    <w:multiLevelType w:val="hybridMultilevel"/>
    <w:tmpl w:val="7ECA8E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D3A2C9F"/>
    <w:multiLevelType w:val="hybridMultilevel"/>
    <w:tmpl w:val="B694C232"/>
    <w:lvl w:ilvl="0" w:tplc="D23C08E6">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421026A2"/>
    <w:multiLevelType w:val="hybridMultilevel"/>
    <w:tmpl w:val="5D202AC0"/>
    <w:lvl w:ilvl="0" w:tplc="020263F0">
      <w:start w:val="1"/>
      <w:numFmt w:val="decimal"/>
      <w:lvlText w:val="%1."/>
      <w:lvlJc w:val="left"/>
      <w:pPr>
        <w:ind w:left="570" w:hanging="360"/>
      </w:pPr>
      <w:rPr>
        <w:rFonts w:hint="default"/>
      </w:rPr>
    </w:lvl>
    <w:lvl w:ilvl="1" w:tplc="04050019" w:tentative="1">
      <w:start w:val="1"/>
      <w:numFmt w:val="lowerLetter"/>
      <w:lvlText w:val="%2."/>
      <w:lvlJc w:val="left"/>
      <w:pPr>
        <w:ind w:left="1290" w:hanging="360"/>
      </w:pPr>
    </w:lvl>
    <w:lvl w:ilvl="2" w:tplc="0405001B" w:tentative="1">
      <w:start w:val="1"/>
      <w:numFmt w:val="lowerRoman"/>
      <w:lvlText w:val="%3."/>
      <w:lvlJc w:val="right"/>
      <w:pPr>
        <w:ind w:left="2010" w:hanging="180"/>
      </w:pPr>
    </w:lvl>
    <w:lvl w:ilvl="3" w:tplc="0405000F" w:tentative="1">
      <w:start w:val="1"/>
      <w:numFmt w:val="decimal"/>
      <w:lvlText w:val="%4."/>
      <w:lvlJc w:val="left"/>
      <w:pPr>
        <w:ind w:left="2730" w:hanging="360"/>
      </w:pPr>
    </w:lvl>
    <w:lvl w:ilvl="4" w:tplc="04050019" w:tentative="1">
      <w:start w:val="1"/>
      <w:numFmt w:val="lowerLetter"/>
      <w:lvlText w:val="%5."/>
      <w:lvlJc w:val="left"/>
      <w:pPr>
        <w:ind w:left="3450" w:hanging="360"/>
      </w:pPr>
    </w:lvl>
    <w:lvl w:ilvl="5" w:tplc="0405001B" w:tentative="1">
      <w:start w:val="1"/>
      <w:numFmt w:val="lowerRoman"/>
      <w:lvlText w:val="%6."/>
      <w:lvlJc w:val="right"/>
      <w:pPr>
        <w:ind w:left="4170" w:hanging="180"/>
      </w:pPr>
    </w:lvl>
    <w:lvl w:ilvl="6" w:tplc="0405000F" w:tentative="1">
      <w:start w:val="1"/>
      <w:numFmt w:val="decimal"/>
      <w:lvlText w:val="%7."/>
      <w:lvlJc w:val="left"/>
      <w:pPr>
        <w:ind w:left="4890" w:hanging="360"/>
      </w:pPr>
    </w:lvl>
    <w:lvl w:ilvl="7" w:tplc="04050019" w:tentative="1">
      <w:start w:val="1"/>
      <w:numFmt w:val="lowerLetter"/>
      <w:lvlText w:val="%8."/>
      <w:lvlJc w:val="left"/>
      <w:pPr>
        <w:ind w:left="5610" w:hanging="360"/>
      </w:pPr>
    </w:lvl>
    <w:lvl w:ilvl="8" w:tplc="0405001B" w:tentative="1">
      <w:start w:val="1"/>
      <w:numFmt w:val="lowerRoman"/>
      <w:lvlText w:val="%9."/>
      <w:lvlJc w:val="right"/>
      <w:pPr>
        <w:ind w:left="6330" w:hanging="180"/>
      </w:pPr>
    </w:lvl>
  </w:abstractNum>
  <w:abstractNum w:abstractNumId="9">
    <w:nsid w:val="43211B01"/>
    <w:multiLevelType w:val="hybridMultilevel"/>
    <w:tmpl w:val="76D08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6E16283"/>
    <w:multiLevelType w:val="hybridMultilevel"/>
    <w:tmpl w:val="F77CF6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8D4211F"/>
    <w:multiLevelType w:val="hybridMultilevel"/>
    <w:tmpl w:val="712626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928371B"/>
    <w:multiLevelType w:val="hybridMultilevel"/>
    <w:tmpl w:val="8E6E952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FB47EB5"/>
    <w:multiLevelType w:val="hybridMultilevel"/>
    <w:tmpl w:val="21EE2988"/>
    <w:lvl w:ilvl="0" w:tplc="2196CE98">
      <w:start w:val="1"/>
      <w:numFmt w:val="upp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54017B35"/>
    <w:multiLevelType w:val="hybridMultilevel"/>
    <w:tmpl w:val="DF52FB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B6E5AA7"/>
    <w:multiLevelType w:val="multilevel"/>
    <w:tmpl w:val="82CE942A"/>
    <w:lvl w:ilvl="0">
      <w:start w:val="1"/>
      <w:numFmt w:val="decimal"/>
      <w:lvlText w:val="%1."/>
      <w:lvlJc w:val="left"/>
      <w:pPr>
        <w:ind w:left="1080" w:hanging="360"/>
      </w:pPr>
      <w:rPr>
        <w:rFonts w:ascii="Arial" w:eastAsia="Times New Roman" w:hAnsi="Arial" w:cs="Aria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6">
    <w:nsid w:val="637D019E"/>
    <w:multiLevelType w:val="multilevel"/>
    <w:tmpl w:val="5F36170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4BE19E4"/>
    <w:multiLevelType w:val="hybridMultilevel"/>
    <w:tmpl w:val="E7C86E1A"/>
    <w:lvl w:ilvl="0" w:tplc="D45E92C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7AF750E"/>
    <w:multiLevelType w:val="hybridMultilevel"/>
    <w:tmpl w:val="2AD0F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AAF1A1F"/>
    <w:multiLevelType w:val="multilevel"/>
    <w:tmpl w:val="23528C00"/>
    <w:lvl w:ilvl="0">
      <w:start w:val="1"/>
      <w:numFmt w:val="decimal"/>
      <w:isLgl/>
      <w:lvlText w:val="(%1)"/>
      <w:lvlJc w:val="left"/>
      <w:pPr>
        <w:tabs>
          <w:tab w:val="num" w:pos="785"/>
        </w:tabs>
        <w:ind w:firstLine="425"/>
      </w:pPr>
      <w:rPr>
        <w:rFonts w:ascii="Times New Roman" w:hAnsi="Times New Roman" w:cs="Times New Roman"/>
      </w:rPr>
    </w:lvl>
    <w:lvl w:ilvl="1">
      <w:start w:val="1"/>
      <w:numFmt w:val="lowerLetter"/>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1"/>
        </w:tabs>
        <w:ind w:left="851" w:hanging="426"/>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0">
    <w:nsid w:val="6C066A1C"/>
    <w:multiLevelType w:val="hybridMultilevel"/>
    <w:tmpl w:val="86644CE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007A16"/>
    <w:multiLevelType w:val="hybridMultilevel"/>
    <w:tmpl w:val="497CA88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34F645B"/>
    <w:multiLevelType w:val="hybridMultilevel"/>
    <w:tmpl w:val="BA641D84"/>
    <w:lvl w:ilvl="0" w:tplc="D45E92C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4467FD8"/>
    <w:multiLevelType w:val="hybridMultilevel"/>
    <w:tmpl w:val="93D247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91C6FC8"/>
    <w:multiLevelType w:val="hybridMultilevel"/>
    <w:tmpl w:val="82E8A27E"/>
    <w:lvl w:ilvl="0" w:tplc="B51A2C54">
      <w:start w:val="3"/>
      <w:numFmt w:val="upperLetter"/>
      <w:pStyle w:val="Seznamsodrkami"/>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7A1715A4"/>
    <w:multiLevelType w:val="hybridMultilevel"/>
    <w:tmpl w:val="C1988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5E4984"/>
    <w:multiLevelType w:val="hybridMultilevel"/>
    <w:tmpl w:val="DAF81D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D4935E0"/>
    <w:multiLevelType w:val="hybridMultilevel"/>
    <w:tmpl w:val="189674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nsid w:val="7F287F41"/>
    <w:multiLevelType w:val="hybridMultilevel"/>
    <w:tmpl w:val="8DE4FEA2"/>
    <w:lvl w:ilvl="0" w:tplc="D45E92C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8"/>
  </w:num>
  <w:num w:numId="4">
    <w:abstractNumId w:val="11"/>
  </w:num>
  <w:num w:numId="5">
    <w:abstractNumId w:val="16"/>
  </w:num>
  <w:num w:numId="6">
    <w:abstractNumId w:val="24"/>
  </w:num>
  <w:num w:numId="7">
    <w:abstractNumId w:val="1"/>
  </w:num>
  <w:num w:numId="8">
    <w:abstractNumId w:val="23"/>
  </w:num>
  <w:num w:numId="9">
    <w:abstractNumId w:val="5"/>
  </w:num>
  <w:num w:numId="10">
    <w:abstractNumId w:val="6"/>
  </w:num>
  <w:num w:numId="11">
    <w:abstractNumId w:val="9"/>
  </w:num>
  <w:num w:numId="12">
    <w:abstractNumId w:val="25"/>
  </w:num>
  <w:num w:numId="13">
    <w:abstractNumId w:val="14"/>
  </w:num>
  <w:num w:numId="14">
    <w:abstractNumId w:val="4"/>
  </w:num>
  <w:num w:numId="15">
    <w:abstractNumId w:val="3"/>
  </w:num>
  <w:num w:numId="16">
    <w:abstractNumId w:val="7"/>
  </w:num>
  <w:num w:numId="17">
    <w:abstractNumId w:val="10"/>
  </w:num>
  <w:num w:numId="18">
    <w:abstractNumId w:val="15"/>
  </w:num>
  <w:num w:numId="19">
    <w:abstractNumId w:val="8"/>
  </w:num>
  <w:num w:numId="20">
    <w:abstractNumId w:val="17"/>
  </w:num>
  <w:num w:numId="21">
    <w:abstractNumId w:val="28"/>
  </w:num>
  <w:num w:numId="22">
    <w:abstractNumId w:val="2"/>
  </w:num>
  <w:num w:numId="23">
    <w:abstractNumId w:val="0"/>
  </w:num>
  <w:num w:numId="24">
    <w:abstractNumId w:val="21"/>
  </w:num>
  <w:num w:numId="25">
    <w:abstractNumId w:val="20"/>
  </w:num>
  <w:num w:numId="26">
    <w:abstractNumId w:val="12"/>
  </w:num>
  <w:num w:numId="27">
    <w:abstractNumId w:val="26"/>
  </w:num>
  <w:num w:numId="28">
    <w:abstractNumId w:val="22"/>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38913">
      <v:stroke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D1C"/>
    <w:rsid w:val="00001D24"/>
    <w:rsid w:val="00002967"/>
    <w:rsid w:val="000033CF"/>
    <w:rsid w:val="000107A6"/>
    <w:rsid w:val="00011C8D"/>
    <w:rsid w:val="0001430A"/>
    <w:rsid w:val="0001796F"/>
    <w:rsid w:val="00017E88"/>
    <w:rsid w:val="000230F4"/>
    <w:rsid w:val="00024090"/>
    <w:rsid w:val="00024B9E"/>
    <w:rsid w:val="000252DA"/>
    <w:rsid w:val="00025525"/>
    <w:rsid w:val="000313BD"/>
    <w:rsid w:val="00033B99"/>
    <w:rsid w:val="000343DA"/>
    <w:rsid w:val="00034A0C"/>
    <w:rsid w:val="000353EC"/>
    <w:rsid w:val="000353F8"/>
    <w:rsid w:val="000362F0"/>
    <w:rsid w:val="000368B3"/>
    <w:rsid w:val="000378A9"/>
    <w:rsid w:val="00042F95"/>
    <w:rsid w:val="00044F11"/>
    <w:rsid w:val="0004715A"/>
    <w:rsid w:val="00050FAA"/>
    <w:rsid w:val="000532CF"/>
    <w:rsid w:val="000571F4"/>
    <w:rsid w:val="00060348"/>
    <w:rsid w:val="00062713"/>
    <w:rsid w:val="00063619"/>
    <w:rsid w:val="00066F7A"/>
    <w:rsid w:val="000674A2"/>
    <w:rsid w:val="00071760"/>
    <w:rsid w:val="00074B48"/>
    <w:rsid w:val="00074B87"/>
    <w:rsid w:val="00075F03"/>
    <w:rsid w:val="00076ED9"/>
    <w:rsid w:val="00077E52"/>
    <w:rsid w:val="000822F5"/>
    <w:rsid w:val="0008290E"/>
    <w:rsid w:val="00090B40"/>
    <w:rsid w:val="00090DE5"/>
    <w:rsid w:val="000915BD"/>
    <w:rsid w:val="0009169B"/>
    <w:rsid w:val="00091904"/>
    <w:rsid w:val="00094977"/>
    <w:rsid w:val="000956CB"/>
    <w:rsid w:val="00095C85"/>
    <w:rsid w:val="00096F20"/>
    <w:rsid w:val="000A0A84"/>
    <w:rsid w:val="000A1E24"/>
    <w:rsid w:val="000A24FB"/>
    <w:rsid w:val="000A36B8"/>
    <w:rsid w:val="000A43C5"/>
    <w:rsid w:val="000A576B"/>
    <w:rsid w:val="000A619B"/>
    <w:rsid w:val="000B0FB5"/>
    <w:rsid w:val="000B17A7"/>
    <w:rsid w:val="000B4EDE"/>
    <w:rsid w:val="000B770F"/>
    <w:rsid w:val="000B7C4D"/>
    <w:rsid w:val="000C15A0"/>
    <w:rsid w:val="000C1A1C"/>
    <w:rsid w:val="000C2335"/>
    <w:rsid w:val="000C256E"/>
    <w:rsid w:val="000C261B"/>
    <w:rsid w:val="000C6DE7"/>
    <w:rsid w:val="000D2D83"/>
    <w:rsid w:val="000D401B"/>
    <w:rsid w:val="000D6F14"/>
    <w:rsid w:val="000E0B3C"/>
    <w:rsid w:val="000E31D8"/>
    <w:rsid w:val="000E33C1"/>
    <w:rsid w:val="000E62D2"/>
    <w:rsid w:val="000E6E28"/>
    <w:rsid w:val="000E79B0"/>
    <w:rsid w:val="000F3887"/>
    <w:rsid w:val="000F52D0"/>
    <w:rsid w:val="000F590F"/>
    <w:rsid w:val="00100F52"/>
    <w:rsid w:val="00103CB9"/>
    <w:rsid w:val="00105404"/>
    <w:rsid w:val="001076B6"/>
    <w:rsid w:val="00107F6C"/>
    <w:rsid w:val="0011216A"/>
    <w:rsid w:val="0011542A"/>
    <w:rsid w:val="00116220"/>
    <w:rsid w:val="00116E8E"/>
    <w:rsid w:val="001179D6"/>
    <w:rsid w:val="00120572"/>
    <w:rsid w:val="00122A7D"/>
    <w:rsid w:val="001271C8"/>
    <w:rsid w:val="001277B8"/>
    <w:rsid w:val="00127C7A"/>
    <w:rsid w:val="00127FC7"/>
    <w:rsid w:val="00130F2F"/>
    <w:rsid w:val="00134B2C"/>
    <w:rsid w:val="00147AAD"/>
    <w:rsid w:val="00150D9D"/>
    <w:rsid w:val="00151D15"/>
    <w:rsid w:val="00155122"/>
    <w:rsid w:val="00156294"/>
    <w:rsid w:val="0015682A"/>
    <w:rsid w:val="0016287A"/>
    <w:rsid w:val="001656F1"/>
    <w:rsid w:val="00172813"/>
    <w:rsid w:val="0017456B"/>
    <w:rsid w:val="0017769F"/>
    <w:rsid w:val="0018266E"/>
    <w:rsid w:val="00184CBA"/>
    <w:rsid w:val="001863BA"/>
    <w:rsid w:val="00186619"/>
    <w:rsid w:val="0018661C"/>
    <w:rsid w:val="00191E9A"/>
    <w:rsid w:val="00193610"/>
    <w:rsid w:val="00193A1A"/>
    <w:rsid w:val="001974B6"/>
    <w:rsid w:val="001975D3"/>
    <w:rsid w:val="001A09AF"/>
    <w:rsid w:val="001A2733"/>
    <w:rsid w:val="001B0088"/>
    <w:rsid w:val="001B0951"/>
    <w:rsid w:val="001B4790"/>
    <w:rsid w:val="001B7406"/>
    <w:rsid w:val="001B7B2B"/>
    <w:rsid w:val="001C281A"/>
    <w:rsid w:val="001C61E2"/>
    <w:rsid w:val="001D00DB"/>
    <w:rsid w:val="001D28EA"/>
    <w:rsid w:val="001D4A02"/>
    <w:rsid w:val="001D5292"/>
    <w:rsid w:val="001D6341"/>
    <w:rsid w:val="001D7510"/>
    <w:rsid w:val="001D79A3"/>
    <w:rsid w:val="001D7A12"/>
    <w:rsid w:val="001E0BBF"/>
    <w:rsid w:val="001E1E97"/>
    <w:rsid w:val="001E2457"/>
    <w:rsid w:val="001E4310"/>
    <w:rsid w:val="001E7124"/>
    <w:rsid w:val="001F2E03"/>
    <w:rsid w:val="001F49CE"/>
    <w:rsid w:val="001F5603"/>
    <w:rsid w:val="001F7165"/>
    <w:rsid w:val="002003E5"/>
    <w:rsid w:val="0021101E"/>
    <w:rsid w:val="00212853"/>
    <w:rsid w:val="002137B4"/>
    <w:rsid w:val="00216D41"/>
    <w:rsid w:val="00220717"/>
    <w:rsid w:val="002216E2"/>
    <w:rsid w:val="00221A70"/>
    <w:rsid w:val="0022574D"/>
    <w:rsid w:val="0023316B"/>
    <w:rsid w:val="002331DE"/>
    <w:rsid w:val="00233422"/>
    <w:rsid w:val="002343C6"/>
    <w:rsid w:val="00235C0D"/>
    <w:rsid w:val="002378D4"/>
    <w:rsid w:val="002408C4"/>
    <w:rsid w:val="00240B7D"/>
    <w:rsid w:val="00242E49"/>
    <w:rsid w:val="002440BD"/>
    <w:rsid w:val="002446A7"/>
    <w:rsid w:val="00245154"/>
    <w:rsid w:val="002461FC"/>
    <w:rsid w:val="00246975"/>
    <w:rsid w:val="00250799"/>
    <w:rsid w:val="0025122C"/>
    <w:rsid w:val="0025465A"/>
    <w:rsid w:val="00254D29"/>
    <w:rsid w:val="002563F4"/>
    <w:rsid w:val="0025656C"/>
    <w:rsid w:val="00256682"/>
    <w:rsid w:val="002638E6"/>
    <w:rsid w:val="00265A9D"/>
    <w:rsid w:val="00272406"/>
    <w:rsid w:val="002740C5"/>
    <w:rsid w:val="00276150"/>
    <w:rsid w:val="00277FB1"/>
    <w:rsid w:val="0028126F"/>
    <w:rsid w:val="00284F8E"/>
    <w:rsid w:val="00285FBF"/>
    <w:rsid w:val="00287E54"/>
    <w:rsid w:val="00290773"/>
    <w:rsid w:val="00291195"/>
    <w:rsid w:val="00294D27"/>
    <w:rsid w:val="002A105D"/>
    <w:rsid w:val="002A21C2"/>
    <w:rsid w:val="002A3262"/>
    <w:rsid w:val="002A672E"/>
    <w:rsid w:val="002B0B80"/>
    <w:rsid w:val="002B264D"/>
    <w:rsid w:val="002B44BF"/>
    <w:rsid w:val="002B5B3A"/>
    <w:rsid w:val="002B65CA"/>
    <w:rsid w:val="002B6C17"/>
    <w:rsid w:val="002C05B8"/>
    <w:rsid w:val="002C073E"/>
    <w:rsid w:val="002C423E"/>
    <w:rsid w:val="002D1634"/>
    <w:rsid w:val="002D29A7"/>
    <w:rsid w:val="002D3F76"/>
    <w:rsid w:val="002E5DC9"/>
    <w:rsid w:val="002E609E"/>
    <w:rsid w:val="002E6CD5"/>
    <w:rsid w:val="002F01D7"/>
    <w:rsid w:val="002F0E51"/>
    <w:rsid w:val="002F6C45"/>
    <w:rsid w:val="002F782B"/>
    <w:rsid w:val="00301FC8"/>
    <w:rsid w:val="00304A55"/>
    <w:rsid w:val="0030534D"/>
    <w:rsid w:val="0030777C"/>
    <w:rsid w:val="00313060"/>
    <w:rsid w:val="003130CC"/>
    <w:rsid w:val="00323618"/>
    <w:rsid w:val="0032486B"/>
    <w:rsid w:val="003263A2"/>
    <w:rsid w:val="003276BC"/>
    <w:rsid w:val="00333915"/>
    <w:rsid w:val="00342072"/>
    <w:rsid w:val="00342932"/>
    <w:rsid w:val="00344812"/>
    <w:rsid w:val="003454C2"/>
    <w:rsid w:val="0035127E"/>
    <w:rsid w:val="003522CE"/>
    <w:rsid w:val="00353E36"/>
    <w:rsid w:val="00360555"/>
    <w:rsid w:val="00360C85"/>
    <w:rsid w:val="00361DDC"/>
    <w:rsid w:val="00361F8A"/>
    <w:rsid w:val="0036255B"/>
    <w:rsid w:val="0036261D"/>
    <w:rsid w:val="003626A8"/>
    <w:rsid w:val="0036763F"/>
    <w:rsid w:val="00371422"/>
    <w:rsid w:val="00371CF0"/>
    <w:rsid w:val="00373E76"/>
    <w:rsid w:val="00380651"/>
    <w:rsid w:val="0039607B"/>
    <w:rsid w:val="0039745C"/>
    <w:rsid w:val="003A123B"/>
    <w:rsid w:val="003A1625"/>
    <w:rsid w:val="003A1DCA"/>
    <w:rsid w:val="003A1E3A"/>
    <w:rsid w:val="003A453C"/>
    <w:rsid w:val="003A59AF"/>
    <w:rsid w:val="003B00C6"/>
    <w:rsid w:val="003B0827"/>
    <w:rsid w:val="003B1324"/>
    <w:rsid w:val="003B6562"/>
    <w:rsid w:val="003B68C0"/>
    <w:rsid w:val="003B7F44"/>
    <w:rsid w:val="003B7F5D"/>
    <w:rsid w:val="003C11B4"/>
    <w:rsid w:val="003C1C29"/>
    <w:rsid w:val="003C26DD"/>
    <w:rsid w:val="003C5C5A"/>
    <w:rsid w:val="003D02B7"/>
    <w:rsid w:val="003D16F7"/>
    <w:rsid w:val="003D31CC"/>
    <w:rsid w:val="003D4A51"/>
    <w:rsid w:val="003D5641"/>
    <w:rsid w:val="003D5816"/>
    <w:rsid w:val="003D7343"/>
    <w:rsid w:val="003D740E"/>
    <w:rsid w:val="003E05C3"/>
    <w:rsid w:val="003E11FF"/>
    <w:rsid w:val="003E1D7D"/>
    <w:rsid w:val="003E2A39"/>
    <w:rsid w:val="003E48B2"/>
    <w:rsid w:val="003E632E"/>
    <w:rsid w:val="003E7668"/>
    <w:rsid w:val="003E7C84"/>
    <w:rsid w:val="003F0CA0"/>
    <w:rsid w:val="003F0EB5"/>
    <w:rsid w:val="003F27FA"/>
    <w:rsid w:val="00400278"/>
    <w:rsid w:val="0040220B"/>
    <w:rsid w:val="00402236"/>
    <w:rsid w:val="0040300B"/>
    <w:rsid w:val="0040404C"/>
    <w:rsid w:val="004060FC"/>
    <w:rsid w:val="00406C16"/>
    <w:rsid w:val="00413894"/>
    <w:rsid w:val="004175E6"/>
    <w:rsid w:val="0042022F"/>
    <w:rsid w:val="00420B35"/>
    <w:rsid w:val="00421010"/>
    <w:rsid w:val="00421876"/>
    <w:rsid w:val="0042197B"/>
    <w:rsid w:val="00422CA2"/>
    <w:rsid w:val="00423F35"/>
    <w:rsid w:val="00425E0A"/>
    <w:rsid w:val="00430A6F"/>
    <w:rsid w:val="004320A4"/>
    <w:rsid w:val="00433C0C"/>
    <w:rsid w:val="0043540C"/>
    <w:rsid w:val="00437760"/>
    <w:rsid w:val="0044081F"/>
    <w:rsid w:val="00440F23"/>
    <w:rsid w:val="00441D40"/>
    <w:rsid w:val="00442845"/>
    <w:rsid w:val="00452BC5"/>
    <w:rsid w:val="00455A3B"/>
    <w:rsid w:val="00456256"/>
    <w:rsid w:val="00460B2C"/>
    <w:rsid w:val="004670AA"/>
    <w:rsid w:val="004678AC"/>
    <w:rsid w:val="0047033B"/>
    <w:rsid w:val="00470FC5"/>
    <w:rsid w:val="00471EC1"/>
    <w:rsid w:val="004728C7"/>
    <w:rsid w:val="00472BD3"/>
    <w:rsid w:val="0047307C"/>
    <w:rsid w:val="00477D40"/>
    <w:rsid w:val="00480960"/>
    <w:rsid w:val="0048196C"/>
    <w:rsid w:val="00484490"/>
    <w:rsid w:val="0048482D"/>
    <w:rsid w:val="00485F14"/>
    <w:rsid w:val="00490796"/>
    <w:rsid w:val="004920EB"/>
    <w:rsid w:val="004931BC"/>
    <w:rsid w:val="00494874"/>
    <w:rsid w:val="00497F6C"/>
    <w:rsid w:val="004A13B0"/>
    <w:rsid w:val="004A501A"/>
    <w:rsid w:val="004A5DAE"/>
    <w:rsid w:val="004A6D8F"/>
    <w:rsid w:val="004B0509"/>
    <w:rsid w:val="004B1CE6"/>
    <w:rsid w:val="004B2357"/>
    <w:rsid w:val="004B61BE"/>
    <w:rsid w:val="004B6E38"/>
    <w:rsid w:val="004C0BA3"/>
    <w:rsid w:val="004C19D6"/>
    <w:rsid w:val="004C20FC"/>
    <w:rsid w:val="004C3C09"/>
    <w:rsid w:val="004C6FD8"/>
    <w:rsid w:val="004C7604"/>
    <w:rsid w:val="004D0459"/>
    <w:rsid w:val="004D20E9"/>
    <w:rsid w:val="004D30B5"/>
    <w:rsid w:val="004D349C"/>
    <w:rsid w:val="004D3A18"/>
    <w:rsid w:val="004D3EE8"/>
    <w:rsid w:val="004E0945"/>
    <w:rsid w:val="004E197D"/>
    <w:rsid w:val="004E1A20"/>
    <w:rsid w:val="004E60BE"/>
    <w:rsid w:val="004F1D18"/>
    <w:rsid w:val="004F40F5"/>
    <w:rsid w:val="004F4350"/>
    <w:rsid w:val="004F6B38"/>
    <w:rsid w:val="004F7411"/>
    <w:rsid w:val="004F7E99"/>
    <w:rsid w:val="00502154"/>
    <w:rsid w:val="00506442"/>
    <w:rsid w:val="00511CD8"/>
    <w:rsid w:val="00511D10"/>
    <w:rsid w:val="005135B7"/>
    <w:rsid w:val="00516E0B"/>
    <w:rsid w:val="00517973"/>
    <w:rsid w:val="00517DCD"/>
    <w:rsid w:val="005254DF"/>
    <w:rsid w:val="00527D91"/>
    <w:rsid w:val="005308A6"/>
    <w:rsid w:val="00530D47"/>
    <w:rsid w:val="00533527"/>
    <w:rsid w:val="00534CB0"/>
    <w:rsid w:val="00536055"/>
    <w:rsid w:val="0054093F"/>
    <w:rsid w:val="005412BE"/>
    <w:rsid w:val="00543A82"/>
    <w:rsid w:val="00545760"/>
    <w:rsid w:val="00546FD6"/>
    <w:rsid w:val="005476CA"/>
    <w:rsid w:val="00547A72"/>
    <w:rsid w:val="00550458"/>
    <w:rsid w:val="0055118A"/>
    <w:rsid w:val="0055187A"/>
    <w:rsid w:val="00552A7E"/>
    <w:rsid w:val="00560665"/>
    <w:rsid w:val="00560822"/>
    <w:rsid w:val="00562EEA"/>
    <w:rsid w:val="00563184"/>
    <w:rsid w:val="005647A7"/>
    <w:rsid w:val="0056661A"/>
    <w:rsid w:val="00566733"/>
    <w:rsid w:val="00570D2F"/>
    <w:rsid w:val="00574B2B"/>
    <w:rsid w:val="00574F6E"/>
    <w:rsid w:val="00580BAA"/>
    <w:rsid w:val="005873EB"/>
    <w:rsid w:val="00590584"/>
    <w:rsid w:val="005906B2"/>
    <w:rsid w:val="00592498"/>
    <w:rsid w:val="005927B8"/>
    <w:rsid w:val="005931E8"/>
    <w:rsid w:val="00594D9A"/>
    <w:rsid w:val="00596256"/>
    <w:rsid w:val="005A6304"/>
    <w:rsid w:val="005A786D"/>
    <w:rsid w:val="005A7C69"/>
    <w:rsid w:val="005B1925"/>
    <w:rsid w:val="005B2B8D"/>
    <w:rsid w:val="005B5504"/>
    <w:rsid w:val="005C0DE9"/>
    <w:rsid w:val="005C0E9F"/>
    <w:rsid w:val="005C2DCA"/>
    <w:rsid w:val="005C4B76"/>
    <w:rsid w:val="005D1AC7"/>
    <w:rsid w:val="005D242E"/>
    <w:rsid w:val="005D2A1D"/>
    <w:rsid w:val="005D311E"/>
    <w:rsid w:val="005D3F9A"/>
    <w:rsid w:val="005D599E"/>
    <w:rsid w:val="005E5454"/>
    <w:rsid w:val="005E5550"/>
    <w:rsid w:val="005F0A7A"/>
    <w:rsid w:val="005F1249"/>
    <w:rsid w:val="005F4D83"/>
    <w:rsid w:val="005F52B4"/>
    <w:rsid w:val="005F7CBD"/>
    <w:rsid w:val="006020CD"/>
    <w:rsid w:val="0060224A"/>
    <w:rsid w:val="00606953"/>
    <w:rsid w:val="00610289"/>
    <w:rsid w:val="0061301C"/>
    <w:rsid w:val="006130CF"/>
    <w:rsid w:val="00615996"/>
    <w:rsid w:val="00616A52"/>
    <w:rsid w:val="00620583"/>
    <w:rsid w:val="00622ECB"/>
    <w:rsid w:val="00626520"/>
    <w:rsid w:val="00630088"/>
    <w:rsid w:val="006322B2"/>
    <w:rsid w:val="00632728"/>
    <w:rsid w:val="00635955"/>
    <w:rsid w:val="00640D7B"/>
    <w:rsid w:val="00641709"/>
    <w:rsid w:val="0064594E"/>
    <w:rsid w:val="00647C96"/>
    <w:rsid w:val="00650840"/>
    <w:rsid w:val="00652231"/>
    <w:rsid w:val="00652A7A"/>
    <w:rsid w:val="00656BF4"/>
    <w:rsid w:val="006571BD"/>
    <w:rsid w:val="00657EEA"/>
    <w:rsid w:val="00663317"/>
    <w:rsid w:val="0066352A"/>
    <w:rsid w:val="0066662C"/>
    <w:rsid w:val="00667C51"/>
    <w:rsid w:val="0067015B"/>
    <w:rsid w:val="00670C1E"/>
    <w:rsid w:val="0067215A"/>
    <w:rsid w:val="0067483C"/>
    <w:rsid w:val="006757EB"/>
    <w:rsid w:val="00675A48"/>
    <w:rsid w:val="00676688"/>
    <w:rsid w:val="00680307"/>
    <w:rsid w:val="0068197A"/>
    <w:rsid w:val="006858E5"/>
    <w:rsid w:val="00687F8C"/>
    <w:rsid w:val="00690465"/>
    <w:rsid w:val="006914B9"/>
    <w:rsid w:val="00693C3A"/>
    <w:rsid w:val="00696458"/>
    <w:rsid w:val="00696C17"/>
    <w:rsid w:val="006A06DD"/>
    <w:rsid w:val="006A1603"/>
    <w:rsid w:val="006A1EC3"/>
    <w:rsid w:val="006B1D28"/>
    <w:rsid w:val="006C32E6"/>
    <w:rsid w:val="006C36F1"/>
    <w:rsid w:val="006C520A"/>
    <w:rsid w:val="006C587A"/>
    <w:rsid w:val="006C7D83"/>
    <w:rsid w:val="006D0316"/>
    <w:rsid w:val="006D189A"/>
    <w:rsid w:val="006D3177"/>
    <w:rsid w:val="006D4E16"/>
    <w:rsid w:val="006D6B1B"/>
    <w:rsid w:val="006E22ED"/>
    <w:rsid w:val="006E3AD1"/>
    <w:rsid w:val="006E6E80"/>
    <w:rsid w:val="006E70BC"/>
    <w:rsid w:val="006F0A16"/>
    <w:rsid w:val="006F1558"/>
    <w:rsid w:val="006F19F0"/>
    <w:rsid w:val="006F22AC"/>
    <w:rsid w:val="006F2783"/>
    <w:rsid w:val="006F4D95"/>
    <w:rsid w:val="006F6379"/>
    <w:rsid w:val="006F7CE1"/>
    <w:rsid w:val="00703EE7"/>
    <w:rsid w:val="007069C1"/>
    <w:rsid w:val="00710005"/>
    <w:rsid w:val="00711995"/>
    <w:rsid w:val="0071288F"/>
    <w:rsid w:val="00712C5E"/>
    <w:rsid w:val="00714431"/>
    <w:rsid w:val="00722B61"/>
    <w:rsid w:val="00723633"/>
    <w:rsid w:val="00726C4B"/>
    <w:rsid w:val="00732C73"/>
    <w:rsid w:val="0073498B"/>
    <w:rsid w:val="00736B2E"/>
    <w:rsid w:val="00737AFE"/>
    <w:rsid w:val="007421A8"/>
    <w:rsid w:val="00742EF2"/>
    <w:rsid w:val="00746ACD"/>
    <w:rsid w:val="007479B8"/>
    <w:rsid w:val="00752E49"/>
    <w:rsid w:val="00755F42"/>
    <w:rsid w:val="00756A7F"/>
    <w:rsid w:val="00760331"/>
    <w:rsid w:val="007603AA"/>
    <w:rsid w:val="00760E28"/>
    <w:rsid w:val="00761B0B"/>
    <w:rsid w:val="0076210E"/>
    <w:rsid w:val="007641D0"/>
    <w:rsid w:val="00765A48"/>
    <w:rsid w:val="007660E0"/>
    <w:rsid w:val="007710D6"/>
    <w:rsid w:val="00772126"/>
    <w:rsid w:val="00775CA9"/>
    <w:rsid w:val="007770F1"/>
    <w:rsid w:val="00782FCA"/>
    <w:rsid w:val="0078610C"/>
    <w:rsid w:val="00786237"/>
    <w:rsid w:val="00786982"/>
    <w:rsid w:val="00790A4E"/>
    <w:rsid w:val="00794FC4"/>
    <w:rsid w:val="00796AD5"/>
    <w:rsid w:val="007A0E35"/>
    <w:rsid w:val="007A1DE2"/>
    <w:rsid w:val="007A5FB4"/>
    <w:rsid w:val="007B3216"/>
    <w:rsid w:val="007B4597"/>
    <w:rsid w:val="007B4FA1"/>
    <w:rsid w:val="007C0092"/>
    <w:rsid w:val="007C40D8"/>
    <w:rsid w:val="007C61B0"/>
    <w:rsid w:val="007C7075"/>
    <w:rsid w:val="007D00B9"/>
    <w:rsid w:val="007D1219"/>
    <w:rsid w:val="007D2D63"/>
    <w:rsid w:val="007D362D"/>
    <w:rsid w:val="007D4647"/>
    <w:rsid w:val="007D5907"/>
    <w:rsid w:val="007E1895"/>
    <w:rsid w:val="007E3092"/>
    <w:rsid w:val="007E6243"/>
    <w:rsid w:val="007E6A55"/>
    <w:rsid w:val="007F16DF"/>
    <w:rsid w:val="007F1E41"/>
    <w:rsid w:val="007F262D"/>
    <w:rsid w:val="007F3D9D"/>
    <w:rsid w:val="007F6EDB"/>
    <w:rsid w:val="007F6F6C"/>
    <w:rsid w:val="008016F1"/>
    <w:rsid w:val="0080207D"/>
    <w:rsid w:val="008029E7"/>
    <w:rsid w:val="008032C2"/>
    <w:rsid w:val="008046D1"/>
    <w:rsid w:val="00804B03"/>
    <w:rsid w:val="00804CE1"/>
    <w:rsid w:val="0080673B"/>
    <w:rsid w:val="00807C62"/>
    <w:rsid w:val="008104C3"/>
    <w:rsid w:val="00811C51"/>
    <w:rsid w:val="00813F13"/>
    <w:rsid w:val="00815A00"/>
    <w:rsid w:val="008224A8"/>
    <w:rsid w:val="00826069"/>
    <w:rsid w:val="0082652B"/>
    <w:rsid w:val="00832311"/>
    <w:rsid w:val="008342EC"/>
    <w:rsid w:val="00834EAB"/>
    <w:rsid w:val="0083759E"/>
    <w:rsid w:val="00846628"/>
    <w:rsid w:val="00851137"/>
    <w:rsid w:val="0085300A"/>
    <w:rsid w:val="0085603C"/>
    <w:rsid w:val="00857EED"/>
    <w:rsid w:val="00865A5E"/>
    <w:rsid w:val="00865E5C"/>
    <w:rsid w:val="008670C0"/>
    <w:rsid w:val="00870B76"/>
    <w:rsid w:val="0087725A"/>
    <w:rsid w:val="00877C61"/>
    <w:rsid w:val="00882171"/>
    <w:rsid w:val="00884A56"/>
    <w:rsid w:val="00887ECA"/>
    <w:rsid w:val="008909F1"/>
    <w:rsid w:val="0089498F"/>
    <w:rsid w:val="008962E5"/>
    <w:rsid w:val="008978F1"/>
    <w:rsid w:val="00897A5C"/>
    <w:rsid w:val="008A0B6A"/>
    <w:rsid w:val="008A3344"/>
    <w:rsid w:val="008A7752"/>
    <w:rsid w:val="008B13A3"/>
    <w:rsid w:val="008B1FAC"/>
    <w:rsid w:val="008B303C"/>
    <w:rsid w:val="008B6E09"/>
    <w:rsid w:val="008B7D98"/>
    <w:rsid w:val="008C03F2"/>
    <w:rsid w:val="008C05A8"/>
    <w:rsid w:val="008C1879"/>
    <w:rsid w:val="008C1953"/>
    <w:rsid w:val="008C3A60"/>
    <w:rsid w:val="008C423B"/>
    <w:rsid w:val="008C6301"/>
    <w:rsid w:val="008D62C1"/>
    <w:rsid w:val="008D713F"/>
    <w:rsid w:val="008D7FA6"/>
    <w:rsid w:val="008E0DA3"/>
    <w:rsid w:val="008E2B82"/>
    <w:rsid w:val="008E516E"/>
    <w:rsid w:val="008E610E"/>
    <w:rsid w:val="008E6273"/>
    <w:rsid w:val="008F4802"/>
    <w:rsid w:val="008F6257"/>
    <w:rsid w:val="008F7DA0"/>
    <w:rsid w:val="00900B40"/>
    <w:rsid w:val="00910A97"/>
    <w:rsid w:val="00911458"/>
    <w:rsid w:val="0091187C"/>
    <w:rsid w:val="009120D3"/>
    <w:rsid w:val="00914B5A"/>
    <w:rsid w:val="009155B3"/>
    <w:rsid w:val="00915878"/>
    <w:rsid w:val="00921FA5"/>
    <w:rsid w:val="0092292E"/>
    <w:rsid w:val="009233D1"/>
    <w:rsid w:val="00923F4A"/>
    <w:rsid w:val="00932165"/>
    <w:rsid w:val="00932C75"/>
    <w:rsid w:val="00934C0C"/>
    <w:rsid w:val="00935ADA"/>
    <w:rsid w:val="00942359"/>
    <w:rsid w:val="00943108"/>
    <w:rsid w:val="00943407"/>
    <w:rsid w:val="0094535A"/>
    <w:rsid w:val="0094553C"/>
    <w:rsid w:val="00946F63"/>
    <w:rsid w:val="00947294"/>
    <w:rsid w:val="009475AC"/>
    <w:rsid w:val="00947B70"/>
    <w:rsid w:val="00951943"/>
    <w:rsid w:val="00951BC0"/>
    <w:rsid w:val="009520F9"/>
    <w:rsid w:val="00953C49"/>
    <w:rsid w:val="00955C02"/>
    <w:rsid w:val="00956408"/>
    <w:rsid w:val="00957C93"/>
    <w:rsid w:val="009658CD"/>
    <w:rsid w:val="009662EE"/>
    <w:rsid w:val="0097131B"/>
    <w:rsid w:val="00971AE7"/>
    <w:rsid w:val="00980537"/>
    <w:rsid w:val="0098125B"/>
    <w:rsid w:val="0098416B"/>
    <w:rsid w:val="009849B5"/>
    <w:rsid w:val="00987C38"/>
    <w:rsid w:val="00987DB1"/>
    <w:rsid w:val="00990E91"/>
    <w:rsid w:val="0099126D"/>
    <w:rsid w:val="00992D99"/>
    <w:rsid w:val="009943FD"/>
    <w:rsid w:val="009946E2"/>
    <w:rsid w:val="009950D9"/>
    <w:rsid w:val="009A5CDC"/>
    <w:rsid w:val="009B0576"/>
    <w:rsid w:val="009B1387"/>
    <w:rsid w:val="009B13E3"/>
    <w:rsid w:val="009B3D5F"/>
    <w:rsid w:val="009C235D"/>
    <w:rsid w:val="009C3521"/>
    <w:rsid w:val="009C5772"/>
    <w:rsid w:val="009C5D9B"/>
    <w:rsid w:val="009C61FA"/>
    <w:rsid w:val="009C716D"/>
    <w:rsid w:val="009C78D1"/>
    <w:rsid w:val="009D0693"/>
    <w:rsid w:val="009D0866"/>
    <w:rsid w:val="009D1BF9"/>
    <w:rsid w:val="009E250B"/>
    <w:rsid w:val="009E520A"/>
    <w:rsid w:val="009E64F2"/>
    <w:rsid w:val="009E6D32"/>
    <w:rsid w:val="009F1CB2"/>
    <w:rsid w:val="009F3D37"/>
    <w:rsid w:val="009F4360"/>
    <w:rsid w:val="00A003AC"/>
    <w:rsid w:val="00A0205D"/>
    <w:rsid w:val="00A0291F"/>
    <w:rsid w:val="00A02CEC"/>
    <w:rsid w:val="00A03F3C"/>
    <w:rsid w:val="00A07B84"/>
    <w:rsid w:val="00A10438"/>
    <w:rsid w:val="00A1118B"/>
    <w:rsid w:val="00A11A55"/>
    <w:rsid w:val="00A12D62"/>
    <w:rsid w:val="00A141B5"/>
    <w:rsid w:val="00A1768F"/>
    <w:rsid w:val="00A21197"/>
    <w:rsid w:val="00A30355"/>
    <w:rsid w:val="00A31844"/>
    <w:rsid w:val="00A3193D"/>
    <w:rsid w:val="00A34F73"/>
    <w:rsid w:val="00A3649B"/>
    <w:rsid w:val="00A36960"/>
    <w:rsid w:val="00A37E8B"/>
    <w:rsid w:val="00A42301"/>
    <w:rsid w:val="00A4334A"/>
    <w:rsid w:val="00A50FCE"/>
    <w:rsid w:val="00A54988"/>
    <w:rsid w:val="00A57874"/>
    <w:rsid w:val="00A578B8"/>
    <w:rsid w:val="00A61B73"/>
    <w:rsid w:val="00A62825"/>
    <w:rsid w:val="00A6377E"/>
    <w:rsid w:val="00A63E8C"/>
    <w:rsid w:val="00A64771"/>
    <w:rsid w:val="00A72772"/>
    <w:rsid w:val="00A73EAD"/>
    <w:rsid w:val="00A8352C"/>
    <w:rsid w:val="00A843AD"/>
    <w:rsid w:val="00A85B94"/>
    <w:rsid w:val="00A85C93"/>
    <w:rsid w:val="00A8681C"/>
    <w:rsid w:val="00A87149"/>
    <w:rsid w:val="00A90BF6"/>
    <w:rsid w:val="00A9477D"/>
    <w:rsid w:val="00A94A44"/>
    <w:rsid w:val="00AA20D4"/>
    <w:rsid w:val="00AA2834"/>
    <w:rsid w:val="00AA4D60"/>
    <w:rsid w:val="00AA55FA"/>
    <w:rsid w:val="00AA75F6"/>
    <w:rsid w:val="00AB1288"/>
    <w:rsid w:val="00AB389A"/>
    <w:rsid w:val="00AB4E5E"/>
    <w:rsid w:val="00AB5907"/>
    <w:rsid w:val="00AB61CE"/>
    <w:rsid w:val="00AB753F"/>
    <w:rsid w:val="00AB7CEC"/>
    <w:rsid w:val="00AC1DCB"/>
    <w:rsid w:val="00AC3ABD"/>
    <w:rsid w:val="00AC4CBB"/>
    <w:rsid w:val="00AC60D9"/>
    <w:rsid w:val="00AC738E"/>
    <w:rsid w:val="00AD5518"/>
    <w:rsid w:val="00AD6726"/>
    <w:rsid w:val="00AE3159"/>
    <w:rsid w:val="00AE536D"/>
    <w:rsid w:val="00AE69A5"/>
    <w:rsid w:val="00AF1974"/>
    <w:rsid w:val="00AF2256"/>
    <w:rsid w:val="00AF26A3"/>
    <w:rsid w:val="00AF35BD"/>
    <w:rsid w:val="00AF378C"/>
    <w:rsid w:val="00AF4B67"/>
    <w:rsid w:val="00AF7013"/>
    <w:rsid w:val="00B006AE"/>
    <w:rsid w:val="00B01A7D"/>
    <w:rsid w:val="00B060FB"/>
    <w:rsid w:val="00B0619D"/>
    <w:rsid w:val="00B06977"/>
    <w:rsid w:val="00B10E9A"/>
    <w:rsid w:val="00B1292C"/>
    <w:rsid w:val="00B13E3B"/>
    <w:rsid w:val="00B16B3D"/>
    <w:rsid w:val="00B1720D"/>
    <w:rsid w:val="00B178F4"/>
    <w:rsid w:val="00B17AE7"/>
    <w:rsid w:val="00B205E0"/>
    <w:rsid w:val="00B25575"/>
    <w:rsid w:val="00B30632"/>
    <w:rsid w:val="00B31D78"/>
    <w:rsid w:val="00B346A8"/>
    <w:rsid w:val="00B34916"/>
    <w:rsid w:val="00B418B4"/>
    <w:rsid w:val="00B43BDB"/>
    <w:rsid w:val="00B5010E"/>
    <w:rsid w:val="00B5145F"/>
    <w:rsid w:val="00B5202A"/>
    <w:rsid w:val="00B52072"/>
    <w:rsid w:val="00B5246B"/>
    <w:rsid w:val="00B5291E"/>
    <w:rsid w:val="00B55A0C"/>
    <w:rsid w:val="00B571FA"/>
    <w:rsid w:val="00B57FE6"/>
    <w:rsid w:val="00B64D31"/>
    <w:rsid w:val="00B71AA0"/>
    <w:rsid w:val="00B728AE"/>
    <w:rsid w:val="00B72CD3"/>
    <w:rsid w:val="00B752E0"/>
    <w:rsid w:val="00B75F51"/>
    <w:rsid w:val="00B76BBD"/>
    <w:rsid w:val="00B83D18"/>
    <w:rsid w:val="00B868A2"/>
    <w:rsid w:val="00B97725"/>
    <w:rsid w:val="00B97C9E"/>
    <w:rsid w:val="00BA3B88"/>
    <w:rsid w:val="00BA4908"/>
    <w:rsid w:val="00BA5A3F"/>
    <w:rsid w:val="00BB056A"/>
    <w:rsid w:val="00BB094E"/>
    <w:rsid w:val="00BB1A57"/>
    <w:rsid w:val="00BC010F"/>
    <w:rsid w:val="00BC3646"/>
    <w:rsid w:val="00BC5458"/>
    <w:rsid w:val="00BC6673"/>
    <w:rsid w:val="00BC7901"/>
    <w:rsid w:val="00BD1B7A"/>
    <w:rsid w:val="00BD48D8"/>
    <w:rsid w:val="00BD7EBB"/>
    <w:rsid w:val="00BE0175"/>
    <w:rsid w:val="00BE3445"/>
    <w:rsid w:val="00BE3452"/>
    <w:rsid w:val="00BE5CBB"/>
    <w:rsid w:val="00BE6D5F"/>
    <w:rsid w:val="00BE6F48"/>
    <w:rsid w:val="00BF0B9B"/>
    <w:rsid w:val="00BF3066"/>
    <w:rsid w:val="00BF3474"/>
    <w:rsid w:val="00C035DC"/>
    <w:rsid w:val="00C05131"/>
    <w:rsid w:val="00C0646E"/>
    <w:rsid w:val="00C066CA"/>
    <w:rsid w:val="00C110F9"/>
    <w:rsid w:val="00C118B7"/>
    <w:rsid w:val="00C1747B"/>
    <w:rsid w:val="00C177E6"/>
    <w:rsid w:val="00C22A40"/>
    <w:rsid w:val="00C2677F"/>
    <w:rsid w:val="00C26DF4"/>
    <w:rsid w:val="00C271E2"/>
    <w:rsid w:val="00C34B07"/>
    <w:rsid w:val="00C34DA8"/>
    <w:rsid w:val="00C35659"/>
    <w:rsid w:val="00C359ED"/>
    <w:rsid w:val="00C36C74"/>
    <w:rsid w:val="00C375BE"/>
    <w:rsid w:val="00C41427"/>
    <w:rsid w:val="00C416B6"/>
    <w:rsid w:val="00C457B3"/>
    <w:rsid w:val="00C45CDB"/>
    <w:rsid w:val="00C502FE"/>
    <w:rsid w:val="00C529B0"/>
    <w:rsid w:val="00C5372C"/>
    <w:rsid w:val="00C55DA7"/>
    <w:rsid w:val="00C56745"/>
    <w:rsid w:val="00C57D99"/>
    <w:rsid w:val="00C61A70"/>
    <w:rsid w:val="00C76CD5"/>
    <w:rsid w:val="00C83CE3"/>
    <w:rsid w:val="00C91673"/>
    <w:rsid w:val="00C93803"/>
    <w:rsid w:val="00C94C11"/>
    <w:rsid w:val="00C95779"/>
    <w:rsid w:val="00C9742C"/>
    <w:rsid w:val="00CA0F2D"/>
    <w:rsid w:val="00CA3B38"/>
    <w:rsid w:val="00CA417A"/>
    <w:rsid w:val="00CA54DA"/>
    <w:rsid w:val="00CA631C"/>
    <w:rsid w:val="00CA68A1"/>
    <w:rsid w:val="00CB05E4"/>
    <w:rsid w:val="00CB2B2A"/>
    <w:rsid w:val="00CB2CD9"/>
    <w:rsid w:val="00CB375B"/>
    <w:rsid w:val="00CB4C0B"/>
    <w:rsid w:val="00CB5F40"/>
    <w:rsid w:val="00CB662F"/>
    <w:rsid w:val="00CB6B4D"/>
    <w:rsid w:val="00CB6CF4"/>
    <w:rsid w:val="00CB7D4E"/>
    <w:rsid w:val="00CC005C"/>
    <w:rsid w:val="00CC1253"/>
    <w:rsid w:val="00CC2AD0"/>
    <w:rsid w:val="00CC4744"/>
    <w:rsid w:val="00CC6D8C"/>
    <w:rsid w:val="00CD30F0"/>
    <w:rsid w:val="00CD39E9"/>
    <w:rsid w:val="00CD6FCE"/>
    <w:rsid w:val="00CD7A3B"/>
    <w:rsid w:val="00CE0873"/>
    <w:rsid w:val="00CE3DC1"/>
    <w:rsid w:val="00CE3E33"/>
    <w:rsid w:val="00CE3E42"/>
    <w:rsid w:val="00CE46C7"/>
    <w:rsid w:val="00CF04DF"/>
    <w:rsid w:val="00CF1F85"/>
    <w:rsid w:val="00CF418A"/>
    <w:rsid w:val="00CF5061"/>
    <w:rsid w:val="00CF562A"/>
    <w:rsid w:val="00CF75CC"/>
    <w:rsid w:val="00D0283B"/>
    <w:rsid w:val="00D0430E"/>
    <w:rsid w:val="00D076AC"/>
    <w:rsid w:val="00D109C0"/>
    <w:rsid w:val="00D13929"/>
    <w:rsid w:val="00D14151"/>
    <w:rsid w:val="00D14EBE"/>
    <w:rsid w:val="00D1703A"/>
    <w:rsid w:val="00D21B8F"/>
    <w:rsid w:val="00D21D1C"/>
    <w:rsid w:val="00D2292D"/>
    <w:rsid w:val="00D2431F"/>
    <w:rsid w:val="00D24870"/>
    <w:rsid w:val="00D25994"/>
    <w:rsid w:val="00D27B51"/>
    <w:rsid w:val="00D32113"/>
    <w:rsid w:val="00D33A45"/>
    <w:rsid w:val="00D344F7"/>
    <w:rsid w:val="00D350F5"/>
    <w:rsid w:val="00D353AC"/>
    <w:rsid w:val="00D35671"/>
    <w:rsid w:val="00D36084"/>
    <w:rsid w:val="00D36318"/>
    <w:rsid w:val="00D40385"/>
    <w:rsid w:val="00D41770"/>
    <w:rsid w:val="00D41D1C"/>
    <w:rsid w:val="00D42518"/>
    <w:rsid w:val="00D4709F"/>
    <w:rsid w:val="00D509DE"/>
    <w:rsid w:val="00D50C99"/>
    <w:rsid w:val="00D51F0A"/>
    <w:rsid w:val="00D54684"/>
    <w:rsid w:val="00D60830"/>
    <w:rsid w:val="00D617CE"/>
    <w:rsid w:val="00D62144"/>
    <w:rsid w:val="00D6271C"/>
    <w:rsid w:val="00D631D6"/>
    <w:rsid w:val="00D64664"/>
    <w:rsid w:val="00D65B80"/>
    <w:rsid w:val="00D675A3"/>
    <w:rsid w:val="00D75667"/>
    <w:rsid w:val="00D76BED"/>
    <w:rsid w:val="00D81C85"/>
    <w:rsid w:val="00D8204E"/>
    <w:rsid w:val="00D90419"/>
    <w:rsid w:val="00D9250E"/>
    <w:rsid w:val="00D926F1"/>
    <w:rsid w:val="00D939A3"/>
    <w:rsid w:val="00D95B60"/>
    <w:rsid w:val="00DA0172"/>
    <w:rsid w:val="00DA0610"/>
    <w:rsid w:val="00DA3CB5"/>
    <w:rsid w:val="00DA45D9"/>
    <w:rsid w:val="00DB0D43"/>
    <w:rsid w:val="00DB26C5"/>
    <w:rsid w:val="00DB28CD"/>
    <w:rsid w:val="00DB3266"/>
    <w:rsid w:val="00DB59AE"/>
    <w:rsid w:val="00DB70F5"/>
    <w:rsid w:val="00DC7B06"/>
    <w:rsid w:val="00DD165A"/>
    <w:rsid w:val="00DD39C1"/>
    <w:rsid w:val="00DD6DF9"/>
    <w:rsid w:val="00DE07FC"/>
    <w:rsid w:val="00DE3BB1"/>
    <w:rsid w:val="00DE44C0"/>
    <w:rsid w:val="00DE7E60"/>
    <w:rsid w:val="00DF44CE"/>
    <w:rsid w:val="00DF4696"/>
    <w:rsid w:val="00DF47EE"/>
    <w:rsid w:val="00DF5C01"/>
    <w:rsid w:val="00DF60A4"/>
    <w:rsid w:val="00DF6F8D"/>
    <w:rsid w:val="00E005A3"/>
    <w:rsid w:val="00E026F3"/>
    <w:rsid w:val="00E04253"/>
    <w:rsid w:val="00E042C8"/>
    <w:rsid w:val="00E06D7F"/>
    <w:rsid w:val="00E0734D"/>
    <w:rsid w:val="00E1169B"/>
    <w:rsid w:val="00E12C20"/>
    <w:rsid w:val="00E142E6"/>
    <w:rsid w:val="00E22C27"/>
    <w:rsid w:val="00E23E84"/>
    <w:rsid w:val="00E26EB3"/>
    <w:rsid w:val="00E34FB9"/>
    <w:rsid w:val="00E357E6"/>
    <w:rsid w:val="00E40709"/>
    <w:rsid w:val="00E40A75"/>
    <w:rsid w:val="00E41F0F"/>
    <w:rsid w:val="00E4384E"/>
    <w:rsid w:val="00E51B7A"/>
    <w:rsid w:val="00E527A6"/>
    <w:rsid w:val="00E52864"/>
    <w:rsid w:val="00E54DA2"/>
    <w:rsid w:val="00E553A4"/>
    <w:rsid w:val="00E55B38"/>
    <w:rsid w:val="00E60942"/>
    <w:rsid w:val="00E60CFE"/>
    <w:rsid w:val="00E666DF"/>
    <w:rsid w:val="00E757D9"/>
    <w:rsid w:val="00E87591"/>
    <w:rsid w:val="00E90054"/>
    <w:rsid w:val="00E94A3F"/>
    <w:rsid w:val="00E96298"/>
    <w:rsid w:val="00EA7510"/>
    <w:rsid w:val="00EB04E8"/>
    <w:rsid w:val="00EB11BC"/>
    <w:rsid w:val="00EB2831"/>
    <w:rsid w:val="00EB2EB5"/>
    <w:rsid w:val="00EB43BE"/>
    <w:rsid w:val="00EB7ECD"/>
    <w:rsid w:val="00EC0B4D"/>
    <w:rsid w:val="00EC3423"/>
    <w:rsid w:val="00ED2112"/>
    <w:rsid w:val="00ED3B9B"/>
    <w:rsid w:val="00ED4EBD"/>
    <w:rsid w:val="00ED55C9"/>
    <w:rsid w:val="00ED7800"/>
    <w:rsid w:val="00EE0769"/>
    <w:rsid w:val="00EE1F9A"/>
    <w:rsid w:val="00EE2323"/>
    <w:rsid w:val="00EE360D"/>
    <w:rsid w:val="00EE5125"/>
    <w:rsid w:val="00EF026F"/>
    <w:rsid w:val="00EF48FF"/>
    <w:rsid w:val="00EF52E1"/>
    <w:rsid w:val="00EF5970"/>
    <w:rsid w:val="00EF6016"/>
    <w:rsid w:val="00EF6A6E"/>
    <w:rsid w:val="00F010DE"/>
    <w:rsid w:val="00F01A3A"/>
    <w:rsid w:val="00F02692"/>
    <w:rsid w:val="00F02EC5"/>
    <w:rsid w:val="00F05218"/>
    <w:rsid w:val="00F05896"/>
    <w:rsid w:val="00F06D7F"/>
    <w:rsid w:val="00F112DD"/>
    <w:rsid w:val="00F1295D"/>
    <w:rsid w:val="00F13FCF"/>
    <w:rsid w:val="00F149C3"/>
    <w:rsid w:val="00F14AEE"/>
    <w:rsid w:val="00F14E48"/>
    <w:rsid w:val="00F16512"/>
    <w:rsid w:val="00F21061"/>
    <w:rsid w:val="00F21ABC"/>
    <w:rsid w:val="00F24C9B"/>
    <w:rsid w:val="00F32355"/>
    <w:rsid w:val="00F335AB"/>
    <w:rsid w:val="00F343D0"/>
    <w:rsid w:val="00F4612C"/>
    <w:rsid w:val="00F465CC"/>
    <w:rsid w:val="00F51D8A"/>
    <w:rsid w:val="00F53C16"/>
    <w:rsid w:val="00F669CA"/>
    <w:rsid w:val="00F71DB4"/>
    <w:rsid w:val="00F84CD5"/>
    <w:rsid w:val="00F84EFC"/>
    <w:rsid w:val="00F8592C"/>
    <w:rsid w:val="00F914C3"/>
    <w:rsid w:val="00F928F8"/>
    <w:rsid w:val="00F93675"/>
    <w:rsid w:val="00F9443B"/>
    <w:rsid w:val="00F96337"/>
    <w:rsid w:val="00F9771A"/>
    <w:rsid w:val="00FA2582"/>
    <w:rsid w:val="00FA48EC"/>
    <w:rsid w:val="00FA5CA3"/>
    <w:rsid w:val="00FA6C0C"/>
    <w:rsid w:val="00FA6EC4"/>
    <w:rsid w:val="00FB3A30"/>
    <w:rsid w:val="00FB4EA2"/>
    <w:rsid w:val="00FB5269"/>
    <w:rsid w:val="00FB59B0"/>
    <w:rsid w:val="00FB5A74"/>
    <w:rsid w:val="00FC65C3"/>
    <w:rsid w:val="00FD08E5"/>
    <w:rsid w:val="00FD2354"/>
    <w:rsid w:val="00FD40C2"/>
    <w:rsid w:val="00FD45EB"/>
    <w:rsid w:val="00FD48C5"/>
    <w:rsid w:val="00FD6772"/>
    <w:rsid w:val="00FE2746"/>
    <w:rsid w:val="00FE27E8"/>
    <w:rsid w:val="00FE2EEA"/>
    <w:rsid w:val="00FE320A"/>
    <w:rsid w:val="00FE5790"/>
    <w:rsid w:val="00FF0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stroke weight="1.5pt"/>
    </o:shapedefaults>
    <o:shapelayout v:ext="edit">
      <o:idmap v:ext="edit" data="1"/>
    </o:shapelayout>
  </w:shapeDefaults>
  <w:decimalSymbol w:val=","/>
  <w:listSeparator w:val=";"/>
  <w14:docId w14:val="725AE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4678AC"/>
    <w:pPr>
      <w:keepNext/>
      <w:spacing w:before="480" w:after="120"/>
      <w:jc w:val="both"/>
      <w:outlineLvl w:val="0"/>
    </w:pPr>
    <w:rPr>
      <w:rFonts w:ascii="Arial" w:hAnsi="Arial" w:cs="Arial"/>
      <w:b/>
      <w:bCs/>
      <w:smallCaps/>
      <w:sz w:val="28"/>
      <w:szCs w:val="28"/>
    </w:rPr>
  </w:style>
  <w:style w:type="paragraph" w:styleId="Nadpis2">
    <w:name w:val="heading 2"/>
    <w:basedOn w:val="Normln"/>
    <w:next w:val="Normln"/>
    <w:link w:val="Nadpis2Char"/>
    <w:uiPriority w:val="99"/>
    <w:qFormat/>
    <w:rsid w:val="001F49CE"/>
    <w:pPr>
      <w:overflowPunct w:val="0"/>
      <w:autoSpaceDE w:val="0"/>
      <w:autoSpaceDN w:val="0"/>
      <w:adjustRightInd w:val="0"/>
      <w:spacing w:before="480" w:after="240"/>
      <w:jc w:val="both"/>
      <w:textAlignment w:val="baseline"/>
      <w:outlineLvl w:val="1"/>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BE6F48"/>
    <w:pPr>
      <w:spacing w:after="160" w:line="240" w:lineRule="exact"/>
    </w:pPr>
    <w:rPr>
      <w:rFonts w:ascii="Times New Roman Bold" w:hAnsi="Times New Roman Bold"/>
      <w:sz w:val="22"/>
      <w:szCs w:val="26"/>
      <w:lang w:val="sk-SK" w:eastAsia="en-US"/>
    </w:rPr>
  </w:style>
  <w:style w:type="paragraph" w:styleId="Podtitul">
    <w:name w:val="Subtitle"/>
    <w:basedOn w:val="Normln"/>
    <w:next w:val="Normln"/>
    <w:link w:val="PodtitulChar"/>
    <w:uiPriority w:val="11"/>
    <w:qFormat/>
    <w:rsid w:val="00615996"/>
    <w:pPr>
      <w:keepNext/>
      <w:spacing w:before="360" w:after="240"/>
      <w:jc w:val="both"/>
    </w:pPr>
    <w:rPr>
      <w:rFonts w:ascii="Arial" w:hAnsi="Arial" w:cs="Arial"/>
      <w:b/>
      <w:bCs/>
      <w:sz w:val="22"/>
      <w:szCs w:val="22"/>
    </w:rPr>
  </w:style>
  <w:style w:type="character" w:customStyle="1" w:styleId="PodtitulChar">
    <w:name w:val="Podtitul Char"/>
    <w:link w:val="Podtitul"/>
    <w:uiPriority w:val="11"/>
    <w:rsid w:val="00615996"/>
    <w:rPr>
      <w:rFonts w:ascii="Arial" w:hAnsi="Arial" w:cs="Arial"/>
      <w:b/>
      <w:bCs/>
      <w:sz w:val="22"/>
      <w:szCs w:val="22"/>
    </w:rPr>
  </w:style>
  <w:style w:type="paragraph" w:styleId="Bezmezer">
    <w:name w:val="No Spacing"/>
    <w:uiPriority w:val="1"/>
    <w:qFormat/>
    <w:rsid w:val="00D21D1C"/>
    <w:rPr>
      <w:rFonts w:ascii="Calibri" w:eastAsia="Calibri" w:hAnsi="Calibri"/>
      <w:sz w:val="22"/>
      <w:szCs w:val="22"/>
      <w:lang w:eastAsia="en-US"/>
    </w:rPr>
  </w:style>
  <w:style w:type="paragraph" w:customStyle="1" w:styleId="Textbodu">
    <w:name w:val="Text bodu"/>
    <w:basedOn w:val="Normln"/>
    <w:rsid w:val="00D21D1C"/>
    <w:pPr>
      <w:overflowPunct w:val="0"/>
      <w:autoSpaceDE w:val="0"/>
      <w:autoSpaceDN w:val="0"/>
      <w:adjustRightInd w:val="0"/>
      <w:spacing w:after="160" w:line="340" w:lineRule="exact"/>
      <w:textAlignment w:val="baseline"/>
      <w:outlineLvl w:val="8"/>
    </w:pPr>
    <w:rPr>
      <w:rFonts w:ascii="Calibri" w:hAnsi="Calibri"/>
      <w:sz w:val="22"/>
      <w:szCs w:val="20"/>
    </w:rPr>
  </w:style>
  <w:style w:type="paragraph" w:customStyle="1" w:styleId="Textpsmene">
    <w:name w:val="Text písmene"/>
    <w:basedOn w:val="Normln"/>
    <w:rsid w:val="00D21D1C"/>
    <w:pPr>
      <w:overflowPunct w:val="0"/>
      <w:autoSpaceDE w:val="0"/>
      <w:autoSpaceDN w:val="0"/>
      <w:adjustRightInd w:val="0"/>
      <w:spacing w:after="160" w:line="340" w:lineRule="exact"/>
      <w:textAlignment w:val="baseline"/>
      <w:outlineLvl w:val="7"/>
    </w:pPr>
    <w:rPr>
      <w:rFonts w:ascii="Calibri" w:hAnsi="Calibri"/>
      <w:sz w:val="22"/>
      <w:szCs w:val="20"/>
    </w:rPr>
  </w:style>
  <w:style w:type="paragraph" w:customStyle="1" w:styleId="Textodstavce">
    <w:name w:val="Text odstavce"/>
    <w:basedOn w:val="Normln"/>
    <w:rsid w:val="00D21D1C"/>
    <w:pPr>
      <w:tabs>
        <w:tab w:val="left" w:pos="851"/>
      </w:tabs>
      <w:overflowPunct w:val="0"/>
      <w:autoSpaceDE w:val="0"/>
      <w:autoSpaceDN w:val="0"/>
      <w:adjustRightInd w:val="0"/>
      <w:spacing w:before="120" w:after="120" w:line="340" w:lineRule="exact"/>
      <w:textAlignment w:val="baseline"/>
      <w:outlineLvl w:val="6"/>
    </w:pPr>
    <w:rPr>
      <w:rFonts w:ascii="Calibri" w:hAnsi="Calibri"/>
      <w:sz w:val="22"/>
      <w:szCs w:val="20"/>
    </w:rPr>
  </w:style>
  <w:style w:type="paragraph" w:styleId="Zkladntext2">
    <w:name w:val="Body Text 2"/>
    <w:basedOn w:val="Normln"/>
    <w:link w:val="Zkladntext2Char"/>
    <w:unhideWhenUsed/>
    <w:rsid w:val="00C375BE"/>
    <w:pPr>
      <w:overflowPunct w:val="0"/>
      <w:autoSpaceDE w:val="0"/>
      <w:autoSpaceDN w:val="0"/>
      <w:adjustRightInd w:val="0"/>
      <w:jc w:val="both"/>
    </w:pPr>
    <w:rPr>
      <w:sz w:val="26"/>
      <w:szCs w:val="20"/>
    </w:rPr>
  </w:style>
  <w:style w:type="character" w:customStyle="1" w:styleId="Zkladntext2Char">
    <w:name w:val="Základní text 2 Char"/>
    <w:basedOn w:val="Standardnpsmoodstavce"/>
    <w:link w:val="Zkladntext2"/>
    <w:rsid w:val="00C375BE"/>
    <w:rPr>
      <w:sz w:val="26"/>
    </w:rPr>
  </w:style>
  <w:style w:type="paragraph" w:styleId="Odstavecseseznamem">
    <w:name w:val="List Paragraph"/>
    <w:basedOn w:val="Normln"/>
    <w:link w:val="OdstavecseseznamemChar"/>
    <w:uiPriority w:val="34"/>
    <w:qFormat/>
    <w:rsid w:val="00C375BE"/>
    <w:pPr>
      <w:ind w:left="720"/>
      <w:contextualSpacing/>
    </w:pPr>
  </w:style>
  <w:style w:type="paragraph" w:styleId="Textpoznpodarou">
    <w:name w:val="footnote text"/>
    <w:basedOn w:val="Normln"/>
    <w:link w:val="TextpoznpodarouChar"/>
    <w:uiPriority w:val="99"/>
    <w:semiHidden/>
    <w:unhideWhenUsed/>
    <w:rsid w:val="009B1387"/>
    <w:pPr>
      <w:overflowPunct w:val="0"/>
      <w:autoSpaceDE w:val="0"/>
      <w:autoSpaceDN w:val="0"/>
      <w:adjustRightInd w:val="0"/>
      <w:textAlignment w:val="baseline"/>
    </w:pPr>
    <w:rPr>
      <w:rFonts w:ascii="Calibri" w:hAnsi="Calibri"/>
      <w:sz w:val="20"/>
      <w:szCs w:val="20"/>
    </w:rPr>
  </w:style>
  <w:style w:type="character" w:customStyle="1" w:styleId="TextpoznpodarouChar">
    <w:name w:val="Text pozn. pod čarou Char"/>
    <w:basedOn w:val="Standardnpsmoodstavce"/>
    <w:link w:val="Textpoznpodarou"/>
    <w:uiPriority w:val="99"/>
    <w:semiHidden/>
    <w:rsid w:val="009B1387"/>
    <w:rPr>
      <w:rFonts w:ascii="Calibri" w:hAnsi="Calibri"/>
    </w:rPr>
  </w:style>
  <w:style w:type="character" w:styleId="Znakapoznpodarou">
    <w:name w:val="footnote reference"/>
    <w:uiPriority w:val="99"/>
    <w:unhideWhenUsed/>
    <w:rsid w:val="009B1387"/>
    <w:rPr>
      <w:vertAlign w:val="superscript"/>
    </w:rPr>
  </w:style>
  <w:style w:type="paragraph" w:customStyle="1" w:styleId="Bezmezer1">
    <w:name w:val="Bez mezer1"/>
    <w:qFormat/>
    <w:rsid w:val="00A10438"/>
    <w:rPr>
      <w:rFonts w:ascii="Calibri" w:hAnsi="Calibri" w:cs="Calibri"/>
      <w:sz w:val="22"/>
      <w:szCs w:val="22"/>
      <w:lang w:eastAsia="en-US"/>
    </w:rPr>
  </w:style>
  <w:style w:type="character" w:styleId="Hypertextovodkaz">
    <w:name w:val="Hyperlink"/>
    <w:uiPriority w:val="99"/>
    <w:unhideWhenUsed/>
    <w:rsid w:val="00D509DE"/>
    <w:rPr>
      <w:color w:val="0000FF"/>
      <w:u w:val="single"/>
    </w:rPr>
  </w:style>
  <w:style w:type="character" w:customStyle="1" w:styleId="Nadpis2Char">
    <w:name w:val="Nadpis 2 Char"/>
    <w:basedOn w:val="Standardnpsmoodstavce"/>
    <w:link w:val="Nadpis2"/>
    <w:uiPriority w:val="99"/>
    <w:rsid w:val="001F49CE"/>
    <w:rPr>
      <w:rFonts w:ascii="Arial" w:hAnsi="Arial" w:cs="Arial"/>
      <w:b/>
      <w:sz w:val="24"/>
      <w:szCs w:val="24"/>
    </w:rPr>
  </w:style>
  <w:style w:type="paragraph" w:customStyle="1" w:styleId="Styl1">
    <w:name w:val="Styl1"/>
    <w:basedOn w:val="Prosttext"/>
    <w:next w:val="Seznamsodrkami"/>
    <w:uiPriority w:val="99"/>
    <w:rsid w:val="00107F6C"/>
    <w:pPr>
      <w:spacing w:afterAutospacing="1"/>
      <w:ind w:firstLine="709"/>
      <w:jc w:val="both"/>
    </w:pPr>
    <w:rPr>
      <w:rFonts w:ascii="Times New Roman (PCL6)" w:hAnsi="Times New Roman (PCL6)" w:cs="Times New Roman"/>
      <w:sz w:val="24"/>
      <w:szCs w:val="20"/>
      <w:lang w:val="en-GB"/>
    </w:rPr>
  </w:style>
  <w:style w:type="paragraph" w:styleId="Prosttext">
    <w:name w:val="Plain Text"/>
    <w:basedOn w:val="Normln"/>
    <w:link w:val="ProsttextChar"/>
    <w:uiPriority w:val="99"/>
    <w:semiHidden/>
    <w:unhideWhenUsed/>
    <w:rsid w:val="00107F6C"/>
    <w:rPr>
      <w:rFonts w:ascii="Consolas" w:hAnsi="Consolas" w:cs="Consolas"/>
      <w:sz w:val="21"/>
      <w:szCs w:val="21"/>
    </w:rPr>
  </w:style>
  <w:style w:type="character" w:customStyle="1" w:styleId="ProsttextChar">
    <w:name w:val="Prostý text Char"/>
    <w:basedOn w:val="Standardnpsmoodstavce"/>
    <w:link w:val="Prosttext"/>
    <w:uiPriority w:val="99"/>
    <w:semiHidden/>
    <w:rsid w:val="00107F6C"/>
    <w:rPr>
      <w:rFonts w:ascii="Consolas" w:hAnsi="Consolas" w:cs="Consolas"/>
      <w:sz w:val="21"/>
      <w:szCs w:val="21"/>
    </w:rPr>
  </w:style>
  <w:style w:type="paragraph" w:styleId="Seznamsodrkami">
    <w:name w:val="List Bullet"/>
    <w:basedOn w:val="Normln"/>
    <w:uiPriority w:val="99"/>
    <w:unhideWhenUsed/>
    <w:rsid w:val="00107F6C"/>
    <w:pPr>
      <w:numPr>
        <w:numId w:val="6"/>
      </w:numPr>
      <w:contextualSpacing/>
    </w:pPr>
  </w:style>
  <w:style w:type="character" w:styleId="Odkaznakoment">
    <w:name w:val="annotation reference"/>
    <w:basedOn w:val="Standardnpsmoodstavce"/>
    <w:uiPriority w:val="99"/>
    <w:semiHidden/>
    <w:unhideWhenUsed/>
    <w:rsid w:val="00107F6C"/>
    <w:rPr>
      <w:sz w:val="16"/>
      <w:szCs w:val="16"/>
    </w:rPr>
  </w:style>
  <w:style w:type="paragraph" w:styleId="Textkomente">
    <w:name w:val="annotation text"/>
    <w:basedOn w:val="Normln"/>
    <w:link w:val="TextkomenteChar"/>
    <w:uiPriority w:val="99"/>
    <w:semiHidden/>
    <w:unhideWhenUsed/>
    <w:rsid w:val="00107F6C"/>
    <w:rPr>
      <w:sz w:val="20"/>
      <w:szCs w:val="20"/>
    </w:rPr>
  </w:style>
  <w:style w:type="character" w:customStyle="1" w:styleId="TextkomenteChar">
    <w:name w:val="Text komentáře Char"/>
    <w:basedOn w:val="Standardnpsmoodstavce"/>
    <w:link w:val="Textkomente"/>
    <w:uiPriority w:val="99"/>
    <w:semiHidden/>
    <w:rsid w:val="00107F6C"/>
  </w:style>
  <w:style w:type="paragraph" w:styleId="Pedmtkomente">
    <w:name w:val="annotation subject"/>
    <w:basedOn w:val="Textkomente"/>
    <w:next w:val="Textkomente"/>
    <w:link w:val="PedmtkomenteChar"/>
    <w:uiPriority w:val="99"/>
    <w:semiHidden/>
    <w:unhideWhenUsed/>
    <w:rsid w:val="00107F6C"/>
    <w:rPr>
      <w:b/>
      <w:bCs/>
    </w:rPr>
  </w:style>
  <w:style w:type="character" w:customStyle="1" w:styleId="PedmtkomenteChar">
    <w:name w:val="Předmět komentáře Char"/>
    <w:basedOn w:val="TextkomenteChar"/>
    <w:link w:val="Pedmtkomente"/>
    <w:uiPriority w:val="99"/>
    <w:semiHidden/>
    <w:rsid w:val="00107F6C"/>
    <w:rPr>
      <w:b/>
      <w:bCs/>
    </w:rPr>
  </w:style>
  <w:style w:type="paragraph" w:customStyle="1" w:styleId="Default">
    <w:name w:val="Default"/>
    <w:rsid w:val="00EB7ECD"/>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7710D6"/>
    <w:pPr>
      <w:spacing w:after="120"/>
      <w:ind w:left="283"/>
    </w:pPr>
  </w:style>
  <w:style w:type="character" w:customStyle="1" w:styleId="ZkladntextodsazenChar">
    <w:name w:val="Základní text odsazený Char"/>
    <w:basedOn w:val="Standardnpsmoodstavce"/>
    <w:link w:val="Zkladntextodsazen"/>
    <w:uiPriority w:val="99"/>
    <w:semiHidden/>
    <w:rsid w:val="007710D6"/>
    <w:rPr>
      <w:sz w:val="24"/>
      <w:szCs w:val="24"/>
    </w:rPr>
  </w:style>
  <w:style w:type="character" w:customStyle="1" w:styleId="OdstavecseseznamemChar">
    <w:name w:val="Odstavec se seznamem Char"/>
    <w:link w:val="Odstavecseseznamem"/>
    <w:uiPriority w:val="34"/>
    <w:rsid w:val="00360555"/>
    <w:rPr>
      <w:sz w:val="24"/>
      <w:szCs w:val="24"/>
    </w:rPr>
  </w:style>
  <w:style w:type="paragraph" w:styleId="Zkladntext">
    <w:name w:val="Body Text"/>
    <w:basedOn w:val="Normln"/>
    <w:link w:val="ZkladntextChar"/>
    <w:uiPriority w:val="99"/>
    <w:unhideWhenUsed/>
    <w:rsid w:val="003A453C"/>
    <w:pPr>
      <w:spacing w:after="120"/>
    </w:pPr>
  </w:style>
  <w:style w:type="character" w:customStyle="1" w:styleId="ZkladntextChar">
    <w:name w:val="Základní text Char"/>
    <w:basedOn w:val="Standardnpsmoodstavce"/>
    <w:link w:val="Zkladntext"/>
    <w:uiPriority w:val="99"/>
    <w:rsid w:val="003A453C"/>
    <w:rPr>
      <w:sz w:val="24"/>
      <w:szCs w:val="24"/>
    </w:rPr>
  </w:style>
  <w:style w:type="paragraph" w:styleId="Revize">
    <w:name w:val="Revision"/>
    <w:hidden/>
    <w:uiPriority w:val="71"/>
    <w:rsid w:val="00626520"/>
    <w:rPr>
      <w:sz w:val="24"/>
      <w:szCs w:val="24"/>
    </w:rPr>
  </w:style>
  <w:style w:type="table" w:styleId="Mkatabulky">
    <w:name w:val="Table Grid"/>
    <w:basedOn w:val="Normlntabulka"/>
    <w:uiPriority w:val="59"/>
    <w:rsid w:val="00BE0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mezer2">
    <w:name w:val="Bez mezer2"/>
    <w:rsid w:val="00B72CD3"/>
    <w:pPr>
      <w:suppressAutoHyphens/>
    </w:pPr>
    <w:rPr>
      <w:rFonts w:ascii="Calibri" w:eastAsia="Calibri" w:hAnsi="Calibri"/>
      <w:sz w:val="22"/>
      <w:szCs w:val="22"/>
      <w:lang w:eastAsia="ar-SA"/>
    </w:rPr>
  </w:style>
  <w:style w:type="character" w:customStyle="1" w:styleId="Nadpis1Char">
    <w:name w:val="Nadpis 1 Char"/>
    <w:basedOn w:val="Standardnpsmoodstavce"/>
    <w:link w:val="Nadpis1"/>
    <w:uiPriority w:val="9"/>
    <w:rsid w:val="004678AC"/>
    <w:rPr>
      <w:rFonts w:ascii="Arial" w:hAnsi="Arial" w:cs="Arial"/>
      <w:b/>
      <w:bCs/>
      <w:smallCaps/>
      <w:sz w:val="28"/>
      <w:szCs w:val="28"/>
    </w:rPr>
  </w:style>
  <w:style w:type="paragraph" w:styleId="Zkladntext3">
    <w:name w:val="Body Text 3"/>
    <w:basedOn w:val="Normln"/>
    <w:link w:val="Zkladntext3Char"/>
    <w:uiPriority w:val="99"/>
    <w:semiHidden/>
    <w:unhideWhenUsed/>
    <w:rsid w:val="00EF026F"/>
    <w:pPr>
      <w:spacing w:after="120"/>
    </w:pPr>
    <w:rPr>
      <w:sz w:val="16"/>
      <w:szCs w:val="16"/>
    </w:rPr>
  </w:style>
  <w:style w:type="character" w:customStyle="1" w:styleId="Zkladntext3Char">
    <w:name w:val="Základní text 3 Char"/>
    <w:basedOn w:val="Standardnpsmoodstavce"/>
    <w:link w:val="Zkladntext3"/>
    <w:uiPriority w:val="99"/>
    <w:semiHidden/>
    <w:rsid w:val="00EF026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4678AC"/>
    <w:pPr>
      <w:keepNext/>
      <w:spacing w:before="480" w:after="120"/>
      <w:jc w:val="both"/>
      <w:outlineLvl w:val="0"/>
    </w:pPr>
    <w:rPr>
      <w:rFonts w:ascii="Arial" w:hAnsi="Arial" w:cs="Arial"/>
      <w:b/>
      <w:bCs/>
      <w:smallCaps/>
      <w:sz w:val="28"/>
      <w:szCs w:val="28"/>
    </w:rPr>
  </w:style>
  <w:style w:type="paragraph" w:styleId="Nadpis2">
    <w:name w:val="heading 2"/>
    <w:basedOn w:val="Normln"/>
    <w:next w:val="Normln"/>
    <w:link w:val="Nadpis2Char"/>
    <w:uiPriority w:val="99"/>
    <w:qFormat/>
    <w:rsid w:val="001F49CE"/>
    <w:pPr>
      <w:overflowPunct w:val="0"/>
      <w:autoSpaceDE w:val="0"/>
      <w:autoSpaceDN w:val="0"/>
      <w:adjustRightInd w:val="0"/>
      <w:spacing w:before="480" w:after="240"/>
      <w:jc w:val="both"/>
      <w:textAlignment w:val="baseline"/>
      <w:outlineLvl w:val="1"/>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BE6F48"/>
    <w:pPr>
      <w:spacing w:after="160" w:line="240" w:lineRule="exact"/>
    </w:pPr>
    <w:rPr>
      <w:rFonts w:ascii="Times New Roman Bold" w:hAnsi="Times New Roman Bold"/>
      <w:sz w:val="22"/>
      <w:szCs w:val="26"/>
      <w:lang w:val="sk-SK" w:eastAsia="en-US"/>
    </w:rPr>
  </w:style>
  <w:style w:type="paragraph" w:styleId="Podtitul">
    <w:name w:val="Subtitle"/>
    <w:basedOn w:val="Normln"/>
    <w:next w:val="Normln"/>
    <w:link w:val="PodtitulChar"/>
    <w:uiPriority w:val="11"/>
    <w:qFormat/>
    <w:rsid w:val="00615996"/>
    <w:pPr>
      <w:keepNext/>
      <w:spacing w:before="360" w:after="240"/>
      <w:jc w:val="both"/>
    </w:pPr>
    <w:rPr>
      <w:rFonts w:ascii="Arial" w:hAnsi="Arial" w:cs="Arial"/>
      <w:b/>
      <w:bCs/>
      <w:sz w:val="22"/>
      <w:szCs w:val="22"/>
    </w:rPr>
  </w:style>
  <w:style w:type="character" w:customStyle="1" w:styleId="PodtitulChar">
    <w:name w:val="Podtitul Char"/>
    <w:link w:val="Podtitul"/>
    <w:uiPriority w:val="11"/>
    <w:rsid w:val="00615996"/>
    <w:rPr>
      <w:rFonts w:ascii="Arial" w:hAnsi="Arial" w:cs="Arial"/>
      <w:b/>
      <w:bCs/>
      <w:sz w:val="22"/>
      <w:szCs w:val="22"/>
    </w:rPr>
  </w:style>
  <w:style w:type="paragraph" w:styleId="Bezmezer">
    <w:name w:val="No Spacing"/>
    <w:uiPriority w:val="1"/>
    <w:qFormat/>
    <w:rsid w:val="00D21D1C"/>
    <w:rPr>
      <w:rFonts w:ascii="Calibri" w:eastAsia="Calibri" w:hAnsi="Calibri"/>
      <w:sz w:val="22"/>
      <w:szCs w:val="22"/>
      <w:lang w:eastAsia="en-US"/>
    </w:rPr>
  </w:style>
  <w:style w:type="paragraph" w:customStyle="1" w:styleId="Textbodu">
    <w:name w:val="Text bodu"/>
    <w:basedOn w:val="Normln"/>
    <w:rsid w:val="00D21D1C"/>
    <w:pPr>
      <w:overflowPunct w:val="0"/>
      <w:autoSpaceDE w:val="0"/>
      <w:autoSpaceDN w:val="0"/>
      <w:adjustRightInd w:val="0"/>
      <w:spacing w:after="160" w:line="340" w:lineRule="exact"/>
      <w:textAlignment w:val="baseline"/>
      <w:outlineLvl w:val="8"/>
    </w:pPr>
    <w:rPr>
      <w:rFonts w:ascii="Calibri" w:hAnsi="Calibri"/>
      <w:sz w:val="22"/>
      <w:szCs w:val="20"/>
    </w:rPr>
  </w:style>
  <w:style w:type="paragraph" w:customStyle="1" w:styleId="Textpsmene">
    <w:name w:val="Text písmene"/>
    <w:basedOn w:val="Normln"/>
    <w:rsid w:val="00D21D1C"/>
    <w:pPr>
      <w:overflowPunct w:val="0"/>
      <w:autoSpaceDE w:val="0"/>
      <w:autoSpaceDN w:val="0"/>
      <w:adjustRightInd w:val="0"/>
      <w:spacing w:after="160" w:line="340" w:lineRule="exact"/>
      <w:textAlignment w:val="baseline"/>
      <w:outlineLvl w:val="7"/>
    </w:pPr>
    <w:rPr>
      <w:rFonts w:ascii="Calibri" w:hAnsi="Calibri"/>
      <w:sz w:val="22"/>
      <w:szCs w:val="20"/>
    </w:rPr>
  </w:style>
  <w:style w:type="paragraph" w:customStyle="1" w:styleId="Textodstavce">
    <w:name w:val="Text odstavce"/>
    <w:basedOn w:val="Normln"/>
    <w:rsid w:val="00D21D1C"/>
    <w:pPr>
      <w:tabs>
        <w:tab w:val="left" w:pos="851"/>
      </w:tabs>
      <w:overflowPunct w:val="0"/>
      <w:autoSpaceDE w:val="0"/>
      <w:autoSpaceDN w:val="0"/>
      <w:adjustRightInd w:val="0"/>
      <w:spacing w:before="120" w:after="120" w:line="340" w:lineRule="exact"/>
      <w:textAlignment w:val="baseline"/>
      <w:outlineLvl w:val="6"/>
    </w:pPr>
    <w:rPr>
      <w:rFonts w:ascii="Calibri" w:hAnsi="Calibri"/>
      <w:sz w:val="22"/>
      <w:szCs w:val="20"/>
    </w:rPr>
  </w:style>
  <w:style w:type="paragraph" w:styleId="Zkladntext2">
    <w:name w:val="Body Text 2"/>
    <w:basedOn w:val="Normln"/>
    <w:link w:val="Zkladntext2Char"/>
    <w:unhideWhenUsed/>
    <w:rsid w:val="00C375BE"/>
    <w:pPr>
      <w:overflowPunct w:val="0"/>
      <w:autoSpaceDE w:val="0"/>
      <w:autoSpaceDN w:val="0"/>
      <w:adjustRightInd w:val="0"/>
      <w:jc w:val="both"/>
    </w:pPr>
    <w:rPr>
      <w:sz w:val="26"/>
      <w:szCs w:val="20"/>
    </w:rPr>
  </w:style>
  <w:style w:type="character" w:customStyle="1" w:styleId="Zkladntext2Char">
    <w:name w:val="Základní text 2 Char"/>
    <w:basedOn w:val="Standardnpsmoodstavce"/>
    <w:link w:val="Zkladntext2"/>
    <w:rsid w:val="00C375BE"/>
    <w:rPr>
      <w:sz w:val="26"/>
    </w:rPr>
  </w:style>
  <w:style w:type="paragraph" w:styleId="Odstavecseseznamem">
    <w:name w:val="List Paragraph"/>
    <w:basedOn w:val="Normln"/>
    <w:link w:val="OdstavecseseznamemChar"/>
    <w:uiPriority w:val="34"/>
    <w:qFormat/>
    <w:rsid w:val="00C375BE"/>
    <w:pPr>
      <w:ind w:left="720"/>
      <w:contextualSpacing/>
    </w:pPr>
  </w:style>
  <w:style w:type="paragraph" w:styleId="Textpoznpodarou">
    <w:name w:val="footnote text"/>
    <w:basedOn w:val="Normln"/>
    <w:link w:val="TextpoznpodarouChar"/>
    <w:uiPriority w:val="99"/>
    <w:semiHidden/>
    <w:unhideWhenUsed/>
    <w:rsid w:val="009B1387"/>
    <w:pPr>
      <w:overflowPunct w:val="0"/>
      <w:autoSpaceDE w:val="0"/>
      <w:autoSpaceDN w:val="0"/>
      <w:adjustRightInd w:val="0"/>
      <w:textAlignment w:val="baseline"/>
    </w:pPr>
    <w:rPr>
      <w:rFonts w:ascii="Calibri" w:hAnsi="Calibri"/>
      <w:sz w:val="20"/>
      <w:szCs w:val="20"/>
    </w:rPr>
  </w:style>
  <w:style w:type="character" w:customStyle="1" w:styleId="TextpoznpodarouChar">
    <w:name w:val="Text pozn. pod čarou Char"/>
    <w:basedOn w:val="Standardnpsmoodstavce"/>
    <w:link w:val="Textpoznpodarou"/>
    <w:uiPriority w:val="99"/>
    <w:semiHidden/>
    <w:rsid w:val="009B1387"/>
    <w:rPr>
      <w:rFonts w:ascii="Calibri" w:hAnsi="Calibri"/>
    </w:rPr>
  </w:style>
  <w:style w:type="character" w:styleId="Znakapoznpodarou">
    <w:name w:val="footnote reference"/>
    <w:uiPriority w:val="99"/>
    <w:unhideWhenUsed/>
    <w:rsid w:val="009B1387"/>
    <w:rPr>
      <w:vertAlign w:val="superscript"/>
    </w:rPr>
  </w:style>
  <w:style w:type="paragraph" w:customStyle="1" w:styleId="Bezmezer1">
    <w:name w:val="Bez mezer1"/>
    <w:qFormat/>
    <w:rsid w:val="00A10438"/>
    <w:rPr>
      <w:rFonts w:ascii="Calibri" w:hAnsi="Calibri" w:cs="Calibri"/>
      <w:sz w:val="22"/>
      <w:szCs w:val="22"/>
      <w:lang w:eastAsia="en-US"/>
    </w:rPr>
  </w:style>
  <w:style w:type="character" w:styleId="Hypertextovodkaz">
    <w:name w:val="Hyperlink"/>
    <w:uiPriority w:val="99"/>
    <w:unhideWhenUsed/>
    <w:rsid w:val="00D509DE"/>
    <w:rPr>
      <w:color w:val="0000FF"/>
      <w:u w:val="single"/>
    </w:rPr>
  </w:style>
  <w:style w:type="character" w:customStyle="1" w:styleId="Nadpis2Char">
    <w:name w:val="Nadpis 2 Char"/>
    <w:basedOn w:val="Standardnpsmoodstavce"/>
    <w:link w:val="Nadpis2"/>
    <w:uiPriority w:val="99"/>
    <w:rsid w:val="001F49CE"/>
    <w:rPr>
      <w:rFonts w:ascii="Arial" w:hAnsi="Arial" w:cs="Arial"/>
      <w:b/>
      <w:sz w:val="24"/>
      <w:szCs w:val="24"/>
    </w:rPr>
  </w:style>
  <w:style w:type="paragraph" w:customStyle="1" w:styleId="Styl1">
    <w:name w:val="Styl1"/>
    <w:basedOn w:val="Prosttext"/>
    <w:next w:val="Seznamsodrkami"/>
    <w:uiPriority w:val="99"/>
    <w:rsid w:val="00107F6C"/>
    <w:pPr>
      <w:spacing w:afterAutospacing="1"/>
      <w:ind w:firstLine="709"/>
      <w:jc w:val="both"/>
    </w:pPr>
    <w:rPr>
      <w:rFonts w:ascii="Times New Roman (PCL6)" w:hAnsi="Times New Roman (PCL6)" w:cs="Times New Roman"/>
      <w:sz w:val="24"/>
      <w:szCs w:val="20"/>
      <w:lang w:val="en-GB"/>
    </w:rPr>
  </w:style>
  <w:style w:type="paragraph" w:styleId="Prosttext">
    <w:name w:val="Plain Text"/>
    <w:basedOn w:val="Normln"/>
    <w:link w:val="ProsttextChar"/>
    <w:uiPriority w:val="99"/>
    <w:semiHidden/>
    <w:unhideWhenUsed/>
    <w:rsid w:val="00107F6C"/>
    <w:rPr>
      <w:rFonts w:ascii="Consolas" w:hAnsi="Consolas" w:cs="Consolas"/>
      <w:sz w:val="21"/>
      <w:szCs w:val="21"/>
    </w:rPr>
  </w:style>
  <w:style w:type="character" w:customStyle="1" w:styleId="ProsttextChar">
    <w:name w:val="Prostý text Char"/>
    <w:basedOn w:val="Standardnpsmoodstavce"/>
    <w:link w:val="Prosttext"/>
    <w:uiPriority w:val="99"/>
    <w:semiHidden/>
    <w:rsid w:val="00107F6C"/>
    <w:rPr>
      <w:rFonts w:ascii="Consolas" w:hAnsi="Consolas" w:cs="Consolas"/>
      <w:sz w:val="21"/>
      <w:szCs w:val="21"/>
    </w:rPr>
  </w:style>
  <w:style w:type="paragraph" w:styleId="Seznamsodrkami">
    <w:name w:val="List Bullet"/>
    <w:basedOn w:val="Normln"/>
    <w:uiPriority w:val="99"/>
    <w:unhideWhenUsed/>
    <w:rsid w:val="00107F6C"/>
    <w:pPr>
      <w:numPr>
        <w:numId w:val="6"/>
      </w:numPr>
      <w:contextualSpacing/>
    </w:pPr>
  </w:style>
  <w:style w:type="character" w:styleId="Odkaznakoment">
    <w:name w:val="annotation reference"/>
    <w:basedOn w:val="Standardnpsmoodstavce"/>
    <w:uiPriority w:val="99"/>
    <w:semiHidden/>
    <w:unhideWhenUsed/>
    <w:rsid w:val="00107F6C"/>
    <w:rPr>
      <w:sz w:val="16"/>
      <w:szCs w:val="16"/>
    </w:rPr>
  </w:style>
  <w:style w:type="paragraph" w:styleId="Textkomente">
    <w:name w:val="annotation text"/>
    <w:basedOn w:val="Normln"/>
    <w:link w:val="TextkomenteChar"/>
    <w:uiPriority w:val="99"/>
    <w:semiHidden/>
    <w:unhideWhenUsed/>
    <w:rsid w:val="00107F6C"/>
    <w:rPr>
      <w:sz w:val="20"/>
      <w:szCs w:val="20"/>
    </w:rPr>
  </w:style>
  <w:style w:type="character" w:customStyle="1" w:styleId="TextkomenteChar">
    <w:name w:val="Text komentáře Char"/>
    <w:basedOn w:val="Standardnpsmoodstavce"/>
    <w:link w:val="Textkomente"/>
    <w:uiPriority w:val="99"/>
    <w:semiHidden/>
    <w:rsid w:val="00107F6C"/>
  </w:style>
  <w:style w:type="paragraph" w:styleId="Pedmtkomente">
    <w:name w:val="annotation subject"/>
    <w:basedOn w:val="Textkomente"/>
    <w:next w:val="Textkomente"/>
    <w:link w:val="PedmtkomenteChar"/>
    <w:uiPriority w:val="99"/>
    <w:semiHidden/>
    <w:unhideWhenUsed/>
    <w:rsid w:val="00107F6C"/>
    <w:rPr>
      <w:b/>
      <w:bCs/>
    </w:rPr>
  </w:style>
  <w:style w:type="character" w:customStyle="1" w:styleId="PedmtkomenteChar">
    <w:name w:val="Předmět komentáře Char"/>
    <w:basedOn w:val="TextkomenteChar"/>
    <w:link w:val="Pedmtkomente"/>
    <w:uiPriority w:val="99"/>
    <w:semiHidden/>
    <w:rsid w:val="00107F6C"/>
    <w:rPr>
      <w:b/>
      <w:bCs/>
    </w:rPr>
  </w:style>
  <w:style w:type="paragraph" w:customStyle="1" w:styleId="Default">
    <w:name w:val="Default"/>
    <w:rsid w:val="00EB7ECD"/>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7710D6"/>
    <w:pPr>
      <w:spacing w:after="120"/>
      <w:ind w:left="283"/>
    </w:pPr>
  </w:style>
  <w:style w:type="character" w:customStyle="1" w:styleId="ZkladntextodsazenChar">
    <w:name w:val="Základní text odsazený Char"/>
    <w:basedOn w:val="Standardnpsmoodstavce"/>
    <w:link w:val="Zkladntextodsazen"/>
    <w:uiPriority w:val="99"/>
    <w:semiHidden/>
    <w:rsid w:val="007710D6"/>
    <w:rPr>
      <w:sz w:val="24"/>
      <w:szCs w:val="24"/>
    </w:rPr>
  </w:style>
  <w:style w:type="character" w:customStyle="1" w:styleId="OdstavecseseznamemChar">
    <w:name w:val="Odstavec se seznamem Char"/>
    <w:link w:val="Odstavecseseznamem"/>
    <w:uiPriority w:val="34"/>
    <w:rsid w:val="00360555"/>
    <w:rPr>
      <w:sz w:val="24"/>
      <w:szCs w:val="24"/>
    </w:rPr>
  </w:style>
  <w:style w:type="paragraph" w:styleId="Zkladntext">
    <w:name w:val="Body Text"/>
    <w:basedOn w:val="Normln"/>
    <w:link w:val="ZkladntextChar"/>
    <w:uiPriority w:val="99"/>
    <w:unhideWhenUsed/>
    <w:rsid w:val="003A453C"/>
    <w:pPr>
      <w:spacing w:after="120"/>
    </w:pPr>
  </w:style>
  <w:style w:type="character" w:customStyle="1" w:styleId="ZkladntextChar">
    <w:name w:val="Základní text Char"/>
    <w:basedOn w:val="Standardnpsmoodstavce"/>
    <w:link w:val="Zkladntext"/>
    <w:uiPriority w:val="99"/>
    <w:rsid w:val="003A453C"/>
    <w:rPr>
      <w:sz w:val="24"/>
      <w:szCs w:val="24"/>
    </w:rPr>
  </w:style>
  <w:style w:type="paragraph" w:styleId="Revize">
    <w:name w:val="Revision"/>
    <w:hidden/>
    <w:uiPriority w:val="71"/>
    <w:rsid w:val="00626520"/>
    <w:rPr>
      <w:sz w:val="24"/>
      <w:szCs w:val="24"/>
    </w:rPr>
  </w:style>
  <w:style w:type="table" w:styleId="Mkatabulky">
    <w:name w:val="Table Grid"/>
    <w:basedOn w:val="Normlntabulka"/>
    <w:uiPriority w:val="59"/>
    <w:rsid w:val="00BE0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mezer2">
    <w:name w:val="Bez mezer2"/>
    <w:rsid w:val="00B72CD3"/>
    <w:pPr>
      <w:suppressAutoHyphens/>
    </w:pPr>
    <w:rPr>
      <w:rFonts w:ascii="Calibri" w:eastAsia="Calibri" w:hAnsi="Calibri"/>
      <w:sz w:val="22"/>
      <w:szCs w:val="22"/>
      <w:lang w:eastAsia="ar-SA"/>
    </w:rPr>
  </w:style>
  <w:style w:type="character" w:customStyle="1" w:styleId="Nadpis1Char">
    <w:name w:val="Nadpis 1 Char"/>
    <w:basedOn w:val="Standardnpsmoodstavce"/>
    <w:link w:val="Nadpis1"/>
    <w:uiPriority w:val="9"/>
    <w:rsid w:val="004678AC"/>
    <w:rPr>
      <w:rFonts w:ascii="Arial" w:hAnsi="Arial" w:cs="Arial"/>
      <w:b/>
      <w:bCs/>
      <w:smallCaps/>
      <w:sz w:val="28"/>
      <w:szCs w:val="28"/>
    </w:rPr>
  </w:style>
  <w:style w:type="paragraph" w:styleId="Zkladntext3">
    <w:name w:val="Body Text 3"/>
    <w:basedOn w:val="Normln"/>
    <w:link w:val="Zkladntext3Char"/>
    <w:uiPriority w:val="99"/>
    <w:semiHidden/>
    <w:unhideWhenUsed/>
    <w:rsid w:val="00EF026F"/>
    <w:pPr>
      <w:spacing w:after="120"/>
    </w:pPr>
    <w:rPr>
      <w:sz w:val="16"/>
      <w:szCs w:val="16"/>
    </w:rPr>
  </w:style>
  <w:style w:type="character" w:customStyle="1" w:styleId="Zkladntext3Char">
    <w:name w:val="Základní text 3 Char"/>
    <w:basedOn w:val="Standardnpsmoodstavce"/>
    <w:link w:val="Zkladntext3"/>
    <w:uiPriority w:val="99"/>
    <w:semiHidden/>
    <w:rsid w:val="00EF026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8878">
      <w:bodyDiv w:val="1"/>
      <w:marLeft w:val="0"/>
      <w:marRight w:val="0"/>
      <w:marTop w:val="0"/>
      <w:marBottom w:val="0"/>
      <w:divBdr>
        <w:top w:val="none" w:sz="0" w:space="0" w:color="auto"/>
        <w:left w:val="none" w:sz="0" w:space="0" w:color="auto"/>
        <w:bottom w:val="none" w:sz="0" w:space="0" w:color="auto"/>
        <w:right w:val="none" w:sz="0" w:space="0" w:color="auto"/>
      </w:divBdr>
    </w:div>
    <w:div w:id="376440656">
      <w:bodyDiv w:val="1"/>
      <w:marLeft w:val="0"/>
      <w:marRight w:val="0"/>
      <w:marTop w:val="0"/>
      <w:marBottom w:val="0"/>
      <w:divBdr>
        <w:top w:val="none" w:sz="0" w:space="0" w:color="auto"/>
        <w:left w:val="none" w:sz="0" w:space="0" w:color="auto"/>
        <w:bottom w:val="none" w:sz="0" w:space="0" w:color="auto"/>
        <w:right w:val="none" w:sz="0" w:space="0" w:color="auto"/>
      </w:divBdr>
    </w:div>
    <w:div w:id="1574777140">
      <w:bodyDiv w:val="1"/>
      <w:marLeft w:val="0"/>
      <w:marRight w:val="0"/>
      <w:marTop w:val="0"/>
      <w:marBottom w:val="0"/>
      <w:divBdr>
        <w:top w:val="none" w:sz="0" w:space="0" w:color="auto"/>
        <w:left w:val="none" w:sz="0" w:space="0" w:color="auto"/>
        <w:bottom w:val="none" w:sz="0" w:space="0" w:color="auto"/>
        <w:right w:val="none" w:sz="0" w:space="0" w:color="auto"/>
      </w:divBdr>
    </w:div>
    <w:div w:id="199730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14%20Od&#367;vodn&#283;n&#237;.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4E7FB-15E2-4093-A0B9-3CC90469A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P-14 Odůvodnění.dotm</Template>
  <TotalTime>0</TotalTime>
  <Pages>13</Pages>
  <Words>5457</Words>
  <Characters>32728</Characters>
  <Application>Microsoft Office Word</Application>
  <DocSecurity>0</DocSecurity>
  <Lines>272</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38109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creator>Schvarczová Hana</dc:creator>
  <cp:lastModifiedBy>Brůžková Pavla</cp:lastModifiedBy>
  <cp:revision>3</cp:revision>
  <cp:lastPrinted>2017-09-13T13:52:00Z</cp:lastPrinted>
  <dcterms:created xsi:type="dcterms:W3CDTF">2017-09-13T11:57:00Z</dcterms:created>
  <dcterms:modified xsi:type="dcterms:W3CDTF">2017-09-14T05:48:00Z</dcterms:modified>
</cp:coreProperties>
</file>