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054" w:rsidRPr="009578CB" w:rsidRDefault="009578CB" w:rsidP="00623D19">
      <w:pPr>
        <w:jc w:val="center"/>
        <w:rPr>
          <w:rFonts w:ascii="Arial" w:hAnsi="Arial" w:cs="Arial"/>
        </w:rPr>
      </w:pPr>
      <w:r w:rsidRPr="009578CB">
        <w:rPr>
          <w:rFonts w:ascii="Arial" w:hAnsi="Arial" w:cs="Arial"/>
          <w:noProof/>
          <w:lang w:eastAsia="cs-CZ"/>
        </w:rPr>
        <w:drawing>
          <wp:inline distT="0" distB="0" distL="0" distR="0">
            <wp:extent cx="6181725" cy="2286000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tbl>
      <w:tblPr>
        <w:tblW w:w="101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6"/>
        <w:gridCol w:w="2268"/>
        <w:gridCol w:w="850"/>
        <w:gridCol w:w="850"/>
        <w:gridCol w:w="850"/>
        <w:gridCol w:w="850"/>
        <w:gridCol w:w="850"/>
        <w:gridCol w:w="851"/>
        <w:gridCol w:w="851"/>
        <w:gridCol w:w="1180"/>
      </w:tblGrid>
      <w:tr w:rsidR="00623D19" w:rsidRPr="009578CB" w:rsidTr="009F7333">
        <w:trPr>
          <w:trHeight w:val="264"/>
          <w:tblHeader/>
        </w:trPr>
        <w:tc>
          <w:tcPr>
            <w:tcW w:w="726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</w:tcPr>
          <w:p w:rsidR="00623D19" w:rsidRPr="009578CB" w:rsidRDefault="00EF238E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mil. Kč</w:t>
            </w:r>
          </w:p>
        </w:tc>
        <w:tc>
          <w:tcPr>
            <w:tcW w:w="2268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</w:tcPr>
          <w:p w:rsidR="00623D19" w:rsidRPr="009578CB" w:rsidRDefault="00623D19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623D19" w:rsidRPr="00CF6A4F" w:rsidRDefault="00623D19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2014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623D19" w:rsidRPr="00CF6A4F" w:rsidRDefault="00623D19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2015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623D19" w:rsidRPr="00CF6A4F" w:rsidRDefault="00623D19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2016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623D19" w:rsidRPr="00CF6A4F" w:rsidRDefault="00623D19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2017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623D19" w:rsidRPr="00CF6A4F" w:rsidRDefault="00623D19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2018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623D19" w:rsidRPr="00CF6A4F" w:rsidRDefault="00623D19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2019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623D19" w:rsidRPr="00CF6A4F" w:rsidRDefault="00623D19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2020</w:t>
            </w:r>
          </w:p>
        </w:tc>
        <w:tc>
          <w:tcPr>
            <w:tcW w:w="1180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623D19" w:rsidRPr="00CF6A4F" w:rsidRDefault="00623D19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2021</w:t>
            </w:r>
          </w:p>
        </w:tc>
      </w:tr>
      <w:tr w:rsidR="009578CB" w:rsidRPr="009578CB" w:rsidTr="009F7333">
        <w:trPr>
          <w:trHeight w:val="255"/>
        </w:trPr>
        <w:tc>
          <w:tcPr>
            <w:tcW w:w="726" w:type="dxa"/>
            <w:vMerge w:val="restart"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shd w:val="clear" w:color="95B3D7" w:fill="95B3D7"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Institut</w:t>
            </w:r>
          </w:p>
        </w:tc>
        <w:tc>
          <w:tcPr>
            <w:tcW w:w="226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9578CB" w:rsidRPr="009578CB" w:rsidRDefault="002539CB" w:rsidP="00957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OP</w:t>
            </w:r>
            <w:r w:rsidR="009578CB"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 Výzkum a vývoj pro inovace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195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438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8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9578CB" w:rsidRPr="009578CB" w:rsidTr="009F7333">
        <w:trPr>
          <w:trHeight w:val="255"/>
        </w:trPr>
        <w:tc>
          <w:tcPr>
            <w:tcW w:w="72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9578CB" w:rsidRPr="009578CB" w:rsidRDefault="002539CB" w:rsidP="00957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OP</w:t>
            </w:r>
            <w:r w:rsidR="009578CB"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 Vzdělávání pro konkurenceschopnost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159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159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9578CB" w:rsidRPr="009578CB" w:rsidTr="009F7333">
        <w:trPr>
          <w:trHeight w:val="255"/>
        </w:trPr>
        <w:tc>
          <w:tcPr>
            <w:tcW w:w="72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9578CB" w:rsidRPr="009578CB" w:rsidRDefault="002539CB" w:rsidP="00957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OP</w:t>
            </w:r>
            <w:r w:rsidR="009578CB"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 Výzkum, vývoj, vzdělávání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700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1 780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950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1 331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552</w:t>
            </w:r>
          </w:p>
        </w:tc>
        <w:tc>
          <w:tcPr>
            <w:tcW w:w="118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650</w:t>
            </w:r>
          </w:p>
        </w:tc>
      </w:tr>
      <w:tr w:rsidR="009578CB" w:rsidRPr="009578CB" w:rsidTr="009F7333">
        <w:trPr>
          <w:trHeight w:val="255"/>
        </w:trPr>
        <w:tc>
          <w:tcPr>
            <w:tcW w:w="72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Mezinárodní spolupráce ČR ve </w:t>
            </w:r>
            <w:proofErr w:type="spellStart"/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VaV</w:t>
            </w:r>
            <w:proofErr w:type="spellEnd"/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1 069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923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923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1 220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1 277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1 323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1 287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1 523</w:t>
            </w:r>
          </w:p>
        </w:tc>
      </w:tr>
      <w:tr w:rsidR="009578CB" w:rsidRPr="009578CB" w:rsidTr="009F7333">
        <w:trPr>
          <w:trHeight w:val="255"/>
        </w:trPr>
        <w:tc>
          <w:tcPr>
            <w:tcW w:w="72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Náklady na činnost MŠMT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</w:t>
            </w:r>
          </w:p>
        </w:tc>
        <w:tc>
          <w:tcPr>
            <w:tcW w:w="118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</w:t>
            </w:r>
          </w:p>
        </w:tc>
      </w:tr>
      <w:tr w:rsidR="009578CB" w:rsidRPr="009578CB" w:rsidTr="009F7333">
        <w:trPr>
          <w:trHeight w:val="255"/>
        </w:trPr>
        <w:tc>
          <w:tcPr>
            <w:tcW w:w="72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Pořádání veř. </w:t>
            </w:r>
            <w:proofErr w:type="gramStart"/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soutěží</w:t>
            </w:r>
            <w:proofErr w:type="gramEnd"/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, hodnocení projektů atd.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13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13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13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13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20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20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20</w:t>
            </w:r>
          </w:p>
        </w:tc>
      </w:tr>
      <w:tr w:rsidR="009578CB" w:rsidRPr="009578CB" w:rsidTr="009F7333">
        <w:trPr>
          <w:trHeight w:val="255"/>
        </w:trPr>
        <w:tc>
          <w:tcPr>
            <w:tcW w:w="72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Rozvoj výzkumných organizací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5 246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5 246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5 771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5 842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6 643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6 837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7 156</w:t>
            </w:r>
          </w:p>
        </w:tc>
        <w:tc>
          <w:tcPr>
            <w:tcW w:w="118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7 156</w:t>
            </w:r>
          </w:p>
        </w:tc>
      </w:tr>
      <w:tr w:rsidR="009578CB" w:rsidRPr="009578CB" w:rsidTr="009F7333">
        <w:trPr>
          <w:trHeight w:val="255"/>
        </w:trPr>
        <w:tc>
          <w:tcPr>
            <w:tcW w:w="72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Věcné nebo finanční ocenění mimořádných výsledků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</w:t>
            </w:r>
          </w:p>
        </w:tc>
      </w:tr>
      <w:tr w:rsidR="009578CB" w:rsidRPr="009578CB" w:rsidTr="009F7333">
        <w:trPr>
          <w:trHeight w:val="255"/>
        </w:trPr>
        <w:tc>
          <w:tcPr>
            <w:tcW w:w="2994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Institut Celkem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6 683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6 780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7 408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8 856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8 897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9 517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9 020</w:t>
            </w:r>
          </w:p>
        </w:tc>
        <w:tc>
          <w:tcPr>
            <w:tcW w:w="118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9 355</w:t>
            </w:r>
          </w:p>
        </w:tc>
      </w:tr>
      <w:tr w:rsidR="009578CB" w:rsidRPr="009578CB" w:rsidTr="009F7333">
        <w:trPr>
          <w:trHeight w:val="81"/>
        </w:trPr>
        <w:tc>
          <w:tcPr>
            <w:tcW w:w="2994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9578CB" w:rsidRPr="009578CB" w:rsidTr="009F7333">
        <w:trPr>
          <w:trHeight w:val="255"/>
        </w:trPr>
        <w:tc>
          <w:tcPr>
            <w:tcW w:w="726" w:type="dxa"/>
            <w:vMerge w:val="restart"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shd w:val="clear" w:color="95B3D7" w:fill="95B3D7"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účelová</w:t>
            </w:r>
          </w:p>
        </w:tc>
        <w:tc>
          <w:tcPr>
            <w:tcW w:w="226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COST CZ 2011-2017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106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118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103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51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8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9578CB" w:rsidRPr="009578CB" w:rsidTr="009F7333">
        <w:trPr>
          <w:trHeight w:val="255"/>
        </w:trPr>
        <w:tc>
          <w:tcPr>
            <w:tcW w:w="72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ERC CZ 2012-2019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100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17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53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40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40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60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60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24</w:t>
            </w:r>
          </w:p>
        </w:tc>
      </w:tr>
      <w:tr w:rsidR="009578CB" w:rsidRPr="009578CB" w:rsidTr="009F7333">
        <w:trPr>
          <w:trHeight w:val="255"/>
        </w:trPr>
        <w:tc>
          <w:tcPr>
            <w:tcW w:w="72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EUPRO II 2011-2017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84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72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66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64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8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9578CB" w:rsidRPr="009578CB" w:rsidTr="009F7333">
        <w:trPr>
          <w:trHeight w:val="255"/>
        </w:trPr>
        <w:tc>
          <w:tcPr>
            <w:tcW w:w="72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EUREKA CZ 2011-2017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114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131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105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69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9578CB" w:rsidRPr="009578CB" w:rsidTr="009F7333">
        <w:trPr>
          <w:trHeight w:val="255"/>
        </w:trPr>
        <w:tc>
          <w:tcPr>
            <w:tcW w:w="72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Informace - základ výzkumu 2013-2017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142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244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227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258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8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9578CB" w:rsidRPr="009578CB" w:rsidTr="009F7333">
        <w:trPr>
          <w:trHeight w:val="255"/>
        </w:trPr>
        <w:tc>
          <w:tcPr>
            <w:tcW w:w="72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INGO II 2011-2017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168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110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92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30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9578CB" w:rsidRPr="009578CB" w:rsidTr="009F7333">
        <w:trPr>
          <w:trHeight w:val="255"/>
        </w:trPr>
        <w:tc>
          <w:tcPr>
            <w:tcW w:w="72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Inter-Excellence 2016-2020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545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810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810</w:t>
            </w:r>
          </w:p>
        </w:tc>
        <w:tc>
          <w:tcPr>
            <w:tcW w:w="118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930</w:t>
            </w:r>
          </w:p>
        </w:tc>
      </w:tr>
      <w:tr w:rsidR="009578CB" w:rsidRPr="009578CB" w:rsidTr="009F7333">
        <w:trPr>
          <w:trHeight w:val="255"/>
        </w:trPr>
        <w:tc>
          <w:tcPr>
            <w:tcW w:w="72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KONTAKT II 2011-2017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146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126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61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24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9578CB" w:rsidRPr="009578CB" w:rsidTr="009F7333">
        <w:trPr>
          <w:trHeight w:val="255"/>
        </w:trPr>
        <w:tc>
          <w:tcPr>
            <w:tcW w:w="72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Národní program udržitelnosti I. 2013-2020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958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1 645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1 400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1 417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1 343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852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306</w:t>
            </w:r>
          </w:p>
        </w:tc>
        <w:tc>
          <w:tcPr>
            <w:tcW w:w="118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9578CB" w:rsidRPr="009578CB" w:rsidTr="009F7333">
        <w:trPr>
          <w:trHeight w:val="255"/>
        </w:trPr>
        <w:tc>
          <w:tcPr>
            <w:tcW w:w="72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Národní program udržitelnosti II. 2016-2020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376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568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704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719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719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2539CB" w:rsidRPr="009578CB" w:rsidTr="002539CB">
        <w:trPr>
          <w:trHeight w:val="255"/>
        </w:trPr>
        <w:tc>
          <w:tcPr>
            <w:tcW w:w="72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2539CB" w:rsidRPr="009578CB" w:rsidRDefault="002539CB" w:rsidP="009578C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2539CB" w:rsidRPr="002539CB" w:rsidRDefault="002539CB" w:rsidP="002539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2539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NPU I. - návrh na převod do RVO dle </w:t>
            </w:r>
            <w:proofErr w:type="spellStart"/>
            <w:r w:rsidRPr="002539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usn</w:t>
            </w:r>
            <w:proofErr w:type="spellEnd"/>
            <w:r w:rsidRPr="002539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. </w:t>
            </w:r>
            <w:proofErr w:type="spellStart"/>
            <w:r w:rsidRPr="002539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vl</w:t>
            </w:r>
            <w:proofErr w:type="spellEnd"/>
            <w:r w:rsidRPr="002539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. 1067/2015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539CB" w:rsidRPr="002539CB" w:rsidRDefault="002539CB" w:rsidP="002539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539CB" w:rsidRPr="002539CB" w:rsidRDefault="002539CB" w:rsidP="002539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539CB" w:rsidRPr="002539CB" w:rsidRDefault="002539CB" w:rsidP="002539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539CB" w:rsidRPr="002539CB" w:rsidRDefault="002539CB" w:rsidP="002539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539CB" w:rsidRPr="002539CB" w:rsidRDefault="002539CB" w:rsidP="002539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539CB" w:rsidRPr="002539CB" w:rsidRDefault="002539CB" w:rsidP="002539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539CB" w:rsidRPr="002539CB" w:rsidRDefault="002539CB" w:rsidP="002539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2539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546</w:t>
            </w:r>
          </w:p>
        </w:tc>
        <w:tc>
          <w:tcPr>
            <w:tcW w:w="118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539CB" w:rsidRPr="002539CB" w:rsidRDefault="002539CB" w:rsidP="002539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bookmarkStart w:id="0" w:name="_GoBack"/>
        <w:bookmarkEnd w:id="0"/>
      </w:tr>
      <w:tr w:rsidR="002539CB" w:rsidRPr="009578CB" w:rsidTr="009F7333">
        <w:trPr>
          <w:trHeight w:val="255"/>
        </w:trPr>
        <w:tc>
          <w:tcPr>
            <w:tcW w:w="72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2539CB" w:rsidRPr="009578CB" w:rsidRDefault="002539CB" w:rsidP="009578C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2539CB" w:rsidRPr="009578CB" w:rsidRDefault="002539CB" w:rsidP="00910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Návrat 2012-2019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539CB" w:rsidRPr="009578CB" w:rsidRDefault="002539CB" w:rsidP="00910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70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539CB" w:rsidRPr="009578CB" w:rsidRDefault="002539CB" w:rsidP="00910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59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539CB" w:rsidRPr="009578CB" w:rsidRDefault="002539CB" w:rsidP="00910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39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539CB" w:rsidRPr="009578CB" w:rsidRDefault="002539CB" w:rsidP="00910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539CB" w:rsidRPr="009578CB" w:rsidRDefault="002539CB" w:rsidP="00910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539CB" w:rsidRPr="009578CB" w:rsidRDefault="002539CB" w:rsidP="00910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539CB" w:rsidRPr="009578CB" w:rsidRDefault="002539CB" w:rsidP="00910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539CB" w:rsidRPr="009578CB" w:rsidRDefault="002539CB" w:rsidP="00910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9578CB" w:rsidRPr="009578CB" w:rsidTr="009F7333">
        <w:trPr>
          <w:trHeight w:val="255"/>
        </w:trPr>
        <w:tc>
          <w:tcPr>
            <w:tcW w:w="72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Projekty velkých infrastruktur pro výzkum a vývoj celkem 2011-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796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796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1 252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1 385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1 652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1 716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1 716</w:t>
            </w:r>
          </w:p>
        </w:tc>
        <w:tc>
          <w:tcPr>
            <w:tcW w:w="118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2 159</w:t>
            </w:r>
          </w:p>
        </w:tc>
      </w:tr>
      <w:tr w:rsidR="009578CB" w:rsidRPr="009578CB" w:rsidTr="009F7333">
        <w:trPr>
          <w:trHeight w:val="255"/>
        </w:trPr>
        <w:tc>
          <w:tcPr>
            <w:tcW w:w="72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Specifický výzkum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1 165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1 165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1 165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1 165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1 165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1 165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1 165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1 165</w:t>
            </w:r>
          </w:p>
        </w:tc>
      </w:tr>
      <w:tr w:rsidR="009578CB" w:rsidRPr="009578CB" w:rsidTr="009F7333">
        <w:trPr>
          <w:trHeight w:val="255"/>
        </w:trPr>
        <w:tc>
          <w:tcPr>
            <w:tcW w:w="72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Program MOBILITY </w:t>
            </w:r>
            <w:proofErr w:type="spellStart"/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ExTra</w:t>
            </w:r>
            <w:proofErr w:type="spellEnd"/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 (2020-2025)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150</w:t>
            </w:r>
          </w:p>
        </w:tc>
        <w:tc>
          <w:tcPr>
            <w:tcW w:w="118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150</w:t>
            </w:r>
          </w:p>
        </w:tc>
      </w:tr>
      <w:tr w:rsidR="009578CB" w:rsidRPr="009578CB" w:rsidTr="009F7333">
        <w:trPr>
          <w:trHeight w:val="255"/>
        </w:trPr>
        <w:tc>
          <w:tcPr>
            <w:tcW w:w="72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Podpora výzkumu ve strukturálně </w:t>
            </w:r>
            <w:proofErr w:type="spellStart"/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znevýhod</w:t>
            </w:r>
            <w:proofErr w:type="spellEnd"/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. Krajích (2021-2030)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200</w:t>
            </w:r>
          </w:p>
        </w:tc>
      </w:tr>
      <w:tr w:rsidR="009578CB" w:rsidRPr="009578CB" w:rsidTr="009F7333">
        <w:trPr>
          <w:trHeight w:val="255"/>
        </w:trPr>
        <w:tc>
          <w:tcPr>
            <w:tcW w:w="72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Podpora informačních zdrojů</w:t>
            </w: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8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509</w:t>
            </w:r>
          </w:p>
        </w:tc>
      </w:tr>
      <w:tr w:rsidR="009578CB" w:rsidRPr="009578CB" w:rsidTr="009F7333">
        <w:trPr>
          <w:trHeight w:val="255"/>
        </w:trPr>
        <w:tc>
          <w:tcPr>
            <w:tcW w:w="2994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účelová Celkem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3 849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4 484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4 940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5 073</w:t>
            </w:r>
          </w:p>
        </w:tc>
        <w:tc>
          <w:tcPr>
            <w:tcW w:w="8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5 449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5 322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5 472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5 137</w:t>
            </w:r>
          </w:p>
        </w:tc>
      </w:tr>
      <w:tr w:rsidR="009578CB" w:rsidRPr="009578CB" w:rsidTr="009F7333">
        <w:trPr>
          <w:trHeight w:val="128"/>
        </w:trPr>
        <w:tc>
          <w:tcPr>
            <w:tcW w:w="2994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8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9578CB" w:rsidRPr="009578CB" w:rsidTr="009F7333">
        <w:trPr>
          <w:trHeight w:val="255"/>
        </w:trPr>
        <w:tc>
          <w:tcPr>
            <w:tcW w:w="2994" w:type="dxa"/>
            <w:gridSpan w:val="2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Celkový součet</w:t>
            </w:r>
          </w:p>
        </w:tc>
        <w:tc>
          <w:tcPr>
            <w:tcW w:w="850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10 533</w:t>
            </w:r>
          </w:p>
        </w:tc>
        <w:tc>
          <w:tcPr>
            <w:tcW w:w="850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11 264</w:t>
            </w:r>
          </w:p>
        </w:tc>
        <w:tc>
          <w:tcPr>
            <w:tcW w:w="850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12 347</w:t>
            </w:r>
          </w:p>
        </w:tc>
        <w:tc>
          <w:tcPr>
            <w:tcW w:w="850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13 928</w:t>
            </w:r>
          </w:p>
        </w:tc>
        <w:tc>
          <w:tcPr>
            <w:tcW w:w="850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14 345</w:t>
            </w:r>
          </w:p>
        </w:tc>
        <w:tc>
          <w:tcPr>
            <w:tcW w:w="851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14 839</w:t>
            </w:r>
          </w:p>
        </w:tc>
        <w:tc>
          <w:tcPr>
            <w:tcW w:w="851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14 492</w:t>
            </w:r>
          </w:p>
        </w:tc>
        <w:tc>
          <w:tcPr>
            <w:tcW w:w="1180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8CB" w:rsidRPr="009578CB" w:rsidRDefault="009578CB" w:rsidP="009578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9578C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14 492</w:t>
            </w:r>
          </w:p>
        </w:tc>
      </w:tr>
    </w:tbl>
    <w:p w:rsidR="009578CB" w:rsidRDefault="009578CB" w:rsidP="002150F5">
      <w:pPr>
        <w:spacing w:before="240"/>
        <w:rPr>
          <w:rFonts w:ascii="Arial" w:hAnsi="Arial" w:cs="Arial"/>
        </w:rPr>
      </w:pPr>
      <w:r w:rsidRPr="009578CB">
        <w:rPr>
          <w:rFonts w:ascii="Arial" w:hAnsi="Arial" w:cs="Arial"/>
          <w:b/>
        </w:rPr>
        <w:lastRenderedPageBreak/>
        <w:t>Výdaje navrhované nad rámec střednědobého výhledu</w:t>
      </w:r>
      <w:r w:rsidR="00EF238E">
        <w:rPr>
          <w:rFonts w:ascii="Arial" w:hAnsi="Arial" w:cs="Arial"/>
          <w:b/>
        </w:rPr>
        <w:t xml:space="preserve">: </w:t>
      </w:r>
      <w:r w:rsidRPr="009578CB">
        <w:rPr>
          <w:rFonts w:ascii="Arial" w:hAnsi="Arial" w:cs="Arial"/>
        </w:rPr>
        <w:t>Bez</w:t>
      </w:r>
      <w:r>
        <w:rPr>
          <w:rFonts w:ascii="Arial" w:hAnsi="Arial" w:cs="Arial"/>
        </w:rPr>
        <w:t xml:space="preserve"> nadpožadavků.</w:t>
      </w:r>
    </w:p>
    <w:p w:rsidR="009578CB" w:rsidRDefault="009578CB" w:rsidP="00BC2AAA">
      <w:pPr>
        <w:spacing w:before="240"/>
        <w:outlineLvl w:val="0"/>
        <w:rPr>
          <w:rFonts w:ascii="Arial" w:hAnsi="Arial" w:cs="Arial"/>
          <w:b/>
        </w:rPr>
      </w:pPr>
      <w:r w:rsidRPr="001E3F52">
        <w:rPr>
          <w:rFonts w:ascii="Arial" w:hAnsi="Arial" w:cs="Arial"/>
          <w:b/>
        </w:rPr>
        <w:t>Nároky z nespotřebovaných výdajů</w:t>
      </w:r>
      <w:r w:rsidR="00EF238E">
        <w:rPr>
          <w:rFonts w:ascii="Arial" w:hAnsi="Arial" w:cs="Arial"/>
          <w:b/>
        </w:rPr>
        <w:t xml:space="preserve"> (v Kč)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276"/>
        <w:gridCol w:w="1559"/>
        <w:gridCol w:w="1417"/>
        <w:gridCol w:w="1418"/>
        <w:gridCol w:w="1417"/>
      </w:tblGrid>
      <w:tr w:rsidR="009578CB" w:rsidRPr="00623D19" w:rsidTr="009F7333">
        <w:tc>
          <w:tcPr>
            <w:tcW w:w="1134" w:type="dxa"/>
            <w:vMerge w:val="restart"/>
            <w:shd w:val="clear" w:color="auto" w:fill="auto"/>
          </w:tcPr>
          <w:p w:rsidR="009578CB" w:rsidRPr="00623D19" w:rsidRDefault="009578CB" w:rsidP="004105D3">
            <w:pPr>
              <w:spacing w:before="40" w:after="40"/>
              <w:jc w:val="both"/>
              <w:rPr>
                <w:rFonts w:ascii="Arial" w:hAnsi="Arial" w:cs="Arial"/>
                <w:sz w:val="17"/>
                <w:szCs w:val="17"/>
              </w:rPr>
            </w:pPr>
            <w:proofErr w:type="spellStart"/>
            <w:r w:rsidRPr="00623D1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Rozpočt</w:t>
            </w:r>
            <w:proofErr w:type="spellEnd"/>
            <w:r w:rsidRPr="00623D1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. kapitola</w:t>
            </w:r>
          </w:p>
        </w:tc>
        <w:tc>
          <w:tcPr>
            <w:tcW w:w="4253" w:type="dxa"/>
            <w:gridSpan w:val="3"/>
            <w:shd w:val="clear" w:color="auto" w:fill="D9D9D9"/>
          </w:tcPr>
          <w:p w:rsidR="009578CB" w:rsidRPr="00623D19" w:rsidRDefault="009578CB" w:rsidP="004105D3">
            <w:pPr>
              <w:spacing w:before="8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23D1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Stav NNV k 1. 1. 2017</w:t>
            </w:r>
          </w:p>
        </w:tc>
        <w:tc>
          <w:tcPr>
            <w:tcW w:w="4252" w:type="dxa"/>
            <w:gridSpan w:val="3"/>
            <w:shd w:val="clear" w:color="auto" w:fill="D9D9D9"/>
          </w:tcPr>
          <w:p w:rsidR="009578CB" w:rsidRPr="00623D19" w:rsidRDefault="009578CB" w:rsidP="004105D3">
            <w:pPr>
              <w:spacing w:before="8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23D1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Stav NNV k 1. 1. 2018*)</w:t>
            </w:r>
          </w:p>
        </w:tc>
      </w:tr>
      <w:tr w:rsidR="009578CB" w:rsidRPr="00623D19" w:rsidTr="009F7333">
        <w:tc>
          <w:tcPr>
            <w:tcW w:w="1134" w:type="dxa"/>
            <w:vMerge/>
            <w:shd w:val="clear" w:color="auto" w:fill="auto"/>
          </w:tcPr>
          <w:p w:rsidR="009578CB" w:rsidRPr="00623D19" w:rsidRDefault="009578CB" w:rsidP="004105D3">
            <w:pPr>
              <w:spacing w:before="40" w:after="4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D9D9D9"/>
          </w:tcPr>
          <w:p w:rsidR="009578CB" w:rsidRPr="00623D19" w:rsidRDefault="009578CB" w:rsidP="004105D3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proofErr w:type="spellStart"/>
            <w:r w:rsidRPr="00623D19">
              <w:rPr>
                <w:rFonts w:ascii="Arial" w:hAnsi="Arial" w:cs="Arial"/>
                <w:sz w:val="17"/>
                <w:szCs w:val="17"/>
              </w:rPr>
              <w:t>institucion</w:t>
            </w:r>
            <w:proofErr w:type="spellEnd"/>
            <w:r w:rsidRPr="00623D19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1276" w:type="dxa"/>
            <w:shd w:val="clear" w:color="auto" w:fill="D9D9D9"/>
          </w:tcPr>
          <w:p w:rsidR="009578CB" w:rsidRPr="00623D19" w:rsidRDefault="009578CB" w:rsidP="004105D3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23D19">
              <w:rPr>
                <w:rFonts w:ascii="Arial" w:hAnsi="Arial" w:cs="Arial"/>
                <w:sz w:val="17"/>
                <w:szCs w:val="17"/>
              </w:rPr>
              <w:t>účelové</w:t>
            </w:r>
          </w:p>
        </w:tc>
        <w:tc>
          <w:tcPr>
            <w:tcW w:w="1559" w:type="dxa"/>
            <w:shd w:val="clear" w:color="auto" w:fill="D9D9D9"/>
          </w:tcPr>
          <w:p w:rsidR="009578CB" w:rsidRPr="00623D19" w:rsidRDefault="009578CB" w:rsidP="004105D3">
            <w:pPr>
              <w:spacing w:before="40" w:after="4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23D19">
              <w:rPr>
                <w:rFonts w:ascii="Arial" w:hAnsi="Arial" w:cs="Arial"/>
                <w:b/>
                <w:sz w:val="17"/>
                <w:szCs w:val="17"/>
              </w:rPr>
              <w:t>celkem</w:t>
            </w:r>
          </w:p>
        </w:tc>
        <w:tc>
          <w:tcPr>
            <w:tcW w:w="1417" w:type="dxa"/>
            <w:shd w:val="clear" w:color="auto" w:fill="D9D9D9"/>
          </w:tcPr>
          <w:p w:rsidR="009578CB" w:rsidRPr="00623D19" w:rsidRDefault="009578CB" w:rsidP="004105D3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proofErr w:type="spellStart"/>
            <w:r w:rsidRPr="00623D19">
              <w:rPr>
                <w:rFonts w:ascii="Arial" w:hAnsi="Arial" w:cs="Arial"/>
                <w:sz w:val="17"/>
                <w:szCs w:val="17"/>
              </w:rPr>
              <w:t>institucion</w:t>
            </w:r>
            <w:proofErr w:type="spellEnd"/>
            <w:r w:rsidRPr="00623D19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1418" w:type="dxa"/>
            <w:shd w:val="clear" w:color="auto" w:fill="D9D9D9"/>
          </w:tcPr>
          <w:p w:rsidR="009578CB" w:rsidRPr="00623D19" w:rsidRDefault="009578CB" w:rsidP="004105D3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23D19">
              <w:rPr>
                <w:rFonts w:ascii="Arial" w:hAnsi="Arial" w:cs="Arial"/>
                <w:sz w:val="17"/>
                <w:szCs w:val="17"/>
              </w:rPr>
              <w:t>účelové</w:t>
            </w:r>
          </w:p>
        </w:tc>
        <w:tc>
          <w:tcPr>
            <w:tcW w:w="1417" w:type="dxa"/>
            <w:shd w:val="clear" w:color="auto" w:fill="D9D9D9"/>
          </w:tcPr>
          <w:p w:rsidR="009578CB" w:rsidRPr="00623D19" w:rsidRDefault="009578CB" w:rsidP="004105D3">
            <w:pPr>
              <w:spacing w:before="40" w:after="4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23D19">
              <w:rPr>
                <w:rFonts w:ascii="Arial" w:hAnsi="Arial" w:cs="Arial"/>
                <w:b/>
                <w:sz w:val="17"/>
                <w:szCs w:val="17"/>
              </w:rPr>
              <w:t>celkem</w:t>
            </w:r>
          </w:p>
        </w:tc>
      </w:tr>
      <w:tr w:rsidR="009578CB" w:rsidRPr="00623D19" w:rsidTr="009F7333">
        <w:tc>
          <w:tcPr>
            <w:tcW w:w="1134" w:type="dxa"/>
            <w:shd w:val="clear" w:color="auto" w:fill="auto"/>
          </w:tcPr>
          <w:p w:rsidR="009578CB" w:rsidRPr="00623D19" w:rsidRDefault="009578CB" w:rsidP="004105D3">
            <w:pPr>
              <w:spacing w:before="80" w:after="40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23D19">
              <w:rPr>
                <w:rFonts w:ascii="Arial" w:hAnsi="Arial" w:cs="Arial"/>
                <w:color w:val="000000"/>
                <w:sz w:val="17"/>
                <w:szCs w:val="17"/>
              </w:rPr>
              <w:t>MŠMT: SR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578CB" w:rsidRPr="00623D19" w:rsidRDefault="009578CB" w:rsidP="004105D3">
            <w:pPr>
              <w:spacing w:after="60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623D1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901 801 726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578CB" w:rsidRPr="00623D19" w:rsidRDefault="009578CB" w:rsidP="004105D3">
            <w:pPr>
              <w:spacing w:after="60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623D1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706 977 520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578CB" w:rsidRPr="00623D19" w:rsidRDefault="009578CB" w:rsidP="004105D3">
            <w:pPr>
              <w:spacing w:after="60"/>
              <w:jc w:val="right"/>
              <w:rPr>
                <w:rFonts w:ascii="Arial" w:eastAsia="Times New Roman" w:hAnsi="Arial" w:cs="Arial"/>
                <w:b/>
                <w:color w:val="000000"/>
                <w:sz w:val="17"/>
                <w:szCs w:val="17"/>
              </w:rPr>
            </w:pPr>
            <w:r w:rsidRPr="00623D19">
              <w:rPr>
                <w:rFonts w:ascii="Arial" w:eastAsia="Times New Roman" w:hAnsi="Arial" w:cs="Arial"/>
                <w:b/>
                <w:color w:val="000000"/>
                <w:sz w:val="17"/>
                <w:szCs w:val="17"/>
              </w:rPr>
              <w:t>1 608 779 245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78CB" w:rsidRPr="00623D19" w:rsidRDefault="009578CB" w:rsidP="004105D3">
            <w:pPr>
              <w:spacing w:after="60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623D1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2 188 292 553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78CB" w:rsidRPr="00623D19" w:rsidRDefault="009578CB" w:rsidP="004105D3">
            <w:pPr>
              <w:spacing w:after="60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623D1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327 719 292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78CB" w:rsidRPr="00623D19" w:rsidRDefault="009578CB" w:rsidP="004105D3">
            <w:pPr>
              <w:spacing w:after="60"/>
              <w:jc w:val="right"/>
              <w:rPr>
                <w:rFonts w:ascii="Arial" w:eastAsia="Times New Roman" w:hAnsi="Arial" w:cs="Arial"/>
                <w:b/>
                <w:color w:val="000000"/>
                <w:sz w:val="17"/>
                <w:szCs w:val="17"/>
              </w:rPr>
            </w:pPr>
            <w:r w:rsidRPr="00623D19">
              <w:rPr>
                <w:rFonts w:ascii="Arial" w:eastAsia="Times New Roman" w:hAnsi="Arial" w:cs="Arial"/>
                <w:b/>
                <w:color w:val="000000"/>
                <w:sz w:val="17"/>
                <w:szCs w:val="17"/>
              </w:rPr>
              <w:t>2 516 011 845</w:t>
            </w:r>
          </w:p>
        </w:tc>
      </w:tr>
      <w:tr w:rsidR="009578CB" w:rsidRPr="00623D19" w:rsidTr="009F7333">
        <w:tc>
          <w:tcPr>
            <w:tcW w:w="1134" w:type="dxa"/>
            <w:shd w:val="clear" w:color="auto" w:fill="auto"/>
          </w:tcPr>
          <w:p w:rsidR="009578CB" w:rsidRPr="00623D19" w:rsidRDefault="009578CB" w:rsidP="004105D3">
            <w:pPr>
              <w:spacing w:before="80" w:after="40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23D19">
              <w:rPr>
                <w:rFonts w:ascii="Arial" w:hAnsi="Arial" w:cs="Arial"/>
                <w:color w:val="000000"/>
                <w:sz w:val="17"/>
                <w:szCs w:val="17"/>
              </w:rPr>
              <w:t>EU/FM**)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78CB" w:rsidRPr="00623D19" w:rsidRDefault="009578CB" w:rsidP="004105D3">
            <w:pPr>
              <w:spacing w:after="60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623D1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2 838 203 800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78CB" w:rsidRPr="00623D19" w:rsidRDefault="009578CB" w:rsidP="004105D3">
            <w:pPr>
              <w:spacing w:after="60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623D1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78CB" w:rsidRPr="00623D19" w:rsidRDefault="009578CB" w:rsidP="004105D3">
            <w:pPr>
              <w:spacing w:after="60"/>
              <w:jc w:val="right"/>
              <w:rPr>
                <w:rFonts w:ascii="Arial" w:eastAsia="Times New Roman" w:hAnsi="Arial" w:cs="Arial"/>
                <w:b/>
                <w:color w:val="000000"/>
                <w:sz w:val="17"/>
                <w:szCs w:val="17"/>
              </w:rPr>
            </w:pPr>
            <w:r w:rsidRPr="00623D19">
              <w:rPr>
                <w:rFonts w:ascii="Arial" w:eastAsia="Times New Roman" w:hAnsi="Arial" w:cs="Arial"/>
                <w:b/>
                <w:color w:val="000000"/>
                <w:sz w:val="17"/>
                <w:szCs w:val="17"/>
              </w:rPr>
              <w:t>2 838 203 800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78CB" w:rsidRPr="00623D19" w:rsidRDefault="009578CB" w:rsidP="004105D3">
            <w:pPr>
              <w:spacing w:after="60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623D1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5 513 060 177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78CB" w:rsidRPr="00623D19" w:rsidRDefault="009578CB" w:rsidP="004105D3">
            <w:pPr>
              <w:spacing w:after="60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623D1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78CB" w:rsidRPr="00623D19" w:rsidRDefault="009578CB" w:rsidP="004105D3">
            <w:pPr>
              <w:spacing w:after="60"/>
              <w:jc w:val="right"/>
              <w:rPr>
                <w:rFonts w:ascii="Arial" w:eastAsia="Times New Roman" w:hAnsi="Arial" w:cs="Arial"/>
                <w:b/>
                <w:color w:val="000000"/>
                <w:sz w:val="17"/>
                <w:szCs w:val="17"/>
              </w:rPr>
            </w:pPr>
            <w:r w:rsidRPr="00623D19">
              <w:rPr>
                <w:rFonts w:ascii="Arial" w:eastAsia="Times New Roman" w:hAnsi="Arial" w:cs="Arial"/>
                <w:b/>
                <w:color w:val="000000"/>
                <w:sz w:val="17"/>
                <w:szCs w:val="17"/>
              </w:rPr>
              <w:t>5 513 060 177</w:t>
            </w:r>
          </w:p>
        </w:tc>
      </w:tr>
      <w:tr w:rsidR="009578CB" w:rsidRPr="00623D19" w:rsidTr="009F7333">
        <w:tc>
          <w:tcPr>
            <w:tcW w:w="1134" w:type="dxa"/>
            <w:shd w:val="clear" w:color="auto" w:fill="auto"/>
          </w:tcPr>
          <w:p w:rsidR="009578CB" w:rsidRPr="00623D19" w:rsidRDefault="009578CB" w:rsidP="009F7333">
            <w:pPr>
              <w:spacing w:before="80" w:after="40"/>
              <w:rPr>
                <w:rFonts w:ascii="Arial" w:hAnsi="Arial" w:cs="Arial"/>
                <w:b/>
                <w:color w:val="000000"/>
                <w:sz w:val="17"/>
                <w:szCs w:val="17"/>
              </w:rPr>
            </w:pPr>
            <w:r w:rsidRPr="00623D19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Celkem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78CB" w:rsidRPr="00623D19" w:rsidRDefault="009578CB" w:rsidP="004105D3">
            <w:pPr>
              <w:spacing w:after="60"/>
              <w:jc w:val="right"/>
              <w:rPr>
                <w:rFonts w:ascii="Arial" w:eastAsia="Times New Roman" w:hAnsi="Arial" w:cs="Arial"/>
                <w:b/>
                <w:color w:val="000000"/>
                <w:sz w:val="17"/>
                <w:szCs w:val="17"/>
              </w:rPr>
            </w:pPr>
            <w:r w:rsidRPr="00623D19">
              <w:rPr>
                <w:rFonts w:ascii="Arial" w:eastAsia="Times New Roman" w:hAnsi="Arial" w:cs="Arial"/>
                <w:b/>
                <w:color w:val="000000"/>
                <w:sz w:val="17"/>
                <w:szCs w:val="17"/>
              </w:rPr>
              <w:t>3 740 005 525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78CB" w:rsidRPr="00623D19" w:rsidRDefault="009578CB" w:rsidP="004105D3">
            <w:pPr>
              <w:spacing w:after="60"/>
              <w:jc w:val="right"/>
              <w:rPr>
                <w:rFonts w:ascii="Arial" w:eastAsia="Times New Roman" w:hAnsi="Arial" w:cs="Arial"/>
                <w:b/>
                <w:color w:val="000000"/>
                <w:sz w:val="17"/>
                <w:szCs w:val="17"/>
              </w:rPr>
            </w:pPr>
            <w:r w:rsidRPr="00623D19">
              <w:rPr>
                <w:rFonts w:ascii="Arial" w:eastAsia="Times New Roman" w:hAnsi="Arial" w:cs="Arial"/>
                <w:b/>
                <w:color w:val="000000"/>
                <w:sz w:val="17"/>
                <w:szCs w:val="17"/>
              </w:rPr>
              <w:t>706 977 520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78CB" w:rsidRPr="00623D19" w:rsidRDefault="009578CB" w:rsidP="004105D3">
            <w:pPr>
              <w:spacing w:after="60"/>
              <w:jc w:val="right"/>
              <w:rPr>
                <w:rFonts w:ascii="Arial" w:eastAsia="Times New Roman" w:hAnsi="Arial" w:cs="Arial"/>
                <w:b/>
                <w:color w:val="000000"/>
                <w:sz w:val="17"/>
                <w:szCs w:val="17"/>
              </w:rPr>
            </w:pPr>
            <w:r w:rsidRPr="00623D19">
              <w:rPr>
                <w:rFonts w:ascii="Arial" w:eastAsia="Times New Roman" w:hAnsi="Arial" w:cs="Arial"/>
                <w:b/>
                <w:color w:val="000000"/>
                <w:sz w:val="17"/>
                <w:szCs w:val="17"/>
              </w:rPr>
              <w:t>4 446 983 045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78CB" w:rsidRPr="00623D19" w:rsidRDefault="009578CB" w:rsidP="004105D3">
            <w:pPr>
              <w:spacing w:after="60"/>
              <w:jc w:val="right"/>
              <w:rPr>
                <w:rFonts w:ascii="Arial" w:eastAsia="Times New Roman" w:hAnsi="Arial" w:cs="Arial"/>
                <w:b/>
                <w:color w:val="000000"/>
                <w:sz w:val="17"/>
                <w:szCs w:val="17"/>
              </w:rPr>
            </w:pPr>
            <w:r w:rsidRPr="00623D19">
              <w:rPr>
                <w:rFonts w:ascii="Arial" w:eastAsia="Times New Roman" w:hAnsi="Arial" w:cs="Arial"/>
                <w:b/>
                <w:color w:val="000000"/>
                <w:sz w:val="17"/>
                <w:szCs w:val="17"/>
              </w:rPr>
              <w:t>7 701 352 730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78CB" w:rsidRPr="00623D19" w:rsidRDefault="009578CB" w:rsidP="004105D3">
            <w:pPr>
              <w:spacing w:after="60"/>
              <w:jc w:val="right"/>
              <w:rPr>
                <w:rFonts w:ascii="Arial" w:eastAsia="Times New Roman" w:hAnsi="Arial" w:cs="Arial"/>
                <w:b/>
                <w:color w:val="000000"/>
                <w:sz w:val="17"/>
                <w:szCs w:val="17"/>
              </w:rPr>
            </w:pPr>
            <w:r w:rsidRPr="00623D19">
              <w:rPr>
                <w:rFonts w:ascii="Arial" w:eastAsia="Times New Roman" w:hAnsi="Arial" w:cs="Arial"/>
                <w:b/>
                <w:color w:val="000000"/>
                <w:sz w:val="17"/>
                <w:szCs w:val="17"/>
              </w:rPr>
              <w:t>327 719 292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78CB" w:rsidRPr="00623D19" w:rsidRDefault="009578CB" w:rsidP="004105D3">
            <w:pPr>
              <w:spacing w:after="60"/>
              <w:jc w:val="right"/>
              <w:rPr>
                <w:rFonts w:ascii="Arial" w:eastAsia="Times New Roman" w:hAnsi="Arial" w:cs="Arial"/>
                <w:b/>
                <w:color w:val="000000"/>
                <w:sz w:val="17"/>
                <w:szCs w:val="17"/>
              </w:rPr>
            </w:pPr>
            <w:r w:rsidRPr="00623D19">
              <w:rPr>
                <w:rFonts w:ascii="Arial" w:eastAsia="Times New Roman" w:hAnsi="Arial" w:cs="Arial"/>
                <w:b/>
                <w:color w:val="000000"/>
                <w:sz w:val="17"/>
                <w:szCs w:val="17"/>
              </w:rPr>
              <w:t>8 029 072 022</w:t>
            </w:r>
          </w:p>
        </w:tc>
      </w:tr>
    </w:tbl>
    <w:p w:rsidR="009578CB" w:rsidRDefault="009578CB" w:rsidP="009578CB">
      <w:pPr>
        <w:spacing w:before="240"/>
        <w:rPr>
          <w:rFonts w:ascii="Arial" w:hAnsi="Arial" w:cs="Arial"/>
          <w:b/>
          <w:sz w:val="21"/>
          <w:szCs w:val="21"/>
        </w:rPr>
      </w:pPr>
      <w:r w:rsidRPr="00623D19">
        <w:rPr>
          <w:rFonts w:ascii="Arial" w:hAnsi="Arial" w:cs="Arial"/>
          <w:b/>
          <w:sz w:val="21"/>
          <w:szCs w:val="21"/>
        </w:rPr>
        <w:t xml:space="preserve">Přidělená institucionální podpora na dlouhodobý koncepční rozvoj </w:t>
      </w:r>
      <w:r w:rsidR="00623D19" w:rsidRPr="00623D19">
        <w:rPr>
          <w:rFonts w:ascii="Arial" w:hAnsi="Arial" w:cs="Arial"/>
          <w:b/>
          <w:sz w:val="21"/>
          <w:szCs w:val="21"/>
        </w:rPr>
        <w:t>VO</w:t>
      </w:r>
      <w:r w:rsidRPr="00623D19">
        <w:rPr>
          <w:rFonts w:ascii="Arial" w:hAnsi="Arial" w:cs="Arial"/>
          <w:b/>
          <w:sz w:val="21"/>
          <w:szCs w:val="21"/>
        </w:rPr>
        <w:t xml:space="preserve"> v roce 2017</w:t>
      </w:r>
      <w:r w:rsidR="00DF2382">
        <w:rPr>
          <w:rFonts w:ascii="Arial" w:hAnsi="Arial" w:cs="Arial"/>
          <w:b/>
          <w:sz w:val="21"/>
          <w:szCs w:val="21"/>
        </w:rPr>
        <w:t xml:space="preserve"> (mil. Kč)</w:t>
      </w:r>
    </w:p>
    <w:tbl>
      <w:tblPr>
        <w:tblW w:w="1020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2"/>
        <w:gridCol w:w="958"/>
        <w:gridCol w:w="733"/>
        <w:gridCol w:w="3382"/>
        <w:gridCol w:w="1015"/>
        <w:gridCol w:w="741"/>
      </w:tblGrid>
      <w:tr w:rsidR="009F7333" w:rsidRPr="009F7333" w:rsidTr="009F7333">
        <w:trPr>
          <w:trHeight w:val="251"/>
        </w:trPr>
        <w:tc>
          <w:tcPr>
            <w:tcW w:w="3382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000000" w:fill="4F81BD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 </w:t>
            </w:r>
          </w:p>
        </w:tc>
        <w:tc>
          <w:tcPr>
            <w:tcW w:w="958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000000" w:fill="4F81BD"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b/>
                <w:bCs/>
                <w:color w:val="FFFFFF"/>
                <w:sz w:val="17"/>
                <w:szCs w:val="17"/>
                <w:lang w:eastAsia="cs-CZ"/>
              </w:rPr>
              <w:t>RVO 2017</w:t>
            </w:r>
          </w:p>
        </w:tc>
        <w:tc>
          <w:tcPr>
            <w:tcW w:w="733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000000" w:fill="4F81BD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b/>
                <w:bCs/>
                <w:color w:val="FFFFFF"/>
                <w:sz w:val="17"/>
                <w:szCs w:val="17"/>
                <w:lang w:eastAsia="cs-CZ"/>
              </w:rPr>
              <w:t>%</w:t>
            </w:r>
          </w:p>
        </w:tc>
        <w:tc>
          <w:tcPr>
            <w:tcW w:w="3382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000000" w:fill="4F81BD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 </w:t>
            </w:r>
          </w:p>
        </w:tc>
        <w:tc>
          <w:tcPr>
            <w:tcW w:w="1015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000000" w:fill="4F81BD"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b/>
                <w:bCs/>
                <w:color w:val="FFFFFF"/>
                <w:sz w:val="17"/>
                <w:szCs w:val="17"/>
                <w:lang w:eastAsia="cs-CZ"/>
              </w:rPr>
              <w:t>RVO 2017</w:t>
            </w:r>
          </w:p>
        </w:tc>
        <w:tc>
          <w:tcPr>
            <w:tcW w:w="739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000000" w:fill="4F81BD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b/>
                <w:bCs/>
                <w:color w:val="FFFFFF"/>
                <w:sz w:val="17"/>
                <w:szCs w:val="17"/>
                <w:lang w:eastAsia="cs-CZ"/>
              </w:rPr>
              <w:t>%</w:t>
            </w:r>
          </w:p>
        </w:tc>
      </w:tr>
      <w:tr w:rsidR="009F7333" w:rsidRPr="009F7333" w:rsidTr="009F7333">
        <w:trPr>
          <w:trHeight w:val="251"/>
        </w:trPr>
        <w:tc>
          <w:tcPr>
            <w:tcW w:w="338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000000" w:fill="DCE6F1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b/>
                <w:bCs/>
                <w:color w:val="000000"/>
                <w:sz w:val="17"/>
                <w:szCs w:val="17"/>
                <w:lang w:eastAsia="cs-CZ"/>
              </w:rPr>
              <w:t>VS</w:t>
            </w:r>
          </w:p>
        </w:tc>
        <w:tc>
          <w:tcPr>
            <w:tcW w:w="958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000000" w:fill="DCE6F1"/>
            <w:noWrap/>
            <w:vAlign w:val="bottom"/>
            <w:hideMark/>
          </w:tcPr>
          <w:p w:rsidR="009F7333" w:rsidRPr="009F7333" w:rsidRDefault="009F7333" w:rsidP="009F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 </w:t>
            </w:r>
          </w:p>
        </w:tc>
        <w:tc>
          <w:tcPr>
            <w:tcW w:w="733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000000" w:fill="DCE6F1"/>
            <w:noWrap/>
            <w:vAlign w:val="bottom"/>
            <w:hideMark/>
          </w:tcPr>
          <w:p w:rsidR="009F7333" w:rsidRPr="009F7333" w:rsidRDefault="009F7333" w:rsidP="009F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 </w:t>
            </w:r>
          </w:p>
        </w:tc>
        <w:tc>
          <w:tcPr>
            <w:tcW w:w="338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000000" w:fill="DCE6F1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b/>
                <w:bCs/>
                <w:color w:val="000000"/>
                <w:sz w:val="17"/>
                <w:szCs w:val="17"/>
                <w:lang w:eastAsia="cs-CZ"/>
              </w:rPr>
              <w:t> </w:t>
            </w:r>
          </w:p>
        </w:tc>
        <w:tc>
          <w:tcPr>
            <w:tcW w:w="1015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000000" w:fill="DCE6F1"/>
            <w:noWrap/>
            <w:vAlign w:val="bottom"/>
            <w:hideMark/>
          </w:tcPr>
          <w:p w:rsidR="009F7333" w:rsidRPr="009F7333" w:rsidRDefault="009F7333" w:rsidP="009F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 </w:t>
            </w:r>
          </w:p>
        </w:tc>
        <w:tc>
          <w:tcPr>
            <w:tcW w:w="739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000000" w:fill="DCE6F1"/>
            <w:noWrap/>
            <w:vAlign w:val="bottom"/>
            <w:hideMark/>
          </w:tcPr>
          <w:p w:rsidR="009F7333" w:rsidRPr="009F7333" w:rsidRDefault="009F7333" w:rsidP="009F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 </w:t>
            </w:r>
          </w:p>
        </w:tc>
      </w:tr>
      <w:tr w:rsidR="009F7333" w:rsidRPr="009F7333" w:rsidTr="009F7333">
        <w:trPr>
          <w:trHeight w:val="251"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Univerzita Karlova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1 458.40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24.97%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Vysoká škola ekonomická v Praze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68.8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1.18%</w:t>
            </w:r>
          </w:p>
        </w:tc>
      </w:tr>
      <w:tr w:rsidR="009F7333" w:rsidRPr="009F7333" w:rsidTr="009F7333">
        <w:trPr>
          <w:trHeight w:val="251"/>
        </w:trPr>
        <w:tc>
          <w:tcPr>
            <w:tcW w:w="338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České vysoké učení technické v Praze</w:t>
            </w:r>
          </w:p>
        </w:tc>
        <w:tc>
          <w:tcPr>
            <w:tcW w:w="958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651.2</w:t>
            </w:r>
          </w:p>
        </w:tc>
        <w:tc>
          <w:tcPr>
            <w:tcW w:w="733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11.15%</w:t>
            </w:r>
          </w:p>
        </w:tc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Slezská univerzita v Opavě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58.4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1.00%</w:t>
            </w:r>
          </w:p>
        </w:tc>
      </w:tr>
      <w:tr w:rsidR="009F7333" w:rsidRPr="009F7333" w:rsidTr="009F7333">
        <w:trPr>
          <w:trHeight w:val="251"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Masarykova univerzita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626.8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10.73%</w:t>
            </w:r>
          </w:p>
        </w:tc>
        <w:tc>
          <w:tcPr>
            <w:tcW w:w="338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Veterinární a farmaceutická univerzita Brno</w:t>
            </w:r>
          </w:p>
        </w:tc>
        <w:tc>
          <w:tcPr>
            <w:tcW w:w="1015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57.3</w:t>
            </w:r>
          </w:p>
        </w:tc>
        <w:tc>
          <w:tcPr>
            <w:tcW w:w="739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0.98%</w:t>
            </w:r>
          </w:p>
        </w:tc>
      </w:tr>
      <w:tr w:rsidR="009F7333" w:rsidRPr="009F7333" w:rsidTr="009F7333">
        <w:trPr>
          <w:trHeight w:val="251"/>
        </w:trPr>
        <w:tc>
          <w:tcPr>
            <w:tcW w:w="338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Univerzita Palackého v Olomouci</w:t>
            </w:r>
          </w:p>
        </w:tc>
        <w:tc>
          <w:tcPr>
            <w:tcW w:w="958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497.9</w:t>
            </w:r>
          </w:p>
        </w:tc>
        <w:tc>
          <w:tcPr>
            <w:tcW w:w="733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8.53%</w:t>
            </w:r>
          </w:p>
        </w:tc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Univerzita Hradec Králové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55.6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0.95%</w:t>
            </w:r>
          </w:p>
        </w:tc>
      </w:tr>
      <w:tr w:rsidR="009F7333" w:rsidRPr="009F7333" w:rsidTr="009F7333">
        <w:trPr>
          <w:trHeight w:val="251"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Vysoké učení technické v Brně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408.5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6.99%</w:t>
            </w:r>
          </w:p>
        </w:tc>
        <w:tc>
          <w:tcPr>
            <w:tcW w:w="338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 xml:space="preserve">Univerzita Jana Evangelisty </w:t>
            </w:r>
            <w:r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Purkyně</w:t>
            </w:r>
          </w:p>
        </w:tc>
        <w:tc>
          <w:tcPr>
            <w:tcW w:w="1015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55.1</w:t>
            </w:r>
          </w:p>
        </w:tc>
        <w:tc>
          <w:tcPr>
            <w:tcW w:w="739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0.94%</w:t>
            </w:r>
          </w:p>
        </w:tc>
      </w:tr>
      <w:tr w:rsidR="009F7333" w:rsidRPr="009F7333" w:rsidTr="009F7333">
        <w:trPr>
          <w:trHeight w:val="251"/>
        </w:trPr>
        <w:tc>
          <w:tcPr>
            <w:tcW w:w="338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 xml:space="preserve">VŠCHT </w:t>
            </w: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v Praze</w:t>
            </w:r>
          </w:p>
        </w:tc>
        <w:tc>
          <w:tcPr>
            <w:tcW w:w="958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263.6</w:t>
            </w:r>
          </w:p>
        </w:tc>
        <w:tc>
          <w:tcPr>
            <w:tcW w:w="733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4.51%</w:t>
            </w:r>
          </w:p>
        </w:tc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Akademie múzických umění v Praze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15.3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0.26%</w:t>
            </w:r>
          </w:p>
        </w:tc>
      </w:tr>
      <w:tr w:rsidR="009F7333" w:rsidRPr="009F7333" w:rsidTr="009F7333">
        <w:trPr>
          <w:trHeight w:val="251"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VŠB</w:t>
            </w: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 xml:space="preserve"> - Technická univerzita Ostrava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259.7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4.45%</w:t>
            </w:r>
          </w:p>
        </w:tc>
        <w:tc>
          <w:tcPr>
            <w:tcW w:w="338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Metropolitní univerzita Praha, o.p.s.</w:t>
            </w:r>
          </w:p>
        </w:tc>
        <w:tc>
          <w:tcPr>
            <w:tcW w:w="1015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11.4</w:t>
            </w:r>
          </w:p>
        </w:tc>
        <w:tc>
          <w:tcPr>
            <w:tcW w:w="739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0.20%</w:t>
            </w:r>
          </w:p>
        </w:tc>
      </w:tr>
      <w:tr w:rsidR="009F7333" w:rsidRPr="009F7333" w:rsidTr="009F7333">
        <w:trPr>
          <w:trHeight w:val="251"/>
        </w:trPr>
        <w:tc>
          <w:tcPr>
            <w:tcW w:w="338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Západočeská univerzita v Plzni</w:t>
            </w:r>
          </w:p>
        </w:tc>
        <w:tc>
          <w:tcPr>
            <w:tcW w:w="958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233.6</w:t>
            </w:r>
          </w:p>
        </w:tc>
        <w:tc>
          <w:tcPr>
            <w:tcW w:w="733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4.00%</w:t>
            </w:r>
          </w:p>
        </w:tc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Vysoká škola umělecko-průmyslová v Praze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5.4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0.09%</w:t>
            </w:r>
          </w:p>
        </w:tc>
      </w:tr>
      <w:tr w:rsidR="009F7333" w:rsidRPr="009F7333" w:rsidTr="009F7333">
        <w:trPr>
          <w:trHeight w:val="251"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Česká zemědělská univerzita v Praze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207.8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3.56%</w:t>
            </w:r>
          </w:p>
        </w:tc>
        <w:tc>
          <w:tcPr>
            <w:tcW w:w="338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 xml:space="preserve">Janáčkova akademie múzických </w:t>
            </w:r>
            <w:r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umění</w:t>
            </w:r>
          </w:p>
        </w:tc>
        <w:tc>
          <w:tcPr>
            <w:tcW w:w="1015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4.8</w:t>
            </w:r>
          </w:p>
        </w:tc>
        <w:tc>
          <w:tcPr>
            <w:tcW w:w="739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0.08%</w:t>
            </w:r>
          </w:p>
        </w:tc>
      </w:tr>
      <w:tr w:rsidR="009F7333" w:rsidRPr="009F7333" w:rsidTr="009F7333">
        <w:trPr>
          <w:trHeight w:val="251"/>
        </w:trPr>
        <w:tc>
          <w:tcPr>
            <w:tcW w:w="338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Jihočeská univerzita v Českých Budějovicích</w:t>
            </w:r>
          </w:p>
        </w:tc>
        <w:tc>
          <w:tcPr>
            <w:tcW w:w="958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203.8</w:t>
            </w:r>
          </w:p>
        </w:tc>
        <w:tc>
          <w:tcPr>
            <w:tcW w:w="733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3.49%</w:t>
            </w:r>
          </w:p>
        </w:tc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Akademie výtvarných umění v Praze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3.8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0.07%</w:t>
            </w:r>
          </w:p>
        </w:tc>
      </w:tr>
      <w:tr w:rsidR="009F7333" w:rsidRPr="009F7333" w:rsidTr="009F7333">
        <w:trPr>
          <w:trHeight w:val="251"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Univerzita Pardubice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173.9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2.98%</w:t>
            </w:r>
          </w:p>
        </w:tc>
        <w:tc>
          <w:tcPr>
            <w:tcW w:w="338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Vysoká škola finanční a správní, a.s.</w:t>
            </w:r>
          </w:p>
        </w:tc>
        <w:tc>
          <w:tcPr>
            <w:tcW w:w="1015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3.4</w:t>
            </w:r>
          </w:p>
        </w:tc>
        <w:tc>
          <w:tcPr>
            <w:tcW w:w="739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0.06%</w:t>
            </w:r>
          </w:p>
        </w:tc>
      </w:tr>
      <w:tr w:rsidR="009F7333" w:rsidRPr="009F7333" w:rsidTr="009F7333">
        <w:trPr>
          <w:trHeight w:val="251"/>
        </w:trPr>
        <w:tc>
          <w:tcPr>
            <w:tcW w:w="338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Mendelova univerzita v Brně</w:t>
            </w:r>
          </w:p>
        </w:tc>
        <w:tc>
          <w:tcPr>
            <w:tcW w:w="958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159.6</w:t>
            </w:r>
          </w:p>
        </w:tc>
        <w:tc>
          <w:tcPr>
            <w:tcW w:w="733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2.73%</w:t>
            </w:r>
          </w:p>
        </w:tc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 xml:space="preserve">Vysoká škola technická a ekonomická v </w:t>
            </w:r>
            <w:r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ČB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3.2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0.06%</w:t>
            </w:r>
          </w:p>
        </w:tc>
      </w:tr>
      <w:tr w:rsidR="009F7333" w:rsidRPr="009F7333" w:rsidTr="009F7333">
        <w:trPr>
          <w:trHeight w:val="251"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Univerzita Tomáše Bati ve Zlíně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116.8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2.00%</w:t>
            </w:r>
          </w:p>
        </w:tc>
        <w:tc>
          <w:tcPr>
            <w:tcW w:w="338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Vysoká škola polytechnická Jihlava</w:t>
            </w:r>
          </w:p>
        </w:tc>
        <w:tc>
          <w:tcPr>
            <w:tcW w:w="1015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1.7</w:t>
            </w:r>
          </w:p>
        </w:tc>
        <w:tc>
          <w:tcPr>
            <w:tcW w:w="739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0.03%</w:t>
            </w:r>
          </w:p>
        </w:tc>
      </w:tr>
      <w:tr w:rsidR="009F7333" w:rsidRPr="009F7333" w:rsidTr="009F7333">
        <w:trPr>
          <w:trHeight w:val="251"/>
        </w:trPr>
        <w:tc>
          <w:tcPr>
            <w:tcW w:w="338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Technická univerzita v Liberci</w:t>
            </w:r>
          </w:p>
        </w:tc>
        <w:tc>
          <w:tcPr>
            <w:tcW w:w="958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111.5</w:t>
            </w:r>
          </w:p>
        </w:tc>
        <w:tc>
          <w:tcPr>
            <w:tcW w:w="733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1.91%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Univerzita Jana Amose Komenského Praha.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1.2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0.02%</w:t>
            </w:r>
          </w:p>
        </w:tc>
      </w:tr>
      <w:tr w:rsidR="009F7333" w:rsidRPr="009F7333" w:rsidTr="009F7333">
        <w:trPr>
          <w:trHeight w:val="251"/>
        </w:trPr>
        <w:tc>
          <w:tcPr>
            <w:tcW w:w="3382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Ostravská univerzita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98.2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1.68%</w:t>
            </w:r>
          </w:p>
        </w:tc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</w:p>
        </w:tc>
      </w:tr>
      <w:tr w:rsidR="009F7333" w:rsidRPr="009F7333" w:rsidTr="009F7333">
        <w:trPr>
          <w:trHeight w:val="251"/>
        </w:trPr>
        <w:tc>
          <w:tcPr>
            <w:tcW w:w="3382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000000" w:fill="DCE6F1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b/>
                <w:bCs/>
                <w:color w:val="000000"/>
                <w:sz w:val="17"/>
                <w:szCs w:val="17"/>
                <w:lang w:eastAsia="cs-CZ"/>
              </w:rPr>
              <w:t>Ostatní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000000" w:fill="DCE6F1"/>
            <w:noWrap/>
            <w:vAlign w:val="bottom"/>
            <w:hideMark/>
          </w:tcPr>
          <w:p w:rsidR="009F7333" w:rsidRPr="009F7333" w:rsidRDefault="009F7333" w:rsidP="009F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000000" w:fill="DCE6F1"/>
            <w:noWrap/>
            <w:vAlign w:val="bottom"/>
            <w:hideMark/>
          </w:tcPr>
          <w:p w:rsidR="009F7333" w:rsidRPr="009F7333" w:rsidRDefault="009F7333" w:rsidP="009F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 </w:t>
            </w:r>
          </w:p>
        </w:tc>
        <w:tc>
          <w:tcPr>
            <w:tcW w:w="338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000000" w:fill="DCE6F1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b/>
                <w:bCs/>
                <w:color w:val="000000"/>
                <w:sz w:val="17"/>
                <w:szCs w:val="17"/>
                <w:lang w:eastAsia="cs-CZ"/>
              </w:rPr>
              <w:t> </w:t>
            </w:r>
          </w:p>
        </w:tc>
        <w:tc>
          <w:tcPr>
            <w:tcW w:w="1015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000000" w:fill="DCE6F1"/>
            <w:noWrap/>
            <w:vAlign w:val="bottom"/>
            <w:hideMark/>
          </w:tcPr>
          <w:p w:rsidR="009F7333" w:rsidRPr="009F7333" w:rsidRDefault="009F7333" w:rsidP="009F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 </w:t>
            </w:r>
          </w:p>
        </w:tc>
        <w:tc>
          <w:tcPr>
            <w:tcW w:w="739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000000" w:fill="DCE6F1"/>
            <w:noWrap/>
            <w:vAlign w:val="bottom"/>
            <w:hideMark/>
          </w:tcPr>
          <w:p w:rsidR="009F7333" w:rsidRPr="009F7333" w:rsidRDefault="009F7333" w:rsidP="009F73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 </w:t>
            </w:r>
          </w:p>
        </w:tc>
      </w:tr>
      <w:tr w:rsidR="009F7333" w:rsidRPr="009F7333" w:rsidTr="009F7333">
        <w:trPr>
          <w:trHeight w:val="251"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Výzkumný ústav geodetický, topografický a kartografický, v. v. i.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9.9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0.17%</w:t>
            </w:r>
          </w:p>
        </w:tc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ENKI, o.p.s.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3.1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0.05%</w:t>
            </w:r>
          </w:p>
        </w:tc>
      </w:tr>
      <w:tr w:rsidR="009F7333" w:rsidRPr="009F7333" w:rsidTr="009F7333">
        <w:trPr>
          <w:trHeight w:val="251"/>
        </w:trPr>
        <w:tc>
          <w:tcPr>
            <w:tcW w:w="338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CESNET</w:t>
            </w:r>
          </w:p>
        </w:tc>
        <w:tc>
          <w:tcPr>
            <w:tcW w:w="958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9.2</w:t>
            </w:r>
          </w:p>
        </w:tc>
        <w:tc>
          <w:tcPr>
            <w:tcW w:w="733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0.16%</w:t>
            </w:r>
          </w:p>
        </w:tc>
        <w:tc>
          <w:tcPr>
            <w:tcW w:w="338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ind w:firstLineChars="100" w:firstLine="170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Centrum pro studium vysokého školství</w:t>
            </w:r>
          </w:p>
        </w:tc>
        <w:tc>
          <w:tcPr>
            <w:tcW w:w="1015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0.9</w:t>
            </w:r>
          </w:p>
        </w:tc>
        <w:tc>
          <w:tcPr>
            <w:tcW w:w="739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0.01%</w:t>
            </w:r>
          </w:p>
        </w:tc>
      </w:tr>
      <w:tr w:rsidR="009F7333" w:rsidRPr="009F7333" w:rsidTr="009F7333">
        <w:trPr>
          <w:trHeight w:val="251"/>
        </w:trPr>
        <w:tc>
          <w:tcPr>
            <w:tcW w:w="3382" w:type="dxa"/>
            <w:tcBorders>
              <w:top w:val="nil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b/>
                <w:bCs/>
                <w:color w:val="000000"/>
                <w:sz w:val="17"/>
                <w:szCs w:val="17"/>
                <w:lang w:eastAsia="cs-CZ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b/>
                <w:bCs/>
                <w:color w:val="000000"/>
                <w:sz w:val="17"/>
                <w:szCs w:val="17"/>
                <w:lang w:eastAsia="cs-CZ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b/>
                <w:bCs/>
                <w:color w:val="000000"/>
                <w:sz w:val="17"/>
                <w:szCs w:val="17"/>
                <w:lang w:eastAsia="cs-CZ"/>
              </w:rPr>
              <w:t> 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b/>
                <w:bCs/>
                <w:color w:val="000000"/>
                <w:sz w:val="17"/>
                <w:szCs w:val="17"/>
                <w:lang w:eastAsia="cs-CZ"/>
              </w:rPr>
              <w:t>Celkový součet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b/>
                <w:bCs/>
                <w:color w:val="000000"/>
                <w:sz w:val="17"/>
                <w:szCs w:val="17"/>
                <w:lang w:eastAsia="cs-CZ"/>
              </w:rPr>
              <w:t>5 839.70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F7333" w:rsidRPr="009F7333" w:rsidRDefault="009F7333" w:rsidP="009F73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9F7333">
              <w:rPr>
                <w:rFonts w:ascii="Calibri" w:eastAsia="Times New Roman" w:hAnsi="Calibri" w:cs="Times New Roman"/>
                <w:b/>
                <w:bCs/>
                <w:color w:val="000000"/>
                <w:sz w:val="17"/>
                <w:szCs w:val="17"/>
                <w:lang w:eastAsia="cs-CZ"/>
              </w:rPr>
              <w:t>100.00%</w:t>
            </w:r>
          </w:p>
        </w:tc>
      </w:tr>
    </w:tbl>
    <w:p w:rsidR="009578CB" w:rsidRPr="00623D19" w:rsidRDefault="009578CB" w:rsidP="00623D19">
      <w:pPr>
        <w:ind w:left="360"/>
        <w:rPr>
          <w:rFonts w:ascii="Arial" w:hAnsi="Arial" w:cs="Arial"/>
          <w:i/>
          <w:sz w:val="16"/>
          <w:szCs w:val="16"/>
        </w:rPr>
      </w:pPr>
      <w:r w:rsidRPr="00623D19">
        <w:rPr>
          <w:rFonts w:ascii="Arial" w:hAnsi="Arial" w:cs="Arial"/>
          <w:i/>
          <w:sz w:val="16"/>
          <w:szCs w:val="16"/>
        </w:rPr>
        <w:t>Zdroj: IS VaVaI</w:t>
      </w:r>
    </w:p>
    <w:p w:rsidR="009578CB" w:rsidRPr="001E3F52" w:rsidRDefault="009578CB" w:rsidP="00BC2AAA">
      <w:pPr>
        <w:spacing w:before="240"/>
        <w:outlineLvl w:val="0"/>
        <w:rPr>
          <w:rFonts w:ascii="Arial" w:hAnsi="Arial" w:cs="Arial"/>
          <w:b/>
        </w:rPr>
      </w:pPr>
      <w:r w:rsidRPr="001E3F52">
        <w:rPr>
          <w:rFonts w:ascii="Arial" w:hAnsi="Arial" w:cs="Arial"/>
          <w:b/>
        </w:rPr>
        <w:t>Závěry jednání</w:t>
      </w:r>
    </w:p>
    <w:p w:rsidR="002150F5" w:rsidRPr="009F7333" w:rsidRDefault="00623D19" w:rsidP="002150F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</w:rPr>
      </w:pPr>
      <w:r w:rsidRPr="009F7333">
        <w:rPr>
          <w:rFonts w:ascii="Arial" w:hAnsi="Arial" w:cs="Arial"/>
        </w:rPr>
        <w:t>MŠMT neuplatňuje nadpožadavky, ale navrhuje od r</w:t>
      </w:r>
      <w:r w:rsidR="002150F5" w:rsidRPr="009F7333">
        <w:rPr>
          <w:rFonts w:ascii="Arial" w:hAnsi="Arial" w:cs="Arial"/>
        </w:rPr>
        <w:t>.</w:t>
      </w:r>
      <w:r w:rsidRPr="009F7333">
        <w:rPr>
          <w:rFonts w:ascii="Arial" w:hAnsi="Arial" w:cs="Arial"/>
        </w:rPr>
        <w:t xml:space="preserve"> 2019 upravit strukturu účelových výdajů takto:</w:t>
      </w:r>
    </w:p>
    <w:p w:rsidR="00623D19" w:rsidRPr="009F7333" w:rsidRDefault="00623D19" w:rsidP="009F733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</w:rPr>
      </w:pPr>
      <w:r w:rsidRPr="009F7333">
        <w:rPr>
          <w:rFonts w:ascii="Arial" w:hAnsi="Arial" w:cs="Arial"/>
        </w:rPr>
        <w:t>navýšení výdajů u Projektů velkých výzkumných infrastruktur na základě mezinárodního hodnocení uskutečněného v r. 2017. MŠMT dodá výsledky tohoto hodnocení - konsenzuální posudky (režim citlivých informací)</w:t>
      </w:r>
    </w:p>
    <w:p w:rsidR="00623D19" w:rsidRPr="009F7333" w:rsidRDefault="00623D19" w:rsidP="009F733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</w:rPr>
      </w:pPr>
      <w:r w:rsidRPr="009F7333">
        <w:rPr>
          <w:rFonts w:ascii="Arial" w:hAnsi="Arial" w:cs="Arial"/>
        </w:rPr>
        <w:t xml:space="preserve">V roce 2020 MŠMT navrhuje navýšení programu Inter- Excellence z důvodu kulminace počtu projektů v rámci vyhlášených veřejných soutěží </w:t>
      </w:r>
    </w:p>
    <w:p w:rsidR="00623D19" w:rsidRPr="009F7333" w:rsidRDefault="00623D19" w:rsidP="009F733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</w:rPr>
      </w:pPr>
      <w:r w:rsidRPr="009F7333">
        <w:rPr>
          <w:rFonts w:ascii="Arial" w:hAnsi="Arial" w:cs="Arial"/>
        </w:rPr>
        <w:t>MŠMT navrhuje 3 nové programy, které doposud nebyly předloženy Radě</w:t>
      </w:r>
    </w:p>
    <w:p w:rsidR="002150F5" w:rsidRPr="009F7333" w:rsidRDefault="002150F5" w:rsidP="002150F5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</w:rPr>
      </w:pPr>
      <w:r w:rsidRPr="009F7333">
        <w:rPr>
          <w:rFonts w:ascii="Arial" w:hAnsi="Arial" w:cs="Arial"/>
        </w:rPr>
        <w:t>Dále navrhuje navýšení institucionálních výdajů v r. 2021 o 334,2 mil. Kč na úkor snížení účelových výdajů o stejnou částku, bez vlivu na celkové výdaje.</w:t>
      </w:r>
    </w:p>
    <w:p w:rsidR="009578CB" w:rsidRPr="009F7333" w:rsidRDefault="00623D19" w:rsidP="002150F5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</w:rPr>
      </w:pPr>
      <w:r w:rsidRPr="009F7333">
        <w:rPr>
          <w:rFonts w:ascii="Arial" w:hAnsi="Arial" w:cs="Arial"/>
        </w:rPr>
        <w:t xml:space="preserve">MŠMT předpokládá dočerpání téměř celého objemu </w:t>
      </w:r>
      <w:r w:rsidR="002150F5" w:rsidRPr="009F7333">
        <w:rPr>
          <w:rFonts w:ascii="Arial" w:hAnsi="Arial" w:cs="Arial"/>
        </w:rPr>
        <w:t xml:space="preserve">NNV </w:t>
      </w:r>
      <w:r w:rsidRPr="009F7333">
        <w:rPr>
          <w:rFonts w:ascii="Arial" w:hAnsi="Arial" w:cs="Arial"/>
        </w:rPr>
        <w:t xml:space="preserve">do konce </w:t>
      </w:r>
      <w:r w:rsidR="002150F5" w:rsidRPr="009F7333">
        <w:rPr>
          <w:rFonts w:ascii="Arial" w:hAnsi="Arial" w:cs="Arial"/>
        </w:rPr>
        <w:t xml:space="preserve">r. </w:t>
      </w:r>
      <w:r w:rsidRPr="009F7333">
        <w:rPr>
          <w:rFonts w:ascii="Arial" w:hAnsi="Arial" w:cs="Arial"/>
        </w:rPr>
        <w:t>2018. Zašle detailní rozklad NNV.</w:t>
      </w:r>
    </w:p>
    <w:p w:rsidR="002150F5" w:rsidRPr="009F7333" w:rsidRDefault="002150F5" w:rsidP="002150F5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</w:rPr>
      </w:pPr>
      <w:r w:rsidRPr="009F7333">
        <w:rPr>
          <w:rFonts w:ascii="Arial" w:hAnsi="Arial" w:cs="Arial"/>
        </w:rPr>
        <w:t>MŠMT předloží stručný podklad (manažerské shrnutí) popisující přínosy mezinárodní spolupráce pro ČR (institucionální i účelová podpora)</w:t>
      </w:r>
    </w:p>
    <w:p w:rsidR="002150F5" w:rsidRPr="009F7333" w:rsidRDefault="002150F5" w:rsidP="002150F5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</w:rPr>
      </w:pPr>
      <w:r w:rsidRPr="009F7333">
        <w:rPr>
          <w:rFonts w:ascii="Arial" w:hAnsi="Arial" w:cs="Arial"/>
        </w:rPr>
        <w:t>MŠMT zašle seznam dotací přidělených jednotlivým projektům velkých výzkumných infrastruktur od roku 2016 v členění na národní a evropské zdroje do 20. 2. 2018.</w:t>
      </w:r>
    </w:p>
    <w:sectPr w:rsidR="002150F5" w:rsidRPr="009F7333" w:rsidSect="009578CB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995" w:rsidRDefault="00893995" w:rsidP="00811165">
      <w:pPr>
        <w:spacing w:after="0" w:line="240" w:lineRule="auto"/>
      </w:pPr>
      <w:r>
        <w:separator/>
      </w:r>
    </w:p>
  </w:endnote>
  <w:endnote w:type="continuationSeparator" w:id="0">
    <w:p w:rsidR="00893995" w:rsidRDefault="00893995" w:rsidP="0081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433166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11165" w:rsidRDefault="00811165">
            <w:pPr>
              <w:pStyle w:val="Zpat"/>
              <w:jc w:val="center"/>
            </w:pPr>
            <w:r>
              <w:t xml:space="preserve">Stránka </w:t>
            </w:r>
            <w:r w:rsidR="00437B1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37B13">
              <w:rPr>
                <w:b/>
                <w:bCs/>
                <w:sz w:val="24"/>
                <w:szCs w:val="24"/>
              </w:rPr>
              <w:fldChar w:fldCharType="separate"/>
            </w:r>
            <w:r w:rsidR="002539CB">
              <w:rPr>
                <w:b/>
                <w:bCs/>
                <w:noProof/>
              </w:rPr>
              <w:t>2</w:t>
            </w:r>
            <w:r w:rsidR="00437B13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37B1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37B13">
              <w:rPr>
                <w:b/>
                <w:bCs/>
                <w:sz w:val="24"/>
                <w:szCs w:val="24"/>
              </w:rPr>
              <w:fldChar w:fldCharType="separate"/>
            </w:r>
            <w:r w:rsidR="002539CB">
              <w:rPr>
                <w:b/>
                <w:bCs/>
                <w:noProof/>
              </w:rPr>
              <w:t>2</w:t>
            </w:r>
            <w:r w:rsidR="00437B1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11165" w:rsidRDefault="0081116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995" w:rsidRDefault="00893995" w:rsidP="00811165">
      <w:pPr>
        <w:spacing w:after="0" w:line="240" w:lineRule="auto"/>
      </w:pPr>
      <w:r>
        <w:separator/>
      </w:r>
    </w:p>
  </w:footnote>
  <w:footnote w:type="continuationSeparator" w:id="0">
    <w:p w:rsidR="00893995" w:rsidRDefault="00893995" w:rsidP="008111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300D5"/>
    <w:multiLevelType w:val="hybridMultilevel"/>
    <w:tmpl w:val="74EAC0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F5744C"/>
    <w:multiLevelType w:val="hybridMultilevel"/>
    <w:tmpl w:val="8FDEA00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8C67A5E"/>
    <w:multiLevelType w:val="hybridMultilevel"/>
    <w:tmpl w:val="1CCC1204"/>
    <w:lvl w:ilvl="0" w:tplc="F1D07FEC">
      <w:numFmt w:val="bullet"/>
      <w:lvlText w:val="-"/>
      <w:lvlJc w:val="left"/>
      <w:pPr>
        <w:ind w:left="1065" w:hanging="360"/>
      </w:pPr>
      <w:rPr>
        <w:rFonts w:ascii="Arial" w:eastAsia="Batang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5F1A2D93"/>
    <w:multiLevelType w:val="hybridMultilevel"/>
    <w:tmpl w:val="16C8777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585BA7"/>
    <w:multiLevelType w:val="hybridMultilevel"/>
    <w:tmpl w:val="FC9E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8CB"/>
    <w:rsid w:val="002150F5"/>
    <w:rsid w:val="002539CB"/>
    <w:rsid w:val="002B2170"/>
    <w:rsid w:val="00437B13"/>
    <w:rsid w:val="00623D19"/>
    <w:rsid w:val="0064658D"/>
    <w:rsid w:val="00811165"/>
    <w:rsid w:val="00893995"/>
    <w:rsid w:val="009578CB"/>
    <w:rsid w:val="00994B67"/>
    <w:rsid w:val="009F7333"/>
    <w:rsid w:val="00A20F5B"/>
    <w:rsid w:val="00B91AAC"/>
    <w:rsid w:val="00BC2054"/>
    <w:rsid w:val="00BC2AAA"/>
    <w:rsid w:val="00DF2382"/>
    <w:rsid w:val="00EF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7B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57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78C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165"/>
  </w:style>
  <w:style w:type="paragraph" w:styleId="Zpat">
    <w:name w:val="footer"/>
    <w:basedOn w:val="Normln"/>
    <w:link w:val="ZpatChar"/>
    <w:uiPriority w:val="99"/>
    <w:unhideWhenUsed/>
    <w:rsid w:val="00811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165"/>
  </w:style>
  <w:style w:type="paragraph" w:styleId="Odstavecseseznamem">
    <w:name w:val="List Paragraph"/>
    <w:basedOn w:val="Normln"/>
    <w:uiPriority w:val="34"/>
    <w:qFormat/>
    <w:rsid w:val="00623D19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BC2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C2AAA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C2A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2A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2AA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2A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2AA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57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78C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165"/>
  </w:style>
  <w:style w:type="paragraph" w:styleId="Zpat">
    <w:name w:val="footer"/>
    <w:basedOn w:val="Normln"/>
    <w:link w:val="ZpatChar"/>
    <w:uiPriority w:val="99"/>
    <w:unhideWhenUsed/>
    <w:rsid w:val="00811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165"/>
  </w:style>
  <w:style w:type="paragraph" w:styleId="Odstavecseseznamem">
    <w:name w:val="List Paragraph"/>
    <w:basedOn w:val="Normln"/>
    <w:uiPriority w:val="34"/>
    <w:qFormat/>
    <w:rsid w:val="00623D19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ORLIK\RVV\Oddeleni%20analyz%20a%20koordinace%20vedy\_Spolecne\Prac_skupina%20ROZPO&#268;ET\ROZPO&#268;ET%202019-2021\Pasporty_R2019-2021\_Data_Pasporty_R2019-2021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strRef>
          <c:f>MŠMT!$L$1</c:f>
          <c:strCache>
            <c:ptCount val="1"/>
            <c:pt idx="0">
              <c:v>MŠMT</c:v>
            </c:pt>
          </c:strCache>
        </c:strRef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MŠMT!$M$1</c:f>
              <c:strCache>
                <c:ptCount val="1"/>
                <c:pt idx="0">
                  <c:v>institucionální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cs-CZ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MŠMT!$C$4:$J$4</c:f>
              <c:strCache>
                <c:ptCount val="8"/>
                <c:pt idx="0">
                  <c:v>2014 
zák. č. 475/2013 </c:v>
                </c:pt>
                <c:pt idx="1">
                  <c:v>2015 
zák. č. 345/2014 </c:v>
                </c:pt>
                <c:pt idx="2">
                  <c:v>2016 
zák. č. 400/2015 </c:v>
                </c:pt>
                <c:pt idx="3">
                  <c:v>2017 
zák. č. 457/2016 </c:v>
                </c:pt>
                <c:pt idx="4">
                  <c:v>2018 
zák. č. 474/2017 </c:v>
                </c:pt>
                <c:pt idx="5">
                  <c:v>2019 
dle UV č. 674</c:v>
                </c:pt>
                <c:pt idx="6">
                  <c:v>2020 
dle UV č. 674</c:v>
                </c:pt>
                <c:pt idx="7">
                  <c:v>2021 
návrh poskytovatele</c:v>
                </c:pt>
              </c:strCache>
            </c:strRef>
          </c:cat>
          <c:val>
            <c:numRef>
              <c:f>MŠMT!$C$13:$J$13</c:f>
              <c:numCache>
                <c:formatCode>#,###,,</c:formatCode>
                <c:ptCount val="8"/>
                <c:pt idx="0">
                  <c:v>6683172100</c:v>
                </c:pt>
                <c:pt idx="1">
                  <c:v>6779932155</c:v>
                </c:pt>
                <c:pt idx="2">
                  <c:v>7407558350</c:v>
                </c:pt>
                <c:pt idx="3">
                  <c:v>8855780063</c:v>
                </c:pt>
                <c:pt idx="4">
                  <c:v>8896591355</c:v>
                </c:pt>
                <c:pt idx="5">
                  <c:v>9516897718</c:v>
                </c:pt>
                <c:pt idx="6">
                  <c:v>9020322851</c:v>
                </c:pt>
                <c:pt idx="7">
                  <c:v>9354533563</c:v>
                </c:pt>
              </c:numCache>
            </c:numRef>
          </c:val>
        </c:ser>
        <c:ser>
          <c:idx val="1"/>
          <c:order val="1"/>
          <c:tx>
            <c:strRef>
              <c:f>MŠMT!$N$1</c:f>
              <c:strCache>
                <c:ptCount val="1"/>
                <c:pt idx="0">
                  <c:v>účelová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MŠMT!$C$4:$J$4</c:f>
              <c:strCache>
                <c:ptCount val="8"/>
                <c:pt idx="0">
                  <c:v>2014 
zák. č. 475/2013 </c:v>
                </c:pt>
                <c:pt idx="1">
                  <c:v>2015 
zák. č. 345/2014 </c:v>
                </c:pt>
                <c:pt idx="2">
                  <c:v>2016 
zák. č. 400/2015 </c:v>
                </c:pt>
                <c:pt idx="3">
                  <c:v>2017 
zák. č. 457/2016 </c:v>
                </c:pt>
                <c:pt idx="4">
                  <c:v>2018 
zák. č. 474/2017 </c:v>
                </c:pt>
                <c:pt idx="5">
                  <c:v>2019 
dle UV č. 674</c:v>
                </c:pt>
                <c:pt idx="6">
                  <c:v>2020 
dle UV č. 674</c:v>
                </c:pt>
                <c:pt idx="7">
                  <c:v>2021 
návrh poskytovatele</c:v>
                </c:pt>
              </c:strCache>
            </c:strRef>
          </c:cat>
          <c:val>
            <c:numRef>
              <c:f>MŠMT!$C$32:$J$32</c:f>
              <c:numCache>
                <c:formatCode>#,###,,</c:formatCode>
                <c:ptCount val="8"/>
                <c:pt idx="0">
                  <c:v>3849343000</c:v>
                </c:pt>
                <c:pt idx="1">
                  <c:v>4483685100</c:v>
                </c:pt>
                <c:pt idx="2">
                  <c:v>4939699615</c:v>
                </c:pt>
                <c:pt idx="3">
                  <c:v>5072524230</c:v>
                </c:pt>
                <c:pt idx="4">
                  <c:v>5448521230</c:v>
                </c:pt>
                <c:pt idx="5">
                  <c:v>5321654230</c:v>
                </c:pt>
                <c:pt idx="6">
                  <c:v>5471654230</c:v>
                </c:pt>
                <c:pt idx="7">
                  <c:v>5137443518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38795904"/>
        <c:axId val="39367424"/>
      </c:barChart>
      <c:catAx>
        <c:axId val="38795904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39367424"/>
        <c:crosses val="autoZero"/>
        <c:auto val="1"/>
        <c:lblAlgn val="ctr"/>
        <c:lblOffset val="100"/>
        <c:noMultiLvlLbl val="0"/>
      </c:catAx>
      <c:valAx>
        <c:axId val="39367424"/>
        <c:scaling>
          <c:orientation val="minMax"/>
        </c:scaling>
        <c:delete val="0"/>
        <c:axPos val="l"/>
        <c:majorGridlines/>
        <c:title>
          <c:tx>
            <c:strRef>
              <c:f>MŠMT!$K$1</c:f>
              <c:strCache>
                <c:ptCount val="1"/>
                <c:pt idx="0">
                  <c:v>mil. Kč</c:v>
                </c:pt>
              </c:strCache>
            </c:strRef>
          </c:tx>
          <c:layout/>
          <c:overlay val="0"/>
          <c:txPr>
            <a:bodyPr rot="-5400000" vert="horz"/>
            <a:lstStyle/>
            <a:p>
              <a:pPr>
                <a:defRPr/>
              </a:pPr>
              <a:endParaRPr lang="cs-CZ"/>
            </a:p>
          </c:txPr>
        </c:title>
        <c:numFmt formatCode="#,###,," sourceLinked="1"/>
        <c:majorTickMark val="none"/>
        <c:min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sz="800"/>
            </a:pPr>
            <a:endParaRPr lang="cs-CZ"/>
          </a:p>
        </c:txPr>
        <c:crossAx val="3879590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5406290315405491"/>
          <c:y val="2.2475940507436891E-3"/>
          <c:w val="0.26375938754959177"/>
          <c:h val="0.20092125984251968"/>
        </c:manualLayout>
      </c:layout>
      <c:overlay val="1"/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714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Kureková Lucie</dc:creator>
  <cp:lastModifiedBy>Kureková Lucie</cp:lastModifiedBy>
  <cp:revision>7</cp:revision>
  <cp:lastPrinted>2018-02-13T17:03:00Z</cp:lastPrinted>
  <dcterms:created xsi:type="dcterms:W3CDTF">2018-02-13T08:23:00Z</dcterms:created>
  <dcterms:modified xsi:type="dcterms:W3CDTF">2018-02-15T10:36:00Z</dcterms:modified>
</cp:coreProperties>
</file>