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23180" w:rsidRDefault="009D1A73">
      <w:pPr>
        <w:spacing w:before="120" w:after="120"/>
        <w:jc w:val="right"/>
      </w:pPr>
      <w:r>
        <w:rPr>
          <w:rFonts w:ascii="Arial" w:eastAsia="Arial" w:hAnsi="Arial" w:cs="Arial"/>
          <w:sz w:val="22"/>
          <w:szCs w:val="22"/>
        </w:rPr>
        <w:t>III.</w:t>
      </w:r>
    </w:p>
    <w:p w:rsidR="00723180" w:rsidRDefault="009D1A73">
      <w:pPr>
        <w:spacing w:before="120" w:after="120"/>
        <w:jc w:val="center"/>
      </w:pPr>
      <w:r>
        <w:rPr>
          <w:rFonts w:ascii="Arial" w:eastAsia="Arial" w:hAnsi="Arial" w:cs="Arial"/>
          <w:b/>
        </w:rPr>
        <w:t>Program na podporu aplikovaného výzkumu, experimentálního vývoje a inovací KAPPA</w:t>
      </w:r>
    </w:p>
    <w:p w:rsidR="00723180" w:rsidRDefault="009D1A73">
      <w:pPr>
        <w:pStyle w:val="Nadpis1"/>
        <w:numPr>
          <w:ilvl w:val="0"/>
          <w:numId w:val="5"/>
        </w:numPr>
      </w:pPr>
      <w:r>
        <w:t>NÁZEV PROGRAMU</w:t>
      </w:r>
    </w:p>
    <w:p w:rsidR="00723180" w:rsidRDefault="009D1A73">
      <w:pPr>
        <w:spacing w:before="120" w:after="120"/>
        <w:jc w:val="both"/>
      </w:pPr>
      <w:r>
        <w:rPr>
          <w:rFonts w:ascii="Arial" w:eastAsia="Arial" w:hAnsi="Arial" w:cs="Arial"/>
          <w:sz w:val="22"/>
          <w:szCs w:val="22"/>
        </w:rPr>
        <w:t>Program na podporu aplikovaného výzkumu, experimentálního vývoje a inovací KAPPA (dále také „program“).</w:t>
      </w:r>
    </w:p>
    <w:p w:rsidR="00723180" w:rsidRDefault="009D1A73">
      <w:pPr>
        <w:pStyle w:val="Nadpis1"/>
        <w:numPr>
          <w:ilvl w:val="0"/>
          <w:numId w:val="5"/>
        </w:numPr>
      </w:pPr>
      <w:r>
        <w:t>PRÁVNÍ RÁMEC PROGRAMU</w:t>
      </w:r>
    </w:p>
    <w:p w:rsidR="00723180" w:rsidRDefault="009D1A73">
      <w:pPr>
        <w:spacing w:before="120" w:after="120"/>
        <w:jc w:val="both"/>
      </w:pPr>
      <w:r>
        <w:rPr>
          <w:rFonts w:ascii="Arial" w:eastAsia="Arial" w:hAnsi="Arial" w:cs="Arial"/>
          <w:sz w:val="22"/>
          <w:szCs w:val="22"/>
        </w:rPr>
        <w:t>Program bude realizován podle:</w:t>
      </w:r>
    </w:p>
    <w:p w:rsidR="00723180" w:rsidRDefault="009D1A73">
      <w:pPr>
        <w:numPr>
          <w:ilvl w:val="0"/>
          <w:numId w:val="3"/>
        </w:numPr>
        <w:spacing w:before="120" w:after="120"/>
        <w:ind w:left="714" w:hanging="357"/>
        <w:jc w:val="both"/>
        <w:rPr>
          <w:sz w:val="22"/>
          <w:szCs w:val="22"/>
        </w:rPr>
      </w:pPr>
      <w:r>
        <w:rPr>
          <w:rFonts w:ascii="Arial" w:eastAsia="Arial" w:hAnsi="Arial" w:cs="Arial"/>
          <w:sz w:val="22"/>
          <w:szCs w:val="22"/>
        </w:rPr>
        <w:t xml:space="preserve">Zákona č. 130/2002 Sb., o podpoře výzkumu, experimentálního vývoje a inovací z veřejných prostředků a o změně některých souvisejících zákonů (dále </w:t>
      </w:r>
      <w:r w:rsidR="003F7081">
        <w:rPr>
          <w:rFonts w:ascii="Arial" w:eastAsia="Arial" w:hAnsi="Arial" w:cs="Arial"/>
          <w:sz w:val="22"/>
          <w:szCs w:val="22"/>
        </w:rPr>
        <w:t>také</w:t>
      </w:r>
      <w:r>
        <w:rPr>
          <w:rFonts w:ascii="Arial" w:eastAsia="Arial" w:hAnsi="Arial" w:cs="Arial"/>
          <w:sz w:val="22"/>
          <w:szCs w:val="22"/>
        </w:rPr>
        <w:t xml:space="preserve"> “zákon o podpoře výzkumu, experimentálního vývoje a inovací”), ve znění pozdějších předpisů;</w:t>
      </w:r>
    </w:p>
    <w:p w:rsidR="00723180" w:rsidRDefault="009D1A73">
      <w:pPr>
        <w:numPr>
          <w:ilvl w:val="0"/>
          <w:numId w:val="3"/>
        </w:numPr>
        <w:spacing w:before="120" w:after="120"/>
        <w:ind w:left="714" w:hanging="357"/>
        <w:jc w:val="both"/>
        <w:rPr>
          <w:sz w:val="22"/>
          <w:szCs w:val="22"/>
        </w:rPr>
      </w:pPr>
      <w:r>
        <w:rPr>
          <w:rFonts w:ascii="Arial" w:eastAsia="Arial" w:hAnsi="Arial" w:cs="Arial"/>
          <w:sz w:val="22"/>
          <w:szCs w:val="22"/>
        </w:rPr>
        <w:t>Smlouvy o fungování Evropské unie 2012/C 326/01, (zejména 107, případně také články 93 a 106);</w:t>
      </w:r>
    </w:p>
    <w:p w:rsidR="00723180" w:rsidRDefault="009D1A73">
      <w:pPr>
        <w:numPr>
          <w:ilvl w:val="0"/>
          <w:numId w:val="3"/>
        </w:numPr>
        <w:spacing w:before="120" w:after="120"/>
        <w:ind w:left="714" w:hanging="357"/>
        <w:jc w:val="both"/>
        <w:rPr>
          <w:sz w:val="22"/>
          <w:szCs w:val="22"/>
        </w:rPr>
      </w:pPr>
      <w:r>
        <w:rPr>
          <w:rFonts w:ascii="Arial" w:eastAsia="Arial" w:hAnsi="Arial" w:cs="Arial"/>
          <w:sz w:val="22"/>
          <w:szCs w:val="22"/>
        </w:rPr>
        <w:t xml:space="preserve">Nařízení Komise (EU) č. 651/2014 ze dne 17. června 2014, kterým se v souladu s články 107 a 108 Smlouvy prohlašují určité kategorie podpory za slučitelné s vnitřním trhem – Úřední věstník Evropské unie L 187, 26. června 2014 (dále </w:t>
      </w:r>
      <w:r w:rsidR="003F7081">
        <w:rPr>
          <w:rFonts w:ascii="Arial" w:eastAsia="Arial" w:hAnsi="Arial" w:cs="Arial"/>
          <w:sz w:val="22"/>
          <w:szCs w:val="22"/>
        </w:rPr>
        <w:t>také</w:t>
      </w:r>
      <w:r>
        <w:rPr>
          <w:rFonts w:ascii="Arial" w:eastAsia="Arial" w:hAnsi="Arial" w:cs="Arial"/>
          <w:sz w:val="22"/>
          <w:szCs w:val="22"/>
        </w:rPr>
        <w:t xml:space="preserve"> „Nařízení“), zejm. čl. 25, 28 a 29;</w:t>
      </w:r>
    </w:p>
    <w:p w:rsidR="00723180" w:rsidRDefault="009D1A73">
      <w:pPr>
        <w:numPr>
          <w:ilvl w:val="0"/>
          <w:numId w:val="3"/>
        </w:numPr>
        <w:spacing w:before="120" w:after="120"/>
        <w:ind w:left="714" w:hanging="357"/>
        <w:jc w:val="both"/>
        <w:rPr>
          <w:sz w:val="22"/>
          <w:szCs w:val="22"/>
        </w:rPr>
      </w:pPr>
      <w:r>
        <w:rPr>
          <w:rFonts w:ascii="Arial" w:eastAsia="Arial" w:hAnsi="Arial" w:cs="Arial"/>
          <w:sz w:val="22"/>
          <w:szCs w:val="22"/>
        </w:rPr>
        <w:t xml:space="preserve">Rámce pro státní podporu výzkumu, vývoje a inovací – Úřední věstník Evropské unie C 198, 27. června 2014 (dále </w:t>
      </w:r>
      <w:r w:rsidR="00C55DB7">
        <w:rPr>
          <w:rFonts w:ascii="Arial" w:eastAsia="Arial" w:hAnsi="Arial" w:cs="Arial"/>
          <w:sz w:val="22"/>
          <w:szCs w:val="22"/>
        </w:rPr>
        <w:t>také</w:t>
      </w:r>
      <w:r>
        <w:rPr>
          <w:rFonts w:ascii="Arial" w:eastAsia="Arial" w:hAnsi="Arial" w:cs="Arial"/>
          <w:sz w:val="22"/>
          <w:szCs w:val="22"/>
        </w:rPr>
        <w:t xml:space="preserve"> „Rámec“);</w:t>
      </w:r>
    </w:p>
    <w:p w:rsidR="00723180" w:rsidRDefault="009D1A73">
      <w:pPr>
        <w:numPr>
          <w:ilvl w:val="0"/>
          <w:numId w:val="3"/>
        </w:numPr>
        <w:spacing w:before="120" w:after="120"/>
        <w:ind w:left="714" w:hanging="357"/>
        <w:jc w:val="both"/>
        <w:rPr>
          <w:sz w:val="22"/>
          <w:szCs w:val="22"/>
        </w:rPr>
      </w:pPr>
      <w:r>
        <w:rPr>
          <w:rFonts w:ascii="Arial" w:eastAsia="Arial" w:hAnsi="Arial" w:cs="Arial"/>
          <w:sz w:val="22"/>
          <w:szCs w:val="22"/>
        </w:rPr>
        <w:t>Memoranda o porozumění o implementaci Finančních mechanismů Evropského hospodářského prostoru 2014 – 2021 mezi Islandem, Lichtenštejnským knížectvím (dále také “Lichtenštejnsko”), Norským královstvím a Českou republikou;</w:t>
      </w:r>
    </w:p>
    <w:p w:rsidR="00723180" w:rsidRDefault="009D1A73">
      <w:pPr>
        <w:numPr>
          <w:ilvl w:val="0"/>
          <w:numId w:val="3"/>
        </w:numPr>
        <w:spacing w:before="120" w:after="120"/>
        <w:ind w:left="714" w:hanging="357"/>
        <w:jc w:val="both"/>
        <w:rPr>
          <w:sz w:val="22"/>
          <w:szCs w:val="22"/>
        </w:rPr>
      </w:pPr>
      <w:r>
        <w:rPr>
          <w:rFonts w:ascii="Arial" w:eastAsia="Arial" w:hAnsi="Arial" w:cs="Arial"/>
          <w:sz w:val="22"/>
          <w:szCs w:val="22"/>
        </w:rPr>
        <w:t>Memoranda o porozumění o implementaci Finančních mechanismů Norska 2014 – 2021 mezi Norským královstvím (dále také “Norsko”) a Českou republikou;</w:t>
      </w:r>
    </w:p>
    <w:p w:rsidR="00723180" w:rsidRDefault="009D1A73">
      <w:pPr>
        <w:numPr>
          <w:ilvl w:val="0"/>
          <w:numId w:val="3"/>
        </w:numPr>
        <w:spacing w:before="120" w:after="120"/>
        <w:ind w:left="714" w:hanging="357"/>
        <w:jc w:val="both"/>
        <w:rPr>
          <w:sz w:val="22"/>
          <w:szCs w:val="22"/>
        </w:rPr>
      </w:pPr>
      <w:r>
        <w:rPr>
          <w:rFonts w:ascii="Arial" w:eastAsia="Arial" w:hAnsi="Arial" w:cs="Arial"/>
          <w:sz w:val="22"/>
          <w:szCs w:val="22"/>
        </w:rPr>
        <w:t>relevantních legislativ a nařízení vztahujících se k implementaci Finančních mechanismů Evropského hospodářského prostoru (dále také “EHP”) a Norska;</w:t>
      </w:r>
    </w:p>
    <w:p w:rsidR="00723180" w:rsidRDefault="009D1A73">
      <w:pPr>
        <w:numPr>
          <w:ilvl w:val="0"/>
          <w:numId w:val="3"/>
        </w:numPr>
        <w:spacing w:before="120" w:after="120"/>
        <w:ind w:left="714" w:hanging="357"/>
        <w:jc w:val="both"/>
        <w:rPr>
          <w:sz w:val="22"/>
          <w:szCs w:val="22"/>
        </w:rPr>
      </w:pPr>
      <w:r>
        <w:rPr>
          <w:rFonts w:ascii="Arial" w:eastAsia="Arial" w:hAnsi="Arial" w:cs="Arial"/>
          <w:sz w:val="22"/>
          <w:szCs w:val="22"/>
        </w:rPr>
        <w:t>a podle ostatních souvisejících předpisů.</w:t>
      </w:r>
    </w:p>
    <w:p w:rsidR="00723180" w:rsidRDefault="009D1A73">
      <w:pPr>
        <w:spacing w:before="120" w:after="120"/>
        <w:jc w:val="both"/>
      </w:pPr>
      <w:r>
        <w:rPr>
          <w:rFonts w:ascii="Arial" w:eastAsia="Arial" w:hAnsi="Arial" w:cs="Arial"/>
          <w:sz w:val="22"/>
          <w:szCs w:val="22"/>
        </w:rPr>
        <w:t xml:space="preserve">Příjemcům, kteří budou podniky, bude poskytována podpora zpravidla dle Nařízení a příjemcům výzkumným organizacím, bude podpora poskytována dle Rámce. </w:t>
      </w:r>
    </w:p>
    <w:p w:rsidR="00723180" w:rsidRDefault="009D1A73">
      <w:pPr>
        <w:spacing w:before="120" w:after="120"/>
        <w:jc w:val="both"/>
      </w:pPr>
      <w:r>
        <w:rPr>
          <w:rFonts w:ascii="Arial" w:eastAsia="Arial" w:hAnsi="Arial" w:cs="Arial"/>
          <w:sz w:val="22"/>
          <w:szCs w:val="22"/>
        </w:rPr>
        <w:t>Pokud příjemce nebude splňovat ani jednu z definic podniku či výzkumné organizace a případná podpora poskytnutá v jeho prospěch bude v souladu s cíli tohoto programu, je možné mu poskytnout podporu mimo režim veřejné podpory, tj. mimo režim článku 107 Smlouvy o fungování Evropské unie, v případě, že nebude naplněn některý z jejích definičních znaků, zejména podpora nebude směřovat na hospodářské činnosti daného příjemce (např. nestátní neziskové organizace).</w:t>
      </w:r>
    </w:p>
    <w:p w:rsidR="00723180" w:rsidRDefault="009D1A73">
      <w:pPr>
        <w:spacing w:before="120" w:after="120"/>
        <w:jc w:val="both"/>
      </w:pPr>
      <w:r>
        <w:rPr>
          <w:rFonts w:ascii="Arial" w:eastAsia="Arial" w:hAnsi="Arial" w:cs="Arial"/>
          <w:sz w:val="22"/>
          <w:szCs w:val="22"/>
        </w:rPr>
        <w:t>Program je vyňat z oznamovací povinnosti podle čl. 108 odst. 3 Smlouvy o fungování Evropské unie, neboť splňuje podmínky Nařízení.</w:t>
      </w:r>
    </w:p>
    <w:p w:rsidR="00723180" w:rsidRDefault="009D1A73">
      <w:pPr>
        <w:spacing w:before="120" w:after="120"/>
        <w:jc w:val="both"/>
      </w:pPr>
      <w:r>
        <w:rPr>
          <w:rFonts w:ascii="Arial" w:eastAsia="Arial" w:hAnsi="Arial" w:cs="Arial"/>
          <w:sz w:val="22"/>
          <w:szCs w:val="22"/>
        </w:rPr>
        <w:t>V rámci tohoto programu je vyloučeno vyplacení jednotlivé podpory ve prospěch podniku:</w:t>
      </w:r>
    </w:p>
    <w:p w:rsidR="00723180" w:rsidRDefault="009D1A73">
      <w:pPr>
        <w:numPr>
          <w:ilvl w:val="0"/>
          <w:numId w:val="4"/>
        </w:numPr>
        <w:spacing w:before="120" w:after="120"/>
        <w:jc w:val="both"/>
        <w:rPr>
          <w:sz w:val="22"/>
          <w:szCs w:val="22"/>
        </w:rPr>
      </w:pPr>
      <w:r>
        <w:rPr>
          <w:rFonts w:ascii="Arial" w:eastAsia="Arial" w:hAnsi="Arial" w:cs="Arial"/>
          <w:sz w:val="22"/>
          <w:szCs w:val="22"/>
        </w:rPr>
        <w:t>vůči němuž byl v návaznosti na rozhodnutí Komise, jímž je podpora prohlášena za protiprávní a neslučitelnou s vnitřním trhem, vystaven inkasní příkaz, který je nesplacený,</w:t>
      </w:r>
    </w:p>
    <w:p w:rsidR="00723180" w:rsidRDefault="009D1A73">
      <w:pPr>
        <w:numPr>
          <w:ilvl w:val="0"/>
          <w:numId w:val="4"/>
        </w:numPr>
        <w:spacing w:before="120" w:after="120"/>
        <w:jc w:val="both"/>
        <w:rPr>
          <w:sz w:val="22"/>
          <w:szCs w:val="22"/>
        </w:rPr>
      </w:pPr>
      <w:r>
        <w:rPr>
          <w:rFonts w:ascii="Arial" w:eastAsia="Arial" w:hAnsi="Arial" w:cs="Arial"/>
          <w:sz w:val="22"/>
          <w:szCs w:val="22"/>
        </w:rPr>
        <w:t>splňujícímu definici podniku v obtížích uvedenou v čl. 2, odst. 18) Nařízení.</w:t>
      </w:r>
    </w:p>
    <w:p w:rsidR="00723180" w:rsidRDefault="009D1A73">
      <w:pPr>
        <w:spacing w:before="120" w:after="120"/>
        <w:jc w:val="both"/>
        <w:rPr>
          <w:rFonts w:ascii="Arial" w:eastAsia="Arial" w:hAnsi="Arial" w:cs="Arial"/>
          <w:sz w:val="22"/>
          <w:szCs w:val="22"/>
        </w:rPr>
      </w:pPr>
      <w:r>
        <w:rPr>
          <w:rFonts w:ascii="Arial" w:eastAsia="Arial" w:hAnsi="Arial" w:cs="Arial"/>
          <w:sz w:val="22"/>
          <w:szCs w:val="22"/>
        </w:rPr>
        <w:t>Pokud jeden podnik obdrží v rámci programu veřejnou podporu vyšší než 500 tis. EUR, budou informace o příjemci a jemu poskytnuté podpoře (v rozsahu dle přílohy III Nařízení) zveřejněny na centrální webové stránce ve smyslu čl. 9 Nařízení.</w:t>
      </w:r>
    </w:p>
    <w:p w:rsidR="00723180" w:rsidRDefault="009D1A73">
      <w:pPr>
        <w:spacing w:before="120" w:after="120"/>
        <w:jc w:val="both"/>
        <w:rPr>
          <w:rFonts w:ascii="Arial" w:eastAsia="Arial" w:hAnsi="Arial" w:cs="Arial"/>
          <w:sz w:val="22"/>
          <w:szCs w:val="22"/>
        </w:rPr>
      </w:pPr>
      <w:r>
        <w:rPr>
          <w:rFonts w:ascii="Arial" w:eastAsia="Arial" w:hAnsi="Arial" w:cs="Arial"/>
          <w:sz w:val="22"/>
          <w:szCs w:val="22"/>
        </w:rPr>
        <w:lastRenderedPageBreak/>
        <w:t xml:space="preserve">Program bude realizován v souladu s Národní politikou výzkumu, vývoje a inovací České republiky na léta 2016 – 2020, schválenou usnesením vlády České republiky ze dne 17. února 2016 č. 135, Národními prioritami orientovaného výzkumu, experimentálního vývoje a inovací, které byly přijaty usnesením vlády ze dne 19. července 2012 č. 552 (dále </w:t>
      </w:r>
      <w:r w:rsidR="003F7081">
        <w:rPr>
          <w:rFonts w:ascii="Arial" w:eastAsia="Arial" w:hAnsi="Arial" w:cs="Arial"/>
          <w:sz w:val="22"/>
          <w:szCs w:val="22"/>
        </w:rPr>
        <w:t>také</w:t>
      </w:r>
      <w:r>
        <w:rPr>
          <w:rFonts w:ascii="Arial" w:eastAsia="Arial" w:hAnsi="Arial" w:cs="Arial"/>
          <w:sz w:val="22"/>
          <w:szCs w:val="22"/>
        </w:rPr>
        <w:t xml:space="preserve"> „NPOV“)  a dalšími národními </w:t>
      </w:r>
      <w:r w:rsidR="00FA686C">
        <w:rPr>
          <w:rFonts w:ascii="Arial" w:eastAsia="Arial" w:hAnsi="Arial" w:cs="Arial"/>
          <w:sz w:val="22"/>
          <w:szCs w:val="22"/>
        </w:rPr>
        <w:br/>
      </w:r>
      <w:r>
        <w:rPr>
          <w:rFonts w:ascii="Arial" w:eastAsia="Arial" w:hAnsi="Arial" w:cs="Arial"/>
          <w:sz w:val="22"/>
          <w:szCs w:val="22"/>
        </w:rPr>
        <w:t>a rezortními strategiemi.</w:t>
      </w:r>
    </w:p>
    <w:p w:rsidR="00723180" w:rsidRDefault="009D1A73">
      <w:pPr>
        <w:pStyle w:val="Nadpis1"/>
        <w:numPr>
          <w:ilvl w:val="0"/>
          <w:numId w:val="5"/>
        </w:numPr>
      </w:pPr>
      <w:r>
        <w:t>POSKYTOVATEL</w:t>
      </w:r>
    </w:p>
    <w:p w:rsidR="00723180" w:rsidRDefault="009D1A73">
      <w:pPr>
        <w:spacing w:before="120" w:after="120"/>
        <w:jc w:val="both"/>
        <w:rPr>
          <w:rFonts w:ascii="Arial" w:eastAsia="Arial" w:hAnsi="Arial" w:cs="Arial"/>
          <w:sz w:val="22"/>
          <w:szCs w:val="22"/>
        </w:rPr>
      </w:pPr>
      <w:r>
        <w:rPr>
          <w:rFonts w:ascii="Arial" w:eastAsia="Arial" w:hAnsi="Arial" w:cs="Arial"/>
          <w:sz w:val="22"/>
          <w:szCs w:val="22"/>
        </w:rPr>
        <w:t xml:space="preserve">Poskytovatelem podpory je Technologická agentura České republiky (dále </w:t>
      </w:r>
      <w:r w:rsidR="003F7081">
        <w:rPr>
          <w:rFonts w:ascii="Arial" w:eastAsia="Arial" w:hAnsi="Arial" w:cs="Arial"/>
          <w:sz w:val="22"/>
          <w:szCs w:val="22"/>
        </w:rPr>
        <w:t>také</w:t>
      </w:r>
      <w:r>
        <w:rPr>
          <w:rFonts w:ascii="Arial" w:eastAsia="Arial" w:hAnsi="Arial" w:cs="Arial"/>
          <w:sz w:val="22"/>
          <w:szCs w:val="22"/>
        </w:rPr>
        <w:t xml:space="preserve"> „TA ČR“).</w:t>
      </w:r>
    </w:p>
    <w:p w:rsidR="00723180" w:rsidRDefault="009D1A73">
      <w:pPr>
        <w:pStyle w:val="Nadpis1"/>
        <w:numPr>
          <w:ilvl w:val="0"/>
          <w:numId w:val="5"/>
        </w:numPr>
      </w:pPr>
      <w:r>
        <w:t>IDENTIFIKAČNÍ KÓD PROGRAMU</w:t>
      </w:r>
    </w:p>
    <w:p w:rsidR="00723180" w:rsidRDefault="009D1A73">
      <w:pPr>
        <w:spacing w:before="120" w:after="120"/>
        <w:jc w:val="both"/>
        <w:rPr>
          <w:highlight w:val="yellow"/>
        </w:rPr>
      </w:pPr>
      <w:r>
        <w:rPr>
          <w:rFonts w:ascii="Arial" w:eastAsia="Arial" w:hAnsi="Arial" w:cs="Arial"/>
          <w:sz w:val="22"/>
          <w:szCs w:val="22"/>
        </w:rPr>
        <w:t xml:space="preserve">Pro účely evidence v informačním systému výzkumu, experimentálního vývoje a inovací byl programu přidělen </w:t>
      </w:r>
      <w:proofErr w:type="gramStart"/>
      <w:r>
        <w:rPr>
          <w:rFonts w:ascii="Arial" w:eastAsia="Arial" w:hAnsi="Arial" w:cs="Arial"/>
          <w:sz w:val="22"/>
          <w:szCs w:val="22"/>
        </w:rPr>
        <w:t xml:space="preserve">kód </w:t>
      </w:r>
      <w:r>
        <w:rPr>
          <w:rFonts w:ascii="Arial" w:eastAsia="Arial" w:hAnsi="Arial" w:cs="Arial"/>
          <w:sz w:val="22"/>
          <w:szCs w:val="22"/>
          <w:highlight w:val="yellow"/>
        </w:rPr>
        <w:t>„  “</w:t>
      </w:r>
      <w:r>
        <w:rPr>
          <w:rFonts w:ascii="Arial" w:eastAsia="Arial" w:hAnsi="Arial" w:cs="Arial"/>
          <w:sz w:val="22"/>
          <w:szCs w:val="22"/>
        </w:rPr>
        <w:t>.</w:t>
      </w:r>
      <w:proofErr w:type="gramEnd"/>
    </w:p>
    <w:p w:rsidR="00723180" w:rsidRDefault="009D1A73">
      <w:pPr>
        <w:pStyle w:val="Nadpis1"/>
        <w:numPr>
          <w:ilvl w:val="0"/>
          <w:numId w:val="5"/>
        </w:numPr>
      </w:pPr>
      <w:r>
        <w:t>DOBA TRVÁNÍ A TERMÍNY VYHLÁŠENÍ PROGRAMU</w:t>
      </w:r>
    </w:p>
    <w:p w:rsidR="00723180" w:rsidRDefault="009D1A73">
      <w:pPr>
        <w:spacing w:before="120" w:after="120"/>
        <w:jc w:val="both"/>
      </w:pPr>
      <w:r>
        <w:rPr>
          <w:rFonts w:ascii="Arial" w:eastAsia="Arial" w:hAnsi="Arial" w:cs="Arial"/>
          <w:sz w:val="22"/>
          <w:szCs w:val="22"/>
        </w:rPr>
        <w:t xml:space="preserve">Doba trvání programu se předpokládá v letech 2019 až 2024, tj. 6 let. </w:t>
      </w:r>
    </w:p>
    <w:p w:rsidR="00723180" w:rsidRDefault="009D1A73">
      <w:pPr>
        <w:spacing w:before="120" w:after="120"/>
        <w:jc w:val="both"/>
        <w:rPr>
          <w:rFonts w:ascii="Arial" w:eastAsia="Arial" w:hAnsi="Arial" w:cs="Arial"/>
          <w:sz w:val="22"/>
          <w:szCs w:val="22"/>
        </w:rPr>
      </w:pPr>
      <w:r>
        <w:rPr>
          <w:rFonts w:ascii="Arial" w:eastAsia="Arial" w:hAnsi="Arial" w:cs="Arial"/>
          <w:sz w:val="22"/>
          <w:szCs w:val="22"/>
        </w:rPr>
        <w:t xml:space="preserve">Vyhlášení veřejné soutěže ve výzkumu, experimentálním vývoji a inovacích (dále </w:t>
      </w:r>
      <w:r w:rsidR="003F7081">
        <w:rPr>
          <w:rFonts w:ascii="Arial" w:eastAsia="Arial" w:hAnsi="Arial" w:cs="Arial"/>
          <w:sz w:val="22"/>
          <w:szCs w:val="22"/>
        </w:rPr>
        <w:t>také</w:t>
      </w:r>
      <w:r>
        <w:rPr>
          <w:rFonts w:ascii="Arial" w:eastAsia="Arial" w:hAnsi="Arial" w:cs="Arial"/>
          <w:sz w:val="22"/>
          <w:szCs w:val="22"/>
        </w:rPr>
        <w:t xml:space="preserve"> „veřejná soutěž“) na výběr projektů do programu je předpokládáno poprvé v roce 2018 se zahájením poskytování podpory od roku 2019. Předpokládá se realizace jedné až dvou veřejných soutěží. </w:t>
      </w:r>
    </w:p>
    <w:p w:rsidR="00723180" w:rsidRDefault="009D1A73">
      <w:pPr>
        <w:spacing w:before="120" w:after="120"/>
        <w:jc w:val="both"/>
        <w:rPr>
          <w:rFonts w:ascii="Arial" w:eastAsia="Arial" w:hAnsi="Arial" w:cs="Arial"/>
          <w:sz w:val="22"/>
          <w:szCs w:val="22"/>
        </w:rPr>
      </w:pPr>
      <w:r>
        <w:rPr>
          <w:rFonts w:ascii="Arial" w:eastAsia="Arial" w:hAnsi="Arial" w:cs="Arial"/>
          <w:sz w:val="22"/>
          <w:szCs w:val="22"/>
        </w:rPr>
        <w:t>Minimální délka řešení projektů v tomto programu je stanovena na 12 měsíců. Maximální doba řešení projektu je 5 let.</w:t>
      </w:r>
    </w:p>
    <w:p w:rsidR="00723180" w:rsidRDefault="009D1A73">
      <w:pPr>
        <w:spacing w:before="120" w:after="120"/>
        <w:jc w:val="both"/>
        <w:rPr>
          <w:rFonts w:ascii="Arial" w:eastAsia="Arial" w:hAnsi="Arial" w:cs="Arial"/>
          <w:sz w:val="22"/>
          <w:szCs w:val="22"/>
        </w:rPr>
      </w:pPr>
      <w:r>
        <w:rPr>
          <w:rFonts w:ascii="Arial" w:eastAsia="Arial" w:hAnsi="Arial" w:cs="Arial"/>
          <w:sz w:val="22"/>
          <w:szCs w:val="22"/>
        </w:rPr>
        <w:t xml:space="preserve"> Všechny projekty musí být ukončeny nejpozději 30. dubna 2024. </w:t>
      </w:r>
    </w:p>
    <w:p w:rsidR="00723180" w:rsidRDefault="009D1A73">
      <w:pPr>
        <w:pStyle w:val="Nadpis1"/>
        <w:numPr>
          <w:ilvl w:val="0"/>
          <w:numId w:val="5"/>
        </w:numPr>
      </w:pPr>
      <w:bookmarkStart w:id="0" w:name="_139g98uhf5y3" w:colFirst="0" w:colLast="0"/>
      <w:bookmarkEnd w:id="0"/>
      <w:r>
        <w:t>ZAMĚŘENÍ PROGRAMU</w:t>
      </w:r>
    </w:p>
    <w:p w:rsidR="00723180" w:rsidRDefault="009D1A73">
      <w:pPr>
        <w:spacing w:before="120" w:after="120"/>
        <w:jc w:val="both"/>
      </w:pPr>
      <w:r>
        <w:rPr>
          <w:rFonts w:ascii="Arial" w:eastAsia="Arial" w:hAnsi="Arial" w:cs="Arial"/>
          <w:sz w:val="22"/>
          <w:szCs w:val="22"/>
        </w:rPr>
        <w:t xml:space="preserve">Program je zaměřen na podporu projektů, které spadají dle čl. 25 odst. 2 písm. b), c) Nařízení </w:t>
      </w:r>
      <w:r w:rsidR="007264C7">
        <w:rPr>
          <w:rFonts w:ascii="Arial" w:eastAsia="Arial" w:hAnsi="Arial" w:cs="Arial"/>
          <w:sz w:val="22"/>
          <w:szCs w:val="22"/>
        </w:rPr>
        <w:br/>
      </w:r>
      <w:r>
        <w:rPr>
          <w:rFonts w:ascii="Arial" w:eastAsia="Arial" w:hAnsi="Arial" w:cs="Arial"/>
          <w:sz w:val="22"/>
          <w:szCs w:val="22"/>
        </w:rPr>
        <w:t>a čl. </w:t>
      </w:r>
      <w:proofErr w:type="gramStart"/>
      <w:r>
        <w:rPr>
          <w:rFonts w:ascii="Arial" w:eastAsia="Arial" w:hAnsi="Arial" w:cs="Arial"/>
          <w:sz w:val="22"/>
          <w:szCs w:val="22"/>
        </w:rPr>
        <w:t>1.3. písm.</w:t>
      </w:r>
      <w:proofErr w:type="gramEnd"/>
      <w:r>
        <w:rPr>
          <w:rFonts w:ascii="Arial" w:eastAsia="Arial" w:hAnsi="Arial" w:cs="Arial"/>
          <w:sz w:val="22"/>
          <w:szCs w:val="22"/>
        </w:rPr>
        <w:t xml:space="preserve"> e) Rámce do kategorie aplikovaného výzkumu (zahrnuje průmyslový výzkum, experimentální vývoj nebo jejich kombinaci), dále inovace dle čl. 28 a 29 Nařízení a čl. 1.3. písm. y) a </w:t>
      </w:r>
      <w:proofErr w:type="spellStart"/>
      <w:r>
        <w:rPr>
          <w:rFonts w:ascii="Arial" w:eastAsia="Arial" w:hAnsi="Arial" w:cs="Arial"/>
          <w:sz w:val="22"/>
          <w:szCs w:val="22"/>
        </w:rPr>
        <w:t>bb</w:t>
      </w:r>
      <w:proofErr w:type="spellEnd"/>
      <w:r>
        <w:rPr>
          <w:rFonts w:ascii="Arial" w:eastAsia="Arial" w:hAnsi="Arial" w:cs="Arial"/>
          <w:sz w:val="22"/>
          <w:szCs w:val="22"/>
        </w:rPr>
        <w:t>) Rámce, jejichž výsledky mají vysoký potenciál pro uplatnění v řadě oblastí celospolečenského života obyvatel České republiky. Realizace projektů podpořených v programu jednoznačně přispěje k naplňování cílů NPOV.</w:t>
      </w:r>
    </w:p>
    <w:p w:rsidR="00723180" w:rsidRDefault="009D1A73">
      <w:pPr>
        <w:spacing w:before="120" w:after="120"/>
        <w:jc w:val="both"/>
      </w:pPr>
      <w:r>
        <w:rPr>
          <w:rFonts w:ascii="Arial" w:eastAsia="Arial" w:hAnsi="Arial" w:cs="Arial"/>
          <w:sz w:val="22"/>
          <w:szCs w:val="22"/>
        </w:rPr>
        <w:t xml:space="preserve">Program je obecně zaměřen na podporu mezinárodní spolupráce subjektů z ČR s partnery z Norska, Islandu a Lichtenštejnska v aplikovaném výzkumu a na podporu propojování výzkumných organizací s odběrateli výstupů aplikovaného výzkumu, experimentálního vývoje </w:t>
      </w:r>
      <w:r w:rsidR="007264C7">
        <w:rPr>
          <w:rFonts w:ascii="Arial" w:eastAsia="Arial" w:hAnsi="Arial" w:cs="Arial"/>
          <w:sz w:val="22"/>
          <w:szCs w:val="22"/>
        </w:rPr>
        <w:br/>
      </w:r>
      <w:r>
        <w:rPr>
          <w:rFonts w:ascii="Arial" w:eastAsia="Arial" w:hAnsi="Arial" w:cs="Arial"/>
          <w:sz w:val="22"/>
          <w:szCs w:val="22"/>
        </w:rPr>
        <w:t>a inovací, tedy především s podniky a s dalšími subjekty působícími v různých společenských oblastech.</w:t>
      </w:r>
    </w:p>
    <w:p w:rsidR="00723180" w:rsidRDefault="009D1A73">
      <w:pPr>
        <w:spacing w:before="120" w:after="120"/>
        <w:jc w:val="both"/>
        <w:rPr>
          <w:rFonts w:ascii="Arial" w:eastAsia="Arial" w:hAnsi="Arial" w:cs="Arial"/>
          <w:sz w:val="22"/>
          <w:szCs w:val="22"/>
        </w:rPr>
      </w:pPr>
      <w:r>
        <w:rPr>
          <w:rFonts w:ascii="Arial" w:eastAsia="Arial" w:hAnsi="Arial" w:cs="Arial"/>
          <w:sz w:val="22"/>
          <w:szCs w:val="22"/>
        </w:rPr>
        <w:t>Program jako takový není tematicky zaměřen (výjimkou je požadavek Norska, aby přibližně 30 % celkových výdajů čerpaných z Norských fondů</w:t>
      </w:r>
      <w:r>
        <w:rPr>
          <w:rFonts w:ascii="Arial" w:eastAsia="Arial" w:hAnsi="Arial" w:cs="Arial"/>
          <w:sz w:val="22"/>
          <w:szCs w:val="22"/>
          <w:vertAlign w:val="superscript"/>
        </w:rPr>
        <w:footnoteReference w:id="1"/>
      </w:r>
      <w:r>
        <w:rPr>
          <w:rFonts w:ascii="Arial" w:eastAsia="Arial" w:hAnsi="Arial" w:cs="Arial"/>
          <w:sz w:val="22"/>
          <w:szCs w:val="22"/>
        </w:rPr>
        <w:t xml:space="preserve"> směřovalo na projekty v oblasti zachytávání </w:t>
      </w:r>
      <w:r w:rsidR="007264C7">
        <w:rPr>
          <w:rFonts w:ascii="Arial" w:eastAsia="Arial" w:hAnsi="Arial" w:cs="Arial"/>
          <w:sz w:val="22"/>
          <w:szCs w:val="22"/>
        </w:rPr>
        <w:br/>
      </w:r>
      <w:r>
        <w:rPr>
          <w:rFonts w:ascii="Arial" w:eastAsia="Arial" w:hAnsi="Arial" w:cs="Arial"/>
          <w:sz w:val="22"/>
          <w:szCs w:val="22"/>
        </w:rPr>
        <w:t>a ukládání uhlíku), témata společných projektů mohou být určována ad hoc v jednotlivých veřejných soutěžích.</w:t>
      </w:r>
    </w:p>
    <w:p w:rsidR="00723180" w:rsidRDefault="009D1A73">
      <w:pPr>
        <w:spacing w:before="120" w:after="120"/>
        <w:jc w:val="both"/>
        <w:rPr>
          <w:rFonts w:ascii="Arial" w:eastAsia="Arial" w:hAnsi="Arial" w:cs="Arial"/>
          <w:sz w:val="22"/>
          <w:szCs w:val="22"/>
        </w:rPr>
      </w:pPr>
      <w:r>
        <w:rPr>
          <w:rFonts w:ascii="Arial" w:eastAsia="Arial" w:hAnsi="Arial" w:cs="Arial"/>
          <w:sz w:val="22"/>
          <w:szCs w:val="22"/>
        </w:rPr>
        <w:t>Program přispěje k tomu, aby veřejné prostředky investované do aplikovaného výzkumu přinášely ekonomický či jiný společenský přínos. Při realizaci tento program předpokládá především uplatnění projektů zaměřených na průmyslový výzkum (zahrnující ovšem také nezbytné činnosti orientovaného základního výzkumu) a také podporu projektů s převahou experimentálního vývoje.</w:t>
      </w:r>
    </w:p>
    <w:p w:rsidR="00723180" w:rsidRDefault="009D1A73">
      <w:pPr>
        <w:spacing w:before="120" w:after="120"/>
        <w:jc w:val="both"/>
        <w:rPr>
          <w:rFonts w:ascii="Arial" w:eastAsia="Arial" w:hAnsi="Arial" w:cs="Arial"/>
          <w:sz w:val="22"/>
          <w:szCs w:val="22"/>
          <w:highlight w:val="yellow"/>
        </w:rPr>
      </w:pPr>
      <w:r>
        <w:rPr>
          <w:rFonts w:ascii="Arial" w:eastAsia="Arial" w:hAnsi="Arial" w:cs="Arial"/>
          <w:sz w:val="22"/>
          <w:szCs w:val="22"/>
        </w:rPr>
        <w:t>Program bude možné využít pro synergické a komplementární efekty v mezinárodních schématech typu H2020</w:t>
      </w:r>
      <w:r>
        <w:rPr>
          <w:rFonts w:ascii="Arial" w:eastAsia="Arial" w:hAnsi="Arial" w:cs="Arial"/>
          <w:sz w:val="22"/>
          <w:szCs w:val="22"/>
          <w:vertAlign w:val="superscript"/>
        </w:rPr>
        <w:footnoteReference w:id="2"/>
      </w:r>
      <w:r>
        <w:rPr>
          <w:rFonts w:ascii="Arial" w:eastAsia="Arial" w:hAnsi="Arial" w:cs="Arial"/>
          <w:sz w:val="22"/>
          <w:szCs w:val="22"/>
        </w:rPr>
        <w:t>, dalších programech EU a dalších mezinárodních programech, které jsou v souladu se zaměřením programu.</w:t>
      </w:r>
    </w:p>
    <w:p w:rsidR="00723180" w:rsidRDefault="009D1A73">
      <w:pPr>
        <w:pStyle w:val="Nadpis1"/>
        <w:keepNext/>
        <w:numPr>
          <w:ilvl w:val="0"/>
          <w:numId w:val="5"/>
        </w:numPr>
        <w:ind w:left="425" w:hanging="357"/>
      </w:pPr>
      <w:r>
        <w:lastRenderedPageBreak/>
        <w:t>CÍL PROGRAMU</w:t>
      </w:r>
    </w:p>
    <w:p w:rsidR="00723180" w:rsidRDefault="009D1A73">
      <w:pPr>
        <w:keepNext/>
        <w:keepLines/>
        <w:spacing w:before="120" w:after="120"/>
        <w:jc w:val="both"/>
        <w:rPr>
          <w:rFonts w:ascii="Arial" w:eastAsia="Arial" w:hAnsi="Arial" w:cs="Arial"/>
          <w:sz w:val="22"/>
          <w:szCs w:val="22"/>
        </w:rPr>
      </w:pPr>
      <w:r>
        <w:rPr>
          <w:rFonts w:ascii="Arial" w:eastAsia="Arial" w:hAnsi="Arial" w:cs="Arial"/>
          <w:sz w:val="22"/>
          <w:szCs w:val="22"/>
        </w:rPr>
        <w:t>Cílem programu je posílit rozvoj znalostí založen</w:t>
      </w:r>
      <w:r w:rsidR="007264C7">
        <w:rPr>
          <w:rFonts w:ascii="Arial" w:eastAsia="Arial" w:hAnsi="Arial" w:cs="Arial"/>
          <w:sz w:val="22"/>
          <w:szCs w:val="22"/>
        </w:rPr>
        <w:t xml:space="preserve">ých na výzkumu prostřednictvím </w:t>
      </w:r>
      <w:r>
        <w:rPr>
          <w:rFonts w:ascii="Arial" w:eastAsia="Arial" w:hAnsi="Arial" w:cs="Arial"/>
          <w:sz w:val="22"/>
          <w:szCs w:val="22"/>
        </w:rPr>
        <w:t xml:space="preserve">mezinárodní spolupráce v aplikovaném výzkumu. Dále také zvýšení množství konkrétních výsledků aplikovaného výzkumu v oblastech, v nichž existuje shoda se zahraničním partnerem, které budou úspěšně zavedeny do praxe a posílí tak konkurenceschopnost zúčastněných podniků </w:t>
      </w:r>
      <w:r w:rsidR="007264C7">
        <w:rPr>
          <w:rFonts w:ascii="Arial" w:eastAsia="Arial" w:hAnsi="Arial" w:cs="Arial"/>
          <w:sz w:val="22"/>
          <w:szCs w:val="22"/>
        </w:rPr>
        <w:br/>
      </w:r>
      <w:r>
        <w:rPr>
          <w:rFonts w:ascii="Arial" w:eastAsia="Arial" w:hAnsi="Arial" w:cs="Arial"/>
          <w:sz w:val="22"/>
          <w:szCs w:val="22"/>
        </w:rPr>
        <w:t xml:space="preserve">a výzkumných organizací, a to podporou bilaterální, případně multilaterální spolupráce českých </w:t>
      </w:r>
      <w:r w:rsidR="007264C7">
        <w:rPr>
          <w:rFonts w:ascii="Arial" w:eastAsia="Arial" w:hAnsi="Arial" w:cs="Arial"/>
          <w:sz w:val="22"/>
          <w:szCs w:val="22"/>
        </w:rPr>
        <w:br/>
      </w:r>
      <w:r>
        <w:rPr>
          <w:rFonts w:ascii="Arial" w:eastAsia="Arial" w:hAnsi="Arial" w:cs="Arial"/>
          <w:sz w:val="22"/>
          <w:szCs w:val="22"/>
        </w:rPr>
        <w:t xml:space="preserve">a zahraničních účastníků. </w:t>
      </w:r>
    </w:p>
    <w:p w:rsidR="00723180" w:rsidRDefault="009D1A73">
      <w:pPr>
        <w:keepNext/>
        <w:keepLines/>
        <w:spacing w:before="120" w:after="120"/>
        <w:jc w:val="both"/>
        <w:rPr>
          <w:rFonts w:ascii="Arial" w:eastAsia="Arial" w:hAnsi="Arial" w:cs="Arial"/>
          <w:sz w:val="22"/>
          <w:szCs w:val="22"/>
        </w:rPr>
      </w:pPr>
      <w:r>
        <w:rPr>
          <w:rFonts w:ascii="Arial" w:eastAsia="Arial" w:hAnsi="Arial" w:cs="Arial"/>
          <w:sz w:val="22"/>
          <w:szCs w:val="22"/>
        </w:rPr>
        <w:t>Vedlejším cílem programu je podpora projektů zaměřených na zachytávání a ukládání uhlíku (</w:t>
      </w:r>
      <w:proofErr w:type="spellStart"/>
      <w:r>
        <w:rPr>
          <w:rFonts w:ascii="Arial" w:eastAsia="Arial" w:hAnsi="Arial" w:cs="Arial"/>
          <w:sz w:val="22"/>
          <w:szCs w:val="22"/>
        </w:rPr>
        <w:t>carbon</w:t>
      </w:r>
      <w:proofErr w:type="spellEnd"/>
      <w:r>
        <w:rPr>
          <w:rFonts w:ascii="Arial" w:eastAsia="Arial" w:hAnsi="Arial" w:cs="Arial"/>
          <w:sz w:val="22"/>
          <w:szCs w:val="22"/>
        </w:rPr>
        <w:t xml:space="preserve"> </w:t>
      </w:r>
      <w:proofErr w:type="spellStart"/>
      <w:r>
        <w:rPr>
          <w:rFonts w:ascii="Arial" w:eastAsia="Arial" w:hAnsi="Arial" w:cs="Arial"/>
          <w:sz w:val="22"/>
          <w:szCs w:val="22"/>
        </w:rPr>
        <w:t>capture</w:t>
      </w:r>
      <w:proofErr w:type="spellEnd"/>
      <w:r>
        <w:rPr>
          <w:rFonts w:ascii="Arial" w:eastAsia="Arial" w:hAnsi="Arial" w:cs="Arial"/>
          <w:sz w:val="22"/>
          <w:szCs w:val="22"/>
        </w:rPr>
        <w:t xml:space="preserve"> and </w:t>
      </w:r>
      <w:proofErr w:type="spellStart"/>
      <w:r>
        <w:rPr>
          <w:rFonts w:ascii="Arial" w:eastAsia="Arial" w:hAnsi="Arial" w:cs="Arial"/>
          <w:sz w:val="22"/>
          <w:szCs w:val="22"/>
        </w:rPr>
        <w:t>storage</w:t>
      </w:r>
      <w:proofErr w:type="spellEnd"/>
      <w:r>
        <w:rPr>
          <w:rFonts w:ascii="Arial" w:eastAsia="Arial" w:hAnsi="Arial" w:cs="Arial"/>
          <w:sz w:val="22"/>
          <w:szCs w:val="22"/>
        </w:rPr>
        <w:t xml:space="preserve">, dále také “CCS”). </w:t>
      </w:r>
    </w:p>
    <w:p w:rsidR="00723180" w:rsidRDefault="009D1A73">
      <w:pPr>
        <w:spacing w:before="120" w:after="120"/>
        <w:jc w:val="both"/>
        <w:rPr>
          <w:rFonts w:ascii="Arial" w:eastAsia="Arial" w:hAnsi="Arial" w:cs="Arial"/>
          <w:sz w:val="22"/>
          <w:szCs w:val="22"/>
        </w:rPr>
      </w:pPr>
      <w:r>
        <w:rPr>
          <w:rFonts w:ascii="Arial" w:eastAsia="Arial" w:hAnsi="Arial" w:cs="Arial"/>
          <w:sz w:val="22"/>
          <w:szCs w:val="22"/>
        </w:rPr>
        <w:t xml:space="preserve">Cílů programu bude dosaženo podporou společných projektů uskutečňovaných uchazeči z ČR, Norska, Islandu a Lichtenštejnska. </w:t>
      </w:r>
    </w:p>
    <w:p w:rsidR="00723180" w:rsidRDefault="009D1A73">
      <w:pPr>
        <w:spacing w:before="120" w:after="120"/>
        <w:jc w:val="both"/>
        <w:rPr>
          <w:rFonts w:ascii="Arial" w:eastAsia="Arial" w:hAnsi="Arial" w:cs="Arial"/>
          <w:sz w:val="22"/>
          <w:szCs w:val="22"/>
        </w:rPr>
      </w:pPr>
      <w:r>
        <w:rPr>
          <w:rFonts w:ascii="Arial" w:eastAsia="Arial" w:hAnsi="Arial" w:cs="Arial"/>
          <w:sz w:val="22"/>
          <w:szCs w:val="22"/>
        </w:rPr>
        <w:t xml:space="preserve">Podporovány budou projekty zaměřené na konkrétní výstupy v aplikovaném výzkumu, tj. vedoucí </w:t>
      </w:r>
      <w:r w:rsidR="007264C7">
        <w:rPr>
          <w:rFonts w:ascii="Arial" w:eastAsia="Arial" w:hAnsi="Arial" w:cs="Arial"/>
          <w:sz w:val="22"/>
          <w:szCs w:val="22"/>
        </w:rPr>
        <w:br/>
      </w:r>
      <w:r>
        <w:rPr>
          <w:rFonts w:ascii="Arial" w:eastAsia="Arial" w:hAnsi="Arial" w:cs="Arial"/>
          <w:sz w:val="22"/>
          <w:szCs w:val="22"/>
        </w:rPr>
        <w:t>k získání nových poznatků a dovedností pro vývoj nových nebo podstatně zdokonalených výrobků, postupů nebo služeb, a vedoucí k novému výrobku, postupu či službě.</w:t>
      </w:r>
    </w:p>
    <w:p w:rsidR="00723180" w:rsidRDefault="009D1A73">
      <w:pPr>
        <w:pStyle w:val="Nadpis1"/>
        <w:keepNext/>
        <w:numPr>
          <w:ilvl w:val="0"/>
          <w:numId w:val="5"/>
        </w:numPr>
        <w:ind w:left="425" w:hanging="357"/>
      </w:pPr>
      <w:r>
        <w:t>ODŮVODNĚNÍ CÍLE PROGRAMU</w:t>
      </w:r>
    </w:p>
    <w:p w:rsidR="00723180" w:rsidRDefault="009D1A73">
      <w:pPr>
        <w:spacing w:before="120" w:after="120"/>
        <w:jc w:val="both"/>
        <w:rPr>
          <w:rFonts w:ascii="Arial" w:eastAsia="Arial" w:hAnsi="Arial" w:cs="Arial"/>
          <w:sz w:val="22"/>
          <w:szCs w:val="22"/>
        </w:rPr>
      </w:pPr>
      <w:r>
        <w:rPr>
          <w:rFonts w:ascii="Arial" w:eastAsia="Arial" w:hAnsi="Arial" w:cs="Arial"/>
          <w:sz w:val="22"/>
          <w:szCs w:val="22"/>
        </w:rPr>
        <w:t xml:space="preserve">V oblasti aplikovaného výzkumu, experimentálního vývoje a inovací obecně ČR zaostává za světovou špičkou reprezentovanou USA, Japonskem a Korejskou republikou i za evropskou špičkou. Přesto v ČR existuje řada pracovišť ve výzkumných organizacích i podniků realizujících aplikovaný výzkum v progresivních oborech. </w:t>
      </w:r>
    </w:p>
    <w:p w:rsidR="00723180" w:rsidRDefault="009D1A73">
      <w:pPr>
        <w:spacing w:before="120" w:after="120"/>
        <w:jc w:val="both"/>
        <w:rPr>
          <w:rFonts w:ascii="Arial" w:eastAsia="Arial" w:hAnsi="Arial" w:cs="Arial"/>
          <w:sz w:val="22"/>
          <w:szCs w:val="22"/>
        </w:rPr>
      </w:pPr>
      <w:r>
        <w:rPr>
          <w:rFonts w:ascii="Arial" w:eastAsia="Arial" w:hAnsi="Arial" w:cs="Arial"/>
          <w:sz w:val="22"/>
          <w:szCs w:val="22"/>
        </w:rPr>
        <w:t>Program má nabídnout těmto, ale i dalším podnikům a výzkumný</w:t>
      </w:r>
      <w:r w:rsidR="007264C7">
        <w:rPr>
          <w:rFonts w:ascii="Arial" w:eastAsia="Arial" w:hAnsi="Arial" w:cs="Arial"/>
          <w:sz w:val="22"/>
          <w:szCs w:val="22"/>
        </w:rPr>
        <w:t xml:space="preserve">m organizacím šanci pracovat </w:t>
      </w:r>
      <w:r w:rsidR="007264C7">
        <w:rPr>
          <w:rFonts w:ascii="Arial" w:eastAsia="Arial" w:hAnsi="Arial" w:cs="Arial"/>
          <w:sz w:val="22"/>
          <w:szCs w:val="22"/>
        </w:rPr>
        <w:br/>
        <w:t xml:space="preserve">na </w:t>
      </w:r>
      <w:r>
        <w:rPr>
          <w:rFonts w:ascii="Arial" w:eastAsia="Arial" w:hAnsi="Arial" w:cs="Arial"/>
          <w:sz w:val="22"/>
          <w:szCs w:val="22"/>
        </w:rPr>
        <w:t>společných projektech se zahraničními tý</w:t>
      </w:r>
      <w:r w:rsidR="007264C7">
        <w:rPr>
          <w:rFonts w:ascii="Arial" w:eastAsia="Arial" w:hAnsi="Arial" w:cs="Arial"/>
          <w:sz w:val="22"/>
          <w:szCs w:val="22"/>
        </w:rPr>
        <w:t>my a tím zvýšit jejich kvalitu.</w:t>
      </w:r>
      <w:r>
        <w:rPr>
          <w:rFonts w:ascii="Arial" w:eastAsia="Arial" w:hAnsi="Arial" w:cs="Arial"/>
          <w:sz w:val="22"/>
          <w:szCs w:val="22"/>
        </w:rPr>
        <w:br/>
      </w:r>
    </w:p>
    <w:p w:rsidR="00723180" w:rsidRDefault="009D1A73">
      <w:pPr>
        <w:spacing w:before="120" w:after="120"/>
        <w:jc w:val="both"/>
        <w:rPr>
          <w:rFonts w:ascii="Arial" w:eastAsia="Arial" w:hAnsi="Arial" w:cs="Arial"/>
          <w:sz w:val="22"/>
          <w:szCs w:val="22"/>
          <w:highlight w:val="yellow"/>
        </w:rPr>
      </w:pPr>
      <w:r>
        <w:rPr>
          <w:rFonts w:ascii="Arial" w:eastAsia="Arial" w:hAnsi="Arial" w:cs="Arial"/>
          <w:sz w:val="22"/>
          <w:szCs w:val="22"/>
        </w:rPr>
        <w:t xml:space="preserve">V konečném důsledku tak program podpoří zvýšení konkurenceschopnosti ČR a významným způsobem přispěje k orientaci českého aplikovaného výzkumu na progresivní obory, a dále </w:t>
      </w:r>
      <w:r w:rsidR="007264C7">
        <w:rPr>
          <w:rFonts w:ascii="Arial" w:eastAsia="Arial" w:hAnsi="Arial" w:cs="Arial"/>
          <w:sz w:val="22"/>
          <w:szCs w:val="22"/>
        </w:rPr>
        <w:br/>
      </w:r>
      <w:r>
        <w:rPr>
          <w:rFonts w:ascii="Arial" w:eastAsia="Arial" w:hAnsi="Arial" w:cs="Arial"/>
          <w:sz w:val="22"/>
          <w:szCs w:val="22"/>
        </w:rPr>
        <w:t xml:space="preserve">k zapojení českých týmů do mezinárodních výzkumných projektů, konsorcií a asociací. Napomůže tím k zařazení českých výzkumných organizací a inovativních podniků mezi světovou špičku </w:t>
      </w:r>
      <w:r w:rsidR="007264C7">
        <w:rPr>
          <w:rFonts w:ascii="Arial" w:eastAsia="Arial" w:hAnsi="Arial" w:cs="Arial"/>
          <w:sz w:val="22"/>
          <w:szCs w:val="22"/>
        </w:rPr>
        <w:br/>
      </w:r>
      <w:r>
        <w:rPr>
          <w:rFonts w:ascii="Arial" w:eastAsia="Arial" w:hAnsi="Arial" w:cs="Arial"/>
          <w:sz w:val="22"/>
          <w:szCs w:val="22"/>
        </w:rPr>
        <w:t>v těchto oborech. Program rovněž naplní Národní politiku výzkumu, vývoje a inovací ČR ve vztahu k podpoře zapojení výzkumných týmů z ČR do mezinárodního výzkumu.</w:t>
      </w:r>
    </w:p>
    <w:p w:rsidR="00723180" w:rsidRDefault="009D1A73">
      <w:pPr>
        <w:pStyle w:val="Nadpis1"/>
        <w:numPr>
          <w:ilvl w:val="0"/>
          <w:numId w:val="5"/>
        </w:numPr>
      </w:pPr>
      <w:r>
        <w:t>KRITÉRIA SPLNĚNÍ CÍLŮ PROGRAMU</w:t>
      </w:r>
    </w:p>
    <w:p w:rsidR="00723180" w:rsidRDefault="007264C7">
      <w:pPr>
        <w:spacing w:before="120" w:after="120"/>
        <w:jc w:val="both"/>
      </w:pPr>
      <w:r>
        <w:rPr>
          <w:rFonts w:ascii="Arial" w:eastAsia="Arial" w:hAnsi="Arial" w:cs="Arial"/>
          <w:sz w:val="22"/>
          <w:szCs w:val="22"/>
        </w:rPr>
        <w:t>Dosažení cílů</w:t>
      </w:r>
      <w:r w:rsidR="009D1A73">
        <w:rPr>
          <w:rFonts w:ascii="Arial" w:eastAsia="Arial" w:hAnsi="Arial" w:cs="Arial"/>
          <w:sz w:val="22"/>
          <w:szCs w:val="22"/>
        </w:rPr>
        <w:t xml:space="preserve"> programu bude vyhodnocováno v souladu s Metodikou hodnocení výsledků výzkumu, experimentálního vývoje a inovací platné v době hodnocení programu a dalších podmínek stanovených poskytovatelem v rámci průběžného a závěrečného hodnocení programu. Dosažení cílů programu bude vyhodnocováno nejen na základě souboru indikátorů vstupů, výstupů, výsledků a dopadů určených pro monitorování průběhu plnění programu (interim evaluace) a hodnocení jeho celkové výkonnosti a úspěšnosti (ex post evaluace), které vycházejí z následujících indikátorů: </w:t>
      </w:r>
    </w:p>
    <w:p w:rsidR="00723180" w:rsidRDefault="009D1A73">
      <w:pPr>
        <w:spacing w:before="120" w:after="120"/>
        <w:jc w:val="both"/>
      </w:pPr>
      <w:r>
        <w:rPr>
          <w:rFonts w:ascii="Arial" w:eastAsia="Arial" w:hAnsi="Arial" w:cs="Arial"/>
          <w:b/>
          <w:sz w:val="22"/>
          <w:szCs w:val="22"/>
        </w:rPr>
        <w:t>Tabulka č. 9.1: Indikátory</w:t>
      </w:r>
    </w:p>
    <w:tbl>
      <w:tblPr>
        <w:tblStyle w:val="a"/>
        <w:tblW w:w="9645" w:type="dxa"/>
        <w:tblInd w:w="120" w:type="dxa"/>
        <w:tblLayout w:type="fixed"/>
        <w:tblLook w:val="0400" w:firstRow="0" w:lastRow="0" w:firstColumn="0" w:lastColumn="0" w:noHBand="0" w:noVBand="1"/>
      </w:tblPr>
      <w:tblGrid>
        <w:gridCol w:w="1425"/>
        <w:gridCol w:w="7080"/>
        <w:gridCol w:w="1140"/>
      </w:tblGrid>
      <w:tr w:rsidR="00723180">
        <w:trPr>
          <w:trHeight w:val="460"/>
        </w:trPr>
        <w:tc>
          <w:tcPr>
            <w:tcW w:w="1425" w:type="dxa"/>
            <w:tcBorders>
              <w:top w:val="single" w:sz="6" w:space="0" w:color="000000"/>
              <w:left w:val="single" w:sz="6" w:space="0" w:color="000000"/>
              <w:bottom w:val="single" w:sz="6" w:space="0" w:color="000000"/>
              <w:right w:val="single" w:sz="6" w:space="0" w:color="000000"/>
            </w:tcBorders>
            <w:shd w:val="clear" w:color="auto" w:fill="D9D9D9"/>
            <w:tcMar>
              <w:top w:w="0" w:type="dxa"/>
              <w:left w:w="120" w:type="dxa"/>
              <w:bottom w:w="0" w:type="dxa"/>
              <w:right w:w="120" w:type="dxa"/>
            </w:tcMar>
          </w:tcPr>
          <w:p w:rsidR="00723180" w:rsidRDefault="009D1A73">
            <w:pPr>
              <w:spacing w:before="120" w:after="120"/>
              <w:jc w:val="center"/>
            </w:pPr>
            <w:r>
              <w:rPr>
                <w:rFonts w:ascii="Arial" w:eastAsia="Arial" w:hAnsi="Arial" w:cs="Arial"/>
                <w:b/>
                <w:sz w:val="22"/>
                <w:szCs w:val="22"/>
              </w:rPr>
              <w:t>Pořadové číslo</w:t>
            </w:r>
          </w:p>
        </w:tc>
        <w:tc>
          <w:tcPr>
            <w:tcW w:w="7080" w:type="dxa"/>
            <w:tcBorders>
              <w:top w:val="single" w:sz="6" w:space="0" w:color="000000"/>
              <w:left w:val="single" w:sz="6" w:space="0" w:color="000000"/>
              <w:bottom w:val="single" w:sz="6" w:space="0" w:color="000000"/>
              <w:right w:val="single" w:sz="6" w:space="0" w:color="000000"/>
            </w:tcBorders>
            <w:shd w:val="clear" w:color="auto" w:fill="D9D9D9"/>
            <w:tcMar>
              <w:top w:w="0" w:type="dxa"/>
              <w:left w:w="120" w:type="dxa"/>
              <w:bottom w:w="0" w:type="dxa"/>
              <w:right w:w="120" w:type="dxa"/>
            </w:tcMar>
          </w:tcPr>
          <w:p w:rsidR="00723180" w:rsidRDefault="009D1A73">
            <w:pPr>
              <w:spacing w:before="120" w:after="120"/>
              <w:jc w:val="center"/>
            </w:pPr>
            <w:r>
              <w:rPr>
                <w:rFonts w:ascii="Arial" w:eastAsia="Arial" w:hAnsi="Arial" w:cs="Arial"/>
                <w:b/>
                <w:sz w:val="22"/>
                <w:szCs w:val="22"/>
              </w:rPr>
              <w:t>Indikátory programu</w:t>
            </w:r>
          </w:p>
        </w:tc>
        <w:tc>
          <w:tcPr>
            <w:tcW w:w="1140" w:type="dxa"/>
            <w:tcBorders>
              <w:top w:val="single" w:sz="6" w:space="0" w:color="000000"/>
              <w:left w:val="single" w:sz="6" w:space="0" w:color="000000"/>
              <w:bottom w:val="single" w:sz="6" w:space="0" w:color="000000"/>
              <w:right w:val="single" w:sz="6" w:space="0" w:color="000000"/>
            </w:tcBorders>
            <w:shd w:val="clear" w:color="auto" w:fill="D9D9D9"/>
            <w:tcMar>
              <w:top w:w="0" w:type="dxa"/>
              <w:left w:w="120" w:type="dxa"/>
              <w:bottom w:w="0" w:type="dxa"/>
              <w:right w:w="120" w:type="dxa"/>
            </w:tcMar>
          </w:tcPr>
          <w:p w:rsidR="00723180" w:rsidRDefault="009D1A73">
            <w:pPr>
              <w:spacing w:before="120" w:after="120"/>
              <w:jc w:val="center"/>
            </w:pPr>
            <w:r>
              <w:rPr>
                <w:rFonts w:ascii="Arial" w:eastAsia="Arial" w:hAnsi="Arial" w:cs="Arial"/>
                <w:b/>
                <w:sz w:val="22"/>
                <w:szCs w:val="22"/>
              </w:rPr>
              <w:t>Hodnota</w:t>
            </w:r>
          </w:p>
        </w:tc>
      </w:tr>
      <w:tr w:rsidR="00723180">
        <w:trPr>
          <w:trHeight w:val="240"/>
        </w:trPr>
        <w:tc>
          <w:tcPr>
            <w:tcW w:w="142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723180" w:rsidRDefault="009D1A73">
            <w:pPr>
              <w:spacing w:before="120" w:after="120"/>
              <w:jc w:val="both"/>
            </w:pPr>
            <w:r>
              <w:rPr>
                <w:rFonts w:ascii="Arial" w:eastAsia="Arial" w:hAnsi="Arial" w:cs="Arial"/>
                <w:sz w:val="22"/>
                <w:szCs w:val="22"/>
              </w:rPr>
              <w:t>1.</w:t>
            </w:r>
          </w:p>
        </w:tc>
        <w:tc>
          <w:tcPr>
            <w:tcW w:w="708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723180" w:rsidRDefault="009D1A73">
            <w:pPr>
              <w:spacing w:before="120" w:after="120"/>
              <w:jc w:val="both"/>
            </w:pPr>
            <w:r>
              <w:rPr>
                <w:rFonts w:ascii="Arial" w:eastAsia="Arial" w:hAnsi="Arial" w:cs="Arial"/>
                <w:sz w:val="22"/>
                <w:szCs w:val="22"/>
              </w:rPr>
              <w:t>Průměrná intenzita podpory za program</w:t>
            </w:r>
          </w:p>
        </w:tc>
        <w:tc>
          <w:tcPr>
            <w:tcW w:w="114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723180" w:rsidRDefault="009D1A73">
            <w:pPr>
              <w:spacing w:before="120" w:after="120"/>
              <w:jc w:val="both"/>
            </w:pPr>
            <w:r>
              <w:rPr>
                <w:rFonts w:ascii="Arial" w:eastAsia="Arial" w:hAnsi="Arial" w:cs="Arial"/>
                <w:sz w:val="22"/>
                <w:szCs w:val="22"/>
              </w:rPr>
              <w:t>80 %</w:t>
            </w:r>
          </w:p>
        </w:tc>
      </w:tr>
      <w:tr w:rsidR="00723180">
        <w:tc>
          <w:tcPr>
            <w:tcW w:w="142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723180" w:rsidRDefault="009D1A73">
            <w:pPr>
              <w:spacing w:before="120" w:after="120"/>
              <w:jc w:val="both"/>
            </w:pPr>
            <w:r>
              <w:rPr>
                <w:rFonts w:ascii="Arial" w:eastAsia="Arial" w:hAnsi="Arial" w:cs="Arial"/>
                <w:sz w:val="22"/>
                <w:szCs w:val="22"/>
              </w:rPr>
              <w:t>2.</w:t>
            </w:r>
          </w:p>
        </w:tc>
        <w:tc>
          <w:tcPr>
            <w:tcW w:w="708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723180" w:rsidRDefault="009D1A73">
            <w:pPr>
              <w:spacing w:before="120" w:after="120"/>
              <w:jc w:val="both"/>
            </w:pPr>
            <w:r>
              <w:rPr>
                <w:rFonts w:ascii="Arial" w:eastAsia="Arial" w:hAnsi="Arial" w:cs="Arial"/>
                <w:sz w:val="22"/>
                <w:szCs w:val="22"/>
              </w:rPr>
              <w:t>Minimální počet podpořených projektů</w:t>
            </w:r>
          </w:p>
        </w:tc>
        <w:tc>
          <w:tcPr>
            <w:tcW w:w="114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723180" w:rsidRDefault="009D1A73">
            <w:pPr>
              <w:spacing w:before="120" w:after="120"/>
              <w:jc w:val="both"/>
              <w:rPr>
                <w:highlight w:val="yellow"/>
              </w:rPr>
            </w:pPr>
            <w:r>
              <w:rPr>
                <w:rFonts w:ascii="Arial" w:eastAsia="Arial" w:hAnsi="Arial" w:cs="Arial"/>
                <w:sz w:val="22"/>
                <w:szCs w:val="22"/>
              </w:rPr>
              <w:t>40</w:t>
            </w:r>
          </w:p>
        </w:tc>
      </w:tr>
      <w:tr w:rsidR="00723180">
        <w:tc>
          <w:tcPr>
            <w:tcW w:w="142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723180" w:rsidRDefault="009D1A73">
            <w:pPr>
              <w:spacing w:before="120" w:after="120"/>
              <w:jc w:val="both"/>
            </w:pPr>
            <w:r>
              <w:rPr>
                <w:rFonts w:ascii="Arial" w:eastAsia="Arial" w:hAnsi="Arial" w:cs="Arial"/>
                <w:sz w:val="22"/>
                <w:szCs w:val="22"/>
              </w:rPr>
              <w:t>3.</w:t>
            </w:r>
          </w:p>
        </w:tc>
        <w:tc>
          <w:tcPr>
            <w:tcW w:w="708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723180" w:rsidRDefault="009D1A73">
            <w:pPr>
              <w:spacing w:before="120" w:after="120"/>
              <w:jc w:val="both"/>
            </w:pPr>
            <w:r>
              <w:rPr>
                <w:rFonts w:ascii="Arial" w:eastAsia="Arial" w:hAnsi="Arial" w:cs="Arial"/>
                <w:sz w:val="22"/>
                <w:szCs w:val="22"/>
              </w:rPr>
              <w:t>Minimální míra úspěšně dokončených projektů</w:t>
            </w:r>
          </w:p>
        </w:tc>
        <w:tc>
          <w:tcPr>
            <w:tcW w:w="114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723180" w:rsidRDefault="009D1A73">
            <w:pPr>
              <w:spacing w:before="120" w:after="120"/>
              <w:jc w:val="both"/>
              <w:rPr>
                <w:highlight w:val="yellow"/>
              </w:rPr>
            </w:pPr>
            <w:r>
              <w:rPr>
                <w:rFonts w:ascii="Arial" w:eastAsia="Arial" w:hAnsi="Arial" w:cs="Arial"/>
                <w:sz w:val="22"/>
                <w:szCs w:val="22"/>
              </w:rPr>
              <w:t>85 %</w:t>
            </w:r>
          </w:p>
        </w:tc>
      </w:tr>
      <w:tr w:rsidR="00723180">
        <w:tc>
          <w:tcPr>
            <w:tcW w:w="142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723180" w:rsidRDefault="009D1A73">
            <w:pPr>
              <w:spacing w:before="120" w:after="120"/>
              <w:jc w:val="both"/>
            </w:pPr>
            <w:r>
              <w:rPr>
                <w:rFonts w:ascii="Arial" w:eastAsia="Arial" w:hAnsi="Arial" w:cs="Arial"/>
                <w:sz w:val="22"/>
                <w:szCs w:val="22"/>
              </w:rPr>
              <w:t>4.</w:t>
            </w:r>
          </w:p>
        </w:tc>
        <w:tc>
          <w:tcPr>
            <w:tcW w:w="708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723180" w:rsidRDefault="009D1A73">
            <w:pPr>
              <w:spacing w:before="120" w:after="120"/>
              <w:jc w:val="both"/>
            </w:pPr>
            <w:r>
              <w:rPr>
                <w:rFonts w:ascii="Arial" w:eastAsia="Arial" w:hAnsi="Arial" w:cs="Arial"/>
                <w:sz w:val="22"/>
                <w:szCs w:val="22"/>
              </w:rPr>
              <w:t>Minimální počet dosažených výstupů</w:t>
            </w:r>
          </w:p>
        </w:tc>
        <w:tc>
          <w:tcPr>
            <w:tcW w:w="114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723180" w:rsidRDefault="009D1A73">
            <w:pPr>
              <w:spacing w:before="120" w:after="120"/>
              <w:jc w:val="both"/>
            </w:pPr>
            <w:r>
              <w:rPr>
                <w:rFonts w:ascii="Arial" w:eastAsia="Arial" w:hAnsi="Arial" w:cs="Arial"/>
                <w:sz w:val="22"/>
                <w:szCs w:val="22"/>
              </w:rPr>
              <w:t>80</w:t>
            </w:r>
          </w:p>
        </w:tc>
      </w:tr>
      <w:tr w:rsidR="00723180">
        <w:tc>
          <w:tcPr>
            <w:tcW w:w="142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723180" w:rsidRDefault="009D1A73">
            <w:pPr>
              <w:spacing w:before="120" w:after="120"/>
              <w:jc w:val="both"/>
            </w:pPr>
            <w:r>
              <w:rPr>
                <w:rFonts w:ascii="Arial" w:eastAsia="Arial" w:hAnsi="Arial" w:cs="Arial"/>
                <w:sz w:val="22"/>
                <w:szCs w:val="22"/>
              </w:rPr>
              <w:lastRenderedPageBreak/>
              <w:t>5.</w:t>
            </w:r>
          </w:p>
        </w:tc>
        <w:tc>
          <w:tcPr>
            <w:tcW w:w="708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723180" w:rsidRDefault="009D1A73">
            <w:pPr>
              <w:spacing w:before="120" w:after="120"/>
              <w:jc w:val="both"/>
            </w:pPr>
            <w:r>
              <w:rPr>
                <w:rFonts w:ascii="Arial" w:eastAsia="Arial" w:hAnsi="Arial" w:cs="Arial"/>
                <w:sz w:val="22"/>
                <w:szCs w:val="22"/>
              </w:rPr>
              <w:t>Minimální počet aplikovaných výstupů</w:t>
            </w:r>
          </w:p>
        </w:tc>
        <w:tc>
          <w:tcPr>
            <w:tcW w:w="114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723180" w:rsidRDefault="009D1A73">
            <w:pPr>
              <w:spacing w:before="120" w:after="120"/>
              <w:jc w:val="both"/>
            </w:pPr>
            <w:r>
              <w:rPr>
                <w:rFonts w:ascii="Arial" w:eastAsia="Arial" w:hAnsi="Arial" w:cs="Arial"/>
                <w:sz w:val="22"/>
                <w:szCs w:val="22"/>
              </w:rPr>
              <w:t>60</w:t>
            </w:r>
          </w:p>
        </w:tc>
      </w:tr>
      <w:tr w:rsidR="00723180">
        <w:trPr>
          <w:trHeight w:val="300"/>
        </w:trPr>
        <w:tc>
          <w:tcPr>
            <w:tcW w:w="142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723180" w:rsidRDefault="009D1A73">
            <w:pPr>
              <w:spacing w:before="120" w:after="120"/>
              <w:jc w:val="both"/>
              <w:rPr>
                <w:highlight w:val="yellow"/>
              </w:rPr>
            </w:pPr>
            <w:r>
              <w:rPr>
                <w:rFonts w:ascii="Arial" w:eastAsia="Arial" w:hAnsi="Arial" w:cs="Arial"/>
                <w:sz w:val="22"/>
                <w:szCs w:val="22"/>
              </w:rPr>
              <w:t xml:space="preserve">6. </w:t>
            </w:r>
          </w:p>
        </w:tc>
        <w:tc>
          <w:tcPr>
            <w:tcW w:w="708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723180" w:rsidRDefault="009D1A73">
            <w:pPr>
              <w:spacing w:before="120" w:after="120"/>
              <w:jc w:val="both"/>
              <w:rPr>
                <w:highlight w:val="yellow"/>
              </w:rPr>
            </w:pPr>
            <w:r>
              <w:rPr>
                <w:rFonts w:ascii="Arial" w:eastAsia="Arial" w:hAnsi="Arial" w:cs="Arial"/>
                <w:sz w:val="22"/>
                <w:szCs w:val="22"/>
              </w:rPr>
              <w:t>Počet mezinárodní vazeb realizovaných mezi účastníky projektů v rámci programu</w:t>
            </w:r>
          </w:p>
        </w:tc>
        <w:tc>
          <w:tcPr>
            <w:tcW w:w="114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723180" w:rsidRDefault="009D1A73">
            <w:pPr>
              <w:spacing w:before="120" w:after="120"/>
              <w:jc w:val="both"/>
              <w:rPr>
                <w:rFonts w:ascii="Arial" w:eastAsia="Arial" w:hAnsi="Arial" w:cs="Arial"/>
                <w:sz w:val="22"/>
                <w:szCs w:val="22"/>
              </w:rPr>
            </w:pPr>
            <w:r>
              <w:rPr>
                <w:rFonts w:ascii="Arial" w:eastAsia="Arial" w:hAnsi="Arial" w:cs="Arial"/>
                <w:sz w:val="22"/>
                <w:szCs w:val="22"/>
              </w:rPr>
              <w:t>120</w:t>
            </w:r>
          </w:p>
        </w:tc>
      </w:tr>
    </w:tbl>
    <w:p w:rsidR="00723180" w:rsidRDefault="009D1A73">
      <w:pPr>
        <w:pStyle w:val="Nadpis1"/>
        <w:numPr>
          <w:ilvl w:val="0"/>
          <w:numId w:val="5"/>
        </w:numPr>
      </w:pPr>
      <w:r>
        <w:t>OČEKÁVANÉ VÝSLEDKY A PŘÍNOSY</w:t>
      </w:r>
    </w:p>
    <w:p w:rsidR="00723180" w:rsidRDefault="009D1A73">
      <w:pPr>
        <w:spacing w:before="120" w:after="120"/>
        <w:jc w:val="both"/>
        <w:rPr>
          <w:rFonts w:ascii="Arial" w:eastAsia="Arial" w:hAnsi="Arial" w:cs="Arial"/>
          <w:sz w:val="22"/>
          <w:szCs w:val="22"/>
        </w:rPr>
      </w:pPr>
      <w:r>
        <w:rPr>
          <w:rFonts w:ascii="Arial" w:eastAsia="Arial" w:hAnsi="Arial" w:cs="Arial"/>
          <w:sz w:val="22"/>
          <w:szCs w:val="22"/>
        </w:rPr>
        <w:t>V tomto programu mohou být podporovány projekty, u kterých se odůvodněně předpokládá dosažení využitelných výstupů, jejichž aplikace přispěje k plnění stanovených cílů programu a k pozitivním společenským (</w:t>
      </w:r>
      <w:proofErr w:type="spellStart"/>
      <w:r>
        <w:rPr>
          <w:rFonts w:ascii="Arial" w:eastAsia="Arial" w:hAnsi="Arial" w:cs="Arial"/>
          <w:sz w:val="22"/>
          <w:szCs w:val="22"/>
        </w:rPr>
        <w:t>socio</w:t>
      </w:r>
      <w:proofErr w:type="spellEnd"/>
      <w:r>
        <w:rPr>
          <w:rFonts w:ascii="Arial" w:eastAsia="Arial" w:hAnsi="Arial" w:cs="Arial"/>
          <w:sz w:val="22"/>
          <w:szCs w:val="22"/>
        </w:rPr>
        <w:t xml:space="preserve">-ekonomickým) dopadům. Program umožní dosažení výstupů ve formě výsledků Metodiky a Rejstříku informací o výsledcích (RIV) platné v době jejich uplatňování. Dle aktuálně platné Metodiky podpoří program následující výstupy ve formě výsledků dle RIV: </w:t>
      </w:r>
    </w:p>
    <w:p w:rsidR="00723180" w:rsidRDefault="009D1A73">
      <w:pPr>
        <w:spacing w:before="120" w:after="120"/>
        <w:jc w:val="both"/>
        <w:rPr>
          <w:rFonts w:ascii="Arial" w:eastAsia="Arial" w:hAnsi="Arial" w:cs="Arial"/>
          <w:sz w:val="22"/>
          <w:szCs w:val="22"/>
        </w:rPr>
      </w:pPr>
      <w:r>
        <w:rPr>
          <w:rFonts w:ascii="Arial" w:eastAsia="Arial" w:hAnsi="Arial" w:cs="Arial"/>
          <w:sz w:val="22"/>
          <w:szCs w:val="22"/>
        </w:rPr>
        <w:t>P – patent;</w:t>
      </w:r>
    </w:p>
    <w:p w:rsidR="00723180" w:rsidRDefault="009D1A73">
      <w:pPr>
        <w:spacing w:before="120" w:after="120"/>
        <w:jc w:val="both"/>
        <w:rPr>
          <w:rFonts w:ascii="Arial" w:eastAsia="Arial" w:hAnsi="Arial" w:cs="Arial"/>
          <w:sz w:val="22"/>
          <w:szCs w:val="22"/>
        </w:rPr>
      </w:pPr>
      <w:r>
        <w:rPr>
          <w:rFonts w:ascii="Arial" w:eastAsia="Arial" w:hAnsi="Arial" w:cs="Arial"/>
          <w:sz w:val="22"/>
          <w:szCs w:val="22"/>
        </w:rPr>
        <w:t>Z – poloprovoz, ověřená technologie;</w:t>
      </w:r>
    </w:p>
    <w:p w:rsidR="00723180" w:rsidRDefault="009D1A73">
      <w:pPr>
        <w:spacing w:before="120" w:after="120"/>
        <w:jc w:val="both"/>
        <w:rPr>
          <w:rFonts w:ascii="Arial" w:eastAsia="Arial" w:hAnsi="Arial" w:cs="Arial"/>
          <w:sz w:val="22"/>
          <w:szCs w:val="22"/>
        </w:rPr>
      </w:pPr>
      <w:r>
        <w:rPr>
          <w:rFonts w:ascii="Arial" w:eastAsia="Arial" w:hAnsi="Arial" w:cs="Arial"/>
          <w:sz w:val="22"/>
          <w:szCs w:val="22"/>
        </w:rPr>
        <w:t>F – průmyslový a užitný vzor;</w:t>
      </w:r>
    </w:p>
    <w:p w:rsidR="00723180" w:rsidRDefault="009D1A73">
      <w:pPr>
        <w:spacing w:before="120" w:after="120"/>
        <w:jc w:val="both"/>
        <w:rPr>
          <w:rFonts w:ascii="Arial" w:eastAsia="Arial" w:hAnsi="Arial" w:cs="Arial"/>
          <w:sz w:val="22"/>
          <w:szCs w:val="22"/>
        </w:rPr>
      </w:pPr>
      <w:r>
        <w:rPr>
          <w:rFonts w:ascii="Arial" w:eastAsia="Arial" w:hAnsi="Arial" w:cs="Arial"/>
          <w:sz w:val="22"/>
          <w:szCs w:val="22"/>
        </w:rPr>
        <w:t>G – technicky realizované výsledky – prototyp, funkční vzorek;</w:t>
      </w:r>
    </w:p>
    <w:p w:rsidR="00723180" w:rsidRDefault="009D1A73">
      <w:pPr>
        <w:spacing w:before="120" w:after="120"/>
        <w:jc w:val="both"/>
        <w:rPr>
          <w:rFonts w:ascii="Arial" w:eastAsia="Arial" w:hAnsi="Arial" w:cs="Arial"/>
          <w:sz w:val="22"/>
          <w:szCs w:val="22"/>
        </w:rPr>
      </w:pPr>
      <w:r>
        <w:rPr>
          <w:rFonts w:ascii="Arial" w:eastAsia="Arial" w:hAnsi="Arial" w:cs="Arial"/>
          <w:sz w:val="22"/>
          <w:szCs w:val="22"/>
        </w:rPr>
        <w:t xml:space="preserve">H - výsledky promítnuté do právních předpisů a norem; a výsledky promítnuté do směrnic </w:t>
      </w:r>
      <w:r w:rsidR="007264C7">
        <w:rPr>
          <w:rFonts w:ascii="Arial" w:eastAsia="Arial" w:hAnsi="Arial" w:cs="Arial"/>
          <w:sz w:val="22"/>
          <w:szCs w:val="22"/>
        </w:rPr>
        <w:br/>
      </w:r>
      <w:r>
        <w:rPr>
          <w:rFonts w:ascii="Arial" w:eastAsia="Arial" w:hAnsi="Arial" w:cs="Arial"/>
          <w:sz w:val="22"/>
          <w:szCs w:val="22"/>
        </w:rPr>
        <w:t>a předpisů nelegislativní povahy závazných pro kompetenčně příslušný orgán;</w:t>
      </w:r>
    </w:p>
    <w:p w:rsidR="00723180" w:rsidRDefault="009D1A73">
      <w:pPr>
        <w:spacing w:before="120" w:after="120"/>
        <w:jc w:val="both"/>
        <w:rPr>
          <w:rFonts w:ascii="Arial" w:eastAsia="Arial" w:hAnsi="Arial" w:cs="Arial"/>
          <w:sz w:val="22"/>
          <w:szCs w:val="22"/>
        </w:rPr>
      </w:pPr>
      <w:r>
        <w:rPr>
          <w:rFonts w:ascii="Arial" w:eastAsia="Arial" w:hAnsi="Arial" w:cs="Arial"/>
          <w:sz w:val="22"/>
          <w:szCs w:val="22"/>
        </w:rPr>
        <w:t>R – software;</w:t>
      </w:r>
    </w:p>
    <w:p w:rsidR="00723180" w:rsidRDefault="009D1A73">
      <w:pPr>
        <w:spacing w:before="120" w:after="120"/>
        <w:jc w:val="both"/>
        <w:rPr>
          <w:rFonts w:ascii="Arial" w:eastAsia="Arial" w:hAnsi="Arial" w:cs="Arial"/>
          <w:sz w:val="22"/>
          <w:szCs w:val="22"/>
        </w:rPr>
      </w:pPr>
      <w:r>
        <w:rPr>
          <w:rFonts w:ascii="Arial" w:eastAsia="Arial" w:hAnsi="Arial" w:cs="Arial"/>
          <w:sz w:val="22"/>
          <w:szCs w:val="22"/>
        </w:rPr>
        <w:t>N – metodiky, postupy a specializované mapy s odborným obsahem;</w:t>
      </w:r>
    </w:p>
    <w:p w:rsidR="00723180" w:rsidRDefault="009D1A73">
      <w:pPr>
        <w:spacing w:before="120" w:after="120"/>
        <w:jc w:val="both"/>
        <w:rPr>
          <w:rFonts w:ascii="Arial" w:eastAsia="Arial" w:hAnsi="Arial" w:cs="Arial"/>
          <w:i/>
          <w:sz w:val="22"/>
          <w:szCs w:val="22"/>
        </w:rPr>
      </w:pPr>
      <w:r>
        <w:rPr>
          <w:rFonts w:ascii="Arial" w:eastAsia="Arial" w:hAnsi="Arial" w:cs="Arial"/>
          <w:sz w:val="22"/>
          <w:szCs w:val="22"/>
        </w:rPr>
        <w:t>O – ostatní.</w:t>
      </w:r>
    </w:p>
    <w:p w:rsidR="00723180" w:rsidRDefault="009D1A73">
      <w:pPr>
        <w:spacing w:before="120" w:after="120"/>
        <w:jc w:val="both"/>
        <w:rPr>
          <w:rFonts w:ascii="Arial" w:eastAsia="Arial" w:hAnsi="Arial" w:cs="Arial"/>
          <w:sz w:val="22"/>
          <w:szCs w:val="22"/>
        </w:rPr>
      </w:pPr>
      <w:r>
        <w:rPr>
          <w:rFonts w:ascii="Arial" w:eastAsia="Arial" w:hAnsi="Arial" w:cs="Arial"/>
          <w:sz w:val="22"/>
          <w:szCs w:val="22"/>
        </w:rPr>
        <w:t>Dále však existuje celá řada dalších poznatků a dovedností v souladu s § 2 odst. 2, písmeno k) zákona o podpoře výzkumu, experimentálního vývoje a inovací, které se očekávají jako výsledky aplikovaného výzkumu, experimentálního vývoje a inovací. Z tohoto důvodu bude program hodnocen nejen na základě výstupů ve formě výsledků dle aktuálně platné Metodiky hodnocení výsledků výzkumných organizací a hodnocení výsledků ukončených programů, ale také podle dosažených poznatků, dovedností a dopadů v rámci hodnocení programu.</w:t>
      </w:r>
    </w:p>
    <w:p w:rsidR="00723180" w:rsidRDefault="009D1A73">
      <w:pPr>
        <w:spacing w:before="240" w:after="120"/>
        <w:jc w:val="both"/>
        <w:rPr>
          <w:rFonts w:ascii="Arial" w:eastAsia="Arial" w:hAnsi="Arial" w:cs="Arial"/>
          <w:sz w:val="22"/>
          <w:szCs w:val="22"/>
        </w:rPr>
      </w:pPr>
      <w:r>
        <w:rPr>
          <w:rFonts w:ascii="Arial" w:eastAsia="Arial" w:hAnsi="Arial" w:cs="Arial"/>
          <w:sz w:val="22"/>
          <w:szCs w:val="22"/>
        </w:rPr>
        <w:t>Mezi očekávané přínosy programu patří hlavně zvýšení kvality a počtu výsledků výzkumu a vývoje, které budou aplikovány v praxi v podobě inovací výrobků, postupů, procesů nebo služeb. Program by měl také přispět ke zvýšené schopnosti podniků uplatnit výsledky projektů, které se sekundárně projeví i ve zlepšení ukazatelů podpořených subjektů (a to např. v růstu obratu, exportu apod.).</w:t>
      </w:r>
    </w:p>
    <w:p w:rsidR="00723180" w:rsidRDefault="009D1A73" w:rsidP="007264C7">
      <w:pPr>
        <w:spacing w:before="240" w:after="120"/>
        <w:jc w:val="both"/>
        <w:rPr>
          <w:rFonts w:ascii="Arial" w:eastAsia="Arial" w:hAnsi="Arial" w:cs="Arial"/>
          <w:sz w:val="22"/>
          <w:szCs w:val="22"/>
        </w:rPr>
      </w:pPr>
      <w:r>
        <w:rPr>
          <w:rFonts w:ascii="Arial" w:eastAsia="Arial" w:hAnsi="Arial" w:cs="Arial"/>
          <w:sz w:val="22"/>
          <w:szCs w:val="22"/>
        </w:rPr>
        <w:t>U spolupracujících výzkumných organizací se přínosy programu projeví například ve zvýšení počtu jejich výsledků aplikovaných v praxi, v počtu komercializovaných patentů a jiných výsledků a nárůstu jejich komerčního potenciálu. Jako sekundární efekt lze považovat posílení efektivního transferu know-how a technologií do praxe.</w:t>
      </w:r>
    </w:p>
    <w:p w:rsidR="00723180" w:rsidRDefault="009D1A73">
      <w:pPr>
        <w:spacing w:before="240" w:after="120"/>
        <w:jc w:val="both"/>
        <w:rPr>
          <w:rFonts w:ascii="Arial" w:eastAsia="Arial" w:hAnsi="Arial" w:cs="Arial"/>
          <w:sz w:val="22"/>
          <w:szCs w:val="22"/>
        </w:rPr>
      </w:pPr>
      <w:r>
        <w:rPr>
          <w:rFonts w:ascii="Arial" w:eastAsia="Arial" w:hAnsi="Arial" w:cs="Arial"/>
          <w:sz w:val="22"/>
          <w:szCs w:val="22"/>
        </w:rPr>
        <w:t>Program přispěje ke zlepšení přístupu podpořených týmů (jak z ČR, tak z</w:t>
      </w:r>
      <w:r w:rsidR="007264C7">
        <w:rPr>
          <w:rFonts w:ascii="Arial" w:eastAsia="Arial" w:hAnsi="Arial" w:cs="Arial"/>
          <w:sz w:val="22"/>
          <w:szCs w:val="22"/>
        </w:rPr>
        <w:t>e</w:t>
      </w:r>
      <w:r>
        <w:rPr>
          <w:rFonts w:ascii="Arial" w:eastAsia="Arial" w:hAnsi="Arial" w:cs="Arial"/>
          <w:sz w:val="22"/>
          <w:szCs w:val="22"/>
        </w:rPr>
        <w:t xml:space="preserve"> </w:t>
      </w:r>
      <w:r w:rsidR="007264C7">
        <w:rPr>
          <w:rFonts w:ascii="Arial" w:eastAsia="Arial" w:hAnsi="Arial" w:cs="Arial"/>
          <w:sz w:val="22"/>
          <w:szCs w:val="22"/>
        </w:rPr>
        <w:t>spolupracujících</w:t>
      </w:r>
      <w:r>
        <w:rPr>
          <w:rFonts w:ascii="Arial" w:eastAsia="Arial" w:hAnsi="Arial" w:cs="Arial"/>
          <w:sz w:val="22"/>
          <w:szCs w:val="22"/>
        </w:rPr>
        <w:t xml:space="preserve"> států) </w:t>
      </w:r>
      <w:r w:rsidR="007264C7">
        <w:rPr>
          <w:rFonts w:ascii="Arial" w:eastAsia="Arial" w:hAnsi="Arial" w:cs="Arial"/>
          <w:sz w:val="22"/>
          <w:szCs w:val="22"/>
        </w:rPr>
        <w:br/>
      </w:r>
      <w:r>
        <w:rPr>
          <w:rFonts w:ascii="Arial" w:eastAsia="Arial" w:hAnsi="Arial" w:cs="Arial"/>
          <w:sz w:val="22"/>
          <w:szCs w:val="22"/>
        </w:rPr>
        <w:t xml:space="preserve">k mezinárodním znalostem a know-how, zahraničním výzkumným kapacitám a usnadní pronikání na zahraniční trhy. Synergickým efektem programu by měl být také přenos „dobré praxe“ </w:t>
      </w:r>
      <w:r w:rsidR="007264C7">
        <w:rPr>
          <w:rFonts w:ascii="Arial" w:eastAsia="Arial" w:hAnsi="Arial" w:cs="Arial"/>
          <w:sz w:val="22"/>
          <w:szCs w:val="22"/>
        </w:rPr>
        <w:br/>
      </w:r>
      <w:r>
        <w:rPr>
          <w:rFonts w:ascii="Arial" w:eastAsia="Arial" w:hAnsi="Arial" w:cs="Arial"/>
          <w:sz w:val="22"/>
          <w:szCs w:val="22"/>
        </w:rPr>
        <w:t>a osvědčených postupů mezi spolupracujícími zeměmi.</w:t>
      </w:r>
    </w:p>
    <w:p w:rsidR="00723180" w:rsidRDefault="009D1A73">
      <w:pPr>
        <w:spacing w:before="120" w:after="120"/>
        <w:jc w:val="both"/>
        <w:rPr>
          <w:rFonts w:ascii="Arial" w:eastAsia="Arial" w:hAnsi="Arial" w:cs="Arial"/>
          <w:sz w:val="22"/>
          <w:szCs w:val="22"/>
        </w:rPr>
      </w:pPr>
      <w:r>
        <w:rPr>
          <w:rFonts w:ascii="Arial" w:eastAsia="Arial" w:hAnsi="Arial" w:cs="Arial"/>
          <w:sz w:val="22"/>
          <w:szCs w:val="22"/>
        </w:rPr>
        <w:t xml:space="preserve">U všech typů výstupů podpořených projektů bude v rámci hodnotících, kontrolních a podpůrných mechanismů poskytovatele kladen důraz na jejich relevanci, uplatnění a na maximalizaci ekonomických, sociálních, kulturních či jiných benefitů. </w:t>
      </w:r>
    </w:p>
    <w:p w:rsidR="00FA686C" w:rsidRDefault="00FA686C">
      <w:pPr>
        <w:spacing w:before="120" w:after="120"/>
        <w:jc w:val="both"/>
        <w:rPr>
          <w:rFonts w:ascii="Arial" w:eastAsia="Arial" w:hAnsi="Arial" w:cs="Arial"/>
          <w:sz w:val="22"/>
          <w:szCs w:val="22"/>
        </w:rPr>
      </w:pPr>
    </w:p>
    <w:p w:rsidR="007264C7" w:rsidRDefault="007264C7">
      <w:pPr>
        <w:spacing w:before="120" w:after="120"/>
        <w:jc w:val="both"/>
        <w:rPr>
          <w:rFonts w:ascii="Arial" w:eastAsia="Arial" w:hAnsi="Arial" w:cs="Arial"/>
          <w:sz w:val="22"/>
          <w:szCs w:val="22"/>
        </w:rPr>
      </w:pPr>
    </w:p>
    <w:p w:rsidR="00723180" w:rsidRDefault="009D1A73">
      <w:pPr>
        <w:pStyle w:val="Nadpis1"/>
        <w:numPr>
          <w:ilvl w:val="0"/>
          <w:numId w:val="5"/>
        </w:numPr>
      </w:pPr>
      <w:r>
        <w:lastRenderedPageBreak/>
        <w:t>UCHAZEČI A PROKÁZÁNÍ JEJICH ZPŮSOBILOSTI</w:t>
      </w:r>
    </w:p>
    <w:p w:rsidR="00723180" w:rsidRDefault="009D1A73">
      <w:pPr>
        <w:spacing w:before="120" w:after="120"/>
        <w:jc w:val="both"/>
      </w:pPr>
      <w:r>
        <w:rPr>
          <w:rFonts w:ascii="Arial" w:eastAsia="Arial" w:hAnsi="Arial" w:cs="Arial"/>
          <w:sz w:val="22"/>
          <w:szCs w:val="22"/>
        </w:rPr>
        <w:t>Uchazečem, respektive příjemcem podpory na projekt podle zákona o podpoře výzkumu, experimentálního vývoje a inovací, Rámce a Nařízení mohou být:</w:t>
      </w:r>
    </w:p>
    <w:p w:rsidR="00723180" w:rsidRDefault="009D1A73">
      <w:pPr>
        <w:numPr>
          <w:ilvl w:val="0"/>
          <w:numId w:val="1"/>
        </w:numPr>
        <w:spacing w:before="120" w:after="120"/>
        <w:ind w:left="714" w:hanging="357"/>
        <w:jc w:val="both"/>
        <w:rPr>
          <w:sz w:val="22"/>
          <w:szCs w:val="22"/>
        </w:rPr>
      </w:pPr>
      <w:r>
        <w:rPr>
          <w:rFonts w:ascii="Arial" w:eastAsia="Arial" w:hAnsi="Arial" w:cs="Arial"/>
          <w:b/>
          <w:sz w:val="22"/>
          <w:szCs w:val="22"/>
        </w:rPr>
        <w:t xml:space="preserve">Podniky </w:t>
      </w:r>
      <w:r>
        <w:rPr>
          <w:rFonts w:ascii="Arial" w:eastAsia="Arial" w:hAnsi="Arial" w:cs="Arial"/>
          <w:sz w:val="22"/>
          <w:szCs w:val="22"/>
        </w:rPr>
        <w:t>–</w:t>
      </w:r>
      <w:r>
        <w:rPr>
          <w:rFonts w:ascii="Arial" w:eastAsia="Arial" w:hAnsi="Arial" w:cs="Arial"/>
          <w:b/>
          <w:sz w:val="22"/>
          <w:szCs w:val="22"/>
        </w:rPr>
        <w:t xml:space="preserve"> </w:t>
      </w:r>
      <w:r>
        <w:rPr>
          <w:rFonts w:ascii="Arial" w:eastAsia="Arial" w:hAnsi="Arial" w:cs="Arial"/>
          <w:sz w:val="22"/>
          <w:szCs w:val="22"/>
        </w:rPr>
        <w:t xml:space="preserve">právnické i fyzické osoby vykonávající hospodářskou činnost, bez ohledu na právní formu (příloha 1 Nařízení), které řeší projekt samostatně nebo ve spolupráci s dalšími účastníky a prokáží schopnost projekt spolufinancovat z neveřejných prostředků. </w:t>
      </w:r>
    </w:p>
    <w:p w:rsidR="00723180" w:rsidRDefault="009D1A73">
      <w:pPr>
        <w:numPr>
          <w:ilvl w:val="0"/>
          <w:numId w:val="1"/>
        </w:numPr>
        <w:spacing w:before="120" w:after="120"/>
        <w:ind w:left="714" w:hanging="357"/>
        <w:jc w:val="both"/>
        <w:rPr>
          <w:sz w:val="22"/>
          <w:szCs w:val="22"/>
        </w:rPr>
      </w:pPr>
      <w:r>
        <w:rPr>
          <w:rFonts w:ascii="Arial" w:eastAsia="Arial" w:hAnsi="Arial" w:cs="Arial"/>
          <w:b/>
          <w:sz w:val="22"/>
          <w:szCs w:val="22"/>
        </w:rPr>
        <w:t>Organizace pro výzkum a šíření znalostí</w:t>
      </w:r>
      <w:r>
        <w:rPr>
          <w:rFonts w:ascii="Arial" w:eastAsia="Arial" w:hAnsi="Arial" w:cs="Arial"/>
          <w:sz w:val="22"/>
          <w:szCs w:val="22"/>
        </w:rPr>
        <w:t xml:space="preserve"> – právnické osoby, které splňují definici výzkumné organizace podle čl. 2 odst. 83 Nařízení a dle zákona o podpoře výzkumu, experimentálního vývoje a inovací, a které řeší projekt samostatně nebo ve spolupráci s dalšími účastníky.</w:t>
      </w:r>
    </w:p>
    <w:p w:rsidR="00723180" w:rsidRDefault="009D1A73">
      <w:pPr>
        <w:numPr>
          <w:ilvl w:val="0"/>
          <w:numId w:val="1"/>
        </w:numPr>
        <w:spacing w:before="120" w:after="120"/>
        <w:ind w:left="714" w:hanging="357"/>
        <w:jc w:val="both"/>
        <w:rPr>
          <w:sz w:val="22"/>
          <w:szCs w:val="22"/>
        </w:rPr>
      </w:pPr>
      <w:r>
        <w:rPr>
          <w:rFonts w:ascii="Arial" w:eastAsia="Arial" w:hAnsi="Arial" w:cs="Arial"/>
          <w:b/>
          <w:sz w:val="22"/>
          <w:szCs w:val="22"/>
        </w:rPr>
        <w:t>Další fyzické osoby a právnické osoby veřejného i soukromého práva</w:t>
      </w:r>
      <w:r>
        <w:rPr>
          <w:rFonts w:ascii="Arial" w:eastAsia="Arial" w:hAnsi="Arial" w:cs="Arial"/>
          <w:sz w:val="22"/>
          <w:szCs w:val="22"/>
        </w:rPr>
        <w:t xml:space="preserve"> bez ohledu na právní formu či způsob financování, které budou vykonávat činnosti, na něž je podpora poskytována mimo režim veřejné podpory, tj. nebude se jednat o podniky.</w:t>
      </w:r>
    </w:p>
    <w:p w:rsidR="00723180" w:rsidRDefault="009D1A73">
      <w:pPr>
        <w:spacing w:before="120" w:after="120"/>
        <w:jc w:val="both"/>
        <w:rPr>
          <w:rFonts w:ascii="Arial" w:eastAsia="Arial" w:hAnsi="Arial" w:cs="Arial"/>
          <w:sz w:val="22"/>
          <w:szCs w:val="22"/>
        </w:rPr>
      </w:pPr>
      <w:r>
        <w:rPr>
          <w:rFonts w:ascii="Arial" w:eastAsia="Arial" w:hAnsi="Arial" w:cs="Arial"/>
          <w:sz w:val="22"/>
          <w:szCs w:val="22"/>
        </w:rPr>
        <w:t>Podporu na projekt realizovaný v programu mohou získat pouze ti uchazeči, kteří splňují podmínky způsobilosti dané § 18 zákona o podpoře výzkumu, experimentálního vývoje a inovací a Nařízením. Uchází-li se o řešení jednoho projektu společně více uchazečů, vztahuje se povinnost prokázat svoji způsobilost na všechny tyto uchazeče. Způsobilost prokazuje uchazeč doklady dle zákona o podpoře výzkumu, experimentálního vývoje a inovací způsobem stanoveným poskytovatelem v zadávací dokumentaci.</w:t>
      </w:r>
    </w:p>
    <w:p w:rsidR="00723180" w:rsidRDefault="009D1A73">
      <w:pPr>
        <w:spacing w:before="120" w:after="120"/>
        <w:jc w:val="both"/>
      </w:pPr>
      <w:r>
        <w:rPr>
          <w:rFonts w:ascii="Arial" w:eastAsia="Arial" w:hAnsi="Arial" w:cs="Arial"/>
          <w:sz w:val="22"/>
          <w:szCs w:val="22"/>
        </w:rPr>
        <w:t>Okruh uchazečů může oproti programu zúžit zadávací dokumentace k veřejné soutěži. Programu se musí účastnit vždy minimálně jeden uchazeč z ČR a jeden uchazeč z Norska, Islandu nebo Lichtenštejnska, přičemž hlavní uchazeč musí být z ČR. Preferovaným modelem spolupráce je účast podniku ve spolupráci s výzkumnou organizací.</w:t>
      </w:r>
    </w:p>
    <w:p w:rsidR="00723180" w:rsidRDefault="009D1A73">
      <w:pPr>
        <w:pStyle w:val="Nadpis1"/>
        <w:numPr>
          <w:ilvl w:val="0"/>
          <w:numId w:val="5"/>
        </w:numPr>
      </w:pPr>
      <w:r>
        <w:t>VÝDAJE NA PROGRAM</w:t>
      </w:r>
    </w:p>
    <w:p w:rsidR="00723180" w:rsidRDefault="009D1A73">
      <w:pPr>
        <w:spacing w:before="120" w:after="120"/>
        <w:jc w:val="both"/>
        <w:rPr>
          <w:rFonts w:ascii="Arial" w:eastAsia="Arial" w:hAnsi="Arial" w:cs="Arial"/>
          <w:sz w:val="22"/>
          <w:szCs w:val="22"/>
          <w:highlight w:val="yellow"/>
        </w:rPr>
      </w:pPr>
      <w:r>
        <w:rPr>
          <w:rFonts w:ascii="Arial" w:eastAsia="Arial" w:hAnsi="Arial" w:cs="Arial"/>
          <w:sz w:val="22"/>
          <w:szCs w:val="22"/>
        </w:rPr>
        <w:t>Celkové výdaje na program</w:t>
      </w:r>
      <w:r w:rsidR="00FA686C">
        <w:rPr>
          <w:rStyle w:val="Znakapoznpodarou"/>
          <w:rFonts w:ascii="Arial" w:eastAsia="Arial" w:hAnsi="Arial" w:cs="Arial"/>
          <w:sz w:val="22"/>
          <w:szCs w:val="22"/>
        </w:rPr>
        <w:footnoteReference w:id="3"/>
      </w:r>
      <w:r>
        <w:rPr>
          <w:rFonts w:ascii="Arial" w:eastAsia="Arial" w:hAnsi="Arial" w:cs="Arial"/>
          <w:sz w:val="22"/>
          <w:szCs w:val="22"/>
        </w:rPr>
        <w:t xml:space="preserve"> jsou na období trvání programu stanoveny na základě Memoranda </w:t>
      </w:r>
      <w:r w:rsidR="00FA686C">
        <w:rPr>
          <w:rFonts w:ascii="Arial" w:eastAsia="Arial" w:hAnsi="Arial" w:cs="Arial"/>
          <w:sz w:val="22"/>
          <w:szCs w:val="22"/>
        </w:rPr>
        <w:br/>
      </w:r>
      <w:r>
        <w:rPr>
          <w:rFonts w:ascii="Arial" w:eastAsia="Arial" w:hAnsi="Arial" w:cs="Arial"/>
          <w:sz w:val="22"/>
          <w:szCs w:val="22"/>
        </w:rPr>
        <w:t xml:space="preserve">o porozumění o implementaci Finančních mechanismů EHP 2014 – 2021 mezi Islandem, Lichtenštejnskem, Norskem a Českou republikou a </w:t>
      </w:r>
      <w:r>
        <w:rPr>
          <w:rFonts w:ascii="Arial" w:eastAsia="Arial" w:hAnsi="Arial" w:cs="Arial"/>
          <w:sz w:val="22"/>
          <w:szCs w:val="22"/>
        </w:rPr>
        <w:tab/>
        <w:t>Memoranda o porozumění o implementaci Finančních mechanismů Norska 2014 – 2021 mezi Norskem a Českou republikou.</w:t>
      </w:r>
    </w:p>
    <w:p w:rsidR="00723180" w:rsidRDefault="009D1A73" w:rsidP="004B51FE">
      <w:pPr>
        <w:spacing w:before="120" w:after="360"/>
        <w:jc w:val="both"/>
        <w:rPr>
          <w:rFonts w:ascii="Arial" w:eastAsia="Arial" w:hAnsi="Arial" w:cs="Arial"/>
          <w:sz w:val="22"/>
          <w:szCs w:val="22"/>
        </w:rPr>
      </w:pPr>
      <w:r>
        <w:rPr>
          <w:rFonts w:ascii="Arial" w:eastAsia="Arial" w:hAnsi="Arial" w:cs="Arial"/>
          <w:sz w:val="22"/>
          <w:szCs w:val="22"/>
        </w:rPr>
        <w:t xml:space="preserve">Celkové výdaje programu jsou 1 125 mil. Kč. Z toho výdaje z Finančních mechanismů EHP </w:t>
      </w:r>
      <w:r w:rsidR="00FA686C">
        <w:rPr>
          <w:rFonts w:ascii="Arial" w:eastAsia="Arial" w:hAnsi="Arial" w:cs="Arial"/>
          <w:sz w:val="22"/>
          <w:szCs w:val="22"/>
        </w:rPr>
        <w:br/>
      </w:r>
      <w:r>
        <w:rPr>
          <w:rFonts w:ascii="Arial" w:eastAsia="Arial" w:hAnsi="Arial" w:cs="Arial"/>
          <w:sz w:val="22"/>
          <w:szCs w:val="22"/>
        </w:rPr>
        <w:t>a Norska činí 765 mil. Kč (30 mil. EUR), výdaje ze státního rozpočtu (kapitoly Technologická agentura České republiky) činí 135 mil. Kč a neveřejné zdroje činí 225 mil. Kč.</w:t>
      </w:r>
    </w:p>
    <w:p w:rsidR="00723180" w:rsidRDefault="009D1A73">
      <w:pPr>
        <w:spacing w:before="120" w:after="120"/>
        <w:ind w:firstLine="6"/>
        <w:jc w:val="both"/>
        <w:rPr>
          <w:rFonts w:ascii="Arial" w:eastAsia="Arial" w:hAnsi="Arial" w:cs="Arial"/>
          <w:b/>
          <w:sz w:val="22"/>
          <w:szCs w:val="22"/>
        </w:rPr>
      </w:pPr>
      <w:r>
        <w:rPr>
          <w:rFonts w:ascii="Arial" w:eastAsia="Arial" w:hAnsi="Arial" w:cs="Arial"/>
          <w:b/>
          <w:sz w:val="22"/>
          <w:szCs w:val="22"/>
        </w:rPr>
        <w:t>Tabulka č. 12.1: Rozpočet programu [mil. Kč]</w:t>
      </w:r>
    </w:p>
    <w:tbl>
      <w:tblPr>
        <w:tblStyle w:val="a0"/>
        <w:tblW w:w="963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54"/>
        <w:gridCol w:w="794"/>
        <w:gridCol w:w="794"/>
        <w:gridCol w:w="794"/>
        <w:gridCol w:w="794"/>
        <w:gridCol w:w="794"/>
        <w:gridCol w:w="794"/>
        <w:gridCol w:w="1020"/>
      </w:tblGrid>
      <w:tr w:rsidR="00723180" w:rsidTr="00723180">
        <w:trPr>
          <w:cnfStyle w:val="100000000000" w:firstRow="1" w:lastRow="0" w:firstColumn="0" w:lastColumn="0" w:oddVBand="0" w:evenVBand="0" w:oddHBand="0" w:evenHBand="0" w:firstRowFirstColumn="0" w:firstRowLastColumn="0" w:lastRowFirstColumn="0" w:lastRowLastColumn="0"/>
          <w:trHeight w:val="380"/>
        </w:trPr>
        <w:tc>
          <w:tcPr>
            <w:cnfStyle w:val="001000000100" w:firstRow="0" w:lastRow="0" w:firstColumn="1" w:lastColumn="0" w:oddVBand="0" w:evenVBand="0" w:oddHBand="0" w:evenHBand="0" w:firstRowFirstColumn="1" w:firstRowLastColumn="0" w:lastRowFirstColumn="0" w:lastRowLastColumn="0"/>
            <w:tcW w:w="3855" w:type="dxa"/>
            <w:vAlign w:val="center"/>
          </w:tcPr>
          <w:p w:rsidR="00723180" w:rsidRPr="004B51FE" w:rsidRDefault="009D1A73" w:rsidP="004B51FE">
            <w:pPr>
              <w:spacing w:before="120" w:after="120"/>
              <w:contextualSpacing w:val="0"/>
              <w:rPr>
                <w:rFonts w:ascii="Arial" w:eastAsia="Arial" w:hAnsi="Arial" w:cs="Arial"/>
                <w:b/>
                <w:sz w:val="22"/>
                <w:szCs w:val="22"/>
              </w:rPr>
            </w:pPr>
            <w:r w:rsidRPr="004B51FE">
              <w:rPr>
                <w:rFonts w:ascii="Arial" w:eastAsia="Arial" w:hAnsi="Arial" w:cs="Arial"/>
                <w:b/>
                <w:sz w:val="22"/>
                <w:szCs w:val="22"/>
              </w:rPr>
              <w:t>Rok</w:t>
            </w:r>
          </w:p>
        </w:tc>
        <w:tc>
          <w:tcPr>
            <w:tcW w:w="794" w:type="dxa"/>
            <w:vAlign w:val="center"/>
          </w:tcPr>
          <w:p w:rsidR="00723180" w:rsidRPr="004B51FE" w:rsidRDefault="009D1A73" w:rsidP="004B51FE">
            <w:pPr>
              <w:spacing w:before="120" w:after="120"/>
              <w:contextualSpacing w:val="0"/>
              <w:jc w:val="right"/>
              <w:cnfStyle w:val="100000000000" w:firstRow="1" w:lastRow="0" w:firstColumn="0" w:lastColumn="0" w:oddVBand="0" w:evenVBand="0" w:oddHBand="0" w:evenHBand="0" w:firstRowFirstColumn="0" w:firstRowLastColumn="0" w:lastRowFirstColumn="0" w:lastRowLastColumn="0"/>
              <w:rPr>
                <w:rFonts w:ascii="Arial" w:eastAsia="Arial" w:hAnsi="Arial" w:cs="Arial"/>
                <w:b/>
                <w:sz w:val="22"/>
                <w:szCs w:val="22"/>
              </w:rPr>
            </w:pPr>
            <w:r w:rsidRPr="004B51FE">
              <w:rPr>
                <w:rFonts w:ascii="Arial" w:eastAsia="Arial" w:hAnsi="Arial" w:cs="Arial"/>
                <w:b/>
                <w:sz w:val="22"/>
                <w:szCs w:val="22"/>
              </w:rPr>
              <w:t>2019</w:t>
            </w:r>
          </w:p>
        </w:tc>
        <w:tc>
          <w:tcPr>
            <w:tcW w:w="794" w:type="dxa"/>
            <w:vAlign w:val="center"/>
          </w:tcPr>
          <w:p w:rsidR="00723180" w:rsidRPr="004B51FE" w:rsidRDefault="009D1A73" w:rsidP="004B51FE">
            <w:pPr>
              <w:spacing w:before="120" w:after="120"/>
              <w:contextualSpacing w:val="0"/>
              <w:jc w:val="right"/>
              <w:cnfStyle w:val="100000000000" w:firstRow="1" w:lastRow="0" w:firstColumn="0" w:lastColumn="0" w:oddVBand="0" w:evenVBand="0" w:oddHBand="0" w:evenHBand="0" w:firstRowFirstColumn="0" w:firstRowLastColumn="0" w:lastRowFirstColumn="0" w:lastRowLastColumn="0"/>
              <w:rPr>
                <w:rFonts w:ascii="Arial" w:eastAsia="Arial" w:hAnsi="Arial" w:cs="Arial"/>
                <w:b/>
                <w:sz w:val="22"/>
                <w:szCs w:val="22"/>
              </w:rPr>
            </w:pPr>
            <w:r w:rsidRPr="004B51FE">
              <w:rPr>
                <w:rFonts w:ascii="Arial" w:eastAsia="Arial" w:hAnsi="Arial" w:cs="Arial"/>
                <w:b/>
                <w:sz w:val="22"/>
                <w:szCs w:val="22"/>
              </w:rPr>
              <w:t>2020</w:t>
            </w:r>
          </w:p>
        </w:tc>
        <w:tc>
          <w:tcPr>
            <w:tcW w:w="794" w:type="dxa"/>
            <w:vAlign w:val="center"/>
          </w:tcPr>
          <w:p w:rsidR="00723180" w:rsidRPr="004B51FE" w:rsidRDefault="009D1A73" w:rsidP="004B51FE">
            <w:pPr>
              <w:spacing w:before="120" w:after="120"/>
              <w:contextualSpacing w:val="0"/>
              <w:jc w:val="right"/>
              <w:cnfStyle w:val="100000000000" w:firstRow="1" w:lastRow="0" w:firstColumn="0" w:lastColumn="0" w:oddVBand="0" w:evenVBand="0" w:oddHBand="0" w:evenHBand="0" w:firstRowFirstColumn="0" w:firstRowLastColumn="0" w:lastRowFirstColumn="0" w:lastRowLastColumn="0"/>
              <w:rPr>
                <w:rFonts w:ascii="Arial" w:eastAsia="Arial" w:hAnsi="Arial" w:cs="Arial"/>
                <w:b/>
                <w:sz w:val="22"/>
                <w:szCs w:val="22"/>
              </w:rPr>
            </w:pPr>
            <w:r w:rsidRPr="004B51FE">
              <w:rPr>
                <w:rFonts w:ascii="Arial" w:eastAsia="Arial" w:hAnsi="Arial" w:cs="Arial"/>
                <w:b/>
                <w:sz w:val="22"/>
                <w:szCs w:val="22"/>
              </w:rPr>
              <w:t>2021</w:t>
            </w:r>
          </w:p>
        </w:tc>
        <w:tc>
          <w:tcPr>
            <w:tcW w:w="794" w:type="dxa"/>
            <w:vAlign w:val="center"/>
          </w:tcPr>
          <w:p w:rsidR="00723180" w:rsidRPr="004B51FE" w:rsidRDefault="009D1A73" w:rsidP="004B51FE">
            <w:pPr>
              <w:spacing w:before="120" w:after="120"/>
              <w:contextualSpacing w:val="0"/>
              <w:jc w:val="right"/>
              <w:cnfStyle w:val="100000000000" w:firstRow="1" w:lastRow="0" w:firstColumn="0" w:lastColumn="0" w:oddVBand="0" w:evenVBand="0" w:oddHBand="0" w:evenHBand="0" w:firstRowFirstColumn="0" w:firstRowLastColumn="0" w:lastRowFirstColumn="0" w:lastRowLastColumn="0"/>
              <w:rPr>
                <w:rFonts w:ascii="Arial" w:eastAsia="Arial" w:hAnsi="Arial" w:cs="Arial"/>
                <w:b/>
                <w:sz w:val="22"/>
                <w:szCs w:val="22"/>
              </w:rPr>
            </w:pPr>
            <w:r w:rsidRPr="004B51FE">
              <w:rPr>
                <w:rFonts w:ascii="Arial" w:eastAsia="Arial" w:hAnsi="Arial" w:cs="Arial"/>
                <w:b/>
                <w:sz w:val="22"/>
                <w:szCs w:val="22"/>
              </w:rPr>
              <w:t>2022</w:t>
            </w:r>
          </w:p>
        </w:tc>
        <w:tc>
          <w:tcPr>
            <w:tcW w:w="794" w:type="dxa"/>
            <w:vAlign w:val="center"/>
          </w:tcPr>
          <w:p w:rsidR="00723180" w:rsidRPr="004B51FE" w:rsidRDefault="009D1A73" w:rsidP="004B51FE">
            <w:pPr>
              <w:spacing w:before="120" w:after="120"/>
              <w:contextualSpacing w:val="0"/>
              <w:jc w:val="right"/>
              <w:cnfStyle w:val="100000000000" w:firstRow="1" w:lastRow="0" w:firstColumn="0" w:lastColumn="0" w:oddVBand="0" w:evenVBand="0" w:oddHBand="0" w:evenHBand="0" w:firstRowFirstColumn="0" w:firstRowLastColumn="0" w:lastRowFirstColumn="0" w:lastRowLastColumn="0"/>
              <w:rPr>
                <w:rFonts w:ascii="Arial" w:eastAsia="Arial" w:hAnsi="Arial" w:cs="Arial"/>
                <w:b/>
                <w:sz w:val="22"/>
                <w:szCs w:val="22"/>
              </w:rPr>
            </w:pPr>
            <w:r w:rsidRPr="004B51FE">
              <w:rPr>
                <w:rFonts w:ascii="Arial" w:eastAsia="Arial" w:hAnsi="Arial" w:cs="Arial"/>
                <w:b/>
                <w:sz w:val="22"/>
                <w:szCs w:val="22"/>
              </w:rPr>
              <w:t>2023</w:t>
            </w:r>
          </w:p>
        </w:tc>
        <w:tc>
          <w:tcPr>
            <w:tcW w:w="794" w:type="dxa"/>
            <w:vAlign w:val="center"/>
          </w:tcPr>
          <w:p w:rsidR="00723180" w:rsidRPr="004B51FE" w:rsidRDefault="009D1A73" w:rsidP="004B51FE">
            <w:pPr>
              <w:spacing w:before="120" w:after="120"/>
              <w:contextualSpacing w:val="0"/>
              <w:jc w:val="right"/>
              <w:cnfStyle w:val="100000000000" w:firstRow="1" w:lastRow="0" w:firstColumn="0" w:lastColumn="0" w:oddVBand="0" w:evenVBand="0" w:oddHBand="0" w:evenHBand="0" w:firstRowFirstColumn="0" w:firstRowLastColumn="0" w:lastRowFirstColumn="0" w:lastRowLastColumn="0"/>
              <w:rPr>
                <w:rFonts w:ascii="Arial" w:eastAsia="Arial" w:hAnsi="Arial" w:cs="Arial"/>
                <w:b/>
                <w:sz w:val="22"/>
                <w:szCs w:val="22"/>
              </w:rPr>
            </w:pPr>
            <w:r w:rsidRPr="004B51FE">
              <w:rPr>
                <w:rFonts w:ascii="Arial" w:eastAsia="Arial" w:hAnsi="Arial" w:cs="Arial"/>
                <w:b/>
                <w:sz w:val="22"/>
                <w:szCs w:val="22"/>
              </w:rPr>
              <w:t>2024</w:t>
            </w:r>
          </w:p>
        </w:tc>
        <w:tc>
          <w:tcPr>
            <w:tcW w:w="1020" w:type="dxa"/>
            <w:vAlign w:val="center"/>
          </w:tcPr>
          <w:p w:rsidR="00723180" w:rsidRPr="004B51FE" w:rsidRDefault="009D1A73" w:rsidP="004B51FE">
            <w:pPr>
              <w:spacing w:before="120" w:after="120"/>
              <w:contextualSpacing w:val="0"/>
              <w:jc w:val="right"/>
              <w:cnfStyle w:val="100000000000" w:firstRow="1" w:lastRow="0" w:firstColumn="0" w:lastColumn="0" w:oddVBand="0" w:evenVBand="0" w:oddHBand="0" w:evenHBand="0" w:firstRowFirstColumn="0" w:firstRowLastColumn="0" w:lastRowFirstColumn="0" w:lastRowLastColumn="0"/>
              <w:rPr>
                <w:rFonts w:ascii="Arial" w:eastAsia="Arial" w:hAnsi="Arial" w:cs="Arial"/>
                <w:b/>
                <w:sz w:val="22"/>
                <w:szCs w:val="22"/>
              </w:rPr>
            </w:pPr>
            <w:r w:rsidRPr="004B51FE">
              <w:rPr>
                <w:rFonts w:ascii="Arial" w:eastAsia="Arial" w:hAnsi="Arial" w:cs="Arial"/>
                <w:b/>
                <w:sz w:val="22"/>
                <w:szCs w:val="22"/>
              </w:rPr>
              <w:t>Celkem</w:t>
            </w:r>
          </w:p>
        </w:tc>
      </w:tr>
      <w:tr w:rsidR="00723180" w:rsidTr="00723180">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3855" w:type="dxa"/>
            <w:vAlign w:val="center"/>
          </w:tcPr>
          <w:p w:rsidR="00723180" w:rsidRPr="004B51FE" w:rsidRDefault="009D1A73" w:rsidP="004B51FE">
            <w:pPr>
              <w:spacing w:before="120" w:after="120"/>
              <w:contextualSpacing w:val="0"/>
              <w:rPr>
                <w:rFonts w:ascii="Arial" w:eastAsia="Arial" w:hAnsi="Arial" w:cs="Arial"/>
                <w:b/>
                <w:sz w:val="22"/>
                <w:szCs w:val="22"/>
              </w:rPr>
            </w:pPr>
            <w:r w:rsidRPr="004B51FE">
              <w:rPr>
                <w:rFonts w:ascii="Arial" w:eastAsia="Arial" w:hAnsi="Arial" w:cs="Arial"/>
                <w:b/>
                <w:sz w:val="22"/>
                <w:szCs w:val="22"/>
              </w:rPr>
              <w:t>Celkové výdaje</w:t>
            </w:r>
          </w:p>
        </w:tc>
        <w:tc>
          <w:tcPr>
            <w:tcW w:w="794" w:type="dxa"/>
            <w:vAlign w:val="center"/>
          </w:tcPr>
          <w:p w:rsidR="00723180" w:rsidRPr="004B51FE" w:rsidRDefault="009D1A73" w:rsidP="004B51FE">
            <w:pPr>
              <w:spacing w:before="120" w:after="120"/>
              <w:contextualSpacing w:val="0"/>
              <w:jc w:val="right"/>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sidRPr="004B51FE">
              <w:rPr>
                <w:rFonts w:ascii="Arial" w:eastAsia="Arial" w:hAnsi="Arial" w:cs="Arial"/>
                <w:sz w:val="22"/>
                <w:szCs w:val="22"/>
              </w:rPr>
              <w:t>150</w:t>
            </w:r>
          </w:p>
        </w:tc>
        <w:tc>
          <w:tcPr>
            <w:tcW w:w="794" w:type="dxa"/>
            <w:vAlign w:val="center"/>
          </w:tcPr>
          <w:p w:rsidR="00723180" w:rsidRPr="004B51FE" w:rsidRDefault="009D1A73" w:rsidP="004B51FE">
            <w:pPr>
              <w:spacing w:before="120" w:after="120"/>
              <w:contextualSpacing w:val="0"/>
              <w:jc w:val="right"/>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sidRPr="004B51FE">
              <w:rPr>
                <w:rFonts w:ascii="Arial" w:eastAsia="Arial" w:hAnsi="Arial" w:cs="Arial"/>
                <w:sz w:val="22"/>
                <w:szCs w:val="22"/>
              </w:rPr>
              <w:t>230</w:t>
            </w:r>
          </w:p>
        </w:tc>
        <w:tc>
          <w:tcPr>
            <w:tcW w:w="794" w:type="dxa"/>
            <w:vAlign w:val="center"/>
          </w:tcPr>
          <w:p w:rsidR="00723180" w:rsidRPr="004B51FE" w:rsidRDefault="009D1A73" w:rsidP="004B51FE">
            <w:pPr>
              <w:spacing w:before="120" w:after="120"/>
              <w:contextualSpacing w:val="0"/>
              <w:jc w:val="right"/>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sidRPr="004B51FE">
              <w:rPr>
                <w:rFonts w:ascii="Arial" w:eastAsia="Arial" w:hAnsi="Arial" w:cs="Arial"/>
                <w:sz w:val="22"/>
                <w:szCs w:val="22"/>
              </w:rPr>
              <w:t>230</w:t>
            </w:r>
          </w:p>
        </w:tc>
        <w:tc>
          <w:tcPr>
            <w:tcW w:w="794" w:type="dxa"/>
            <w:vAlign w:val="center"/>
          </w:tcPr>
          <w:p w:rsidR="00723180" w:rsidRPr="004B51FE" w:rsidRDefault="009D1A73" w:rsidP="004B51FE">
            <w:pPr>
              <w:spacing w:before="120" w:after="120"/>
              <w:contextualSpacing w:val="0"/>
              <w:jc w:val="right"/>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sidRPr="004B51FE">
              <w:rPr>
                <w:rFonts w:ascii="Arial" w:eastAsia="Arial" w:hAnsi="Arial" w:cs="Arial"/>
                <w:sz w:val="22"/>
                <w:szCs w:val="22"/>
              </w:rPr>
              <w:t>230</w:t>
            </w:r>
          </w:p>
        </w:tc>
        <w:tc>
          <w:tcPr>
            <w:tcW w:w="794" w:type="dxa"/>
            <w:vAlign w:val="center"/>
          </w:tcPr>
          <w:p w:rsidR="00723180" w:rsidRPr="004B51FE" w:rsidRDefault="009D1A73" w:rsidP="004B51FE">
            <w:pPr>
              <w:spacing w:before="120" w:after="120"/>
              <w:ind w:right="-21"/>
              <w:contextualSpacing w:val="0"/>
              <w:jc w:val="right"/>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sidRPr="004B51FE">
              <w:rPr>
                <w:rFonts w:ascii="Arial" w:eastAsia="Arial" w:hAnsi="Arial" w:cs="Arial"/>
                <w:sz w:val="22"/>
                <w:szCs w:val="22"/>
              </w:rPr>
              <w:t>230</w:t>
            </w:r>
          </w:p>
        </w:tc>
        <w:tc>
          <w:tcPr>
            <w:tcW w:w="794" w:type="dxa"/>
            <w:vAlign w:val="center"/>
          </w:tcPr>
          <w:p w:rsidR="00723180" w:rsidRPr="004B51FE" w:rsidRDefault="009D1A73" w:rsidP="004B51FE">
            <w:pPr>
              <w:spacing w:before="120" w:after="120"/>
              <w:contextualSpacing w:val="0"/>
              <w:jc w:val="right"/>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bookmarkStart w:id="1" w:name="_gjdgxs" w:colFirst="0" w:colLast="0"/>
            <w:bookmarkEnd w:id="1"/>
            <w:r w:rsidRPr="004B51FE">
              <w:rPr>
                <w:rFonts w:ascii="Arial" w:eastAsia="Arial" w:hAnsi="Arial" w:cs="Arial"/>
                <w:sz w:val="22"/>
                <w:szCs w:val="22"/>
              </w:rPr>
              <w:t>55</w:t>
            </w:r>
          </w:p>
        </w:tc>
        <w:tc>
          <w:tcPr>
            <w:tcW w:w="1020" w:type="dxa"/>
            <w:vAlign w:val="center"/>
          </w:tcPr>
          <w:p w:rsidR="00723180" w:rsidRPr="004B51FE" w:rsidRDefault="009D1A73" w:rsidP="004B51FE">
            <w:pPr>
              <w:spacing w:before="120" w:after="120"/>
              <w:contextualSpacing w:val="0"/>
              <w:jc w:val="right"/>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sidRPr="004B51FE">
              <w:rPr>
                <w:rFonts w:ascii="Arial" w:eastAsia="Arial" w:hAnsi="Arial" w:cs="Arial"/>
                <w:sz w:val="22"/>
                <w:szCs w:val="22"/>
              </w:rPr>
              <w:t>1 125</w:t>
            </w:r>
          </w:p>
        </w:tc>
      </w:tr>
      <w:tr w:rsidR="00723180" w:rsidTr="00723180">
        <w:trPr>
          <w:cnfStyle w:val="000000010000" w:firstRow="0" w:lastRow="0" w:firstColumn="0" w:lastColumn="0" w:oddVBand="0" w:evenVBand="0" w:oddHBand="0" w:evenHBand="1"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3855" w:type="dxa"/>
            <w:vAlign w:val="center"/>
          </w:tcPr>
          <w:p w:rsidR="00723180" w:rsidRPr="004B51FE" w:rsidRDefault="009D1A73" w:rsidP="004B51FE">
            <w:pPr>
              <w:spacing w:before="120" w:after="120"/>
              <w:contextualSpacing w:val="0"/>
              <w:rPr>
                <w:rFonts w:ascii="Arial" w:eastAsia="Arial" w:hAnsi="Arial" w:cs="Arial"/>
                <w:b/>
                <w:sz w:val="22"/>
                <w:szCs w:val="22"/>
              </w:rPr>
            </w:pPr>
            <w:r w:rsidRPr="004B51FE">
              <w:rPr>
                <w:rFonts w:ascii="Arial" w:eastAsia="Arial" w:hAnsi="Arial" w:cs="Arial"/>
                <w:b/>
                <w:sz w:val="22"/>
                <w:szCs w:val="22"/>
              </w:rPr>
              <w:t>Finanční mechanismy EHP a Norsko</w:t>
            </w:r>
          </w:p>
        </w:tc>
        <w:tc>
          <w:tcPr>
            <w:tcW w:w="794" w:type="dxa"/>
            <w:vAlign w:val="center"/>
          </w:tcPr>
          <w:p w:rsidR="00723180" w:rsidRPr="004B51FE" w:rsidRDefault="009D1A73" w:rsidP="004B51FE">
            <w:pPr>
              <w:spacing w:before="120" w:after="120"/>
              <w:contextualSpacing w:val="0"/>
              <w:jc w:val="right"/>
              <w:cnfStyle w:val="000000010000" w:firstRow="0" w:lastRow="0" w:firstColumn="0" w:lastColumn="0" w:oddVBand="0" w:evenVBand="0" w:oddHBand="0" w:evenHBand="1" w:firstRowFirstColumn="0" w:firstRowLastColumn="0" w:lastRowFirstColumn="0" w:lastRowLastColumn="0"/>
              <w:rPr>
                <w:rFonts w:ascii="Arial" w:eastAsia="Arial" w:hAnsi="Arial" w:cs="Arial"/>
                <w:sz w:val="22"/>
                <w:szCs w:val="22"/>
              </w:rPr>
            </w:pPr>
            <w:r w:rsidRPr="004B51FE">
              <w:rPr>
                <w:rFonts w:ascii="Arial" w:eastAsia="Arial" w:hAnsi="Arial" w:cs="Arial"/>
                <w:sz w:val="22"/>
                <w:szCs w:val="22"/>
              </w:rPr>
              <w:t>102</w:t>
            </w:r>
          </w:p>
        </w:tc>
        <w:tc>
          <w:tcPr>
            <w:tcW w:w="794" w:type="dxa"/>
            <w:vAlign w:val="center"/>
          </w:tcPr>
          <w:p w:rsidR="00723180" w:rsidRPr="004B51FE" w:rsidRDefault="009D1A73" w:rsidP="004B51FE">
            <w:pPr>
              <w:spacing w:before="120" w:after="120"/>
              <w:contextualSpacing w:val="0"/>
              <w:jc w:val="right"/>
              <w:cnfStyle w:val="000000010000" w:firstRow="0" w:lastRow="0" w:firstColumn="0" w:lastColumn="0" w:oddVBand="0" w:evenVBand="0" w:oddHBand="0" w:evenHBand="1" w:firstRowFirstColumn="0" w:firstRowLastColumn="0" w:lastRowFirstColumn="0" w:lastRowLastColumn="0"/>
              <w:rPr>
                <w:rFonts w:ascii="Arial" w:eastAsia="Arial" w:hAnsi="Arial" w:cs="Arial"/>
                <w:sz w:val="22"/>
                <w:szCs w:val="22"/>
              </w:rPr>
            </w:pPr>
            <w:r w:rsidRPr="004B51FE">
              <w:rPr>
                <w:rFonts w:ascii="Arial" w:eastAsia="Arial" w:hAnsi="Arial" w:cs="Arial"/>
                <w:sz w:val="22"/>
                <w:szCs w:val="22"/>
              </w:rPr>
              <w:t>156,4</w:t>
            </w:r>
          </w:p>
        </w:tc>
        <w:tc>
          <w:tcPr>
            <w:tcW w:w="794" w:type="dxa"/>
            <w:vAlign w:val="center"/>
          </w:tcPr>
          <w:p w:rsidR="00723180" w:rsidRPr="004B51FE" w:rsidRDefault="009D1A73" w:rsidP="004B51FE">
            <w:pPr>
              <w:spacing w:before="120" w:after="120"/>
              <w:contextualSpacing w:val="0"/>
              <w:jc w:val="right"/>
              <w:cnfStyle w:val="000000010000" w:firstRow="0" w:lastRow="0" w:firstColumn="0" w:lastColumn="0" w:oddVBand="0" w:evenVBand="0" w:oddHBand="0" w:evenHBand="1" w:firstRowFirstColumn="0" w:firstRowLastColumn="0" w:lastRowFirstColumn="0" w:lastRowLastColumn="0"/>
              <w:rPr>
                <w:rFonts w:ascii="Arial" w:eastAsia="Arial" w:hAnsi="Arial" w:cs="Arial"/>
                <w:sz w:val="22"/>
                <w:szCs w:val="22"/>
              </w:rPr>
            </w:pPr>
            <w:r w:rsidRPr="004B51FE">
              <w:rPr>
                <w:rFonts w:ascii="Arial" w:eastAsia="Arial" w:hAnsi="Arial" w:cs="Arial"/>
                <w:sz w:val="22"/>
                <w:szCs w:val="22"/>
              </w:rPr>
              <w:t>156,4</w:t>
            </w:r>
          </w:p>
        </w:tc>
        <w:tc>
          <w:tcPr>
            <w:tcW w:w="794" w:type="dxa"/>
            <w:vAlign w:val="center"/>
          </w:tcPr>
          <w:p w:rsidR="00723180" w:rsidRPr="004B51FE" w:rsidRDefault="009D1A73" w:rsidP="004B51FE">
            <w:pPr>
              <w:spacing w:before="120" w:after="120"/>
              <w:contextualSpacing w:val="0"/>
              <w:jc w:val="right"/>
              <w:cnfStyle w:val="000000010000" w:firstRow="0" w:lastRow="0" w:firstColumn="0" w:lastColumn="0" w:oddVBand="0" w:evenVBand="0" w:oddHBand="0" w:evenHBand="1" w:firstRowFirstColumn="0" w:firstRowLastColumn="0" w:lastRowFirstColumn="0" w:lastRowLastColumn="0"/>
              <w:rPr>
                <w:rFonts w:ascii="Arial" w:eastAsia="Arial" w:hAnsi="Arial" w:cs="Arial"/>
                <w:sz w:val="22"/>
                <w:szCs w:val="22"/>
              </w:rPr>
            </w:pPr>
            <w:r w:rsidRPr="004B51FE">
              <w:rPr>
                <w:rFonts w:ascii="Arial" w:eastAsia="Arial" w:hAnsi="Arial" w:cs="Arial"/>
                <w:sz w:val="22"/>
                <w:szCs w:val="22"/>
              </w:rPr>
              <w:t>156,4</w:t>
            </w:r>
          </w:p>
        </w:tc>
        <w:tc>
          <w:tcPr>
            <w:tcW w:w="794" w:type="dxa"/>
            <w:vAlign w:val="center"/>
          </w:tcPr>
          <w:p w:rsidR="00723180" w:rsidRPr="004B51FE" w:rsidRDefault="009D1A73" w:rsidP="004B51FE">
            <w:pPr>
              <w:spacing w:before="120" w:after="120"/>
              <w:ind w:right="-21"/>
              <w:contextualSpacing w:val="0"/>
              <w:jc w:val="right"/>
              <w:cnfStyle w:val="000000010000" w:firstRow="0" w:lastRow="0" w:firstColumn="0" w:lastColumn="0" w:oddVBand="0" w:evenVBand="0" w:oddHBand="0" w:evenHBand="1" w:firstRowFirstColumn="0" w:firstRowLastColumn="0" w:lastRowFirstColumn="0" w:lastRowLastColumn="0"/>
              <w:rPr>
                <w:rFonts w:ascii="Arial" w:eastAsia="Arial" w:hAnsi="Arial" w:cs="Arial"/>
                <w:sz w:val="22"/>
                <w:szCs w:val="22"/>
              </w:rPr>
            </w:pPr>
            <w:r w:rsidRPr="004B51FE">
              <w:rPr>
                <w:rFonts w:ascii="Arial" w:eastAsia="Arial" w:hAnsi="Arial" w:cs="Arial"/>
                <w:sz w:val="22"/>
                <w:szCs w:val="22"/>
              </w:rPr>
              <w:t>156,4</w:t>
            </w:r>
          </w:p>
        </w:tc>
        <w:tc>
          <w:tcPr>
            <w:tcW w:w="794" w:type="dxa"/>
            <w:vAlign w:val="center"/>
          </w:tcPr>
          <w:p w:rsidR="00723180" w:rsidRPr="004B51FE" w:rsidRDefault="009D1A73" w:rsidP="004B51FE">
            <w:pPr>
              <w:spacing w:before="120" w:after="120"/>
              <w:contextualSpacing w:val="0"/>
              <w:jc w:val="right"/>
              <w:cnfStyle w:val="000000010000" w:firstRow="0" w:lastRow="0" w:firstColumn="0" w:lastColumn="0" w:oddVBand="0" w:evenVBand="0" w:oddHBand="0" w:evenHBand="1" w:firstRowFirstColumn="0" w:firstRowLastColumn="0" w:lastRowFirstColumn="0" w:lastRowLastColumn="0"/>
              <w:rPr>
                <w:rFonts w:ascii="Arial" w:eastAsia="Arial" w:hAnsi="Arial" w:cs="Arial"/>
                <w:sz w:val="22"/>
                <w:szCs w:val="22"/>
              </w:rPr>
            </w:pPr>
            <w:r w:rsidRPr="004B51FE">
              <w:rPr>
                <w:rFonts w:ascii="Arial" w:eastAsia="Arial" w:hAnsi="Arial" w:cs="Arial"/>
                <w:sz w:val="22"/>
                <w:szCs w:val="22"/>
              </w:rPr>
              <w:t>37,4</w:t>
            </w:r>
          </w:p>
        </w:tc>
        <w:tc>
          <w:tcPr>
            <w:tcW w:w="1020" w:type="dxa"/>
            <w:vAlign w:val="center"/>
          </w:tcPr>
          <w:p w:rsidR="00723180" w:rsidRPr="004B51FE" w:rsidRDefault="009D1A73" w:rsidP="004B51FE">
            <w:pPr>
              <w:spacing w:before="120" w:after="120"/>
              <w:contextualSpacing w:val="0"/>
              <w:jc w:val="right"/>
              <w:cnfStyle w:val="000000010000" w:firstRow="0" w:lastRow="0" w:firstColumn="0" w:lastColumn="0" w:oddVBand="0" w:evenVBand="0" w:oddHBand="0" w:evenHBand="1" w:firstRowFirstColumn="0" w:firstRowLastColumn="0" w:lastRowFirstColumn="0" w:lastRowLastColumn="0"/>
              <w:rPr>
                <w:rFonts w:ascii="Arial" w:eastAsia="Arial" w:hAnsi="Arial" w:cs="Arial"/>
                <w:sz w:val="22"/>
                <w:szCs w:val="22"/>
              </w:rPr>
            </w:pPr>
            <w:r w:rsidRPr="004B51FE">
              <w:rPr>
                <w:rFonts w:ascii="Arial" w:eastAsia="Arial" w:hAnsi="Arial" w:cs="Arial"/>
                <w:sz w:val="22"/>
                <w:szCs w:val="22"/>
              </w:rPr>
              <w:t>765</w:t>
            </w:r>
          </w:p>
        </w:tc>
      </w:tr>
      <w:tr w:rsidR="00723180" w:rsidTr="00723180">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3855" w:type="dxa"/>
            <w:vAlign w:val="center"/>
          </w:tcPr>
          <w:p w:rsidR="00723180" w:rsidRPr="004B51FE" w:rsidRDefault="009D1A73" w:rsidP="004B51FE">
            <w:pPr>
              <w:spacing w:before="120" w:after="120"/>
              <w:contextualSpacing w:val="0"/>
              <w:rPr>
                <w:rFonts w:ascii="Arial" w:eastAsia="Arial" w:hAnsi="Arial" w:cs="Arial"/>
                <w:b/>
                <w:sz w:val="22"/>
                <w:szCs w:val="22"/>
              </w:rPr>
            </w:pPr>
            <w:r w:rsidRPr="004B51FE">
              <w:rPr>
                <w:rFonts w:ascii="Arial" w:eastAsia="Arial" w:hAnsi="Arial" w:cs="Arial"/>
                <w:b/>
                <w:sz w:val="22"/>
                <w:szCs w:val="22"/>
              </w:rPr>
              <w:t>Výdaje státního rozpočtu</w:t>
            </w:r>
          </w:p>
        </w:tc>
        <w:tc>
          <w:tcPr>
            <w:tcW w:w="794" w:type="dxa"/>
            <w:vAlign w:val="center"/>
          </w:tcPr>
          <w:p w:rsidR="00723180" w:rsidRPr="004B51FE" w:rsidRDefault="009D1A73" w:rsidP="004B51FE">
            <w:pPr>
              <w:spacing w:before="120" w:after="120"/>
              <w:contextualSpacing w:val="0"/>
              <w:jc w:val="right"/>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sidRPr="004B51FE">
              <w:rPr>
                <w:rFonts w:ascii="Arial" w:eastAsia="Arial" w:hAnsi="Arial" w:cs="Arial"/>
                <w:sz w:val="22"/>
                <w:szCs w:val="22"/>
              </w:rPr>
              <w:t>18</w:t>
            </w:r>
          </w:p>
        </w:tc>
        <w:tc>
          <w:tcPr>
            <w:tcW w:w="794" w:type="dxa"/>
            <w:vAlign w:val="center"/>
          </w:tcPr>
          <w:p w:rsidR="00723180" w:rsidRPr="004B51FE" w:rsidRDefault="009D1A73" w:rsidP="004B51FE">
            <w:pPr>
              <w:spacing w:before="120" w:after="120"/>
              <w:contextualSpacing w:val="0"/>
              <w:jc w:val="right"/>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sidRPr="004B51FE">
              <w:rPr>
                <w:rFonts w:ascii="Arial" w:eastAsia="Arial" w:hAnsi="Arial" w:cs="Arial"/>
                <w:sz w:val="22"/>
                <w:szCs w:val="22"/>
              </w:rPr>
              <w:t>27,6</w:t>
            </w:r>
          </w:p>
        </w:tc>
        <w:tc>
          <w:tcPr>
            <w:tcW w:w="794" w:type="dxa"/>
            <w:vAlign w:val="center"/>
          </w:tcPr>
          <w:p w:rsidR="00723180" w:rsidRPr="004B51FE" w:rsidRDefault="009D1A73" w:rsidP="004B51FE">
            <w:pPr>
              <w:spacing w:before="120" w:after="120"/>
              <w:contextualSpacing w:val="0"/>
              <w:jc w:val="right"/>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sidRPr="004B51FE">
              <w:rPr>
                <w:rFonts w:ascii="Arial" w:eastAsia="Arial" w:hAnsi="Arial" w:cs="Arial"/>
                <w:sz w:val="22"/>
                <w:szCs w:val="22"/>
              </w:rPr>
              <w:t>27,6</w:t>
            </w:r>
          </w:p>
        </w:tc>
        <w:tc>
          <w:tcPr>
            <w:tcW w:w="794" w:type="dxa"/>
            <w:vAlign w:val="center"/>
          </w:tcPr>
          <w:p w:rsidR="00723180" w:rsidRPr="004B51FE" w:rsidRDefault="009D1A73" w:rsidP="004B51FE">
            <w:pPr>
              <w:spacing w:before="120" w:after="120"/>
              <w:contextualSpacing w:val="0"/>
              <w:jc w:val="right"/>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sidRPr="004B51FE">
              <w:rPr>
                <w:rFonts w:ascii="Arial" w:eastAsia="Arial" w:hAnsi="Arial" w:cs="Arial"/>
                <w:sz w:val="22"/>
                <w:szCs w:val="22"/>
              </w:rPr>
              <w:t>27,6</w:t>
            </w:r>
          </w:p>
        </w:tc>
        <w:tc>
          <w:tcPr>
            <w:tcW w:w="794" w:type="dxa"/>
            <w:vAlign w:val="center"/>
          </w:tcPr>
          <w:p w:rsidR="00723180" w:rsidRPr="004B51FE" w:rsidRDefault="009D1A73" w:rsidP="004B51FE">
            <w:pPr>
              <w:spacing w:before="120" w:after="120"/>
              <w:ind w:right="-21"/>
              <w:contextualSpacing w:val="0"/>
              <w:jc w:val="right"/>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sidRPr="004B51FE">
              <w:rPr>
                <w:rFonts w:ascii="Arial" w:eastAsia="Arial" w:hAnsi="Arial" w:cs="Arial"/>
                <w:sz w:val="22"/>
                <w:szCs w:val="22"/>
              </w:rPr>
              <w:t>27,6</w:t>
            </w:r>
          </w:p>
        </w:tc>
        <w:tc>
          <w:tcPr>
            <w:tcW w:w="794" w:type="dxa"/>
            <w:vAlign w:val="center"/>
          </w:tcPr>
          <w:p w:rsidR="00723180" w:rsidRPr="004B51FE" w:rsidRDefault="009D1A73" w:rsidP="004B51FE">
            <w:pPr>
              <w:spacing w:before="120" w:after="120"/>
              <w:contextualSpacing w:val="0"/>
              <w:jc w:val="right"/>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sidRPr="004B51FE">
              <w:rPr>
                <w:rFonts w:ascii="Arial" w:eastAsia="Arial" w:hAnsi="Arial" w:cs="Arial"/>
                <w:sz w:val="22"/>
                <w:szCs w:val="22"/>
              </w:rPr>
              <w:t>6,6</w:t>
            </w:r>
          </w:p>
        </w:tc>
        <w:tc>
          <w:tcPr>
            <w:tcW w:w="1020" w:type="dxa"/>
            <w:vAlign w:val="center"/>
          </w:tcPr>
          <w:p w:rsidR="00723180" w:rsidRPr="004B51FE" w:rsidRDefault="009D1A73" w:rsidP="004B51FE">
            <w:pPr>
              <w:spacing w:before="120" w:after="120"/>
              <w:contextualSpacing w:val="0"/>
              <w:jc w:val="right"/>
              <w:cnfStyle w:val="000000100000" w:firstRow="0" w:lastRow="0" w:firstColumn="0" w:lastColumn="0" w:oddVBand="0" w:evenVBand="0" w:oddHBand="1" w:evenHBand="0" w:firstRowFirstColumn="0" w:firstRowLastColumn="0" w:lastRowFirstColumn="0" w:lastRowLastColumn="0"/>
              <w:rPr>
                <w:rFonts w:ascii="Arial" w:eastAsia="Arial" w:hAnsi="Arial" w:cs="Arial"/>
                <w:sz w:val="22"/>
                <w:szCs w:val="22"/>
              </w:rPr>
            </w:pPr>
            <w:r w:rsidRPr="004B51FE">
              <w:rPr>
                <w:rFonts w:ascii="Arial" w:eastAsia="Arial" w:hAnsi="Arial" w:cs="Arial"/>
                <w:sz w:val="22"/>
                <w:szCs w:val="22"/>
              </w:rPr>
              <w:t>135</w:t>
            </w:r>
          </w:p>
        </w:tc>
      </w:tr>
      <w:tr w:rsidR="00723180" w:rsidTr="00723180">
        <w:trPr>
          <w:cnfStyle w:val="000000010000" w:firstRow="0" w:lastRow="0" w:firstColumn="0" w:lastColumn="0" w:oddVBand="0" w:evenVBand="0" w:oddHBand="0" w:evenHBand="1"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3855" w:type="dxa"/>
            <w:vAlign w:val="center"/>
          </w:tcPr>
          <w:p w:rsidR="00723180" w:rsidRPr="004B51FE" w:rsidRDefault="009D1A73" w:rsidP="004B51FE">
            <w:pPr>
              <w:spacing w:before="120" w:after="120"/>
              <w:contextualSpacing w:val="0"/>
              <w:rPr>
                <w:rFonts w:ascii="Arial" w:eastAsia="Arial" w:hAnsi="Arial" w:cs="Arial"/>
                <w:b/>
                <w:sz w:val="22"/>
                <w:szCs w:val="22"/>
              </w:rPr>
            </w:pPr>
            <w:r w:rsidRPr="004B51FE">
              <w:rPr>
                <w:rFonts w:ascii="Arial" w:eastAsia="Arial" w:hAnsi="Arial" w:cs="Arial"/>
                <w:b/>
                <w:sz w:val="22"/>
                <w:szCs w:val="22"/>
              </w:rPr>
              <w:t>Neveřejné zdroje</w:t>
            </w:r>
          </w:p>
        </w:tc>
        <w:tc>
          <w:tcPr>
            <w:tcW w:w="794" w:type="dxa"/>
            <w:vAlign w:val="center"/>
          </w:tcPr>
          <w:p w:rsidR="00723180" w:rsidRPr="004B51FE" w:rsidRDefault="009D1A73" w:rsidP="004B51FE">
            <w:pPr>
              <w:spacing w:before="120" w:after="120"/>
              <w:contextualSpacing w:val="0"/>
              <w:jc w:val="right"/>
              <w:cnfStyle w:val="000000010000" w:firstRow="0" w:lastRow="0" w:firstColumn="0" w:lastColumn="0" w:oddVBand="0" w:evenVBand="0" w:oddHBand="0" w:evenHBand="1" w:firstRowFirstColumn="0" w:firstRowLastColumn="0" w:lastRowFirstColumn="0" w:lastRowLastColumn="0"/>
              <w:rPr>
                <w:rFonts w:ascii="Arial" w:eastAsia="Arial" w:hAnsi="Arial" w:cs="Arial"/>
                <w:sz w:val="22"/>
                <w:szCs w:val="22"/>
              </w:rPr>
            </w:pPr>
            <w:r w:rsidRPr="004B51FE">
              <w:rPr>
                <w:rFonts w:ascii="Arial" w:eastAsia="Arial" w:hAnsi="Arial" w:cs="Arial"/>
                <w:sz w:val="22"/>
                <w:szCs w:val="22"/>
              </w:rPr>
              <w:t>30</w:t>
            </w:r>
          </w:p>
        </w:tc>
        <w:tc>
          <w:tcPr>
            <w:tcW w:w="794" w:type="dxa"/>
            <w:vAlign w:val="center"/>
          </w:tcPr>
          <w:p w:rsidR="00723180" w:rsidRPr="004B51FE" w:rsidRDefault="009D1A73" w:rsidP="004B51FE">
            <w:pPr>
              <w:spacing w:before="120" w:after="120"/>
              <w:contextualSpacing w:val="0"/>
              <w:jc w:val="right"/>
              <w:cnfStyle w:val="000000010000" w:firstRow="0" w:lastRow="0" w:firstColumn="0" w:lastColumn="0" w:oddVBand="0" w:evenVBand="0" w:oddHBand="0" w:evenHBand="1" w:firstRowFirstColumn="0" w:firstRowLastColumn="0" w:lastRowFirstColumn="0" w:lastRowLastColumn="0"/>
              <w:rPr>
                <w:rFonts w:ascii="Arial" w:eastAsia="Arial" w:hAnsi="Arial" w:cs="Arial"/>
                <w:sz w:val="22"/>
                <w:szCs w:val="22"/>
              </w:rPr>
            </w:pPr>
            <w:r w:rsidRPr="004B51FE">
              <w:rPr>
                <w:rFonts w:ascii="Arial" w:eastAsia="Arial" w:hAnsi="Arial" w:cs="Arial"/>
                <w:sz w:val="22"/>
                <w:szCs w:val="22"/>
              </w:rPr>
              <w:t>46</w:t>
            </w:r>
          </w:p>
        </w:tc>
        <w:tc>
          <w:tcPr>
            <w:tcW w:w="794" w:type="dxa"/>
            <w:vAlign w:val="center"/>
          </w:tcPr>
          <w:p w:rsidR="00723180" w:rsidRPr="004B51FE" w:rsidRDefault="009D1A73" w:rsidP="004B51FE">
            <w:pPr>
              <w:spacing w:before="120" w:after="120"/>
              <w:contextualSpacing w:val="0"/>
              <w:jc w:val="right"/>
              <w:cnfStyle w:val="000000010000" w:firstRow="0" w:lastRow="0" w:firstColumn="0" w:lastColumn="0" w:oddVBand="0" w:evenVBand="0" w:oddHBand="0" w:evenHBand="1" w:firstRowFirstColumn="0" w:firstRowLastColumn="0" w:lastRowFirstColumn="0" w:lastRowLastColumn="0"/>
              <w:rPr>
                <w:rFonts w:ascii="Arial" w:eastAsia="Arial" w:hAnsi="Arial" w:cs="Arial"/>
                <w:sz w:val="22"/>
                <w:szCs w:val="22"/>
              </w:rPr>
            </w:pPr>
            <w:r w:rsidRPr="004B51FE">
              <w:rPr>
                <w:rFonts w:ascii="Arial" w:eastAsia="Arial" w:hAnsi="Arial" w:cs="Arial"/>
                <w:sz w:val="22"/>
                <w:szCs w:val="22"/>
              </w:rPr>
              <w:t>46</w:t>
            </w:r>
          </w:p>
        </w:tc>
        <w:tc>
          <w:tcPr>
            <w:tcW w:w="794" w:type="dxa"/>
            <w:vAlign w:val="center"/>
          </w:tcPr>
          <w:p w:rsidR="00723180" w:rsidRPr="004B51FE" w:rsidRDefault="009D1A73" w:rsidP="004B51FE">
            <w:pPr>
              <w:spacing w:before="120" w:after="120"/>
              <w:contextualSpacing w:val="0"/>
              <w:jc w:val="right"/>
              <w:cnfStyle w:val="000000010000" w:firstRow="0" w:lastRow="0" w:firstColumn="0" w:lastColumn="0" w:oddVBand="0" w:evenVBand="0" w:oddHBand="0" w:evenHBand="1" w:firstRowFirstColumn="0" w:firstRowLastColumn="0" w:lastRowFirstColumn="0" w:lastRowLastColumn="0"/>
              <w:rPr>
                <w:rFonts w:ascii="Arial" w:eastAsia="Arial" w:hAnsi="Arial" w:cs="Arial"/>
                <w:sz w:val="22"/>
                <w:szCs w:val="22"/>
              </w:rPr>
            </w:pPr>
            <w:r w:rsidRPr="004B51FE">
              <w:rPr>
                <w:rFonts w:ascii="Arial" w:eastAsia="Arial" w:hAnsi="Arial" w:cs="Arial"/>
                <w:sz w:val="22"/>
                <w:szCs w:val="22"/>
              </w:rPr>
              <w:t>46</w:t>
            </w:r>
          </w:p>
        </w:tc>
        <w:tc>
          <w:tcPr>
            <w:tcW w:w="794" w:type="dxa"/>
            <w:vAlign w:val="center"/>
          </w:tcPr>
          <w:p w:rsidR="00723180" w:rsidRPr="004B51FE" w:rsidRDefault="009D1A73" w:rsidP="004B51FE">
            <w:pPr>
              <w:spacing w:before="120" w:after="120"/>
              <w:ind w:right="-21"/>
              <w:contextualSpacing w:val="0"/>
              <w:jc w:val="right"/>
              <w:cnfStyle w:val="000000010000" w:firstRow="0" w:lastRow="0" w:firstColumn="0" w:lastColumn="0" w:oddVBand="0" w:evenVBand="0" w:oddHBand="0" w:evenHBand="1" w:firstRowFirstColumn="0" w:firstRowLastColumn="0" w:lastRowFirstColumn="0" w:lastRowLastColumn="0"/>
              <w:rPr>
                <w:rFonts w:ascii="Arial" w:eastAsia="Arial" w:hAnsi="Arial" w:cs="Arial"/>
                <w:sz w:val="22"/>
                <w:szCs w:val="22"/>
              </w:rPr>
            </w:pPr>
            <w:r w:rsidRPr="004B51FE">
              <w:rPr>
                <w:rFonts w:ascii="Arial" w:eastAsia="Arial" w:hAnsi="Arial" w:cs="Arial"/>
                <w:sz w:val="22"/>
                <w:szCs w:val="22"/>
              </w:rPr>
              <w:t>46</w:t>
            </w:r>
          </w:p>
        </w:tc>
        <w:tc>
          <w:tcPr>
            <w:tcW w:w="794" w:type="dxa"/>
            <w:vAlign w:val="center"/>
          </w:tcPr>
          <w:p w:rsidR="00723180" w:rsidRPr="004B51FE" w:rsidRDefault="009D1A73" w:rsidP="004B51FE">
            <w:pPr>
              <w:spacing w:before="120" w:after="120"/>
              <w:contextualSpacing w:val="0"/>
              <w:jc w:val="right"/>
              <w:cnfStyle w:val="000000010000" w:firstRow="0" w:lastRow="0" w:firstColumn="0" w:lastColumn="0" w:oddVBand="0" w:evenVBand="0" w:oddHBand="0" w:evenHBand="1" w:firstRowFirstColumn="0" w:firstRowLastColumn="0" w:lastRowFirstColumn="0" w:lastRowLastColumn="0"/>
              <w:rPr>
                <w:rFonts w:ascii="Arial" w:eastAsia="Arial" w:hAnsi="Arial" w:cs="Arial"/>
                <w:sz w:val="22"/>
                <w:szCs w:val="22"/>
              </w:rPr>
            </w:pPr>
            <w:r w:rsidRPr="004B51FE">
              <w:rPr>
                <w:rFonts w:ascii="Arial" w:eastAsia="Arial" w:hAnsi="Arial" w:cs="Arial"/>
                <w:sz w:val="22"/>
                <w:szCs w:val="22"/>
              </w:rPr>
              <w:t>11</w:t>
            </w:r>
          </w:p>
        </w:tc>
        <w:tc>
          <w:tcPr>
            <w:tcW w:w="1020" w:type="dxa"/>
            <w:vAlign w:val="center"/>
          </w:tcPr>
          <w:p w:rsidR="00723180" w:rsidRPr="004B51FE" w:rsidRDefault="009D1A73" w:rsidP="004B51FE">
            <w:pPr>
              <w:spacing w:before="120" w:after="120"/>
              <w:contextualSpacing w:val="0"/>
              <w:jc w:val="right"/>
              <w:cnfStyle w:val="000000010000" w:firstRow="0" w:lastRow="0" w:firstColumn="0" w:lastColumn="0" w:oddVBand="0" w:evenVBand="0" w:oddHBand="0" w:evenHBand="1" w:firstRowFirstColumn="0" w:firstRowLastColumn="0" w:lastRowFirstColumn="0" w:lastRowLastColumn="0"/>
              <w:rPr>
                <w:rFonts w:ascii="Arial" w:eastAsia="Arial" w:hAnsi="Arial" w:cs="Arial"/>
                <w:sz w:val="22"/>
                <w:szCs w:val="22"/>
              </w:rPr>
            </w:pPr>
            <w:r w:rsidRPr="004B51FE">
              <w:rPr>
                <w:rFonts w:ascii="Arial" w:eastAsia="Arial" w:hAnsi="Arial" w:cs="Arial"/>
                <w:sz w:val="22"/>
                <w:szCs w:val="22"/>
              </w:rPr>
              <w:t>225</w:t>
            </w:r>
          </w:p>
        </w:tc>
      </w:tr>
    </w:tbl>
    <w:p w:rsidR="00723180" w:rsidRDefault="009D1A73">
      <w:pPr>
        <w:spacing w:before="120" w:after="120"/>
        <w:jc w:val="both"/>
        <w:rPr>
          <w:rFonts w:ascii="Arial" w:eastAsia="Arial" w:hAnsi="Arial" w:cs="Arial"/>
          <w:sz w:val="22"/>
          <w:szCs w:val="22"/>
        </w:rPr>
      </w:pPr>
      <w:r>
        <w:rPr>
          <w:rFonts w:ascii="Arial" w:eastAsia="Arial" w:hAnsi="Arial" w:cs="Arial"/>
          <w:sz w:val="22"/>
          <w:szCs w:val="22"/>
        </w:rPr>
        <w:t>Podpora bude poskytována formou dotace právnickým nebo fyzickým osobám nebo zvýšením výdajů organizačních složek státu, organizačních složek územních samosprávných celků nebo organizačních jednotek ministerstev.</w:t>
      </w:r>
    </w:p>
    <w:p w:rsidR="00723180" w:rsidRDefault="009D1A73">
      <w:pPr>
        <w:spacing w:before="120" w:after="120"/>
        <w:jc w:val="both"/>
        <w:rPr>
          <w:rFonts w:ascii="Arial" w:eastAsia="Arial" w:hAnsi="Arial" w:cs="Arial"/>
          <w:sz w:val="22"/>
          <w:szCs w:val="22"/>
        </w:rPr>
      </w:pPr>
      <w:r>
        <w:rPr>
          <w:rFonts w:ascii="Arial" w:eastAsia="Arial" w:hAnsi="Arial" w:cs="Arial"/>
          <w:sz w:val="22"/>
          <w:szCs w:val="22"/>
        </w:rPr>
        <w:lastRenderedPageBreak/>
        <w:t xml:space="preserve">Celkové výdaje na jednotlivé projekty a podniky jsou uvažovány dle čl. 4 Nařízení Komise (EU) </w:t>
      </w:r>
      <w:r w:rsidR="00FA686C">
        <w:rPr>
          <w:rFonts w:ascii="Arial" w:eastAsia="Arial" w:hAnsi="Arial" w:cs="Arial"/>
          <w:sz w:val="22"/>
          <w:szCs w:val="22"/>
        </w:rPr>
        <w:br/>
      </w:r>
      <w:r>
        <w:rPr>
          <w:rFonts w:ascii="Arial" w:eastAsia="Arial" w:hAnsi="Arial" w:cs="Arial"/>
          <w:sz w:val="22"/>
          <w:szCs w:val="22"/>
        </w:rPr>
        <w:t>č. 651/2014 ze dne 17. června 2014, kterým se v souladu s články 107 a 108 Smlouvy prohlašují určité kategorie podpory za slučitelné s vnitřním trhem, tzv. obecného nařízení o blokových výjimkách.</w:t>
      </w:r>
    </w:p>
    <w:p w:rsidR="00723180" w:rsidRDefault="009D1A73">
      <w:pPr>
        <w:pStyle w:val="Nadpis1"/>
        <w:numPr>
          <w:ilvl w:val="0"/>
          <w:numId w:val="5"/>
        </w:numPr>
      </w:pPr>
      <w:r>
        <w:t>INTENZITA PODPORY</w:t>
      </w:r>
    </w:p>
    <w:p w:rsidR="00723180" w:rsidRDefault="009D1A73">
      <w:pPr>
        <w:spacing w:before="120" w:after="120"/>
        <w:jc w:val="both"/>
      </w:pPr>
      <w:r>
        <w:rPr>
          <w:rFonts w:ascii="Arial" w:eastAsia="Arial" w:hAnsi="Arial" w:cs="Arial"/>
          <w:sz w:val="22"/>
          <w:szCs w:val="22"/>
        </w:rPr>
        <w:t xml:space="preserve">Předpokládaná průměrná intenzita podpory na program je 80 %. Intenzita podpory, stanovená jako procento uznaných nákladů projektu, bude vypočtena pro každý projekt i pro každého příjemce </w:t>
      </w:r>
      <w:r w:rsidR="007264C7">
        <w:rPr>
          <w:rFonts w:ascii="Arial" w:eastAsia="Arial" w:hAnsi="Arial" w:cs="Arial"/>
          <w:sz w:val="22"/>
          <w:szCs w:val="22"/>
        </w:rPr>
        <w:br/>
      </w:r>
      <w:r>
        <w:rPr>
          <w:rFonts w:ascii="Arial" w:eastAsia="Arial" w:hAnsi="Arial" w:cs="Arial"/>
          <w:sz w:val="22"/>
          <w:szCs w:val="22"/>
        </w:rPr>
        <w:t>a dalšího účastníka samostatně s tím, že pokud bude podpora poskytována podnikům dle Nařízení, musí být respektovány v něm uvedené maximální stropy intenzity podpory.</w:t>
      </w:r>
    </w:p>
    <w:p w:rsidR="00723180" w:rsidRDefault="009D1A73">
      <w:pPr>
        <w:spacing w:before="120" w:after="120"/>
        <w:jc w:val="both"/>
        <w:rPr>
          <w:rFonts w:ascii="Arial" w:eastAsia="Arial" w:hAnsi="Arial" w:cs="Arial"/>
          <w:sz w:val="22"/>
          <w:szCs w:val="22"/>
        </w:rPr>
      </w:pPr>
      <w:r>
        <w:rPr>
          <w:rFonts w:ascii="Arial" w:eastAsia="Arial" w:hAnsi="Arial" w:cs="Arial"/>
          <w:sz w:val="22"/>
          <w:szCs w:val="22"/>
        </w:rPr>
        <w:t>Nejvyšší povolené intenzity podpory pro průmyslový výzkum, experimentální vývoj a inovace a jednotlivé kategorie účastníků jsou uvedeny v následující tabulce:</w:t>
      </w:r>
    </w:p>
    <w:p w:rsidR="00723180" w:rsidRDefault="009D1A73">
      <w:pPr>
        <w:spacing w:before="120" w:after="120"/>
        <w:jc w:val="both"/>
      </w:pPr>
      <w:r>
        <w:rPr>
          <w:rFonts w:ascii="Arial" w:eastAsia="Arial" w:hAnsi="Arial" w:cs="Arial"/>
          <w:b/>
          <w:sz w:val="22"/>
          <w:szCs w:val="22"/>
        </w:rPr>
        <w:t>Tabulka č. 13.1: Maximální intenzita podpory pro jednotlivé kategorie činností a jednotlivé kategorie účastníků dle Nařízení</w:t>
      </w:r>
    </w:p>
    <w:tbl>
      <w:tblPr>
        <w:tblStyle w:val="a1"/>
        <w:tblW w:w="9878" w:type="dxa"/>
        <w:tblInd w:w="0" w:type="dxa"/>
        <w:tblLayout w:type="fixed"/>
        <w:tblLook w:val="0400" w:firstRow="0" w:lastRow="0" w:firstColumn="0" w:lastColumn="0" w:noHBand="0" w:noVBand="1"/>
      </w:tblPr>
      <w:tblGrid>
        <w:gridCol w:w="3584"/>
        <w:gridCol w:w="1319"/>
        <w:gridCol w:w="1455"/>
        <w:gridCol w:w="1343"/>
        <w:gridCol w:w="2177"/>
      </w:tblGrid>
      <w:tr w:rsidR="00723180">
        <w:trPr>
          <w:trHeight w:val="340"/>
        </w:trPr>
        <w:tc>
          <w:tcPr>
            <w:tcW w:w="3584" w:type="dxa"/>
            <w:tcBorders>
              <w:bottom w:val="single" w:sz="4" w:space="0" w:color="000000"/>
              <w:right w:val="single" w:sz="4" w:space="0" w:color="000000"/>
            </w:tcBorders>
            <w:tcMar>
              <w:top w:w="0" w:type="dxa"/>
              <w:left w:w="120" w:type="dxa"/>
              <w:bottom w:w="0" w:type="dxa"/>
              <w:right w:w="120" w:type="dxa"/>
            </w:tcMar>
            <w:vAlign w:val="center"/>
          </w:tcPr>
          <w:p w:rsidR="00723180" w:rsidRDefault="00723180">
            <w:pPr>
              <w:spacing w:before="120" w:after="120"/>
              <w:jc w:val="both"/>
              <w:rPr>
                <w:rFonts w:ascii="Arial" w:eastAsia="Arial" w:hAnsi="Arial" w:cs="Arial"/>
                <w:sz w:val="22"/>
                <w:szCs w:val="22"/>
              </w:rPr>
            </w:pPr>
          </w:p>
        </w:tc>
        <w:tc>
          <w:tcPr>
            <w:tcW w:w="6294" w:type="dxa"/>
            <w:gridSpan w:val="4"/>
            <w:tcBorders>
              <w:top w:val="single" w:sz="6" w:space="0" w:color="000000"/>
              <w:left w:val="single" w:sz="4" w:space="0" w:color="000000"/>
              <w:bottom w:val="single" w:sz="6" w:space="0" w:color="000000"/>
              <w:right w:val="single" w:sz="6" w:space="0" w:color="000000"/>
            </w:tcBorders>
            <w:shd w:val="clear" w:color="auto" w:fill="D9D9D9"/>
            <w:tcMar>
              <w:top w:w="0" w:type="dxa"/>
              <w:left w:w="120" w:type="dxa"/>
              <w:bottom w:w="0" w:type="dxa"/>
              <w:right w:w="120" w:type="dxa"/>
            </w:tcMar>
            <w:vAlign w:val="center"/>
          </w:tcPr>
          <w:p w:rsidR="00723180" w:rsidRDefault="009D1A73">
            <w:pPr>
              <w:spacing w:before="120" w:after="120"/>
              <w:jc w:val="center"/>
            </w:pPr>
            <w:r>
              <w:rPr>
                <w:rFonts w:ascii="Arial" w:eastAsia="Arial" w:hAnsi="Arial" w:cs="Arial"/>
                <w:b/>
                <w:sz w:val="22"/>
                <w:szCs w:val="22"/>
              </w:rPr>
              <w:t>Příjemci</w:t>
            </w:r>
          </w:p>
        </w:tc>
      </w:tr>
      <w:tr w:rsidR="00723180">
        <w:trPr>
          <w:trHeight w:val="580"/>
        </w:trPr>
        <w:tc>
          <w:tcPr>
            <w:tcW w:w="3584" w:type="dxa"/>
            <w:tcBorders>
              <w:top w:val="single" w:sz="4" w:space="0" w:color="000000"/>
              <w:left w:val="single" w:sz="6" w:space="0" w:color="000000"/>
              <w:bottom w:val="single" w:sz="6" w:space="0" w:color="000000"/>
              <w:right w:val="single" w:sz="6" w:space="0" w:color="000000"/>
            </w:tcBorders>
            <w:shd w:val="clear" w:color="auto" w:fill="D9D9D9"/>
            <w:tcMar>
              <w:top w:w="0" w:type="dxa"/>
              <w:left w:w="120" w:type="dxa"/>
              <w:bottom w:w="0" w:type="dxa"/>
              <w:right w:w="120" w:type="dxa"/>
            </w:tcMar>
            <w:vAlign w:val="center"/>
          </w:tcPr>
          <w:p w:rsidR="00723180" w:rsidRDefault="009D1A73">
            <w:pPr>
              <w:spacing w:before="120" w:after="120"/>
              <w:jc w:val="both"/>
            </w:pPr>
            <w:r>
              <w:rPr>
                <w:rFonts w:ascii="Arial" w:eastAsia="Arial" w:hAnsi="Arial" w:cs="Arial"/>
                <w:b/>
                <w:sz w:val="22"/>
                <w:szCs w:val="22"/>
              </w:rPr>
              <w:t>Kategorie činností</w:t>
            </w:r>
          </w:p>
        </w:tc>
        <w:tc>
          <w:tcPr>
            <w:tcW w:w="1319" w:type="dxa"/>
            <w:tcBorders>
              <w:top w:val="single" w:sz="6" w:space="0" w:color="000000"/>
              <w:left w:val="single" w:sz="6" w:space="0" w:color="000000"/>
              <w:bottom w:val="single" w:sz="6" w:space="0" w:color="000000"/>
              <w:right w:val="single" w:sz="6" w:space="0" w:color="000000"/>
            </w:tcBorders>
            <w:shd w:val="clear" w:color="auto" w:fill="F2F2F2"/>
            <w:tcMar>
              <w:top w:w="0" w:type="dxa"/>
              <w:left w:w="120" w:type="dxa"/>
              <w:bottom w:w="0" w:type="dxa"/>
              <w:right w:w="120" w:type="dxa"/>
            </w:tcMar>
            <w:vAlign w:val="center"/>
          </w:tcPr>
          <w:p w:rsidR="00723180" w:rsidRDefault="009D1A73">
            <w:pPr>
              <w:spacing w:before="120" w:after="120"/>
              <w:jc w:val="center"/>
            </w:pPr>
            <w:r>
              <w:rPr>
                <w:rFonts w:ascii="Arial" w:eastAsia="Arial" w:hAnsi="Arial" w:cs="Arial"/>
                <w:sz w:val="22"/>
                <w:szCs w:val="22"/>
              </w:rPr>
              <w:t>malý podnik*</w:t>
            </w:r>
          </w:p>
        </w:tc>
        <w:tc>
          <w:tcPr>
            <w:tcW w:w="1455" w:type="dxa"/>
            <w:tcBorders>
              <w:top w:val="single" w:sz="6" w:space="0" w:color="000000"/>
              <w:left w:val="single" w:sz="6" w:space="0" w:color="000000"/>
              <w:bottom w:val="single" w:sz="6" w:space="0" w:color="000000"/>
              <w:right w:val="single" w:sz="6" w:space="0" w:color="000000"/>
            </w:tcBorders>
            <w:shd w:val="clear" w:color="auto" w:fill="F2F2F2"/>
            <w:tcMar>
              <w:top w:w="0" w:type="dxa"/>
              <w:left w:w="120" w:type="dxa"/>
              <w:bottom w:w="0" w:type="dxa"/>
              <w:right w:w="120" w:type="dxa"/>
            </w:tcMar>
            <w:vAlign w:val="center"/>
          </w:tcPr>
          <w:p w:rsidR="00723180" w:rsidRDefault="009D1A73">
            <w:pPr>
              <w:spacing w:before="120" w:after="120"/>
              <w:jc w:val="center"/>
            </w:pPr>
            <w:r>
              <w:rPr>
                <w:rFonts w:ascii="Arial" w:eastAsia="Arial" w:hAnsi="Arial" w:cs="Arial"/>
                <w:sz w:val="22"/>
                <w:szCs w:val="22"/>
              </w:rPr>
              <w:t>střední podnik*</w:t>
            </w:r>
          </w:p>
        </w:tc>
        <w:tc>
          <w:tcPr>
            <w:tcW w:w="1343" w:type="dxa"/>
            <w:tcBorders>
              <w:top w:val="single" w:sz="6" w:space="0" w:color="000000"/>
              <w:left w:val="single" w:sz="6" w:space="0" w:color="000000"/>
              <w:bottom w:val="single" w:sz="6" w:space="0" w:color="000000"/>
              <w:right w:val="single" w:sz="6" w:space="0" w:color="000000"/>
            </w:tcBorders>
            <w:shd w:val="clear" w:color="auto" w:fill="F2F2F2"/>
            <w:tcMar>
              <w:top w:w="0" w:type="dxa"/>
              <w:left w:w="120" w:type="dxa"/>
              <w:bottom w:w="0" w:type="dxa"/>
              <w:right w:w="120" w:type="dxa"/>
            </w:tcMar>
            <w:vAlign w:val="center"/>
          </w:tcPr>
          <w:p w:rsidR="00723180" w:rsidRDefault="009D1A73">
            <w:pPr>
              <w:spacing w:before="120" w:after="120"/>
              <w:jc w:val="center"/>
            </w:pPr>
            <w:r>
              <w:rPr>
                <w:rFonts w:ascii="Arial" w:eastAsia="Arial" w:hAnsi="Arial" w:cs="Arial"/>
                <w:sz w:val="22"/>
                <w:szCs w:val="22"/>
              </w:rPr>
              <w:t>velký podnik*</w:t>
            </w:r>
          </w:p>
        </w:tc>
        <w:tc>
          <w:tcPr>
            <w:tcW w:w="2177" w:type="dxa"/>
            <w:tcBorders>
              <w:top w:val="single" w:sz="6" w:space="0" w:color="000000"/>
              <w:left w:val="single" w:sz="6" w:space="0" w:color="000000"/>
              <w:bottom w:val="single" w:sz="6" w:space="0" w:color="000000"/>
              <w:right w:val="single" w:sz="6" w:space="0" w:color="000000"/>
            </w:tcBorders>
            <w:shd w:val="clear" w:color="auto" w:fill="F2F2F2"/>
            <w:tcMar>
              <w:top w:w="0" w:type="dxa"/>
              <w:left w:w="120" w:type="dxa"/>
              <w:bottom w:w="0" w:type="dxa"/>
              <w:right w:w="120" w:type="dxa"/>
            </w:tcMar>
            <w:vAlign w:val="center"/>
          </w:tcPr>
          <w:p w:rsidR="00723180" w:rsidRDefault="009D1A73">
            <w:pPr>
              <w:spacing w:before="120" w:after="120"/>
              <w:jc w:val="center"/>
            </w:pPr>
            <w:r>
              <w:rPr>
                <w:rFonts w:ascii="Arial" w:eastAsia="Arial" w:hAnsi="Arial" w:cs="Arial"/>
                <w:sz w:val="22"/>
                <w:szCs w:val="22"/>
              </w:rPr>
              <w:t>výzkumné organizace**</w:t>
            </w:r>
          </w:p>
        </w:tc>
      </w:tr>
      <w:tr w:rsidR="00723180">
        <w:trPr>
          <w:trHeight w:val="340"/>
        </w:trPr>
        <w:tc>
          <w:tcPr>
            <w:tcW w:w="358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723180" w:rsidRDefault="009D1A73">
            <w:pPr>
              <w:spacing w:before="120" w:after="120"/>
              <w:jc w:val="both"/>
            </w:pPr>
            <w:r>
              <w:rPr>
                <w:rFonts w:ascii="Arial" w:eastAsia="Arial" w:hAnsi="Arial" w:cs="Arial"/>
                <w:sz w:val="22"/>
                <w:szCs w:val="22"/>
              </w:rPr>
              <w:t>Průmyslový výzkum</w:t>
            </w:r>
          </w:p>
        </w:tc>
        <w:tc>
          <w:tcPr>
            <w:tcW w:w="131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723180" w:rsidRDefault="009D1A73">
            <w:pPr>
              <w:spacing w:before="120" w:after="120"/>
              <w:jc w:val="center"/>
            </w:pPr>
            <w:r>
              <w:rPr>
                <w:rFonts w:ascii="Arial" w:eastAsia="Arial" w:hAnsi="Arial" w:cs="Arial"/>
                <w:sz w:val="22"/>
                <w:szCs w:val="22"/>
              </w:rPr>
              <w:t>70 %</w:t>
            </w:r>
          </w:p>
        </w:tc>
        <w:tc>
          <w:tcPr>
            <w:tcW w:w="145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723180" w:rsidRDefault="009D1A73">
            <w:pPr>
              <w:spacing w:before="120" w:after="120"/>
              <w:jc w:val="center"/>
            </w:pPr>
            <w:r>
              <w:rPr>
                <w:rFonts w:ascii="Arial" w:eastAsia="Arial" w:hAnsi="Arial" w:cs="Arial"/>
                <w:sz w:val="22"/>
                <w:szCs w:val="22"/>
              </w:rPr>
              <w:t>60 %</w:t>
            </w:r>
          </w:p>
        </w:tc>
        <w:tc>
          <w:tcPr>
            <w:tcW w:w="13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723180" w:rsidRDefault="009D1A73">
            <w:pPr>
              <w:spacing w:before="120" w:after="120"/>
              <w:jc w:val="center"/>
            </w:pPr>
            <w:r>
              <w:rPr>
                <w:rFonts w:ascii="Arial" w:eastAsia="Arial" w:hAnsi="Arial" w:cs="Arial"/>
                <w:sz w:val="22"/>
                <w:szCs w:val="22"/>
              </w:rPr>
              <w:t>50 %</w:t>
            </w:r>
          </w:p>
        </w:tc>
        <w:tc>
          <w:tcPr>
            <w:tcW w:w="217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723180" w:rsidRDefault="009D1A73">
            <w:pPr>
              <w:spacing w:before="120" w:after="120"/>
              <w:jc w:val="center"/>
              <w:rPr>
                <w:sz w:val="22"/>
                <w:szCs w:val="22"/>
              </w:rPr>
            </w:pPr>
            <w:r>
              <w:rPr>
                <w:rFonts w:ascii="Arial" w:eastAsia="Arial" w:hAnsi="Arial" w:cs="Arial"/>
                <w:sz w:val="22"/>
                <w:szCs w:val="22"/>
              </w:rPr>
              <w:t>100 %</w:t>
            </w:r>
          </w:p>
        </w:tc>
      </w:tr>
      <w:tr w:rsidR="00723180">
        <w:trPr>
          <w:trHeight w:val="340"/>
        </w:trPr>
        <w:tc>
          <w:tcPr>
            <w:tcW w:w="358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723180" w:rsidRDefault="009D1A73">
            <w:pPr>
              <w:jc w:val="both"/>
            </w:pPr>
            <w:r>
              <w:rPr>
                <w:rFonts w:ascii="Arial" w:eastAsia="Arial" w:hAnsi="Arial" w:cs="Arial"/>
                <w:sz w:val="22"/>
                <w:szCs w:val="22"/>
              </w:rPr>
              <w:t>Průmyslový výzkum</w:t>
            </w:r>
          </w:p>
          <w:p w:rsidR="00723180" w:rsidRDefault="009D1A73">
            <w:pPr>
              <w:jc w:val="both"/>
            </w:pPr>
            <w:r>
              <w:rPr>
                <w:rFonts w:ascii="Arial" w:eastAsia="Arial" w:hAnsi="Arial" w:cs="Arial"/>
                <w:sz w:val="22"/>
                <w:szCs w:val="22"/>
              </w:rPr>
              <w:t>v případě účinné spolupráce</w:t>
            </w:r>
          </w:p>
        </w:tc>
        <w:tc>
          <w:tcPr>
            <w:tcW w:w="131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723180" w:rsidRDefault="009D1A73">
            <w:pPr>
              <w:spacing w:before="120" w:after="120"/>
              <w:jc w:val="center"/>
            </w:pPr>
            <w:r>
              <w:rPr>
                <w:rFonts w:ascii="Arial" w:eastAsia="Arial" w:hAnsi="Arial" w:cs="Arial"/>
                <w:sz w:val="22"/>
                <w:szCs w:val="22"/>
              </w:rPr>
              <w:t>80 %</w:t>
            </w:r>
          </w:p>
        </w:tc>
        <w:tc>
          <w:tcPr>
            <w:tcW w:w="145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723180" w:rsidRDefault="009D1A73">
            <w:pPr>
              <w:spacing w:before="120" w:after="120"/>
              <w:jc w:val="center"/>
            </w:pPr>
            <w:r>
              <w:rPr>
                <w:rFonts w:ascii="Arial" w:eastAsia="Arial" w:hAnsi="Arial" w:cs="Arial"/>
                <w:sz w:val="22"/>
                <w:szCs w:val="22"/>
              </w:rPr>
              <w:t>75 %</w:t>
            </w:r>
          </w:p>
        </w:tc>
        <w:tc>
          <w:tcPr>
            <w:tcW w:w="13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723180" w:rsidRDefault="009D1A73">
            <w:pPr>
              <w:spacing w:before="120" w:after="120"/>
              <w:jc w:val="center"/>
            </w:pPr>
            <w:r>
              <w:rPr>
                <w:rFonts w:ascii="Arial" w:eastAsia="Arial" w:hAnsi="Arial" w:cs="Arial"/>
                <w:sz w:val="22"/>
                <w:szCs w:val="22"/>
              </w:rPr>
              <w:t>65 %</w:t>
            </w:r>
          </w:p>
        </w:tc>
        <w:tc>
          <w:tcPr>
            <w:tcW w:w="217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723180" w:rsidRDefault="009D1A73">
            <w:pPr>
              <w:spacing w:before="120" w:after="120"/>
              <w:jc w:val="center"/>
              <w:rPr>
                <w:sz w:val="22"/>
                <w:szCs w:val="22"/>
              </w:rPr>
            </w:pPr>
            <w:r>
              <w:rPr>
                <w:rFonts w:ascii="Arial" w:eastAsia="Arial" w:hAnsi="Arial" w:cs="Arial"/>
                <w:sz w:val="22"/>
                <w:szCs w:val="22"/>
              </w:rPr>
              <w:t>100 %</w:t>
            </w:r>
          </w:p>
        </w:tc>
      </w:tr>
      <w:tr w:rsidR="00723180">
        <w:trPr>
          <w:trHeight w:val="340"/>
        </w:trPr>
        <w:tc>
          <w:tcPr>
            <w:tcW w:w="358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723180" w:rsidRDefault="009D1A73">
            <w:pPr>
              <w:spacing w:before="120" w:after="120"/>
              <w:jc w:val="both"/>
            </w:pPr>
            <w:r>
              <w:rPr>
                <w:rFonts w:ascii="Arial" w:eastAsia="Arial" w:hAnsi="Arial" w:cs="Arial"/>
                <w:sz w:val="22"/>
                <w:szCs w:val="22"/>
              </w:rPr>
              <w:t>Experimentální vývoj</w:t>
            </w:r>
          </w:p>
        </w:tc>
        <w:tc>
          <w:tcPr>
            <w:tcW w:w="131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723180" w:rsidRDefault="009D1A73">
            <w:pPr>
              <w:spacing w:before="120" w:after="120"/>
              <w:jc w:val="center"/>
            </w:pPr>
            <w:r>
              <w:rPr>
                <w:rFonts w:ascii="Arial" w:eastAsia="Arial" w:hAnsi="Arial" w:cs="Arial"/>
                <w:sz w:val="22"/>
                <w:szCs w:val="22"/>
              </w:rPr>
              <w:t>45 %</w:t>
            </w:r>
          </w:p>
        </w:tc>
        <w:tc>
          <w:tcPr>
            <w:tcW w:w="145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723180" w:rsidRDefault="009D1A73">
            <w:pPr>
              <w:spacing w:before="120" w:after="120"/>
              <w:jc w:val="center"/>
            </w:pPr>
            <w:r>
              <w:rPr>
                <w:rFonts w:ascii="Arial" w:eastAsia="Arial" w:hAnsi="Arial" w:cs="Arial"/>
                <w:sz w:val="22"/>
                <w:szCs w:val="22"/>
              </w:rPr>
              <w:t>35 %</w:t>
            </w:r>
          </w:p>
        </w:tc>
        <w:tc>
          <w:tcPr>
            <w:tcW w:w="13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723180" w:rsidRDefault="009D1A73">
            <w:pPr>
              <w:spacing w:before="120" w:after="120"/>
              <w:jc w:val="center"/>
            </w:pPr>
            <w:r>
              <w:rPr>
                <w:rFonts w:ascii="Arial" w:eastAsia="Arial" w:hAnsi="Arial" w:cs="Arial"/>
                <w:sz w:val="22"/>
                <w:szCs w:val="22"/>
              </w:rPr>
              <w:t>25 %</w:t>
            </w:r>
          </w:p>
        </w:tc>
        <w:tc>
          <w:tcPr>
            <w:tcW w:w="217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723180" w:rsidRDefault="009D1A73">
            <w:pPr>
              <w:spacing w:before="120" w:after="120"/>
              <w:jc w:val="center"/>
              <w:rPr>
                <w:sz w:val="22"/>
                <w:szCs w:val="22"/>
              </w:rPr>
            </w:pPr>
            <w:r>
              <w:rPr>
                <w:rFonts w:ascii="Arial" w:eastAsia="Arial" w:hAnsi="Arial" w:cs="Arial"/>
                <w:sz w:val="22"/>
                <w:szCs w:val="22"/>
              </w:rPr>
              <w:t>100 %</w:t>
            </w:r>
          </w:p>
        </w:tc>
      </w:tr>
      <w:tr w:rsidR="00723180">
        <w:trPr>
          <w:trHeight w:val="340"/>
        </w:trPr>
        <w:tc>
          <w:tcPr>
            <w:tcW w:w="358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723180" w:rsidRDefault="009D1A73">
            <w:pPr>
              <w:jc w:val="both"/>
            </w:pPr>
            <w:r>
              <w:rPr>
                <w:rFonts w:ascii="Arial" w:eastAsia="Arial" w:hAnsi="Arial" w:cs="Arial"/>
                <w:sz w:val="22"/>
                <w:szCs w:val="22"/>
              </w:rPr>
              <w:t>Experimentální vývoj</w:t>
            </w:r>
          </w:p>
          <w:p w:rsidR="00723180" w:rsidRDefault="009D1A73">
            <w:pPr>
              <w:jc w:val="both"/>
            </w:pPr>
            <w:r>
              <w:rPr>
                <w:rFonts w:ascii="Arial" w:eastAsia="Arial" w:hAnsi="Arial" w:cs="Arial"/>
                <w:sz w:val="22"/>
                <w:szCs w:val="22"/>
              </w:rPr>
              <w:t>v případě účinné spolupráce</w:t>
            </w:r>
          </w:p>
        </w:tc>
        <w:tc>
          <w:tcPr>
            <w:tcW w:w="131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723180" w:rsidRDefault="009D1A73">
            <w:pPr>
              <w:spacing w:before="120" w:after="120"/>
              <w:jc w:val="center"/>
            </w:pPr>
            <w:r>
              <w:rPr>
                <w:rFonts w:ascii="Arial" w:eastAsia="Arial" w:hAnsi="Arial" w:cs="Arial"/>
                <w:sz w:val="22"/>
                <w:szCs w:val="22"/>
              </w:rPr>
              <w:t>60 %</w:t>
            </w:r>
          </w:p>
        </w:tc>
        <w:tc>
          <w:tcPr>
            <w:tcW w:w="145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723180" w:rsidRDefault="009D1A73">
            <w:pPr>
              <w:spacing w:before="120" w:after="120"/>
              <w:jc w:val="center"/>
            </w:pPr>
            <w:r>
              <w:rPr>
                <w:rFonts w:ascii="Arial" w:eastAsia="Arial" w:hAnsi="Arial" w:cs="Arial"/>
                <w:sz w:val="22"/>
                <w:szCs w:val="22"/>
              </w:rPr>
              <w:t>50 %</w:t>
            </w:r>
          </w:p>
        </w:tc>
        <w:tc>
          <w:tcPr>
            <w:tcW w:w="13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723180" w:rsidRDefault="009D1A73">
            <w:pPr>
              <w:spacing w:before="120" w:after="120"/>
              <w:jc w:val="center"/>
            </w:pPr>
            <w:r>
              <w:rPr>
                <w:rFonts w:ascii="Arial" w:eastAsia="Arial" w:hAnsi="Arial" w:cs="Arial"/>
                <w:sz w:val="22"/>
                <w:szCs w:val="22"/>
              </w:rPr>
              <w:t>40 %</w:t>
            </w:r>
          </w:p>
        </w:tc>
        <w:tc>
          <w:tcPr>
            <w:tcW w:w="217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723180" w:rsidRDefault="009D1A73">
            <w:pPr>
              <w:spacing w:before="120" w:after="120"/>
              <w:jc w:val="center"/>
              <w:rPr>
                <w:sz w:val="22"/>
                <w:szCs w:val="22"/>
              </w:rPr>
            </w:pPr>
            <w:r>
              <w:rPr>
                <w:rFonts w:ascii="Arial" w:eastAsia="Arial" w:hAnsi="Arial" w:cs="Arial"/>
                <w:sz w:val="22"/>
                <w:szCs w:val="22"/>
              </w:rPr>
              <w:t>100 %</w:t>
            </w:r>
          </w:p>
        </w:tc>
      </w:tr>
      <w:tr w:rsidR="00723180">
        <w:trPr>
          <w:trHeight w:val="340"/>
        </w:trPr>
        <w:tc>
          <w:tcPr>
            <w:tcW w:w="358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723180" w:rsidRDefault="009D1A73">
            <w:pPr>
              <w:jc w:val="both"/>
            </w:pPr>
            <w:r>
              <w:rPr>
                <w:rFonts w:ascii="Arial" w:eastAsia="Arial" w:hAnsi="Arial" w:cs="Arial"/>
                <w:sz w:val="22"/>
                <w:szCs w:val="22"/>
              </w:rPr>
              <w:t>Inovace určená malým a středním podnikům</w:t>
            </w:r>
          </w:p>
        </w:tc>
        <w:tc>
          <w:tcPr>
            <w:tcW w:w="131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723180" w:rsidRDefault="009D1A73">
            <w:pPr>
              <w:spacing w:before="120" w:after="120"/>
              <w:jc w:val="center"/>
            </w:pPr>
            <w:r>
              <w:rPr>
                <w:rFonts w:ascii="Arial" w:eastAsia="Arial" w:hAnsi="Arial" w:cs="Arial"/>
                <w:sz w:val="22"/>
                <w:szCs w:val="22"/>
              </w:rPr>
              <w:t>50 %</w:t>
            </w:r>
          </w:p>
        </w:tc>
        <w:tc>
          <w:tcPr>
            <w:tcW w:w="145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723180" w:rsidRDefault="009D1A73">
            <w:pPr>
              <w:spacing w:before="120" w:after="120"/>
              <w:jc w:val="center"/>
            </w:pPr>
            <w:r>
              <w:rPr>
                <w:rFonts w:ascii="Arial" w:eastAsia="Arial" w:hAnsi="Arial" w:cs="Arial"/>
                <w:sz w:val="22"/>
                <w:szCs w:val="22"/>
              </w:rPr>
              <w:t>50 %</w:t>
            </w:r>
          </w:p>
        </w:tc>
        <w:tc>
          <w:tcPr>
            <w:tcW w:w="13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723180" w:rsidRDefault="009D1A73">
            <w:pPr>
              <w:spacing w:before="120" w:after="120"/>
              <w:jc w:val="center"/>
            </w:pPr>
            <w:r>
              <w:rPr>
                <w:rFonts w:ascii="Arial" w:eastAsia="Arial" w:hAnsi="Arial" w:cs="Arial"/>
                <w:sz w:val="22"/>
                <w:szCs w:val="22"/>
              </w:rPr>
              <w:t>-</w:t>
            </w:r>
          </w:p>
        </w:tc>
        <w:tc>
          <w:tcPr>
            <w:tcW w:w="217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723180" w:rsidRDefault="009D1A73">
            <w:pPr>
              <w:spacing w:before="120" w:after="120"/>
              <w:jc w:val="center"/>
              <w:rPr>
                <w:sz w:val="22"/>
                <w:szCs w:val="22"/>
              </w:rPr>
            </w:pPr>
            <w:r>
              <w:rPr>
                <w:rFonts w:ascii="Arial" w:eastAsia="Arial" w:hAnsi="Arial" w:cs="Arial"/>
                <w:sz w:val="22"/>
                <w:szCs w:val="22"/>
              </w:rPr>
              <w:t>-</w:t>
            </w:r>
          </w:p>
        </w:tc>
      </w:tr>
      <w:tr w:rsidR="00723180">
        <w:trPr>
          <w:trHeight w:val="340"/>
        </w:trPr>
        <w:tc>
          <w:tcPr>
            <w:tcW w:w="358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723180" w:rsidRDefault="009D1A73">
            <w:pPr>
              <w:jc w:val="both"/>
            </w:pPr>
            <w:r>
              <w:rPr>
                <w:rFonts w:ascii="Arial" w:eastAsia="Arial" w:hAnsi="Arial" w:cs="Arial"/>
                <w:sz w:val="22"/>
                <w:szCs w:val="22"/>
              </w:rPr>
              <w:t>Inovace postupů a organizační inovace</w:t>
            </w:r>
          </w:p>
        </w:tc>
        <w:tc>
          <w:tcPr>
            <w:tcW w:w="131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723180" w:rsidRDefault="009D1A73">
            <w:pPr>
              <w:spacing w:before="120" w:after="120"/>
              <w:jc w:val="center"/>
            </w:pPr>
            <w:r>
              <w:rPr>
                <w:rFonts w:ascii="Arial" w:eastAsia="Arial" w:hAnsi="Arial" w:cs="Arial"/>
                <w:sz w:val="22"/>
                <w:szCs w:val="22"/>
              </w:rPr>
              <w:t>50 %</w:t>
            </w:r>
          </w:p>
        </w:tc>
        <w:tc>
          <w:tcPr>
            <w:tcW w:w="145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723180" w:rsidRDefault="009D1A73">
            <w:pPr>
              <w:spacing w:before="120" w:after="120"/>
              <w:jc w:val="center"/>
            </w:pPr>
            <w:r>
              <w:rPr>
                <w:rFonts w:ascii="Arial" w:eastAsia="Arial" w:hAnsi="Arial" w:cs="Arial"/>
                <w:sz w:val="22"/>
                <w:szCs w:val="22"/>
              </w:rPr>
              <w:t>50 %</w:t>
            </w:r>
          </w:p>
        </w:tc>
        <w:tc>
          <w:tcPr>
            <w:tcW w:w="134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723180" w:rsidRDefault="009D1A73">
            <w:pPr>
              <w:spacing w:before="120" w:after="120"/>
              <w:jc w:val="center"/>
            </w:pPr>
            <w:r>
              <w:rPr>
                <w:rFonts w:ascii="Arial" w:eastAsia="Arial" w:hAnsi="Arial" w:cs="Arial"/>
                <w:sz w:val="22"/>
                <w:szCs w:val="22"/>
              </w:rPr>
              <w:t>15 %</w:t>
            </w:r>
            <w:r>
              <w:rPr>
                <w:rFonts w:ascii="Arial" w:eastAsia="Arial" w:hAnsi="Arial" w:cs="Arial"/>
                <w:sz w:val="18"/>
                <w:szCs w:val="18"/>
              </w:rPr>
              <w:t>***</w:t>
            </w:r>
          </w:p>
        </w:tc>
        <w:tc>
          <w:tcPr>
            <w:tcW w:w="217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723180" w:rsidRDefault="009D1A73">
            <w:pPr>
              <w:spacing w:before="120" w:after="120"/>
              <w:jc w:val="center"/>
              <w:rPr>
                <w:sz w:val="22"/>
                <w:szCs w:val="22"/>
              </w:rPr>
            </w:pPr>
            <w:r>
              <w:rPr>
                <w:rFonts w:ascii="Arial" w:eastAsia="Arial" w:hAnsi="Arial" w:cs="Arial"/>
                <w:sz w:val="22"/>
                <w:szCs w:val="22"/>
              </w:rPr>
              <w:t>100 %</w:t>
            </w:r>
          </w:p>
        </w:tc>
      </w:tr>
    </w:tbl>
    <w:p w:rsidR="00723180" w:rsidRPr="007264C7" w:rsidRDefault="009D1A73">
      <w:pPr>
        <w:spacing w:after="120"/>
        <w:jc w:val="both"/>
        <w:rPr>
          <w:rFonts w:ascii="Arial" w:eastAsia="Arial" w:hAnsi="Arial" w:cs="Arial"/>
          <w:sz w:val="16"/>
          <w:szCs w:val="16"/>
        </w:rPr>
      </w:pPr>
      <w:r w:rsidRPr="007264C7">
        <w:rPr>
          <w:rFonts w:ascii="Arial" w:eastAsia="Arial" w:hAnsi="Arial" w:cs="Arial"/>
          <w:b/>
          <w:sz w:val="16"/>
          <w:szCs w:val="16"/>
        </w:rPr>
        <w:t>Poznámka:</w:t>
      </w:r>
      <w:r w:rsidRPr="007264C7">
        <w:rPr>
          <w:rFonts w:ascii="Arial" w:eastAsia="Arial" w:hAnsi="Arial" w:cs="Arial"/>
          <w:sz w:val="16"/>
          <w:szCs w:val="16"/>
        </w:rPr>
        <w:t xml:space="preserve"> * Malý a střední podnik je vymezen podle definice uvedené v článku 2 odst. 2 a potažmo v Příloze 1 Nařízení a velký podnik je vymezen podle definice v článku 2 odst. 24 Nařízení. </w:t>
      </w:r>
    </w:p>
    <w:p w:rsidR="00723180" w:rsidRPr="007264C7" w:rsidRDefault="009D1A73">
      <w:pPr>
        <w:spacing w:after="120"/>
        <w:jc w:val="both"/>
        <w:rPr>
          <w:rFonts w:ascii="Arial" w:eastAsia="Arial" w:hAnsi="Arial" w:cs="Arial"/>
          <w:sz w:val="16"/>
          <w:szCs w:val="16"/>
        </w:rPr>
      </w:pPr>
      <w:r w:rsidRPr="007264C7">
        <w:rPr>
          <w:rFonts w:ascii="Arial" w:eastAsia="Arial" w:hAnsi="Arial" w:cs="Arial"/>
          <w:sz w:val="16"/>
          <w:szCs w:val="16"/>
        </w:rPr>
        <w:t>**</w:t>
      </w:r>
      <w:r w:rsidRPr="007264C7">
        <w:rPr>
          <w:rFonts w:ascii="Arial" w:eastAsia="Arial" w:hAnsi="Arial" w:cs="Arial"/>
          <w:sz w:val="16"/>
          <w:szCs w:val="16"/>
          <w:vertAlign w:val="superscript"/>
        </w:rPr>
        <w:t xml:space="preserve"> </w:t>
      </w:r>
      <w:r w:rsidRPr="007264C7">
        <w:rPr>
          <w:rFonts w:ascii="Arial" w:eastAsia="Arial" w:hAnsi="Arial" w:cs="Arial"/>
          <w:sz w:val="16"/>
          <w:szCs w:val="16"/>
        </w:rPr>
        <w:t xml:space="preserve">Výzkumná organizace je vymezena podle čl. 2 odst. 83 Nařízení. Uvedená intenzita podpory je určena pro </w:t>
      </w:r>
      <w:proofErr w:type="spellStart"/>
      <w:r w:rsidRPr="007264C7">
        <w:rPr>
          <w:rFonts w:ascii="Arial" w:eastAsia="Arial" w:hAnsi="Arial" w:cs="Arial"/>
          <w:sz w:val="16"/>
          <w:szCs w:val="16"/>
        </w:rPr>
        <w:t>nehospodářské</w:t>
      </w:r>
      <w:proofErr w:type="spellEnd"/>
      <w:r w:rsidRPr="007264C7">
        <w:rPr>
          <w:rFonts w:ascii="Arial" w:eastAsia="Arial" w:hAnsi="Arial" w:cs="Arial"/>
          <w:sz w:val="16"/>
          <w:szCs w:val="16"/>
        </w:rPr>
        <w:t xml:space="preserve"> činnosti výzkumných organizací.</w:t>
      </w:r>
    </w:p>
    <w:p w:rsidR="00723180" w:rsidRPr="007264C7" w:rsidRDefault="009D1A73">
      <w:pPr>
        <w:spacing w:after="120"/>
        <w:jc w:val="both"/>
        <w:rPr>
          <w:rFonts w:ascii="Arial" w:eastAsia="Arial" w:hAnsi="Arial" w:cs="Arial"/>
          <w:sz w:val="16"/>
          <w:szCs w:val="16"/>
        </w:rPr>
      </w:pPr>
      <w:r w:rsidRPr="007264C7">
        <w:rPr>
          <w:rFonts w:ascii="Arial" w:eastAsia="Arial" w:hAnsi="Arial" w:cs="Arial"/>
          <w:sz w:val="16"/>
          <w:szCs w:val="16"/>
        </w:rPr>
        <w:t>*** Podpora velkým podnikům na inovace postupů a organizační inovace je slučitelná pouze za podmínek uvedených v čl. 29 odst. 2 Nařízení.</w:t>
      </w:r>
    </w:p>
    <w:p w:rsidR="00723180" w:rsidRDefault="009D1A73">
      <w:pPr>
        <w:spacing w:before="120" w:after="120"/>
        <w:jc w:val="both"/>
        <w:rPr>
          <w:rFonts w:ascii="Arial" w:eastAsia="Arial" w:hAnsi="Arial" w:cs="Arial"/>
          <w:sz w:val="18"/>
          <w:szCs w:val="18"/>
        </w:rPr>
      </w:pPr>
      <w:r>
        <w:rPr>
          <w:rFonts w:ascii="Arial" w:eastAsia="Arial" w:hAnsi="Arial" w:cs="Arial"/>
          <w:b/>
          <w:sz w:val="18"/>
          <w:szCs w:val="18"/>
        </w:rPr>
        <w:t>Zdroj: Nařízení</w:t>
      </w:r>
    </w:p>
    <w:p w:rsidR="00723180" w:rsidRDefault="009D1A73">
      <w:pPr>
        <w:pStyle w:val="Nadpis1"/>
        <w:numPr>
          <w:ilvl w:val="0"/>
          <w:numId w:val="5"/>
        </w:numPr>
      </w:pPr>
      <w:r>
        <w:t>ZPŮSOBILÉ A UZNANÉ NÁKLADY</w:t>
      </w:r>
    </w:p>
    <w:p w:rsidR="00723180" w:rsidRDefault="009D1A73">
      <w:pPr>
        <w:spacing w:before="120" w:after="120"/>
        <w:jc w:val="both"/>
        <w:rPr>
          <w:rFonts w:ascii="Arial" w:eastAsia="Arial" w:hAnsi="Arial" w:cs="Arial"/>
          <w:sz w:val="22"/>
          <w:szCs w:val="22"/>
        </w:rPr>
      </w:pPr>
      <w:r>
        <w:rPr>
          <w:rFonts w:ascii="Arial" w:eastAsia="Arial" w:hAnsi="Arial" w:cs="Arial"/>
          <w:sz w:val="22"/>
          <w:szCs w:val="22"/>
        </w:rPr>
        <w:t>Podpora bude poskytována na uznané náklady projektu, tj. na ty způsobilé náklady, které poskytovatel schválí, které jsou zdůvodněné, a které jsou v rozsahu nezbytném pro účely projektu. Uchazeč může jako způsobilé náklady navrhnout pouze náklady vymezené vždy v souladu se zákonem o podpoře výzkumu, experimentálního vývoje a inovací, a dále v případě podpory v režimu veřejné podpory podle kategorie podpory, tj. v souladu s Nařízením. Bližší specifikace způsobilých nákladů bude součástí zadávací dokumentace k příslušné veřejné soutěži.</w:t>
      </w:r>
    </w:p>
    <w:p w:rsidR="00723180" w:rsidRDefault="009D1A73">
      <w:pPr>
        <w:pStyle w:val="Nadpis1"/>
        <w:numPr>
          <w:ilvl w:val="0"/>
          <w:numId w:val="5"/>
        </w:numPr>
      </w:pPr>
      <w:r>
        <w:t>MOTIVAČNÍ ÚČINEK</w:t>
      </w:r>
    </w:p>
    <w:p w:rsidR="00723180" w:rsidRDefault="009D1A73" w:rsidP="004B51FE">
      <w:pPr>
        <w:spacing w:before="120" w:after="480"/>
        <w:jc w:val="both"/>
        <w:rPr>
          <w:rFonts w:ascii="Arial" w:eastAsia="Arial" w:hAnsi="Arial" w:cs="Arial"/>
          <w:sz w:val="22"/>
          <w:szCs w:val="22"/>
        </w:rPr>
      </w:pPr>
      <w:r>
        <w:rPr>
          <w:rFonts w:ascii="Arial" w:eastAsia="Arial" w:hAnsi="Arial" w:cs="Arial"/>
          <w:sz w:val="22"/>
          <w:szCs w:val="22"/>
        </w:rPr>
        <w:t xml:space="preserve">Pro naplnění cílů programu a podmínek Nařízení bude poskytovatel v rámci procesu hodnocení návrhů projektů posuzovat přítomnost motivačního účinku podpory podle čl. 6 Nařízení. </w:t>
      </w:r>
    </w:p>
    <w:p w:rsidR="00723180" w:rsidRDefault="009D1A73">
      <w:pPr>
        <w:pStyle w:val="Nadpis1"/>
        <w:numPr>
          <w:ilvl w:val="0"/>
          <w:numId w:val="5"/>
        </w:numPr>
      </w:pPr>
      <w:r>
        <w:lastRenderedPageBreak/>
        <w:t>ZPŮSOB A OBECNÁ KRITÉRIA HODNOCENÍ NÁVRHŮ PROJEKTŮ</w:t>
      </w:r>
    </w:p>
    <w:p w:rsidR="00723180" w:rsidRDefault="009D1A73">
      <w:pPr>
        <w:spacing w:before="120" w:after="120"/>
        <w:jc w:val="both"/>
      </w:pPr>
      <w:r>
        <w:rPr>
          <w:rFonts w:ascii="Arial" w:eastAsia="Arial" w:hAnsi="Arial" w:cs="Arial"/>
          <w:sz w:val="22"/>
          <w:szCs w:val="22"/>
        </w:rPr>
        <w:t>V souladu s pravidly stanovenými zákonem o podpoře výzkumu, experimentálního vývoje a inovací jmenuje poskytovatel komisi pro přijímání návrhů projektů. Tato komise vyhodnotí dodržení splnění podmínek veřejné soutěže pro podání návrhu projektu daných vyhlášením veřejné soutěže a prokázání způsobilosti hlavního uchazeče a dalších účastníků. O přijetí či nepřijetí návrhu projektu do veřejné soutěže rozhoduje poskytovatel v souladu s § 21 odst. 3 zákona o podpoře výzkumu, experimentálního vývoje a inovací na základě protokolu zpracovaného komisí pro přijímání návrhů projektů, resp. odborným poradním orgánem.</w:t>
      </w:r>
    </w:p>
    <w:p w:rsidR="00723180" w:rsidRDefault="009D1A73">
      <w:pPr>
        <w:spacing w:before="120" w:after="120"/>
        <w:jc w:val="both"/>
      </w:pPr>
      <w:r>
        <w:rPr>
          <w:rFonts w:ascii="Arial" w:eastAsia="Arial" w:hAnsi="Arial" w:cs="Arial"/>
          <w:sz w:val="22"/>
          <w:szCs w:val="22"/>
        </w:rPr>
        <w:t xml:space="preserve">Pro hodnocení návrhů projektů přijatých do veřejné soutěže ustaví poskytovatel odborný poradní orgán. Použitá kritéria pro výběr projektů jsou: </w:t>
      </w:r>
    </w:p>
    <w:p w:rsidR="00723180" w:rsidRDefault="009D1A73">
      <w:pPr>
        <w:numPr>
          <w:ilvl w:val="0"/>
          <w:numId w:val="2"/>
        </w:numPr>
        <w:spacing w:before="120"/>
        <w:contextualSpacing/>
        <w:jc w:val="both"/>
      </w:pPr>
      <w:r>
        <w:rPr>
          <w:rFonts w:ascii="Arial" w:eastAsia="Arial" w:hAnsi="Arial" w:cs="Arial"/>
          <w:sz w:val="22"/>
          <w:szCs w:val="22"/>
        </w:rPr>
        <w:t>splnění podmínek veřejné soutěže;</w:t>
      </w:r>
    </w:p>
    <w:p w:rsidR="00723180" w:rsidRDefault="009D1A73">
      <w:pPr>
        <w:numPr>
          <w:ilvl w:val="0"/>
          <w:numId w:val="2"/>
        </w:numPr>
        <w:contextualSpacing/>
        <w:jc w:val="both"/>
      </w:pPr>
      <w:r>
        <w:rPr>
          <w:rFonts w:ascii="Arial" w:eastAsia="Arial" w:hAnsi="Arial" w:cs="Arial"/>
          <w:sz w:val="22"/>
          <w:szCs w:val="22"/>
        </w:rPr>
        <w:t>potřebnost projektu;</w:t>
      </w:r>
    </w:p>
    <w:p w:rsidR="00723180" w:rsidRDefault="009D1A73">
      <w:pPr>
        <w:numPr>
          <w:ilvl w:val="0"/>
          <w:numId w:val="2"/>
        </w:numPr>
        <w:contextualSpacing/>
        <w:jc w:val="both"/>
      </w:pPr>
      <w:r>
        <w:rPr>
          <w:rFonts w:ascii="Arial" w:eastAsia="Arial" w:hAnsi="Arial" w:cs="Arial"/>
          <w:sz w:val="22"/>
          <w:szCs w:val="22"/>
        </w:rPr>
        <w:t>realizace projektu;</w:t>
      </w:r>
    </w:p>
    <w:p w:rsidR="00723180" w:rsidRDefault="009D1A73">
      <w:pPr>
        <w:numPr>
          <w:ilvl w:val="0"/>
          <w:numId w:val="2"/>
        </w:numPr>
        <w:spacing w:after="120"/>
        <w:contextualSpacing/>
        <w:jc w:val="both"/>
      </w:pPr>
      <w:r>
        <w:rPr>
          <w:rFonts w:ascii="Arial" w:eastAsia="Arial" w:hAnsi="Arial" w:cs="Arial"/>
          <w:sz w:val="22"/>
          <w:szCs w:val="22"/>
        </w:rPr>
        <w:t>očekávané výsledky a dopady projektu.</w:t>
      </w:r>
    </w:p>
    <w:p w:rsidR="00723180" w:rsidRDefault="009D1A73">
      <w:pPr>
        <w:spacing w:before="120" w:after="120"/>
        <w:jc w:val="both"/>
      </w:pPr>
      <w:r>
        <w:rPr>
          <w:rFonts w:ascii="Arial" w:eastAsia="Arial" w:hAnsi="Arial" w:cs="Arial"/>
          <w:sz w:val="22"/>
          <w:szCs w:val="22"/>
        </w:rPr>
        <w:t>Podrobnější informace o podmínkách konkrétní veřejné soutěže a dalších náležitostech stanoví zadávací dokumentace k příslušné veřejné soutěži.</w:t>
      </w:r>
    </w:p>
    <w:p w:rsidR="00723180" w:rsidRDefault="009D1A73">
      <w:pPr>
        <w:spacing w:before="120" w:after="120"/>
        <w:jc w:val="both"/>
        <w:rPr>
          <w:rFonts w:ascii="Arial" w:eastAsia="Arial" w:hAnsi="Arial" w:cs="Arial"/>
          <w:sz w:val="22"/>
          <w:szCs w:val="22"/>
        </w:rPr>
      </w:pPr>
      <w:r>
        <w:rPr>
          <w:rFonts w:ascii="Arial" w:eastAsia="Arial" w:hAnsi="Arial" w:cs="Arial"/>
          <w:sz w:val="22"/>
          <w:szCs w:val="22"/>
        </w:rPr>
        <w:t>Pro hodnocení případných duplicit, návazností, komplementarit a synergií mezi různými již realizovanými projekty a návrhy projektů využije poskytovatel datové a analytické nástroje. Veřejné soutěže budou nastaveny a realizovány tak, aby nedocházelo k překryvům s Evropskými strukturálními a investičními fondy, k tomu bude při přípravě veřejných soutěží probíhat spolupráce s relevantními řídicími orgány.</w:t>
      </w:r>
    </w:p>
    <w:p w:rsidR="00723180" w:rsidRDefault="009D1A73">
      <w:pPr>
        <w:pStyle w:val="Nadpis1"/>
        <w:numPr>
          <w:ilvl w:val="0"/>
          <w:numId w:val="5"/>
        </w:numPr>
      </w:pPr>
      <w:r>
        <w:t>SROVNÁNÍ SOUČASNÉHO STAVU V ČESKÉ REPUBLICE A V ZAHRANIČÍ</w:t>
      </w:r>
    </w:p>
    <w:p w:rsidR="00723180" w:rsidRPr="00510804" w:rsidRDefault="009D1A73">
      <w:pPr>
        <w:spacing w:before="120" w:after="120"/>
        <w:jc w:val="both"/>
        <w:rPr>
          <w:rFonts w:ascii="Arial" w:eastAsia="Arial" w:hAnsi="Arial" w:cs="Arial"/>
          <w:color w:val="auto"/>
          <w:sz w:val="22"/>
          <w:szCs w:val="22"/>
          <w:highlight w:val="yellow"/>
        </w:rPr>
      </w:pPr>
      <w:r w:rsidRPr="00510804">
        <w:rPr>
          <w:rFonts w:ascii="Arial" w:eastAsia="Arial" w:hAnsi="Arial" w:cs="Arial"/>
          <w:color w:val="auto"/>
          <w:sz w:val="22"/>
          <w:szCs w:val="22"/>
        </w:rPr>
        <w:t xml:space="preserve">Jedním z nástrojů na posílení mezinárodní spolupráce v oblasti aplikovaného výzkumu, vývoje </w:t>
      </w:r>
      <w:r w:rsidR="004D6503" w:rsidRPr="00510804">
        <w:rPr>
          <w:rFonts w:ascii="Arial" w:eastAsia="Arial" w:hAnsi="Arial" w:cs="Arial"/>
          <w:color w:val="auto"/>
          <w:sz w:val="22"/>
          <w:szCs w:val="22"/>
        </w:rPr>
        <w:br/>
      </w:r>
      <w:r w:rsidRPr="00510804">
        <w:rPr>
          <w:rFonts w:ascii="Arial" w:eastAsia="Arial" w:hAnsi="Arial" w:cs="Arial"/>
          <w:color w:val="auto"/>
          <w:sz w:val="22"/>
          <w:szCs w:val="22"/>
        </w:rPr>
        <w:t xml:space="preserve">a inovací administrovaný TA ČR je program DELTA, který podporuje </w:t>
      </w:r>
      <w:proofErr w:type="spellStart"/>
      <w:r w:rsidRPr="00510804">
        <w:rPr>
          <w:rFonts w:ascii="Arial" w:eastAsia="Arial" w:hAnsi="Arial" w:cs="Arial"/>
          <w:color w:val="auto"/>
          <w:sz w:val="22"/>
          <w:szCs w:val="22"/>
        </w:rPr>
        <w:t>kolaborativní</w:t>
      </w:r>
      <w:proofErr w:type="spellEnd"/>
      <w:r w:rsidRPr="00510804">
        <w:rPr>
          <w:rFonts w:ascii="Arial" w:eastAsia="Arial" w:hAnsi="Arial" w:cs="Arial"/>
          <w:color w:val="auto"/>
          <w:sz w:val="22"/>
          <w:szCs w:val="22"/>
        </w:rPr>
        <w:t xml:space="preserve"> výzkum českých podniků a výzkumných organizací s jejich zahraničními partnery. Doposud podpořené projekty byly realizovány v partnerství se zeměmi zejména mimo Evrop</w:t>
      </w:r>
      <w:r w:rsidR="004D6503" w:rsidRPr="00510804">
        <w:rPr>
          <w:rFonts w:ascii="Arial" w:eastAsia="Arial" w:hAnsi="Arial" w:cs="Arial"/>
          <w:color w:val="auto"/>
          <w:sz w:val="22"/>
          <w:szCs w:val="22"/>
        </w:rPr>
        <w:t xml:space="preserve">ský hospodářský prostor - Čína, </w:t>
      </w:r>
      <w:proofErr w:type="spellStart"/>
      <w:r w:rsidRPr="00510804">
        <w:rPr>
          <w:rFonts w:ascii="Arial" w:eastAsia="Arial" w:hAnsi="Arial" w:cs="Arial"/>
          <w:color w:val="auto"/>
          <w:sz w:val="22"/>
          <w:szCs w:val="22"/>
        </w:rPr>
        <w:t>Taiwan</w:t>
      </w:r>
      <w:proofErr w:type="spellEnd"/>
      <w:r w:rsidRPr="00510804">
        <w:rPr>
          <w:rFonts w:ascii="Arial" w:eastAsia="Arial" w:hAnsi="Arial" w:cs="Arial"/>
          <w:color w:val="auto"/>
          <w:sz w:val="22"/>
          <w:szCs w:val="22"/>
        </w:rPr>
        <w:t>, Jižní Korea, Vietnam a také Německo. Na</w:t>
      </w:r>
      <w:bookmarkStart w:id="2" w:name="_GoBack"/>
      <w:bookmarkEnd w:id="2"/>
      <w:r w:rsidRPr="00510804">
        <w:rPr>
          <w:rFonts w:ascii="Arial" w:eastAsia="Arial" w:hAnsi="Arial" w:cs="Arial"/>
          <w:color w:val="auto"/>
          <w:sz w:val="22"/>
          <w:szCs w:val="22"/>
        </w:rPr>
        <w:t xml:space="preserve"> program DELTA navazuje nově připravený program DELTA 2. V řadě evropských i mimoevropských států existují nástroje, které jsou obdobné </w:t>
      </w:r>
      <w:r w:rsidR="004D6503" w:rsidRPr="00510804">
        <w:rPr>
          <w:rFonts w:ascii="Arial" w:eastAsia="Arial" w:hAnsi="Arial" w:cs="Arial"/>
          <w:color w:val="auto"/>
          <w:sz w:val="22"/>
          <w:szCs w:val="22"/>
        </w:rPr>
        <w:br/>
      </w:r>
      <w:r w:rsidRPr="00510804">
        <w:rPr>
          <w:rFonts w:ascii="Arial" w:eastAsia="Arial" w:hAnsi="Arial" w:cs="Arial"/>
          <w:color w:val="auto"/>
          <w:sz w:val="22"/>
          <w:szCs w:val="22"/>
        </w:rPr>
        <w:t>k programům DELTA a DELTA 2 (například ve Francii,</w:t>
      </w:r>
      <w:r w:rsidR="004D6503" w:rsidRPr="00510804">
        <w:rPr>
          <w:rFonts w:ascii="Arial" w:eastAsia="Arial" w:hAnsi="Arial" w:cs="Arial"/>
          <w:color w:val="auto"/>
          <w:sz w:val="22"/>
          <w:szCs w:val="22"/>
        </w:rPr>
        <w:t xml:space="preserve"> </w:t>
      </w:r>
      <w:r w:rsidRPr="00510804">
        <w:rPr>
          <w:rFonts w:ascii="Arial" w:eastAsia="Arial" w:hAnsi="Arial" w:cs="Arial"/>
          <w:color w:val="auto"/>
          <w:sz w:val="22"/>
          <w:szCs w:val="22"/>
        </w:rPr>
        <w:t>Španělsku, Polsku, respektive v Korejské republice, Státu Izrael, Japonsku a v dalších státech).</w:t>
      </w:r>
    </w:p>
    <w:p w:rsidR="00723180" w:rsidRPr="00510804" w:rsidRDefault="009D1A73">
      <w:pPr>
        <w:spacing w:before="120" w:after="120"/>
        <w:jc w:val="both"/>
        <w:rPr>
          <w:rFonts w:ascii="Arial" w:eastAsia="Arial" w:hAnsi="Arial" w:cs="Arial"/>
          <w:color w:val="auto"/>
          <w:sz w:val="22"/>
          <w:szCs w:val="22"/>
          <w:highlight w:val="white"/>
        </w:rPr>
      </w:pPr>
      <w:r w:rsidRPr="00510804">
        <w:rPr>
          <w:rFonts w:ascii="Arial" w:eastAsia="Arial" w:hAnsi="Arial" w:cs="Arial"/>
          <w:color w:val="auto"/>
          <w:sz w:val="22"/>
          <w:szCs w:val="22"/>
          <w:highlight w:val="white"/>
        </w:rPr>
        <w:t>Fondy Evropského hospodářského prostoru (dále též “EHP”)</w:t>
      </w:r>
      <w:r w:rsidR="00427059" w:rsidRPr="00510804">
        <w:rPr>
          <w:rFonts w:ascii="Arial" w:eastAsia="Arial" w:hAnsi="Arial" w:cs="Arial"/>
          <w:color w:val="auto"/>
          <w:sz w:val="22"/>
          <w:szCs w:val="22"/>
          <w:highlight w:val="white"/>
        </w:rPr>
        <w:t xml:space="preserve"> </w:t>
      </w:r>
      <w:r w:rsidRPr="00510804">
        <w:rPr>
          <w:rFonts w:ascii="Arial" w:eastAsia="Arial" w:hAnsi="Arial" w:cs="Arial"/>
          <w:color w:val="auto"/>
          <w:sz w:val="22"/>
          <w:szCs w:val="22"/>
          <w:highlight w:val="white"/>
        </w:rPr>
        <w:t xml:space="preserve">a Norské fondy představují finanční příspěvek </w:t>
      </w:r>
      <w:hyperlink r:id="rId9">
        <w:r w:rsidRPr="00510804">
          <w:rPr>
            <w:rFonts w:ascii="Arial" w:eastAsia="Arial" w:hAnsi="Arial" w:cs="Arial"/>
            <w:color w:val="auto"/>
            <w:sz w:val="22"/>
            <w:szCs w:val="22"/>
            <w:highlight w:val="white"/>
          </w:rPr>
          <w:t>Norska</w:t>
        </w:r>
      </w:hyperlink>
      <w:r w:rsidRPr="00510804">
        <w:rPr>
          <w:rFonts w:ascii="Arial" w:eastAsia="Arial" w:hAnsi="Arial" w:cs="Arial"/>
          <w:color w:val="auto"/>
          <w:sz w:val="22"/>
          <w:szCs w:val="22"/>
          <w:highlight w:val="white"/>
        </w:rPr>
        <w:t xml:space="preserve">, </w:t>
      </w:r>
      <w:hyperlink r:id="rId10">
        <w:r w:rsidRPr="00510804">
          <w:rPr>
            <w:rFonts w:ascii="Arial" w:eastAsia="Arial" w:hAnsi="Arial" w:cs="Arial"/>
            <w:color w:val="auto"/>
            <w:sz w:val="22"/>
            <w:szCs w:val="22"/>
            <w:highlight w:val="white"/>
          </w:rPr>
          <w:t>Islandu</w:t>
        </w:r>
      </w:hyperlink>
      <w:r w:rsidRPr="00510804">
        <w:rPr>
          <w:rFonts w:ascii="Arial" w:eastAsia="Arial" w:hAnsi="Arial" w:cs="Arial"/>
          <w:color w:val="auto"/>
          <w:sz w:val="22"/>
          <w:szCs w:val="22"/>
          <w:highlight w:val="white"/>
        </w:rPr>
        <w:t xml:space="preserve"> a </w:t>
      </w:r>
      <w:hyperlink r:id="rId11">
        <w:r w:rsidRPr="00510804">
          <w:rPr>
            <w:rFonts w:ascii="Arial" w:eastAsia="Arial" w:hAnsi="Arial" w:cs="Arial"/>
            <w:color w:val="auto"/>
            <w:sz w:val="22"/>
            <w:szCs w:val="22"/>
            <w:highlight w:val="white"/>
          </w:rPr>
          <w:t>Lichtenštejnska</w:t>
        </w:r>
      </w:hyperlink>
      <w:r w:rsidRPr="00510804">
        <w:rPr>
          <w:rFonts w:ascii="Arial" w:eastAsia="Arial" w:hAnsi="Arial" w:cs="Arial"/>
          <w:color w:val="auto"/>
          <w:sz w:val="22"/>
          <w:szCs w:val="22"/>
          <w:highlight w:val="white"/>
        </w:rPr>
        <w:t xml:space="preserve"> určený ke snížení ekonomických a sociálních nerovností uvnitř EHP. Dalším důvodem těchto příspěvků je posílení vzájemných vztahů </w:t>
      </w:r>
      <w:r w:rsidR="004D6503" w:rsidRPr="00510804">
        <w:rPr>
          <w:rFonts w:ascii="Arial" w:eastAsia="Arial" w:hAnsi="Arial" w:cs="Arial"/>
          <w:color w:val="auto"/>
          <w:sz w:val="22"/>
          <w:szCs w:val="22"/>
          <w:highlight w:val="white"/>
        </w:rPr>
        <w:br/>
      </w:r>
      <w:r w:rsidRPr="00510804">
        <w:rPr>
          <w:rFonts w:ascii="Arial" w:eastAsia="Arial" w:hAnsi="Arial" w:cs="Arial"/>
          <w:color w:val="auto"/>
          <w:sz w:val="22"/>
          <w:szCs w:val="22"/>
          <w:highlight w:val="white"/>
        </w:rPr>
        <w:t xml:space="preserve">s členskými zeměmi </w:t>
      </w:r>
      <w:hyperlink r:id="rId12">
        <w:r w:rsidRPr="00510804">
          <w:rPr>
            <w:rFonts w:ascii="Arial" w:eastAsia="Arial" w:hAnsi="Arial" w:cs="Arial"/>
            <w:color w:val="auto"/>
            <w:sz w:val="22"/>
            <w:szCs w:val="22"/>
            <w:highlight w:val="white"/>
          </w:rPr>
          <w:t>Evropské unie</w:t>
        </w:r>
      </w:hyperlink>
      <w:r w:rsidRPr="00510804">
        <w:rPr>
          <w:rFonts w:ascii="Arial" w:eastAsia="Arial" w:hAnsi="Arial" w:cs="Arial"/>
          <w:color w:val="auto"/>
          <w:sz w:val="22"/>
          <w:szCs w:val="22"/>
          <w:highlight w:val="white"/>
        </w:rPr>
        <w:t xml:space="preserve"> a EHP v severní, střední a jižní Evropě a jmenované státy tak mohou využívat volného pohybu zboží, služeb, osob a kapitálu v rámci vnitřního trhu EU. </w:t>
      </w:r>
    </w:p>
    <w:p w:rsidR="00723180" w:rsidRPr="00510804" w:rsidRDefault="009D1A73">
      <w:pPr>
        <w:spacing w:before="120" w:after="120"/>
        <w:jc w:val="both"/>
        <w:rPr>
          <w:rFonts w:ascii="Arial" w:eastAsia="Arial" w:hAnsi="Arial" w:cs="Arial"/>
          <w:color w:val="auto"/>
          <w:sz w:val="22"/>
          <w:szCs w:val="22"/>
          <w:highlight w:val="white"/>
        </w:rPr>
      </w:pPr>
      <w:r w:rsidRPr="00510804">
        <w:rPr>
          <w:rFonts w:ascii="Arial" w:eastAsia="Arial" w:hAnsi="Arial" w:cs="Arial"/>
          <w:color w:val="auto"/>
          <w:sz w:val="22"/>
          <w:szCs w:val="22"/>
          <w:highlight w:val="white"/>
        </w:rPr>
        <w:t>V programovém období 2009 - 2014 byl implementován Česko-Norský výzkumný program, jehož cílem bylo zvýšit vědecko-výzkumnou spolupráci mezi českými a norskými subjekty ve vybraných oblastech (sociální a humanitní vědy, životní prostředí, zdraví). V rámci jedné výzvy</w:t>
      </w:r>
      <w:r w:rsidRPr="00510804">
        <w:rPr>
          <w:rFonts w:ascii="Arial" w:eastAsia="Arial" w:hAnsi="Arial" w:cs="Arial"/>
          <w:color w:val="auto"/>
          <w:sz w:val="22"/>
          <w:szCs w:val="22"/>
          <w:highlight w:val="white"/>
          <w:vertAlign w:val="superscript"/>
        </w:rPr>
        <w:footnoteReference w:id="4"/>
      </w:r>
      <w:r w:rsidRPr="00510804">
        <w:rPr>
          <w:rFonts w:ascii="Arial" w:eastAsia="Arial" w:hAnsi="Arial" w:cs="Arial"/>
          <w:color w:val="auto"/>
          <w:sz w:val="22"/>
          <w:szCs w:val="22"/>
          <w:highlight w:val="white"/>
        </w:rPr>
        <w:t xml:space="preserve"> bylo podpořeno 23 projektů, které se zabývaly převážně základním výzkumem ve zmíněných oblastech. Do této výzvy se přihlásilo celkem 389 návrhů projektů, což poukazuje na to, že subjekty z ČR mají zájem zapojit se do mezinárodních výzkumných projektů se subjekty z Norska, Islandu či Lichtenštejnska. Z hlediska udržitelnosti bilaterálních partnerství je možné z programu KAPPA financovat navazující projekty již vzniklých konsorcií, j</w:t>
      </w:r>
      <w:r w:rsidR="004D6503" w:rsidRPr="00510804">
        <w:rPr>
          <w:rFonts w:ascii="Arial" w:eastAsia="Arial" w:hAnsi="Arial" w:cs="Arial"/>
          <w:color w:val="auto"/>
          <w:sz w:val="22"/>
          <w:szCs w:val="22"/>
          <w:highlight w:val="white"/>
        </w:rPr>
        <w:t xml:space="preserve">sou-li v souladu s programovými </w:t>
      </w:r>
      <w:r w:rsidRPr="00510804">
        <w:rPr>
          <w:rFonts w:ascii="Arial" w:eastAsia="Arial" w:hAnsi="Arial" w:cs="Arial"/>
          <w:color w:val="auto"/>
          <w:sz w:val="22"/>
          <w:szCs w:val="22"/>
          <w:highlight w:val="white"/>
        </w:rPr>
        <w:t>parametry</w:t>
      </w:r>
      <w:r w:rsidR="00EF443D" w:rsidRPr="00510804">
        <w:rPr>
          <w:rFonts w:ascii="Arial" w:eastAsia="Arial" w:hAnsi="Arial" w:cs="Arial"/>
          <w:color w:val="auto"/>
          <w:sz w:val="22"/>
          <w:szCs w:val="22"/>
          <w:highlight w:val="white"/>
        </w:rPr>
        <w:t xml:space="preserve"> a uspějí-li v hodnotícím procesu</w:t>
      </w:r>
      <w:r w:rsidRPr="00510804">
        <w:rPr>
          <w:rFonts w:ascii="Arial" w:eastAsia="Arial" w:hAnsi="Arial" w:cs="Arial"/>
          <w:color w:val="auto"/>
          <w:sz w:val="22"/>
          <w:szCs w:val="22"/>
          <w:highlight w:val="white"/>
        </w:rPr>
        <w:t>.</w:t>
      </w:r>
    </w:p>
    <w:p w:rsidR="00723180" w:rsidRPr="00510804" w:rsidRDefault="009D1A73">
      <w:pPr>
        <w:spacing w:before="120" w:after="120"/>
        <w:jc w:val="both"/>
        <w:rPr>
          <w:rFonts w:ascii="Arial" w:eastAsia="Arial" w:hAnsi="Arial" w:cs="Arial"/>
          <w:color w:val="auto"/>
          <w:sz w:val="22"/>
          <w:szCs w:val="22"/>
          <w:highlight w:val="white"/>
        </w:rPr>
      </w:pPr>
      <w:r w:rsidRPr="00510804">
        <w:rPr>
          <w:rFonts w:ascii="Arial" w:eastAsia="Arial" w:hAnsi="Arial" w:cs="Arial"/>
          <w:color w:val="auto"/>
          <w:sz w:val="22"/>
          <w:szCs w:val="22"/>
          <w:highlight w:val="white"/>
        </w:rPr>
        <w:t xml:space="preserve">Současně byl realizován také program Pilotní studie a průzkum technologií na zachycování </w:t>
      </w:r>
      <w:r w:rsidR="004D6503" w:rsidRPr="00510804">
        <w:rPr>
          <w:rFonts w:ascii="Arial" w:eastAsia="Arial" w:hAnsi="Arial" w:cs="Arial"/>
          <w:color w:val="auto"/>
          <w:sz w:val="22"/>
          <w:szCs w:val="22"/>
          <w:highlight w:val="white"/>
        </w:rPr>
        <w:br/>
      </w:r>
      <w:r w:rsidRPr="00510804">
        <w:rPr>
          <w:rFonts w:ascii="Arial" w:eastAsia="Arial" w:hAnsi="Arial" w:cs="Arial"/>
          <w:color w:val="auto"/>
          <w:sz w:val="22"/>
          <w:szCs w:val="22"/>
          <w:highlight w:val="white"/>
        </w:rPr>
        <w:t xml:space="preserve">a ukládání oxidu uhličitého (CCS), ve kterém byly podpořeny celkem 4 projekty s celkovou výší podpory cca 113,2 mil. Kč. Cílem programu bylo zjistit, zda je technicky a finančně možné aplikovat zachycování a ukládání oxidu uhličitého, zejména v podmínkách České republiky. </w:t>
      </w:r>
      <w:r w:rsidRPr="00510804">
        <w:rPr>
          <w:rFonts w:ascii="Arial" w:eastAsia="Arial" w:hAnsi="Arial" w:cs="Arial"/>
          <w:color w:val="auto"/>
          <w:sz w:val="22"/>
          <w:szCs w:val="22"/>
          <w:highlight w:val="white"/>
        </w:rPr>
        <w:lastRenderedPageBreak/>
        <w:t xml:space="preserve">Potřeba snížení klimatických změn, a tedy použití moderních technologií jako je CCS, je patrná stále intenzivněji. Přestože se téma CCS objevuje v české legislativě i směrnicích, nejsou zatím ve velkém poskytovány finanční prostředky na podporu této technologie odjinud, než z Norských fondů. Vůči aktuálnímu vývoji v ČR je tedy vysoce relevantní, že podpora výzkumu v oblasti CCS bude pokračovat rovněž v programu KAPPA.  </w:t>
      </w:r>
    </w:p>
    <w:p w:rsidR="00723180" w:rsidRPr="00510804" w:rsidRDefault="009D1A73">
      <w:pPr>
        <w:spacing w:before="120" w:after="120"/>
        <w:jc w:val="both"/>
        <w:rPr>
          <w:rFonts w:ascii="Arial" w:eastAsia="Arial" w:hAnsi="Arial" w:cs="Arial"/>
          <w:color w:val="auto"/>
          <w:sz w:val="22"/>
          <w:szCs w:val="22"/>
        </w:rPr>
      </w:pPr>
      <w:r w:rsidRPr="00510804">
        <w:rPr>
          <w:rFonts w:ascii="Arial" w:eastAsia="Arial" w:hAnsi="Arial" w:cs="Arial"/>
          <w:color w:val="auto"/>
          <w:sz w:val="22"/>
          <w:szCs w:val="22"/>
        </w:rPr>
        <w:t xml:space="preserve">Celkově Česká republika v navazujícím programovém období obdrží z fondů EHP a Norských fondů 184,5 mil. EUR (cca 5 mld. Kč). Pro oblast výzkumu a inovací je vyčleněno 30 mil. EUR (cca 765 mil. Kč) a nově oproti předchozímu období je podpora z těchto grantů směřována pouze na projekty aplikovaného výzkumu a inovací (vč. CCS technologií). V rámci vyjednávání </w:t>
      </w:r>
      <w:r w:rsidR="004D6503" w:rsidRPr="00510804">
        <w:rPr>
          <w:rFonts w:ascii="Arial" w:eastAsia="Arial" w:hAnsi="Arial" w:cs="Arial"/>
          <w:color w:val="auto"/>
          <w:sz w:val="22"/>
          <w:szCs w:val="22"/>
        </w:rPr>
        <w:br/>
      </w:r>
      <w:r w:rsidRPr="00510804">
        <w:rPr>
          <w:rFonts w:ascii="Arial" w:eastAsia="Arial" w:hAnsi="Arial" w:cs="Arial"/>
          <w:color w:val="auto"/>
          <w:sz w:val="22"/>
          <w:szCs w:val="22"/>
        </w:rPr>
        <w:t xml:space="preserve">s programovým partnerem, </w:t>
      </w:r>
      <w:proofErr w:type="spellStart"/>
      <w:r w:rsidRPr="00510804">
        <w:rPr>
          <w:rFonts w:ascii="Arial" w:eastAsia="Arial" w:hAnsi="Arial" w:cs="Arial"/>
          <w:color w:val="auto"/>
          <w:sz w:val="22"/>
          <w:szCs w:val="22"/>
        </w:rPr>
        <w:t>Research</w:t>
      </w:r>
      <w:proofErr w:type="spellEnd"/>
      <w:r w:rsidRPr="00510804">
        <w:rPr>
          <w:rFonts w:ascii="Arial" w:eastAsia="Arial" w:hAnsi="Arial" w:cs="Arial"/>
          <w:color w:val="auto"/>
          <w:sz w:val="22"/>
          <w:szCs w:val="22"/>
        </w:rPr>
        <w:t xml:space="preserve"> </w:t>
      </w:r>
      <w:proofErr w:type="spellStart"/>
      <w:r w:rsidRPr="00510804">
        <w:rPr>
          <w:rFonts w:ascii="Arial" w:eastAsia="Arial" w:hAnsi="Arial" w:cs="Arial"/>
          <w:color w:val="auto"/>
          <w:sz w:val="22"/>
          <w:szCs w:val="22"/>
        </w:rPr>
        <w:t>Council</w:t>
      </w:r>
      <w:proofErr w:type="spellEnd"/>
      <w:r w:rsidRPr="00510804">
        <w:rPr>
          <w:rFonts w:ascii="Arial" w:eastAsia="Arial" w:hAnsi="Arial" w:cs="Arial"/>
          <w:color w:val="auto"/>
          <w:sz w:val="22"/>
          <w:szCs w:val="22"/>
        </w:rPr>
        <w:t xml:space="preserve"> </w:t>
      </w:r>
      <w:proofErr w:type="spellStart"/>
      <w:r w:rsidRPr="00510804">
        <w:rPr>
          <w:rFonts w:ascii="Arial" w:eastAsia="Arial" w:hAnsi="Arial" w:cs="Arial"/>
          <w:color w:val="auto"/>
          <w:sz w:val="22"/>
          <w:szCs w:val="22"/>
        </w:rPr>
        <w:t>of</w:t>
      </w:r>
      <w:proofErr w:type="spellEnd"/>
      <w:r w:rsidRPr="00510804">
        <w:rPr>
          <w:rFonts w:ascii="Arial" w:eastAsia="Arial" w:hAnsi="Arial" w:cs="Arial"/>
          <w:color w:val="auto"/>
          <w:sz w:val="22"/>
          <w:szCs w:val="22"/>
        </w:rPr>
        <w:t xml:space="preserve"> </w:t>
      </w:r>
      <w:proofErr w:type="spellStart"/>
      <w:r w:rsidRPr="00510804">
        <w:rPr>
          <w:rFonts w:ascii="Arial" w:eastAsia="Arial" w:hAnsi="Arial" w:cs="Arial"/>
          <w:color w:val="auto"/>
          <w:sz w:val="22"/>
          <w:szCs w:val="22"/>
        </w:rPr>
        <w:t>Norway</w:t>
      </w:r>
      <w:proofErr w:type="spellEnd"/>
      <w:r w:rsidRPr="00510804">
        <w:rPr>
          <w:rFonts w:ascii="Arial" w:eastAsia="Arial" w:hAnsi="Arial" w:cs="Arial"/>
          <w:color w:val="auto"/>
          <w:sz w:val="22"/>
          <w:szCs w:val="22"/>
        </w:rPr>
        <w:t>, se dospělo k záv</w:t>
      </w:r>
      <w:r w:rsidR="004D6503" w:rsidRPr="00510804">
        <w:rPr>
          <w:rFonts w:ascii="Arial" w:eastAsia="Arial" w:hAnsi="Arial" w:cs="Arial"/>
          <w:color w:val="auto"/>
          <w:sz w:val="22"/>
          <w:szCs w:val="22"/>
        </w:rPr>
        <w:t>ěru, že současný program bude te</w:t>
      </w:r>
      <w:r w:rsidRPr="00510804">
        <w:rPr>
          <w:rFonts w:ascii="Arial" w:eastAsia="Arial" w:hAnsi="Arial" w:cs="Arial"/>
          <w:color w:val="auto"/>
          <w:sz w:val="22"/>
          <w:szCs w:val="22"/>
        </w:rPr>
        <w:t xml:space="preserve">maticky otevřen (projekty musí být v souladu s národními dokumenty, platnými strategiemi a legislativou ČR a dárcovských zemí). Hlavním důvodem je podpora orientace českého aplikovaného výzkumu, experimentálního vývoje a inovací napříč pokročilými obory a zapojení českých týmů do mezinárodních bilaterálních nebo multilaterálních výzkumných projektů, konsorcií či sdružení. </w:t>
      </w:r>
    </w:p>
    <w:p w:rsidR="00723180" w:rsidRPr="00510804" w:rsidRDefault="009D1A73">
      <w:pPr>
        <w:spacing w:before="120" w:after="120"/>
        <w:jc w:val="both"/>
        <w:rPr>
          <w:rFonts w:ascii="Arial" w:eastAsia="Arial" w:hAnsi="Arial" w:cs="Arial"/>
          <w:color w:val="auto"/>
          <w:sz w:val="22"/>
          <w:szCs w:val="22"/>
        </w:rPr>
      </w:pPr>
      <w:r w:rsidRPr="00510804">
        <w:rPr>
          <w:rFonts w:ascii="Arial" w:eastAsia="Arial" w:hAnsi="Arial" w:cs="Arial"/>
          <w:color w:val="auto"/>
          <w:sz w:val="22"/>
          <w:szCs w:val="22"/>
        </w:rPr>
        <w:t xml:space="preserve">EHP a Norské fondy přispívají k rozvoji výzkumu a vývoji také v dalších evropských zemích. Zejména Polská republika, Rumunsko, Maďarská republika, Bulharsko a ČR patří mezi největší příjemce z hlediska objemu příspěvků. Polsko-norský výzkumný program cílil v minulém období na snižování hospodářských a sociálních rozdílů a zvýšení bilaterální spolupráce prostřednictvím popularizace a podpory výzkumu, vč. podpory výzkumu v CCS oblasti. Maďarsko-norský výzkumný program směřoval podporu do stejných oblastí jako ČR (čili </w:t>
      </w:r>
      <w:r w:rsidRPr="00510804">
        <w:rPr>
          <w:rFonts w:ascii="Arial" w:eastAsia="Arial" w:hAnsi="Arial" w:cs="Arial"/>
          <w:color w:val="auto"/>
          <w:sz w:val="22"/>
          <w:szCs w:val="22"/>
          <w:highlight w:val="white"/>
        </w:rPr>
        <w:t xml:space="preserve">sociální a humanitní vědy, životní prostředí, zdraví). </w:t>
      </w:r>
      <w:r w:rsidRPr="00510804">
        <w:rPr>
          <w:rFonts w:ascii="Arial" w:eastAsia="Arial" w:hAnsi="Arial" w:cs="Arial"/>
          <w:color w:val="auto"/>
          <w:sz w:val="22"/>
          <w:szCs w:val="22"/>
        </w:rPr>
        <w:t xml:space="preserve">Zvyšování mezinárodní spolupráce mezi přijímajícími a dárcovskými státy je prioritou všech výzkumných programů, přijímající podporu z těchto fondů. </w:t>
      </w:r>
    </w:p>
    <w:sectPr w:rsidR="00723180" w:rsidRPr="00510804" w:rsidSect="00592E19">
      <w:footerReference w:type="default" r:id="rId13"/>
      <w:pgSz w:w="11906" w:h="16838"/>
      <w:pgMar w:top="1418" w:right="1134" w:bottom="1418" w:left="1134" w:header="708" w:footer="425"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1FF" w:rsidRDefault="005871FF">
      <w:r>
        <w:separator/>
      </w:r>
    </w:p>
  </w:endnote>
  <w:endnote w:type="continuationSeparator" w:id="0">
    <w:p w:rsidR="005871FF" w:rsidRDefault="00587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180" w:rsidRDefault="009D1A73">
    <w:pPr>
      <w:pStyle w:val="Podtitul"/>
      <w:spacing w:after="720"/>
    </w:pPr>
    <w:r>
      <w:rPr>
        <w:rFonts w:ascii="Arial" w:eastAsia="Arial" w:hAnsi="Arial" w:cs="Arial"/>
        <w:sz w:val="22"/>
        <w:szCs w:val="22"/>
      </w:rPr>
      <w:t xml:space="preserve">Stránka </w:t>
    </w:r>
    <w:r>
      <w:fldChar w:fldCharType="begin"/>
    </w:r>
    <w:r>
      <w:instrText>PAGE</w:instrText>
    </w:r>
    <w:r>
      <w:fldChar w:fldCharType="separate"/>
    </w:r>
    <w:r w:rsidR="00510804">
      <w:rPr>
        <w:noProof/>
      </w:rPr>
      <w:t>8</w:t>
    </w:r>
    <w:r>
      <w:fldChar w:fldCharType="end"/>
    </w:r>
    <w:r>
      <w:rPr>
        <w:rFonts w:ascii="Arial" w:eastAsia="Arial" w:hAnsi="Arial" w:cs="Arial"/>
        <w:sz w:val="22"/>
        <w:szCs w:val="22"/>
      </w:rPr>
      <w:t xml:space="preserve"> (celkem </w:t>
    </w:r>
    <w:r>
      <w:fldChar w:fldCharType="begin"/>
    </w:r>
    <w:r>
      <w:instrText>NUMPAGES</w:instrText>
    </w:r>
    <w:r>
      <w:fldChar w:fldCharType="separate"/>
    </w:r>
    <w:r w:rsidR="00510804">
      <w:rPr>
        <w:noProof/>
      </w:rPr>
      <w:t>8</w:t>
    </w:r>
    <w:r>
      <w:fldChar w:fldCharType="end"/>
    </w:r>
    <w:r>
      <w:rPr>
        <w:rFonts w:ascii="Arial" w:eastAsia="Arial" w:hAnsi="Arial" w:cs="Arial"/>
        <w:sz w:val="22"/>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1FF" w:rsidRDefault="005871FF">
      <w:r>
        <w:separator/>
      </w:r>
    </w:p>
  </w:footnote>
  <w:footnote w:type="continuationSeparator" w:id="0">
    <w:p w:rsidR="005871FF" w:rsidRDefault="005871FF">
      <w:r>
        <w:continuationSeparator/>
      </w:r>
    </w:p>
  </w:footnote>
  <w:footnote w:id="1">
    <w:p w:rsidR="00723180" w:rsidRPr="007264C7" w:rsidRDefault="009D1A73">
      <w:pPr>
        <w:rPr>
          <w:rFonts w:ascii="Arial" w:hAnsi="Arial" w:cs="Arial"/>
          <w:sz w:val="16"/>
          <w:szCs w:val="16"/>
        </w:rPr>
      </w:pPr>
      <w:r w:rsidRPr="007264C7">
        <w:rPr>
          <w:rFonts w:ascii="Arial" w:hAnsi="Arial" w:cs="Arial"/>
          <w:sz w:val="16"/>
          <w:szCs w:val="16"/>
          <w:vertAlign w:val="superscript"/>
        </w:rPr>
        <w:footnoteRef/>
      </w:r>
      <w:r w:rsidRPr="007264C7">
        <w:rPr>
          <w:rFonts w:ascii="Arial" w:hAnsi="Arial" w:cs="Arial"/>
          <w:sz w:val="16"/>
          <w:szCs w:val="16"/>
        </w:rPr>
        <w:t xml:space="preserve">Pro potřeby programu je pojmem Norské fondy myšlena finanční alokace ustanovena v </w:t>
      </w:r>
      <w:r w:rsidRPr="007264C7">
        <w:rPr>
          <w:rFonts w:ascii="Arial" w:eastAsia="Arial" w:hAnsi="Arial" w:cs="Arial"/>
          <w:sz w:val="16"/>
          <w:szCs w:val="16"/>
        </w:rPr>
        <w:t>Memorandu, o porozumění o implementaci Finančních mechanismů Norska 2014 – 2021 mezi Norským královstvím (dále také “Norsko”) a Českou republikou</w:t>
      </w:r>
      <w:r w:rsidR="007D0C8A">
        <w:rPr>
          <w:rFonts w:ascii="Arial" w:eastAsia="Arial" w:hAnsi="Arial" w:cs="Arial"/>
          <w:sz w:val="16"/>
          <w:szCs w:val="16"/>
        </w:rPr>
        <w:t>, konkrétně pro program Výzkum</w:t>
      </w:r>
      <w:r w:rsidRPr="007264C7">
        <w:rPr>
          <w:rFonts w:ascii="Arial" w:eastAsia="Arial" w:hAnsi="Arial" w:cs="Arial"/>
          <w:sz w:val="16"/>
          <w:szCs w:val="16"/>
        </w:rPr>
        <w:t xml:space="preserve">. Pro projekty </w:t>
      </w:r>
      <w:r w:rsidR="00427059">
        <w:rPr>
          <w:rFonts w:ascii="Arial" w:eastAsia="Arial" w:hAnsi="Arial" w:cs="Arial"/>
          <w:sz w:val="16"/>
          <w:szCs w:val="16"/>
        </w:rPr>
        <w:t>zaměřené na zachytávání a ukládání uhlíku</w:t>
      </w:r>
      <w:r w:rsidRPr="007264C7">
        <w:rPr>
          <w:rFonts w:ascii="Arial" w:eastAsia="Arial" w:hAnsi="Arial" w:cs="Arial"/>
          <w:sz w:val="16"/>
          <w:szCs w:val="16"/>
        </w:rPr>
        <w:t xml:space="preserve"> bude vyčleněno přibližně 144 000 000 Kč.</w:t>
      </w:r>
    </w:p>
  </w:footnote>
  <w:footnote w:id="2">
    <w:p w:rsidR="00723180" w:rsidRDefault="009D1A73">
      <w:pPr>
        <w:rPr>
          <w:rFonts w:ascii="Arial" w:eastAsia="Arial" w:hAnsi="Arial" w:cs="Arial"/>
          <w:sz w:val="16"/>
          <w:szCs w:val="16"/>
        </w:rPr>
      </w:pPr>
      <w:r w:rsidRPr="007264C7">
        <w:rPr>
          <w:rFonts w:ascii="Arial" w:hAnsi="Arial" w:cs="Arial"/>
          <w:sz w:val="16"/>
          <w:szCs w:val="16"/>
          <w:vertAlign w:val="superscript"/>
        </w:rPr>
        <w:footnoteRef/>
      </w:r>
      <w:r w:rsidRPr="007264C7">
        <w:rPr>
          <w:rFonts w:ascii="Arial" w:eastAsia="Arial" w:hAnsi="Arial" w:cs="Arial"/>
          <w:sz w:val="16"/>
          <w:szCs w:val="16"/>
        </w:rPr>
        <w:t xml:space="preserve"> Následně pak</w:t>
      </w:r>
      <w:r w:rsidR="007264C7">
        <w:rPr>
          <w:rFonts w:ascii="Arial" w:eastAsia="Arial" w:hAnsi="Arial" w:cs="Arial"/>
          <w:sz w:val="16"/>
          <w:szCs w:val="16"/>
        </w:rPr>
        <w:t xml:space="preserve"> v 9. </w:t>
      </w:r>
      <w:r w:rsidRPr="007264C7">
        <w:rPr>
          <w:rFonts w:ascii="Arial" w:eastAsia="Arial" w:hAnsi="Arial" w:cs="Arial"/>
          <w:sz w:val="16"/>
          <w:szCs w:val="16"/>
        </w:rPr>
        <w:t>rámcovém programu pro výzkum a inovace, který nahradí Horizont 2020 od roku 2021.</w:t>
      </w:r>
    </w:p>
  </w:footnote>
  <w:footnote w:id="3">
    <w:p w:rsidR="00FA686C" w:rsidRDefault="00FA686C">
      <w:pPr>
        <w:pStyle w:val="Textpoznpodarou"/>
      </w:pPr>
      <w:r>
        <w:rPr>
          <w:rStyle w:val="Znakapoznpodarou"/>
        </w:rPr>
        <w:footnoteRef/>
      </w:r>
      <w:r>
        <w:t xml:space="preserve"> </w:t>
      </w:r>
      <w:r w:rsidRPr="00643BD3">
        <w:rPr>
          <w:rFonts w:ascii="Arial" w:eastAsia="Arial" w:hAnsi="Arial" w:cs="Arial"/>
          <w:sz w:val="16"/>
          <w:szCs w:val="16"/>
        </w:rPr>
        <w:t>Při tvorbě programu bylo kalkulováno s kurzem 1 EUR = 25,5 Kč.</w:t>
      </w:r>
    </w:p>
  </w:footnote>
  <w:footnote w:id="4">
    <w:p w:rsidR="00723180" w:rsidRPr="004D6503" w:rsidRDefault="009D1A73" w:rsidP="00E51523">
      <w:pPr>
        <w:rPr>
          <w:rFonts w:ascii="Arial" w:hAnsi="Arial" w:cs="Arial"/>
          <w:sz w:val="16"/>
          <w:szCs w:val="16"/>
        </w:rPr>
      </w:pPr>
      <w:r w:rsidRPr="004D6503">
        <w:rPr>
          <w:rFonts w:ascii="Arial" w:hAnsi="Arial" w:cs="Arial"/>
          <w:sz w:val="16"/>
          <w:szCs w:val="16"/>
          <w:vertAlign w:val="superscript"/>
        </w:rPr>
        <w:footnoteRef/>
      </w:r>
      <w:r w:rsidRPr="004D6503">
        <w:rPr>
          <w:rFonts w:ascii="Arial" w:hAnsi="Arial" w:cs="Arial"/>
          <w:sz w:val="16"/>
          <w:szCs w:val="16"/>
        </w:rPr>
        <w:t xml:space="preserve"> Informace z </w:t>
      </w:r>
      <w:proofErr w:type="spellStart"/>
      <w:r w:rsidRPr="004D6503">
        <w:rPr>
          <w:rFonts w:ascii="Arial" w:hAnsi="Arial" w:cs="Arial"/>
          <w:sz w:val="16"/>
          <w:szCs w:val="16"/>
        </w:rPr>
        <w:t>Evaluation</w:t>
      </w:r>
      <w:proofErr w:type="spellEnd"/>
      <w:r w:rsidRPr="004D6503">
        <w:rPr>
          <w:rFonts w:ascii="Arial" w:hAnsi="Arial" w:cs="Arial"/>
          <w:sz w:val="16"/>
          <w:szCs w:val="16"/>
        </w:rPr>
        <w:t xml:space="preserve"> report </w:t>
      </w:r>
      <w:proofErr w:type="spellStart"/>
      <w:r w:rsidRPr="004D6503">
        <w:rPr>
          <w:rFonts w:ascii="Arial" w:hAnsi="Arial" w:cs="Arial"/>
          <w:sz w:val="16"/>
          <w:szCs w:val="16"/>
        </w:rPr>
        <w:t>of</w:t>
      </w:r>
      <w:proofErr w:type="spellEnd"/>
      <w:r w:rsidRPr="004D6503">
        <w:rPr>
          <w:rFonts w:ascii="Arial" w:hAnsi="Arial" w:cs="Arial"/>
          <w:sz w:val="16"/>
          <w:szCs w:val="16"/>
        </w:rPr>
        <w:t xml:space="preserve"> Czech-</w:t>
      </w:r>
      <w:proofErr w:type="spellStart"/>
      <w:r w:rsidRPr="004D6503">
        <w:rPr>
          <w:rFonts w:ascii="Arial" w:hAnsi="Arial" w:cs="Arial"/>
          <w:sz w:val="16"/>
          <w:szCs w:val="16"/>
        </w:rPr>
        <w:t>Norwegian</w:t>
      </w:r>
      <w:proofErr w:type="spellEnd"/>
      <w:r w:rsidRPr="004D6503">
        <w:rPr>
          <w:rFonts w:ascii="Arial" w:hAnsi="Arial" w:cs="Arial"/>
          <w:sz w:val="16"/>
          <w:szCs w:val="16"/>
        </w:rPr>
        <w:t xml:space="preserve"> </w:t>
      </w:r>
      <w:proofErr w:type="spellStart"/>
      <w:r w:rsidRPr="004D6503">
        <w:rPr>
          <w:rFonts w:ascii="Arial" w:hAnsi="Arial" w:cs="Arial"/>
          <w:sz w:val="16"/>
          <w:szCs w:val="16"/>
        </w:rPr>
        <w:t>Research</w:t>
      </w:r>
      <w:proofErr w:type="spellEnd"/>
      <w:r w:rsidRPr="004D6503">
        <w:rPr>
          <w:rFonts w:ascii="Arial" w:hAnsi="Arial" w:cs="Arial"/>
          <w:sz w:val="16"/>
          <w:szCs w:val="16"/>
        </w:rPr>
        <w:t xml:space="preserve"> </w:t>
      </w:r>
      <w:proofErr w:type="spellStart"/>
      <w:r w:rsidRPr="004D6503">
        <w:rPr>
          <w:rFonts w:ascii="Arial" w:hAnsi="Arial" w:cs="Arial"/>
          <w:sz w:val="16"/>
          <w:szCs w:val="16"/>
        </w:rPr>
        <w:t>Programme</w:t>
      </w:r>
      <w:proofErr w:type="spellEnd"/>
      <w:r w:rsidRPr="004D6503">
        <w:rPr>
          <w:rFonts w:ascii="Arial" w:hAnsi="Arial" w:cs="Arial"/>
          <w:sz w:val="16"/>
          <w:szCs w:val="16"/>
        </w:rPr>
        <w:t>, July 2017</w:t>
      </w:r>
      <w:r w:rsidR="002A75ED">
        <w:rPr>
          <w:rFonts w:ascii="Arial" w:hAnsi="Arial" w:cs="Arial"/>
          <w:sz w:val="16"/>
          <w:szCs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63F8F"/>
    <w:multiLevelType w:val="multilevel"/>
    <w:tmpl w:val="296671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99A56D9"/>
    <w:multiLevelType w:val="multilevel"/>
    <w:tmpl w:val="F4B6AA9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nsid w:val="4DD05EB6"/>
    <w:multiLevelType w:val="multilevel"/>
    <w:tmpl w:val="505674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71662B52"/>
    <w:multiLevelType w:val="multilevel"/>
    <w:tmpl w:val="3ADED5E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nsid w:val="7D9518B4"/>
    <w:multiLevelType w:val="multilevel"/>
    <w:tmpl w:val="B150BF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723180"/>
    <w:rsid w:val="001E750F"/>
    <w:rsid w:val="002A75ED"/>
    <w:rsid w:val="003F7081"/>
    <w:rsid w:val="00427059"/>
    <w:rsid w:val="004647F8"/>
    <w:rsid w:val="004B51FE"/>
    <w:rsid w:val="004D6503"/>
    <w:rsid w:val="00510804"/>
    <w:rsid w:val="00554DC3"/>
    <w:rsid w:val="005871FF"/>
    <w:rsid w:val="00592E19"/>
    <w:rsid w:val="00605F46"/>
    <w:rsid w:val="00664D45"/>
    <w:rsid w:val="00723180"/>
    <w:rsid w:val="007264C7"/>
    <w:rsid w:val="00763D97"/>
    <w:rsid w:val="007D0C8A"/>
    <w:rsid w:val="009D1A73"/>
    <w:rsid w:val="00C11789"/>
    <w:rsid w:val="00C55DB7"/>
    <w:rsid w:val="00E51523"/>
    <w:rsid w:val="00EF443D"/>
    <w:rsid w:val="00FA686C"/>
    <w:rsid w:val="00FC5A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cs-CZ" w:eastAsia="cs-CZ"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spacing w:before="240" w:after="120"/>
      <w:ind w:left="426" w:hanging="360"/>
      <w:jc w:val="both"/>
      <w:outlineLvl w:val="0"/>
    </w:pPr>
    <w:rPr>
      <w:rFonts w:ascii="Arial" w:eastAsia="Arial" w:hAnsi="Arial" w:cs="Arial"/>
      <w:sz w:val="22"/>
      <w:szCs w:val="22"/>
    </w:rPr>
  </w:style>
  <w:style w:type="paragraph" w:styleId="Nadpis2">
    <w:name w:val="heading 2"/>
    <w:basedOn w:val="Normln"/>
    <w:next w:val="Normln"/>
    <w:pPr>
      <w:keepNext/>
      <w:spacing w:before="120" w:after="120"/>
      <w:jc w:val="both"/>
      <w:outlineLvl w:val="1"/>
    </w:pPr>
    <w:rPr>
      <w:rFonts w:ascii="Arial" w:eastAsia="Arial" w:hAnsi="Arial" w:cs="Arial"/>
      <w:b/>
      <w:sz w:val="22"/>
      <w:szCs w:val="22"/>
    </w:rPr>
  </w:style>
  <w:style w:type="paragraph" w:styleId="Nadpis3">
    <w:name w:val="heading 3"/>
    <w:basedOn w:val="Normln"/>
    <w:next w:val="Normln"/>
    <w:pPr>
      <w:keepNext/>
      <w:keepLines/>
      <w:spacing w:before="280" w:after="80" w:line="276" w:lineRule="auto"/>
      <w:outlineLvl w:val="2"/>
    </w:pPr>
    <w:rPr>
      <w:rFonts w:ascii="Calibri" w:eastAsia="Calibri" w:hAnsi="Calibri" w:cs="Calibri"/>
      <w:b/>
      <w:sz w:val="28"/>
      <w:szCs w:val="28"/>
    </w:rPr>
  </w:style>
  <w:style w:type="paragraph" w:styleId="Nadpis4">
    <w:name w:val="heading 4"/>
    <w:basedOn w:val="Normln"/>
    <w:next w:val="Normln"/>
    <w:pPr>
      <w:keepNext/>
      <w:keepLines/>
      <w:spacing w:before="240" w:after="40" w:line="276" w:lineRule="auto"/>
      <w:outlineLvl w:val="3"/>
    </w:pPr>
    <w:rPr>
      <w:rFonts w:ascii="Calibri" w:eastAsia="Calibri" w:hAnsi="Calibri" w:cs="Calibri"/>
      <w:b/>
    </w:rPr>
  </w:style>
  <w:style w:type="paragraph" w:styleId="Nadpis5">
    <w:name w:val="heading 5"/>
    <w:basedOn w:val="Normln"/>
    <w:next w:val="Normln"/>
    <w:pPr>
      <w:keepNext/>
      <w:keepLines/>
      <w:spacing w:before="220" w:after="40" w:line="276" w:lineRule="auto"/>
      <w:outlineLvl w:val="4"/>
    </w:pPr>
    <w:rPr>
      <w:rFonts w:ascii="Calibri" w:eastAsia="Calibri" w:hAnsi="Calibri" w:cs="Calibri"/>
      <w:b/>
      <w:sz w:val="22"/>
      <w:szCs w:val="22"/>
    </w:rPr>
  </w:style>
  <w:style w:type="paragraph" w:styleId="Nadpis6">
    <w:name w:val="heading 6"/>
    <w:basedOn w:val="Normln"/>
    <w:next w:val="Normln"/>
    <w:pPr>
      <w:keepNext/>
      <w:keepLines/>
      <w:spacing w:before="200" w:after="40" w:line="276" w:lineRule="auto"/>
      <w:outlineLvl w:val="5"/>
    </w:pPr>
    <w:rPr>
      <w:rFonts w:ascii="Calibri" w:eastAsia="Calibri" w:hAnsi="Calibri" w:cs="Calibri"/>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line="276" w:lineRule="auto"/>
    </w:pPr>
    <w:rPr>
      <w:rFonts w:ascii="Calibri" w:eastAsia="Calibri" w:hAnsi="Calibri" w:cs="Calibri"/>
      <w:b/>
      <w:sz w:val="72"/>
      <w:szCs w:val="72"/>
    </w:rPr>
  </w:style>
  <w:style w:type="paragraph" w:styleId="Podtitul">
    <w:name w:val="Subtitle"/>
    <w:basedOn w:val="Normln"/>
    <w:next w:val="Normln"/>
    <w:pPr>
      <w:keepNext/>
      <w:keepLines/>
      <w:spacing w:after="60"/>
      <w:jc w:val="center"/>
    </w:pPr>
    <w:rPr>
      <w:rFonts w:ascii="Cambria" w:eastAsia="Cambria" w:hAnsi="Cambria" w:cs="Cambria"/>
      <w:i/>
      <w:color w:val="666666"/>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pPr>
      <w:contextualSpacing/>
    </w:pPr>
    <w:tblPr>
      <w:tblStyleRowBandSize w:val="1"/>
      <w:tblStyleColBandSize w:val="1"/>
      <w:tblCellMar>
        <w:left w:w="115" w:type="dxa"/>
        <w:right w:w="115" w:type="dxa"/>
      </w:tblCellMar>
    </w:tblPr>
    <w:tblStylePr w:type="firstRow">
      <w:pPr>
        <w:contextualSpacing/>
      </w:pPr>
      <w:tblPr/>
      <w:tcPr>
        <w:tcMar>
          <w:top w:w="0" w:type="dxa"/>
          <w:left w:w="115" w:type="dxa"/>
          <w:bottom w:w="0" w:type="dxa"/>
          <w:right w:w="115" w:type="dxa"/>
        </w:tcMar>
      </w:tcPr>
    </w:tblStylePr>
    <w:tblStylePr w:type="lastRow">
      <w:pPr>
        <w:contextualSpacing/>
      </w:pPr>
      <w:tblPr/>
      <w:tcPr>
        <w:tcMar>
          <w:top w:w="0" w:type="dxa"/>
          <w:left w:w="115" w:type="dxa"/>
          <w:bottom w:w="0" w:type="dxa"/>
          <w:right w:w="115" w:type="dxa"/>
        </w:tcMar>
      </w:tcPr>
    </w:tblStylePr>
    <w:tblStylePr w:type="firstCol">
      <w:pPr>
        <w:contextualSpacing/>
      </w:pPr>
      <w:tblPr/>
      <w:tcPr>
        <w:tcMar>
          <w:top w:w="0" w:type="dxa"/>
          <w:left w:w="115" w:type="dxa"/>
          <w:bottom w:w="0" w:type="dxa"/>
          <w:right w:w="115" w:type="dxa"/>
        </w:tcMar>
      </w:tcPr>
    </w:tblStylePr>
    <w:tblStylePr w:type="lastCol">
      <w:pPr>
        <w:contextualSpacing/>
      </w:pPr>
      <w:tblPr/>
      <w:tcPr>
        <w:tcMar>
          <w:top w:w="0" w:type="dxa"/>
          <w:left w:w="115" w:type="dxa"/>
          <w:bottom w:w="0" w:type="dxa"/>
          <w:right w:w="115" w:type="dxa"/>
        </w:tcMar>
      </w:tcPr>
    </w:tblStylePr>
    <w:tblStylePr w:type="band1Vert">
      <w:pPr>
        <w:contextualSpacing/>
      </w:pPr>
      <w:tblPr/>
      <w:tcPr>
        <w:tcMar>
          <w:top w:w="0" w:type="dxa"/>
          <w:left w:w="115" w:type="dxa"/>
          <w:bottom w:w="0" w:type="dxa"/>
          <w:right w:w="115" w:type="dxa"/>
        </w:tcMar>
      </w:tcPr>
    </w:tblStylePr>
    <w:tblStylePr w:type="band2Vert">
      <w:pPr>
        <w:contextualSpacing/>
      </w:pPr>
      <w:tblPr/>
      <w:tcPr>
        <w:tcMar>
          <w:top w:w="0" w:type="dxa"/>
          <w:left w:w="115" w:type="dxa"/>
          <w:bottom w:w="0" w:type="dxa"/>
          <w:right w:w="115" w:type="dxa"/>
        </w:tcMar>
      </w:tcPr>
    </w:tblStylePr>
    <w:tblStylePr w:type="band1Horz">
      <w:pPr>
        <w:contextualSpacing/>
      </w:pPr>
      <w:tblPr/>
      <w:tcPr>
        <w:tcMar>
          <w:top w:w="0" w:type="dxa"/>
          <w:left w:w="115" w:type="dxa"/>
          <w:bottom w:w="0" w:type="dxa"/>
          <w:right w:w="115" w:type="dxa"/>
        </w:tcMar>
      </w:tcPr>
    </w:tblStylePr>
    <w:tblStylePr w:type="band2Horz">
      <w:pPr>
        <w:contextualSpacing/>
      </w:pPr>
      <w:tblPr/>
      <w:tcPr>
        <w:tcMar>
          <w:top w:w="0" w:type="dxa"/>
          <w:left w:w="115" w:type="dxa"/>
          <w:bottom w:w="0" w:type="dxa"/>
          <w:right w:w="115" w:type="dxa"/>
        </w:tcMar>
      </w:tcPr>
    </w:tblStylePr>
    <w:tblStylePr w:type="neCell">
      <w:pPr>
        <w:contextualSpacing/>
      </w:pPr>
      <w:tblPr/>
      <w:tcPr>
        <w:tcMar>
          <w:top w:w="0" w:type="dxa"/>
          <w:left w:w="115" w:type="dxa"/>
          <w:bottom w:w="0" w:type="dxa"/>
          <w:right w:w="115" w:type="dxa"/>
        </w:tcMar>
      </w:tcPr>
    </w:tblStylePr>
    <w:tblStylePr w:type="nwCell">
      <w:pPr>
        <w:contextualSpacing/>
      </w:pPr>
      <w:tblPr/>
      <w:tcPr>
        <w:tcMar>
          <w:top w:w="0" w:type="dxa"/>
          <w:left w:w="115" w:type="dxa"/>
          <w:bottom w:w="0" w:type="dxa"/>
          <w:right w:w="115" w:type="dxa"/>
        </w:tcMar>
      </w:tcPr>
    </w:tblStylePr>
    <w:tblStylePr w:type="seCell">
      <w:pPr>
        <w:contextualSpacing/>
      </w:pPr>
      <w:tblPr/>
      <w:tcPr>
        <w:tcMar>
          <w:top w:w="0" w:type="dxa"/>
          <w:left w:w="115" w:type="dxa"/>
          <w:bottom w:w="0" w:type="dxa"/>
          <w:right w:w="115" w:type="dxa"/>
        </w:tcMar>
      </w:tcPr>
    </w:tblStylePr>
    <w:tblStylePr w:type="swCell">
      <w:pPr>
        <w:contextualSpacing/>
      </w:pPr>
      <w:tblPr/>
      <w:tcPr>
        <w:tcMar>
          <w:top w:w="0" w:type="dxa"/>
          <w:left w:w="115" w:type="dxa"/>
          <w:bottom w:w="0" w:type="dxa"/>
          <w:right w:w="115" w:type="dxa"/>
        </w:tcMar>
      </w:tcPr>
    </w:tblStylePr>
  </w:style>
  <w:style w:type="table" w:customStyle="1" w:styleId="a1">
    <w:basedOn w:val="TableNormal"/>
    <w:tblPr>
      <w:tblStyleRowBandSize w:val="1"/>
      <w:tblStyleColBandSize w:val="1"/>
      <w:tblCellMar>
        <w:top w:w="15" w:type="dxa"/>
        <w:left w:w="15" w:type="dxa"/>
        <w:bottom w:w="15" w:type="dxa"/>
        <w:right w:w="15" w:type="dxa"/>
      </w:tblCellMar>
    </w:tblPr>
  </w:style>
  <w:style w:type="paragraph" w:styleId="Textkomente">
    <w:name w:val="annotation text"/>
    <w:basedOn w:val="Normln"/>
    <w:link w:val="TextkomenteChar"/>
    <w:uiPriority w:val="99"/>
    <w:semiHidden/>
    <w:unhideWhenUsed/>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7264C7"/>
    <w:rPr>
      <w:rFonts w:ascii="Tahoma" w:hAnsi="Tahoma" w:cs="Tahoma"/>
      <w:sz w:val="16"/>
      <w:szCs w:val="16"/>
    </w:rPr>
  </w:style>
  <w:style w:type="character" w:customStyle="1" w:styleId="TextbublinyChar">
    <w:name w:val="Text bubliny Char"/>
    <w:basedOn w:val="Standardnpsmoodstavce"/>
    <w:link w:val="Textbubliny"/>
    <w:uiPriority w:val="99"/>
    <w:semiHidden/>
    <w:rsid w:val="007264C7"/>
    <w:rPr>
      <w:rFonts w:ascii="Tahoma" w:hAnsi="Tahoma" w:cs="Tahoma"/>
      <w:sz w:val="16"/>
      <w:szCs w:val="16"/>
    </w:rPr>
  </w:style>
  <w:style w:type="paragraph" w:styleId="Textpoznpodarou">
    <w:name w:val="footnote text"/>
    <w:basedOn w:val="Normln"/>
    <w:link w:val="TextpoznpodarouChar"/>
    <w:uiPriority w:val="99"/>
    <w:semiHidden/>
    <w:unhideWhenUsed/>
    <w:rsid w:val="00E51523"/>
    <w:rPr>
      <w:sz w:val="20"/>
      <w:szCs w:val="20"/>
    </w:rPr>
  </w:style>
  <w:style w:type="character" w:customStyle="1" w:styleId="TextpoznpodarouChar">
    <w:name w:val="Text pozn. pod čarou Char"/>
    <w:basedOn w:val="Standardnpsmoodstavce"/>
    <w:link w:val="Textpoznpodarou"/>
    <w:uiPriority w:val="99"/>
    <w:semiHidden/>
    <w:rsid w:val="00E51523"/>
    <w:rPr>
      <w:sz w:val="20"/>
      <w:szCs w:val="20"/>
    </w:rPr>
  </w:style>
  <w:style w:type="character" w:styleId="Znakapoznpodarou">
    <w:name w:val="footnote reference"/>
    <w:basedOn w:val="Standardnpsmoodstavce"/>
    <w:uiPriority w:val="99"/>
    <w:semiHidden/>
    <w:unhideWhenUsed/>
    <w:rsid w:val="00E51523"/>
    <w:rPr>
      <w:vertAlign w:val="superscript"/>
    </w:rPr>
  </w:style>
  <w:style w:type="paragraph" w:styleId="Zhlav">
    <w:name w:val="header"/>
    <w:basedOn w:val="Normln"/>
    <w:link w:val="ZhlavChar"/>
    <w:uiPriority w:val="99"/>
    <w:unhideWhenUsed/>
    <w:rsid w:val="00592E19"/>
    <w:pPr>
      <w:tabs>
        <w:tab w:val="center" w:pos="4536"/>
        <w:tab w:val="right" w:pos="9072"/>
      </w:tabs>
    </w:pPr>
  </w:style>
  <w:style w:type="character" w:customStyle="1" w:styleId="ZhlavChar">
    <w:name w:val="Záhlaví Char"/>
    <w:basedOn w:val="Standardnpsmoodstavce"/>
    <w:link w:val="Zhlav"/>
    <w:uiPriority w:val="99"/>
    <w:rsid w:val="00592E19"/>
  </w:style>
  <w:style w:type="paragraph" w:styleId="Zpat">
    <w:name w:val="footer"/>
    <w:basedOn w:val="Normln"/>
    <w:link w:val="ZpatChar"/>
    <w:uiPriority w:val="99"/>
    <w:unhideWhenUsed/>
    <w:rsid w:val="00592E19"/>
    <w:pPr>
      <w:tabs>
        <w:tab w:val="center" w:pos="4536"/>
        <w:tab w:val="right" w:pos="9072"/>
      </w:tabs>
    </w:pPr>
  </w:style>
  <w:style w:type="character" w:customStyle="1" w:styleId="ZpatChar">
    <w:name w:val="Zápatí Char"/>
    <w:basedOn w:val="Standardnpsmoodstavce"/>
    <w:link w:val="Zpat"/>
    <w:uiPriority w:val="99"/>
    <w:rsid w:val="00592E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cs-CZ" w:eastAsia="cs-CZ"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spacing w:before="240" w:after="120"/>
      <w:ind w:left="426" w:hanging="360"/>
      <w:jc w:val="both"/>
      <w:outlineLvl w:val="0"/>
    </w:pPr>
    <w:rPr>
      <w:rFonts w:ascii="Arial" w:eastAsia="Arial" w:hAnsi="Arial" w:cs="Arial"/>
      <w:sz w:val="22"/>
      <w:szCs w:val="22"/>
    </w:rPr>
  </w:style>
  <w:style w:type="paragraph" w:styleId="Nadpis2">
    <w:name w:val="heading 2"/>
    <w:basedOn w:val="Normln"/>
    <w:next w:val="Normln"/>
    <w:pPr>
      <w:keepNext/>
      <w:spacing w:before="120" w:after="120"/>
      <w:jc w:val="both"/>
      <w:outlineLvl w:val="1"/>
    </w:pPr>
    <w:rPr>
      <w:rFonts w:ascii="Arial" w:eastAsia="Arial" w:hAnsi="Arial" w:cs="Arial"/>
      <w:b/>
      <w:sz w:val="22"/>
      <w:szCs w:val="22"/>
    </w:rPr>
  </w:style>
  <w:style w:type="paragraph" w:styleId="Nadpis3">
    <w:name w:val="heading 3"/>
    <w:basedOn w:val="Normln"/>
    <w:next w:val="Normln"/>
    <w:pPr>
      <w:keepNext/>
      <w:keepLines/>
      <w:spacing w:before="280" w:after="80" w:line="276" w:lineRule="auto"/>
      <w:outlineLvl w:val="2"/>
    </w:pPr>
    <w:rPr>
      <w:rFonts w:ascii="Calibri" w:eastAsia="Calibri" w:hAnsi="Calibri" w:cs="Calibri"/>
      <w:b/>
      <w:sz w:val="28"/>
      <w:szCs w:val="28"/>
    </w:rPr>
  </w:style>
  <w:style w:type="paragraph" w:styleId="Nadpis4">
    <w:name w:val="heading 4"/>
    <w:basedOn w:val="Normln"/>
    <w:next w:val="Normln"/>
    <w:pPr>
      <w:keepNext/>
      <w:keepLines/>
      <w:spacing w:before="240" w:after="40" w:line="276" w:lineRule="auto"/>
      <w:outlineLvl w:val="3"/>
    </w:pPr>
    <w:rPr>
      <w:rFonts w:ascii="Calibri" w:eastAsia="Calibri" w:hAnsi="Calibri" w:cs="Calibri"/>
      <w:b/>
    </w:rPr>
  </w:style>
  <w:style w:type="paragraph" w:styleId="Nadpis5">
    <w:name w:val="heading 5"/>
    <w:basedOn w:val="Normln"/>
    <w:next w:val="Normln"/>
    <w:pPr>
      <w:keepNext/>
      <w:keepLines/>
      <w:spacing w:before="220" w:after="40" w:line="276" w:lineRule="auto"/>
      <w:outlineLvl w:val="4"/>
    </w:pPr>
    <w:rPr>
      <w:rFonts w:ascii="Calibri" w:eastAsia="Calibri" w:hAnsi="Calibri" w:cs="Calibri"/>
      <w:b/>
      <w:sz w:val="22"/>
      <w:szCs w:val="22"/>
    </w:rPr>
  </w:style>
  <w:style w:type="paragraph" w:styleId="Nadpis6">
    <w:name w:val="heading 6"/>
    <w:basedOn w:val="Normln"/>
    <w:next w:val="Normln"/>
    <w:pPr>
      <w:keepNext/>
      <w:keepLines/>
      <w:spacing w:before="200" w:after="40" w:line="276" w:lineRule="auto"/>
      <w:outlineLvl w:val="5"/>
    </w:pPr>
    <w:rPr>
      <w:rFonts w:ascii="Calibri" w:eastAsia="Calibri" w:hAnsi="Calibri" w:cs="Calibri"/>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line="276" w:lineRule="auto"/>
    </w:pPr>
    <w:rPr>
      <w:rFonts w:ascii="Calibri" w:eastAsia="Calibri" w:hAnsi="Calibri" w:cs="Calibri"/>
      <w:b/>
      <w:sz w:val="72"/>
      <w:szCs w:val="72"/>
    </w:rPr>
  </w:style>
  <w:style w:type="paragraph" w:styleId="Podtitul">
    <w:name w:val="Subtitle"/>
    <w:basedOn w:val="Normln"/>
    <w:next w:val="Normln"/>
    <w:pPr>
      <w:keepNext/>
      <w:keepLines/>
      <w:spacing w:after="60"/>
      <w:jc w:val="center"/>
    </w:pPr>
    <w:rPr>
      <w:rFonts w:ascii="Cambria" w:eastAsia="Cambria" w:hAnsi="Cambria" w:cs="Cambria"/>
      <w:i/>
      <w:color w:val="666666"/>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pPr>
      <w:contextualSpacing/>
    </w:pPr>
    <w:tblPr>
      <w:tblStyleRowBandSize w:val="1"/>
      <w:tblStyleColBandSize w:val="1"/>
      <w:tblCellMar>
        <w:left w:w="115" w:type="dxa"/>
        <w:right w:w="115" w:type="dxa"/>
      </w:tblCellMar>
    </w:tblPr>
    <w:tblStylePr w:type="firstRow">
      <w:pPr>
        <w:contextualSpacing/>
      </w:pPr>
      <w:tblPr/>
      <w:tcPr>
        <w:tcMar>
          <w:top w:w="0" w:type="dxa"/>
          <w:left w:w="115" w:type="dxa"/>
          <w:bottom w:w="0" w:type="dxa"/>
          <w:right w:w="115" w:type="dxa"/>
        </w:tcMar>
      </w:tcPr>
    </w:tblStylePr>
    <w:tblStylePr w:type="lastRow">
      <w:pPr>
        <w:contextualSpacing/>
      </w:pPr>
      <w:tblPr/>
      <w:tcPr>
        <w:tcMar>
          <w:top w:w="0" w:type="dxa"/>
          <w:left w:w="115" w:type="dxa"/>
          <w:bottom w:w="0" w:type="dxa"/>
          <w:right w:w="115" w:type="dxa"/>
        </w:tcMar>
      </w:tcPr>
    </w:tblStylePr>
    <w:tblStylePr w:type="firstCol">
      <w:pPr>
        <w:contextualSpacing/>
      </w:pPr>
      <w:tblPr/>
      <w:tcPr>
        <w:tcMar>
          <w:top w:w="0" w:type="dxa"/>
          <w:left w:w="115" w:type="dxa"/>
          <w:bottom w:w="0" w:type="dxa"/>
          <w:right w:w="115" w:type="dxa"/>
        </w:tcMar>
      </w:tcPr>
    </w:tblStylePr>
    <w:tblStylePr w:type="lastCol">
      <w:pPr>
        <w:contextualSpacing/>
      </w:pPr>
      <w:tblPr/>
      <w:tcPr>
        <w:tcMar>
          <w:top w:w="0" w:type="dxa"/>
          <w:left w:w="115" w:type="dxa"/>
          <w:bottom w:w="0" w:type="dxa"/>
          <w:right w:w="115" w:type="dxa"/>
        </w:tcMar>
      </w:tcPr>
    </w:tblStylePr>
    <w:tblStylePr w:type="band1Vert">
      <w:pPr>
        <w:contextualSpacing/>
      </w:pPr>
      <w:tblPr/>
      <w:tcPr>
        <w:tcMar>
          <w:top w:w="0" w:type="dxa"/>
          <w:left w:w="115" w:type="dxa"/>
          <w:bottom w:w="0" w:type="dxa"/>
          <w:right w:w="115" w:type="dxa"/>
        </w:tcMar>
      </w:tcPr>
    </w:tblStylePr>
    <w:tblStylePr w:type="band2Vert">
      <w:pPr>
        <w:contextualSpacing/>
      </w:pPr>
      <w:tblPr/>
      <w:tcPr>
        <w:tcMar>
          <w:top w:w="0" w:type="dxa"/>
          <w:left w:w="115" w:type="dxa"/>
          <w:bottom w:w="0" w:type="dxa"/>
          <w:right w:w="115" w:type="dxa"/>
        </w:tcMar>
      </w:tcPr>
    </w:tblStylePr>
    <w:tblStylePr w:type="band1Horz">
      <w:pPr>
        <w:contextualSpacing/>
      </w:pPr>
      <w:tblPr/>
      <w:tcPr>
        <w:tcMar>
          <w:top w:w="0" w:type="dxa"/>
          <w:left w:w="115" w:type="dxa"/>
          <w:bottom w:w="0" w:type="dxa"/>
          <w:right w:w="115" w:type="dxa"/>
        </w:tcMar>
      </w:tcPr>
    </w:tblStylePr>
    <w:tblStylePr w:type="band2Horz">
      <w:pPr>
        <w:contextualSpacing/>
      </w:pPr>
      <w:tblPr/>
      <w:tcPr>
        <w:tcMar>
          <w:top w:w="0" w:type="dxa"/>
          <w:left w:w="115" w:type="dxa"/>
          <w:bottom w:w="0" w:type="dxa"/>
          <w:right w:w="115" w:type="dxa"/>
        </w:tcMar>
      </w:tcPr>
    </w:tblStylePr>
    <w:tblStylePr w:type="neCell">
      <w:pPr>
        <w:contextualSpacing/>
      </w:pPr>
      <w:tblPr/>
      <w:tcPr>
        <w:tcMar>
          <w:top w:w="0" w:type="dxa"/>
          <w:left w:w="115" w:type="dxa"/>
          <w:bottom w:w="0" w:type="dxa"/>
          <w:right w:w="115" w:type="dxa"/>
        </w:tcMar>
      </w:tcPr>
    </w:tblStylePr>
    <w:tblStylePr w:type="nwCell">
      <w:pPr>
        <w:contextualSpacing/>
      </w:pPr>
      <w:tblPr/>
      <w:tcPr>
        <w:tcMar>
          <w:top w:w="0" w:type="dxa"/>
          <w:left w:w="115" w:type="dxa"/>
          <w:bottom w:w="0" w:type="dxa"/>
          <w:right w:w="115" w:type="dxa"/>
        </w:tcMar>
      </w:tcPr>
    </w:tblStylePr>
    <w:tblStylePr w:type="seCell">
      <w:pPr>
        <w:contextualSpacing/>
      </w:pPr>
      <w:tblPr/>
      <w:tcPr>
        <w:tcMar>
          <w:top w:w="0" w:type="dxa"/>
          <w:left w:w="115" w:type="dxa"/>
          <w:bottom w:w="0" w:type="dxa"/>
          <w:right w:w="115" w:type="dxa"/>
        </w:tcMar>
      </w:tcPr>
    </w:tblStylePr>
    <w:tblStylePr w:type="swCell">
      <w:pPr>
        <w:contextualSpacing/>
      </w:pPr>
      <w:tblPr/>
      <w:tcPr>
        <w:tcMar>
          <w:top w:w="0" w:type="dxa"/>
          <w:left w:w="115" w:type="dxa"/>
          <w:bottom w:w="0" w:type="dxa"/>
          <w:right w:w="115" w:type="dxa"/>
        </w:tcMar>
      </w:tcPr>
    </w:tblStylePr>
  </w:style>
  <w:style w:type="table" w:customStyle="1" w:styleId="a1">
    <w:basedOn w:val="TableNormal"/>
    <w:tblPr>
      <w:tblStyleRowBandSize w:val="1"/>
      <w:tblStyleColBandSize w:val="1"/>
      <w:tblCellMar>
        <w:top w:w="15" w:type="dxa"/>
        <w:left w:w="15" w:type="dxa"/>
        <w:bottom w:w="15" w:type="dxa"/>
        <w:right w:w="15" w:type="dxa"/>
      </w:tblCellMar>
    </w:tblPr>
  </w:style>
  <w:style w:type="paragraph" w:styleId="Textkomente">
    <w:name w:val="annotation text"/>
    <w:basedOn w:val="Normln"/>
    <w:link w:val="TextkomenteChar"/>
    <w:uiPriority w:val="99"/>
    <w:semiHidden/>
    <w:unhideWhenUsed/>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7264C7"/>
    <w:rPr>
      <w:rFonts w:ascii="Tahoma" w:hAnsi="Tahoma" w:cs="Tahoma"/>
      <w:sz w:val="16"/>
      <w:szCs w:val="16"/>
    </w:rPr>
  </w:style>
  <w:style w:type="character" w:customStyle="1" w:styleId="TextbublinyChar">
    <w:name w:val="Text bubliny Char"/>
    <w:basedOn w:val="Standardnpsmoodstavce"/>
    <w:link w:val="Textbubliny"/>
    <w:uiPriority w:val="99"/>
    <w:semiHidden/>
    <w:rsid w:val="007264C7"/>
    <w:rPr>
      <w:rFonts w:ascii="Tahoma" w:hAnsi="Tahoma" w:cs="Tahoma"/>
      <w:sz w:val="16"/>
      <w:szCs w:val="16"/>
    </w:rPr>
  </w:style>
  <w:style w:type="paragraph" w:styleId="Textpoznpodarou">
    <w:name w:val="footnote text"/>
    <w:basedOn w:val="Normln"/>
    <w:link w:val="TextpoznpodarouChar"/>
    <w:uiPriority w:val="99"/>
    <w:semiHidden/>
    <w:unhideWhenUsed/>
    <w:rsid w:val="00E51523"/>
    <w:rPr>
      <w:sz w:val="20"/>
      <w:szCs w:val="20"/>
    </w:rPr>
  </w:style>
  <w:style w:type="character" w:customStyle="1" w:styleId="TextpoznpodarouChar">
    <w:name w:val="Text pozn. pod čarou Char"/>
    <w:basedOn w:val="Standardnpsmoodstavce"/>
    <w:link w:val="Textpoznpodarou"/>
    <w:uiPriority w:val="99"/>
    <w:semiHidden/>
    <w:rsid w:val="00E51523"/>
    <w:rPr>
      <w:sz w:val="20"/>
      <w:szCs w:val="20"/>
    </w:rPr>
  </w:style>
  <w:style w:type="character" w:styleId="Znakapoznpodarou">
    <w:name w:val="footnote reference"/>
    <w:basedOn w:val="Standardnpsmoodstavce"/>
    <w:uiPriority w:val="99"/>
    <w:semiHidden/>
    <w:unhideWhenUsed/>
    <w:rsid w:val="00E51523"/>
    <w:rPr>
      <w:vertAlign w:val="superscript"/>
    </w:rPr>
  </w:style>
  <w:style w:type="paragraph" w:styleId="Zhlav">
    <w:name w:val="header"/>
    <w:basedOn w:val="Normln"/>
    <w:link w:val="ZhlavChar"/>
    <w:uiPriority w:val="99"/>
    <w:unhideWhenUsed/>
    <w:rsid w:val="00592E19"/>
    <w:pPr>
      <w:tabs>
        <w:tab w:val="center" w:pos="4536"/>
        <w:tab w:val="right" w:pos="9072"/>
      </w:tabs>
    </w:pPr>
  </w:style>
  <w:style w:type="character" w:customStyle="1" w:styleId="ZhlavChar">
    <w:name w:val="Záhlaví Char"/>
    <w:basedOn w:val="Standardnpsmoodstavce"/>
    <w:link w:val="Zhlav"/>
    <w:uiPriority w:val="99"/>
    <w:rsid w:val="00592E19"/>
  </w:style>
  <w:style w:type="paragraph" w:styleId="Zpat">
    <w:name w:val="footer"/>
    <w:basedOn w:val="Normln"/>
    <w:link w:val="ZpatChar"/>
    <w:uiPriority w:val="99"/>
    <w:unhideWhenUsed/>
    <w:rsid w:val="00592E19"/>
    <w:pPr>
      <w:tabs>
        <w:tab w:val="center" w:pos="4536"/>
        <w:tab w:val="right" w:pos="9072"/>
      </w:tabs>
    </w:pPr>
  </w:style>
  <w:style w:type="character" w:customStyle="1" w:styleId="ZpatChar">
    <w:name w:val="Zápatí Char"/>
    <w:basedOn w:val="Standardnpsmoodstavce"/>
    <w:link w:val="Zpat"/>
    <w:uiPriority w:val="99"/>
    <w:rsid w:val="00592E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cs.wikipedia.org/wiki/Evropsk%C3%A1_un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s.wikipedia.org/wiki/Lichten%C5%A1tejnsko"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cs.wikipedia.org/wiki/Island" TargetMode="External"/><Relationship Id="rId4" Type="http://schemas.microsoft.com/office/2007/relationships/stylesWithEffects" Target="stylesWithEffects.xml"/><Relationship Id="rId9" Type="http://schemas.openxmlformats.org/officeDocument/2006/relationships/hyperlink" Target="https://cs.wikipedia.org/wiki/Norsk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96DE7-D7AA-4D43-9519-49C4D7ADC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3352</Words>
  <Characters>19778</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Michaela Orlová</cp:lastModifiedBy>
  <cp:revision>12</cp:revision>
  <cp:lastPrinted>2018-01-17T13:37:00Z</cp:lastPrinted>
  <dcterms:created xsi:type="dcterms:W3CDTF">2018-01-08T14:04:00Z</dcterms:created>
  <dcterms:modified xsi:type="dcterms:W3CDTF">2018-01-17T13:38:00Z</dcterms:modified>
</cp:coreProperties>
</file>