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ACA" w:rsidRDefault="00AB16C1" w:rsidP="00B74ACA">
      <w:pPr>
        <w:jc w:val="center"/>
        <w:rPr>
          <w:rFonts w:ascii="Arial" w:hAnsi="Arial" w:cs="Arial"/>
          <w:b/>
          <w:color w:val="0070C0"/>
          <w:sz w:val="28"/>
          <w:szCs w:val="28"/>
        </w:rPr>
      </w:pPr>
      <w:r w:rsidRPr="00C90B71">
        <w:rPr>
          <w:rFonts w:ascii="Arial" w:hAnsi="Arial" w:cs="Arial"/>
          <w:b/>
          <w:color w:val="0070C0"/>
          <w:sz w:val="28"/>
          <w:szCs w:val="28"/>
        </w:rPr>
        <w:t>Stanovisko</w:t>
      </w:r>
      <w:r w:rsidR="00B74ACA">
        <w:rPr>
          <w:rFonts w:ascii="Arial" w:hAnsi="Arial" w:cs="Arial"/>
          <w:b/>
          <w:color w:val="0070C0"/>
          <w:sz w:val="28"/>
          <w:szCs w:val="28"/>
        </w:rPr>
        <w:t xml:space="preserve"> </w:t>
      </w:r>
      <w:r w:rsidRPr="00C90B71">
        <w:rPr>
          <w:rFonts w:ascii="Arial" w:hAnsi="Arial" w:cs="Arial"/>
          <w:b/>
          <w:color w:val="0070C0"/>
          <w:sz w:val="28"/>
          <w:szCs w:val="28"/>
        </w:rPr>
        <w:t xml:space="preserve">Rady pro výzkum, vývoj a inovace </w:t>
      </w:r>
    </w:p>
    <w:p w:rsidR="00AB16C1" w:rsidRPr="0057279E" w:rsidRDefault="00AB16C1" w:rsidP="00B74ACA">
      <w:pPr>
        <w:spacing w:after="120"/>
        <w:jc w:val="center"/>
        <w:rPr>
          <w:rFonts w:ascii="Arial" w:hAnsi="Arial" w:cs="Arial"/>
          <w:b/>
          <w:color w:val="0070C0"/>
          <w:sz w:val="28"/>
          <w:szCs w:val="28"/>
        </w:rPr>
      </w:pPr>
      <w:r w:rsidRPr="00C90B71">
        <w:rPr>
          <w:rFonts w:ascii="Arial" w:hAnsi="Arial" w:cs="Arial"/>
          <w:b/>
          <w:color w:val="0070C0"/>
          <w:sz w:val="28"/>
          <w:szCs w:val="28"/>
        </w:rPr>
        <w:t>k</w:t>
      </w:r>
      <w:r w:rsidR="00A16FCD" w:rsidRPr="00C90B71">
        <w:rPr>
          <w:rFonts w:ascii="Arial" w:hAnsi="Arial" w:cs="Arial"/>
          <w:b/>
          <w:color w:val="0070C0"/>
          <w:sz w:val="28"/>
          <w:szCs w:val="28"/>
        </w:rPr>
        <w:t> Návrhu změny programu</w:t>
      </w:r>
      <w:r w:rsidRPr="00C90B71">
        <w:rPr>
          <w:rFonts w:ascii="Arial" w:hAnsi="Arial" w:cs="Arial"/>
          <w:b/>
          <w:color w:val="0070C0"/>
          <w:sz w:val="28"/>
          <w:szCs w:val="28"/>
        </w:rPr>
        <w:t xml:space="preserve"> </w:t>
      </w:r>
      <w:r w:rsidRPr="0057279E">
        <w:rPr>
          <w:rFonts w:ascii="Arial" w:hAnsi="Arial" w:cs="Arial"/>
          <w:b/>
          <w:color w:val="0070C0"/>
          <w:sz w:val="28"/>
          <w:szCs w:val="28"/>
        </w:rPr>
        <w:t xml:space="preserve">aplikovaného výzkumu a experimentálního vývoje TRIO </w:t>
      </w:r>
    </w:p>
    <w:p w:rsidR="00AB16C1" w:rsidRPr="0057279E" w:rsidRDefault="00AB16C1" w:rsidP="0057279E">
      <w:pPr>
        <w:pStyle w:val="Zkladntext2"/>
        <w:numPr>
          <w:ilvl w:val="0"/>
          <w:numId w:val="2"/>
        </w:numPr>
        <w:spacing w:after="120"/>
        <w:ind w:left="0" w:firstLine="0"/>
        <w:jc w:val="both"/>
        <w:rPr>
          <w:rFonts w:ascii="Arial" w:hAnsi="Arial" w:cs="Arial"/>
          <w:b/>
          <w:szCs w:val="24"/>
        </w:rPr>
      </w:pPr>
      <w:r w:rsidRPr="0057279E">
        <w:rPr>
          <w:rFonts w:ascii="Arial" w:hAnsi="Arial" w:cs="Arial"/>
          <w:b/>
          <w:szCs w:val="24"/>
        </w:rPr>
        <w:t>Způsob předložení návrhu</w:t>
      </w:r>
    </w:p>
    <w:p w:rsidR="008D38F1" w:rsidRPr="0057279E" w:rsidRDefault="00A16FCD" w:rsidP="0057279E">
      <w:pPr>
        <w:pStyle w:val="Zkladntext2"/>
        <w:spacing w:after="120"/>
        <w:jc w:val="both"/>
        <w:rPr>
          <w:rFonts w:ascii="Arial" w:hAnsi="Arial" w:cs="Arial"/>
          <w:szCs w:val="24"/>
        </w:rPr>
      </w:pPr>
      <w:r w:rsidRPr="0057279E">
        <w:rPr>
          <w:rFonts w:ascii="Arial" w:hAnsi="Arial" w:cs="Arial"/>
          <w:szCs w:val="24"/>
        </w:rPr>
        <w:t>Ministerstvo průmyslu a obchodu (dále jen „MPO“) před</w:t>
      </w:r>
      <w:r w:rsidR="00C90B71" w:rsidRPr="0057279E">
        <w:rPr>
          <w:rFonts w:ascii="Arial" w:hAnsi="Arial" w:cs="Arial"/>
        </w:rPr>
        <w:t>ložilo</w:t>
      </w:r>
      <w:r w:rsidRPr="0057279E">
        <w:rPr>
          <w:rFonts w:ascii="Arial" w:hAnsi="Arial" w:cs="Arial"/>
          <w:szCs w:val="24"/>
        </w:rPr>
        <w:t xml:space="preserve"> Radě pro výzkum, vývoj a inovace </w:t>
      </w:r>
      <w:r w:rsidR="00C90B71" w:rsidRPr="0057279E">
        <w:rPr>
          <w:rFonts w:ascii="Arial" w:hAnsi="Arial" w:cs="Arial"/>
          <w:szCs w:val="24"/>
        </w:rPr>
        <w:t xml:space="preserve">(dále jen „Rada“) </w:t>
      </w:r>
      <w:r w:rsidR="00C90B71" w:rsidRPr="0057279E">
        <w:rPr>
          <w:rFonts w:ascii="Arial" w:hAnsi="Arial" w:cs="Arial"/>
        </w:rPr>
        <w:t xml:space="preserve">ke stanovisku </w:t>
      </w:r>
      <w:r w:rsidR="00C90B71" w:rsidRPr="0057279E">
        <w:rPr>
          <w:rFonts w:ascii="Arial" w:hAnsi="Arial" w:cs="Arial"/>
          <w:szCs w:val="24"/>
        </w:rPr>
        <w:t>Návrh změny programu aplikovaného výzkumu a</w:t>
      </w:r>
      <w:r w:rsidR="00C90B71" w:rsidRPr="0057279E">
        <w:rPr>
          <w:rFonts w:ascii="Arial" w:hAnsi="Arial" w:cs="Arial"/>
        </w:rPr>
        <w:t> </w:t>
      </w:r>
      <w:r w:rsidR="00C90B71" w:rsidRPr="0057279E">
        <w:rPr>
          <w:rFonts w:ascii="Arial" w:hAnsi="Arial" w:cs="Arial"/>
          <w:szCs w:val="24"/>
        </w:rPr>
        <w:t>experimentálního vývoje TRIO</w:t>
      </w:r>
      <w:r w:rsidR="00B47673" w:rsidRPr="0057279E">
        <w:rPr>
          <w:rFonts w:ascii="Arial" w:hAnsi="Arial" w:cs="Arial"/>
        </w:rPr>
        <w:t xml:space="preserve"> (dále jen „TRIO“ nebo „program“)</w:t>
      </w:r>
      <w:r w:rsidR="00C90B71" w:rsidRPr="0057279E">
        <w:rPr>
          <w:rFonts w:ascii="Arial" w:hAnsi="Arial" w:cs="Arial"/>
        </w:rPr>
        <w:t>.</w:t>
      </w:r>
      <w:r w:rsidR="00AB16C1" w:rsidRPr="0057279E">
        <w:rPr>
          <w:rFonts w:ascii="Arial" w:hAnsi="Arial" w:cs="Arial"/>
          <w:szCs w:val="24"/>
        </w:rPr>
        <w:t xml:space="preserve"> </w:t>
      </w:r>
    </w:p>
    <w:p w:rsidR="008D38F1" w:rsidRDefault="008D38F1" w:rsidP="0057279E">
      <w:pPr>
        <w:pStyle w:val="Zkladntext2"/>
        <w:spacing w:after="120"/>
        <w:jc w:val="both"/>
        <w:rPr>
          <w:rFonts w:ascii="Arial" w:hAnsi="Arial" w:cs="Arial"/>
          <w:color w:val="000000"/>
          <w:szCs w:val="24"/>
        </w:rPr>
      </w:pPr>
      <w:r w:rsidRPr="0057279E">
        <w:rPr>
          <w:rFonts w:ascii="Arial" w:hAnsi="Arial" w:cs="Arial"/>
          <w:szCs w:val="24"/>
        </w:rPr>
        <w:t>Návrh byl předložen na základě § 5 odst. 3 písm. c) zákona č. 130/2002 Sb., o podpoře výzkumu, experimentálního vývoje a inovací</w:t>
      </w:r>
      <w:r w:rsidRPr="0057279E">
        <w:rPr>
          <w:rFonts w:ascii="Arial" w:hAnsi="Arial" w:cs="Arial"/>
          <w:color w:val="000000"/>
          <w:szCs w:val="24"/>
        </w:rPr>
        <w:t xml:space="preserve"> z veřejných prostředků a o změně některých souvisejících zákonů, ve znění pozdějších předpisů (dále jen „zákon </w:t>
      </w:r>
      <w:r w:rsidRPr="0057279E">
        <w:rPr>
          <w:rFonts w:ascii="Arial" w:hAnsi="Arial" w:cs="Arial"/>
          <w:szCs w:val="24"/>
        </w:rPr>
        <w:t>o podpoře výzkumu, experimentálního vývoje a inovací</w:t>
      </w:r>
      <w:r w:rsidRPr="0057279E">
        <w:rPr>
          <w:rFonts w:ascii="Arial" w:hAnsi="Arial" w:cs="Arial"/>
          <w:color w:val="000000"/>
          <w:szCs w:val="24"/>
        </w:rPr>
        <w:t>“).</w:t>
      </w:r>
    </w:p>
    <w:p w:rsidR="001B1124" w:rsidRPr="0057279E" w:rsidRDefault="001B1124" w:rsidP="0057279E">
      <w:pPr>
        <w:pStyle w:val="Zkladntext2"/>
        <w:spacing w:after="120"/>
        <w:jc w:val="both"/>
        <w:rPr>
          <w:rFonts w:ascii="Arial" w:hAnsi="Arial" w:cs="Arial"/>
          <w:szCs w:val="24"/>
        </w:rPr>
      </w:pPr>
      <w:r>
        <w:rPr>
          <w:rFonts w:ascii="Arial" w:hAnsi="Arial" w:cs="Arial"/>
          <w:color w:val="000000"/>
          <w:szCs w:val="24"/>
        </w:rPr>
        <w:t xml:space="preserve">Součástí předloženého dokumentu byla i předběžná verze průběžné zprávy o realizaci programu TRIO, jejíž závěrečná verze bude Radě předložena do konce letošního roku. </w:t>
      </w:r>
    </w:p>
    <w:p w:rsidR="00AB16C1" w:rsidRPr="0057279E" w:rsidRDefault="008D38F1" w:rsidP="0057279E">
      <w:pPr>
        <w:pStyle w:val="Odstavecseseznamem"/>
        <w:numPr>
          <w:ilvl w:val="0"/>
          <w:numId w:val="2"/>
        </w:numPr>
        <w:spacing w:after="120"/>
        <w:ind w:left="0" w:firstLine="0"/>
        <w:jc w:val="both"/>
        <w:rPr>
          <w:rFonts w:ascii="Arial" w:hAnsi="Arial" w:cs="Arial"/>
          <w:color w:val="000000"/>
          <w:sz w:val="24"/>
          <w:szCs w:val="24"/>
        </w:rPr>
      </w:pPr>
      <w:r w:rsidRPr="0057279E">
        <w:rPr>
          <w:rFonts w:ascii="Arial" w:hAnsi="Arial" w:cs="Arial"/>
          <w:b/>
          <w:sz w:val="24"/>
          <w:szCs w:val="24"/>
        </w:rPr>
        <w:t>Způsob projednání</w:t>
      </w:r>
      <w:r w:rsidR="00AB16C1" w:rsidRPr="0057279E">
        <w:rPr>
          <w:rFonts w:ascii="Arial" w:hAnsi="Arial" w:cs="Arial"/>
          <w:b/>
          <w:sz w:val="24"/>
          <w:szCs w:val="24"/>
        </w:rPr>
        <w:t xml:space="preserve"> návrhu </w:t>
      </w:r>
    </w:p>
    <w:p w:rsidR="008D38F1" w:rsidRPr="0057279E" w:rsidRDefault="008D38F1" w:rsidP="0057279E">
      <w:pPr>
        <w:spacing w:after="120"/>
        <w:jc w:val="both"/>
        <w:rPr>
          <w:rFonts w:ascii="Arial" w:hAnsi="Arial" w:cs="Arial"/>
        </w:rPr>
      </w:pPr>
      <w:r w:rsidRPr="0057279E">
        <w:rPr>
          <w:rFonts w:ascii="Arial" w:hAnsi="Arial" w:cs="Arial"/>
        </w:rPr>
        <w:t xml:space="preserve">Návrh programu byl projednán </w:t>
      </w:r>
      <w:r w:rsidR="00F33902" w:rsidRPr="0057279E">
        <w:rPr>
          <w:rFonts w:ascii="Arial" w:hAnsi="Arial" w:cs="Arial"/>
        </w:rPr>
        <w:t xml:space="preserve">a stanovisko Rady bylo schváleno </w:t>
      </w:r>
      <w:r w:rsidRPr="0057279E">
        <w:rPr>
          <w:rFonts w:ascii="Arial" w:hAnsi="Arial" w:cs="Arial"/>
        </w:rPr>
        <w:t>na 334. zasedání Rady, které se konalo 2</w:t>
      </w:r>
      <w:r w:rsidR="004877F4">
        <w:rPr>
          <w:rFonts w:ascii="Arial" w:hAnsi="Arial" w:cs="Arial"/>
        </w:rPr>
        <w:t>9</w:t>
      </w:r>
      <w:r w:rsidRPr="0057279E">
        <w:rPr>
          <w:rFonts w:ascii="Arial" w:hAnsi="Arial" w:cs="Arial"/>
        </w:rPr>
        <w:t>. března 2018.</w:t>
      </w:r>
    </w:p>
    <w:p w:rsidR="008D38F1" w:rsidRPr="0057279E" w:rsidRDefault="00FD1740" w:rsidP="0057279E">
      <w:pPr>
        <w:pStyle w:val="Zkladntext2"/>
        <w:spacing w:after="120"/>
        <w:jc w:val="both"/>
        <w:rPr>
          <w:rFonts w:ascii="Arial" w:hAnsi="Arial" w:cs="Arial"/>
          <w:bCs/>
        </w:rPr>
      </w:pPr>
      <w:r w:rsidRPr="0057279E">
        <w:rPr>
          <w:rFonts w:ascii="Arial" w:hAnsi="Arial" w:cs="Arial"/>
          <w:b/>
        </w:rPr>
        <w:t xml:space="preserve">III. </w:t>
      </w:r>
      <w:r w:rsidR="009D14B2" w:rsidRPr="0057279E">
        <w:rPr>
          <w:rFonts w:ascii="Arial" w:hAnsi="Arial" w:cs="Arial"/>
          <w:b/>
        </w:rPr>
        <w:tab/>
        <w:t xml:space="preserve"> </w:t>
      </w:r>
      <w:r w:rsidRPr="0057279E">
        <w:rPr>
          <w:rFonts w:ascii="Arial" w:hAnsi="Arial" w:cs="Arial"/>
          <w:b/>
        </w:rPr>
        <w:t>Obecně k</w:t>
      </w:r>
      <w:r w:rsidR="00F33902" w:rsidRPr="0057279E">
        <w:rPr>
          <w:rFonts w:ascii="Arial" w:hAnsi="Arial" w:cs="Arial"/>
          <w:b/>
        </w:rPr>
        <w:t xml:space="preserve"> návrhu na změnu </w:t>
      </w:r>
      <w:r w:rsidRPr="0057279E">
        <w:rPr>
          <w:rFonts w:ascii="Arial" w:hAnsi="Arial" w:cs="Arial"/>
          <w:b/>
        </w:rPr>
        <w:t>programu</w:t>
      </w:r>
      <w:r w:rsidR="00D50CB5" w:rsidRPr="0057279E">
        <w:rPr>
          <w:rFonts w:ascii="Arial" w:hAnsi="Arial" w:cs="Arial"/>
          <w:bCs/>
        </w:rPr>
        <w:t xml:space="preserve"> </w:t>
      </w:r>
    </w:p>
    <w:p w:rsidR="00126E48" w:rsidRPr="0057279E" w:rsidRDefault="00126E48" w:rsidP="0057279E">
      <w:pPr>
        <w:pStyle w:val="Zkladntext2"/>
        <w:spacing w:after="120"/>
        <w:jc w:val="both"/>
        <w:rPr>
          <w:rFonts w:ascii="Arial" w:hAnsi="Arial" w:cs="Arial"/>
          <w:szCs w:val="24"/>
        </w:rPr>
      </w:pPr>
      <w:r w:rsidRPr="0057279E">
        <w:rPr>
          <w:rFonts w:ascii="Arial" w:hAnsi="Arial" w:cs="Arial"/>
          <w:szCs w:val="24"/>
        </w:rPr>
        <w:t>Program TRIO byl schválen usnesením vlády ze dne 25. května 2015 č. 379</w:t>
      </w:r>
      <w:r w:rsidR="004877F4">
        <w:rPr>
          <w:rFonts w:ascii="Arial" w:hAnsi="Arial" w:cs="Arial"/>
          <w:szCs w:val="24"/>
        </w:rPr>
        <w:t xml:space="preserve"> (dále jen „UV č. 379/2015</w:t>
      </w:r>
      <w:r w:rsidR="001F0B2A">
        <w:rPr>
          <w:rFonts w:ascii="Arial" w:hAnsi="Arial" w:cs="Arial"/>
          <w:szCs w:val="24"/>
        </w:rPr>
        <w:t>“</w:t>
      </w:r>
      <w:r w:rsidR="004877F4">
        <w:rPr>
          <w:rFonts w:ascii="Arial" w:hAnsi="Arial" w:cs="Arial"/>
          <w:szCs w:val="24"/>
        </w:rPr>
        <w:t>)</w:t>
      </w:r>
      <w:r w:rsidRPr="0057279E">
        <w:rPr>
          <w:rFonts w:ascii="Arial" w:hAnsi="Arial" w:cs="Arial"/>
          <w:szCs w:val="24"/>
        </w:rPr>
        <w:t>.</w:t>
      </w:r>
    </w:p>
    <w:p w:rsidR="008D38F1" w:rsidRPr="0057279E" w:rsidRDefault="00D50CB5" w:rsidP="0057279E">
      <w:pPr>
        <w:spacing w:after="120"/>
        <w:jc w:val="both"/>
        <w:rPr>
          <w:rFonts w:ascii="Arial" w:hAnsi="Arial" w:cs="Arial"/>
          <w:bCs/>
        </w:rPr>
      </w:pPr>
      <w:r w:rsidRPr="0057279E">
        <w:rPr>
          <w:rFonts w:ascii="Arial" w:hAnsi="Arial" w:cs="Arial"/>
          <w:bCs/>
        </w:rPr>
        <w:t>Posláním programu je podpořit aktivity v aplikovaném výzkumu, které budou využívat a dále rozvíjet potenciál v oblasti klíčových technologií (</w:t>
      </w:r>
      <w:proofErr w:type="spellStart"/>
      <w:r w:rsidRPr="0057279E">
        <w:rPr>
          <w:rFonts w:ascii="Arial" w:hAnsi="Arial" w:cs="Arial"/>
          <w:bCs/>
        </w:rPr>
        <w:t>Key</w:t>
      </w:r>
      <w:proofErr w:type="spellEnd"/>
      <w:r w:rsidRPr="0057279E">
        <w:rPr>
          <w:rFonts w:ascii="Arial" w:hAnsi="Arial" w:cs="Arial"/>
          <w:bCs/>
        </w:rPr>
        <w:t xml:space="preserve"> </w:t>
      </w:r>
      <w:proofErr w:type="spellStart"/>
      <w:r w:rsidRPr="0057279E">
        <w:rPr>
          <w:rFonts w:ascii="Arial" w:hAnsi="Arial" w:cs="Arial"/>
          <w:bCs/>
        </w:rPr>
        <w:t>Enabling</w:t>
      </w:r>
      <w:proofErr w:type="spellEnd"/>
      <w:r w:rsidRPr="0057279E">
        <w:rPr>
          <w:rFonts w:ascii="Arial" w:hAnsi="Arial" w:cs="Arial"/>
          <w:bCs/>
        </w:rPr>
        <w:t xml:space="preserve"> Technologies, dále jen „</w:t>
      </w:r>
      <w:proofErr w:type="spellStart"/>
      <w:r w:rsidRPr="0057279E">
        <w:rPr>
          <w:rFonts w:ascii="Arial" w:hAnsi="Arial" w:cs="Arial"/>
          <w:bCs/>
        </w:rPr>
        <w:t>KETs</w:t>
      </w:r>
      <w:proofErr w:type="spellEnd"/>
      <w:r w:rsidRPr="0057279E">
        <w:rPr>
          <w:rFonts w:ascii="Arial" w:hAnsi="Arial" w:cs="Arial"/>
          <w:bCs/>
        </w:rPr>
        <w:t xml:space="preserve">“). V programu jsou podporovány projekty zaměřené na </w:t>
      </w:r>
      <w:proofErr w:type="spellStart"/>
      <w:r w:rsidRPr="0057279E">
        <w:rPr>
          <w:rFonts w:ascii="Arial" w:hAnsi="Arial" w:cs="Arial"/>
          <w:bCs/>
        </w:rPr>
        <w:t>fotoniku</w:t>
      </w:r>
      <w:proofErr w:type="spellEnd"/>
      <w:r w:rsidRPr="0057279E">
        <w:rPr>
          <w:rFonts w:ascii="Arial" w:hAnsi="Arial" w:cs="Arial"/>
          <w:bCs/>
        </w:rPr>
        <w:t xml:space="preserve">, mikro a </w:t>
      </w:r>
      <w:proofErr w:type="spellStart"/>
      <w:r w:rsidRPr="0057279E">
        <w:rPr>
          <w:rFonts w:ascii="Arial" w:hAnsi="Arial" w:cs="Arial"/>
          <w:bCs/>
        </w:rPr>
        <w:t>nanoelektroniku</w:t>
      </w:r>
      <w:proofErr w:type="spellEnd"/>
      <w:r w:rsidRPr="0057279E">
        <w:rPr>
          <w:rFonts w:ascii="Arial" w:hAnsi="Arial" w:cs="Arial"/>
          <w:bCs/>
        </w:rPr>
        <w:t>, nanotechnologie, průmyslové biotechnologie, pokročilé materiály a </w:t>
      </w:r>
      <w:r w:rsidR="008D38F1" w:rsidRPr="0057279E">
        <w:rPr>
          <w:rFonts w:ascii="Arial" w:hAnsi="Arial" w:cs="Arial"/>
          <w:bCs/>
        </w:rPr>
        <w:t>pokročilé výrobní technologie</w:t>
      </w:r>
    </w:p>
    <w:p w:rsidR="00D50CB5" w:rsidRPr="0057279E" w:rsidRDefault="00D50CB5" w:rsidP="0057279E">
      <w:pPr>
        <w:spacing w:after="120"/>
        <w:jc w:val="both"/>
        <w:rPr>
          <w:rFonts w:ascii="Arial" w:hAnsi="Arial" w:cs="Arial"/>
          <w:bCs/>
        </w:rPr>
      </w:pPr>
      <w:r w:rsidRPr="0057279E">
        <w:rPr>
          <w:rFonts w:ascii="Arial" w:hAnsi="Arial" w:cs="Arial"/>
          <w:bCs/>
        </w:rPr>
        <w:t>Cílem programu je zvýšit aplikovatelnost výsledků výzkumu a vývoje zaměřeného na</w:t>
      </w:r>
      <w:r w:rsidR="0057279E">
        <w:rPr>
          <w:rFonts w:ascii="Arial" w:hAnsi="Arial" w:cs="Arial"/>
          <w:bCs/>
        </w:rPr>
        <w:t> </w:t>
      </w:r>
      <w:proofErr w:type="spellStart"/>
      <w:r w:rsidRPr="0057279E">
        <w:rPr>
          <w:rFonts w:ascii="Arial" w:hAnsi="Arial" w:cs="Arial"/>
          <w:bCs/>
        </w:rPr>
        <w:t>KETs</w:t>
      </w:r>
      <w:proofErr w:type="spellEnd"/>
      <w:r w:rsidRPr="0057279E">
        <w:rPr>
          <w:rFonts w:ascii="Arial" w:hAnsi="Arial" w:cs="Arial"/>
          <w:bCs/>
        </w:rPr>
        <w:t xml:space="preserve"> v podnikové sféře. Důraz je kladen na ekonomické oblasti, ve kterých ČR disponuje významným růstovým potenciálem.</w:t>
      </w:r>
    </w:p>
    <w:p w:rsidR="00D50CB5" w:rsidRPr="0057279E" w:rsidRDefault="00D50CB5" w:rsidP="0057279E">
      <w:pPr>
        <w:spacing w:after="120"/>
        <w:jc w:val="both"/>
        <w:rPr>
          <w:rFonts w:ascii="Arial" w:hAnsi="Arial" w:cs="Arial"/>
          <w:bCs/>
        </w:rPr>
      </w:pPr>
      <w:r w:rsidRPr="0057279E">
        <w:rPr>
          <w:rFonts w:ascii="Arial" w:hAnsi="Arial" w:cs="Arial"/>
          <w:bCs/>
        </w:rPr>
        <w:t>Program je komplementární k aktivitám na podporu výzkumu a vývoje z fondů EU, konkrétně k Operačnímu programu Podnikání a inovace pro konkurenceschopnost (OP PIK</w:t>
      </w:r>
      <w:r w:rsidR="009D14B2" w:rsidRPr="0057279E">
        <w:rPr>
          <w:rFonts w:ascii="Arial" w:hAnsi="Arial" w:cs="Arial"/>
          <w:bCs/>
        </w:rPr>
        <w:t>).</w:t>
      </w:r>
      <w:r w:rsidRPr="0057279E">
        <w:rPr>
          <w:rFonts w:ascii="Arial" w:hAnsi="Arial" w:cs="Arial"/>
          <w:bCs/>
        </w:rPr>
        <w:t xml:space="preserve"> </w:t>
      </w:r>
    </w:p>
    <w:p w:rsidR="00F33902" w:rsidRPr="0057279E" w:rsidRDefault="00F33902" w:rsidP="0057279E">
      <w:pPr>
        <w:spacing w:after="120"/>
        <w:jc w:val="both"/>
        <w:rPr>
          <w:rFonts w:ascii="Arial" w:hAnsi="Arial" w:cs="Arial"/>
          <w:b/>
          <w:bCs/>
        </w:rPr>
      </w:pPr>
      <w:r w:rsidRPr="0057279E">
        <w:rPr>
          <w:rFonts w:ascii="Arial" w:hAnsi="Arial" w:cs="Arial"/>
          <w:b/>
          <w:bCs/>
        </w:rPr>
        <w:t>Návrh na změnu programu obsahuje tyto navrhované úpravy:</w:t>
      </w:r>
    </w:p>
    <w:p w:rsidR="00F33902" w:rsidRPr="0057279E" w:rsidRDefault="00F33902" w:rsidP="0057279E">
      <w:pPr>
        <w:spacing w:after="120"/>
        <w:jc w:val="both"/>
        <w:rPr>
          <w:rFonts w:ascii="Arial" w:hAnsi="Arial" w:cs="Arial"/>
          <w:bCs/>
        </w:rPr>
      </w:pPr>
      <w:r w:rsidRPr="0057279E">
        <w:rPr>
          <w:rFonts w:ascii="Arial" w:hAnsi="Arial" w:cs="Arial"/>
          <w:bCs/>
        </w:rPr>
        <w:t>a) prodloužení doby trvání programu o jeden rok</w:t>
      </w:r>
      <w:r w:rsidR="009D7A1A">
        <w:rPr>
          <w:rFonts w:ascii="Arial" w:hAnsi="Arial" w:cs="Arial"/>
          <w:bCs/>
        </w:rPr>
        <w:t>, tj. do 31. 12. 2022,</w:t>
      </w:r>
    </w:p>
    <w:p w:rsidR="00F33902" w:rsidRPr="0057279E" w:rsidRDefault="00F33902" w:rsidP="0057279E">
      <w:pPr>
        <w:spacing w:after="120"/>
        <w:jc w:val="both"/>
        <w:rPr>
          <w:rFonts w:ascii="Arial" w:hAnsi="Arial" w:cs="Arial"/>
          <w:bCs/>
        </w:rPr>
      </w:pPr>
      <w:r w:rsidRPr="0057279E">
        <w:rPr>
          <w:rFonts w:ascii="Arial" w:hAnsi="Arial" w:cs="Arial"/>
          <w:bCs/>
        </w:rPr>
        <w:t xml:space="preserve">b) </w:t>
      </w:r>
      <w:r w:rsidR="00535EC8" w:rsidRPr="0057279E">
        <w:rPr>
          <w:rFonts w:ascii="Arial" w:hAnsi="Arial" w:cs="Arial"/>
          <w:bCs/>
        </w:rPr>
        <w:t>navýšení prostředků ze státního rozpočtu z 3,7 mld. Kč na téměř 6,1 mld.</w:t>
      </w:r>
      <w:r w:rsidR="009D7A1A">
        <w:rPr>
          <w:rFonts w:ascii="Arial" w:hAnsi="Arial" w:cs="Arial"/>
          <w:bCs/>
        </w:rPr>
        <w:t xml:space="preserve"> Kč,</w:t>
      </w:r>
    </w:p>
    <w:p w:rsidR="00535EC8" w:rsidRPr="0057279E" w:rsidRDefault="00535EC8" w:rsidP="0057279E">
      <w:pPr>
        <w:spacing w:after="120"/>
        <w:jc w:val="both"/>
        <w:rPr>
          <w:rFonts w:ascii="Arial" w:hAnsi="Arial" w:cs="Arial"/>
          <w:bCs/>
        </w:rPr>
      </w:pPr>
      <w:r w:rsidRPr="0057279E">
        <w:rPr>
          <w:rFonts w:ascii="Arial" w:hAnsi="Arial" w:cs="Arial"/>
          <w:bCs/>
        </w:rPr>
        <w:t>c) navýšení počtu výsledků</w:t>
      </w:r>
      <w:r w:rsidR="009D7A1A">
        <w:rPr>
          <w:rFonts w:ascii="Arial" w:hAnsi="Arial" w:cs="Arial"/>
          <w:bCs/>
        </w:rPr>
        <w:t>.</w:t>
      </w:r>
    </w:p>
    <w:p w:rsidR="00535EC8" w:rsidRPr="0057279E" w:rsidRDefault="00535EC8" w:rsidP="0057279E">
      <w:pPr>
        <w:spacing w:after="120"/>
        <w:jc w:val="both"/>
        <w:rPr>
          <w:rFonts w:ascii="Arial" w:hAnsi="Arial" w:cs="Arial"/>
          <w:b/>
          <w:bCs/>
        </w:rPr>
      </w:pPr>
      <w:r w:rsidRPr="0057279E">
        <w:rPr>
          <w:rFonts w:ascii="Arial" w:hAnsi="Arial" w:cs="Arial"/>
          <w:b/>
          <w:bCs/>
        </w:rPr>
        <w:t>K bodu a)</w:t>
      </w:r>
    </w:p>
    <w:p w:rsidR="00535EC8" w:rsidRPr="0057279E" w:rsidRDefault="00535EC8" w:rsidP="0057279E">
      <w:pPr>
        <w:spacing w:after="120"/>
        <w:jc w:val="both"/>
        <w:rPr>
          <w:rFonts w:ascii="Arial" w:hAnsi="Arial" w:cs="Arial"/>
        </w:rPr>
      </w:pPr>
      <w:r w:rsidRPr="0057279E">
        <w:rPr>
          <w:rFonts w:ascii="Arial" w:hAnsi="Arial" w:cs="Arial"/>
        </w:rPr>
        <w:t xml:space="preserve">Program TRIO byl schválen </w:t>
      </w:r>
      <w:r w:rsidR="009D7A1A">
        <w:rPr>
          <w:rFonts w:ascii="Arial" w:hAnsi="Arial" w:cs="Arial"/>
        </w:rPr>
        <w:t xml:space="preserve">UV č. 379/2015 </w:t>
      </w:r>
      <w:r w:rsidRPr="0057279E">
        <w:rPr>
          <w:rFonts w:ascii="Arial" w:hAnsi="Arial" w:cs="Arial"/>
        </w:rPr>
        <w:t>na dobu trvání 2016 – 2021 s tím, že v rámci programu budou vyhlášeny tři veřejné soutěže. Nyní se navrhuje prodloužení programu o jeden rok s uspořádáním čtvrté veřejné soutěže.</w:t>
      </w:r>
    </w:p>
    <w:p w:rsidR="00535EC8" w:rsidRPr="00854651" w:rsidRDefault="00535EC8" w:rsidP="0057279E">
      <w:pPr>
        <w:pStyle w:val="Zkladntext2"/>
        <w:spacing w:after="120"/>
        <w:jc w:val="both"/>
        <w:rPr>
          <w:rFonts w:ascii="Arial" w:hAnsi="Arial" w:cs="Arial"/>
          <w:color w:val="000000"/>
          <w:szCs w:val="24"/>
        </w:rPr>
      </w:pPr>
      <w:r w:rsidRPr="0057279E">
        <w:rPr>
          <w:rFonts w:ascii="Arial" w:hAnsi="Arial" w:cs="Arial"/>
          <w:color w:val="000000"/>
          <w:szCs w:val="24"/>
        </w:rPr>
        <w:t xml:space="preserve">S ohledem na vyhlášení poslední plánované veřejné soutěže v programu TRIO (podpořené projekty jsou zahajovány od ledna letošního roku), na  průběh výzev v programu Aplikace OP PIK (zahajování posledních nových projektů se předpokládá </w:t>
      </w:r>
      <w:r w:rsidRPr="0057279E">
        <w:rPr>
          <w:rFonts w:ascii="Arial" w:hAnsi="Arial" w:cs="Arial"/>
          <w:color w:val="000000"/>
          <w:szCs w:val="24"/>
        </w:rPr>
        <w:lastRenderedPageBreak/>
        <w:t xml:space="preserve">v průběhu roku 2018) a na úkoly uložené v oblasti podpory průmyslového výzkumu a vývoje vládou, </w:t>
      </w:r>
      <w:r w:rsidR="00F63820">
        <w:rPr>
          <w:rFonts w:ascii="Arial" w:hAnsi="Arial" w:cs="Arial"/>
          <w:color w:val="000000"/>
          <w:szCs w:val="24"/>
        </w:rPr>
        <w:t>připravilo</w:t>
      </w:r>
      <w:r w:rsidRPr="0057279E">
        <w:rPr>
          <w:rFonts w:ascii="Arial" w:hAnsi="Arial" w:cs="Arial"/>
          <w:color w:val="000000"/>
          <w:szCs w:val="24"/>
        </w:rPr>
        <w:t xml:space="preserve"> </w:t>
      </w:r>
      <w:r w:rsidR="00F63820" w:rsidRPr="0057279E">
        <w:rPr>
          <w:rFonts w:ascii="Arial" w:hAnsi="Arial" w:cs="Arial"/>
          <w:color w:val="000000"/>
          <w:szCs w:val="24"/>
        </w:rPr>
        <w:t xml:space="preserve">MPO </w:t>
      </w:r>
      <w:r w:rsidRPr="0057279E">
        <w:rPr>
          <w:rFonts w:ascii="Arial" w:hAnsi="Arial" w:cs="Arial"/>
          <w:color w:val="000000"/>
          <w:szCs w:val="24"/>
        </w:rPr>
        <w:t xml:space="preserve">návrh nového programu s názvem TREND, </w:t>
      </w:r>
      <w:r w:rsidRPr="00854651">
        <w:rPr>
          <w:rFonts w:ascii="Arial" w:hAnsi="Arial" w:cs="Arial"/>
          <w:color w:val="000000"/>
          <w:szCs w:val="24"/>
        </w:rPr>
        <w:t xml:space="preserve">který je však nutné s ohledem na připomínky vzešlé z meziresortního připomínkového řízení dále diskutovat a upravit. </w:t>
      </w:r>
    </w:p>
    <w:p w:rsidR="00126E48" w:rsidRPr="0057279E" w:rsidRDefault="00126E48" w:rsidP="0057279E">
      <w:pPr>
        <w:pStyle w:val="Zkladntext2"/>
        <w:spacing w:after="120"/>
        <w:jc w:val="both"/>
        <w:rPr>
          <w:rFonts w:ascii="Arial" w:hAnsi="Arial" w:cs="Arial"/>
          <w:color w:val="000000"/>
          <w:szCs w:val="24"/>
        </w:rPr>
      </w:pPr>
      <w:r w:rsidRPr="00854651">
        <w:rPr>
          <w:rFonts w:ascii="Arial" w:hAnsi="Arial" w:cs="Arial"/>
          <w:color w:val="000000"/>
          <w:szCs w:val="24"/>
        </w:rPr>
        <w:t>Z tohoto důvodu MPO navrhuje upravit stávající program TRIO tak, aby alespoň částečně plnil úlohu plánovaného nového programu.</w:t>
      </w:r>
    </w:p>
    <w:p w:rsidR="00126E48" w:rsidRPr="0057279E" w:rsidRDefault="00126E48" w:rsidP="0057279E">
      <w:pPr>
        <w:pStyle w:val="Zkladntext2"/>
        <w:spacing w:after="120"/>
        <w:jc w:val="both"/>
        <w:rPr>
          <w:rFonts w:ascii="Arial" w:hAnsi="Arial" w:cs="Arial"/>
          <w:b/>
          <w:color w:val="000000"/>
          <w:szCs w:val="24"/>
        </w:rPr>
      </w:pPr>
      <w:r w:rsidRPr="0057279E">
        <w:rPr>
          <w:rFonts w:ascii="Arial" w:hAnsi="Arial" w:cs="Arial"/>
          <w:b/>
          <w:color w:val="000000"/>
          <w:szCs w:val="24"/>
        </w:rPr>
        <w:t>K bodu b)</w:t>
      </w:r>
    </w:p>
    <w:p w:rsidR="008D0D71" w:rsidRPr="0057279E" w:rsidRDefault="008D0D71" w:rsidP="0057279E">
      <w:pPr>
        <w:pStyle w:val="Default"/>
        <w:spacing w:after="120"/>
        <w:jc w:val="both"/>
        <w:rPr>
          <w:rFonts w:ascii="Arial" w:hAnsi="Arial" w:cs="Arial"/>
          <w:i/>
          <w:iCs/>
        </w:rPr>
      </w:pPr>
      <w:r w:rsidRPr="0057279E">
        <w:rPr>
          <w:rFonts w:ascii="Arial" w:hAnsi="Arial" w:cs="Arial"/>
        </w:rPr>
        <w:t xml:space="preserve">Výdaje z veřejných prostředků na program byly schválené </w:t>
      </w:r>
      <w:r w:rsidR="009D7A1A">
        <w:rPr>
          <w:rFonts w:ascii="Arial" w:hAnsi="Arial" w:cs="Arial"/>
        </w:rPr>
        <w:t>UV č. 379/2015 ve výši</w:t>
      </w:r>
      <w:r w:rsidRPr="0057279E">
        <w:rPr>
          <w:rFonts w:ascii="Arial" w:hAnsi="Arial" w:cs="Arial"/>
        </w:rPr>
        <w:t xml:space="preserve"> </w:t>
      </w:r>
      <w:r w:rsidRPr="0057279E">
        <w:rPr>
          <w:rFonts w:ascii="Arial" w:hAnsi="Arial" w:cs="Arial"/>
          <w:b/>
          <w:bCs/>
        </w:rPr>
        <w:t xml:space="preserve">3 700 mil. Kč </w:t>
      </w:r>
      <w:r w:rsidRPr="0057279E">
        <w:rPr>
          <w:rFonts w:ascii="Arial" w:hAnsi="Arial" w:cs="Arial"/>
          <w:i/>
          <w:iCs/>
        </w:rPr>
        <w:t>(z toho v jednotlivých letech: 300 mil. Kč v roce 2016, 710 mil. Kč v</w:t>
      </w:r>
      <w:r w:rsidR="00F63820">
        <w:rPr>
          <w:rFonts w:ascii="Arial" w:hAnsi="Arial" w:cs="Arial"/>
          <w:i/>
          <w:iCs/>
        </w:rPr>
        <w:t> </w:t>
      </w:r>
      <w:r w:rsidRPr="0057279E">
        <w:rPr>
          <w:rFonts w:ascii="Arial" w:hAnsi="Arial" w:cs="Arial"/>
          <w:i/>
          <w:iCs/>
        </w:rPr>
        <w:t>roce 2017, 1</w:t>
      </w:r>
      <w:r w:rsidR="009D7A1A">
        <w:rPr>
          <w:rFonts w:ascii="Arial" w:hAnsi="Arial" w:cs="Arial"/>
          <w:i/>
          <w:iCs/>
        </w:rPr>
        <w:t xml:space="preserve"> </w:t>
      </w:r>
      <w:r w:rsidRPr="0057279E">
        <w:rPr>
          <w:rFonts w:ascii="Arial" w:hAnsi="Arial" w:cs="Arial"/>
          <w:i/>
          <w:iCs/>
        </w:rPr>
        <w:t>070 mil. Kč v roce 2018, 920 mil. Kč v roce 2019, 530 mil. Kč v roce 2020 a 170 mil. Kč v roce 2021).</w:t>
      </w:r>
    </w:p>
    <w:p w:rsidR="00126E48" w:rsidRPr="0057279E" w:rsidRDefault="008D0D71" w:rsidP="0057279E">
      <w:pPr>
        <w:pStyle w:val="Zkladntext2"/>
        <w:spacing w:after="120"/>
        <w:jc w:val="both"/>
        <w:rPr>
          <w:rFonts w:ascii="Arial" w:hAnsi="Arial" w:cs="Arial"/>
          <w:szCs w:val="24"/>
        </w:rPr>
      </w:pPr>
      <w:r w:rsidRPr="0057279E">
        <w:rPr>
          <w:rFonts w:ascii="Arial" w:hAnsi="Arial" w:cs="Arial"/>
          <w:szCs w:val="24"/>
        </w:rPr>
        <w:t>Nově jsou c</w:t>
      </w:r>
      <w:r w:rsidR="00126E48" w:rsidRPr="0057279E">
        <w:rPr>
          <w:rFonts w:ascii="Arial" w:hAnsi="Arial" w:cs="Arial"/>
          <w:szCs w:val="24"/>
        </w:rPr>
        <w:t xml:space="preserve">elkové výdaje na Program rozvrženy v souladu s předpokládaným postupným vyhlašováním jednotlivých veřejných soutěží a očekávanou průměrnou intenzitou podpory 68 % a činí 8 950 mil. Kč, z toho </w:t>
      </w:r>
      <w:r w:rsidR="00126E48" w:rsidRPr="0057279E">
        <w:rPr>
          <w:rFonts w:ascii="Arial" w:hAnsi="Arial" w:cs="Arial"/>
          <w:b/>
          <w:szCs w:val="24"/>
        </w:rPr>
        <w:t>6 086 mil. Kč z výdajů státního rozpočtu</w:t>
      </w:r>
      <w:r w:rsidR="00126E48" w:rsidRPr="0057279E">
        <w:rPr>
          <w:rFonts w:ascii="Arial" w:hAnsi="Arial" w:cs="Arial"/>
          <w:szCs w:val="24"/>
        </w:rPr>
        <w:t xml:space="preserve">. </w:t>
      </w:r>
    </w:p>
    <w:p w:rsidR="00126E48" w:rsidRPr="0057279E" w:rsidRDefault="00126E48" w:rsidP="0057279E">
      <w:pPr>
        <w:keepNext/>
        <w:spacing w:after="120"/>
        <w:jc w:val="both"/>
        <w:rPr>
          <w:rFonts w:ascii="Arial" w:hAnsi="Arial" w:cs="Arial"/>
          <w:b/>
        </w:rPr>
      </w:pPr>
      <w:r w:rsidRPr="0057279E">
        <w:rPr>
          <w:rFonts w:ascii="Arial" w:hAnsi="Arial" w:cs="Arial"/>
          <w:b/>
        </w:rPr>
        <w:t>Orientační přehled výše podpory a celkových uznaných nákladů Programu (v</w:t>
      </w:r>
      <w:r w:rsidR="0057279E" w:rsidRPr="0057279E">
        <w:rPr>
          <w:rFonts w:ascii="Arial" w:hAnsi="Arial" w:cs="Arial"/>
          <w:b/>
        </w:rPr>
        <w:t> </w:t>
      </w:r>
      <w:r w:rsidRPr="0057279E">
        <w:rPr>
          <w:rFonts w:ascii="Arial" w:hAnsi="Arial" w:cs="Arial"/>
          <w:b/>
        </w:rPr>
        <w:t>mil. Kč):</w:t>
      </w:r>
    </w:p>
    <w:tbl>
      <w:tblPr>
        <w:tblW w:w="8789"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880"/>
        <w:gridCol w:w="850"/>
        <w:gridCol w:w="851"/>
        <w:gridCol w:w="905"/>
        <w:gridCol w:w="957"/>
        <w:gridCol w:w="957"/>
        <w:gridCol w:w="866"/>
        <w:gridCol w:w="1276"/>
      </w:tblGrid>
      <w:tr w:rsidR="00126E48" w:rsidRPr="0057279E" w:rsidTr="009B6AD4">
        <w:trPr>
          <w:trHeight w:val="466"/>
          <w:jc w:val="center"/>
        </w:trPr>
        <w:tc>
          <w:tcPr>
            <w:tcW w:w="12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rok</w:t>
            </w:r>
          </w:p>
        </w:tc>
        <w:tc>
          <w:tcPr>
            <w:tcW w:w="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2016</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2017</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2018</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2019</w:t>
            </w:r>
          </w:p>
        </w:tc>
        <w:tc>
          <w:tcPr>
            <w:tcW w:w="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2020</w:t>
            </w:r>
          </w:p>
        </w:tc>
        <w:tc>
          <w:tcPr>
            <w:tcW w:w="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i/>
              </w:rPr>
            </w:pPr>
            <w:r w:rsidRPr="0057279E">
              <w:rPr>
                <w:rFonts w:ascii="Arial" w:hAnsi="Arial" w:cs="Arial"/>
              </w:rPr>
              <w:t>2021</w:t>
            </w:r>
          </w:p>
        </w:tc>
        <w:tc>
          <w:tcPr>
            <w:tcW w:w="8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26E48" w:rsidRPr="0057279E" w:rsidRDefault="00126E48" w:rsidP="009D7A1A">
            <w:pPr>
              <w:keepNext/>
              <w:spacing w:before="120" w:after="120"/>
              <w:jc w:val="center"/>
              <w:rPr>
                <w:rFonts w:ascii="Arial" w:hAnsi="Arial" w:cs="Arial"/>
                <w:b/>
              </w:rPr>
            </w:pPr>
            <w:r w:rsidRPr="0057279E">
              <w:rPr>
                <w:rFonts w:ascii="Arial" w:hAnsi="Arial" w:cs="Arial"/>
              </w:rPr>
              <w:t>2022</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9D7A1A">
            <w:pPr>
              <w:keepNext/>
              <w:spacing w:before="120" w:after="120"/>
              <w:jc w:val="center"/>
              <w:rPr>
                <w:rFonts w:ascii="Arial" w:hAnsi="Arial" w:cs="Arial"/>
                <w:b/>
                <w:i/>
              </w:rPr>
            </w:pPr>
            <w:r w:rsidRPr="0057279E">
              <w:rPr>
                <w:rFonts w:ascii="Arial" w:hAnsi="Arial" w:cs="Arial"/>
                <w:b/>
              </w:rPr>
              <w:t>CELKEM</w:t>
            </w:r>
          </w:p>
        </w:tc>
      </w:tr>
      <w:tr w:rsidR="00126E48" w:rsidRPr="0057279E" w:rsidTr="009B6AD4">
        <w:trPr>
          <w:trHeight w:val="466"/>
          <w:jc w:val="center"/>
        </w:trPr>
        <w:tc>
          <w:tcPr>
            <w:tcW w:w="12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57279E">
            <w:pPr>
              <w:keepNext/>
              <w:spacing w:after="120"/>
              <w:jc w:val="center"/>
              <w:rPr>
                <w:rFonts w:ascii="Arial" w:hAnsi="Arial" w:cs="Arial"/>
                <w:i/>
              </w:rPr>
            </w:pPr>
            <w:r w:rsidRPr="0057279E">
              <w:rPr>
                <w:rFonts w:ascii="Arial" w:hAnsi="Arial" w:cs="Arial"/>
              </w:rPr>
              <w:t>veřejná podpora</w:t>
            </w:r>
          </w:p>
        </w:tc>
        <w:tc>
          <w:tcPr>
            <w:tcW w:w="880"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268</w:t>
            </w:r>
          </w:p>
        </w:tc>
        <w:tc>
          <w:tcPr>
            <w:tcW w:w="850"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848</w:t>
            </w:r>
          </w:p>
        </w:tc>
        <w:tc>
          <w:tcPr>
            <w:tcW w:w="851"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1 378</w:t>
            </w:r>
          </w:p>
        </w:tc>
        <w:tc>
          <w:tcPr>
            <w:tcW w:w="905"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1 448</w:t>
            </w:r>
          </w:p>
        </w:tc>
        <w:tc>
          <w:tcPr>
            <w:tcW w:w="957"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1 198</w:t>
            </w:r>
          </w:p>
        </w:tc>
        <w:tc>
          <w:tcPr>
            <w:tcW w:w="957"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i/>
              </w:rPr>
            </w:pPr>
            <w:r w:rsidRPr="0057279E">
              <w:rPr>
                <w:rFonts w:ascii="Arial" w:hAnsi="Arial" w:cs="Arial"/>
                <w:b/>
                <w:bCs/>
                <w:color w:val="000000"/>
              </w:rPr>
              <w:t>657</w:t>
            </w:r>
          </w:p>
        </w:tc>
        <w:tc>
          <w:tcPr>
            <w:tcW w:w="866" w:type="dxa"/>
            <w:tcBorders>
              <w:top w:val="single" w:sz="4" w:space="0" w:color="auto"/>
              <w:left w:val="single" w:sz="4" w:space="0" w:color="auto"/>
              <w:bottom w:val="single" w:sz="4" w:space="0" w:color="auto"/>
              <w:right w:val="single" w:sz="4" w:space="0" w:color="auto"/>
            </w:tcBorders>
          </w:tcPr>
          <w:p w:rsidR="00126E48" w:rsidRPr="0057279E" w:rsidRDefault="00126E48" w:rsidP="009D7A1A">
            <w:pPr>
              <w:keepNext/>
              <w:spacing w:before="120" w:after="120"/>
              <w:jc w:val="center"/>
              <w:rPr>
                <w:rFonts w:ascii="Arial" w:hAnsi="Arial" w:cs="Arial"/>
                <w:b/>
              </w:rPr>
            </w:pPr>
            <w:r w:rsidRPr="0057279E">
              <w:rPr>
                <w:rFonts w:ascii="Arial" w:hAnsi="Arial" w:cs="Arial"/>
                <w:b/>
                <w:bCs/>
                <w:color w:val="000000"/>
              </w:rPr>
              <w:t>288</w:t>
            </w:r>
          </w:p>
        </w:tc>
        <w:tc>
          <w:tcPr>
            <w:tcW w:w="1276"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keepNext/>
              <w:spacing w:before="120" w:after="120"/>
              <w:jc w:val="center"/>
              <w:rPr>
                <w:rFonts w:ascii="Arial" w:hAnsi="Arial" w:cs="Arial"/>
                <w:b/>
                <w:i/>
              </w:rPr>
            </w:pPr>
            <w:r w:rsidRPr="0057279E">
              <w:rPr>
                <w:rFonts w:ascii="Arial" w:hAnsi="Arial" w:cs="Arial"/>
                <w:b/>
                <w:bCs/>
                <w:color w:val="000000"/>
              </w:rPr>
              <w:t>6 086</w:t>
            </w:r>
          </w:p>
        </w:tc>
      </w:tr>
      <w:tr w:rsidR="00126E48" w:rsidRPr="0057279E" w:rsidTr="009B6AD4">
        <w:trPr>
          <w:trHeight w:val="466"/>
          <w:jc w:val="center"/>
        </w:trPr>
        <w:tc>
          <w:tcPr>
            <w:tcW w:w="12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26E48" w:rsidRPr="0057279E" w:rsidRDefault="00126E48" w:rsidP="0057279E">
            <w:pPr>
              <w:spacing w:after="120"/>
              <w:jc w:val="center"/>
              <w:rPr>
                <w:rFonts w:ascii="Arial" w:hAnsi="Arial" w:cs="Arial"/>
                <w:i/>
              </w:rPr>
            </w:pPr>
            <w:r w:rsidRPr="0057279E">
              <w:rPr>
                <w:rFonts w:ascii="Arial" w:hAnsi="Arial" w:cs="Arial"/>
              </w:rPr>
              <w:t>celkové náklady</w:t>
            </w:r>
          </w:p>
        </w:tc>
        <w:tc>
          <w:tcPr>
            <w:tcW w:w="880"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398</w:t>
            </w:r>
          </w:p>
        </w:tc>
        <w:tc>
          <w:tcPr>
            <w:tcW w:w="850"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1 192</w:t>
            </w:r>
          </w:p>
        </w:tc>
        <w:tc>
          <w:tcPr>
            <w:tcW w:w="851"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1 438</w:t>
            </w:r>
          </w:p>
        </w:tc>
        <w:tc>
          <w:tcPr>
            <w:tcW w:w="905"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2 388</w:t>
            </w:r>
          </w:p>
        </w:tc>
        <w:tc>
          <w:tcPr>
            <w:tcW w:w="957"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1 975</w:t>
            </w:r>
          </w:p>
        </w:tc>
        <w:tc>
          <w:tcPr>
            <w:tcW w:w="957"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i/>
              </w:rPr>
            </w:pPr>
            <w:r w:rsidRPr="0057279E">
              <w:rPr>
                <w:rFonts w:ascii="Arial" w:hAnsi="Arial" w:cs="Arial"/>
                <w:b/>
                <w:bCs/>
                <w:color w:val="000000"/>
              </w:rPr>
              <w:t>1 084</w:t>
            </w:r>
          </w:p>
        </w:tc>
        <w:tc>
          <w:tcPr>
            <w:tcW w:w="866" w:type="dxa"/>
            <w:tcBorders>
              <w:top w:val="single" w:sz="4" w:space="0" w:color="auto"/>
              <w:left w:val="single" w:sz="4" w:space="0" w:color="auto"/>
              <w:bottom w:val="single" w:sz="4" w:space="0" w:color="auto"/>
              <w:right w:val="single" w:sz="4" w:space="0" w:color="auto"/>
            </w:tcBorders>
          </w:tcPr>
          <w:p w:rsidR="00126E48" w:rsidRPr="0057279E" w:rsidRDefault="00126E48" w:rsidP="009D7A1A">
            <w:pPr>
              <w:spacing w:before="120" w:after="120"/>
              <w:jc w:val="center"/>
              <w:rPr>
                <w:rFonts w:ascii="Arial" w:hAnsi="Arial" w:cs="Arial"/>
                <w:b/>
              </w:rPr>
            </w:pPr>
            <w:r w:rsidRPr="0057279E">
              <w:rPr>
                <w:rFonts w:ascii="Arial" w:hAnsi="Arial" w:cs="Arial"/>
                <w:b/>
                <w:bCs/>
                <w:color w:val="000000"/>
              </w:rPr>
              <w:t>475</w:t>
            </w:r>
          </w:p>
        </w:tc>
        <w:tc>
          <w:tcPr>
            <w:tcW w:w="1276" w:type="dxa"/>
            <w:tcBorders>
              <w:top w:val="single" w:sz="4" w:space="0" w:color="auto"/>
              <w:left w:val="single" w:sz="4" w:space="0" w:color="auto"/>
              <w:bottom w:val="single" w:sz="4" w:space="0" w:color="auto"/>
              <w:right w:val="single" w:sz="4" w:space="0" w:color="auto"/>
            </w:tcBorders>
            <w:hideMark/>
          </w:tcPr>
          <w:p w:rsidR="00126E48" w:rsidRPr="0057279E" w:rsidRDefault="00126E48" w:rsidP="009D7A1A">
            <w:pPr>
              <w:spacing w:before="120" w:after="120"/>
              <w:jc w:val="center"/>
              <w:rPr>
                <w:rFonts w:ascii="Arial" w:hAnsi="Arial" w:cs="Arial"/>
                <w:b/>
                <w:i/>
              </w:rPr>
            </w:pPr>
            <w:r w:rsidRPr="0057279E">
              <w:rPr>
                <w:rFonts w:ascii="Arial" w:hAnsi="Arial" w:cs="Arial"/>
                <w:b/>
                <w:bCs/>
                <w:color w:val="000000"/>
              </w:rPr>
              <w:t>8 950</w:t>
            </w:r>
          </w:p>
        </w:tc>
      </w:tr>
    </w:tbl>
    <w:p w:rsidR="00450BC7" w:rsidRDefault="00450BC7" w:rsidP="009D7A1A">
      <w:pPr>
        <w:spacing w:after="120"/>
        <w:jc w:val="both"/>
        <w:rPr>
          <w:rFonts w:ascii="Arial" w:hAnsi="Arial" w:cs="Arial"/>
        </w:rPr>
      </w:pPr>
    </w:p>
    <w:p w:rsidR="009D7A1A" w:rsidRDefault="009D7A1A" w:rsidP="009D7A1A">
      <w:pPr>
        <w:spacing w:after="120"/>
        <w:jc w:val="both"/>
        <w:rPr>
          <w:rFonts w:ascii="Arial" w:hAnsi="Arial" w:cs="Arial"/>
        </w:rPr>
      </w:pPr>
      <w:r>
        <w:rPr>
          <w:rFonts w:ascii="Arial" w:hAnsi="Arial" w:cs="Arial"/>
        </w:rPr>
        <w:t>Podpora stávajícího programu ze státního rozpočtu (</w:t>
      </w:r>
      <w:r w:rsidR="008D394B">
        <w:rPr>
          <w:rFonts w:ascii="Arial" w:hAnsi="Arial" w:cs="Arial"/>
        </w:rPr>
        <w:t>v</w:t>
      </w:r>
      <w:r>
        <w:rPr>
          <w:rFonts w:ascii="Arial" w:hAnsi="Arial" w:cs="Arial"/>
        </w:rPr>
        <w:t xml:space="preserve"> platných střednědobých výhled</w:t>
      </w:r>
      <w:r w:rsidR="008D394B">
        <w:rPr>
          <w:rFonts w:ascii="Arial" w:hAnsi="Arial" w:cs="Arial"/>
        </w:rPr>
        <w:t>ech</w:t>
      </w:r>
      <w:r>
        <w:rPr>
          <w:rFonts w:ascii="Arial" w:hAnsi="Arial" w:cs="Arial"/>
        </w:rPr>
        <w:t xml:space="preserve"> schválených do roku 2021) překračuje v současné době výši veřejné podpory schválené UV č. 379/2015 o 18,3%.</w:t>
      </w:r>
    </w:p>
    <w:p w:rsidR="009D7A1A" w:rsidRPr="0057279E" w:rsidRDefault="009D7A1A" w:rsidP="009D7A1A">
      <w:pPr>
        <w:spacing w:after="120"/>
        <w:jc w:val="both"/>
        <w:rPr>
          <w:rFonts w:ascii="Arial" w:hAnsi="Arial" w:cs="Arial"/>
        </w:rPr>
      </w:pPr>
      <w:r>
        <w:rPr>
          <w:rFonts w:ascii="Arial" w:hAnsi="Arial" w:cs="Arial"/>
        </w:rPr>
        <w:t>Související navýšení rozpočtu programu bude pokryto z rozpočtové kapitoly MPO, v období 2019-2021 v rámci schváleného střednědobého výhledu</w:t>
      </w:r>
      <w:r w:rsidR="009D321D">
        <w:rPr>
          <w:rFonts w:ascii="Arial" w:hAnsi="Arial" w:cs="Arial"/>
        </w:rPr>
        <w:t xml:space="preserve"> rozpočtu na</w:t>
      </w:r>
      <w:r w:rsidR="00F63820">
        <w:rPr>
          <w:rFonts w:ascii="Arial" w:hAnsi="Arial" w:cs="Arial"/>
        </w:rPr>
        <w:t> </w:t>
      </w:r>
      <w:r w:rsidR="009D321D">
        <w:rPr>
          <w:rFonts w:ascii="Arial" w:hAnsi="Arial" w:cs="Arial"/>
        </w:rPr>
        <w:t>výzkum, vývoj a inovace</w:t>
      </w:r>
      <w:r>
        <w:rPr>
          <w:rFonts w:ascii="Arial" w:hAnsi="Arial" w:cs="Arial"/>
        </w:rPr>
        <w:t>, tj. bez požadavků na navýšení účelové podpory v tomto období.</w:t>
      </w:r>
      <w:r w:rsidR="009D321D">
        <w:rPr>
          <w:rFonts w:ascii="Arial" w:hAnsi="Arial" w:cs="Arial"/>
        </w:rPr>
        <w:t xml:space="preserve"> Návrh tak nemá dopad na státní rozpočet.</w:t>
      </w:r>
      <w:r w:rsidR="0056170B">
        <w:rPr>
          <w:rFonts w:ascii="Arial" w:hAnsi="Arial" w:cs="Arial"/>
        </w:rPr>
        <w:t xml:space="preserve"> </w:t>
      </w:r>
      <w:r w:rsidR="00854AED">
        <w:rPr>
          <w:rFonts w:ascii="Arial" w:hAnsi="Arial" w:cs="Arial"/>
        </w:rPr>
        <w:t xml:space="preserve">Případné navýšení výdajů </w:t>
      </w:r>
      <w:r w:rsidR="008D394B">
        <w:rPr>
          <w:rFonts w:ascii="Arial" w:hAnsi="Arial" w:cs="Arial"/>
        </w:rPr>
        <w:t xml:space="preserve">od roku 2020 </w:t>
      </w:r>
      <w:r w:rsidR="00AF10C7">
        <w:rPr>
          <w:rFonts w:ascii="Arial" w:hAnsi="Arial" w:cs="Arial"/>
        </w:rPr>
        <w:t xml:space="preserve">a výdaje pro finální rok 2022 </w:t>
      </w:r>
      <w:r w:rsidR="00854AED">
        <w:rPr>
          <w:rFonts w:ascii="Arial" w:hAnsi="Arial" w:cs="Arial"/>
        </w:rPr>
        <w:t>bud</w:t>
      </w:r>
      <w:r w:rsidR="00AF10C7">
        <w:rPr>
          <w:rFonts w:ascii="Arial" w:hAnsi="Arial" w:cs="Arial"/>
        </w:rPr>
        <w:t>ou</w:t>
      </w:r>
      <w:r w:rsidR="00854AED">
        <w:rPr>
          <w:rFonts w:ascii="Arial" w:hAnsi="Arial" w:cs="Arial"/>
        </w:rPr>
        <w:t xml:space="preserve"> řešen</w:t>
      </w:r>
      <w:r w:rsidR="00AF10C7">
        <w:rPr>
          <w:rFonts w:ascii="Arial" w:hAnsi="Arial" w:cs="Arial"/>
        </w:rPr>
        <w:t>y</w:t>
      </w:r>
      <w:r w:rsidR="00854AED">
        <w:rPr>
          <w:rFonts w:ascii="Arial" w:hAnsi="Arial" w:cs="Arial"/>
        </w:rPr>
        <w:t xml:space="preserve"> při přípravě rozpočtu </w:t>
      </w:r>
      <w:r w:rsidR="008D394B">
        <w:rPr>
          <w:rFonts w:ascii="Arial" w:hAnsi="Arial" w:cs="Arial"/>
        </w:rPr>
        <w:t>na</w:t>
      </w:r>
      <w:r w:rsidR="00F63820">
        <w:rPr>
          <w:rFonts w:ascii="Arial" w:hAnsi="Arial" w:cs="Arial"/>
        </w:rPr>
        <w:t> </w:t>
      </w:r>
      <w:proofErr w:type="spellStart"/>
      <w:r w:rsidR="008D394B">
        <w:rPr>
          <w:rFonts w:ascii="Arial" w:hAnsi="Arial" w:cs="Arial"/>
        </w:rPr>
        <w:t>VaVaI</w:t>
      </w:r>
      <w:proofErr w:type="spellEnd"/>
      <w:r w:rsidR="008D394B">
        <w:rPr>
          <w:rFonts w:ascii="Arial" w:hAnsi="Arial" w:cs="Arial"/>
        </w:rPr>
        <w:t xml:space="preserve"> </w:t>
      </w:r>
      <w:r w:rsidR="00854AED">
        <w:rPr>
          <w:rFonts w:ascii="Arial" w:hAnsi="Arial" w:cs="Arial"/>
        </w:rPr>
        <w:t>na</w:t>
      </w:r>
      <w:r w:rsidR="00A50EC7">
        <w:rPr>
          <w:rFonts w:ascii="Arial" w:hAnsi="Arial" w:cs="Arial"/>
        </w:rPr>
        <w:t> </w:t>
      </w:r>
      <w:bookmarkStart w:id="0" w:name="_GoBack"/>
      <w:bookmarkEnd w:id="0"/>
      <w:r w:rsidR="00854AED">
        <w:rPr>
          <w:rFonts w:ascii="Arial" w:hAnsi="Arial" w:cs="Arial"/>
        </w:rPr>
        <w:t>rok 2020.</w:t>
      </w:r>
    </w:p>
    <w:p w:rsidR="00126E48" w:rsidRPr="0057279E" w:rsidRDefault="00126E48" w:rsidP="0057279E">
      <w:pPr>
        <w:spacing w:after="120"/>
        <w:jc w:val="both"/>
        <w:rPr>
          <w:rFonts w:ascii="Arial" w:hAnsi="Arial" w:cs="Arial"/>
        </w:rPr>
      </w:pPr>
      <w:r w:rsidRPr="0057279E">
        <w:rPr>
          <w:rFonts w:ascii="Arial" w:hAnsi="Arial" w:cs="Arial"/>
        </w:rPr>
        <w:t xml:space="preserve">Podpora bude </w:t>
      </w:r>
      <w:r w:rsidR="0057279E">
        <w:rPr>
          <w:rFonts w:ascii="Arial" w:hAnsi="Arial" w:cs="Arial"/>
        </w:rPr>
        <w:t xml:space="preserve">i nadále </w:t>
      </w:r>
      <w:r w:rsidRPr="0057279E">
        <w:rPr>
          <w:rFonts w:ascii="Arial" w:hAnsi="Arial" w:cs="Arial"/>
        </w:rPr>
        <w:t>poskytována formou dotace právnickým nebo fyzickým osobám nebo zvýšením výdajů organizačních složek státu, organizačních složek územních samosprávných celků nebo organizačních jednotek ministerstev.</w:t>
      </w:r>
    </w:p>
    <w:p w:rsidR="008D0D71" w:rsidRPr="0051210D" w:rsidRDefault="008D0D71" w:rsidP="00450BC7">
      <w:pPr>
        <w:keepNext/>
        <w:spacing w:after="120"/>
        <w:jc w:val="both"/>
        <w:rPr>
          <w:rFonts w:ascii="Arial" w:hAnsi="Arial" w:cs="Arial"/>
          <w:b/>
        </w:rPr>
      </w:pPr>
      <w:r w:rsidRPr="0051210D">
        <w:rPr>
          <w:rFonts w:ascii="Arial" w:hAnsi="Arial" w:cs="Arial"/>
          <w:b/>
        </w:rPr>
        <w:t>K bodu c)</w:t>
      </w:r>
    </w:p>
    <w:p w:rsidR="009B6AD4" w:rsidRPr="0057279E" w:rsidRDefault="009B6AD4" w:rsidP="00450BC7">
      <w:pPr>
        <w:spacing w:after="120"/>
        <w:jc w:val="both"/>
        <w:rPr>
          <w:rFonts w:ascii="Arial" w:hAnsi="Arial" w:cs="Arial"/>
        </w:rPr>
      </w:pPr>
      <w:r w:rsidRPr="0057279E">
        <w:rPr>
          <w:rFonts w:ascii="Arial" w:hAnsi="Arial" w:cs="Arial"/>
        </w:rPr>
        <w:t>MPO navýšilo indikátory minimálního počtu podpořených projektů z původních 200 na 400, minimálního počtu aplikovaných výsledků z 300 na 600 a minimálního počtu průmyslově chráněných výsledků z 50 na 100.</w:t>
      </w:r>
    </w:p>
    <w:p w:rsidR="009B6AD4" w:rsidRDefault="009B6AD4" w:rsidP="00450BC7">
      <w:pPr>
        <w:spacing w:after="120"/>
        <w:jc w:val="both"/>
        <w:rPr>
          <w:rFonts w:ascii="Arial" w:hAnsi="Arial" w:cs="Arial"/>
        </w:rPr>
      </w:pPr>
      <w:r w:rsidRPr="0057279E">
        <w:rPr>
          <w:rFonts w:ascii="Arial" w:hAnsi="Arial" w:cs="Arial"/>
        </w:rPr>
        <w:t xml:space="preserve">Dále budou sledovány a vyhodnocovány přínosy programu, tři roky po ukončení projektů bude monitorováno konkrétní využití dosažených výsledků, ekonomické </w:t>
      </w:r>
      <w:r w:rsidRPr="0057279E">
        <w:rPr>
          <w:rFonts w:ascii="Arial" w:hAnsi="Arial" w:cs="Arial"/>
        </w:rPr>
        <w:lastRenderedPageBreak/>
        <w:t xml:space="preserve">přínosy z jejich realizace, vliv na hospodářské výkony a zaměstnanost u realizátora, podíl na exportní výkonnosti atd. </w:t>
      </w:r>
    </w:p>
    <w:p w:rsidR="00C23DD8" w:rsidRPr="00C23DD8" w:rsidRDefault="00221205" w:rsidP="00450BC7">
      <w:pPr>
        <w:autoSpaceDE w:val="0"/>
        <w:autoSpaceDN w:val="0"/>
        <w:adjustRightInd w:val="0"/>
        <w:spacing w:after="120"/>
        <w:rPr>
          <w:rFonts w:ascii="Arial" w:eastAsiaTheme="minorHAnsi" w:hAnsi="Arial" w:cs="Arial"/>
          <w:b/>
          <w:color w:val="000000"/>
          <w:lang w:eastAsia="en-US"/>
        </w:rPr>
      </w:pPr>
      <w:r>
        <w:rPr>
          <w:rFonts w:ascii="Arial" w:eastAsiaTheme="minorHAnsi" w:hAnsi="Arial" w:cs="Arial"/>
          <w:b/>
          <w:color w:val="000000"/>
          <w:lang w:eastAsia="en-US"/>
        </w:rPr>
        <w:t>IV.</w:t>
      </w:r>
      <w:r>
        <w:rPr>
          <w:rFonts w:ascii="Arial" w:eastAsiaTheme="minorHAnsi" w:hAnsi="Arial" w:cs="Arial"/>
          <w:b/>
          <w:color w:val="000000"/>
          <w:lang w:eastAsia="en-US"/>
        </w:rPr>
        <w:tab/>
      </w:r>
      <w:r w:rsidR="00C23DD8" w:rsidRPr="00C23DD8">
        <w:rPr>
          <w:rFonts w:ascii="Arial" w:eastAsiaTheme="minorHAnsi" w:hAnsi="Arial" w:cs="Arial"/>
          <w:b/>
          <w:color w:val="000000"/>
          <w:lang w:eastAsia="en-US"/>
        </w:rPr>
        <w:t>Zásadní připomínk</w:t>
      </w:r>
      <w:r w:rsidR="00450BC7">
        <w:rPr>
          <w:rFonts w:ascii="Arial" w:eastAsiaTheme="minorHAnsi" w:hAnsi="Arial" w:cs="Arial"/>
          <w:b/>
          <w:color w:val="000000"/>
          <w:lang w:eastAsia="en-US"/>
        </w:rPr>
        <w:t>a</w:t>
      </w:r>
      <w:r w:rsidR="00C23DD8" w:rsidRPr="00C23DD8">
        <w:rPr>
          <w:rFonts w:ascii="Arial" w:eastAsiaTheme="minorHAnsi" w:hAnsi="Arial" w:cs="Arial"/>
          <w:b/>
          <w:color w:val="000000"/>
          <w:lang w:eastAsia="en-US"/>
        </w:rPr>
        <w:t>:</w:t>
      </w:r>
    </w:p>
    <w:p w:rsidR="008D394B" w:rsidRDefault="00F63820" w:rsidP="00450BC7">
      <w:pPr>
        <w:pStyle w:val="Zkladntext2"/>
        <w:spacing w:after="120"/>
        <w:jc w:val="both"/>
        <w:rPr>
          <w:rFonts w:ascii="Arial" w:hAnsi="Arial" w:cs="Arial"/>
          <w:color w:val="000000"/>
          <w:szCs w:val="24"/>
        </w:rPr>
      </w:pPr>
      <w:r>
        <w:rPr>
          <w:rFonts w:ascii="Arial" w:hAnsi="Arial" w:cs="Arial"/>
          <w:color w:val="000000"/>
          <w:szCs w:val="24"/>
        </w:rPr>
        <w:t>K materiálu</w:t>
      </w:r>
      <w:r w:rsidR="00DC34AE" w:rsidRPr="0051210D">
        <w:rPr>
          <w:rFonts w:ascii="Arial" w:hAnsi="Arial" w:cs="Arial"/>
          <w:b/>
          <w:color w:val="000000"/>
          <w:szCs w:val="24"/>
        </w:rPr>
        <w:t xml:space="preserve"> III. Program aplikovaného výzkumu</w:t>
      </w:r>
      <w:r w:rsidR="00DC34AE">
        <w:rPr>
          <w:rFonts w:ascii="Arial" w:hAnsi="Arial" w:cs="Arial"/>
          <w:color w:val="000000"/>
          <w:szCs w:val="24"/>
        </w:rPr>
        <w:t xml:space="preserve"> a experimentálního vývoje „TRIO“, bod 7. Výdaje na program</w:t>
      </w:r>
    </w:p>
    <w:p w:rsidR="00C23DD8" w:rsidRPr="0057279E" w:rsidRDefault="00DC34AE" w:rsidP="00450BC7">
      <w:pPr>
        <w:spacing w:after="120"/>
        <w:jc w:val="both"/>
        <w:rPr>
          <w:rFonts w:ascii="Arial" w:hAnsi="Arial" w:cs="Arial"/>
          <w:i/>
        </w:rPr>
      </w:pPr>
      <w:r>
        <w:rPr>
          <w:rFonts w:ascii="Arial" w:eastAsiaTheme="minorHAnsi" w:hAnsi="Arial" w:cs="Arial"/>
          <w:color w:val="000000"/>
          <w:lang w:eastAsia="en-US"/>
        </w:rPr>
        <w:t xml:space="preserve">Rada doporučuje </w:t>
      </w:r>
      <w:r>
        <w:rPr>
          <w:rFonts w:ascii="Arial" w:hAnsi="Arial" w:cs="Arial"/>
        </w:rPr>
        <w:t xml:space="preserve">upravit alokace veřejné podpory programu v roce 2018 dle </w:t>
      </w:r>
      <w:r w:rsidR="0076050E">
        <w:rPr>
          <w:rFonts w:ascii="Arial" w:hAnsi="Arial" w:cs="Arial"/>
        </w:rPr>
        <w:t xml:space="preserve">aktuálního </w:t>
      </w:r>
      <w:r w:rsidR="00923819">
        <w:rPr>
          <w:rFonts w:ascii="Arial" w:hAnsi="Arial" w:cs="Arial"/>
        </w:rPr>
        <w:t>rozpočtu a se</w:t>
      </w:r>
      <w:r>
        <w:rPr>
          <w:rFonts w:ascii="Arial" w:hAnsi="Arial" w:cs="Arial"/>
        </w:rPr>
        <w:t xml:space="preserve"> zapojením NNV, v roce 2019 pak dle </w:t>
      </w:r>
      <w:r w:rsidR="0076050E">
        <w:rPr>
          <w:rFonts w:ascii="Arial" w:hAnsi="Arial" w:cs="Arial"/>
        </w:rPr>
        <w:t xml:space="preserve">schváleného návrhu rozpočtu MPO </w:t>
      </w:r>
      <w:proofErr w:type="gramStart"/>
      <w:r w:rsidR="0076050E">
        <w:rPr>
          <w:rFonts w:ascii="Arial" w:hAnsi="Arial" w:cs="Arial"/>
        </w:rPr>
        <w:t xml:space="preserve">projednaného </w:t>
      </w:r>
      <w:r>
        <w:rPr>
          <w:rFonts w:ascii="Arial" w:hAnsi="Arial" w:cs="Arial"/>
        </w:rPr>
        <w:t xml:space="preserve"> </w:t>
      </w:r>
      <w:r w:rsidR="0076050E">
        <w:rPr>
          <w:rFonts w:ascii="Arial" w:hAnsi="Arial" w:cs="Arial"/>
        </w:rPr>
        <w:t>334</w:t>
      </w:r>
      <w:proofErr w:type="gramEnd"/>
      <w:r w:rsidR="0076050E">
        <w:rPr>
          <w:rFonts w:ascii="Arial" w:hAnsi="Arial" w:cs="Arial"/>
        </w:rPr>
        <w:t>. RVVI v  bodu A1.</w:t>
      </w:r>
    </w:p>
    <w:p w:rsidR="00126E48" w:rsidRDefault="0057279E" w:rsidP="00450BC7">
      <w:pPr>
        <w:pStyle w:val="Zkladntext2"/>
        <w:keepNext/>
        <w:spacing w:after="120"/>
        <w:jc w:val="both"/>
        <w:rPr>
          <w:rFonts w:ascii="Arial" w:hAnsi="Arial" w:cs="Arial"/>
          <w:b/>
          <w:color w:val="000000"/>
          <w:szCs w:val="24"/>
        </w:rPr>
      </w:pPr>
      <w:r w:rsidRPr="0057279E">
        <w:rPr>
          <w:rFonts w:ascii="Arial" w:hAnsi="Arial" w:cs="Arial"/>
          <w:b/>
          <w:color w:val="000000"/>
          <w:szCs w:val="24"/>
        </w:rPr>
        <w:t>V. Závěry</w:t>
      </w:r>
    </w:p>
    <w:p w:rsidR="00221205" w:rsidRDefault="00221205" w:rsidP="00450BC7">
      <w:pPr>
        <w:pStyle w:val="Zkladntext2"/>
        <w:keepNext/>
        <w:spacing w:after="120"/>
        <w:jc w:val="both"/>
        <w:rPr>
          <w:rFonts w:ascii="Arial" w:hAnsi="Arial" w:cs="Arial"/>
        </w:rPr>
      </w:pPr>
      <w:r>
        <w:rPr>
          <w:rFonts w:ascii="Arial" w:hAnsi="Arial" w:cs="Arial"/>
          <w:b/>
          <w:color w:val="000000"/>
          <w:szCs w:val="24"/>
        </w:rPr>
        <w:t>Rada</w:t>
      </w:r>
      <w:r w:rsidRPr="00221205">
        <w:rPr>
          <w:rFonts w:ascii="Arial" w:hAnsi="Arial" w:cs="Arial"/>
        </w:rPr>
        <w:t xml:space="preserve"> </w:t>
      </w:r>
    </w:p>
    <w:p w:rsidR="00221205" w:rsidRDefault="00221205" w:rsidP="00450BC7">
      <w:pPr>
        <w:pStyle w:val="Zkladntext2"/>
        <w:keepNext/>
        <w:numPr>
          <w:ilvl w:val="0"/>
          <w:numId w:val="8"/>
        </w:numPr>
        <w:spacing w:after="120"/>
        <w:ind w:left="714" w:hanging="357"/>
        <w:jc w:val="both"/>
        <w:rPr>
          <w:rFonts w:ascii="Arial" w:hAnsi="Arial" w:cs="Arial"/>
          <w:b/>
          <w:color w:val="000000"/>
          <w:szCs w:val="24"/>
        </w:rPr>
      </w:pPr>
      <w:r w:rsidRPr="00221205">
        <w:rPr>
          <w:rFonts w:ascii="Arial" w:hAnsi="Arial" w:cs="Arial"/>
        </w:rPr>
        <w:t>souhlasí s návrhem změny programu</w:t>
      </w:r>
    </w:p>
    <w:p w:rsidR="00221205" w:rsidRPr="00221205" w:rsidRDefault="00221205" w:rsidP="00C23DD8">
      <w:pPr>
        <w:pStyle w:val="Zkladntext2"/>
        <w:numPr>
          <w:ilvl w:val="0"/>
          <w:numId w:val="8"/>
        </w:numPr>
        <w:spacing w:after="120"/>
        <w:jc w:val="both"/>
        <w:rPr>
          <w:rFonts w:ascii="Arial" w:hAnsi="Arial" w:cs="Arial"/>
          <w:b/>
          <w:color w:val="000000"/>
          <w:szCs w:val="24"/>
        </w:rPr>
      </w:pPr>
      <w:r w:rsidRPr="00221205">
        <w:rPr>
          <w:rFonts w:ascii="Arial" w:hAnsi="Arial" w:cs="Arial"/>
          <w:szCs w:val="24"/>
        </w:rPr>
        <w:t>žádá, aby před předložením návrhu Programu do meziresortního připomínkového řízení MPO zohlednilo všechny připomínky Rady obsažené v části IV. tohoto Stanoviska</w:t>
      </w:r>
      <w:r>
        <w:rPr>
          <w:rFonts w:ascii="Arial" w:hAnsi="Arial" w:cs="Arial"/>
          <w:szCs w:val="24"/>
        </w:rPr>
        <w:t>.</w:t>
      </w:r>
    </w:p>
    <w:p w:rsidR="008F2F56" w:rsidRDefault="008F2F56" w:rsidP="00535EC8">
      <w:pPr>
        <w:pStyle w:val="Zkladntext2"/>
        <w:spacing w:after="120"/>
        <w:jc w:val="both"/>
        <w:rPr>
          <w:rFonts w:ascii="Arial" w:hAnsi="Arial" w:cs="Arial"/>
          <w:b/>
          <w:color w:val="000000"/>
          <w:szCs w:val="24"/>
        </w:rPr>
      </w:pPr>
    </w:p>
    <w:p w:rsidR="00F63820" w:rsidRPr="00F63820" w:rsidRDefault="00F63820" w:rsidP="00535EC8">
      <w:pPr>
        <w:pStyle w:val="Zkladntext2"/>
        <w:spacing w:after="120"/>
        <w:jc w:val="both"/>
        <w:rPr>
          <w:rFonts w:ascii="Arial" w:hAnsi="Arial" w:cs="Arial"/>
          <w:color w:val="000000"/>
          <w:szCs w:val="24"/>
        </w:rPr>
      </w:pPr>
      <w:r w:rsidRPr="00F63820">
        <w:rPr>
          <w:rFonts w:ascii="Arial" w:hAnsi="Arial" w:cs="Arial"/>
          <w:color w:val="000000"/>
          <w:szCs w:val="24"/>
        </w:rPr>
        <w:t>V Praze dne 29. března 2018</w:t>
      </w:r>
    </w:p>
    <w:sectPr w:rsidR="00F63820" w:rsidRPr="00F63820"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F9F" w:rsidRDefault="00FE6F9F" w:rsidP="008F77F6">
      <w:r>
        <w:separator/>
      </w:r>
    </w:p>
  </w:endnote>
  <w:endnote w:type="continuationSeparator" w:id="0">
    <w:p w:rsidR="00FE6F9F" w:rsidRDefault="00FE6F9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54" w:rsidRPr="00B127FC" w:rsidRDefault="00F91154" w:rsidP="00F91154">
    <w:pPr>
      <w:rPr>
        <w:rFonts w:ascii="Arial" w:hAnsi="Arial" w:cs="Arial"/>
        <w:sz w:val="20"/>
        <w:szCs w:val="20"/>
      </w:rPr>
    </w:pPr>
    <w:r w:rsidRPr="00B127FC">
      <w:rPr>
        <w:rFonts w:ascii="Arial" w:hAnsi="Arial" w:cs="Arial"/>
        <w:sz w:val="20"/>
        <w:szCs w:val="20"/>
      </w:rPr>
      <w:t xml:space="preserve">Stanovisko Rady pro výzkum, vývoj a inovace k návrhu </w:t>
    </w:r>
  </w:p>
  <w:p w:rsidR="00CC370F" w:rsidRPr="00B127FC" w:rsidRDefault="00F91154" w:rsidP="00F91154">
    <w:pPr>
      <w:pStyle w:val="Zpat"/>
      <w:rPr>
        <w:rFonts w:ascii="Arial" w:hAnsi="Arial" w:cs="Arial"/>
        <w:sz w:val="20"/>
        <w:szCs w:val="20"/>
      </w:rPr>
    </w:pPr>
    <w:r w:rsidRPr="00B127FC">
      <w:rPr>
        <w:rFonts w:ascii="Arial" w:hAnsi="Arial" w:cs="Arial"/>
        <w:sz w:val="20"/>
        <w:szCs w:val="20"/>
      </w:rPr>
      <w:t xml:space="preserve">Programu aplikovaného výzkumu a experimentálního vývoje TRIO </w:t>
    </w:r>
    <w:sdt>
      <w:sdtPr>
        <w:rPr>
          <w:rFonts w:ascii="Arial" w:hAnsi="Arial" w:cs="Arial"/>
          <w:sz w:val="20"/>
          <w:szCs w:val="20"/>
        </w:rPr>
        <w:id w:val="1547331835"/>
        <w:docPartObj>
          <w:docPartGallery w:val="Page Numbers (Bottom of Page)"/>
          <w:docPartUnique/>
        </w:docPartObj>
      </w:sdtPr>
      <w:sdtEndPr/>
      <w:sdtContent>
        <w:r w:rsidRPr="00B127FC">
          <w:rPr>
            <w:rFonts w:ascii="Arial" w:hAnsi="Arial" w:cs="Arial"/>
            <w:sz w:val="20"/>
            <w:szCs w:val="20"/>
          </w:rPr>
          <w:tab/>
        </w:r>
        <w:r w:rsidR="00CC370F" w:rsidRPr="00B127FC">
          <w:rPr>
            <w:rFonts w:ascii="Arial" w:hAnsi="Arial" w:cs="Arial"/>
            <w:sz w:val="20"/>
            <w:szCs w:val="20"/>
          </w:rPr>
          <w:fldChar w:fldCharType="begin"/>
        </w:r>
        <w:r w:rsidR="00CC370F" w:rsidRPr="00B127FC">
          <w:rPr>
            <w:rFonts w:ascii="Arial" w:hAnsi="Arial" w:cs="Arial"/>
            <w:sz w:val="20"/>
            <w:szCs w:val="20"/>
          </w:rPr>
          <w:instrText>PAGE   \* MERGEFORMAT</w:instrText>
        </w:r>
        <w:r w:rsidR="00CC370F" w:rsidRPr="00B127FC">
          <w:rPr>
            <w:rFonts w:ascii="Arial" w:hAnsi="Arial" w:cs="Arial"/>
            <w:sz w:val="20"/>
            <w:szCs w:val="20"/>
          </w:rPr>
          <w:fldChar w:fldCharType="separate"/>
        </w:r>
        <w:r w:rsidR="00A50EC7">
          <w:rPr>
            <w:rFonts w:ascii="Arial" w:hAnsi="Arial" w:cs="Arial"/>
            <w:noProof/>
            <w:sz w:val="20"/>
            <w:szCs w:val="20"/>
          </w:rPr>
          <w:t>2</w:t>
        </w:r>
        <w:r w:rsidR="00CC370F" w:rsidRPr="00B127FC">
          <w:rPr>
            <w:rFonts w:ascii="Arial" w:hAnsi="Arial" w:cs="Arial"/>
            <w:sz w:val="20"/>
            <w:szCs w:val="20"/>
          </w:rPr>
          <w:fldChar w:fldCharType="end"/>
        </w:r>
        <w:r w:rsidR="00CC370F" w:rsidRPr="00B127FC">
          <w:rPr>
            <w:rFonts w:ascii="Arial" w:hAnsi="Arial" w:cs="Arial"/>
            <w:sz w:val="20"/>
            <w:szCs w:val="20"/>
          </w:rPr>
          <w:t xml:space="preserve"> / </w:t>
        </w:r>
        <w:r w:rsidR="00CC370F" w:rsidRPr="00B127FC">
          <w:rPr>
            <w:rFonts w:ascii="Arial" w:hAnsi="Arial" w:cs="Arial"/>
            <w:sz w:val="20"/>
            <w:szCs w:val="20"/>
          </w:rPr>
          <w:fldChar w:fldCharType="begin"/>
        </w:r>
        <w:r w:rsidR="00CC370F" w:rsidRPr="00B127FC">
          <w:rPr>
            <w:rFonts w:ascii="Arial" w:hAnsi="Arial" w:cs="Arial"/>
            <w:sz w:val="20"/>
            <w:szCs w:val="20"/>
          </w:rPr>
          <w:instrText xml:space="preserve"> NUMPAGES   \* MERGEFORMAT </w:instrText>
        </w:r>
        <w:r w:rsidR="00CC370F" w:rsidRPr="00B127FC">
          <w:rPr>
            <w:rFonts w:ascii="Arial" w:hAnsi="Arial" w:cs="Arial"/>
            <w:sz w:val="20"/>
            <w:szCs w:val="20"/>
          </w:rPr>
          <w:fldChar w:fldCharType="separate"/>
        </w:r>
        <w:r w:rsidR="00A50EC7">
          <w:rPr>
            <w:rFonts w:ascii="Arial" w:hAnsi="Arial" w:cs="Arial"/>
            <w:noProof/>
            <w:sz w:val="20"/>
            <w:szCs w:val="20"/>
          </w:rPr>
          <w:t>3</w:t>
        </w:r>
        <w:r w:rsidR="00CC370F" w:rsidRPr="00B127FC">
          <w:rPr>
            <w:rFonts w:ascii="Arial" w:hAnsi="Arial" w:cs="Arial"/>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F56" w:rsidRDefault="008F2F56">
    <w:pPr>
      <w:pStyle w:val="Zpat"/>
    </w:pPr>
  </w:p>
  <w:p w:rsidR="00CC370F" w:rsidRPr="00CC370F" w:rsidRDefault="00CC370F" w:rsidP="00F91154">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F9F" w:rsidRDefault="00FE6F9F" w:rsidP="008F77F6">
      <w:r>
        <w:separator/>
      </w:r>
    </w:p>
  </w:footnote>
  <w:footnote w:type="continuationSeparator" w:id="0">
    <w:p w:rsidR="00FE6F9F" w:rsidRDefault="00FE6F9F"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82F476D" wp14:editId="38D3DFFD">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45E" w:rsidRPr="009758E5" w:rsidRDefault="009B245E" w:rsidP="009B245E">
    <w:pPr>
      <w:pStyle w:val="Zhlav"/>
      <w:rPr>
        <w:rFonts w:ascii="Arial" w:hAnsi="Arial" w:cs="Arial"/>
        <w:b/>
        <w:color w:val="0B38B5"/>
      </w:rPr>
    </w:pPr>
    <w:r w:rsidRPr="00A51417">
      <w:rPr>
        <w:rFonts w:ascii="Arial" w:hAnsi="Arial" w:cs="Arial"/>
        <w:b/>
        <w:noProof/>
        <w:color w:val="0B38B5"/>
      </w:rPr>
      <w:drawing>
        <wp:inline distT="0" distB="0" distL="0" distR="0" wp14:anchorId="73711061" wp14:editId="538E4223">
          <wp:extent cx="914760" cy="27720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inline>
      </w:drawing>
    </w:r>
    <w:r w:rsidRPr="00D27C56">
      <w:rPr>
        <w:rFonts w:ascii="Arial" w:hAnsi="Arial" w:cs="Arial"/>
        <w:b/>
      </w:rPr>
      <w:t>Rada pro výzkum, vývoj a inovace</w:t>
    </w:r>
  </w:p>
  <w:p w:rsidR="009B245E" w:rsidRDefault="009B245E" w:rsidP="009B245E">
    <w:pPr>
      <w:pStyle w:val="Zhlav"/>
      <w:jc w:val="right"/>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3">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7DC3404"/>
    <w:multiLevelType w:val="hybridMultilevel"/>
    <w:tmpl w:val="EB1A076A"/>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7F52"/>
    <w:rsid w:val="000416BD"/>
    <w:rsid w:val="000464CE"/>
    <w:rsid w:val="00075212"/>
    <w:rsid w:val="000A1F94"/>
    <w:rsid w:val="000C4A33"/>
    <w:rsid w:val="0010066C"/>
    <w:rsid w:val="00126E48"/>
    <w:rsid w:val="00167470"/>
    <w:rsid w:val="001B1124"/>
    <w:rsid w:val="001B6BF7"/>
    <w:rsid w:val="001F0B2A"/>
    <w:rsid w:val="001F3167"/>
    <w:rsid w:val="00213FC8"/>
    <w:rsid w:val="00221205"/>
    <w:rsid w:val="00237006"/>
    <w:rsid w:val="00265A36"/>
    <w:rsid w:val="002738C7"/>
    <w:rsid w:val="002754BA"/>
    <w:rsid w:val="002E2591"/>
    <w:rsid w:val="0033480F"/>
    <w:rsid w:val="0035275B"/>
    <w:rsid w:val="00360293"/>
    <w:rsid w:val="00387B05"/>
    <w:rsid w:val="003B62FE"/>
    <w:rsid w:val="003F0BB9"/>
    <w:rsid w:val="00441F2C"/>
    <w:rsid w:val="00450BC7"/>
    <w:rsid w:val="00452FAA"/>
    <w:rsid w:val="004877F4"/>
    <w:rsid w:val="004C5ABB"/>
    <w:rsid w:val="004E1037"/>
    <w:rsid w:val="0051210D"/>
    <w:rsid w:val="00535EC8"/>
    <w:rsid w:val="00536F2A"/>
    <w:rsid w:val="00540275"/>
    <w:rsid w:val="0056170B"/>
    <w:rsid w:val="0056742C"/>
    <w:rsid w:val="0057279E"/>
    <w:rsid w:val="005E43C2"/>
    <w:rsid w:val="00616978"/>
    <w:rsid w:val="006227AE"/>
    <w:rsid w:val="00635A79"/>
    <w:rsid w:val="00636054"/>
    <w:rsid w:val="006C2027"/>
    <w:rsid w:val="00720790"/>
    <w:rsid w:val="00741074"/>
    <w:rsid w:val="007505E6"/>
    <w:rsid w:val="0076050E"/>
    <w:rsid w:val="00773603"/>
    <w:rsid w:val="00775BE3"/>
    <w:rsid w:val="00783D2C"/>
    <w:rsid w:val="00810AA0"/>
    <w:rsid w:val="00830A00"/>
    <w:rsid w:val="00830E88"/>
    <w:rsid w:val="0083339C"/>
    <w:rsid w:val="00842FB1"/>
    <w:rsid w:val="00854651"/>
    <w:rsid w:val="00854AED"/>
    <w:rsid w:val="00857093"/>
    <w:rsid w:val="008B2B8A"/>
    <w:rsid w:val="008D0383"/>
    <w:rsid w:val="008D0D71"/>
    <w:rsid w:val="008D38F1"/>
    <w:rsid w:val="008D394B"/>
    <w:rsid w:val="008F2F56"/>
    <w:rsid w:val="008F4A9D"/>
    <w:rsid w:val="008F77F6"/>
    <w:rsid w:val="00923819"/>
    <w:rsid w:val="009758E5"/>
    <w:rsid w:val="00982C97"/>
    <w:rsid w:val="009B245E"/>
    <w:rsid w:val="009B6AD4"/>
    <w:rsid w:val="009D14B2"/>
    <w:rsid w:val="009D321D"/>
    <w:rsid w:val="009D69EB"/>
    <w:rsid w:val="009D7A1A"/>
    <w:rsid w:val="009E7DCD"/>
    <w:rsid w:val="009F4DB5"/>
    <w:rsid w:val="00A16FCD"/>
    <w:rsid w:val="00A50EC7"/>
    <w:rsid w:val="00A52B0C"/>
    <w:rsid w:val="00AA466B"/>
    <w:rsid w:val="00AA6A69"/>
    <w:rsid w:val="00AB16C1"/>
    <w:rsid w:val="00AB1926"/>
    <w:rsid w:val="00AD5458"/>
    <w:rsid w:val="00AF10C7"/>
    <w:rsid w:val="00B127FC"/>
    <w:rsid w:val="00B42ED3"/>
    <w:rsid w:val="00B47673"/>
    <w:rsid w:val="00B74ACA"/>
    <w:rsid w:val="00BD60E7"/>
    <w:rsid w:val="00C061E1"/>
    <w:rsid w:val="00C0692F"/>
    <w:rsid w:val="00C13E79"/>
    <w:rsid w:val="00C14FEA"/>
    <w:rsid w:val="00C23DD8"/>
    <w:rsid w:val="00C37C84"/>
    <w:rsid w:val="00C90B71"/>
    <w:rsid w:val="00CA3972"/>
    <w:rsid w:val="00CC370F"/>
    <w:rsid w:val="00D34579"/>
    <w:rsid w:val="00D50CB5"/>
    <w:rsid w:val="00D73252"/>
    <w:rsid w:val="00D82E67"/>
    <w:rsid w:val="00DA79B0"/>
    <w:rsid w:val="00DC34AE"/>
    <w:rsid w:val="00DC5FE9"/>
    <w:rsid w:val="00E90863"/>
    <w:rsid w:val="00ED6152"/>
    <w:rsid w:val="00F220A7"/>
    <w:rsid w:val="00F249FD"/>
    <w:rsid w:val="00F33902"/>
    <w:rsid w:val="00F63820"/>
    <w:rsid w:val="00F85F64"/>
    <w:rsid w:val="00F91154"/>
    <w:rsid w:val="00FB4178"/>
    <w:rsid w:val="00FD1740"/>
    <w:rsid w:val="00FE6F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C7E9E-5CDD-4E20-BFD8-0EBEE30E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813</Words>
  <Characters>4803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5</cp:revision>
  <cp:lastPrinted>2018-03-14T10:11:00Z</cp:lastPrinted>
  <dcterms:created xsi:type="dcterms:W3CDTF">2018-04-03T10:21:00Z</dcterms:created>
  <dcterms:modified xsi:type="dcterms:W3CDTF">2018-04-03T12:11:00Z</dcterms:modified>
</cp:coreProperties>
</file>