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A15" w:rsidRPr="00B4124B" w:rsidRDefault="002C7A15" w:rsidP="002C7A15">
      <w:pPr>
        <w:jc w:val="right"/>
        <w:rPr>
          <w:rFonts w:ascii="Arial" w:hAnsi="Arial" w:cs="Arial"/>
        </w:rPr>
      </w:pPr>
      <w:r w:rsidRPr="00B4124B">
        <w:rPr>
          <w:rFonts w:ascii="Arial" w:hAnsi="Arial" w:cs="Arial"/>
        </w:rPr>
        <w:t>II.</w:t>
      </w:r>
    </w:p>
    <w:sdt>
      <w:sdtPr>
        <w:rPr>
          <w:rFonts w:ascii="Arial" w:hAnsi="Arial" w:cs="Arial"/>
        </w:rPr>
        <w:id w:val="1716841370"/>
        <w:docPartObj>
          <w:docPartGallery w:val="Cover Pages"/>
          <w:docPartUnique/>
        </w:docPartObj>
      </w:sdtPr>
      <w:sdtEndPr/>
      <w:sdtContent>
        <w:p w:rsidR="0022531F" w:rsidRPr="00B4124B" w:rsidRDefault="0022531F">
          <w:pPr>
            <w:rPr>
              <w:rFonts w:ascii="Arial" w:hAnsi="Arial" w:cs="Arial"/>
            </w:rPr>
          </w:pPr>
        </w:p>
        <w:p w:rsidR="0022531F" w:rsidRPr="00B4124B" w:rsidRDefault="009C7E64">
          <w:pPr>
            <w:rPr>
              <w:rFonts w:ascii="Arial" w:hAnsi="Arial" w:cs="Arial"/>
            </w:rPr>
          </w:pPr>
          <w:r w:rsidRPr="00B4124B">
            <w:rPr>
              <w:rFonts w:ascii="Arial" w:hAnsi="Arial" w:cs="Arial"/>
              <w:noProof/>
              <w:color w:val="004B8D"/>
              <w:lang w:eastAsia="cs-CZ"/>
            </w:rPr>
            <w:drawing>
              <wp:anchor distT="0" distB="0" distL="114300" distR="114300" simplePos="0" relativeHeight="251660288" behindDoc="0" locked="0" layoutInCell="1" allowOverlap="1" wp14:anchorId="2095C9E8" wp14:editId="2D6F9376">
                <wp:simplePos x="0" y="0"/>
                <wp:positionH relativeFrom="column">
                  <wp:posOffset>4975860</wp:posOffset>
                </wp:positionH>
                <wp:positionV relativeFrom="paragraph">
                  <wp:posOffset>8310245</wp:posOffset>
                </wp:positionV>
                <wp:extent cx="1314450" cy="628650"/>
                <wp:effectExtent l="0" t="0" r="0" b="0"/>
                <wp:wrapSquare wrapText="bothSides"/>
                <wp:docPr id="2" name="Obrázek 2" descr="Popis: Ministerstvo průmyslu a obchod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Popis: Ministerstvo průmyslu a obchod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r:link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B4124B">
            <w:rPr>
              <w:rFonts w:ascii="Arial" w:hAnsi="Arial" w:cs="Arial"/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78721EB4" wp14:editId="4D10DAB9">
                    <wp:simplePos x="0" y="0"/>
                    <wp:positionH relativeFrom="column">
                      <wp:posOffset>-367665</wp:posOffset>
                    </wp:positionH>
                    <wp:positionV relativeFrom="paragraph">
                      <wp:posOffset>579755</wp:posOffset>
                    </wp:positionV>
                    <wp:extent cx="6858000" cy="8658225"/>
                    <wp:effectExtent l="0" t="0" r="0" b="0"/>
                    <wp:wrapNone/>
                    <wp:docPr id="122" name="Textové pole 1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8658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82C1B" w:rsidRDefault="00482C1B" w:rsidP="0041536C">
                                <w:pPr>
                                  <w:pStyle w:val="Bezmezer"/>
                                  <w:pBdr>
                                    <w:bottom w:val="single" w:sz="6" w:space="4" w:color="7F7F7F" w:themeColor="text1" w:themeTint="80"/>
                                  </w:pBdr>
                                  <w:jc w:val="center"/>
                                  <w:rPr>
                                    <w:rFonts w:ascii="Arial" w:eastAsiaTheme="majorEastAsia" w:hAnsi="Arial" w:cs="Arial"/>
                                    <w:sz w:val="36"/>
                                    <w:szCs w:val="36"/>
                                  </w:rPr>
                                </w:pPr>
                                <w:r w:rsidRPr="003E44A4">
                                  <w:rPr>
                                    <w:rFonts w:ascii="Arial" w:eastAsiaTheme="majorEastAsia" w:hAnsi="Arial" w:cs="Arial"/>
                                    <w:sz w:val="36"/>
                                    <w:szCs w:val="36"/>
                                  </w:rPr>
                                  <w:t>Plán implementace Národní výzkumné a inovační strategie pro inteligent</w:t>
                                </w:r>
                                <w:r>
                                  <w:rPr>
                                    <w:rFonts w:ascii="Arial" w:eastAsiaTheme="majorEastAsia" w:hAnsi="Arial" w:cs="Arial"/>
                                    <w:sz w:val="36"/>
                                    <w:szCs w:val="36"/>
                                  </w:rPr>
                                  <w:t>ní specializaci České republiky</w:t>
                                </w:r>
                              </w:p>
                              <w:p w:rsidR="00482C1B" w:rsidRDefault="00482C1B" w:rsidP="0041536C">
                                <w:pPr>
                                  <w:pStyle w:val="Bezmezer"/>
                                  <w:pBdr>
                                    <w:bottom w:val="single" w:sz="6" w:space="4" w:color="7F7F7F" w:themeColor="text1" w:themeTint="80"/>
                                  </w:pBdr>
                                  <w:jc w:val="center"/>
                                  <w:rPr>
                                    <w:rFonts w:ascii="Arial" w:eastAsiaTheme="majorEastAsia" w:hAnsi="Arial" w:cs="Arial"/>
                                    <w:sz w:val="36"/>
                                    <w:szCs w:val="36"/>
                                  </w:rPr>
                                </w:pPr>
                                <w:r w:rsidRPr="003E44A4">
                                  <w:rPr>
                                    <w:rFonts w:ascii="Arial" w:eastAsiaTheme="majorEastAsia" w:hAnsi="Arial" w:cs="Arial"/>
                                    <w:sz w:val="36"/>
                                    <w:szCs w:val="36"/>
                                  </w:rPr>
                                  <w:t xml:space="preserve">na období 2018 </w:t>
                                </w:r>
                                <w:r>
                                  <w:rPr>
                                    <w:rFonts w:ascii="Arial" w:eastAsiaTheme="majorEastAsia" w:hAnsi="Arial" w:cs="Arial"/>
                                    <w:sz w:val="36"/>
                                    <w:szCs w:val="36"/>
                                  </w:rPr>
                                  <w:t>–</w:t>
                                </w:r>
                                <w:r w:rsidRPr="003E44A4">
                                  <w:rPr>
                                    <w:rFonts w:ascii="Arial" w:eastAsiaTheme="majorEastAsia" w:hAnsi="Arial" w:cs="Arial"/>
                                    <w:sz w:val="36"/>
                                    <w:szCs w:val="36"/>
                                  </w:rPr>
                                  <w:t xml:space="preserve"> 2019</w:t>
                                </w:r>
                              </w:p>
                              <w:p w:rsidR="00482C1B" w:rsidRDefault="00482C1B" w:rsidP="002348D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482C1B" w:rsidRDefault="00482C1B" w:rsidP="002348D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482C1B" w:rsidRPr="005858F2" w:rsidRDefault="00482C1B" w:rsidP="002348D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5858F2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Sekce technologií 4.0</w:t>
                                </w:r>
                              </w:p>
                              <w:p w:rsidR="00482C1B" w:rsidRPr="005858F2" w:rsidRDefault="00482C1B" w:rsidP="002348D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5858F2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Oddělení strategie</w:t>
                                </w: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S3</w:t>
                                </w:r>
                              </w:p>
                              <w:p w:rsidR="00482C1B" w:rsidRPr="005858F2" w:rsidRDefault="00482C1B" w:rsidP="002348D8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5858F2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2018</w:t>
                                </w:r>
                              </w:p>
                              <w:p w:rsidR="00482C1B" w:rsidRPr="003E44A4" w:rsidRDefault="00482C1B" w:rsidP="0041536C">
                                <w:pPr>
                                  <w:pStyle w:val="Bezmezer"/>
                                  <w:pBdr>
                                    <w:bottom w:val="single" w:sz="6" w:space="4" w:color="7F7F7F" w:themeColor="text1" w:themeTint="80"/>
                                  </w:pBdr>
                                  <w:jc w:val="center"/>
                                  <w:rPr>
                                    <w:rFonts w:ascii="Arial" w:eastAsiaTheme="majorEastAsia" w:hAnsi="Arial" w:cs="Arial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8721EB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22" o:spid="_x0000_s1026" type="#_x0000_t202" style="position:absolute;margin-left:-28.95pt;margin-top:45.65pt;width:540pt;height:681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" filled="f" stroked="f" strokeweight=".5pt">
                    <v:textbox inset="36pt,36pt,36pt,36pt">
                      <w:txbxContent>
                        <w:p w:rsidR="00482C1B" w:rsidRDefault="00482C1B" w:rsidP="0041536C">
                          <w:pPr>
                            <w:pStyle w:val="Bezmezer"/>
                            <w:pBdr>
                              <w:bottom w:val="single" w:sz="6" w:space="4" w:color="7F7F7F" w:themeColor="text1" w:themeTint="80"/>
                            </w:pBdr>
                            <w:jc w:val="center"/>
                            <w:rPr>
                              <w:rFonts w:ascii="Arial" w:eastAsiaTheme="majorEastAsia" w:hAnsi="Arial" w:cs="Arial"/>
                              <w:sz w:val="36"/>
                              <w:szCs w:val="36"/>
                            </w:rPr>
                          </w:pPr>
                          <w:r w:rsidRPr="003E44A4">
                            <w:rPr>
                              <w:rFonts w:ascii="Arial" w:eastAsiaTheme="majorEastAsia" w:hAnsi="Arial" w:cs="Arial"/>
                              <w:sz w:val="36"/>
                              <w:szCs w:val="36"/>
                            </w:rPr>
                            <w:t>Plán implementace Národní výzkumné a inovační strategie pro inteligent</w:t>
                          </w:r>
                          <w:r>
                            <w:rPr>
                              <w:rFonts w:ascii="Arial" w:eastAsiaTheme="majorEastAsia" w:hAnsi="Arial" w:cs="Arial"/>
                              <w:sz w:val="36"/>
                              <w:szCs w:val="36"/>
                            </w:rPr>
                            <w:t>ní specializaci České republiky</w:t>
                          </w:r>
                        </w:p>
                        <w:p w:rsidR="00482C1B" w:rsidRDefault="00482C1B" w:rsidP="0041536C">
                          <w:pPr>
                            <w:pStyle w:val="Bezmezer"/>
                            <w:pBdr>
                              <w:bottom w:val="single" w:sz="6" w:space="4" w:color="7F7F7F" w:themeColor="text1" w:themeTint="80"/>
                            </w:pBdr>
                            <w:jc w:val="center"/>
                            <w:rPr>
                              <w:rFonts w:ascii="Arial" w:eastAsiaTheme="majorEastAsia" w:hAnsi="Arial" w:cs="Arial"/>
                              <w:sz w:val="36"/>
                              <w:szCs w:val="36"/>
                            </w:rPr>
                          </w:pPr>
                          <w:r w:rsidRPr="003E44A4">
                            <w:rPr>
                              <w:rFonts w:ascii="Arial" w:eastAsiaTheme="majorEastAsia" w:hAnsi="Arial" w:cs="Arial"/>
                              <w:sz w:val="36"/>
                              <w:szCs w:val="36"/>
                            </w:rPr>
                            <w:t xml:space="preserve">na období 2018 </w:t>
                          </w:r>
                          <w:r>
                            <w:rPr>
                              <w:rFonts w:ascii="Arial" w:eastAsiaTheme="majorEastAsia" w:hAnsi="Arial" w:cs="Arial"/>
                              <w:sz w:val="36"/>
                              <w:szCs w:val="36"/>
                            </w:rPr>
                            <w:t>–</w:t>
                          </w:r>
                          <w:r w:rsidRPr="003E44A4">
                            <w:rPr>
                              <w:rFonts w:ascii="Arial" w:eastAsiaTheme="majorEastAsia" w:hAnsi="Arial" w:cs="Arial"/>
                              <w:sz w:val="36"/>
                              <w:szCs w:val="36"/>
                            </w:rPr>
                            <w:t xml:space="preserve"> 2019</w:t>
                          </w:r>
                        </w:p>
                        <w:p w:rsidR="00482C1B" w:rsidRDefault="00482C1B" w:rsidP="002348D8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  <w:p w:rsidR="00482C1B" w:rsidRDefault="00482C1B" w:rsidP="002348D8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  <w:p w:rsidR="00482C1B" w:rsidRPr="005858F2" w:rsidRDefault="00482C1B" w:rsidP="002348D8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858F2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Sekce technologií 4.0</w:t>
                          </w:r>
                        </w:p>
                        <w:p w:rsidR="00482C1B" w:rsidRPr="005858F2" w:rsidRDefault="00482C1B" w:rsidP="002348D8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858F2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Oddělení strategie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S3</w:t>
                          </w:r>
                        </w:p>
                        <w:p w:rsidR="00482C1B" w:rsidRPr="005858F2" w:rsidRDefault="00482C1B" w:rsidP="002348D8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858F2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2018</w:t>
                          </w:r>
                        </w:p>
                        <w:p w:rsidR="00482C1B" w:rsidRPr="003E44A4" w:rsidRDefault="00482C1B" w:rsidP="0041536C">
                          <w:pPr>
                            <w:pStyle w:val="Bezmezer"/>
                            <w:pBdr>
                              <w:bottom w:val="single" w:sz="6" w:space="4" w:color="7F7F7F" w:themeColor="text1" w:themeTint="80"/>
                            </w:pBdr>
                            <w:jc w:val="center"/>
                            <w:rPr>
                              <w:rFonts w:ascii="Arial" w:eastAsiaTheme="majorEastAsia" w:hAnsi="Arial" w:cs="Arial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2531F" w:rsidRPr="00B4124B">
            <w:rPr>
              <w:rFonts w:ascii="Arial" w:hAnsi="Arial" w:cs="Arial"/>
            </w:rPr>
            <w:br w:type="page"/>
          </w:r>
        </w:p>
      </w:sdtContent>
    </w:sdt>
    <w:sdt>
      <w:sdtPr>
        <w:rPr>
          <w:rFonts w:ascii="Arial" w:hAnsi="Arial" w:cs="Arial"/>
          <w:b w:val="0"/>
          <w:color w:val="auto"/>
          <w:sz w:val="22"/>
        </w:rPr>
        <w:id w:val="-3242264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9C7E64" w:rsidRPr="00B4124B" w:rsidRDefault="009C7E64">
          <w:pPr>
            <w:pStyle w:val="Nadpisobsahu"/>
            <w:rPr>
              <w:rFonts w:ascii="Arial" w:hAnsi="Arial" w:cs="Arial"/>
              <w:color w:val="57B4EC" w:themeColor="background2" w:themeShade="BF"/>
              <w:sz w:val="22"/>
            </w:rPr>
          </w:pPr>
          <w:r w:rsidRPr="00B4124B">
            <w:rPr>
              <w:rFonts w:ascii="Arial" w:hAnsi="Arial" w:cs="Arial"/>
              <w:color w:val="57B4EC" w:themeColor="background2" w:themeShade="BF"/>
              <w:sz w:val="22"/>
            </w:rPr>
            <w:t>Obsah</w:t>
          </w:r>
        </w:p>
        <w:p w:rsidR="00B4124B" w:rsidRPr="00B4124B" w:rsidRDefault="009C7E64">
          <w:pPr>
            <w:pStyle w:val="Obsah1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r w:rsidRPr="00B4124B">
            <w:rPr>
              <w:rFonts w:ascii="Arial" w:hAnsi="Arial" w:cs="Arial"/>
            </w:rPr>
            <w:fldChar w:fldCharType="begin"/>
          </w:r>
          <w:r w:rsidRPr="00B4124B">
            <w:rPr>
              <w:rFonts w:ascii="Arial" w:hAnsi="Arial" w:cs="Arial"/>
            </w:rPr>
            <w:instrText xml:space="preserve"> TOC \o "1-3" \h \z \u </w:instrText>
          </w:r>
          <w:r w:rsidRPr="00B4124B">
            <w:rPr>
              <w:rFonts w:ascii="Arial" w:hAnsi="Arial" w:cs="Arial"/>
            </w:rPr>
            <w:fldChar w:fldCharType="separate"/>
          </w:r>
          <w:hyperlink w:anchor="_Toc513451932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1.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Manažerské shrnutí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_Toc513451932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6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1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33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2.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Změny v gesci a obměny řídicí struktury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_Toc513451933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7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1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34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3.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Proces aktualizace RIS3 strategie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_Toc513451934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9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1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35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4.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Plán implementace dle indikativních harmonogramů gestorů a poskytovatelů programů veřejné podpory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_Toc513451935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11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36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4.1.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Indikativní podpora Národní RIS3 strategie z operačních programů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_Toc513451936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11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37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4.2.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Indikativní podpora Národní RIS3 strategie z národních programů podpory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_Toc513451937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19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1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38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5.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Krajská dimenze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_Toc513451938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21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39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5.1.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Smart Akcelerátor II.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_Toc513451939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21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1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40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6.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Růst kvality monitoringu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_Toc513451940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22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41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6.1.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Shrnutí nynějších monitorovaných oblastí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_Toc513451941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22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42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6.2.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Problémové okruhy monitoringu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_Toc513451942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23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43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6.3.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Nové oblasti monitoringu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_Toc513451943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23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1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44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7.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Mid-term evaluace 2019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_Toc513451944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24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1"/>
            <w:tabs>
              <w:tab w:val="left" w:pos="44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45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8.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Příprava na nové programovací období po r. 2020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_Toc513451945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26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46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8.1.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Plán hlavních aktivit a termínů přípravy budoucnosti RIS3 strategie (2018 - 2020)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_Toc513451946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26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B4124B" w:rsidRPr="00B4124B" w:rsidRDefault="003D3551">
          <w:pPr>
            <w:pStyle w:val="Obsah2"/>
            <w:tabs>
              <w:tab w:val="left" w:pos="880"/>
              <w:tab w:val="right" w:leader="dot" w:pos="9628"/>
            </w:tabs>
            <w:rPr>
              <w:rFonts w:ascii="Arial" w:eastAsiaTheme="minorEastAsia" w:hAnsi="Arial" w:cs="Arial"/>
              <w:noProof/>
              <w:color w:val="auto"/>
              <w:lang w:eastAsia="cs-CZ"/>
            </w:rPr>
          </w:pPr>
          <w:hyperlink w:anchor="_Toc513451947" w:history="1">
            <w:r w:rsidR="00B4124B" w:rsidRPr="00B4124B">
              <w:rPr>
                <w:rStyle w:val="Hypertextovodkaz"/>
                <w:rFonts w:ascii="Arial" w:hAnsi="Arial" w:cs="Arial"/>
                <w:noProof/>
              </w:rPr>
              <w:t>8.2.</w:t>
            </w:r>
            <w:r w:rsidR="00B4124B" w:rsidRPr="00B4124B">
              <w:rPr>
                <w:rFonts w:ascii="Arial" w:eastAsiaTheme="minorEastAsia" w:hAnsi="Arial" w:cs="Arial"/>
                <w:noProof/>
                <w:color w:val="auto"/>
                <w:lang w:eastAsia="cs-CZ"/>
              </w:rPr>
              <w:tab/>
            </w:r>
            <w:r w:rsidR="00B4124B" w:rsidRPr="00B4124B">
              <w:rPr>
                <w:rStyle w:val="Hypertextovodkaz"/>
                <w:rFonts w:ascii="Arial" w:hAnsi="Arial" w:cs="Arial"/>
                <w:noProof/>
              </w:rPr>
              <w:t>Prohloubení spolupráce s relevantními účastníky procesu přípravy - synchronizovaná jednání s Ministerstvem pro místní rozvoj a Evropskou komisí</w:t>
            </w:r>
            <w:r w:rsidR="00B4124B" w:rsidRPr="00B4124B">
              <w:rPr>
                <w:rFonts w:ascii="Arial" w:hAnsi="Arial" w:cs="Arial"/>
                <w:noProof/>
                <w:webHidden/>
              </w:rPr>
              <w:tab/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begin"/>
            </w:r>
            <w:r w:rsidR="00B4124B" w:rsidRPr="00B4124B">
              <w:rPr>
                <w:rFonts w:ascii="Arial" w:hAnsi="Arial" w:cs="Arial"/>
                <w:noProof/>
                <w:webHidden/>
              </w:rPr>
              <w:instrText xml:space="preserve"> PAGEREF _Toc513451947 \h </w:instrText>
            </w:r>
            <w:r w:rsidR="00B4124B" w:rsidRPr="00B4124B">
              <w:rPr>
                <w:rFonts w:ascii="Arial" w:hAnsi="Arial" w:cs="Arial"/>
                <w:noProof/>
                <w:webHidden/>
              </w:rPr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B4124B" w:rsidRPr="00B4124B">
              <w:rPr>
                <w:rFonts w:ascii="Arial" w:hAnsi="Arial" w:cs="Arial"/>
                <w:noProof/>
                <w:webHidden/>
              </w:rPr>
              <w:t>27</w:t>
            </w:r>
            <w:r w:rsidR="00B4124B" w:rsidRPr="00B4124B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C7E64" w:rsidRPr="00B4124B" w:rsidRDefault="009C7E64">
          <w:pPr>
            <w:rPr>
              <w:rFonts w:ascii="Arial" w:hAnsi="Arial" w:cs="Arial"/>
            </w:rPr>
          </w:pPr>
          <w:r w:rsidRPr="00B4124B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DF1753" w:rsidRPr="00B4124B" w:rsidRDefault="00DF1753">
      <w:pPr>
        <w:rPr>
          <w:rFonts w:ascii="Arial" w:eastAsiaTheme="majorEastAsia" w:hAnsi="Arial" w:cs="Arial"/>
          <w:b/>
        </w:rPr>
      </w:pPr>
      <w:r w:rsidRPr="00B4124B">
        <w:rPr>
          <w:rFonts w:ascii="Arial" w:hAnsi="Arial" w:cs="Arial"/>
        </w:rPr>
        <w:br w:type="page"/>
      </w:r>
    </w:p>
    <w:p w:rsidR="009F770B" w:rsidRPr="00B4124B" w:rsidRDefault="009F770B" w:rsidP="009F770B">
      <w:pPr>
        <w:pStyle w:val="Podtitul"/>
        <w:rPr>
          <w:rFonts w:ascii="Arial" w:hAnsi="Arial" w:cs="Arial"/>
          <w:b/>
          <w:color w:val="57B4EC" w:themeColor="background2" w:themeShade="BF"/>
          <w:sz w:val="22"/>
        </w:rPr>
      </w:pPr>
      <w:r w:rsidRPr="00B4124B">
        <w:rPr>
          <w:rFonts w:ascii="Arial" w:hAnsi="Arial" w:cs="Arial"/>
          <w:b/>
          <w:color w:val="57B4EC" w:themeColor="background2" w:themeShade="BF"/>
          <w:sz w:val="22"/>
        </w:rPr>
        <w:lastRenderedPageBreak/>
        <w:t xml:space="preserve">Seznam </w:t>
      </w:r>
      <w:r w:rsidR="006F26DF" w:rsidRPr="00B4124B">
        <w:rPr>
          <w:rFonts w:ascii="Arial" w:hAnsi="Arial" w:cs="Arial"/>
          <w:b/>
          <w:color w:val="57B4EC" w:themeColor="background2" w:themeShade="BF"/>
          <w:sz w:val="22"/>
        </w:rPr>
        <w:t>tabulek</w:t>
      </w:r>
    </w:p>
    <w:p w:rsidR="00B05E5F" w:rsidRPr="00B05E5F" w:rsidRDefault="006F26DF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r w:rsidRPr="00B05E5F">
        <w:rPr>
          <w:rFonts w:ascii="Arial" w:hAnsi="Arial" w:cs="Arial"/>
        </w:rPr>
        <w:fldChar w:fldCharType="begin"/>
      </w:r>
      <w:r w:rsidRPr="00B05E5F">
        <w:rPr>
          <w:rFonts w:ascii="Arial" w:hAnsi="Arial" w:cs="Arial"/>
        </w:rPr>
        <w:instrText xml:space="preserve"> TOC \h \z \c "Tabulka" </w:instrText>
      </w:r>
      <w:r w:rsidRPr="00B05E5F">
        <w:rPr>
          <w:rFonts w:ascii="Arial" w:hAnsi="Arial" w:cs="Arial"/>
        </w:rPr>
        <w:fldChar w:fldCharType="separate"/>
      </w:r>
      <w:hyperlink w:anchor="_Toc513451950" w:history="1">
        <w:r w:rsidR="00B05E5F" w:rsidRPr="00B05E5F">
          <w:rPr>
            <w:rStyle w:val="Hypertextovodkaz"/>
            <w:rFonts w:ascii="Arial" w:hAnsi="Arial" w:cs="Arial"/>
            <w:noProof/>
          </w:rPr>
          <w:t>Tabulka 1 – Indikativní plán implementace Národní RIS3 strategie pro rok 2018</w:t>
        </w:r>
        <w:r w:rsidR="00B05E5F" w:rsidRPr="00B05E5F">
          <w:rPr>
            <w:rFonts w:ascii="Arial" w:hAnsi="Arial" w:cs="Arial"/>
            <w:noProof/>
            <w:webHidden/>
          </w:rPr>
          <w:tab/>
        </w:r>
        <w:r w:rsidR="00B05E5F" w:rsidRPr="00B05E5F">
          <w:rPr>
            <w:rFonts w:ascii="Arial" w:hAnsi="Arial" w:cs="Arial"/>
            <w:noProof/>
            <w:webHidden/>
          </w:rPr>
          <w:fldChar w:fldCharType="begin"/>
        </w:r>
        <w:r w:rsidR="00B05E5F" w:rsidRPr="00B05E5F">
          <w:rPr>
            <w:rFonts w:ascii="Arial" w:hAnsi="Arial" w:cs="Arial"/>
            <w:noProof/>
            <w:webHidden/>
          </w:rPr>
          <w:instrText xml:space="preserve"> PAGEREF _Toc513451950 \h </w:instrText>
        </w:r>
        <w:r w:rsidR="00B05E5F" w:rsidRPr="00B05E5F">
          <w:rPr>
            <w:rFonts w:ascii="Arial" w:hAnsi="Arial" w:cs="Arial"/>
            <w:noProof/>
            <w:webHidden/>
          </w:rPr>
        </w:r>
        <w:r w:rsidR="00B05E5F" w:rsidRPr="00B05E5F">
          <w:rPr>
            <w:rFonts w:ascii="Arial" w:hAnsi="Arial" w:cs="Arial"/>
            <w:noProof/>
            <w:webHidden/>
          </w:rPr>
          <w:fldChar w:fldCharType="separate"/>
        </w:r>
        <w:r w:rsidR="00B05E5F" w:rsidRPr="00B05E5F">
          <w:rPr>
            <w:rFonts w:ascii="Arial" w:hAnsi="Arial" w:cs="Arial"/>
            <w:noProof/>
            <w:webHidden/>
          </w:rPr>
          <w:t>6</w:t>
        </w:r>
        <w:r w:rsidR="00B05E5F" w:rsidRPr="00B05E5F">
          <w:rPr>
            <w:rFonts w:ascii="Arial" w:hAnsi="Arial" w:cs="Arial"/>
            <w:noProof/>
            <w:webHidden/>
          </w:rPr>
          <w:fldChar w:fldCharType="end"/>
        </w:r>
      </w:hyperlink>
    </w:p>
    <w:p w:rsidR="00B05E5F" w:rsidRPr="00B05E5F" w:rsidRDefault="003D3551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hyperlink w:anchor="_Toc513451951" w:history="1">
        <w:r w:rsidR="00B05E5F" w:rsidRPr="00B05E5F">
          <w:rPr>
            <w:rStyle w:val="Hypertextovodkaz"/>
            <w:rFonts w:ascii="Arial" w:hAnsi="Arial" w:cs="Arial"/>
            <w:noProof/>
          </w:rPr>
          <w:t>Tabulka 2 Přehled jednání Národních inovačních platforem v r. 2018 a stav revize</w:t>
        </w:r>
        <w:r w:rsidR="00B05E5F" w:rsidRPr="00B05E5F">
          <w:rPr>
            <w:rFonts w:ascii="Arial" w:hAnsi="Arial" w:cs="Arial"/>
            <w:noProof/>
            <w:webHidden/>
          </w:rPr>
          <w:tab/>
        </w:r>
        <w:r w:rsidR="00B05E5F" w:rsidRPr="00B05E5F">
          <w:rPr>
            <w:rFonts w:ascii="Arial" w:hAnsi="Arial" w:cs="Arial"/>
            <w:noProof/>
            <w:webHidden/>
          </w:rPr>
          <w:fldChar w:fldCharType="begin"/>
        </w:r>
        <w:r w:rsidR="00B05E5F" w:rsidRPr="00B05E5F">
          <w:rPr>
            <w:rFonts w:ascii="Arial" w:hAnsi="Arial" w:cs="Arial"/>
            <w:noProof/>
            <w:webHidden/>
          </w:rPr>
          <w:instrText xml:space="preserve"> PAGEREF _Toc513451951 \h </w:instrText>
        </w:r>
        <w:r w:rsidR="00B05E5F" w:rsidRPr="00B05E5F">
          <w:rPr>
            <w:rFonts w:ascii="Arial" w:hAnsi="Arial" w:cs="Arial"/>
            <w:noProof/>
            <w:webHidden/>
          </w:rPr>
        </w:r>
        <w:r w:rsidR="00B05E5F" w:rsidRPr="00B05E5F">
          <w:rPr>
            <w:rFonts w:ascii="Arial" w:hAnsi="Arial" w:cs="Arial"/>
            <w:noProof/>
            <w:webHidden/>
          </w:rPr>
          <w:fldChar w:fldCharType="separate"/>
        </w:r>
        <w:r w:rsidR="00B05E5F" w:rsidRPr="00B05E5F">
          <w:rPr>
            <w:rFonts w:ascii="Arial" w:hAnsi="Arial" w:cs="Arial"/>
            <w:noProof/>
            <w:webHidden/>
          </w:rPr>
          <w:t>9</w:t>
        </w:r>
        <w:r w:rsidR="00B05E5F" w:rsidRPr="00B05E5F">
          <w:rPr>
            <w:rFonts w:ascii="Arial" w:hAnsi="Arial" w:cs="Arial"/>
            <w:noProof/>
            <w:webHidden/>
          </w:rPr>
          <w:fldChar w:fldCharType="end"/>
        </w:r>
      </w:hyperlink>
    </w:p>
    <w:p w:rsidR="00B05E5F" w:rsidRPr="00B05E5F" w:rsidRDefault="003D3551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hyperlink w:anchor="_Toc513451952" w:history="1">
        <w:r w:rsidR="00B05E5F" w:rsidRPr="00B05E5F">
          <w:rPr>
            <w:rStyle w:val="Hypertextovodkaz"/>
            <w:rFonts w:ascii="Arial" w:hAnsi="Arial" w:cs="Arial"/>
            <w:noProof/>
          </w:rPr>
          <w:t>Tabulka 3 – Plánované a nerealizované intervence operačních programů v roce 2017</w:t>
        </w:r>
        <w:r w:rsidR="00B05E5F" w:rsidRPr="00B05E5F">
          <w:rPr>
            <w:rFonts w:ascii="Arial" w:hAnsi="Arial" w:cs="Arial"/>
            <w:noProof/>
            <w:webHidden/>
          </w:rPr>
          <w:tab/>
        </w:r>
        <w:r w:rsidR="00B05E5F" w:rsidRPr="00B05E5F">
          <w:rPr>
            <w:rFonts w:ascii="Arial" w:hAnsi="Arial" w:cs="Arial"/>
            <w:noProof/>
            <w:webHidden/>
          </w:rPr>
          <w:fldChar w:fldCharType="begin"/>
        </w:r>
        <w:r w:rsidR="00B05E5F" w:rsidRPr="00B05E5F">
          <w:rPr>
            <w:rFonts w:ascii="Arial" w:hAnsi="Arial" w:cs="Arial"/>
            <w:noProof/>
            <w:webHidden/>
          </w:rPr>
          <w:instrText xml:space="preserve"> PAGEREF _Toc513451952 \h </w:instrText>
        </w:r>
        <w:r w:rsidR="00B05E5F" w:rsidRPr="00B05E5F">
          <w:rPr>
            <w:rFonts w:ascii="Arial" w:hAnsi="Arial" w:cs="Arial"/>
            <w:noProof/>
            <w:webHidden/>
          </w:rPr>
        </w:r>
        <w:r w:rsidR="00B05E5F" w:rsidRPr="00B05E5F">
          <w:rPr>
            <w:rFonts w:ascii="Arial" w:hAnsi="Arial" w:cs="Arial"/>
            <w:noProof/>
            <w:webHidden/>
          </w:rPr>
          <w:fldChar w:fldCharType="separate"/>
        </w:r>
        <w:r w:rsidR="00B05E5F" w:rsidRPr="00B05E5F">
          <w:rPr>
            <w:rFonts w:ascii="Arial" w:hAnsi="Arial" w:cs="Arial"/>
            <w:noProof/>
            <w:webHidden/>
          </w:rPr>
          <w:t>13</w:t>
        </w:r>
        <w:r w:rsidR="00B05E5F" w:rsidRPr="00B05E5F">
          <w:rPr>
            <w:rFonts w:ascii="Arial" w:hAnsi="Arial" w:cs="Arial"/>
            <w:noProof/>
            <w:webHidden/>
          </w:rPr>
          <w:fldChar w:fldCharType="end"/>
        </w:r>
      </w:hyperlink>
    </w:p>
    <w:p w:rsidR="00B05E5F" w:rsidRPr="00B05E5F" w:rsidRDefault="003D3551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hyperlink w:anchor="_Toc513451953" w:history="1">
        <w:r w:rsidR="00B05E5F" w:rsidRPr="00B05E5F">
          <w:rPr>
            <w:rStyle w:val="Hypertextovodkaz"/>
            <w:rFonts w:ascii="Arial" w:hAnsi="Arial" w:cs="Arial"/>
            <w:noProof/>
          </w:rPr>
          <w:t>Tabulka 4 - Metropolitní oblasti a sídelní aglomerace 2014 - 2020</w:t>
        </w:r>
        <w:r w:rsidR="00B05E5F" w:rsidRPr="00B05E5F">
          <w:rPr>
            <w:rFonts w:ascii="Arial" w:hAnsi="Arial" w:cs="Arial"/>
            <w:noProof/>
            <w:webHidden/>
          </w:rPr>
          <w:tab/>
        </w:r>
        <w:r w:rsidR="00B05E5F" w:rsidRPr="00B05E5F">
          <w:rPr>
            <w:rFonts w:ascii="Arial" w:hAnsi="Arial" w:cs="Arial"/>
            <w:noProof/>
            <w:webHidden/>
          </w:rPr>
          <w:fldChar w:fldCharType="begin"/>
        </w:r>
        <w:r w:rsidR="00B05E5F" w:rsidRPr="00B05E5F">
          <w:rPr>
            <w:rFonts w:ascii="Arial" w:hAnsi="Arial" w:cs="Arial"/>
            <w:noProof/>
            <w:webHidden/>
          </w:rPr>
          <w:instrText xml:space="preserve"> PAGEREF _Toc513451953 \h </w:instrText>
        </w:r>
        <w:r w:rsidR="00B05E5F" w:rsidRPr="00B05E5F">
          <w:rPr>
            <w:rFonts w:ascii="Arial" w:hAnsi="Arial" w:cs="Arial"/>
            <w:noProof/>
            <w:webHidden/>
          </w:rPr>
        </w:r>
        <w:r w:rsidR="00B05E5F" w:rsidRPr="00B05E5F">
          <w:rPr>
            <w:rFonts w:ascii="Arial" w:hAnsi="Arial" w:cs="Arial"/>
            <w:noProof/>
            <w:webHidden/>
          </w:rPr>
          <w:fldChar w:fldCharType="separate"/>
        </w:r>
        <w:r w:rsidR="00B05E5F" w:rsidRPr="00B05E5F">
          <w:rPr>
            <w:rFonts w:ascii="Arial" w:hAnsi="Arial" w:cs="Arial"/>
            <w:noProof/>
            <w:webHidden/>
          </w:rPr>
          <w:t>17</w:t>
        </w:r>
        <w:r w:rsidR="00B05E5F" w:rsidRPr="00B05E5F">
          <w:rPr>
            <w:rFonts w:ascii="Arial" w:hAnsi="Arial" w:cs="Arial"/>
            <w:noProof/>
            <w:webHidden/>
          </w:rPr>
          <w:fldChar w:fldCharType="end"/>
        </w:r>
      </w:hyperlink>
    </w:p>
    <w:p w:rsidR="00B05E5F" w:rsidRPr="00B05E5F" w:rsidRDefault="003D3551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hyperlink w:anchor="_Toc513451954" w:history="1">
        <w:r w:rsidR="00B05E5F" w:rsidRPr="00B05E5F">
          <w:rPr>
            <w:rStyle w:val="Hypertextovodkaz"/>
            <w:rFonts w:ascii="Arial" w:hAnsi="Arial" w:cs="Arial"/>
            <w:noProof/>
          </w:rPr>
          <w:t>Tabulka 5 - Implementace RIS3 strategie v národních programech podpory 2016 - 2018</w:t>
        </w:r>
        <w:r w:rsidR="00B05E5F" w:rsidRPr="00B05E5F">
          <w:rPr>
            <w:rFonts w:ascii="Arial" w:hAnsi="Arial" w:cs="Arial"/>
            <w:noProof/>
            <w:webHidden/>
          </w:rPr>
          <w:tab/>
        </w:r>
        <w:r w:rsidR="00B05E5F" w:rsidRPr="00B05E5F">
          <w:rPr>
            <w:rFonts w:ascii="Arial" w:hAnsi="Arial" w:cs="Arial"/>
            <w:noProof/>
            <w:webHidden/>
          </w:rPr>
          <w:fldChar w:fldCharType="begin"/>
        </w:r>
        <w:r w:rsidR="00B05E5F" w:rsidRPr="00B05E5F">
          <w:rPr>
            <w:rFonts w:ascii="Arial" w:hAnsi="Arial" w:cs="Arial"/>
            <w:noProof/>
            <w:webHidden/>
          </w:rPr>
          <w:instrText xml:space="preserve"> PAGEREF _Toc513451954 \h </w:instrText>
        </w:r>
        <w:r w:rsidR="00B05E5F" w:rsidRPr="00B05E5F">
          <w:rPr>
            <w:rFonts w:ascii="Arial" w:hAnsi="Arial" w:cs="Arial"/>
            <w:noProof/>
            <w:webHidden/>
          </w:rPr>
        </w:r>
        <w:r w:rsidR="00B05E5F" w:rsidRPr="00B05E5F">
          <w:rPr>
            <w:rFonts w:ascii="Arial" w:hAnsi="Arial" w:cs="Arial"/>
            <w:noProof/>
            <w:webHidden/>
          </w:rPr>
          <w:fldChar w:fldCharType="separate"/>
        </w:r>
        <w:r w:rsidR="00B05E5F" w:rsidRPr="00B05E5F">
          <w:rPr>
            <w:rFonts w:ascii="Arial" w:hAnsi="Arial" w:cs="Arial"/>
            <w:noProof/>
            <w:webHidden/>
          </w:rPr>
          <w:t>21</w:t>
        </w:r>
        <w:r w:rsidR="00B05E5F" w:rsidRPr="00B05E5F">
          <w:rPr>
            <w:rFonts w:ascii="Arial" w:hAnsi="Arial" w:cs="Arial"/>
            <w:noProof/>
            <w:webHidden/>
          </w:rPr>
          <w:fldChar w:fldCharType="end"/>
        </w:r>
      </w:hyperlink>
    </w:p>
    <w:p w:rsidR="006F26DF" w:rsidRPr="00B4124B" w:rsidRDefault="006F26DF" w:rsidP="006F26DF">
      <w:pPr>
        <w:rPr>
          <w:rFonts w:ascii="Arial" w:hAnsi="Arial" w:cs="Arial"/>
        </w:rPr>
      </w:pPr>
      <w:r w:rsidRPr="00B05E5F">
        <w:rPr>
          <w:rFonts w:ascii="Arial" w:hAnsi="Arial" w:cs="Arial"/>
        </w:rPr>
        <w:fldChar w:fldCharType="end"/>
      </w:r>
    </w:p>
    <w:p w:rsidR="00716C3E" w:rsidRPr="00B4124B" w:rsidRDefault="00716C3E" w:rsidP="00716C3E">
      <w:pPr>
        <w:pStyle w:val="Podtitul"/>
        <w:rPr>
          <w:rFonts w:ascii="Arial" w:hAnsi="Arial" w:cs="Arial"/>
          <w:b/>
          <w:color w:val="57B4EC" w:themeColor="background2" w:themeShade="BF"/>
          <w:sz w:val="22"/>
        </w:rPr>
      </w:pPr>
      <w:r w:rsidRPr="00B4124B">
        <w:rPr>
          <w:rFonts w:ascii="Arial" w:hAnsi="Arial" w:cs="Arial"/>
          <w:b/>
          <w:color w:val="57B4EC" w:themeColor="background2" w:themeShade="BF"/>
          <w:sz w:val="22"/>
        </w:rPr>
        <w:t>Seznam grafů</w:t>
      </w:r>
    </w:p>
    <w:p w:rsidR="00784AEC" w:rsidRPr="00B4124B" w:rsidRDefault="00784AEC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r w:rsidRPr="00B4124B">
        <w:rPr>
          <w:rFonts w:ascii="Arial" w:hAnsi="Arial" w:cs="Arial"/>
        </w:rPr>
        <w:fldChar w:fldCharType="begin"/>
      </w:r>
      <w:r w:rsidRPr="00B4124B">
        <w:rPr>
          <w:rFonts w:ascii="Arial" w:hAnsi="Arial" w:cs="Arial"/>
        </w:rPr>
        <w:instrText xml:space="preserve"> TOC \h \z \c "Graf" </w:instrText>
      </w:r>
      <w:r w:rsidRPr="00B4124B">
        <w:rPr>
          <w:rFonts w:ascii="Arial" w:hAnsi="Arial" w:cs="Arial"/>
        </w:rPr>
        <w:fldChar w:fldCharType="separate"/>
      </w:r>
      <w:hyperlink w:anchor="_Toc513016256" w:history="1">
        <w:r w:rsidRPr="00B4124B">
          <w:rPr>
            <w:rStyle w:val="Hypertextovodkaz"/>
            <w:rFonts w:ascii="Arial" w:hAnsi="Arial" w:cs="Arial"/>
            <w:noProof/>
          </w:rPr>
          <w:t>Graf 1 – Intervence operačních programů s vazbou na RIS3 strategii vyhlášené v roce 2017</w:t>
        </w:r>
        <w:r w:rsidRPr="00B4124B">
          <w:rPr>
            <w:rFonts w:ascii="Arial" w:hAnsi="Arial" w:cs="Arial"/>
            <w:noProof/>
            <w:webHidden/>
          </w:rPr>
          <w:tab/>
        </w:r>
        <w:r w:rsidRPr="00B4124B">
          <w:rPr>
            <w:rFonts w:ascii="Arial" w:hAnsi="Arial" w:cs="Arial"/>
            <w:noProof/>
            <w:webHidden/>
          </w:rPr>
          <w:fldChar w:fldCharType="begin"/>
        </w:r>
        <w:r w:rsidRPr="00B4124B">
          <w:rPr>
            <w:rFonts w:ascii="Arial" w:hAnsi="Arial" w:cs="Arial"/>
            <w:noProof/>
            <w:webHidden/>
          </w:rPr>
          <w:instrText xml:space="preserve"> PAGEREF _Toc513016256 \h </w:instrText>
        </w:r>
        <w:r w:rsidRPr="00B4124B">
          <w:rPr>
            <w:rFonts w:ascii="Arial" w:hAnsi="Arial" w:cs="Arial"/>
            <w:noProof/>
            <w:webHidden/>
          </w:rPr>
        </w:r>
        <w:r w:rsidRPr="00B4124B">
          <w:rPr>
            <w:rFonts w:ascii="Arial" w:hAnsi="Arial" w:cs="Arial"/>
            <w:noProof/>
            <w:webHidden/>
          </w:rPr>
          <w:fldChar w:fldCharType="separate"/>
        </w:r>
        <w:r w:rsidRPr="00B4124B">
          <w:rPr>
            <w:rFonts w:ascii="Arial" w:hAnsi="Arial" w:cs="Arial"/>
            <w:noProof/>
            <w:webHidden/>
          </w:rPr>
          <w:t>15</w:t>
        </w:r>
        <w:r w:rsidRPr="00B4124B">
          <w:rPr>
            <w:rFonts w:ascii="Arial" w:hAnsi="Arial" w:cs="Arial"/>
            <w:noProof/>
            <w:webHidden/>
          </w:rPr>
          <w:fldChar w:fldCharType="end"/>
        </w:r>
      </w:hyperlink>
    </w:p>
    <w:p w:rsidR="00784AEC" w:rsidRPr="00B4124B" w:rsidRDefault="003D3551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hyperlink w:anchor="_Toc513016257" w:history="1">
        <w:r w:rsidR="00784AEC" w:rsidRPr="00B4124B">
          <w:rPr>
            <w:rStyle w:val="Hypertextovodkaz"/>
            <w:rFonts w:ascii="Arial" w:hAnsi="Arial" w:cs="Arial"/>
            <w:noProof/>
          </w:rPr>
          <w:t>Graf 2 – Intervence RIS3 strategie plánované pro rok 2018</w:t>
        </w:r>
        <w:r w:rsidR="00784AEC" w:rsidRPr="00B4124B">
          <w:rPr>
            <w:rFonts w:ascii="Arial" w:hAnsi="Arial" w:cs="Arial"/>
            <w:noProof/>
            <w:webHidden/>
          </w:rPr>
          <w:tab/>
        </w:r>
        <w:r w:rsidR="00784AEC" w:rsidRPr="00B4124B">
          <w:rPr>
            <w:rFonts w:ascii="Arial" w:hAnsi="Arial" w:cs="Arial"/>
            <w:noProof/>
            <w:webHidden/>
          </w:rPr>
          <w:fldChar w:fldCharType="begin"/>
        </w:r>
        <w:r w:rsidR="00784AEC" w:rsidRPr="00B4124B">
          <w:rPr>
            <w:rFonts w:ascii="Arial" w:hAnsi="Arial" w:cs="Arial"/>
            <w:noProof/>
            <w:webHidden/>
          </w:rPr>
          <w:instrText xml:space="preserve"> PAGEREF _Toc513016257 \h </w:instrText>
        </w:r>
        <w:r w:rsidR="00784AEC" w:rsidRPr="00B4124B">
          <w:rPr>
            <w:rFonts w:ascii="Arial" w:hAnsi="Arial" w:cs="Arial"/>
            <w:noProof/>
            <w:webHidden/>
          </w:rPr>
        </w:r>
        <w:r w:rsidR="00784AEC" w:rsidRPr="00B4124B">
          <w:rPr>
            <w:rFonts w:ascii="Arial" w:hAnsi="Arial" w:cs="Arial"/>
            <w:noProof/>
            <w:webHidden/>
          </w:rPr>
          <w:fldChar w:fldCharType="separate"/>
        </w:r>
        <w:r w:rsidR="00784AEC" w:rsidRPr="00B4124B">
          <w:rPr>
            <w:rFonts w:ascii="Arial" w:hAnsi="Arial" w:cs="Arial"/>
            <w:noProof/>
            <w:webHidden/>
          </w:rPr>
          <w:t>16</w:t>
        </w:r>
        <w:r w:rsidR="00784AEC" w:rsidRPr="00B4124B">
          <w:rPr>
            <w:rFonts w:ascii="Arial" w:hAnsi="Arial" w:cs="Arial"/>
            <w:noProof/>
            <w:webHidden/>
          </w:rPr>
          <w:fldChar w:fldCharType="end"/>
        </w:r>
      </w:hyperlink>
    </w:p>
    <w:p w:rsidR="00784AEC" w:rsidRPr="00B4124B" w:rsidRDefault="003D3551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hyperlink w:anchor="_Toc513016258" w:history="1">
        <w:r w:rsidR="00784AEC" w:rsidRPr="00B4124B">
          <w:rPr>
            <w:rStyle w:val="Hypertextovodkaz"/>
            <w:rFonts w:ascii="Arial" w:hAnsi="Arial" w:cs="Arial"/>
            <w:noProof/>
          </w:rPr>
          <w:t>Graf 3 - Intervence ITI RIS3 strategie vyhlášené v roce 2017</w:t>
        </w:r>
        <w:r w:rsidR="00784AEC" w:rsidRPr="00B4124B">
          <w:rPr>
            <w:rFonts w:ascii="Arial" w:hAnsi="Arial" w:cs="Arial"/>
            <w:noProof/>
            <w:webHidden/>
          </w:rPr>
          <w:tab/>
        </w:r>
        <w:r w:rsidR="00784AEC" w:rsidRPr="00B4124B">
          <w:rPr>
            <w:rFonts w:ascii="Arial" w:hAnsi="Arial" w:cs="Arial"/>
            <w:noProof/>
            <w:webHidden/>
          </w:rPr>
          <w:fldChar w:fldCharType="begin"/>
        </w:r>
        <w:r w:rsidR="00784AEC" w:rsidRPr="00B4124B">
          <w:rPr>
            <w:rFonts w:ascii="Arial" w:hAnsi="Arial" w:cs="Arial"/>
            <w:noProof/>
            <w:webHidden/>
          </w:rPr>
          <w:instrText xml:space="preserve"> PAGEREF _Toc513016258 \h </w:instrText>
        </w:r>
        <w:r w:rsidR="00784AEC" w:rsidRPr="00B4124B">
          <w:rPr>
            <w:rFonts w:ascii="Arial" w:hAnsi="Arial" w:cs="Arial"/>
            <w:noProof/>
            <w:webHidden/>
          </w:rPr>
        </w:r>
        <w:r w:rsidR="00784AEC" w:rsidRPr="00B4124B">
          <w:rPr>
            <w:rFonts w:ascii="Arial" w:hAnsi="Arial" w:cs="Arial"/>
            <w:noProof/>
            <w:webHidden/>
          </w:rPr>
          <w:fldChar w:fldCharType="separate"/>
        </w:r>
        <w:r w:rsidR="00784AEC" w:rsidRPr="00B4124B">
          <w:rPr>
            <w:rFonts w:ascii="Arial" w:hAnsi="Arial" w:cs="Arial"/>
            <w:noProof/>
            <w:webHidden/>
          </w:rPr>
          <w:t>19</w:t>
        </w:r>
        <w:r w:rsidR="00784AEC" w:rsidRPr="00B4124B">
          <w:rPr>
            <w:rFonts w:ascii="Arial" w:hAnsi="Arial" w:cs="Arial"/>
            <w:noProof/>
            <w:webHidden/>
          </w:rPr>
          <w:fldChar w:fldCharType="end"/>
        </w:r>
      </w:hyperlink>
    </w:p>
    <w:p w:rsidR="00784AEC" w:rsidRPr="00B4124B" w:rsidRDefault="003D3551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hyperlink w:anchor="_Toc513016259" w:history="1">
        <w:r w:rsidR="00784AEC" w:rsidRPr="00B4124B">
          <w:rPr>
            <w:rStyle w:val="Hypertextovodkaz"/>
            <w:rFonts w:ascii="Arial" w:hAnsi="Arial" w:cs="Arial"/>
            <w:noProof/>
          </w:rPr>
          <w:t>Graf 4 - Intervence ITI RIS3 strategie plánované pro rok 2018</w:t>
        </w:r>
        <w:r w:rsidR="00784AEC" w:rsidRPr="00B4124B">
          <w:rPr>
            <w:rFonts w:ascii="Arial" w:hAnsi="Arial" w:cs="Arial"/>
            <w:noProof/>
            <w:webHidden/>
          </w:rPr>
          <w:tab/>
        </w:r>
        <w:r w:rsidR="00784AEC" w:rsidRPr="00B4124B">
          <w:rPr>
            <w:rFonts w:ascii="Arial" w:hAnsi="Arial" w:cs="Arial"/>
            <w:noProof/>
            <w:webHidden/>
          </w:rPr>
          <w:fldChar w:fldCharType="begin"/>
        </w:r>
        <w:r w:rsidR="00784AEC" w:rsidRPr="00B4124B">
          <w:rPr>
            <w:rFonts w:ascii="Arial" w:hAnsi="Arial" w:cs="Arial"/>
            <w:noProof/>
            <w:webHidden/>
          </w:rPr>
          <w:instrText xml:space="preserve"> PAGEREF _Toc513016259 \h </w:instrText>
        </w:r>
        <w:r w:rsidR="00784AEC" w:rsidRPr="00B4124B">
          <w:rPr>
            <w:rFonts w:ascii="Arial" w:hAnsi="Arial" w:cs="Arial"/>
            <w:noProof/>
            <w:webHidden/>
          </w:rPr>
        </w:r>
        <w:r w:rsidR="00784AEC" w:rsidRPr="00B4124B">
          <w:rPr>
            <w:rFonts w:ascii="Arial" w:hAnsi="Arial" w:cs="Arial"/>
            <w:noProof/>
            <w:webHidden/>
          </w:rPr>
          <w:fldChar w:fldCharType="separate"/>
        </w:r>
        <w:r w:rsidR="00784AEC" w:rsidRPr="00B4124B">
          <w:rPr>
            <w:rFonts w:ascii="Arial" w:hAnsi="Arial" w:cs="Arial"/>
            <w:noProof/>
            <w:webHidden/>
          </w:rPr>
          <w:t>20</w:t>
        </w:r>
        <w:r w:rsidR="00784AEC" w:rsidRPr="00B4124B">
          <w:rPr>
            <w:rFonts w:ascii="Arial" w:hAnsi="Arial" w:cs="Arial"/>
            <w:noProof/>
            <w:webHidden/>
          </w:rPr>
          <w:fldChar w:fldCharType="end"/>
        </w:r>
      </w:hyperlink>
    </w:p>
    <w:p w:rsidR="00716C3E" w:rsidRPr="00B4124B" w:rsidRDefault="00784AEC" w:rsidP="006F26DF">
      <w:pPr>
        <w:rPr>
          <w:rFonts w:ascii="Arial" w:hAnsi="Arial" w:cs="Arial"/>
        </w:rPr>
      </w:pPr>
      <w:r w:rsidRPr="00B4124B">
        <w:rPr>
          <w:rFonts w:ascii="Arial" w:hAnsi="Arial" w:cs="Arial"/>
        </w:rPr>
        <w:fldChar w:fldCharType="end"/>
      </w:r>
    </w:p>
    <w:p w:rsidR="009F770B" w:rsidRPr="00B4124B" w:rsidRDefault="009F770B" w:rsidP="00716C3E">
      <w:pPr>
        <w:rPr>
          <w:rFonts w:ascii="Arial" w:eastAsiaTheme="minorEastAsia" w:hAnsi="Arial" w:cs="Arial"/>
          <w:b/>
          <w:color w:val="595959" w:themeColor="text1" w:themeTint="A6"/>
          <w:spacing w:val="15"/>
        </w:rPr>
      </w:pPr>
      <w:r w:rsidRPr="00B4124B">
        <w:rPr>
          <w:rFonts w:ascii="Arial" w:hAnsi="Arial" w:cs="Arial"/>
          <w:b/>
          <w:color w:val="57B4EC" w:themeColor="background2" w:themeShade="BF"/>
        </w:rPr>
        <w:t>Seznam obrázků</w:t>
      </w:r>
    </w:p>
    <w:p w:rsidR="007834A9" w:rsidRPr="00B4124B" w:rsidRDefault="009F770B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r w:rsidRPr="00B4124B">
        <w:rPr>
          <w:rFonts w:ascii="Arial" w:hAnsi="Arial" w:cs="Arial"/>
        </w:rPr>
        <w:fldChar w:fldCharType="begin"/>
      </w:r>
      <w:r w:rsidRPr="00B4124B">
        <w:rPr>
          <w:rFonts w:ascii="Arial" w:hAnsi="Arial" w:cs="Arial"/>
        </w:rPr>
        <w:instrText xml:space="preserve"> TOC \h \z \c "Obrázek" </w:instrText>
      </w:r>
      <w:r w:rsidRPr="00B4124B">
        <w:rPr>
          <w:rFonts w:ascii="Arial" w:hAnsi="Arial" w:cs="Arial"/>
        </w:rPr>
        <w:fldChar w:fldCharType="separate"/>
      </w:r>
      <w:hyperlink w:anchor="_Toc513016281" w:history="1">
        <w:r w:rsidR="007834A9" w:rsidRPr="00B4124B">
          <w:rPr>
            <w:rStyle w:val="Hypertextovodkaz"/>
            <w:rFonts w:ascii="Arial" w:hAnsi="Arial" w:cs="Arial"/>
            <w:noProof/>
          </w:rPr>
          <w:t>Obrázek 1 – Aktualizovaný systém řízení a implementace Národní RIS3 strategie</w:t>
        </w:r>
        <w:r w:rsidR="007834A9" w:rsidRPr="00B4124B">
          <w:rPr>
            <w:rFonts w:ascii="Arial" w:hAnsi="Arial" w:cs="Arial"/>
            <w:noProof/>
            <w:webHidden/>
          </w:rPr>
          <w:tab/>
        </w:r>
        <w:r w:rsidR="007834A9" w:rsidRPr="00B4124B">
          <w:rPr>
            <w:rFonts w:ascii="Arial" w:hAnsi="Arial" w:cs="Arial"/>
            <w:noProof/>
            <w:webHidden/>
          </w:rPr>
          <w:fldChar w:fldCharType="begin"/>
        </w:r>
        <w:r w:rsidR="007834A9" w:rsidRPr="00B4124B">
          <w:rPr>
            <w:rFonts w:ascii="Arial" w:hAnsi="Arial" w:cs="Arial"/>
            <w:noProof/>
            <w:webHidden/>
          </w:rPr>
          <w:instrText xml:space="preserve"> PAGEREF _Toc513016281 \h </w:instrText>
        </w:r>
        <w:r w:rsidR="007834A9" w:rsidRPr="00B4124B">
          <w:rPr>
            <w:rFonts w:ascii="Arial" w:hAnsi="Arial" w:cs="Arial"/>
            <w:noProof/>
            <w:webHidden/>
          </w:rPr>
        </w:r>
        <w:r w:rsidR="007834A9" w:rsidRPr="00B4124B">
          <w:rPr>
            <w:rFonts w:ascii="Arial" w:hAnsi="Arial" w:cs="Arial"/>
            <w:noProof/>
            <w:webHidden/>
          </w:rPr>
          <w:fldChar w:fldCharType="separate"/>
        </w:r>
        <w:r w:rsidR="007834A9" w:rsidRPr="00B4124B">
          <w:rPr>
            <w:rFonts w:ascii="Arial" w:hAnsi="Arial" w:cs="Arial"/>
            <w:noProof/>
            <w:webHidden/>
          </w:rPr>
          <w:t>8</w:t>
        </w:r>
        <w:r w:rsidR="007834A9" w:rsidRPr="00B4124B">
          <w:rPr>
            <w:rFonts w:ascii="Arial" w:hAnsi="Arial" w:cs="Arial"/>
            <w:noProof/>
            <w:webHidden/>
          </w:rPr>
          <w:fldChar w:fldCharType="end"/>
        </w:r>
      </w:hyperlink>
    </w:p>
    <w:p w:rsidR="007834A9" w:rsidRPr="00B4124B" w:rsidRDefault="003D3551">
      <w:pPr>
        <w:pStyle w:val="Seznamobrzk"/>
        <w:tabs>
          <w:tab w:val="right" w:leader="dot" w:pos="9628"/>
        </w:tabs>
        <w:rPr>
          <w:rFonts w:ascii="Arial" w:eastAsiaTheme="minorEastAsia" w:hAnsi="Arial" w:cs="Arial"/>
          <w:noProof/>
          <w:lang w:eastAsia="cs-CZ"/>
        </w:rPr>
      </w:pPr>
      <w:hyperlink w:anchor="_Toc513016282" w:history="1">
        <w:r w:rsidR="007834A9" w:rsidRPr="00B4124B">
          <w:rPr>
            <w:rStyle w:val="Hypertextovodkaz"/>
            <w:rFonts w:ascii="Arial" w:hAnsi="Arial" w:cs="Arial"/>
            <w:noProof/>
          </w:rPr>
          <w:t>Obrázek 2 – Integrované nástroje v programovém období 2014 - 2020</w:t>
        </w:r>
        <w:r w:rsidR="007834A9" w:rsidRPr="00B4124B">
          <w:rPr>
            <w:rFonts w:ascii="Arial" w:hAnsi="Arial" w:cs="Arial"/>
            <w:noProof/>
            <w:webHidden/>
          </w:rPr>
          <w:tab/>
        </w:r>
        <w:r w:rsidR="007834A9" w:rsidRPr="00B4124B">
          <w:rPr>
            <w:rFonts w:ascii="Arial" w:hAnsi="Arial" w:cs="Arial"/>
            <w:noProof/>
            <w:webHidden/>
          </w:rPr>
          <w:fldChar w:fldCharType="begin"/>
        </w:r>
        <w:r w:rsidR="007834A9" w:rsidRPr="00B4124B">
          <w:rPr>
            <w:rFonts w:ascii="Arial" w:hAnsi="Arial" w:cs="Arial"/>
            <w:noProof/>
            <w:webHidden/>
          </w:rPr>
          <w:instrText xml:space="preserve"> PAGEREF _Toc513016282 \h </w:instrText>
        </w:r>
        <w:r w:rsidR="007834A9" w:rsidRPr="00B4124B">
          <w:rPr>
            <w:rFonts w:ascii="Arial" w:hAnsi="Arial" w:cs="Arial"/>
            <w:noProof/>
            <w:webHidden/>
          </w:rPr>
        </w:r>
        <w:r w:rsidR="007834A9" w:rsidRPr="00B4124B">
          <w:rPr>
            <w:rFonts w:ascii="Arial" w:hAnsi="Arial" w:cs="Arial"/>
            <w:noProof/>
            <w:webHidden/>
          </w:rPr>
          <w:fldChar w:fldCharType="separate"/>
        </w:r>
        <w:r w:rsidR="007834A9" w:rsidRPr="00B4124B">
          <w:rPr>
            <w:rFonts w:ascii="Arial" w:hAnsi="Arial" w:cs="Arial"/>
            <w:noProof/>
            <w:webHidden/>
          </w:rPr>
          <w:t>17</w:t>
        </w:r>
        <w:r w:rsidR="007834A9" w:rsidRPr="00B4124B">
          <w:rPr>
            <w:rFonts w:ascii="Arial" w:hAnsi="Arial" w:cs="Arial"/>
            <w:noProof/>
            <w:webHidden/>
          </w:rPr>
          <w:fldChar w:fldCharType="end"/>
        </w:r>
      </w:hyperlink>
    </w:p>
    <w:p w:rsidR="000C19AA" w:rsidRPr="00B4124B" w:rsidRDefault="009F770B" w:rsidP="002B1933">
      <w:pPr>
        <w:pStyle w:val="Podtitul"/>
        <w:rPr>
          <w:rFonts w:ascii="Arial" w:hAnsi="Arial" w:cs="Arial"/>
          <w:b/>
          <w:sz w:val="22"/>
        </w:rPr>
      </w:pPr>
      <w:r w:rsidRPr="00B4124B">
        <w:rPr>
          <w:rFonts w:ascii="Arial" w:hAnsi="Arial" w:cs="Arial"/>
          <w:sz w:val="22"/>
        </w:rPr>
        <w:fldChar w:fldCharType="end"/>
      </w:r>
    </w:p>
    <w:p w:rsidR="000C19AA" w:rsidRPr="00B4124B" w:rsidRDefault="000C19AA" w:rsidP="000C19AA">
      <w:pPr>
        <w:rPr>
          <w:rFonts w:ascii="Arial" w:hAnsi="Arial" w:cs="Arial"/>
          <w:b/>
          <w:color w:val="57B4EC" w:themeColor="background2" w:themeShade="BF"/>
        </w:rPr>
      </w:pPr>
      <w:r w:rsidRPr="00B4124B">
        <w:rPr>
          <w:rFonts w:ascii="Arial" w:hAnsi="Arial" w:cs="Arial"/>
          <w:b/>
          <w:color w:val="57B4EC" w:themeColor="background2" w:themeShade="BF"/>
        </w:rPr>
        <w:t>Seznam příloh</w:t>
      </w:r>
    </w:p>
    <w:p w:rsidR="00216106" w:rsidRPr="00B4124B" w:rsidRDefault="00216106" w:rsidP="00216106">
      <w:pPr>
        <w:spacing w:after="0" w:line="240" w:lineRule="auto"/>
        <w:rPr>
          <w:rFonts w:ascii="Arial" w:hAnsi="Arial" w:cs="Arial"/>
        </w:rPr>
      </w:pPr>
      <w:r w:rsidRPr="00B4124B">
        <w:rPr>
          <w:rFonts w:ascii="Arial" w:hAnsi="Arial" w:cs="Arial"/>
        </w:rPr>
        <w:t>Příloha 1 – Indikativní implementace RIS3 v OP 2015-2018</w:t>
      </w:r>
    </w:p>
    <w:p w:rsidR="00216106" w:rsidRPr="00B4124B" w:rsidRDefault="00216106" w:rsidP="00216106">
      <w:pPr>
        <w:spacing w:after="0" w:line="240" w:lineRule="auto"/>
        <w:rPr>
          <w:rFonts w:ascii="Arial" w:hAnsi="Arial" w:cs="Arial"/>
        </w:rPr>
      </w:pPr>
      <w:r w:rsidRPr="00B4124B">
        <w:rPr>
          <w:rFonts w:ascii="Arial" w:hAnsi="Arial" w:cs="Arial"/>
        </w:rPr>
        <w:t>Příloha 2 – Vertikalizační matice RIS3 strategie</w:t>
      </w:r>
    </w:p>
    <w:p w:rsidR="00216106" w:rsidRPr="00B4124B" w:rsidRDefault="00216106" w:rsidP="00216106">
      <w:pPr>
        <w:spacing w:after="0" w:line="240" w:lineRule="auto"/>
        <w:rPr>
          <w:rFonts w:ascii="Arial" w:hAnsi="Arial" w:cs="Arial"/>
        </w:rPr>
      </w:pPr>
      <w:r w:rsidRPr="00B4124B">
        <w:rPr>
          <w:rFonts w:ascii="Arial" w:hAnsi="Arial" w:cs="Arial"/>
        </w:rPr>
        <w:t>Příloha 3 – Cíle RIS3 strategie a jejich propojení s NP VaVaI</w:t>
      </w:r>
    </w:p>
    <w:p w:rsidR="00216106" w:rsidRPr="00B4124B" w:rsidRDefault="00216106" w:rsidP="00216106">
      <w:pPr>
        <w:spacing w:after="0" w:line="240" w:lineRule="auto"/>
        <w:rPr>
          <w:rFonts w:ascii="Arial" w:hAnsi="Arial" w:cs="Arial"/>
        </w:rPr>
      </w:pPr>
      <w:r w:rsidRPr="00B4124B">
        <w:rPr>
          <w:rFonts w:ascii="Arial" w:hAnsi="Arial" w:cs="Arial"/>
        </w:rPr>
        <w:t>Příloha 4 – Sestava monitorovacích indikátorů RIS3 strategických cílů</w:t>
      </w:r>
    </w:p>
    <w:p w:rsidR="00216106" w:rsidRPr="00B4124B" w:rsidRDefault="00216106" w:rsidP="00216106">
      <w:pPr>
        <w:spacing w:after="0" w:line="240" w:lineRule="auto"/>
        <w:rPr>
          <w:rFonts w:ascii="Arial" w:hAnsi="Arial" w:cs="Arial"/>
        </w:rPr>
      </w:pPr>
      <w:r w:rsidRPr="00B4124B">
        <w:rPr>
          <w:rFonts w:ascii="Arial" w:hAnsi="Arial" w:cs="Arial"/>
        </w:rPr>
        <w:t>Příloha 5 – Sestava monitorovacích indikátorů krajských RIS3 strategií</w:t>
      </w:r>
    </w:p>
    <w:p w:rsidR="00216106" w:rsidRPr="00B4124B" w:rsidRDefault="00216106" w:rsidP="00216106">
      <w:pPr>
        <w:spacing w:after="0" w:line="240" w:lineRule="auto"/>
        <w:rPr>
          <w:rFonts w:ascii="Arial" w:hAnsi="Arial" w:cs="Arial"/>
        </w:rPr>
      </w:pPr>
      <w:r w:rsidRPr="00B4124B">
        <w:rPr>
          <w:rFonts w:ascii="Arial" w:hAnsi="Arial" w:cs="Arial"/>
        </w:rPr>
        <w:t>Příloha 6 – Indikativní přehled financování krajských RIS3 strategií na období 2018-2019</w:t>
      </w:r>
    </w:p>
    <w:p w:rsidR="00216106" w:rsidRPr="00B4124B" w:rsidRDefault="00216106" w:rsidP="00216106">
      <w:pPr>
        <w:spacing w:after="0" w:line="240" w:lineRule="auto"/>
        <w:rPr>
          <w:rFonts w:ascii="Arial" w:hAnsi="Arial" w:cs="Arial"/>
        </w:rPr>
      </w:pPr>
      <w:r w:rsidRPr="00B4124B">
        <w:rPr>
          <w:rFonts w:ascii="Arial" w:hAnsi="Arial" w:cs="Arial"/>
        </w:rPr>
        <w:t>Příloha 7 – Evaluační plán Národní RIS3 strategie 2017-2019</w:t>
      </w:r>
    </w:p>
    <w:p w:rsidR="00716C3E" w:rsidRPr="00B4124B" w:rsidRDefault="00716C3E" w:rsidP="002B1933">
      <w:pPr>
        <w:pStyle w:val="Podtitul"/>
        <w:rPr>
          <w:rFonts w:ascii="Arial" w:hAnsi="Arial" w:cs="Arial"/>
          <w:b/>
          <w:sz w:val="22"/>
        </w:rPr>
      </w:pPr>
      <w:r w:rsidRPr="00B4124B">
        <w:rPr>
          <w:rFonts w:ascii="Arial" w:hAnsi="Arial" w:cs="Arial"/>
          <w:b/>
          <w:sz w:val="22"/>
        </w:rPr>
        <w:br w:type="page"/>
      </w:r>
    </w:p>
    <w:p w:rsidR="00422AA8" w:rsidRPr="00B4124B" w:rsidRDefault="00422AA8" w:rsidP="002B1933">
      <w:pPr>
        <w:pStyle w:val="Podtitul"/>
        <w:rPr>
          <w:rFonts w:ascii="Arial" w:hAnsi="Arial" w:cs="Arial"/>
          <w:b/>
          <w:i/>
          <w:color w:val="57B4EC" w:themeColor="background2" w:themeShade="BF"/>
          <w:sz w:val="22"/>
        </w:rPr>
      </w:pPr>
      <w:r w:rsidRPr="00B4124B">
        <w:rPr>
          <w:rFonts w:ascii="Arial" w:hAnsi="Arial" w:cs="Arial"/>
          <w:b/>
          <w:color w:val="57B4EC" w:themeColor="background2" w:themeShade="BF"/>
          <w:sz w:val="22"/>
        </w:rPr>
        <w:lastRenderedPageBreak/>
        <w:t>Seznam použitých zkratek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ČR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Česká republika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EDP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Entrepreneurial discovery proces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EK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Evropská komise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EP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Evaluační plán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ESIF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Evropské strukturální a investiční fondy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EU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Evropská unie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IROP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Integrovaný regionální operační program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IS VaVaI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Informační systém výzkumu, experimentálního vývoje a inovací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ITI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Integrované územní investice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MAPS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Mezirezortní analytická pracovní skupina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MHMP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Magistrát hlavního města Prahy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MMR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Ministerstvo pro místní rozvoj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MPO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Ministerstvo průmyslu a obchodu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MPSV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Ministerstvo práce a sociálních věcí</w:t>
      </w:r>
    </w:p>
    <w:p w:rsidR="00BE4979" w:rsidRPr="00B4124B" w:rsidRDefault="00BE4979" w:rsidP="00422AA8">
      <w:pPr>
        <w:ind w:left="2127" w:hanging="2127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MS2014+</w:t>
      </w:r>
      <w:r w:rsidRPr="00B4124B">
        <w:rPr>
          <w:rFonts w:ascii="Arial" w:hAnsi="Arial" w:cs="Arial"/>
        </w:rPr>
        <w:tab/>
        <w:t>Monitorovací systém evropských strukturálních a investičních fondů pro programové období 2014-2020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MŠMT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Ministerstvo školství, mládeže a tělovýchovy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MV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Ministerstvo vnitra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NCK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Národní centra kompetence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NIP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Národní inovační platformy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NOK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Národní orgán pro koordinaci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NP VaVaI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Národní politika výzkumu, vývoje a inovací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OP PIK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Operační program Podnikání a inovace pro konkurenceschopnost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OP PPR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Operační program Praha – pól růstu ČR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OP VVV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Operační program Výzkum, vývoj a vzdělávání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OP Z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Operační program zaměstnanost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OP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Operační program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PO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Prioritní osa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PP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Programy podpory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lastRenderedPageBreak/>
        <w:t>RIS3 strategie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Národní výzkumná a inovační strategie pro inteligentní specializaci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RVVI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Rada pro výzkum, vývoj a inovace</w:t>
      </w:r>
    </w:p>
    <w:p w:rsidR="00BE4979" w:rsidRPr="00B4124B" w:rsidRDefault="00BE4979" w:rsidP="00422AA8">
      <w:pPr>
        <w:rPr>
          <w:rFonts w:ascii="Arial" w:hAnsi="Arial" w:cs="Arial"/>
        </w:rPr>
      </w:pPr>
      <w:r w:rsidRPr="00B4124B">
        <w:rPr>
          <w:rFonts w:ascii="Arial" w:hAnsi="Arial" w:cs="Arial"/>
        </w:rPr>
        <w:t>SmAcc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Smart Akcelerátor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TA ČR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Technologická agentura České republiky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ÚV ČR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Úřad vlády České republiky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VaV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Výzkum a vývoj</w:t>
      </w:r>
    </w:p>
    <w:p w:rsidR="00BE4979" w:rsidRPr="00B4124B" w:rsidRDefault="00BE4979" w:rsidP="00422AA8">
      <w:pPr>
        <w:rPr>
          <w:rFonts w:ascii="Arial" w:hAnsi="Arial" w:cs="Arial"/>
        </w:rPr>
      </w:pPr>
      <w:r w:rsidRPr="00B4124B">
        <w:rPr>
          <w:rFonts w:ascii="Arial" w:hAnsi="Arial" w:cs="Arial"/>
        </w:rPr>
        <w:t>VO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Výzkumná organizace</w:t>
      </w:r>
    </w:p>
    <w:p w:rsidR="00BE4979" w:rsidRPr="00B4124B" w:rsidRDefault="00BE4979" w:rsidP="00422AA8">
      <w:pPr>
        <w:rPr>
          <w:rFonts w:ascii="Arial" w:hAnsi="Arial" w:cs="Arial"/>
        </w:rPr>
      </w:pPr>
      <w:r w:rsidRPr="00B4124B">
        <w:rPr>
          <w:rFonts w:ascii="Arial" w:hAnsi="Arial" w:cs="Arial"/>
        </w:rPr>
        <w:t>VP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Velký podnik</w:t>
      </w:r>
    </w:p>
    <w:p w:rsidR="00BE4979" w:rsidRPr="00B4124B" w:rsidRDefault="00BE4979" w:rsidP="00422AA8">
      <w:pPr>
        <w:rPr>
          <w:rFonts w:ascii="Arial" w:hAnsi="Arial" w:cs="Arial"/>
        </w:rPr>
      </w:pPr>
      <w:r w:rsidRPr="00B4124B">
        <w:rPr>
          <w:rFonts w:ascii="Arial" w:hAnsi="Arial" w:cs="Arial"/>
        </w:rPr>
        <w:t>VŠ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Vysoká škola</w:t>
      </w:r>
    </w:p>
    <w:p w:rsidR="00BE4979" w:rsidRPr="00B4124B" w:rsidRDefault="00BE4979" w:rsidP="00422AA8">
      <w:pPr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VVaI </w:t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</w:r>
      <w:r w:rsidRPr="00B4124B">
        <w:rPr>
          <w:rFonts w:ascii="Arial" w:hAnsi="Arial" w:cs="Arial"/>
        </w:rPr>
        <w:tab/>
        <w:t>Výzkum, vývoj a inovace</w:t>
      </w:r>
    </w:p>
    <w:p w:rsidR="002B1933" w:rsidRPr="00B4124B" w:rsidRDefault="002B1933">
      <w:pPr>
        <w:rPr>
          <w:rFonts w:ascii="Arial" w:hAnsi="Arial" w:cs="Arial"/>
        </w:rPr>
      </w:pPr>
    </w:p>
    <w:p w:rsidR="002B1933" w:rsidRPr="00B4124B" w:rsidRDefault="002B1933">
      <w:pPr>
        <w:rPr>
          <w:rFonts w:ascii="Arial" w:hAnsi="Arial" w:cs="Arial"/>
        </w:rPr>
      </w:pPr>
    </w:p>
    <w:p w:rsidR="002B1933" w:rsidRPr="00B4124B" w:rsidRDefault="002B1933">
      <w:pPr>
        <w:rPr>
          <w:rFonts w:ascii="Arial" w:hAnsi="Arial" w:cs="Arial"/>
          <w:b/>
        </w:rPr>
      </w:pPr>
      <w:r w:rsidRPr="00B4124B">
        <w:rPr>
          <w:rFonts w:ascii="Arial" w:hAnsi="Arial" w:cs="Arial"/>
          <w:b/>
        </w:rPr>
        <w:t xml:space="preserve">Zkrácená vyjádření </w:t>
      </w:r>
      <w:r w:rsidR="004A350B" w:rsidRPr="00B4124B">
        <w:rPr>
          <w:rFonts w:ascii="Arial" w:hAnsi="Arial" w:cs="Arial"/>
          <w:b/>
        </w:rPr>
        <w:t xml:space="preserve">názvů </w:t>
      </w:r>
      <w:r w:rsidRPr="00B4124B">
        <w:rPr>
          <w:rFonts w:ascii="Arial" w:hAnsi="Arial" w:cs="Arial"/>
          <w:b/>
        </w:rPr>
        <w:t>dokumentů</w:t>
      </w:r>
    </w:p>
    <w:p w:rsidR="002B1933" w:rsidRPr="00B4124B" w:rsidRDefault="002B1933" w:rsidP="004A350B">
      <w:pPr>
        <w:ind w:left="3540" w:hanging="3540"/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Národní RIS3 strategie (2016)</w:t>
      </w:r>
      <w:r w:rsidR="004A350B" w:rsidRPr="00B4124B">
        <w:rPr>
          <w:rFonts w:ascii="Arial" w:hAnsi="Arial" w:cs="Arial"/>
          <w:i/>
        </w:rPr>
        <w:tab/>
        <w:t>Národní výzkumná a inovační strategie pro inteligentní specializaci České republiky (schválena vládou 11. 7. 2016)</w:t>
      </w:r>
    </w:p>
    <w:p w:rsidR="002B1933" w:rsidRPr="00B4124B" w:rsidRDefault="002B1933" w:rsidP="004A350B">
      <w:pPr>
        <w:ind w:left="3540" w:hanging="3540"/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Zpráva o realizaci (2017)</w:t>
      </w:r>
      <w:r w:rsidR="004A350B" w:rsidRPr="00B4124B">
        <w:rPr>
          <w:rFonts w:ascii="Arial" w:hAnsi="Arial" w:cs="Arial"/>
          <w:i/>
        </w:rPr>
        <w:tab/>
        <w:t>Zpráva o realizaci a zhodnocení pokroku v </w:t>
      </w:r>
      <w:r w:rsidR="003040CC" w:rsidRPr="00B4124B">
        <w:rPr>
          <w:rFonts w:ascii="Arial" w:hAnsi="Arial" w:cs="Arial"/>
          <w:i/>
        </w:rPr>
        <w:t>realizaci</w:t>
      </w:r>
      <w:r w:rsidR="004A350B" w:rsidRPr="00B4124B">
        <w:rPr>
          <w:rFonts w:ascii="Arial" w:hAnsi="Arial" w:cs="Arial"/>
          <w:i/>
        </w:rPr>
        <w:t xml:space="preserve"> </w:t>
      </w:r>
      <w:r w:rsidR="003040CC" w:rsidRPr="00B4124B">
        <w:rPr>
          <w:rFonts w:ascii="Arial" w:hAnsi="Arial" w:cs="Arial"/>
          <w:i/>
        </w:rPr>
        <w:t>Národní výzkumné</w:t>
      </w:r>
      <w:r w:rsidR="004A350B" w:rsidRPr="00B4124B">
        <w:rPr>
          <w:rFonts w:ascii="Arial" w:hAnsi="Arial" w:cs="Arial"/>
          <w:i/>
        </w:rPr>
        <w:t xml:space="preserve"> a inovační strategie pro inteligentní specializaci České republiky v letech 2016 - 2017</w:t>
      </w:r>
    </w:p>
    <w:p w:rsidR="005678E6" w:rsidRPr="00B4124B" w:rsidRDefault="002B1933" w:rsidP="004A350B">
      <w:pPr>
        <w:ind w:left="3540" w:hanging="3540"/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Plán implementace (2017 – 2018)</w:t>
      </w:r>
      <w:r w:rsidR="004A350B" w:rsidRPr="00B4124B">
        <w:rPr>
          <w:rFonts w:ascii="Arial" w:hAnsi="Arial" w:cs="Arial"/>
          <w:i/>
        </w:rPr>
        <w:tab/>
        <w:t xml:space="preserve">Plán implementace </w:t>
      </w:r>
      <w:r w:rsidR="003040CC" w:rsidRPr="00B4124B">
        <w:rPr>
          <w:rFonts w:ascii="Arial" w:hAnsi="Arial" w:cs="Arial"/>
          <w:i/>
        </w:rPr>
        <w:t>Národní výzkumné</w:t>
      </w:r>
      <w:r w:rsidR="004A350B" w:rsidRPr="00B4124B">
        <w:rPr>
          <w:rFonts w:ascii="Arial" w:hAnsi="Arial" w:cs="Arial"/>
          <w:i/>
        </w:rPr>
        <w:t xml:space="preserve"> a inovační strategie pro inteligentní specializaci České republiky na období 2017 - 2018</w:t>
      </w:r>
      <w:r w:rsidR="005678E6" w:rsidRPr="00B4124B">
        <w:rPr>
          <w:rFonts w:ascii="Arial" w:hAnsi="Arial" w:cs="Arial"/>
          <w:i/>
        </w:rPr>
        <w:br w:type="page"/>
      </w:r>
    </w:p>
    <w:p w:rsidR="005678E6" w:rsidRPr="00B4124B" w:rsidRDefault="005678E6" w:rsidP="005D40E1">
      <w:pPr>
        <w:rPr>
          <w:rFonts w:ascii="Arial" w:hAnsi="Arial" w:cs="Arial"/>
          <w:b/>
          <w:color w:val="57B4EC" w:themeColor="background2" w:themeShade="BF"/>
        </w:rPr>
      </w:pPr>
      <w:r w:rsidRPr="00B4124B">
        <w:rPr>
          <w:rFonts w:ascii="Arial" w:hAnsi="Arial" w:cs="Arial"/>
          <w:b/>
          <w:color w:val="57B4EC" w:themeColor="background2" w:themeShade="BF"/>
        </w:rPr>
        <w:lastRenderedPageBreak/>
        <w:t>Úvod</w:t>
      </w:r>
    </w:p>
    <w:p w:rsidR="005678E6" w:rsidRPr="00B4124B" w:rsidRDefault="005678E6" w:rsidP="005678E6">
      <w:pPr>
        <w:spacing w:line="360" w:lineRule="auto"/>
        <w:ind w:firstLine="708"/>
        <w:jc w:val="both"/>
        <w:rPr>
          <w:rFonts w:ascii="Arial" w:hAnsi="Arial" w:cs="Arial"/>
          <w:bCs/>
        </w:rPr>
      </w:pPr>
      <w:r w:rsidRPr="00B4124B">
        <w:rPr>
          <w:rFonts w:ascii="Arial" w:hAnsi="Arial" w:cs="Arial"/>
        </w:rPr>
        <w:t xml:space="preserve">Národní výzkumná a inovační strategie pro inteligentní specializaci České republiky (dále „Národní RIS3 strategie“ z anglického </w:t>
      </w:r>
      <w:r w:rsidRPr="00B4124B">
        <w:rPr>
          <w:rFonts w:ascii="Arial" w:hAnsi="Arial" w:cs="Arial"/>
          <w:i/>
          <w:iCs/>
        </w:rPr>
        <w:t>Research and Innovation Strategy for Smart Specialisation</w:t>
      </w:r>
      <w:r w:rsidRPr="00B4124B">
        <w:rPr>
          <w:rFonts w:ascii="Arial" w:hAnsi="Arial" w:cs="Arial"/>
        </w:rPr>
        <w:t>) je strategický dokument zajišťující efektivní zacílení evropských, národních, regionálních a soukromých prostředků na aktivity vedoucí k posílení inovační kapacity a do prioritně vytyčených perspektivních oblastí na národní i krajské úrovni s cílem maximálně využít znalostní potenciál České republiky. Národní RIS3 strategie představuje jeden z implementačních nástrojů Národní politiky VVaI.</w:t>
      </w:r>
    </w:p>
    <w:p w:rsidR="005678E6" w:rsidRPr="00B4124B" w:rsidRDefault="005678E6" w:rsidP="005678E6">
      <w:pPr>
        <w:spacing w:line="360" w:lineRule="auto"/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V kontextu veřejných evropských politik představuje Národní RIS3 strategie předpoklad pro naplňování regionální a kohezní politiky EU a cílů strategie Evropa 2020 – má za úkol zajišťovat hospodářský růst založený na principech inteligentních řešení (smartness), udržitelnosti a inkluzivity. Z tohoto titulu představuje existence propracované Národní RIS3 strategie předběžnou podmínku pro uskutečňování intervencí regionální politiky Evropské unie v oblasti výzkumu, vývoje a inovací, přesněji v tematických cílech zaměřených převážně na inovace, informační a</w:t>
      </w:r>
      <w:r w:rsidR="00795085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komunikační technologie a technologický rozvoj (Nařízení Evropského parlamentu a</w:t>
      </w:r>
      <w:r w:rsidR="00795085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Rady č.</w:t>
      </w:r>
      <w:r w:rsidR="00795085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1303/2013). Následně se však v duchu téhož nařízení Národní RIS3 strategie stává pro danou oblast také základním koordinačním mechanismem intervencí všech, bez ohledu na to, z</w:t>
      </w:r>
      <w:r w:rsidR="00795085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jakého zdroje jsou financovány.</w:t>
      </w:r>
    </w:p>
    <w:p w:rsidR="005678E6" w:rsidRPr="00B4124B" w:rsidRDefault="005678E6" w:rsidP="005678E6">
      <w:pPr>
        <w:spacing w:line="360" w:lineRule="auto"/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  <w:bCs/>
        </w:rPr>
        <w:t>Aktualizované znění Národní RIS3 strategie bylo schváleno usnesením vlády ze dne</w:t>
      </w:r>
      <w:r w:rsidR="0058095D" w:rsidRPr="00B4124B">
        <w:rPr>
          <w:rFonts w:ascii="Arial" w:hAnsi="Arial" w:cs="Arial"/>
          <w:bCs/>
        </w:rPr>
        <w:t> </w:t>
      </w:r>
      <w:r w:rsidRPr="00B4124B">
        <w:rPr>
          <w:rFonts w:ascii="Arial" w:hAnsi="Arial" w:cs="Arial"/>
          <w:bCs/>
        </w:rPr>
        <w:t>11. července 2016 č. 634, a</w:t>
      </w:r>
      <w:r w:rsidR="009F1400" w:rsidRPr="00B4124B">
        <w:rPr>
          <w:rFonts w:ascii="Arial" w:hAnsi="Arial" w:cs="Arial"/>
          <w:bCs/>
        </w:rPr>
        <w:t> </w:t>
      </w:r>
      <w:r w:rsidRPr="00B4124B">
        <w:rPr>
          <w:rFonts w:ascii="Arial" w:hAnsi="Arial" w:cs="Arial"/>
          <w:bCs/>
        </w:rPr>
        <w:t>poté 29. září 2016 bylo schváleno též Evropskou komisí.</w:t>
      </w:r>
    </w:p>
    <w:p w:rsidR="005678E6" w:rsidRPr="00B4124B" w:rsidRDefault="005678E6" w:rsidP="005678E6">
      <w:pPr>
        <w:spacing w:line="360" w:lineRule="auto"/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  <w:bCs/>
        </w:rPr>
        <w:t>Usnesením vlády ze dne 14.</w:t>
      </w:r>
      <w:r w:rsidR="009F1400" w:rsidRPr="00B4124B">
        <w:rPr>
          <w:rFonts w:ascii="Arial" w:hAnsi="Arial" w:cs="Arial"/>
          <w:bCs/>
        </w:rPr>
        <w:t> </w:t>
      </w:r>
      <w:r w:rsidRPr="00B4124B">
        <w:rPr>
          <w:rFonts w:ascii="Arial" w:hAnsi="Arial" w:cs="Arial"/>
          <w:bCs/>
        </w:rPr>
        <w:t>března 2018 č.</w:t>
      </w:r>
      <w:r w:rsidR="009F1400" w:rsidRPr="00B4124B">
        <w:rPr>
          <w:rFonts w:ascii="Arial" w:hAnsi="Arial" w:cs="Arial"/>
          <w:bCs/>
        </w:rPr>
        <w:t> </w:t>
      </w:r>
      <w:r w:rsidRPr="00B4124B">
        <w:rPr>
          <w:rFonts w:ascii="Arial" w:hAnsi="Arial" w:cs="Arial"/>
          <w:bCs/>
        </w:rPr>
        <w:t>168 bylo s</w:t>
      </w:r>
      <w:r w:rsidR="009F1400" w:rsidRPr="00B4124B">
        <w:rPr>
          <w:rFonts w:ascii="Arial" w:hAnsi="Arial" w:cs="Arial"/>
          <w:bCs/>
        </w:rPr>
        <w:t> </w:t>
      </w:r>
      <w:r w:rsidRPr="00B4124B">
        <w:rPr>
          <w:rFonts w:ascii="Arial" w:hAnsi="Arial" w:cs="Arial"/>
          <w:bCs/>
        </w:rPr>
        <w:t>účinností k 1. dubnu 2018 schváleno převedení agendy Národní RIS3 strategie z</w:t>
      </w:r>
      <w:r w:rsidR="009F1400" w:rsidRPr="00B4124B">
        <w:rPr>
          <w:rFonts w:ascii="Arial" w:hAnsi="Arial" w:cs="Arial"/>
          <w:bCs/>
        </w:rPr>
        <w:t> </w:t>
      </w:r>
      <w:r w:rsidRPr="00B4124B">
        <w:rPr>
          <w:rFonts w:ascii="Arial" w:hAnsi="Arial" w:cs="Arial"/>
          <w:bCs/>
        </w:rPr>
        <w:t>Úřadu vlády České republiky na Ministerstvo průmyslu a obchodu. Povinnosti uložené bývalému místopředsedovi vlády pro vědu, výzkum a</w:t>
      </w:r>
      <w:r w:rsidR="009F1400" w:rsidRPr="00B4124B">
        <w:rPr>
          <w:rFonts w:ascii="Arial" w:hAnsi="Arial" w:cs="Arial"/>
          <w:bCs/>
        </w:rPr>
        <w:t> </w:t>
      </w:r>
      <w:r w:rsidRPr="00B4124B">
        <w:rPr>
          <w:rFonts w:ascii="Arial" w:hAnsi="Arial" w:cs="Arial"/>
          <w:bCs/>
        </w:rPr>
        <w:t>inovace tímto usnesením přecházejí na ministra průmyslu a</w:t>
      </w:r>
      <w:r w:rsidR="009F1400" w:rsidRPr="00B4124B">
        <w:rPr>
          <w:rFonts w:ascii="Arial" w:hAnsi="Arial" w:cs="Arial"/>
          <w:bCs/>
        </w:rPr>
        <w:t> </w:t>
      </w:r>
      <w:r w:rsidRPr="00B4124B">
        <w:rPr>
          <w:rFonts w:ascii="Arial" w:hAnsi="Arial" w:cs="Arial"/>
          <w:bCs/>
        </w:rPr>
        <w:t>obchodu.</w:t>
      </w:r>
    </w:p>
    <w:p w:rsidR="005678E6" w:rsidRPr="00B4124B" w:rsidRDefault="005678E6" w:rsidP="005678E6">
      <w:pPr>
        <w:spacing w:after="240" w:line="360" w:lineRule="auto"/>
        <w:ind w:firstLine="708"/>
        <w:jc w:val="both"/>
        <w:rPr>
          <w:rFonts w:ascii="Arial" w:hAnsi="Arial" w:cs="Arial"/>
          <w:bCs/>
        </w:rPr>
      </w:pPr>
      <w:r w:rsidRPr="00B4124B">
        <w:rPr>
          <w:rFonts w:ascii="Arial" w:hAnsi="Arial" w:cs="Arial"/>
          <w:bCs/>
        </w:rPr>
        <w:t>Ministerstvo průmyslu a obchodu, Sekce technologií 4.0, předkládá nyní následující Plán implementace Národní RIS3 strategie na období 2018 - 2019, který se věnuje strukturním změnám v řízení spojeným se změnou gestora, a také probíhajícímu procesu aktualizace této strategie (za účelem identifikace nových nebo potvrzení stávajících oblastí inteligentní specializace ČR), jenž má být ukončen v prosinci roku 2018. Dále dokument shrnuje informace o intervencích s vazbou na RIS3 strategii, plánovaných na období 2018-2019, seznamuje s plánem zkvalitnění koordinační role národní úrovně RIS3 strategie vůči její krajské úrovni v souvislosti s novou výzvou OP VVV Smart Akcelerátor II. a vytyčuje nejbližší milníky monitorovacích a evaluačních činností. V neposlední řadě byl v dokumentu zpracován další výhled jednání s Evropskou komisí a MMR v souvislosti s přípravou na nové programovací období po roce 2020.</w:t>
      </w:r>
    </w:p>
    <w:p w:rsidR="00422AA8" w:rsidRPr="00B4124B" w:rsidRDefault="00422AA8" w:rsidP="004A350B">
      <w:pPr>
        <w:ind w:left="3540" w:hanging="3540"/>
        <w:rPr>
          <w:rFonts w:ascii="Arial" w:hAnsi="Arial" w:cs="Arial"/>
          <w:i/>
        </w:rPr>
      </w:pPr>
      <w:r w:rsidRPr="00B4124B">
        <w:rPr>
          <w:rFonts w:ascii="Arial" w:hAnsi="Arial" w:cs="Arial"/>
          <w:b/>
        </w:rPr>
        <w:br w:type="page"/>
      </w:r>
    </w:p>
    <w:p w:rsidR="009C7E64" w:rsidRPr="00B4124B" w:rsidRDefault="009C7E64" w:rsidP="009C7E64">
      <w:pPr>
        <w:pStyle w:val="Nadpis1"/>
        <w:rPr>
          <w:rFonts w:cs="Arial"/>
          <w:sz w:val="22"/>
          <w:szCs w:val="22"/>
        </w:rPr>
      </w:pPr>
      <w:bookmarkStart w:id="0" w:name="_Toc513451932"/>
      <w:r w:rsidRPr="00B4124B">
        <w:rPr>
          <w:rFonts w:cs="Arial"/>
          <w:sz w:val="22"/>
          <w:szCs w:val="22"/>
        </w:rPr>
        <w:lastRenderedPageBreak/>
        <w:t>Manažerské shrnutí</w:t>
      </w:r>
      <w:bookmarkEnd w:id="0"/>
    </w:p>
    <w:p w:rsidR="00B139CA" w:rsidRPr="00B4124B" w:rsidRDefault="004A64B2" w:rsidP="004A64B2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Národní RIS3 strategie představuje jeden z implementačních nástrojů Národní politiky výzkumu, vývoje a inovací České republiky na léta 2016</w:t>
      </w:r>
      <w:r w:rsidR="00BE024B" w:rsidRPr="00B4124B">
        <w:rPr>
          <w:rFonts w:ascii="Arial" w:hAnsi="Arial" w:cs="Arial"/>
        </w:rPr>
        <w:t xml:space="preserve"> </w:t>
      </w:r>
      <w:r w:rsidRPr="00B4124B">
        <w:rPr>
          <w:rFonts w:ascii="Arial" w:hAnsi="Arial" w:cs="Arial"/>
        </w:rPr>
        <w:t>-</w:t>
      </w:r>
      <w:r w:rsidR="00BE024B" w:rsidRPr="00B4124B">
        <w:rPr>
          <w:rFonts w:ascii="Arial" w:hAnsi="Arial" w:cs="Arial"/>
        </w:rPr>
        <w:t xml:space="preserve"> </w:t>
      </w:r>
      <w:r w:rsidRPr="00B4124B">
        <w:rPr>
          <w:rFonts w:ascii="Arial" w:hAnsi="Arial" w:cs="Arial"/>
        </w:rPr>
        <w:t>2020 a zároveň naplňuje předběžnou podmínku pro uskutečňování intervencí regionální politiky EU v oblasti výzkumu, vývoje a inovací.</w:t>
      </w:r>
    </w:p>
    <w:p w:rsidR="004A64B2" w:rsidRPr="00B4124B" w:rsidRDefault="004A64B2" w:rsidP="004A64B2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Usnesením vlády České republiky ze dne 14. března 2018 č. 168 bylo s účinností k 1. dubnu 2018 schváleno </w:t>
      </w:r>
      <w:r w:rsidRPr="00B4124B">
        <w:rPr>
          <w:rFonts w:ascii="Arial" w:hAnsi="Arial" w:cs="Arial"/>
          <w:b/>
        </w:rPr>
        <w:t>převedení agendy</w:t>
      </w:r>
      <w:r w:rsidRPr="00B4124B">
        <w:rPr>
          <w:rFonts w:ascii="Arial" w:hAnsi="Arial" w:cs="Arial"/>
        </w:rPr>
        <w:t xml:space="preserve"> Národní RIS3 strategie z ÚV ČR na MPO.</w:t>
      </w:r>
    </w:p>
    <w:p w:rsidR="004A64B2" w:rsidRPr="00B4124B" w:rsidRDefault="004A64B2" w:rsidP="004A64B2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>Ukončení</w:t>
      </w:r>
      <w:r w:rsidRPr="00B4124B">
        <w:rPr>
          <w:rFonts w:ascii="Arial" w:hAnsi="Arial" w:cs="Arial"/>
        </w:rPr>
        <w:t xml:space="preserve"> nynějšího procesu </w:t>
      </w:r>
      <w:r w:rsidRPr="00B4124B">
        <w:rPr>
          <w:rFonts w:ascii="Arial" w:hAnsi="Arial" w:cs="Arial"/>
          <w:b/>
        </w:rPr>
        <w:t xml:space="preserve">aktualizace </w:t>
      </w:r>
      <w:r w:rsidRPr="00B4124B">
        <w:rPr>
          <w:rFonts w:ascii="Arial" w:hAnsi="Arial" w:cs="Arial"/>
        </w:rPr>
        <w:t xml:space="preserve">strategické soustavy prioritních aplikačních odvětví je plánováno na </w:t>
      </w:r>
      <w:r w:rsidRPr="00B4124B">
        <w:rPr>
          <w:rFonts w:ascii="Arial" w:hAnsi="Arial" w:cs="Arial"/>
          <w:b/>
        </w:rPr>
        <w:t>prosinec roku 2018</w:t>
      </w:r>
      <w:r w:rsidRPr="00B4124B">
        <w:rPr>
          <w:rFonts w:ascii="Arial" w:hAnsi="Arial" w:cs="Arial"/>
        </w:rPr>
        <w:t xml:space="preserve">. </w:t>
      </w:r>
    </w:p>
    <w:p w:rsidR="004A64B2" w:rsidRPr="00B4124B" w:rsidRDefault="004A64B2" w:rsidP="00FD24B0">
      <w:pPr>
        <w:pStyle w:val="Odstavecseseznamem"/>
        <w:numPr>
          <w:ilvl w:val="0"/>
          <w:numId w:val="28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>Plán implementace na rok 2018</w:t>
      </w:r>
      <w:r w:rsidRPr="00B4124B">
        <w:rPr>
          <w:rFonts w:ascii="Arial" w:hAnsi="Arial" w:cs="Arial"/>
        </w:rPr>
        <w:t xml:space="preserve"> dle indikativních harmonogramů poskytovatelů a gestorů programů podpory a OP shrnuje </w:t>
      </w:r>
      <w:r w:rsidR="005564A0" w:rsidRPr="00B4124B">
        <w:rPr>
          <w:rFonts w:ascii="Arial" w:hAnsi="Arial" w:cs="Arial"/>
          <w:highlight w:val="yellow"/>
        </w:rPr>
        <w:fldChar w:fldCharType="begin"/>
      </w:r>
      <w:r w:rsidR="005564A0" w:rsidRPr="00B4124B">
        <w:rPr>
          <w:rFonts w:ascii="Arial" w:hAnsi="Arial" w:cs="Arial"/>
        </w:rPr>
        <w:instrText xml:space="preserve"> REF _Ref513009795 \h </w:instrText>
      </w:r>
      <w:r w:rsidR="00074557" w:rsidRPr="00B4124B">
        <w:rPr>
          <w:rFonts w:ascii="Arial" w:hAnsi="Arial" w:cs="Arial"/>
          <w:highlight w:val="yellow"/>
        </w:rPr>
        <w:instrText xml:space="preserve"> \* MERGEFORMAT </w:instrText>
      </w:r>
      <w:r w:rsidR="005564A0" w:rsidRPr="00B4124B">
        <w:rPr>
          <w:rFonts w:ascii="Arial" w:hAnsi="Arial" w:cs="Arial"/>
          <w:highlight w:val="yellow"/>
        </w:rPr>
      </w:r>
      <w:r w:rsidR="005564A0" w:rsidRPr="00B4124B">
        <w:rPr>
          <w:rFonts w:ascii="Arial" w:hAnsi="Arial" w:cs="Arial"/>
          <w:highlight w:val="yellow"/>
        </w:rPr>
        <w:fldChar w:fldCharType="separate"/>
      </w:r>
      <w:r w:rsidR="00295F79" w:rsidRPr="00B4124B">
        <w:rPr>
          <w:rFonts w:ascii="Arial" w:hAnsi="Arial" w:cs="Arial"/>
        </w:rPr>
        <w:t xml:space="preserve">Tabulka </w:t>
      </w:r>
      <w:r w:rsidR="00295F79" w:rsidRPr="00B4124B">
        <w:rPr>
          <w:rFonts w:ascii="Arial" w:hAnsi="Arial" w:cs="Arial"/>
          <w:noProof/>
        </w:rPr>
        <w:t>1</w:t>
      </w:r>
      <w:r w:rsidR="005564A0" w:rsidRPr="00B4124B">
        <w:rPr>
          <w:rFonts w:ascii="Arial" w:hAnsi="Arial" w:cs="Arial"/>
          <w:highlight w:val="yellow"/>
        </w:rPr>
        <w:fldChar w:fldCharType="end"/>
      </w:r>
      <w:r w:rsidRPr="00B4124B">
        <w:rPr>
          <w:rFonts w:ascii="Arial" w:hAnsi="Arial" w:cs="Arial"/>
        </w:rPr>
        <w:t xml:space="preserve">. Ve srovnání s plněním </w:t>
      </w:r>
      <w:r w:rsidR="00EE6CFD" w:rsidRPr="00B4124B">
        <w:rPr>
          <w:rFonts w:ascii="Arial" w:hAnsi="Arial" w:cs="Arial"/>
        </w:rPr>
        <w:t>finančního</w:t>
      </w:r>
      <w:r w:rsidRPr="00B4124B">
        <w:rPr>
          <w:rFonts w:ascii="Arial" w:hAnsi="Arial" w:cs="Arial"/>
        </w:rPr>
        <w:t xml:space="preserve"> plánu Národní RIS3 strategie v roce 2017 je </w:t>
      </w:r>
      <w:r w:rsidRPr="00B4124B">
        <w:rPr>
          <w:rFonts w:ascii="Arial" w:hAnsi="Arial" w:cs="Arial"/>
          <w:b/>
        </w:rPr>
        <w:t>nutné reflektovat opožděný náběh v monitoringu projektů s vydaným právním aktem.</w:t>
      </w:r>
      <w:r w:rsidR="00EE6CFD" w:rsidRPr="00B4124B">
        <w:rPr>
          <w:rFonts w:ascii="Arial" w:hAnsi="Arial" w:cs="Arial"/>
          <w:b/>
        </w:rPr>
        <w:t xml:space="preserve"> Přesná míra souladu </w:t>
      </w:r>
      <w:r w:rsidR="00FD24B0" w:rsidRPr="00B4124B">
        <w:rPr>
          <w:rFonts w:ascii="Arial" w:hAnsi="Arial" w:cs="Arial"/>
        </w:rPr>
        <w:t>s</w:t>
      </w:r>
      <w:r w:rsidR="00FD24B0" w:rsidRPr="00B4124B">
        <w:rPr>
          <w:rFonts w:ascii="Arial" w:hAnsi="Arial" w:cs="Arial"/>
          <w:b/>
        </w:rPr>
        <w:t xml:space="preserve"> </w:t>
      </w:r>
      <w:r w:rsidR="00FD24B0" w:rsidRPr="00B4124B">
        <w:rPr>
          <w:rFonts w:ascii="Arial" w:hAnsi="Arial" w:cs="Arial"/>
        </w:rPr>
        <w:t xml:space="preserve">RIS3 strategií </w:t>
      </w:r>
      <w:r w:rsidR="00EE6CFD" w:rsidRPr="00B4124B">
        <w:rPr>
          <w:rFonts w:ascii="Arial" w:hAnsi="Arial" w:cs="Arial"/>
        </w:rPr>
        <w:t>pro nové programy TA ČR (NCK 1</w:t>
      </w:r>
      <w:r w:rsidR="00906EF7" w:rsidRPr="00B4124B">
        <w:rPr>
          <w:rFonts w:ascii="Arial" w:hAnsi="Arial" w:cs="Arial"/>
        </w:rPr>
        <w:t>, DELTA II. a další</w:t>
      </w:r>
      <w:r w:rsidR="00FD24B0" w:rsidRPr="00B4124B">
        <w:rPr>
          <w:rFonts w:ascii="Arial" w:hAnsi="Arial" w:cs="Arial"/>
        </w:rPr>
        <w:t>)</w:t>
      </w:r>
      <w:r w:rsidR="00EE6CFD" w:rsidRPr="00B4124B">
        <w:rPr>
          <w:rFonts w:ascii="Arial" w:hAnsi="Arial" w:cs="Arial"/>
        </w:rPr>
        <w:t xml:space="preserve"> </w:t>
      </w:r>
      <w:r w:rsidR="00FD24B0" w:rsidRPr="00B4124B">
        <w:rPr>
          <w:rFonts w:ascii="Arial" w:hAnsi="Arial" w:cs="Arial"/>
        </w:rPr>
        <w:t>je v jednání.</w:t>
      </w:r>
    </w:p>
    <w:p w:rsidR="00EE6CFD" w:rsidRPr="00B4124B" w:rsidRDefault="00EE6CFD" w:rsidP="00EE6CFD">
      <w:pPr>
        <w:pStyle w:val="Titulek"/>
        <w:keepNext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1" w:name="_Ref513009795"/>
      <w:bookmarkStart w:id="2" w:name="_Toc513451950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Tabulka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Tabulka \* ARABIC </w:instrTex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bookmarkEnd w:id="1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– Indikativní plán implementace Národní RIS3 strategie pro rok 2018</w:t>
      </w:r>
      <w:bookmarkEnd w:id="2"/>
    </w:p>
    <w:tbl>
      <w:tblPr>
        <w:tblW w:w="538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7"/>
        <w:gridCol w:w="1906"/>
        <w:gridCol w:w="1134"/>
      </w:tblGrid>
      <w:tr w:rsidR="00EE6CFD" w:rsidRPr="00B4124B" w:rsidTr="00271758">
        <w:trPr>
          <w:trHeight w:val="1033"/>
          <w:jc w:val="center"/>
        </w:trPr>
        <w:tc>
          <w:tcPr>
            <w:tcW w:w="2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E6CFD" w:rsidRPr="00B4124B" w:rsidRDefault="00EE6CFD" w:rsidP="00EE6CF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b/>
                <w:color w:val="000000"/>
                <w:lang w:eastAsia="cs-CZ"/>
              </w:rPr>
              <w:t>Druh intervence </w:t>
            </w:r>
          </w:p>
        </w:tc>
        <w:tc>
          <w:tcPr>
            <w:tcW w:w="190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E6CFD" w:rsidRPr="00B4124B" w:rsidRDefault="00EE6CFD" w:rsidP="00EE6CF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Alokace prostředků EU/plánované náklady projektů </w:t>
            </w:r>
          </w:p>
          <w:p w:rsidR="00EE6CFD" w:rsidRPr="00B4124B" w:rsidRDefault="00EE6CFD" w:rsidP="00EE6CF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b/>
                <w:color w:val="000000"/>
                <w:lang w:eastAsia="cs-CZ"/>
              </w:rPr>
              <w:t>(v mld. Kč)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EE6CFD" w:rsidRPr="00B4124B" w:rsidRDefault="00EE6CFD" w:rsidP="00EE6CF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b/>
                <w:color w:val="000000"/>
                <w:lang w:eastAsia="cs-CZ"/>
              </w:rPr>
              <w:t>Počet intervencí/veřejných soutěží</w:t>
            </w:r>
          </w:p>
        </w:tc>
      </w:tr>
      <w:tr w:rsidR="007834A9" w:rsidRPr="00B4124B" w:rsidTr="00271758">
        <w:trPr>
          <w:trHeight w:val="330"/>
          <w:jc w:val="center"/>
        </w:trPr>
        <w:tc>
          <w:tcPr>
            <w:tcW w:w="2347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834A9" w:rsidRPr="00B4124B" w:rsidRDefault="007834A9" w:rsidP="00EE6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color w:val="000000"/>
                <w:lang w:eastAsia="cs-CZ"/>
              </w:rPr>
              <w:t>operační programy</w:t>
            </w:r>
          </w:p>
          <w:p w:rsidR="007834A9" w:rsidRPr="00B4124B" w:rsidRDefault="007834A9" w:rsidP="00EE6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  <w:p w:rsidR="007834A9" w:rsidRPr="00B4124B" w:rsidRDefault="000E4935" w:rsidP="00EE6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color w:val="000000"/>
                <w:lang w:eastAsia="cs-CZ"/>
              </w:rPr>
              <w:t xml:space="preserve">               </w:t>
            </w:r>
            <w:r w:rsidR="007834A9" w:rsidRPr="00B4124B">
              <w:rPr>
                <w:rFonts w:ascii="Arial" w:eastAsia="Times New Roman" w:hAnsi="Arial" w:cs="Arial"/>
                <w:color w:val="000000"/>
                <w:lang w:eastAsia="cs-CZ"/>
              </w:rPr>
              <w:t>výzvy ITI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834A9" w:rsidRPr="00B4124B" w:rsidRDefault="007834A9" w:rsidP="00EE6C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color w:val="000000"/>
                <w:lang w:eastAsia="cs-CZ"/>
              </w:rPr>
              <w:t>19,53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834A9" w:rsidRPr="00B4124B" w:rsidRDefault="007834A9" w:rsidP="00EE6C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color w:val="000000"/>
                <w:lang w:eastAsia="cs-CZ"/>
              </w:rPr>
              <w:t>26</w:t>
            </w:r>
          </w:p>
        </w:tc>
      </w:tr>
      <w:tr w:rsidR="007834A9" w:rsidRPr="00B4124B" w:rsidTr="00271758">
        <w:trPr>
          <w:trHeight w:val="330"/>
          <w:jc w:val="center"/>
        </w:trPr>
        <w:tc>
          <w:tcPr>
            <w:tcW w:w="2347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834A9" w:rsidRPr="00B4124B" w:rsidRDefault="007834A9" w:rsidP="00EE6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834A9" w:rsidRPr="00B4124B" w:rsidRDefault="007834A9" w:rsidP="00EE6C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color w:val="000000"/>
                <w:lang w:eastAsia="cs-CZ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834A9" w:rsidRPr="00B4124B" w:rsidRDefault="007834A9" w:rsidP="00EE6C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color w:val="000000"/>
                <w:lang w:eastAsia="cs-CZ"/>
              </w:rPr>
              <w:t>10</w:t>
            </w:r>
          </w:p>
        </w:tc>
      </w:tr>
      <w:tr w:rsidR="00EE6CFD" w:rsidRPr="00B4124B" w:rsidTr="00271758">
        <w:trPr>
          <w:trHeight w:val="600"/>
          <w:jc w:val="center"/>
        </w:trPr>
        <w:tc>
          <w:tcPr>
            <w:tcW w:w="2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EE6CFD" w:rsidRPr="00B4124B" w:rsidRDefault="00A17D9D" w:rsidP="00EE6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  <w:r w:rsidR="00EE6CFD" w:rsidRPr="00B4124B">
              <w:rPr>
                <w:rFonts w:ascii="Arial" w:eastAsia="Times New Roman" w:hAnsi="Arial" w:cs="Arial"/>
                <w:color w:val="000000"/>
                <w:lang w:eastAsia="cs-CZ"/>
              </w:rPr>
              <w:t>árodní programy podpory</w:t>
            </w:r>
          </w:p>
        </w:tc>
        <w:tc>
          <w:tcPr>
            <w:tcW w:w="190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6CFD" w:rsidRPr="00B4124B" w:rsidRDefault="00EE6CFD" w:rsidP="00EE6C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color w:val="000000"/>
                <w:lang w:eastAsia="cs-CZ"/>
              </w:rPr>
              <w:t>3,92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EE6CFD" w:rsidRPr="00B4124B" w:rsidRDefault="00EE6CFD" w:rsidP="00EE6C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B4124B">
              <w:rPr>
                <w:rFonts w:ascii="Arial" w:eastAsia="Times New Roman" w:hAnsi="Arial" w:cs="Arial"/>
                <w:color w:val="000000"/>
                <w:lang w:eastAsia="cs-CZ"/>
              </w:rPr>
              <w:t>7</w:t>
            </w:r>
          </w:p>
        </w:tc>
      </w:tr>
    </w:tbl>
    <w:p w:rsidR="00FD24B0" w:rsidRPr="00B4124B" w:rsidRDefault="00FD24B0" w:rsidP="00FD24B0">
      <w:pPr>
        <w:spacing w:line="360" w:lineRule="auto"/>
        <w:jc w:val="both"/>
        <w:rPr>
          <w:rFonts w:ascii="Arial" w:hAnsi="Arial" w:cs="Arial"/>
          <w:b/>
        </w:rPr>
      </w:pPr>
    </w:p>
    <w:p w:rsidR="00EE6CFD" w:rsidRPr="00B4124B" w:rsidRDefault="00FD24B0" w:rsidP="00FD24B0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b/>
        </w:rPr>
      </w:pPr>
      <w:r w:rsidRPr="00B4124B">
        <w:rPr>
          <w:rFonts w:ascii="Arial" w:eastAsia="Arial" w:hAnsi="Arial" w:cs="Arial"/>
        </w:rPr>
        <w:t>Ve vztahu ke krajské úrovni RIS3 strategie lze očekávat prohloubení koordinační role v oblasti unifikace monitoringu a evaluačních aktivit, a to nejen v souvislosti s novou výzvou Smart Akcelerátor II.</w:t>
      </w:r>
    </w:p>
    <w:p w:rsidR="00FD24B0" w:rsidRPr="00B4124B" w:rsidRDefault="00FD24B0" w:rsidP="00FD24B0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Pro rok 2018 jsou v plánu </w:t>
      </w:r>
      <w:r w:rsidR="00C6768C" w:rsidRPr="00B4124B">
        <w:rPr>
          <w:rFonts w:ascii="Arial" w:hAnsi="Arial" w:cs="Arial"/>
        </w:rPr>
        <w:t xml:space="preserve">další </w:t>
      </w:r>
      <w:r w:rsidRPr="00B4124B">
        <w:rPr>
          <w:rFonts w:ascii="Arial" w:hAnsi="Arial" w:cs="Arial"/>
        </w:rPr>
        <w:t>kvalitativně nové výstupy</w:t>
      </w:r>
      <w:r w:rsidR="00C6768C" w:rsidRPr="00B4124B">
        <w:rPr>
          <w:rFonts w:ascii="Arial" w:hAnsi="Arial" w:cs="Arial"/>
        </w:rPr>
        <w:t xml:space="preserve"> monitoringu</w:t>
      </w:r>
      <w:r w:rsidRPr="00B4124B">
        <w:rPr>
          <w:rFonts w:ascii="Arial" w:hAnsi="Arial" w:cs="Arial"/>
        </w:rPr>
        <w:t>.</w:t>
      </w:r>
    </w:p>
    <w:p w:rsidR="00FD24B0" w:rsidRPr="00B4124B" w:rsidRDefault="00C6768C" w:rsidP="00FD24B0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b/>
        </w:rPr>
      </w:pPr>
      <w:r w:rsidRPr="00B4124B">
        <w:rPr>
          <w:rFonts w:ascii="Arial" w:eastAsia="Arial" w:hAnsi="Arial" w:cs="Arial"/>
        </w:rPr>
        <w:t>K sumativnímu mid-term zhodnocení Národní RIS</w:t>
      </w:r>
      <w:r w:rsidR="00227556" w:rsidRPr="00B4124B">
        <w:rPr>
          <w:rFonts w:ascii="Arial" w:eastAsia="Arial" w:hAnsi="Arial" w:cs="Arial"/>
        </w:rPr>
        <w:t>3</w:t>
      </w:r>
      <w:r w:rsidRPr="00B4124B">
        <w:rPr>
          <w:rFonts w:ascii="Arial" w:eastAsia="Arial" w:hAnsi="Arial" w:cs="Arial"/>
        </w:rPr>
        <w:t xml:space="preserve"> strategie za období 2015 - 2018 povede soubor dílčích evaluačních aktivit (zčásti průběžných a zčásti jednorázových) souborně zpracovaných v </w:t>
      </w:r>
      <w:r w:rsidRPr="00B4124B">
        <w:rPr>
          <w:rFonts w:ascii="Arial" w:eastAsia="Arial" w:hAnsi="Arial" w:cs="Arial"/>
          <w:i/>
        </w:rPr>
        <w:t>Hodnotící zprávě Národní RIS3 strategie 2019</w:t>
      </w:r>
      <w:r w:rsidRPr="00B4124B">
        <w:rPr>
          <w:rFonts w:ascii="Arial" w:eastAsia="Arial" w:hAnsi="Arial" w:cs="Arial"/>
        </w:rPr>
        <w:t>, která bude předložena vládě ČR k 30. červnu 2019.</w:t>
      </w:r>
    </w:p>
    <w:p w:rsidR="00A16C2A" w:rsidRPr="00B4124B" w:rsidRDefault="00C6768C" w:rsidP="00C6768C">
      <w:pPr>
        <w:pStyle w:val="Odstavecseseznamem"/>
        <w:numPr>
          <w:ilvl w:val="0"/>
          <w:numId w:val="29"/>
        </w:numPr>
        <w:spacing w:after="120" w:line="360" w:lineRule="auto"/>
        <w:contextualSpacing w:val="0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>V průběhu roku budou 2018 a 2019 budou zahájeny aktivity, zaměřené na přípravu strategie inteligentní specializace VVaI pro období let 2021 – 2027 (mimo jiné prohloubením spolupráce s relevantními účastníky procesu přípravy).</w:t>
      </w:r>
    </w:p>
    <w:p w:rsidR="00C6768C" w:rsidRPr="00B4124B" w:rsidRDefault="00A16C2A" w:rsidP="00A16C2A">
      <w:pPr>
        <w:rPr>
          <w:rStyle w:val="Zdraznn"/>
          <w:rFonts w:ascii="Arial" w:hAnsi="Arial" w:cs="Arial"/>
          <w:i w:val="0"/>
          <w:color w:val="000000" w:themeColor="text1"/>
        </w:rPr>
      </w:pPr>
      <w:r w:rsidRPr="00B4124B">
        <w:rPr>
          <w:rStyle w:val="Zdraznn"/>
          <w:rFonts w:ascii="Arial" w:hAnsi="Arial" w:cs="Arial"/>
          <w:i w:val="0"/>
        </w:rPr>
        <w:br w:type="page"/>
      </w:r>
    </w:p>
    <w:p w:rsidR="009C7E64" w:rsidRPr="00B4124B" w:rsidRDefault="003310B4" w:rsidP="009C7E64">
      <w:pPr>
        <w:pStyle w:val="Nadpis1"/>
        <w:rPr>
          <w:rFonts w:cs="Arial"/>
          <w:sz w:val="22"/>
          <w:szCs w:val="22"/>
        </w:rPr>
      </w:pPr>
      <w:bookmarkStart w:id="3" w:name="_Ref513015255"/>
      <w:bookmarkStart w:id="4" w:name="_Toc513451933"/>
      <w:r w:rsidRPr="00B4124B">
        <w:rPr>
          <w:rFonts w:cs="Arial"/>
          <w:sz w:val="22"/>
          <w:szCs w:val="22"/>
        </w:rPr>
        <w:lastRenderedPageBreak/>
        <w:t>Změny v</w:t>
      </w:r>
      <w:r w:rsidR="00975C33" w:rsidRPr="00B4124B">
        <w:rPr>
          <w:rFonts w:cs="Arial"/>
          <w:sz w:val="22"/>
          <w:szCs w:val="22"/>
        </w:rPr>
        <w:t> gesci a obměny ř</w:t>
      </w:r>
      <w:r w:rsidRPr="00B4124B">
        <w:rPr>
          <w:rFonts w:cs="Arial"/>
          <w:sz w:val="22"/>
          <w:szCs w:val="22"/>
        </w:rPr>
        <w:t>ídi</w:t>
      </w:r>
      <w:r w:rsidR="009C7E64" w:rsidRPr="00B4124B">
        <w:rPr>
          <w:rFonts w:cs="Arial"/>
          <w:sz w:val="22"/>
          <w:szCs w:val="22"/>
        </w:rPr>
        <w:t>cí struktu</w:t>
      </w:r>
      <w:r w:rsidR="00975C33" w:rsidRPr="00B4124B">
        <w:rPr>
          <w:rFonts w:cs="Arial"/>
          <w:sz w:val="22"/>
          <w:szCs w:val="22"/>
        </w:rPr>
        <w:t>ry</w:t>
      </w:r>
      <w:bookmarkEnd w:id="3"/>
      <w:bookmarkEnd w:id="4"/>
    </w:p>
    <w:p w:rsidR="00F64930" w:rsidRPr="00B4124B" w:rsidRDefault="000B46F2" w:rsidP="000B46F2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Usnesením vlády České republiky ze dne 14. března 2018 č. 168 bylo s účinností k 1. dubnu 2018 schváleno převedení agendy </w:t>
      </w:r>
      <w:r w:rsidR="00A94BF3" w:rsidRPr="00B4124B">
        <w:rPr>
          <w:rFonts w:ascii="Arial" w:hAnsi="Arial" w:cs="Arial"/>
        </w:rPr>
        <w:t>Národní výzkumné a inovační strategie pro inteligentní specializaci (</w:t>
      </w:r>
      <w:r w:rsidRPr="00B4124B">
        <w:rPr>
          <w:rFonts w:ascii="Arial" w:hAnsi="Arial" w:cs="Arial"/>
        </w:rPr>
        <w:t>Národní RIS3 strategie</w:t>
      </w:r>
      <w:r w:rsidR="00A94BF3" w:rsidRPr="00B4124B">
        <w:rPr>
          <w:rFonts w:ascii="Arial" w:hAnsi="Arial" w:cs="Arial"/>
        </w:rPr>
        <w:t>)</w:t>
      </w:r>
      <w:r w:rsidRPr="00B4124B">
        <w:rPr>
          <w:rFonts w:ascii="Arial" w:hAnsi="Arial" w:cs="Arial"/>
        </w:rPr>
        <w:t xml:space="preserve"> z</w:t>
      </w:r>
      <w:r w:rsidR="00C471A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Ú</w:t>
      </w:r>
      <w:r w:rsidR="00C471AD" w:rsidRPr="00B4124B">
        <w:rPr>
          <w:rFonts w:ascii="Arial" w:hAnsi="Arial" w:cs="Arial"/>
        </w:rPr>
        <w:t>řadu vlády</w:t>
      </w:r>
      <w:r w:rsidR="00C77E63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Č</w:t>
      </w:r>
      <w:r w:rsidR="00C471AD" w:rsidRPr="00B4124B">
        <w:rPr>
          <w:rFonts w:ascii="Arial" w:hAnsi="Arial" w:cs="Arial"/>
        </w:rPr>
        <w:t>eské republiky (ÚV ČR)</w:t>
      </w:r>
      <w:r w:rsidRPr="00B4124B">
        <w:rPr>
          <w:rFonts w:ascii="Arial" w:hAnsi="Arial" w:cs="Arial"/>
        </w:rPr>
        <w:t xml:space="preserve"> na </w:t>
      </w:r>
      <w:r w:rsidR="00C471AD" w:rsidRPr="00B4124B">
        <w:rPr>
          <w:rFonts w:ascii="Arial" w:hAnsi="Arial" w:cs="Arial"/>
        </w:rPr>
        <w:t>Ministerstvo průmyslu a obchodu (MPO)</w:t>
      </w:r>
      <w:r w:rsidRPr="00B4124B">
        <w:rPr>
          <w:rFonts w:ascii="Arial" w:hAnsi="Arial" w:cs="Arial"/>
        </w:rPr>
        <w:t>. Povinnosti uložené bývalému místopředsedovi vlády pro vědu, výzkum a inovace tímto usnesením př</w:t>
      </w:r>
      <w:r w:rsidR="00F64930" w:rsidRPr="00B4124B">
        <w:rPr>
          <w:rFonts w:ascii="Arial" w:hAnsi="Arial" w:cs="Arial"/>
        </w:rPr>
        <w:t xml:space="preserve">ešly </w:t>
      </w:r>
      <w:r w:rsidRPr="00B4124B">
        <w:rPr>
          <w:rFonts w:ascii="Arial" w:hAnsi="Arial" w:cs="Arial"/>
        </w:rPr>
        <w:t>na ministra průmyslu a</w:t>
      </w:r>
      <w:r w:rsidR="009B6674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obchodu.</w:t>
      </w:r>
      <w:r w:rsidR="00F64930" w:rsidRPr="00B4124B">
        <w:rPr>
          <w:rFonts w:ascii="Arial" w:hAnsi="Arial" w:cs="Arial"/>
        </w:rPr>
        <w:t xml:space="preserve"> Usnesení bylo zdůvodněno „snahou převést agendy, které dosud zajišťuje ÚV</w:t>
      </w:r>
      <w:r w:rsidR="00A12C7F" w:rsidRPr="00B4124B">
        <w:rPr>
          <w:rFonts w:ascii="Arial" w:hAnsi="Arial" w:cs="Arial"/>
        </w:rPr>
        <w:t> </w:t>
      </w:r>
      <w:r w:rsidR="00F64930" w:rsidRPr="00B4124B">
        <w:rPr>
          <w:rFonts w:ascii="Arial" w:hAnsi="Arial" w:cs="Arial"/>
        </w:rPr>
        <w:t>ČR, pod věcně příslušná ministerstva s cílem zlepšit řízení specializovaných agend - MPO bylo v tomto případě zvoleno pro svoji příslušnost k aplikovanému výzkumu, vývoji a inovacím“.</w:t>
      </w:r>
    </w:p>
    <w:p w:rsidR="0074383A" w:rsidRPr="00B4124B" w:rsidRDefault="00F64930" w:rsidP="00321F90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MPO je dle zákona č. 2/1969 Sb., o zřízení ministerstev a jiných ústředních orgánů státní správy ČR, v platném znění, ústřední orgán státní správy pro průmyslový</w:t>
      </w:r>
      <w:r w:rsidR="005E7789" w:rsidRPr="00B4124B">
        <w:rPr>
          <w:rFonts w:ascii="Arial" w:hAnsi="Arial" w:cs="Arial"/>
        </w:rPr>
        <w:t xml:space="preserve"> </w:t>
      </w:r>
      <w:r w:rsidRPr="00B4124B">
        <w:rPr>
          <w:rFonts w:ascii="Arial" w:hAnsi="Arial" w:cs="Arial"/>
        </w:rPr>
        <w:t xml:space="preserve">výzkum, rozvoj techniky a technologií. </w:t>
      </w:r>
      <w:r w:rsidR="000B46F2" w:rsidRPr="00B4124B">
        <w:rPr>
          <w:rFonts w:ascii="Arial" w:hAnsi="Arial" w:cs="Arial"/>
        </w:rPr>
        <w:t xml:space="preserve">Agenda Národní RIS3 strategie, tj. plynulý </w:t>
      </w:r>
      <w:r w:rsidRPr="00B4124B">
        <w:rPr>
          <w:rFonts w:ascii="Arial" w:hAnsi="Arial" w:cs="Arial"/>
        </w:rPr>
        <w:t>přechod a provoz oddělení strategie S3 a</w:t>
      </w:r>
      <w:r w:rsidR="00C77E63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systematický management</w:t>
      </w:r>
      <w:r w:rsidR="000B46F2" w:rsidRPr="00B4124B">
        <w:rPr>
          <w:rFonts w:ascii="Arial" w:hAnsi="Arial" w:cs="Arial"/>
        </w:rPr>
        <w:t xml:space="preserve"> Řídicího výboru RIS3 strategie, se na MPO</w:t>
      </w:r>
      <w:r w:rsidRPr="00B4124B">
        <w:rPr>
          <w:rFonts w:ascii="Arial" w:hAnsi="Arial" w:cs="Arial"/>
        </w:rPr>
        <w:t xml:space="preserve"> stala součástí nově zřízené S</w:t>
      </w:r>
      <w:r w:rsidR="000B46F2" w:rsidRPr="00B4124B">
        <w:rPr>
          <w:rFonts w:ascii="Arial" w:hAnsi="Arial" w:cs="Arial"/>
        </w:rPr>
        <w:t>ekce technologií 4.0</w:t>
      </w:r>
      <w:r w:rsidR="00811715" w:rsidRPr="00B4124B">
        <w:rPr>
          <w:rFonts w:ascii="Arial" w:hAnsi="Arial" w:cs="Arial"/>
        </w:rPr>
        <w:t xml:space="preserve"> (viz </w:t>
      </w:r>
      <w:r w:rsidR="005564A0" w:rsidRPr="00B4124B">
        <w:rPr>
          <w:rFonts w:ascii="Arial" w:hAnsi="Arial" w:cs="Arial"/>
          <w:highlight w:val="yellow"/>
        </w:rPr>
        <w:fldChar w:fldCharType="begin"/>
      </w:r>
      <w:r w:rsidR="005564A0" w:rsidRPr="00B4124B">
        <w:rPr>
          <w:rFonts w:ascii="Arial" w:hAnsi="Arial" w:cs="Arial"/>
        </w:rPr>
        <w:instrText xml:space="preserve"> REF _Ref513009818 \h </w:instrText>
      </w:r>
      <w:r w:rsidR="00C77E63" w:rsidRPr="00B4124B">
        <w:rPr>
          <w:rFonts w:ascii="Arial" w:hAnsi="Arial" w:cs="Arial"/>
          <w:highlight w:val="yellow"/>
        </w:rPr>
        <w:instrText xml:space="preserve"> \* MERGEFORMAT </w:instrText>
      </w:r>
      <w:r w:rsidR="005564A0" w:rsidRPr="00B4124B">
        <w:rPr>
          <w:rFonts w:ascii="Arial" w:hAnsi="Arial" w:cs="Arial"/>
          <w:highlight w:val="yellow"/>
        </w:rPr>
      </w:r>
      <w:r w:rsidR="005564A0" w:rsidRPr="00B4124B">
        <w:rPr>
          <w:rFonts w:ascii="Arial" w:hAnsi="Arial" w:cs="Arial"/>
          <w:highlight w:val="yellow"/>
        </w:rPr>
        <w:fldChar w:fldCharType="separate"/>
      </w:r>
      <w:r w:rsidR="00295F79" w:rsidRPr="00B4124B">
        <w:rPr>
          <w:rFonts w:ascii="Arial" w:hAnsi="Arial" w:cs="Arial"/>
        </w:rPr>
        <w:t xml:space="preserve">Obrázek </w:t>
      </w:r>
      <w:r w:rsidR="00295F79" w:rsidRPr="00B4124B">
        <w:rPr>
          <w:rFonts w:ascii="Arial" w:hAnsi="Arial" w:cs="Arial"/>
          <w:noProof/>
        </w:rPr>
        <w:t>1</w:t>
      </w:r>
      <w:r w:rsidR="005564A0" w:rsidRPr="00B4124B">
        <w:rPr>
          <w:rFonts w:ascii="Arial" w:hAnsi="Arial" w:cs="Arial"/>
          <w:highlight w:val="yellow"/>
        </w:rPr>
        <w:fldChar w:fldCharType="end"/>
      </w:r>
      <w:r w:rsidR="00811715" w:rsidRPr="00B4124B">
        <w:rPr>
          <w:rFonts w:ascii="Arial" w:hAnsi="Arial" w:cs="Arial"/>
        </w:rPr>
        <w:t>)</w:t>
      </w:r>
      <w:r w:rsidR="000B46F2" w:rsidRPr="00B4124B">
        <w:rPr>
          <w:rFonts w:ascii="Arial" w:hAnsi="Arial" w:cs="Arial"/>
        </w:rPr>
        <w:t>, v jejímž rámci tvoří prioritní složku pro tvorbu systému podpory aplikovaného výzkumu.</w:t>
      </w:r>
    </w:p>
    <w:p w:rsidR="00321F90" w:rsidRPr="00B4124B" w:rsidRDefault="00321F90" w:rsidP="00321F90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V průběhu května 2018 bude v souvislosti se změnou gestora upraven statut Řídicího výboru Národní RIS3 strategie, jehož 7. zasedání (a první po změně gestora) se uskuteční dne 17. května 2018. Současně b</w:t>
      </w:r>
      <w:r w:rsidR="00D12F67" w:rsidRPr="00B4124B">
        <w:rPr>
          <w:rFonts w:ascii="Arial" w:hAnsi="Arial" w:cs="Arial"/>
        </w:rPr>
        <w:t>ude definován koncepční rámec fungování Národní RIS3 strategie vůči hlavním článkům oblasti výzkumu, experimentálního vývoje a inovací v</w:t>
      </w:r>
      <w:r w:rsidR="00D12F67">
        <w:rPr>
          <w:rFonts w:ascii="Arial" w:hAnsi="Arial" w:cs="Arial"/>
        </w:rPr>
        <w:t> </w:t>
      </w:r>
      <w:r w:rsidR="00D12F67" w:rsidRPr="00B4124B">
        <w:rPr>
          <w:rFonts w:ascii="Arial" w:hAnsi="Arial" w:cs="Arial"/>
        </w:rPr>
        <w:t>ČR</w:t>
      </w:r>
      <w:r w:rsidR="00D12F67">
        <w:rPr>
          <w:rFonts w:ascii="Arial" w:hAnsi="Arial" w:cs="Arial"/>
        </w:rPr>
        <w:t>, tj.</w:t>
      </w:r>
      <w:r w:rsidRPr="00B4124B">
        <w:rPr>
          <w:rFonts w:ascii="Arial" w:hAnsi="Arial" w:cs="Arial"/>
        </w:rPr>
        <w:t xml:space="preserve"> ve vztahu k Radě pro výzkum, vývoj a</w:t>
      </w:r>
      <w:r w:rsidR="005564A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inovace</w:t>
      </w:r>
      <w:r w:rsidR="001514C7" w:rsidRPr="00B4124B">
        <w:rPr>
          <w:rFonts w:ascii="Arial" w:hAnsi="Arial" w:cs="Arial"/>
        </w:rPr>
        <w:t xml:space="preserve"> (RVVI)</w:t>
      </w:r>
      <w:r w:rsidRPr="00B4124B">
        <w:rPr>
          <w:rFonts w:ascii="Arial" w:hAnsi="Arial" w:cs="Arial"/>
        </w:rPr>
        <w:t xml:space="preserve"> a</w:t>
      </w:r>
      <w:r w:rsidR="00D7484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Národní politice výzkumu, vývoje a inovací</w:t>
      </w:r>
      <w:r w:rsidR="001514C7" w:rsidRPr="00B4124B">
        <w:rPr>
          <w:rFonts w:ascii="Arial" w:hAnsi="Arial" w:cs="Arial"/>
        </w:rPr>
        <w:t xml:space="preserve"> (NP VaVaI)</w:t>
      </w:r>
      <w:r w:rsidRPr="00B4124B">
        <w:rPr>
          <w:rFonts w:ascii="Arial" w:hAnsi="Arial" w:cs="Arial"/>
        </w:rPr>
        <w:t xml:space="preserve">. </w:t>
      </w:r>
      <w:r w:rsidR="00D12F67">
        <w:rPr>
          <w:rFonts w:ascii="Arial" w:hAnsi="Arial" w:cs="Arial"/>
        </w:rPr>
        <w:t xml:space="preserve">Průběžně </w:t>
      </w:r>
      <w:r w:rsidRPr="00B4124B">
        <w:rPr>
          <w:rFonts w:ascii="Arial" w:hAnsi="Arial" w:cs="Arial"/>
        </w:rPr>
        <w:t xml:space="preserve">bude </w:t>
      </w:r>
      <w:r w:rsidR="0019334C" w:rsidRPr="00B4124B">
        <w:rPr>
          <w:rFonts w:ascii="Arial" w:hAnsi="Arial" w:cs="Arial"/>
        </w:rPr>
        <w:t>o</w:t>
      </w:r>
      <w:r w:rsidR="00D7484B" w:rsidRPr="00B4124B">
        <w:rPr>
          <w:rFonts w:ascii="Arial" w:hAnsi="Arial" w:cs="Arial"/>
        </w:rPr>
        <w:t> </w:t>
      </w:r>
      <w:r w:rsidR="00D12F67">
        <w:rPr>
          <w:rFonts w:ascii="Arial" w:hAnsi="Arial" w:cs="Arial"/>
        </w:rPr>
        <w:t xml:space="preserve">všech </w:t>
      </w:r>
      <w:bookmarkStart w:id="5" w:name="_GoBack"/>
      <w:bookmarkEnd w:id="5"/>
      <w:r w:rsidR="00D12F67">
        <w:rPr>
          <w:rFonts w:ascii="Arial" w:hAnsi="Arial" w:cs="Arial"/>
        </w:rPr>
        <w:t>změnách</w:t>
      </w:r>
      <w:r w:rsidRPr="00B4124B">
        <w:rPr>
          <w:rFonts w:ascii="Arial" w:hAnsi="Arial" w:cs="Arial"/>
        </w:rPr>
        <w:t xml:space="preserve"> informována Evropská komise.</w:t>
      </w:r>
    </w:p>
    <w:p w:rsidR="0019334C" w:rsidRPr="00B4124B" w:rsidRDefault="0019334C" w:rsidP="00321F90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>Vazby</w:t>
      </w:r>
      <w:r w:rsidRPr="00B4124B">
        <w:rPr>
          <w:rFonts w:ascii="Arial" w:hAnsi="Arial" w:cs="Arial"/>
        </w:rPr>
        <w:t xml:space="preserve"> ke gestorům a poskytovatelům operačních programů a národních programů podpory navázaných na RIS3 strategii (pravidelná jedná Monitorovací a analytické pracovní skupiny), koordinační funkce Národní RIS3 strategie vůči krajské úrovni</w:t>
      </w:r>
      <w:r w:rsidR="00652D92" w:rsidRPr="00B4124B">
        <w:rPr>
          <w:rFonts w:ascii="Arial" w:hAnsi="Arial" w:cs="Arial"/>
        </w:rPr>
        <w:t xml:space="preserve"> (ad hoc jednání se zástupci krajů, pravidelné výkazy činnosti ad.)</w:t>
      </w:r>
      <w:r w:rsidRPr="00B4124B">
        <w:rPr>
          <w:rFonts w:ascii="Arial" w:hAnsi="Arial" w:cs="Arial"/>
        </w:rPr>
        <w:t>, spolupráce s poradními orgány Národních inovačních platforem</w:t>
      </w:r>
      <w:r w:rsidR="001514C7" w:rsidRPr="00B4124B">
        <w:rPr>
          <w:rFonts w:ascii="Arial" w:hAnsi="Arial" w:cs="Arial"/>
        </w:rPr>
        <w:t xml:space="preserve"> (NIP)</w:t>
      </w:r>
      <w:r w:rsidRPr="00B4124B">
        <w:rPr>
          <w:rFonts w:ascii="Arial" w:hAnsi="Arial" w:cs="Arial"/>
        </w:rPr>
        <w:t>,</w:t>
      </w:r>
      <w:r w:rsidR="001514C7" w:rsidRPr="00B4124B">
        <w:rPr>
          <w:rFonts w:ascii="Arial" w:hAnsi="Arial" w:cs="Arial"/>
        </w:rPr>
        <w:t xml:space="preserve"> Ministerstvem pro místní rozvoj</w:t>
      </w:r>
      <w:r w:rsidRPr="00B4124B">
        <w:rPr>
          <w:rFonts w:ascii="Arial" w:hAnsi="Arial" w:cs="Arial"/>
        </w:rPr>
        <w:t xml:space="preserve"> </w:t>
      </w:r>
      <w:r w:rsidR="001514C7" w:rsidRPr="00B4124B">
        <w:rPr>
          <w:rFonts w:ascii="Arial" w:hAnsi="Arial" w:cs="Arial"/>
        </w:rPr>
        <w:t>(</w:t>
      </w:r>
      <w:r w:rsidRPr="00B4124B">
        <w:rPr>
          <w:rFonts w:ascii="Arial" w:hAnsi="Arial" w:cs="Arial"/>
        </w:rPr>
        <w:t>MMR</w:t>
      </w:r>
      <w:r w:rsidR="001514C7" w:rsidRPr="00B4124B">
        <w:rPr>
          <w:rFonts w:ascii="Arial" w:hAnsi="Arial" w:cs="Arial"/>
        </w:rPr>
        <w:t>)</w:t>
      </w:r>
      <w:r w:rsidRPr="00B4124B">
        <w:rPr>
          <w:rFonts w:ascii="Arial" w:hAnsi="Arial" w:cs="Arial"/>
        </w:rPr>
        <w:t xml:space="preserve"> a</w:t>
      </w:r>
      <w:r w:rsidR="00D7484B" w:rsidRPr="00B4124B">
        <w:rPr>
          <w:rFonts w:ascii="Arial" w:hAnsi="Arial" w:cs="Arial"/>
        </w:rPr>
        <w:t> </w:t>
      </w:r>
      <w:r w:rsidR="001514C7" w:rsidRPr="00B4124B">
        <w:rPr>
          <w:rFonts w:ascii="Arial" w:hAnsi="Arial" w:cs="Arial"/>
        </w:rPr>
        <w:t>Národním orgánem pro koordinaci (</w:t>
      </w:r>
      <w:r w:rsidRPr="00B4124B">
        <w:rPr>
          <w:rFonts w:ascii="Arial" w:hAnsi="Arial" w:cs="Arial"/>
        </w:rPr>
        <w:t>NOK</w:t>
      </w:r>
      <w:r w:rsidR="001514C7" w:rsidRPr="00B4124B">
        <w:rPr>
          <w:rFonts w:ascii="Arial" w:hAnsi="Arial" w:cs="Arial"/>
        </w:rPr>
        <w:t>)</w:t>
      </w:r>
      <w:r w:rsidRPr="00B4124B">
        <w:rPr>
          <w:rFonts w:ascii="Arial" w:hAnsi="Arial" w:cs="Arial"/>
        </w:rPr>
        <w:t xml:space="preserve"> </w:t>
      </w:r>
      <w:r w:rsidR="00652D92" w:rsidRPr="00B4124B">
        <w:rPr>
          <w:rFonts w:ascii="Arial" w:hAnsi="Arial" w:cs="Arial"/>
          <w:b/>
        </w:rPr>
        <w:t>zůstávají</w:t>
      </w:r>
      <w:r w:rsidRPr="00B4124B">
        <w:rPr>
          <w:rFonts w:ascii="Arial" w:hAnsi="Arial" w:cs="Arial"/>
          <w:b/>
        </w:rPr>
        <w:t xml:space="preserve"> </w:t>
      </w:r>
      <w:r w:rsidRPr="00B4124B">
        <w:rPr>
          <w:rFonts w:ascii="Arial" w:hAnsi="Arial" w:cs="Arial"/>
        </w:rPr>
        <w:t>stejně tak jako plán aktuálních úkolů (proces aktualizace, monitoring, mid-term evaluace, příprava na nové programovací období ESI fondů)</w:t>
      </w:r>
      <w:r w:rsidRPr="00B4124B">
        <w:rPr>
          <w:rFonts w:ascii="Arial" w:hAnsi="Arial" w:cs="Arial"/>
          <w:b/>
        </w:rPr>
        <w:t xml:space="preserve"> změnou gestora nedotčeny</w:t>
      </w:r>
      <w:r w:rsidRPr="00B4124B">
        <w:rPr>
          <w:rFonts w:ascii="Arial" w:hAnsi="Arial" w:cs="Arial"/>
        </w:rPr>
        <w:t>.</w:t>
      </w:r>
    </w:p>
    <w:p w:rsidR="00F64930" w:rsidRPr="00B4124B" w:rsidRDefault="00F64930" w:rsidP="00D7484B">
      <w:pPr>
        <w:pStyle w:val="Titulek"/>
        <w:keepNext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6" w:name="_Ref513009818"/>
      <w:bookmarkStart w:id="7" w:name="_Toc513016281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lastRenderedPageBreak/>
        <w:t xml:space="preserve">Obrázek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Obrázek \* ARABIC </w:instrTex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bookmarkEnd w:id="6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–</w:t>
      </w:r>
      <w:r w:rsidR="00811715"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Aktualizovaný s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>ystém řízení a implementace</w:t>
      </w:r>
      <w:r w:rsidR="00811715"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Národní RIS3 strategie</w:t>
      </w:r>
      <w:bookmarkEnd w:id="7"/>
    </w:p>
    <w:p w:rsidR="00475615" w:rsidRPr="00B4124B" w:rsidRDefault="0074383A" w:rsidP="00156A36">
      <w:pPr>
        <w:jc w:val="center"/>
        <w:rPr>
          <w:rFonts w:ascii="Arial" w:hAnsi="Arial" w:cs="Arial"/>
        </w:rPr>
      </w:pPr>
      <w:r w:rsidRPr="00B4124B">
        <w:rPr>
          <w:rFonts w:ascii="Arial" w:hAnsi="Arial" w:cs="Arial"/>
          <w:noProof/>
          <w:lang w:eastAsia="cs-CZ"/>
        </w:rPr>
        <w:drawing>
          <wp:inline distT="0" distB="0" distL="0" distR="0">
            <wp:extent cx="6120130" cy="4697911"/>
            <wp:effectExtent l="0" t="0" r="0" b="7620"/>
            <wp:docPr id="72" name="Obrázek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97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410" w:rsidRPr="00B4124B" w:rsidRDefault="00C75410" w:rsidP="003833B6">
      <w:pPr>
        <w:pStyle w:val="Nadpis1"/>
        <w:numPr>
          <w:ilvl w:val="0"/>
          <w:numId w:val="0"/>
        </w:numPr>
        <w:ind w:left="720"/>
        <w:rPr>
          <w:rFonts w:cs="Arial"/>
          <w:sz w:val="22"/>
          <w:szCs w:val="22"/>
        </w:rPr>
      </w:pPr>
      <w:r w:rsidRPr="00B4124B">
        <w:rPr>
          <w:rFonts w:cs="Arial"/>
          <w:sz w:val="22"/>
          <w:szCs w:val="22"/>
        </w:rPr>
        <w:br w:type="page"/>
      </w:r>
    </w:p>
    <w:p w:rsidR="009C7E64" w:rsidRPr="00B4124B" w:rsidRDefault="009C7E64" w:rsidP="009C7E64">
      <w:pPr>
        <w:pStyle w:val="Nadpis1"/>
        <w:rPr>
          <w:rFonts w:cs="Arial"/>
          <w:sz w:val="22"/>
          <w:szCs w:val="22"/>
        </w:rPr>
      </w:pPr>
      <w:bookmarkStart w:id="8" w:name="_Toc513451934"/>
      <w:r w:rsidRPr="00B4124B">
        <w:rPr>
          <w:rFonts w:cs="Arial"/>
          <w:sz w:val="22"/>
          <w:szCs w:val="22"/>
        </w:rPr>
        <w:lastRenderedPageBreak/>
        <w:t>Proces aktualizace RIS3 strategie</w:t>
      </w:r>
      <w:bookmarkEnd w:id="8"/>
    </w:p>
    <w:p w:rsidR="00494AD8" w:rsidRPr="00B4124B" w:rsidRDefault="00494AD8" w:rsidP="00494AD8">
      <w:pPr>
        <w:spacing w:line="360" w:lineRule="auto"/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V procesu implementace RIS3 strategie hraje zásadní roli především proces podnikatelského objevování nových příležitostí, tzv. entrepreneurial discovery proces (EDP). Zjednodušeně lze říci, že jde o profilování oblastí specializace, vydefinovaných za rovnocenné spoluúčasti zástupců veřejné správy, podnikatelské a akademické sféry. Tento proces musí probíhat po celou dobu realizace strategie, aby přinášel zpětnou vazbu, nové náměty a doporučení. Profilování oblastí specializace se věnují jednání </w:t>
      </w:r>
      <w:r w:rsidR="001978E1" w:rsidRPr="00B4124B">
        <w:rPr>
          <w:rFonts w:ascii="Arial" w:hAnsi="Arial" w:cs="Arial"/>
        </w:rPr>
        <w:t>NIP</w:t>
      </w:r>
      <w:r w:rsidRPr="00B4124B">
        <w:rPr>
          <w:rFonts w:ascii="Arial" w:hAnsi="Arial" w:cs="Arial"/>
        </w:rPr>
        <w:t>.</w:t>
      </w:r>
    </w:p>
    <w:p w:rsidR="00494AD8" w:rsidRPr="00B4124B" w:rsidRDefault="00494AD8" w:rsidP="00494AD8">
      <w:pPr>
        <w:spacing w:line="360" w:lineRule="auto"/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Aktualizace dokumentu Národní RIS3 strategie probíhá každé 2 roky</w:t>
      </w:r>
      <w:r w:rsidR="006B18CB" w:rsidRPr="00B4124B">
        <w:rPr>
          <w:rStyle w:val="Znakapoznpodarou"/>
          <w:rFonts w:ascii="Arial" w:hAnsi="Arial" w:cs="Arial"/>
        </w:rPr>
        <w:footnoteReference w:id="1"/>
      </w:r>
      <w:r w:rsidRPr="00B4124B">
        <w:rPr>
          <w:rFonts w:ascii="Arial" w:hAnsi="Arial" w:cs="Arial"/>
        </w:rPr>
        <w:t>, pokud dojde k </w:t>
      </w:r>
      <w:r w:rsidRPr="00B4124B">
        <w:rPr>
          <w:rFonts w:ascii="Arial" w:hAnsi="Arial" w:cs="Arial"/>
          <w:i/>
        </w:rPr>
        <w:t>zásadním</w:t>
      </w:r>
      <w:r w:rsidRPr="00B4124B">
        <w:rPr>
          <w:rFonts w:ascii="Arial" w:hAnsi="Arial" w:cs="Arial"/>
        </w:rPr>
        <w:t xml:space="preserve"> změnám v</w:t>
      </w:r>
      <w:r w:rsidR="006B18CB" w:rsidRPr="00B4124B">
        <w:rPr>
          <w:rFonts w:ascii="Arial" w:hAnsi="Arial" w:cs="Arial"/>
        </w:rPr>
        <w:t> definování strategického systému</w:t>
      </w:r>
      <w:r w:rsidRPr="00B4124B">
        <w:rPr>
          <w:rFonts w:ascii="Arial" w:hAnsi="Arial" w:cs="Arial"/>
        </w:rPr>
        <w:t xml:space="preserve"> aplikačních odvětví</w:t>
      </w:r>
      <w:r w:rsidR="006B18CB" w:rsidRPr="00B4124B">
        <w:rPr>
          <w:rFonts w:ascii="Arial" w:hAnsi="Arial" w:cs="Arial"/>
        </w:rPr>
        <w:t>, jehož utváření je svěřeno oborově zaměřeným poradním orgánům NIP</w:t>
      </w:r>
      <w:r w:rsidRPr="00B4124B">
        <w:rPr>
          <w:rFonts w:ascii="Arial" w:hAnsi="Arial" w:cs="Arial"/>
        </w:rPr>
        <w:t xml:space="preserve">. </w:t>
      </w:r>
      <w:r w:rsidR="006B18CB" w:rsidRPr="00B4124B">
        <w:rPr>
          <w:rFonts w:ascii="Arial" w:hAnsi="Arial" w:cs="Arial"/>
          <w:b/>
        </w:rPr>
        <w:t>Ukončení</w:t>
      </w:r>
      <w:r w:rsidR="006B18CB" w:rsidRPr="00B4124B">
        <w:rPr>
          <w:rFonts w:ascii="Arial" w:hAnsi="Arial" w:cs="Arial"/>
        </w:rPr>
        <w:t xml:space="preserve"> nynějšího procesu aktualizace je plánováno</w:t>
      </w:r>
      <w:r w:rsidRPr="00B4124B">
        <w:rPr>
          <w:rFonts w:ascii="Arial" w:hAnsi="Arial" w:cs="Arial"/>
        </w:rPr>
        <w:t xml:space="preserve"> na </w:t>
      </w:r>
      <w:r w:rsidRPr="00B4124B">
        <w:rPr>
          <w:rFonts w:ascii="Arial" w:hAnsi="Arial" w:cs="Arial"/>
          <w:b/>
        </w:rPr>
        <w:t>prosinec roku 2018</w:t>
      </w:r>
      <w:r w:rsidRPr="00B4124B">
        <w:rPr>
          <w:rFonts w:ascii="Arial" w:hAnsi="Arial" w:cs="Arial"/>
        </w:rPr>
        <w:t xml:space="preserve">. </w:t>
      </w:r>
    </w:p>
    <w:p w:rsidR="00494AD8" w:rsidRPr="00B4124B" w:rsidRDefault="00494AD8" w:rsidP="006B18CB">
      <w:pPr>
        <w:spacing w:line="360" w:lineRule="auto"/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V roce 2017 byla na jednání</w:t>
      </w:r>
      <w:r w:rsidR="006B18CB" w:rsidRPr="00B4124B">
        <w:rPr>
          <w:rFonts w:ascii="Arial" w:hAnsi="Arial" w:cs="Arial"/>
        </w:rPr>
        <w:t>ch</w:t>
      </w:r>
      <w:r w:rsidRPr="00B4124B">
        <w:rPr>
          <w:rFonts w:ascii="Arial" w:hAnsi="Arial" w:cs="Arial"/>
        </w:rPr>
        <w:t xml:space="preserve"> NIP otevřena diskuze týkající se aktualizace Národní RIS3 strategie. Koncem roku 2017 byli osloveni členové NIP k aktualizaci definovaných potřeb v oblasti aplikovaného výzkumu. V březnu roku 2018 proběhla jednání NIP na kterých byly diskutovány identifikované změny. Přehled jednání NIP ilustruje tabulka č. 1. </w:t>
      </w:r>
      <w:r w:rsidR="006B18CB" w:rsidRPr="00B4124B">
        <w:rPr>
          <w:rFonts w:ascii="Arial" w:hAnsi="Arial" w:cs="Arial"/>
        </w:rPr>
        <w:t>Užší výběr z členů všech NIP a zástupců státní správy tvoří dále flexibilnější Pracovní skupinu</w:t>
      </w:r>
      <w:r w:rsidRPr="00B4124B">
        <w:rPr>
          <w:rFonts w:ascii="Arial" w:hAnsi="Arial" w:cs="Arial"/>
        </w:rPr>
        <w:t xml:space="preserve"> pro přípravu aktualizace RIS3 strategie</w:t>
      </w:r>
      <w:r w:rsidR="006B18CB" w:rsidRPr="00B4124B">
        <w:rPr>
          <w:rFonts w:ascii="Arial" w:hAnsi="Arial" w:cs="Arial"/>
        </w:rPr>
        <w:t>.</w:t>
      </w:r>
      <w:r w:rsidRPr="00B4124B">
        <w:rPr>
          <w:rFonts w:ascii="Arial" w:hAnsi="Arial" w:cs="Arial"/>
        </w:rPr>
        <w:t xml:space="preserve"> </w:t>
      </w:r>
    </w:p>
    <w:p w:rsidR="00C75410" w:rsidRPr="00B4124B" w:rsidRDefault="00C75410" w:rsidP="006B18CB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94AD8" w:rsidRPr="00B4124B" w:rsidRDefault="00494AD8" w:rsidP="00494AD8">
      <w:pPr>
        <w:pStyle w:val="Titulek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9" w:name="_Toc513451951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Tabulka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Tabulka \* ARABIC </w:instrTex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2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Přehled jednání Národních inovačních platforem </w:t>
      </w:r>
      <w:r w:rsidR="00853BC5"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v r. 2018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>a stav revize</w:t>
      </w:r>
      <w:bookmarkEnd w:id="9"/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46"/>
        <w:gridCol w:w="1414"/>
        <w:gridCol w:w="2704"/>
        <w:gridCol w:w="3244"/>
      </w:tblGrid>
      <w:tr w:rsidR="00494AD8" w:rsidRPr="00B4124B" w:rsidTr="00C754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tcW w:w="2246" w:type="dxa"/>
          </w:tcPr>
          <w:p w:rsidR="00494AD8" w:rsidRPr="00B4124B" w:rsidRDefault="00494AD8" w:rsidP="00D078A0">
            <w:pPr>
              <w:pStyle w:val="Bezmezer"/>
              <w:rPr>
                <w:rFonts w:cs="Arial"/>
                <w:b/>
              </w:rPr>
            </w:pPr>
            <w:r w:rsidRPr="00B4124B">
              <w:rPr>
                <w:rFonts w:cs="Arial"/>
                <w:b/>
              </w:rPr>
              <w:t>Národní informační platformy</w:t>
            </w:r>
          </w:p>
        </w:tc>
        <w:tc>
          <w:tcPr>
            <w:tcW w:w="1414" w:type="dxa"/>
          </w:tcPr>
          <w:p w:rsidR="00494AD8" w:rsidRPr="00B4124B" w:rsidRDefault="00494AD8" w:rsidP="00D078A0">
            <w:pPr>
              <w:pStyle w:val="Bezmezer"/>
              <w:tabs>
                <w:tab w:val="left" w:pos="2201"/>
              </w:tabs>
              <w:rPr>
                <w:rFonts w:cs="Arial"/>
                <w:b/>
              </w:rPr>
            </w:pPr>
            <w:r w:rsidRPr="00B4124B">
              <w:rPr>
                <w:rFonts w:cs="Arial"/>
                <w:b/>
              </w:rPr>
              <w:t>Termín jednání</w:t>
            </w:r>
          </w:p>
        </w:tc>
        <w:tc>
          <w:tcPr>
            <w:tcW w:w="2704" w:type="dxa"/>
          </w:tcPr>
          <w:p w:rsidR="00494AD8" w:rsidRPr="00B4124B" w:rsidRDefault="00494AD8" w:rsidP="00D078A0">
            <w:pPr>
              <w:pStyle w:val="Bezmezer"/>
              <w:tabs>
                <w:tab w:val="left" w:pos="2201"/>
              </w:tabs>
              <w:rPr>
                <w:rFonts w:cs="Arial"/>
                <w:b/>
              </w:rPr>
            </w:pPr>
            <w:r w:rsidRPr="00B4124B">
              <w:rPr>
                <w:rFonts w:cs="Arial"/>
                <w:b/>
              </w:rPr>
              <w:t>Aplikační odvětví</w:t>
            </w:r>
            <w:r w:rsidRPr="00B4124B">
              <w:rPr>
                <w:rFonts w:cs="Arial"/>
                <w:b/>
              </w:rPr>
              <w:tab/>
            </w:r>
          </w:p>
        </w:tc>
        <w:tc>
          <w:tcPr>
            <w:tcW w:w="3244" w:type="dxa"/>
          </w:tcPr>
          <w:p w:rsidR="00494AD8" w:rsidRPr="00B4124B" w:rsidRDefault="00494AD8" w:rsidP="00D078A0">
            <w:pPr>
              <w:pStyle w:val="Bezmezer"/>
              <w:tabs>
                <w:tab w:val="left" w:pos="2201"/>
              </w:tabs>
              <w:rPr>
                <w:rFonts w:cs="Arial"/>
                <w:b/>
              </w:rPr>
            </w:pPr>
            <w:r w:rsidRPr="00B4124B">
              <w:rPr>
                <w:rFonts w:cs="Arial"/>
                <w:b/>
              </w:rPr>
              <w:t>Stav revize</w:t>
            </w:r>
          </w:p>
        </w:tc>
      </w:tr>
      <w:tr w:rsidR="00494AD8" w:rsidRPr="00B4124B" w:rsidTr="00E1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"/>
          <w:jc w:val="center"/>
        </w:trPr>
        <w:tc>
          <w:tcPr>
            <w:tcW w:w="2246" w:type="dxa"/>
            <w:vMerge w:val="restart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NIP I. - Strojírenství, energetika, hutnictví</w:t>
            </w:r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22.03.2018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Strojírenství – mechatronika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Na jednání zazněly nové podněty na doplnění. Po obdržení písemných připomínek bude karta předložena k posouzení.</w:t>
            </w:r>
          </w:p>
        </w:tc>
      </w:tr>
      <w:tr w:rsidR="00494AD8" w:rsidRPr="00B4124B" w:rsidTr="00E140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7"/>
          <w:jc w:val="center"/>
        </w:trPr>
        <w:tc>
          <w:tcPr>
            <w:tcW w:w="2246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Energetika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Návrhy byly projednány a v této fázi byla revize schválena.</w:t>
            </w:r>
          </w:p>
        </w:tc>
      </w:tr>
      <w:tr w:rsidR="00494AD8" w:rsidRPr="00B4124B" w:rsidTr="00E1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tcW w:w="2246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Hutnictví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Na jednání zazněly nové podněty na doplnění. Po obdržení písemných připomínek bude karta předložena k posouzení.</w:t>
            </w:r>
          </w:p>
        </w:tc>
      </w:tr>
      <w:tr w:rsidR="00494AD8" w:rsidRPr="00B4124B" w:rsidTr="00E140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2"/>
          <w:jc w:val="center"/>
        </w:trPr>
        <w:tc>
          <w:tcPr>
            <w:tcW w:w="2246" w:type="dxa"/>
            <w:vMerge w:val="restart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NIP II. - Elektronika, elektrotechnika a ICT</w:t>
            </w:r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15.03.2018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Elektronika a elektrotechnika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Na jednání zazněly nové podněty na doplnění. Po obdržení písemných připomínek bude karta předložena k posouzení.</w:t>
            </w:r>
          </w:p>
        </w:tc>
      </w:tr>
      <w:tr w:rsidR="00494AD8" w:rsidRPr="00B4124B" w:rsidTr="00E1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  <w:jc w:val="center"/>
        </w:trPr>
        <w:tc>
          <w:tcPr>
            <w:tcW w:w="2246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Digitální ekonomika a digitální obsah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Na jednání zazněly nové podněty na doplnění. Po obdržení písemných připomínek bude karta předložena k posouzení.</w:t>
            </w:r>
          </w:p>
        </w:tc>
      </w:tr>
      <w:tr w:rsidR="00494AD8" w:rsidRPr="00B4124B" w:rsidTr="00E140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9"/>
          <w:jc w:val="center"/>
        </w:trPr>
        <w:tc>
          <w:tcPr>
            <w:tcW w:w="2246" w:type="dxa"/>
            <w:vMerge w:val="restart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NIP III. - Výroba dopravních prostředků</w:t>
            </w:r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20.03.2018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Automotive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Na jednání zazněly nové podněty na doplnění. Po obdržení písemných připomínek bude karta předložena k posouzení.</w:t>
            </w:r>
          </w:p>
        </w:tc>
      </w:tr>
      <w:tr w:rsidR="00494AD8" w:rsidRPr="00B4124B" w:rsidTr="00E1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"/>
          <w:jc w:val="center"/>
        </w:trPr>
        <w:tc>
          <w:tcPr>
            <w:tcW w:w="2246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Železniční a kolejová vozidla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Návrhy byly projednány a v této fázi byla revize schválena.</w:t>
            </w:r>
          </w:p>
        </w:tc>
      </w:tr>
      <w:tr w:rsidR="00494AD8" w:rsidRPr="00B4124B" w:rsidTr="00E140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7"/>
          <w:jc w:val="center"/>
        </w:trPr>
        <w:tc>
          <w:tcPr>
            <w:tcW w:w="2246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Letecký a kosmický průmysl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Na jednání zazněly nové podněty na doplnění. Po obdržení písemných připomínek bude karta předložena k posouzení.</w:t>
            </w:r>
          </w:p>
        </w:tc>
      </w:tr>
      <w:tr w:rsidR="00494AD8" w:rsidRPr="00B4124B" w:rsidTr="00E1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246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NIP IV. - Léčiva, biotechnologie, prostředky zdravotnické techniky, Life Sciences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07.03.2018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Léčiva, biotechnologie, prostředky zdravotnické techniky a Life Sciences</w:t>
            </w:r>
          </w:p>
        </w:tc>
        <w:tc>
          <w:tcPr>
            <w:tcW w:w="3244" w:type="dxa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Návrhy byly projednány. Zástupce Libereckého kraje zašle návrh CZ-NACE vztahující se ke zdravotnickým materiálům.</w:t>
            </w:r>
          </w:p>
        </w:tc>
      </w:tr>
      <w:tr w:rsidR="00494AD8" w:rsidRPr="00B4124B" w:rsidTr="00E140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9"/>
          <w:jc w:val="center"/>
        </w:trPr>
        <w:tc>
          <w:tcPr>
            <w:tcW w:w="2246" w:type="dxa"/>
            <w:vMerge w:val="restart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NIP V. - Kulturní a kreativní průmysly</w:t>
            </w:r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15.03.2018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Tradiční kulturní a kreativní průmysly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Na jednání zazněly nové podněty na doplnění. Po obdržení písemných připomínek bude karta předložena k posouzení.</w:t>
            </w:r>
          </w:p>
        </w:tc>
      </w:tr>
      <w:tr w:rsidR="00494AD8" w:rsidRPr="00B4124B" w:rsidTr="00E1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9"/>
          <w:jc w:val="center"/>
        </w:trPr>
        <w:tc>
          <w:tcPr>
            <w:tcW w:w="2246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Nové kulturní a kreativní průmysly, digitální obsah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Na jednání zazněly nové podněty na doplnění. Po obdržení písemných připomínek bude karta předložena k posouzení.</w:t>
            </w:r>
          </w:p>
        </w:tc>
      </w:tr>
      <w:tr w:rsidR="00494AD8" w:rsidRPr="00B4124B" w:rsidTr="00E140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2"/>
          <w:jc w:val="center"/>
        </w:trPr>
        <w:tc>
          <w:tcPr>
            <w:tcW w:w="2246" w:type="dxa"/>
            <w:vMerge w:val="restart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NIP VI. - Zemědělství a životní prostředí</w:t>
            </w:r>
          </w:p>
        </w:tc>
        <w:tc>
          <w:tcPr>
            <w:tcW w:w="1414" w:type="dxa"/>
            <w:vMerge w:val="restart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06.03.2018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Udržitelné hospodaření s přírodními zdroji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Návrhy byly projednány a v této fázi byla revize schválena.</w:t>
            </w:r>
          </w:p>
        </w:tc>
      </w:tr>
      <w:tr w:rsidR="00494AD8" w:rsidRPr="00B4124B" w:rsidTr="00E1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tcW w:w="2246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Udržitelné zemědělství a lesnictví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Návrhy byly projednány a v této fázi byla revize schválena.</w:t>
            </w:r>
          </w:p>
        </w:tc>
      </w:tr>
      <w:tr w:rsidR="00494AD8" w:rsidRPr="00B4124B" w:rsidTr="00E140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0"/>
          <w:jc w:val="center"/>
        </w:trPr>
        <w:tc>
          <w:tcPr>
            <w:tcW w:w="2246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Udržitelná produkce potravin</w:t>
            </w:r>
          </w:p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Návrhy byly projednány a v této fázi byla revize schválena.</w:t>
            </w:r>
          </w:p>
        </w:tc>
      </w:tr>
      <w:tr w:rsidR="00494AD8" w:rsidRPr="00B4124B" w:rsidTr="00E140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  <w:jc w:val="center"/>
        </w:trPr>
        <w:tc>
          <w:tcPr>
            <w:tcW w:w="2246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 xml:space="preserve">Zajištění zdravého a kvalitního životního prostředí a efektivní </w:t>
            </w:r>
            <w:r w:rsidRPr="00B4124B">
              <w:rPr>
                <w:rFonts w:ascii="Arial" w:hAnsi="Arial" w:cs="Arial"/>
              </w:rPr>
              <w:lastRenderedPageBreak/>
              <w:t>využívání přírodních zdrojů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lastRenderedPageBreak/>
              <w:t xml:space="preserve">MŽP přepracuje kartu dle zaslaného vzoru a připomínek vznesených na jednání NIP VI. </w:t>
            </w:r>
            <w:r w:rsidRPr="00B4124B">
              <w:rPr>
                <w:rFonts w:ascii="Arial" w:hAnsi="Arial" w:cs="Arial"/>
              </w:rPr>
              <w:lastRenderedPageBreak/>
              <w:t xml:space="preserve">Následně bude karta předložena k posouzení </w:t>
            </w:r>
          </w:p>
        </w:tc>
      </w:tr>
      <w:tr w:rsidR="00494AD8" w:rsidRPr="00B4124B" w:rsidTr="00E140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8"/>
          <w:jc w:val="center"/>
        </w:trPr>
        <w:tc>
          <w:tcPr>
            <w:tcW w:w="2246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lastRenderedPageBreak/>
              <w:t>NIP VII. - Společenské výzvy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jc w:val="center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01.03.2018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</w:rPr>
            </w:pPr>
            <w:r w:rsidRPr="00B4124B">
              <w:rPr>
                <w:rFonts w:ascii="Arial" w:hAnsi="Arial" w:cs="Arial"/>
              </w:rPr>
              <w:t>Bezpečnostní výzkum; Výzkum ve zdravotnictví; Práce, soc. služby a důchodový systém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494AD8" w:rsidRPr="00B4124B" w:rsidRDefault="00494AD8" w:rsidP="00D078A0">
            <w:pPr>
              <w:pStyle w:val="Bezmezer"/>
              <w:spacing w:line="276" w:lineRule="auto"/>
              <w:rPr>
                <w:rFonts w:ascii="Arial" w:hAnsi="Arial" w:cs="Arial"/>
                <w:highlight w:val="yellow"/>
              </w:rPr>
            </w:pPr>
            <w:r w:rsidRPr="00B4124B">
              <w:rPr>
                <w:rFonts w:ascii="Arial" w:hAnsi="Arial" w:cs="Arial"/>
              </w:rPr>
              <w:t>Na jednání zazněly nové podněty na doplnění. Po obdržení písemných připomínek bude karta předána k posouzení.</w:t>
            </w:r>
          </w:p>
        </w:tc>
      </w:tr>
    </w:tbl>
    <w:p w:rsidR="00494AD8" w:rsidRPr="00B4124B" w:rsidRDefault="00343EDA" w:rsidP="00494AD8">
      <w:pPr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Zdroj:</w:t>
      </w:r>
      <w:r w:rsidR="00C51549" w:rsidRPr="00B4124B">
        <w:rPr>
          <w:rFonts w:ascii="Arial" w:hAnsi="Arial" w:cs="Arial"/>
          <w:i/>
        </w:rPr>
        <w:t xml:space="preserve"> Zápisy z jednání NIP</w:t>
      </w:r>
    </w:p>
    <w:p w:rsidR="00494AD8" w:rsidRPr="00B4124B" w:rsidRDefault="00494AD8" w:rsidP="00494AD8">
      <w:pPr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V průběhu jednání NIP byly identifikovány potřeby zástupců chemického průmyslu a stavebnictví týkající se většího zohlednění těchto oborů v Národní RIS3 strategii. V této záležitosti budou vedena další jednání. </w:t>
      </w:r>
    </w:p>
    <w:p w:rsidR="00494AD8" w:rsidRPr="00B4124B" w:rsidRDefault="00494AD8" w:rsidP="00494AD8">
      <w:pPr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Ukončení aktualizace karet aplikačních odvětví je plánováno na podzim roku 2018.</w:t>
      </w:r>
    </w:p>
    <w:p w:rsidR="00C75410" w:rsidRPr="00B4124B" w:rsidRDefault="00494AD8" w:rsidP="0010513E">
      <w:pPr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Součástí Ná</w:t>
      </w:r>
      <w:r w:rsidR="00376007" w:rsidRPr="00B4124B">
        <w:rPr>
          <w:rFonts w:ascii="Arial" w:hAnsi="Arial" w:cs="Arial"/>
        </w:rPr>
        <w:t>rodní RIS3 strategie jsou tzv. k</w:t>
      </w:r>
      <w:r w:rsidRPr="00B4124B">
        <w:rPr>
          <w:rFonts w:ascii="Arial" w:hAnsi="Arial" w:cs="Arial"/>
        </w:rPr>
        <w:t>rajské příloh</w:t>
      </w:r>
      <w:r w:rsidR="00376007" w:rsidRPr="00B4124B">
        <w:rPr>
          <w:rFonts w:ascii="Arial" w:hAnsi="Arial" w:cs="Arial"/>
        </w:rPr>
        <w:t>y Národní RIS3 strategie. Tyto k</w:t>
      </w:r>
      <w:r w:rsidRPr="00B4124B">
        <w:rPr>
          <w:rFonts w:ascii="Arial" w:hAnsi="Arial" w:cs="Arial"/>
        </w:rPr>
        <w:t>rajské přílohy RIS3 strategie jsou taktéž aktualizovány</w:t>
      </w:r>
      <w:r w:rsidR="00376007" w:rsidRPr="00B4124B">
        <w:rPr>
          <w:rFonts w:ascii="Arial" w:hAnsi="Arial" w:cs="Arial"/>
        </w:rPr>
        <w:t xml:space="preserve">, a to analogickým procesem jako národní úroveň s termínem </w:t>
      </w:r>
      <w:r w:rsidR="000B46F2" w:rsidRPr="00B4124B">
        <w:rPr>
          <w:rFonts w:ascii="Arial" w:hAnsi="Arial" w:cs="Arial"/>
        </w:rPr>
        <w:t xml:space="preserve">dokončení </w:t>
      </w:r>
      <w:r w:rsidRPr="00B4124B">
        <w:rPr>
          <w:rFonts w:ascii="Arial" w:hAnsi="Arial" w:cs="Arial"/>
        </w:rPr>
        <w:t>6 měsíců před akt</w:t>
      </w:r>
      <w:r w:rsidR="000B46F2" w:rsidRPr="00B4124B">
        <w:rPr>
          <w:rFonts w:ascii="Arial" w:hAnsi="Arial" w:cs="Arial"/>
        </w:rPr>
        <w:t>ualizací Národní RIS3 strategie</w:t>
      </w:r>
      <w:r w:rsidRPr="00B4124B">
        <w:rPr>
          <w:rFonts w:ascii="Arial" w:hAnsi="Arial" w:cs="Arial"/>
        </w:rPr>
        <w:t>.</w:t>
      </w:r>
      <w:r w:rsidR="00C75410" w:rsidRPr="00B4124B">
        <w:rPr>
          <w:rFonts w:ascii="Arial" w:hAnsi="Arial" w:cs="Arial"/>
        </w:rPr>
        <w:br w:type="page"/>
      </w:r>
    </w:p>
    <w:p w:rsidR="00452AC5" w:rsidRPr="00B4124B" w:rsidRDefault="003310B4" w:rsidP="00452AC5">
      <w:pPr>
        <w:pStyle w:val="Nadpis1"/>
        <w:rPr>
          <w:rFonts w:cs="Arial"/>
          <w:sz w:val="22"/>
          <w:szCs w:val="22"/>
        </w:rPr>
      </w:pPr>
      <w:bookmarkStart w:id="10" w:name="_Toc513451935"/>
      <w:r w:rsidRPr="00B4124B">
        <w:rPr>
          <w:rFonts w:cs="Arial"/>
          <w:sz w:val="22"/>
          <w:szCs w:val="22"/>
        </w:rPr>
        <w:lastRenderedPageBreak/>
        <w:t>Plán i</w:t>
      </w:r>
      <w:r w:rsidR="009C7E64" w:rsidRPr="00B4124B">
        <w:rPr>
          <w:rFonts w:cs="Arial"/>
          <w:sz w:val="22"/>
          <w:szCs w:val="22"/>
        </w:rPr>
        <w:t>mplementace</w:t>
      </w:r>
      <w:r w:rsidRPr="00B4124B">
        <w:rPr>
          <w:rFonts w:cs="Arial"/>
          <w:sz w:val="22"/>
          <w:szCs w:val="22"/>
        </w:rPr>
        <w:t xml:space="preserve"> dle indikativních harmonogramů </w:t>
      </w:r>
      <w:r w:rsidR="00956A6A" w:rsidRPr="00B4124B">
        <w:rPr>
          <w:rFonts w:cs="Arial"/>
          <w:sz w:val="22"/>
          <w:szCs w:val="22"/>
        </w:rPr>
        <w:t xml:space="preserve">gestorů a </w:t>
      </w:r>
      <w:r w:rsidRPr="00B4124B">
        <w:rPr>
          <w:rFonts w:cs="Arial"/>
          <w:sz w:val="22"/>
          <w:szCs w:val="22"/>
        </w:rPr>
        <w:t xml:space="preserve">poskytovatelů </w:t>
      </w:r>
      <w:r w:rsidR="00956A6A" w:rsidRPr="00B4124B">
        <w:rPr>
          <w:rFonts w:cs="Arial"/>
          <w:sz w:val="22"/>
          <w:szCs w:val="22"/>
        </w:rPr>
        <w:t>programů veřejné podpory</w:t>
      </w:r>
      <w:bookmarkEnd w:id="10"/>
    </w:p>
    <w:p w:rsidR="00A566F8" w:rsidRPr="00B4124B" w:rsidRDefault="00A566F8" w:rsidP="00204901">
      <w:pPr>
        <w:spacing w:line="360" w:lineRule="auto"/>
        <w:ind w:firstLine="432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Implementace </w:t>
      </w:r>
      <w:r w:rsidR="00204901" w:rsidRPr="00B4124B">
        <w:rPr>
          <w:rFonts w:ascii="Arial" w:hAnsi="Arial" w:cs="Arial"/>
        </w:rPr>
        <w:t xml:space="preserve">Národní </w:t>
      </w:r>
      <w:r w:rsidRPr="00B4124B">
        <w:rPr>
          <w:rFonts w:ascii="Arial" w:hAnsi="Arial" w:cs="Arial"/>
        </w:rPr>
        <w:t xml:space="preserve">RIS3 strategie je zajištěna v </w:t>
      </w:r>
      <w:r w:rsidRPr="00B4124B">
        <w:rPr>
          <w:rFonts w:ascii="Arial" w:hAnsi="Arial" w:cs="Arial"/>
          <w:b/>
        </w:rPr>
        <w:t>operačních programech</w:t>
      </w:r>
      <w:r w:rsidRPr="00B4124B">
        <w:rPr>
          <w:rFonts w:ascii="Arial" w:hAnsi="Arial" w:cs="Arial"/>
        </w:rPr>
        <w:t xml:space="preserve"> spolufinancovaných z ESIF. Jedná se o následující operační programy:</w:t>
      </w:r>
    </w:p>
    <w:p w:rsidR="00A566F8" w:rsidRPr="00B4124B" w:rsidRDefault="00A566F8" w:rsidP="00B35B7D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Podnikání a inovace pro konkurenceschopnost (OP PIK) – gesce MPO, </w:t>
      </w:r>
    </w:p>
    <w:p w:rsidR="00A566F8" w:rsidRPr="00B4124B" w:rsidRDefault="00A566F8" w:rsidP="00B35B7D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Výzkum, vývoj a vzdělávání (OP VVV) – gesce MŠMT, </w:t>
      </w:r>
    </w:p>
    <w:p w:rsidR="00A566F8" w:rsidRPr="00B4124B" w:rsidRDefault="00A566F8" w:rsidP="00B35B7D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Praha - pól růstu ČR (OP PPR) – gesce Hl. m. Praha, </w:t>
      </w:r>
    </w:p>
    <w:p w:rsidR="00A566F8" w:rsidRPr="00B4124B" w:rsidRDefault="00A566F8" w:rsidP="00B35B7D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Integrovaný regionální operační program (IROP) – gesce MMR,</w:t>
      </w:r>
    </w:p>
    <w:p w:rsidR="00204901" w:rsidRPr="00B4124B" w:rsidRDefault="00A566F8" w:rsidP="00B35B7D">
      <w:pPr>
        <w:pStyle w:val="Odstavecseseznamem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Zaměstnanost (OP</w:t>
      </w:r>
      <w:r w:rsidR="00432747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Z) – gesce MPSV.</w:t>
      </w:r>
    </w:p>
    <w:p w:rsidR="00A566F8" w:rsidRPr="00B4124B" w:rsidRDefault="00204901" w:rsidP="00EE31AF">
      <w:pPr>
        <w:spacing w:line="360" w:lineRule="auto"/>
        <w:ind w:firstLine="709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Implementace Národní RIS3 strategie v </w:t>
      </w:r>
      <w:r w:rsidRPr="00B4124B">
        <w:rPr>
          <w:rFonts w:ascii="Arial" w:hAnsi="Arial" w:cs="Arial"/>
          <w:b/>
        </w:rPr>
        <w:t>národních programech podpory</w:t>
      </w:r>
      <w:r w:rsidRPr="00B4124B">
        <w:rPr>
          <w:rFonts w:ascii="Arial" w:hAnsi="Arial" w:cs="Arial"/>
        </w:rPr>
        <w:t xml:space="preserve"> je prozatím zajištěna v programu TRIO (gesce MPO) a programech Centra kompetence, EPSILON a</w:t>
      </w:r>
      <w:r w:rsidR="009F140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GAMA (gesce TA ČR). </w:t>
      </w:r>
      <w:r w:rsidR="00EE31AF" w:rsidRPr="00B4124B">
        <w:rPr>
          <w:rFonts w:ascii="Arial" w:hAnsi="Arial" w:cs="Arial"/>
        </w:rPr>
        <w:t>Na základě jednání se zástupci TA</w:t>
      </w:r>
      <w:r w:rsidR="009F1400" w:rsidRPr="00B4124B">
        <w:rPr>
          <w:rFonts w:ascii="Arial" w:hAnsi="Arial" w:cs="Arial"/>
        </w:rPr>
        <w:t> </w:t>
      </w:r>
      <w:r w:rsidR="00EE31AF" w:rsidRPr="00B4124B">
        <w:rPr>
          <w:rFonts w:ascii="Arial" w:hAnsi="Arial" w:cs="Arial"/>
        </w:rPr>
        <w:t xml:space="preserve">ČR bude v roce 2018 stanovena </w:t>
      </w:r>
      <w:r w:rsidR="00EE31AF" w:rsidRPr="00B4124B">
        <w:rPr>
          <w:rFonts w:ascii="Arial" w:hAnsi="Arial" w:cs="Arial"/>
          <w:b/>
        </w:rPr>
        <w:t>přesná míra souladu</w:t>
      </w:r>
      <w:r w:rsidR="00EE31AF" w:rsidRPr="00B4124B">
        <w:rPr>
          <w:rFonts w:ascii="Arial" w:hAnsi="Arial" w:cs="Arial"/>
        </w:rPr>
        <w:t xml:space="preserve"> dalších národních programů podpory aplikovaného výzkumu. Konkrétně se jedná o</w:t>
      </w:r>
      <w:r w:rsidR="00432747" w:rsidRPr="00B4124B">
        <w:rPr>
          <w:rFonts w:ascii="Arial" w:hAnsi="Arial" w:cs="Arial"/>
        </w:rPr>
        <w:t> </w:t>
      </w:r>
      <w:r w:rsidR="00EE31AF" w:rsidRPr="00B4124B">
        <w:rPr>
          <w:rFonts w:ascii="Arial" w:hAnsi="Arial" w:cs="Arial"/>
        </w:rPr>
        <w:t xml:space="preserve">tyto programy - </w:t>
      </w:r>
      <w:r w:rsidR="00EE31AF" w:rsidRPr="00B4124B">
        <w:rPr>
          <w:rFonts w:ascii="Arial" w:hAnsi="Arial" w:cs="Arial"/>
          <w:b/>
        </w:rPr>
        <w:t>Národní centra kompetence 1</w:t>
      </w:r>
      <w:r w:rsidR="00E07AC7" w:rsidRPr="00B4124B">
        <w:rPr>
          <w:rFonts w:ascii="Arial" w:hAnsi="Arial" w:cs="Arial"/>
        </w:rPr>
        <w:t xml:space="preserve"> ad</w:t>
      </w:r>
      <w:r w:rsidR="00EE31AF" w:rsidRPr="00B4124B">
        <w:rPr>
          <w:rFonts w:ascii="Arial" w:hAnsi="Arial" w:cs="Arial"/>
        </w:rPr>
        <w:t>.</w:t>
      </w:r>
    </w:p>
    <w:p w:rsidR="006E0FEB" w:rsidRPr="00B4124B" w:rsidRDefault="006E0FEB" w:rsidP="006E0FEB">
      <w:pPr>
        <w:spacing w:after="0" w:line="360" w:lineRule="auto"/>
        <w:ind w:firstLine="709"/>
        <w:jc w:val="both"/>
        <w:rPr>
          <w:rFonts w:ascii="Arial" w:eastAsia="Calibri" w:hAnsi="Arial" w:cs="Arial"/>
        </w:rPr>
      </w:pPr>
      <w:r w:rsidRPr="00B4124B">
        <w:rPr>
          <w:rFonts w:ascii="Arial" w:eastAsia="Calibri" w:hAnsi="Arial" w:cs="Arial"/>
        </w:rPr>
        <w:t>Podle tematického zaměření byly v průběhu roku 2017 identifikovány další resortní programy, které by případně mohly být RIS3 strategii v budoucnu podřízeny (Program na podporu zdravotnického aplikovaného výzkumu a vývoje na léta 2015-2022; Program aplikovaného výzkumu Ministerstva zemědělství na období 2017-2025, ZEMĚ;</w:t>
      </w:r>
      <w:r w:rsidRPr="00B4124B" w:rsidDel="00382931">
        <w:rPr>
          <w:rFonts w:ascii="Arial" w:eastAsia="Calibri" w:hAnsi="Arial" w:cs="Arial"/>
        </w:rPr>
        <w:t xml:space="preserve"> </w:t>
      </w:r>
      <w:r w:rsidRPr="00B4124B">
        <w:rPr>
          <w:rFonts w:ascii="Arial" w:eastAsia="Calibri" w:hAnsi="Arial" w:cs="Arial"/>
        </w:rPr>
        <w:t xml:space="preserve"> Program na podporu aplikovaného výzkumu a vývoje národní a kulturní identity na léta 2016 až 2022 - NAKI II; Program bezpečnostního výzkumu České republiky 2015-2020).</w:t>
      </w:r>
    </w:p>
    <w:p w:rsidR="00336E20" w:rsidRPr="00B4124B" w:rsidRDefault="00336E20" w:rsidP="006E0FEB">
      <w:pPr>
        <w:spacing w:after="0" w:line="360" w:lineRule="auto"/>
        <w:ind w:firstLine="709"/>
        <w:jc w:val="both"/>
        <w:rPr>
          <w:rFonts w:ascii="Arial" w:eastAsia="Calibri" w:hAnsi="Arial" w:cs="Arial"/>
        </w:rPr>
      </w:pPr>
    </w:p>
    <w:p w:rsidR="00DF1753" w:rsidRPr="00B4124B" w:rsidRDefault="00CF4F29" w:rsidP="00822007">
      <w:pPr>
        <w:pStyle w:val="Nadpis2"/>
        <w:numPr>
          <w:ilvl w:val="1"/>
          <w:numId w:val="9"/>
        </w:numPr>
        <w:rPr>
          <w:rFonts w:cs="Arial"/>
          <w:sz w:val="22"/>
          <w:szCs w:val="22"/>
        </w:rPr>
      </w:pPr>
      <w:bookmarkStart w:id="11" w:name="_Toc513451936"/>
      <w:r w:rsidRPr="00B4124B">
        <w:rPr>
          <w:rFonts w:cs="Arial"/>
          <w:sz w:val="22"/>
          <w:szCs w:val="22"/>
        </w:rPr>
        <w:t>Indi</w:t>
      </w:r>
      <w:r w:rsidR="00EE31AF" w:rsidRPr="00B4124B">
        <w:rPr>
          <w:rFonts w:cs="Arial"/>
          <w:sz w:val="22"/>
          <w:szCs w:val="22"/>
        </w:rPr>
        <w:t xml:space="preserve">kativní podpora </w:t>
      </w:r>
      <w:r w:rsidR="00822007" w:rsidRPr="00B4124B">
        <w:rPr>
          <w:rFonts w:cs="Arial"/>
          <w:sz w:val="22"/>
          <w:szCs w:val="22"/>
        </w:rPr>
        <w:t xml:space="preserve">Národní </w:t>
      </w:r>
      <w:r w:rsidR="00EE31AF" w:rsidRPr="00B4124B">
        <w:rPr>
          <w:rFonts w:cs="Arial"/>
          <w:sz w:val="22"/>
          <w:szCs w:val="22"/>
        </w:rPr>
        <w:t>RIS3 strategie z</w:t>
      </w:r>
      <w:r w:rsidRPr="00B4124B">
        <w:rPr>
          <w:rFonts w:cs="Arial"/>
          <w:sz w:val="22"/>
          <w:szCs w:val="22"/>
        </w:rPr>
        <w:t> operačních program</w:t>
      </w:r>
      <w:r w:rsidR="00EE31AF" w:rsidRPr="00B4124B">
        <w:rPr>
          <w:rFonts w:cs="Arial"/>
          <w:sz w:val="22"/>
          <w:szCs w:val="22"/>
        </w:rPr>
        <w:t>ů</w:t>
      </w:r>
      <w:bookmarkEnd w:id="11"/>
    </w:p>
    <w:p w:rsidR="00A566F8" w:rsidRPr="00B4124B" w:rsidRDefault="00A566F8" w:rsidP="00A8764C">
      <w:pPr>
        <w:spacing w:line="360" w:lineRule="auto"/>
        <w:ind w:firstLine="576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Mezi hlavní implementační nástroje přispívající svými intervencemi (výzvami) k naplňování cílů RIS3 strategie náležejí OP PIK a OP VVV.  U programu OP PIK se jedná hlavně o </w:t>
      </w:r>
      <w:r w:rsidRPr="00B4124B">
        <w:rPr>
          <w:rFonts w:ascii="Arial" w:hAnsi="Arial" w:cs="Arial"/>
          <w:b/>
        </w:rPr>
        <w:t>podporu výzkumu a vývoje pro inovace</w:t>
      </w:r>
      <w:r w:rsidRPr="00B4124B">
        <w:rPr>
          <w:rFonts w:ascii="Arial" w:hAnsi="Arial" w:cs="Arial"/>
        </w:rPr>
        <w:t xml:space="preserve">, </w:t>
      </w:r>
      <w:r w:rsidRPr="00B4124B">
        <w:rPr>
          <w:rFonts w:ascii="Arial" w:hAnsi="Arial" w:cs="Arial"/>
          <w:b/>
        </w:rPr>
        <w:t>podporu rozvoje podnikání a konkurenceschopnosti podniků</w:t>
      </w:r>
      <w:r w:rsidRPr="00B4124B">
        <w:rPr>
          <w:rFonts w:ascii="Arial" w:hAnsi="Arial" w:cs="Arial"/>
        </w:rPr>
        <w:t xml:space="preserve"> a </w:t>
      </w:r>
      <w:r w:rsidRPr="00B4124B">
        <w:rPr>
          <w:rFonts w:ascii="Arial" w:hAnsi="Arial" w:cs="Arial"/>
          <w:b/>
        </w:rPr>
        <w:t>podporu ICT v podnicích</w:t>
      </w:r>
      <w:r w:rsidRPr="00B4124B">
        <w:rPr>
          <w:rFonts w:ascii="Arial" w:hAnsi="Arial" w:cs="Arial"/>
        </w:rPr>
        <w:t>. Program OP VVV</w:t>
      </w:r>
      <w:r w:rsidR="00482C1B" w:rsidRPr="00B4124B">
        <w:rPr>
          <w:rStyle w:val="Znakapoznpodarou"/>
          <w:rFonts w:ascii="Arial" w:hAnsi="Arial" w:cs="Arial"/>
        </w:rPr>
        <w:footnoteReference w:id="2"/>
      </w:r>
      <w:r w:rsidRPr="00B4124B">
        <w:rPr>
          <w:rFonts w:ascii="Arial" w:hAnsi="Arial" w:cs="Arial"/>
        </w:rPr>
        <w:t xml:space="preserve"> mimo jiné přispívá k </w:t>
      </w:r>
      <w:r w:rsidRPr="00B4124B">
        <w:rPr>
          <w:rFonts w:ascii="Arial" w:hAnsi="Arial" w:cs="Arial"/>
          <w:b/>
        </w:rPr>
        <w:t>posilování kapacit pro kvalitní výzkum</w:t>
      </w:r>
      <w:r w:rsidRPr="00B4124B">
        <w:rPr>
          <w:rFonts w:ascii="Arial" w:hAnsi="Arial" w:cs="Arial"/>
        </w:rPr>
        <w:t xml:space="preserve"> a </w:t>
      </w:r>
      <w:r w:rsidRPr="00B4124B">
        <w:rPr>
          <w:rFonts w:ascii="Arial" w:hAnsi="Arial" w:cs="Arial"/>
          <w:b/>
        </w:rPr>
        <w:t>rozvoji vysokých škol a lidských zdrojů pro výzkum a vývoj</w:t>
      </w:r>
      <w:r w:rsidRPr="00B4124B">
        <w:rPr>
          <w:rFonts w:ascii="Arial" w:hAnsi="Arial" w:cs="Arial"/>
        </w:rPr>
        <w:t>. V programu OP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PPR byly ve sledovaném období monitorovány intervence zaměřené na </w:t>
      </w:r>
      <w:r w:rsidRPr="00B4124B">
        <w:rPr>
          <w:rFonts w:ascii="Arial" w:hAnsi="Arial" w:cs="Arial"/>
          <w:b/>
        </w:rPr>
        <w:t>zvyšování kvality a efektivity fungování vědeckotechnických parků</w:t>
      </w:r>
      <w:r w:rsidRPr="00B4124B">
        <w:rPr>
          <w:rFonts w:ascii="Arial" w:hAnsi="Arial" w:cs="Arial"/>
        </w:rPr>
        <w:t xml:space="preserve"> (včetně inkubátorů), na </w:t>
      </w:r>
      <w:r w:rsidRPr="00B4124B">
        <w:rPr>
          <w:rFonts w:ascii="Arial" w:hAnsi="Arial" w:cs="Arial"/>
          <w:b/>
        </w:rPr>
        <w:t xml:space="preserve">podporu transferu technologií do praxe </w:t>
      </w:r>
      <w:r w:rsidRPr="00B4124B">
        <w:rPr>
          <w:rFonts w:ascii="Arial" w:hAnsi="Arial" w:cs="Arial"/>
        </w:rPr>
        <w:t>a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na </w:t>
      </w:r>
      <w:r w:rsidRPr="00B4124B">
        <w:rPr>
          <w:rFonts w:ascii="Arial" w:hAnsi="Arial" w:cs="Arial"/>
          <w:b/>
        </w:rPr>
        <w:t>podporu spolupráce výzkumného sektoru s aplikační sférou</w:t>
      </w:r>
      <w:r w:rsidRPr="00B4124B">
        <w:rPr>
          <w:rFonts w:ascii="Arial" w:hAnsi="Arial" w:cs="Arial"/>
        </w:rPr>
        <w:t xml:space="preserve">. Projekty v programu IROP jsou úzce zaměřeny na intervence v oblasti </w:t>
      </w:r>
      <w:r w:rsidRPr="00B4124B">
        <w:rPr>
          <w:rFonts w:ascii="Arial" w:hAnsi="Arial" w:cs="Arial"/>
          <w:b/>
        </w:rPr>
        <w:t>kybernetické bezpečnosti</w:t>
      </w:r>
      <w:r w:rsidRPr="00B4124B">
        <w:rPr>
          <w:rFonts w:ascii="Arial" w:hAnsi="Arial" w:cs="Arial"/>
        </w:rPr>
        <w:t xml:space="preserve">, </w:t>
      </w:r>
      <w:r w:rsidRPr="00B4124B">
        <w:rPr>
          <w:rFonts w:ascii="Arial" w:hAnsi="Arial" w:cs="Arial"/>
          <w:b/>
        </w:rPr>
        <w:t>eGovernmentu</w:t>
      </w:r>
      <w:r w:rsidRPr="00B4124B">
        <w:rPr>
          <w:rFonts w:ascii="Arial" w:hAnsi="Arial" w:cs="Arial"/>
        </w:rPr>
        <w:t xml:space="preserve"> a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  <w:b/>
        </w:rPr>
        <w:t>ICT veřejných infrastruktur</w:t>
      </w:r>
      <w:r w:rsidRPr="00B4124B">
        <w:rPr>
          <w:rFonts w:ascii="Arial" w:hAnsi="Arial" w:cs="Arial"/>
        </w:rPr>
        <w:t>. Program OP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Z</w:t>
      </w:r>
      <w:r w:rsidR="00EE31AF" w:rsidRPr="00B4124B">
        <w:rPr>
          <w:rFonts w:ascii="Arial" w:hAnsi="Arial" w:cs="Arial"/>
        </w:rPr>
        <w:t> přispěl ve sledovaném období k </w:t>
      </w:r>
      <w:r w:rsidRPr="00B4124B">
        <w:rPr>
          <w:rFonts w:ascii="Arial" w:hAnsi="Arial" w:cs="Arial"/>
        </w:rPr>
        <w:t xml:space="preserve">naplnění RIS3 strategie intervencemi v oblasti </w:t>
      </w:r>
      <w:r w:rsidRPr="00B4124B">
        <w:rPr>
          <w:rFonts w:ascii="Arial" w:hAnsi="Arial" w:cs="Arial"/>
          <w:b/>
        </w:rPr>
        <w:t>sociálních inovací</w:t>
      </w:r>
      <w:r w:rsidRPr="00B4124B">
        <w:rPr>
          <w:rFonts w:ascii="Arial" w:hAnsi="Arial" w:cs="Arial"/>
        </w:rPr>
        <w:t xml:space="preserve">, </w:t>
      </w:r>
      <w:r w:rsidRPr="00B4124B">
        <w:rPr>
          <w:rFonts w:ascii="Arial" w:hAnsi="Arial" w:cs="Arial"/>
          <w:b/>
        </w:rPr>
        <w:t>sociálního začleňování</w:t>
      </w:r>
      <w:r w:rsidRPr="00B4124B">
        <w:rPr>
          <w:rFonts w:ascii="Arial" w:hAnsi="Arial" w:cs="Arial"/>
        </w:rPr>
        <w:t xml:space="preserve"> a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  <w:b/>
        </w:rPr>
        <w:t>mobility pracovníků</w:t>
      </w:r>
      <w:r w:rsidRPr="00B4124B">
        <w:rPr>
          <w:rFonts w:ascii="Arial" w:hAnsi="Arial" w:cs="Arial"/>
        </w:rPr>
        <w:t>.</w:t>
      </w:r>
    </w:p>
    <w:p w:rsidR="00A566F8" w:rsidRPr="00B4124B" w:rsidRDefault="00A566F8" w:rsidP="006A69CE">
      <w:pPr>
        <w:spacing w:line="360" w:lineRule="auto"/>
        <w:ind w:firstLine="567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lastRenderedPageBreak/>
        <w:t xml:space="preserve">V průběhu </w:t>
      </w:r>
      <w:r w:rsidRPr="00B4124B">
        <w:rPr>
          <w:rFonts w:ascii="Arial" w:hAnsi="Arial" w:cs="Arial"/>
          <w:b/>
        </w:rPr>
        <w:t>roku 2017</w:t>
      </w:r>
      <w:r w:rsidRPr="00B4124B">
        <w:rPr>
          <w:rFonts w:ascii="Arial" w:hAnsi="Arial" w:cs="Arial"/>
        </w:rPr>
        <w:t xml:space="preserve"> bylo v souladu s Plánem implementace 2017-2018</w:t>
      </w:r>
      <w:r w:rsidRPr="00B4124B">
        <w:rPr>
          <w:rStyle w:val="Znakapoznpodarou"/>
          <w:rFonts w:ascii="Arial" w:hAnsi="Arial" w:cs="Arial"/>
        </w:rPr>
        <w:footnoteReference w:id="3"/>
      </w:r>
      <w:r w:rsidRPr="00B4124B">
        <w:rPr>
          <w:rFonts w:ascii="Arial" w:hAnsi="Arial" w:cs="Arial"/>
        </w:rPr>
        <w:t xml:space="preserve"> </w:t>
      </w:r>
      <w:r w:rsidRPr="00B4124B">
        <w:rPr>
          <w:rFonts w:ascii="Arial" w:hAnsi="Arial" w:cs="Arial"/>
          <w:b/>
        </w:rPr>
        <w:t>vyhlášeno 22</w:t>
      </w:r>
      <w:r w:rsidR="00D878F1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intervencí</w:t>
      </w:r>
      <w:r w:rsidRPr="00B4124B">
        <w:rPr>
          <w:rFonts w:ascii="Arial" w:hAnsi="Arial" w:cs="Arial"/>
        </w:rPr>
        <w:t xml:space="preserve"> spadajících pod RIS3 strategii (viz </w:t>
      </w:r>
      <w:r w:rsidR="008A5695" w:rsidRPr="00B4124B">
        <w:rPr>
          <w:rFonts w:ascii="Arial" w:hAnsi="Arial" w:cs="Arial"/>
        </w:rPr>
        <w:t>Graf 1</w:t>
      </w:r>
      <w:r w:rsidRPr="00B4124B">
        <w:rPr>
          <w:rFonts w:ascii="Arial" w:hAnsi="Arial" w:cs="Arial"/>
        </w:rPr>
        <w:t>). Celková podpora EU na tyto intervence činila 3,21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 a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celkové způsobilé výdaje na projekty činily 8,99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 u projektů s vydaným právním aktem o</w:t>
      </w:r>
      <w:r w:rsidR="00D878F1" w:rsidRPr="00B4124B">
        <w:rPr>
          <w:rFonts w:ascii="Arial" w:hAnsi="Arial" w:cs="Arial"/>
        </w:rPr>
        <w:t xml:space="preserve"> </w:t>
      </w:r>
      <w:r w:rsidRPr="00B4124B">
        <w:rPr>
          <w:rFonts w:ascii="Arial" w:hAnsi="Arial" w:cs="Arial"/>
        </w:rPr>
        <w:t>poskytnutí podpory a</w:t>
      </w:r>
      <w:r w:rsidR="00D878F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8,58</w:t>
      </w:r>
      <w:r w:rsidR="00422FF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422FF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 u</w:t>
      </w:r>
      <w:r w:rsidR="00422FF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projektů se schválenou projektovou žádostí. Intervence vyhlášené v roce 2017 byly také již uzavřené, s výjimkou dvou výzev OP</w:t>
      </w:r>
      <w:r w:rsidR="00422FF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VVV s názvy „Místní akční plány rozvoje vzdělávání</w:t>
      </w:r>
      <w:r w:rsidR="00422FF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II.“ a „Teaming</w:t>
      </w:r>
      <w:r w:rsidR="00422FF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II.“. Do první </w:t>
      </w:r>
      <w:r w:rsidR="00294830" w:rsidRPr="00B4124B">
        <w:rPr>
          <w:rFonts w:ascii="Arial" w:hAnsi="Arial" w:cs="Arial"/>
        </w:rPr>
        <w:t>výzvy je možno hlásit se do 31. </w:t>
      </w:r>
      <w:r w:rsidRPr="00B4124B">
        <w:rPr>
          <w:rFonts w:ascii="Arial" w:hAnsi="Arial" w:cs="Arial"/>
        </w:rPr>
        <w:t>10.</w:t>
      </w:r>
      <w:r w:rsidR="00422FF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2018 a</w:t>
      </w:r>
      <w:r w:rsidR="00422FF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do druhé do 15.</w:t>
      </w:r>
      <w:r w:rsidR="00422FF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11.</w:t>
      </w:r>
      <w:r w:rsidR="00422FFD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2018. Dvě intervence plánované na rok 2017 byly přesunuty na rok 2018. Konkrétně se jedná o intervence s názvem „I.</w:t>
      </w:r>
      <w:r w:rsidR="00294830" w:rsidRPr="00B4124B">
        <w:rPr>
          <w:rFonts w:ascii="Arial" w:hAnsi="Arial" w:cs="Arial"/>
        </w:rPr>
        <w:t xml:space="preserve"> Výzva</w:t>
      </w:r>
      <w:r w:rsidRPr="00B4124B">
        <w:rPr>
          <w:rFonts w:ascii="Arial" w:hAnsi="Arial" w:cs="Arial"/>
        </w:rPr>
        <w:t xml:space="preserve"> Proof of concept“ a „IV. Výzva Služby infrastruktury - aktivita a)“ z operačního programu OP</w:t>
      </w:r>
      <w:r w:rsidR="00DF7F02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PIK.</w:t>
      </w:r>
    </w:p>
    <w:p w:rsidR="00A566F8" w:rsidRPr="00B4124B" w:rsidRDefault="00A566F8" w:rsidP="00A8764C">
      <w:pPr>
        <w:spacing w:line="360" w:lineRule="auto"/>
        <w:ind w:firstLine="567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Do Plánu implementace 2017-2018 byly zařazeny i intervence (viz </w:t>
      </w:r>
      <w:r w:rsidRPr="00B4124B">
        <w:rPr>
          <w:rFonts w:ascii="Arial" w:hAnsi="Arial" w:cs="Arial"/>
        </w:rPr>
        <w:fldChar w:fldCharType="begin"/>
      </w:r>
      <w:r w:rsidRPr="00B4124B">
        <w:rPr>
          <w:rFonts w:ascii="Arial" w:hAnsi="Arial" w:cs="Arial"/>
        </w:rPr>
        <w:instrText xml:space="preserve"> REF _Ref508277276 \h </w:instrText>
      </w:r>
      <w:r w:rsidR="00A8764C" w:rsidRPr="00B4124B">
        <w:rPr>
          <w:rFonts w:ascii="Arial" w:hAnsi="Arial" w:cs="Arial"/>
        </w:rPr>
        <w:instrText xml:space="preserve"> \* MERGEFORMAT </w:instrText>
      </w:r>
      <w:r w:rsidRPr="00B4124B">
        <w:rPr>
          <w:rFonts w:ascii="Arial" w:hAnsi="Arial" w:cs="Arial"/>
        </w:rPr>
      </w:r>
      <w:r w:rsidRPr="00B4124B">
        <w:rPr>
          <w:rFonts w:ascii="Arial" w:hAnsi="Arial" w:cs="Arial"/>
        </w:rPr>
        <w:fldChar w:fldCharType="separate"/>
      </w:r>
      <w:r w:rsidR="00295F79" w:rsidRPr="00B4124B">
        <w:rPr>
          <w:rFonts w:ascii="Arial" w:hAnsi="Arial" w:cs="Arial"/>
        </w:rPr>
        <w:t xml:space="preserve">Tabulka </w:t>
      </w:r>
      <w:r w:rsidR="00295F79" w:rsidRPr="00B4124B">
        <w:rPr>
          <w:rFonts w:ascii="Arial" w:hAnsi="Arial" w:cs="Arial"/>
          <w:noProof/>
        </w:rPr>
        <w:t>3</w:t>
      </w:r>
      <w:r w:rsidRPr="00B4124B">
        <w:rPr>
          <w:rFonts w:ascii="Arial" w:hAnsi="Arial" w:cs="Arial"/>
        </w:rPr>
        <w:fldChar w:fldCharType="end"/>
      </w:r>
      <w:r w:rsidRPr="00B4124B">
        <w:rPr>
          <w:rFonts w:ascii="Arial" w:hAnsi="Arial" w:cs="Arial"/>
        </w:rPr>
        <w:t>), u kterých nebyl k datu 31.</w:t>
      </w:r>
      <w:r w:rsidR="001F10B6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10.</w:t>
      </w:r>
      <w:r w:rsidR="001F10B6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2017 znám stav jejich realizace.</w:t>
      </w:r>
    </w:p>
    <w:p w:rsidR="00A566F8" w:rsidRPr="00B4124B" w:rsidRDefault="00A566F8" w:rsidP="001F10B6">
      <w:pPr>
        <w:pStyle w:val="Titulek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12" w:name="_Ref508277276"/>
      <w:bookmarkStart w:id="13" w:name="_Toc513451952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Tabulka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Tabulka \* ARABIC </w:instrTex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fldChar w:fldCharType="end"/>
      </w:r>
      <w:bookmarkEnd w:id="12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– Plánované a nerealizované intervence operačních programů v roce 2017</w:t>
      </w:r>
      <w:bookmarkEnd w:id="13"/>
    </w:p>
    <w:tbl>
      <w:tblPr>
        <w:tblW w:w="92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1418"/>
        <w:gridCol w:w="1276"/>
        <w:gridCol w:w="5244"/>
      </w:tblGrid>
      <w:tr w:rsidR="000462AA" w:rsidRPr="00B4124B" w:rsidTr="0073392D">
        <w:trPr>
          <w:trHeight w:val="290"/>
          <w:tblHeader/>
          <w:jc w:val="center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B4124B">
              <w:rPr>
                <w:rFonts w:ascii="Arial" w:eastAsia="Times New Roman" w:hAnsi="Arial" w:cs="Arial"/>
                <w:b/>
                <w:lang w:eastAsia="cs-CZ"/>
              </w:rPr>
              <w:t>Stav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B4124B">
              <w:rPr>
                <w:rFonts w:ascii="Arial" w:eastAsia="Times New Roman" w:hAnsi="Arial" w:cs="Arial"/>
                <w:b/>
                <w:lang w:eastAsia="cs-CZ"/>
              </w:rPr>
              <w:t>Plánované zahájení příjmu žádostí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B4124B">
              <w:rPr>
                <w:rFonts w:ascii="Arial" w:eastAsia="Times New Roman" w:hAnsi="Arial" w:cs="Arial"/>
                <w:b/>
                <w:lang w:eastAsia="cs-CZ"/>
              </w:rPr>
              <w:t>Program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 w:rsidRPr="00B4124B">
              <w:rPr>
                <w:rFonts w:ascii="Arial" w:eastAsia="Times New Roman" w:hAnsi="Arial" w:cs="Arial"/>
                <w:b/>
                <w:lang w:eastAsia="cs-CZ"/>
              </w:rPr>
              <w:t>Název výzvy</w:t>
            </w:r>
          </w:p>
        </w:tc>
      </w:tr>
      <w:tr w:rsidR="000462AA" w:rsidRPr="00B4124B" w:rsidTr="0073392D">
        <w:trPr>
          <w:trHeight w:val="290"/>
          <w:jc w:val="center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NEZNÁMÝ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2Q/2017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ind w:left="213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OP</w:t>
            </w:r>
            <w:r w:rsidR="0073392D" w:rsidRPr="00B4124B">
              <w:rPr>
                <w:rFonts w:ascii="Arial" w:eastAsia="Times New Roman" w:hAnsi="Arial" w:cs="Arial"/>
                <w:lang w:eastAsia="cs-CZ"/>
              </w:rPr>
              <w:t> </w:t>
            </w:r>
            <w:r w:rsidRPr="00B4124B">
              <w:rPr>
                <w:rFonts w:ascii="Arial" w:eastAsia="Times New Roman" w:hAnsi="Arial" w:cs="Arial"/>
                <w:lang w:eastAsia="cs-CZ"/>
              </w:rPr>
              <w:t>PIK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Expanze – záruky a úvěry</w:t>
            </w:r>
          </w:p>
        </w:tc>
      </w:tr>
      <w:tr w:rsidR="000462AA" w:rsidRPr="00B4124B" w:rsidTr="0073392D">
        <w:trPr>
          <w:trHeight w:val="290"/>
          <w:jc w:val="center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NEZNÁMÝ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3Q/2017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ind w:left="213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OP</w:t>
            </w:r>
            <w:r w:rsidR="0073392D" w:rsidRPr="00B4124B">
              <w:rPr>
                <w:rFonts w:ascii="Arial" w:eastAsia="Times New Roman" w:hAnsi="Arial" w:cs="Arial"/>
                <w:lang w:eastAsia="cs-CZ"/>
              </w:rPr>
              <w:t> </w:t>
            </w:r>
            <w:r w:rsidRPr="00B4124B">
              <w:rPr>
                <w:rFonts w:ascii="Arial" w:eastAsia="Times New Roman" w:hAnsi="Arial" w:cs="Arial"/>
                <w:lang w:eastAsia="cs-CZ"/>
              </w:rPr>
              <w:t>PIK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 xml:space="preserve">Spolupráce III. - TP </w:t>
            </w:r>
          </w:p>
        </w:tc>
      </w:tr>
      <w:tr w:rsidR="000462AA" w:rsidRPr="00B4124B" w:rsidTr="0073392D">
        <w:trPr>
          <w:trHeight w:val="290"/>
          <w:jc w:val="center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NEZNÁMÝ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4Q/2017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ind w:left="213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OP</w:t>
            </w:r>
            <w:r w:rsidR="0073392D" w:rsidRPr="00B4124B">
              <w:rPr>
                <w:rFonts w:ascii="Arial" w:eastAsia="Times New Roman" w:hAnsi="Arial" w:cs="Arial"/>
                <w:lang w:eastAsia="cs-CZ"/>
              </w:rPr>
              <w:t> </w:t>
            </w:r>
            <w:r w:rsidRPr="00B4124B">
              <w:rPr>
                <w:rFonts w:ascii="Arial" w:eastAsia="Times New Roman" w:hAnsi="Arial" w:cs="Arial"/>
                <w:lang w:eastAsia="cs-CZ"/>
              </w:rPr>
              <w:t>VVV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Implementace místních akčních plánů I</w:t>
            </w:r>
          </w:p>
        </w:tc>
      </w:tr>
      <w:tr w:rsidR="000462AA" w:rsidRPr="00B4124B" w:rsidTr="0073392D">
        <w:trPr>
          <w:trHeight w:val="290"/>
          <w:jc w:val="center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NEZNÁMÝ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4Q/2017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ind w:left="213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OP</w:t>
            </w:r>
            <w:r w:rsidR="0073392D" w:rsidRPr="00B4124B">
              <w:rPr>
                <w:rFonts w:ascii="Arial" w:eastAsia="Times New Roman" w:hAnsi="Arial" w:cs="Arial"/>
                <w:lang w:eastAsia="cs-CZ"/>
              </w:rPr>
              <w:t> </w:t>
            </w:r>
            <w:r w:rsidRPr="00B4124B">
              <w:rPr>
                <w:rFonts w:ascii="Arial" w:eastAsia="Times New Roman" w:hAnsi="Arial" w:cs="Arial"/>
                <w:lang w:eastAsia="cs-CZ"/>
              </w:rPr>
              <w:t>VVV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Podpora zájmového vzdělávání - projekty zjednodušeného vykazování</w:t>
            </w:r>
          </w:p>
        </w:tc>
      </w:tr>
      <w:tr w:rsidR="000462AA" w:rsidRPr="00B4124B" w:rsidTr="0073392D">
        <w:trPr>
          <w:trHeight w:val="290"/>
          <w:jc w:val="center"/>
        </w:trPr>
        <w:tc>
          <w:tcPr>
            <w:tcW w:w="1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NEZNÁMÝ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2017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ind w:left="213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OP</w:t>
            </w:r>
            <w:r w:rsidR="0073392D" w:rsidRPr="00B4124B">
              <w:rPr>
                <w:rFonts w:ascii="Arial" w:eastAsia="Times New Roman" w:hAnsi="Arial" w:cs="Arial"/>
                <w:lang w:eastAsia="cs-CZ"/>
              </w:rPr>
              <w:t> </w:t>
            </w:r>
            <w:r w:rsidRPr="00B4124B">
              <w:rPr>
                <w:rFonts w:ascii="Arial" w:eastAsia="Times New Roman" w:hAnsi="Arial" w:cs="Arial"/>
                <w:lang w:eastAsia="cs-CZ"/>
              </w:rPr>
              <w:t>PPR</w:t>
            </w:r>
          </w:p>
        </w:tc>
        <w:tc>
          <w:tcPr>
            <w:tcW w:w="52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A566F8" w:rsidRPr="00B4124B" w:rsidRDefault="00A566F8" w:rsidP="0073392D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4124B">
              <w:rPr>
                <w:rFonts w:ascii="Arial" w:eastAsia="Times New Roman" w:hAnsi="Arial" w:cs="Arial"/>
                <w:lang w:eastAsia="cs-CZ"/>
              </w:rPr>
              <w:t>Rozvoj inovačních firem v počátečních obdobích jejich životního cyklu</w:t>
            </w:r>
          </w:p>
        </w:tc>
      </w:tr>
    </w:tbl>
    <w:p w:rsidR="00A566F8" w:rsidRPr="00B4124B" w:rsidRDefault="00336E20" w:rsidP="00336E20">
      <w:pPr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 xml:space="preserve">   </w:t>
      </w:r>
      <w:r w:rsidR="00E12988" w:rsidRPr="00B4124B">
        <w:rPr>
          <w:rFonts w:ascii="Arial" w:hAnsi="Arial" w:cs="Arial"/>
          <w:i/>
        </w:rPr>
        <w:t>Zdroj:</w:t>
      </w:r>
      <w:r w:rsidR="0057474A" w:rsidRPr="00B4124B">
        <w:rPr>
          <w:rFonts w:ascii="Arial" w:hAnsi="Arial" w:cs="Arial"/>
          <w:i/>
        </w:rPr>
        <w:t xml:space="preserve"> MPO</w:t>
      </w:r>
      <w:r w:rsidR="003E345F" w:rsidRPr="00B4124B">
        <w:rPr>
          <w:rFonts w:ascii="Arial" w:hAnsi="Arial" w:cs="Arial"/>
          <w:i/>
        </w:rPr>
        <w:t>, MŠMT, Hl. m. Praha</w:t>
      </w:r>
    </w:p>
    <w:p w:rsidR="00A566F8" w:rsidRPr="00B4124B" w:rsidRDefault="00A566F8" w:rsidP="00A8764C">
      <w:pPr>
        <w:spacing w:line="360" w:lineRule="auto"/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Jak je dále patrno z</w:t>
      </w:r>
      <w:r w:rsidR="008F2BF4" w:rsidRPr="00B4124B">
        <w:rPr>
          <w:rFonts w:ascii="Arial" w:hAnsi="Arial" w:cs="Arial"/>
        </w:rPr>
        <w:t xml:space="preserve"> Grafu 1 </w:t>
      </w:r>
      <w:r w:rsidRPr="00B4124B">
        <w:rPr>
          <w:rFonts w:ascii="Arial" w:hAnsi="Arial" w:cs="Arial"/>
        </w:rPr>
        <w:t xml:space="preserve">byla plánovaná podpora EU na rok 2017 ke konci října daného roku využita prozatím pouze u výzev OP PIK s názvem „POTENCIÁL - III. VÝZVA“ a „INOVACE - Inovační projekt </w:t>
      </w:r>
      <w:r w:rsidR="00343EDA" w:rsidRPr="00B4124B">
        <w:rPr>
          <w:rFonts w:ascii="Arial" w:hAnsi="Arial" w:cs="Arial"/>
        </w:rPr>
        <w:t>–</w:t>
      </w:r>
      <w:r w:rsidRPr="00B4124B">
        <w:rPr>
          <w:rFonts w:ascii="Arial" w:hAnsi="Arial" w:cs="Arial"/>
        </w:rPr>
        <w:t xml:space="preserve"> Výzva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III“, a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to ve výši 3,21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Kč, což činí cca 7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% celkové alokace pro operační programy RIS3 strategie 2017, která činí cca 43,12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Kč.</w:t>
      </w:r>
    </w:p>
    <w:p w:rsidR="00C51DEE" w:rsidRPr="00B4124B" w:rsidRDefault="00C51DEE" w:rsidP="00C51DEE">
      <w:pPr>
        <w:spacing w:line="360" w:lineRule="auto"/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Výzva OP PPR s názvem „Projekty zadávání veřejných zakázek v předobchodní fázi (PCP) a inovační poptávky veřejného sektoru (PPI)“ (tj. výzva č. 29) byla v říjnu 2017 ve stavu probíhajícího příjmu žádostí (od 24. 7. 2017 do 29. 3. 2018). Výzva OP PPR s názvem „Podpora transferu technologií a znalostí z výzkumných organizací do praxe“ (tj. výzva č. 32) byla také v říjnu 2017 ve stavu probíhajícího příjmu žádostí (od 9. 10. 2017 do 14. 2. 2018). </w:t>
      </w:r>
    </w:p>
    <w:p w:rsidR="00A566F8" w:rsidRPr="00B4124B" w:rsidRDefault="00A8764C" w:rsidP="00A8764C">
      <w:pPr>
        <w:spacing w:line="360" w:lineRule="auto"/>
        <w:rPr>
          <w:rFonts w:ascii="Arial" w:hAnsi="Arial" w:cs="Arial"/>
        </w:rPr>
      </w:pPr>
      <w:r w:rsidRPr="00B4124B">
        <w:rPr>
          <w:rFonts w:ascii="Arial" w:hAnsi="Arial" w:cs="Arial"/>
        </w:rPr>
        <w:t>Nejvyš</w:t>
      </w:r>
      <w:r w:rsidR="00A566F8" w:rsidRPr="00B4124B">
        <w:rPr>
          <w:rFonts w:ascii="Arial" w:hAnsi="Arial" w:cs="Arial"/>
        </w:rPr>
        <w:t>ší alokace pro rok 2017 byly naplánovány pro podporu následujících oblastí:</w:t>
      </w:r>
    </w:p>
    <w:p w:rsidR="00A566F8" w:rsidRPr="00B4124B" w:rsidRDefault="00A566F8" w:rsidP="00B35B7D">
      <w:pPr>
        <w:pStyle w:val="Odstavecseseznamem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>zvýšení dostupnosti veřejné ICT infrastruktury</w:t>
      </w:r>
      <w:r w:rsidRPr="00B4124B">
        <w:rPr>
          <w:rFonts w:ascii="Arial" w:hAnsi="Arial" w:cs="Arial"/>
        </w:rPr>
        <w:t xml:space="preserve"> (Vysokorychlostní internet I. – OP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PIK; 11,55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Kč),</w:t>
      </w:r>
    </w:p>
    <w:p w:rsidR="00A566F8" w:rsidRPr="00B4124B" w:rsidRDefault="00A566F8" w:rsidP="00B35B7D">
      <w:pPr>
        <w:pStyle w:val="Odstavecseseznamem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B4124B">
        <w:rPr>
          <w:rFonts w:ascii="Arial" w:hAnsi="Arial" w:cs="Arial"/>
          <w:b/>
        </w:rPr>
        <w:lastRenderedPageBreak/>
        <w:t xml:space="preserve">posílení VaV kapacit firem </w:t>
      </w:r>
      <w:r w:rsidRPr="00B4124B">
        <w:rPr>
          <w:rFonts w:ascii="Arial" w:hAnsi="Arial" w:cs="Arial"/>
        </w:rPr>
        <w:t>(INOVACE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III a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IV – OP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PIK; 8,50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Kč),</w:t>
      </w:r>
    </w:p>
    <w:p w:rsidR="00A566F8" w:rsidRPr="00B4124B" w:rsidRDefault="00A566F8" w:rsidP="00B35B7D">
      <w:pPr>
        <w:pStyle w:val="Odstavecseseznamem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B4124B">
        <w:rPr>
          <w:rFonts w:ascii="Arial" w:hAnsi="Arial" w:cs="Arial"/>
          <w:b/>
        </w:rPr>
        <w:t xml:space="preserve">spolupráce VO a firem </w:t>
      </w:r>
      <w:r w:rsidRPr="00B4124B">
        <w:rPr>
          <w:rFonts w:ascii="Arial" w:hAnsi="Arial" w:cs="Arial"/>
        </w:rPr>
        <w:t>(APLIKACE III. – OP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PIK; 4,50</w:t>
      </w:r>
      <w:r w:rsidR="00343EDA" w:rsidRPr="00B4124B">
        <w:rPr>
          <w:rFonts w:ascii="Arial" w:hAnsi="Arial" w:cs="Arial"/>
        </w:rPr>
        <w:t> mld. </w:t>
      </w:r>
      <w:r w:rsidRPr="00B4124B">
        <w:rPr>
          <w:rFonts w:ascii="Arial" w:hAnsi="Arial" w:cs="Arial"/>
        </w:rPr>
        <w:t>Kč),</w:t>
      </w:r>
    </w:p>
    <w:p w:rsidR="00A566F8" w:rsidRPr="00B4124B" w:rsidRDefault="00A566F8" w:rsidP="00B35B7D">
      <w:pPr>
        <w:pStyle w:val="Odstavecseseznamem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B4124B">
        <w:rPr>
          <w:rFonts w:ascii="Arial" w:hAnsi="Arial" w:cs="Arial"/>
          <w:b/>
        </w:rPr>
        <w:t xml:space="preserve">zvýšení kvality absolventů škol a podpora talentů </w:t>
      </w:r>
      <w:r w:rsidRPr="00B4124B">
        <w:rPr>
          <w:rFonts w:ascii="Arial" w:hAnsi="Arial" w:cs="Arial"/>
        </w:rPr>
        <w:t xml:space="preserve">(Místní akční plány rozvoje vzdělávání II – </w:t>
      </w:r>
      <w:r w:rsidR="00343EDA" w:rsidRPr="00B4124B">
        <w:rPr>
          <w:rFonts w:ascii="Arial" w:hAnsi="Arial" w:cs="Arial"/>
        </w:rPr>
        <w:t>OP </w:t>
      </w:r>
      <w:r w:rsidRPr="00B4124B">
        <w:rPr>
          <w:rFonts w:ascii="Arial" w:hAnsi="Arial" w:cs="Arial"/>
        </w:rPr>
        <w:t>VVV; 3,00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Kč).</w:t>
      </w:r>
    </w:p>
    <w:p w:rsidR="00A566F8" w:rsidRPr="00B4124B" w:rsidRDefault="00A566F8" w:rsidP="00294830">
      <w:pPr>
        <w:spacing w:line="360" w:lineRule="auto"/>
        <w:ind w:firstLine="545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Pro </w:t>
      </w:r>
      <w:r w:rsidRPr="00B4124B">
        <w:rPr>
          <w:rFonts w:ascii="Arial" w:hAnsi="Arial" w:cs="Arial"/>
          <w:b/>
        </w:rPr>
        <w:t xml:space="preserve">rok 2018 </w:t>
      </w:r>
      <w:r w:rsidR="00294830" w:rsidRPr="00B4124B">
        <w:rPr>
          <w:rFonts w:ascii="Arial" w:hAnsi="Arial" w:cs="Arial"/>
          <w:b/>
        </w:rPr>
        <w:t>(</w:t>
      </w:r>
      <w:r w:rsidR="00A418E9" w:rsidRPr="00B4124B">
        <w:rPr>
          <w:rFonts w:ascii="Arial" w:hAnsi="Arial" w:cs="Arial"/>
          <w:b/>
          <w:highlight w:val="yellow"/>
        </w:rPr>
        <w:fldChar w:fldCharType="begin"/>
      </w:r>
      <w:r w:rsidR="00A418E9" w:rsidRPr="00B4124B">
        <w:rPr>
          <w:rFonts w:ascii="Arial" w:hAnsi="Arial" w:cs="Arial"/>
          <w:b/>
        </w:rPr>
        <w:instrText xml:space="preserve"> REF _Ref513016802 \h </w:instrText>
      </w:r>
      <w:r w:rsidR="00A418E9" w:rsidRPr="00B4124B">
        <w:rPr>
          <w:rFonts w:ascii="Arial" w:hAnsi="Arial" w:cs="Arial"/>
          <w:b/>
          <w:highlight w:val="yellow"/>
        </w:rPr>
        <w:instrText xml:space="preserve"> \* MERGEFORMAT </w:instrText>
      </w:r>
      <w:r w:rsidR="00A418E9" w:rsidRPr="00B4124B">
        <w:rPr>
          <w:rFonts w:ascii="Arial" w:hAnsi="Arial" w:cs="Arial"/>
          <w:b/>
          <w:highlight w:val="yellow"/>
        </w:rPr>
      </w:r>
      <w:r w:rsidR="00A418E9" w:rsidRPr="00B4124B">
        <w:rPr>
          <w:rFonts w:ascii="Arial" w:hAnsi="Arial" w:cs="Arial"/>
          <w:b/>
          <w:highlight w:val="yellow"/>
        </w:rPr>
        <w:fldChar w:fldCharType="separate"/>
      </w:r>
      <w:r w:rsidR="00295F79" w:rsidRPr="00B4124B">
        <w:rPr>
          <w:rFonts w:ascii="Arial" w:hAnsi="Arial" w:cs="Arial"/>
          <w:b/>
        </w:rPr>
        <w:t xml:space="preserve">Graf </w:t>
      </w:r>
      <w:r w:rsidR="00295F79" w:rsidRPr="00B4124B">
        <w:rPr>
          <w:rFonts w:ascii="Arial" w:hAnsi="Arial" w:cs="Arial"/>
          <w:b/>
          <w:noProof/>
        </w:rPr>
        <w:t>4</w:t>
      </w:r>
      <w:r w:rsidR="00A418E9" w:rsidRPr="00B4124B">
        <w:rPr>
          <w:rFonts w:ascii="Arial" w:hAnsi="Arial" w:cs="Arial"/>
          <w:b/>
          <w:highlight w:val="yellow"/>
        </w:rPr>
        <w:fldChar w:fldCharType="end"/>
      </w:r>
      <w:r w:rsidR="00294830" w:rsidRPr="00B4124B">
        <w:rPr>
          <w:rFonts w:ascii="Arial" w:hAnsi="Arial" w:cs="Arial"/>
          <w:b/>
        </w:rPr>
        <w:t xml:space="preserve">) </w:t>
      </w:r>
      <w:r w:rsidRPr="00B4124B">
        <w:rPr>
          <w:rFonts w:ascii="Arial" w:hAnsi="Arial" w:cs="Arial"/>
        </w:rPr>
        <w:t>je plánováno</w:t>
      </w:r>
      <w:r w:rsidRPr="00B4124B">
        <w:rPr>
          <w:rFonts w:ascii="Arial" w:hAnsi="Arial" w:cs="Arial"/>
          <w:b/>
        </w:rPr>
        <w:t xml:space="preserve"> vyhlášení 26 nových intervencí</w:t>
      </w:r>
      <w:r w:rsidRPr="00B4124B">
        <w:rPr>
          <w:rFonts w:ascii="Arial" w:hAnsi="Arial" w:cs="Arial"/>
        </w:rPr>
        <w:t xml:space="preserve"> s celkovou alokací </w:t>
      </w:r>
      <w:r w:rsidR="00294830" w:rsidRPr="00B4124B">
        <w:rPr>
          <w:rFonts w:ascii="Arial" w:hAnsi="Arial" w:cs="Arial"/>
          <w:b/>
        </w:rPr>
        <w:t>19,53 </w:t>
      </w:r>
      <w:r w:rsidRPr="00B4124B">
        <w:rPr>
          <w:rFonts w:ascii="Arial" w:hAnsi="Arial" w:cs="Arial"/>
          <w:b/>
        </w:rPr>
        <w:t>mld. Kč</w:t>
      </w:r>
      <w:r w:rsidRPr="00B4124B">
        <w:rPr>
          <w:rStyle w:val="Znakapoznpodarou"/>
          <w:rFonts w:ascii="Arial" w:hAnsi="Arial" w:cs="Arial"/>
        </w:rPr>
        <w:footnoteReference w:id="4"/>
      </w:r>
      <w:r w:rsidR="00294830" w:rsidRPr="00B4124B">
        <w:rPr>
          <w:rFonts w:ascii="Arial" w:hAnsi="Arial" w:cs="Arial"/>
        </w:rPr>
        <w:t>. Nejvyš</w:t>
      </w:r>
      <w:r w:rsidRPr="00B4124B">
        <w:rPr>
          <w:rFonts w:ascii="Arial" w:hAnsi="Arial" w:cs="Arial"/>
        </w:rPr>
        <w:t>ší alokace pro daný rok byly naplánovány pro podporu následujících oblastí:</w:t>
      </w:r>
    </w:p>
    <w:p w:rsidR="00A566F8" w:rsidRPr="00B4124B" w:rsidRDefault="00A566F8" w:rsidP="00B35B7D">
      <w:pPr>
        <w:pStyle w:val="Odstavecseseznamem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 xml:space="preserve">podpora využívání ICT při podnikání </w:t>
      </w:r>
      <w:r w:rsidRPr="00B4124B">
        <w:rPr>
          <w:rFonts w:ascii="Arial" w:hAnsi="Arial" w:cs="Arial"/>
        </w:rPr>
        <w:t>(IV.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a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V. Výzva ICT a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sdílené služby – OP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PIK; 4,00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343ED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Kč),</w:t>
      </w:r>
    </w:p>
    <w:p w:rsidR="00A566F8" w:rsidRPr="00B4124B" w:rsidRDefault="00A566F8" w:rsidP="00B35B7D">
      <w:pPr>
        <w:pStyle w:val="Odstavecseseznamem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>financování výzkumných infrastruktur</w:t>
      </w:r>
      <w:r w:rsidRPr="00B4124B">
        <w:rPr>
          <w:rFonts w:ascii="Arial" w:hAnsi="Arial" w:cs="Arial"/>
        </w:rPr>
        <w:t xml:space="preserve"> (Výzkumné infrastruktury</w:t>
      </w:r>
      <w:r w:rsidR="00365467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II. – OP</w:t>
      </w:r>
      <w:r w:rsidR="00365467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VVV; 3,00</w:t>
      </w:r>
      <w:r w:rsidR="00365467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365467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Kč),</w:t>
      </w:r>
    </w:p>
    <w:p w:rsidR="00A566F8" w:rsidRPr="00B4124B" w:rsidRDefault="00A566F8" w:rsidP="00B35B7D">
      <w:pPr>
        <w:pStyle w:val="Odstavecseseznamem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>zvýšení dostupnosti veřejné ICT infrastruktury</w:t>
      </w:r>
      <w:r w:rsidRPr="00B4124B">
        <w:rPr>
          <w:rFonts w:ascii="Arial" w:hAnsi="Arial" w:cs="Arial"/>
        </w:rPr>
        <w:t xml:space="preserve"> (II. Výzva Vysokorychlostní internet – OP</w:t>
      </w:r>
      <w:r w:rsidR="00AE0B5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PIK; 2,45</w:t>
      </w:r>
      <w:r w:rsidR="00AE0B5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AE0B5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Kč).</w:t>
      </w:r>
    </w:p>
    <w:p w:rsidR="00CD3F33" w:rsidRPr="00B4124B" w:rsidRDefault="00CD3F33">
      <w:pPr>
        <w:rPr>
          <w:rFonts w:ascii="Arial" w:hAnsi="Arial" w:cs="Arial"/>
          <w:i/>
          <w:iCs/>
          <w:color w:val="004B8D" w:themeColor="text2"/>
        </w:rPr>
      </w:pPr>
      <w:bookmarkStart w:id="14" w:name="_Ref508277397"/>
      <w:r w:rsidRPr="00B4124B">
        <w:rPr>
          <w:rFonts w:ascii="Arial" w:hAnsi="Arial" w:cs="Arial"/>
        </w:rPr>
        <w:br w:type="page"/>
      </w:r>
    </w:p>
    <w:p w:rsidR="00A566F8" w:rsidRPr="00B4124B" w:rsidRDefault="0054041F" w:rsidP="0054041F">
      <w:pPr>
        <w:pStyle w:val="Titulek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15" w:name="_Toc513016256"/>
      <w:bookmarkEnd w:id="14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lastRenderedPageBreak/>
        <w:t xml:space="preserve">Graf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Graf \* ARABIC </w:instrTex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1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</w:t>
      </w:r>
      <w:r w:rsidR="00A566F8"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– Intervence </w:t>
      </w:r>
      <w:r w:rsidR="00294830" w:rsidRPr="00B4124B">
        <w:rPr>
          <w:rFonts w:ascii="Arial" w:hAnsi="Arial" w:cs="Arial"/>
          <w:b/>
          <w:i w:val="0"/>
          <w:color w:val="auto"/>
          <w:sz w:val="22"/>
          <w:szCs w:val="22"/>
        </w:rPr>
        <w:t>operačních programů s vazbou na RIS3 strategii</w:t>
      </w:r>
      <w:r w:rsidR="00A566F8"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vyhlášené v roce 2017</w:t>
      </w:r>
      <w:bookmarkEnd w:id="15"/>
    </w:p>
    <w:p w:rsidR="00A566F8" w:rsidRPr="00B4124B" w:rsidRDefault="00A566F8" w:rsidP="00A566F8">
      <w:pPr>
        <w:rPr>
          <w:rFonts w:ascii="Arial" w:hAnsi="Arial" w:cs="Arial"/>
        </w:rPr>
      </w:pPr>
      <w:r w:rsidRPr="00B4124B">
        <w:rPr>
          <w:rFonts w:ascii="Arial" w:hAnsi="Arial" w:cs="Arial"/>
          <w:noProof/>
          <w:lang w:eastAsia="cs-CZ"/>
        </w:rPr>
        <w:drawing>
          <wp:inline distT="0" distB="0" distL="0" distR="0" wp14:anchorId="1D32106D" wp14:editId="24ACE19E">
            <wp:extent cx="5624195" cy="8534400"/>
            <wp:effectExtent l="0" t="0" r="14605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D3F33" w:rsidRPr="00B4124B" w:rsidRDefault="00CD3F33" w:rsidP="00A566F8">
      <w:pPr>
        <w:pStyle w:val="Titulek"/>
        <w:rPr>
          <w:rFonts w:ascii="Arial" w:hAnsi="Arial" w:cs="Arial"/>
          <w:iCs w:val="0"/>
          <w:color w:val="000000" w:themeColor="text1"/>
          <w:sz w:val="22"/>
          <w:szCs w:val="22"/>
        </w:rPr>
      </w:pPr>
      <w:r w:rsidRPr="00B4124B">
        <w:rPr>
          <w:rFonts w:ascii="Arial" w:hAnsi="Arial" w:cs="Arial"/>
          <w:iCs w:val="0"/>
          <w:color w:val="000000" w:themeColor="text1"/>
          <w:sz w:val="22"/>
          <w:szCs w:val="22"/>
        </w:rPr>
        <w:t>Zdroj:</w:t>
      </w:r>
      <w:r w:rsidR="0057474A" w:rsidRPr="00B4124B">
        <w:rPr>
          <w:rFonts w:ascii="Arial" w:hAnsi="Arial" w:cs="Arial"/>
          <w:iCs w:val="0"/>
          <w:color w:val="000000" w:themeColor="text1"/>
          <w:sz w:val="22"/>
          <w:szCs w:val="22"/>
        </w:rPr>
        <w:t xml:space="preserve"> MPO</w:t>
      </w:r>
    </w:p>
    <w:p w:rsidR="00A566F8" w:rsidRPr="00B4124B" w:rsidRDefault="00ED137D" w:rsidP="00ED137D">
      <w:pPr>
        <w:pStyle w:val="Titulek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16" w:name="_Toc513016257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lastRenderedPageBreak/>
        <w:t xml:space="preserve">Graf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Graf \* ARABIC </w:instrTex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2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B4124B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A566F8" w:rsidRPr="00B4124B">
        <w:rPr>
          <w:rFonts w:ascii="Arial" w:hAnsi="Arial" w:cs="Arial"/>
          <w:b/>
          <w:i w:val="0"/>
          <w:color w:val="auto"/>
          <w:sz w:val="22"/>
          <w:szCs w:val="22"/>
        </w:rPr>
        <w:t>– Intervence RIS3 strategie plánované pro rok 2018</w:t>
      </w:r>
      <w:bookmarkEnd w:id="16"/>
    </w:p>
    <w:p w:rsidR="00A566F8" w:rsidRPr="00B4124B" w:rsidRDefault="00A566F8" w:rsidP="00ED137D">
      <w:pPr>
        <w:jc w:val="center"/>
        <w:rPr>
          <w:rFonts w:ascii="Arial" w:hAnsi="Arial" w:cs="Arial"/>
          <w:color w:val="4F81BD"/>
        </w:rPr>
      </w:pPr>
      <w:r w:rsidRPr="00B4124B">
        <w:rPr>
          <w:rFonts w:ascii="Arial" w:hAnsi="Arial" w:cs="Arial"/>
          <w:noProof/>
          <w:lang w:eastAsia="cs-CZ"/>
        </w:rPr>
        <w:drawing>
          <wp:inline distT="0" distB="0" distL="0" distR="0" wp14:anchorId="175830D5" wp14:editId="2D562B54">
            <wp:extent cx="5857240" cy="8514271"/>
            <wp:effectExtent l="0" t="0" r="10160" b="127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74711" w:rsidRPr="00B4124B" w:rsidRDefault="00474711" w:rsidP="00822007">
      <w:pPr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Zdroj:</w:t>
      </w:r>
      <w:r w:rsidR="001213DC" w:rsidRPr="00B4124B">
        <w:rPr>
          <w:rFonts w:ascii="Arial" w:hAnsi="Arial" w:cs="Arial"/>
          <w:i/>
        </w:rPr>
        <w:t xml:space="preserve"> MPO</w:t>
      </w:r>
    </w:p>
    <w:p w:rsidR="00A566F8" w:rsidRPr="00B4124B" w:rsidRDefault="00A566F8" w:rsidP="00822007">
      <w:pPr>
        <w:rPr>
          <w:rFonts w:ascii="Arial" w:hAnsi="Arial" w:cs="Arial"/>
          <w:b/>
        </w:rPr>
      </w:pPr>
      <w:r w:rsidRPr="00B4124B">
        <w:rPr>
          <w:rFonts w:ascii="Arial" w:hAnsi="Arial" w:cs="Arial"/>
          <w:b/>
        </w:rPr>
        <w:lastRenderedPageBreak/>
        <w:t>Výzvy pro integrované územní investice</w:t>
      </w:r>
    </w:p>
    <w:p w:rsidR="00A566F8" w:rsidRPr="00B4124B" w:rsidRDefault="00A566F8" w:rsidP="00A8764C">
      <w:pPr>
        <w:shd w:val="clear" w:color="auto" w:fill="FFFFFF"/>
        <w:spacing w:after="300" w:line="360" w:lineRule="auto"/>
        <w:ind w:firstLine="576"/>
        <w:jc w:val="both"/>
        <w:rPr>
          <w:rFonts w:ascii="Arial" w:eastAsia="Times New Roman" w:hAnsi="Arial" w:cs="Arial"/>
          <w:lang w:eastAsia="cs-CZ"/>
        </w:rPr>
      </w:pPr>
      <w:r w:rsidRPr="00B4124B">
        <w:rPr>
          <w:rFonts w:ascii="Arial" w:eastAsia="Times New Roman" w:hAnsi="Arial" w:cs="Arial"/>
          <w:lang w:eastAsia="cs-CZ"/>
        </w:rPr>
        <w:t>Integrované územní investice (zkratka ITI: Integrated Territorial Investments). Jedná se o</w:t>
      </w:r>
      <w:r w:rsidR="003335D8" w:rsidRPr="00B4124B">
        <w:rPr>
          <w:rFonts w:ascii="Arial" w:eastAsia="Times New Roman" w:hAnsi="Arial" w:cs="Arial"/>
          <w:lang w:eastAsia="cs-CZ"/>
        </w:rPr>
        <w:t> </w:t>
      </w:r>
      <w:r w:rsidRPr="00B4124B">
        <w:rPr>
          <w:rFonts w:ascii="Arial" w:eastAsia="Times New Roman" w:hAnsi="Arial" w:cs="Arial"/>
          <w:lang w:eastAsia="cs-CZ"/>
        </w:rPr>
        <w:t>jeden z nástrojů regionální politiky pro čerpání finančních prostředků ze strukturálních a investičních fondů EU</w:t>
      </w:r>
      <w:r w:rsidR="00822007" w:rsidRPr="00B4124B">
        <w:rPr>
          <w:rFonts w:ascii="Arial" w:eastAsia="Times New Roman" w:hAnsi="Arial" w:cs="Arial"/>
          <w:lang w:eastAsia="cs-CZ"/>
        </w:rPr>
        <w:t xml:space="preserve"> s vazbou na Národní RIS3 strategii</w:t>
      </w:r>
      <w:r w:rsidRPr="00B4124B">
        <w:rPr>
          <w:rFonts w:ascii="Arial" w:eastAsia="Times New Roman" w:hAnsi="Arial" w:cs="Arial"/>
          <w:lang w:eastAsia="cs-CZ"/>
        </w:rPr>
        <w:t>. Integrované územní investice jsou určeny pro metropolitní oblasti a sídelní aglomerace s</w:t>
      </w:r>
      <w:r w:rsidR="003335D8" w:rsidRPr="00B4124B">
        <w:rPr>
          <w:rFonts w:ascii="Arial" w:eastAsia="Times New Roman" w:hAnsi="Arial" w:cs="Arial"/>
          <w:lang w:eastAsia="cs-CZ"/>
        </w:rPr>
        <w:t> </w:t>
      </w:r>
      <w:r w:rsidRPr="00B4124B">
        <w:rPr>
          <w:rFonts w:ascii="Arial" w:eastAsia="Times New Roman" w:hAnsi="Arial" w:cs="Arial"/>
          <w:lang w:eastAsia="cs-CZ"/>
        </w:rPr>
        <w:t>obyvatelstvem nad 300</w:t>
      </w:r>
      <w:r w:rsidR="003335D8" w:rsidRPr="00B4124B">
        <w:rPr>
          <w:rFonts w:ascii="Arial" w:eastAsia="Times New Roman" w:hAnsi="Arial" w:cs="Arial"/>
          <w:lang w:eastAsia="cs-CZ"/>
        </w:rPr>
        <w:t> </w:t>
      </w:r>
      <w:r w:rsidRPr="00B4124B">
        <w:rPr>
          <w:rFonts w:ascii="Arial" w:eastAsia="Times New Roman" w:hAnsi="Arial" w:cs="Arial"/>
          <w:lang w:eastAsia="cs-CZ"/>
        </w:rPr>
        <w:t>tis.</w:t>
      </w:r>
      <w:r w:rsidR="003335D8" w:rsidRPr="00B4124B">
        <w:rPr>
          <w:rFonts w:ascii="Arial" w:eastAsia="Times New Roman" w:hAnsi="Arial" w:cs="Arial"/>
          <w:lang w:eastAsia="cs-CZ"/>
        </w:rPr>
        <w:t> </w:t>
      </w:r>
      <w:r w:rsidRPr="00B4124B">
        <w:rPr>
          <w:rFonts w:ascii="Arial" w:eastAsia="Times New Roman" w:hAnsi="Arial" w:cs="Arial"/>
          <w:lang w:eastAsia="cs-CZ"/>
        </w:rPr>
        <w:t>obyvatel. Metropolitní oblasti i</w:t>
      </w:r>
      <w:r w:rsidR="003335D8" w:rsidRPr="00B4124B">
        <w:rPr>
          <w:rFonts w:ascii="Arial" w:eastAsia="Times New Roman" w:hAnsi="Arial" w:cs="Arial"/>
          <w:lang w:eastAsia="cs-CZ"/>
        </w:rPr>
        <w:t> </w:t>
      </w:r>
      <w:r w:rsidRPr="00B4124B">
        <w:rPr>
          <w:rFonts w:ascii="Arial" w:eastAsia="Times New Roman" w:hAnsi="Arial" w:cs="Arial"/>
          <w:lang w:eastAsia="cs-CZ"/>
        </w:rPr>
        <w:t xml:space="preserve">sídelní aglomerace musejí mít vypracované </w:t>
      </w:r>
      <w:r w:rsidRPr="00B4124B">
        <w:rPr>
          <w:rFonts w:ascii="Arial" w:hAnsi="Arial" w:cs="Arial"/>
          <w:lang w:eastAsia="cs-CZ"/>
        </w:rPr>
        <w:t>a schválené</w:t>
      </w:r>
      <w:r w:rsidRPr="00B4124B">
        <w:rPr>
          <w:rFonts w:ascii="Arial" w:eastAsia="Times New Roman" w:hAnsi="Arial" w:cs="Arial"/>
          <w:lang w:eastAsia="cs-CZ"/>
        </w:rPr>
        <w:t xml:space="preserve"> Integrované územní strategie, které jsou nezbytné pro čerpání dotací </w:t>
      </w:r>
      <w:r w:rsidRPr="00B4124B">
        <w:rPr>
          <w:rFonts w:ascii="Arial" w:hAnsi="Arial" w:cs="Arial"/>
          <w:lang w:eastAsia="cs-CZ"/>
        </w:rPr>
        <w:t>z určených</w:t>
      </w:r>
      <w:r w:rsidRPr="00B4124B">
        <w:rPr>
          <w:rFonts w:ascii="Arial" w:eastAsia="Times New Roman" w:hAnsi="Arial" w:cs="Arial"/>
          <w:lang w:eastAsia="cs-CZ"/>
        </w:rPr>
        <w:t xml:space="preserve"> výzev. Strategie obsahují klíčové tematické okruhy rozvoje dané oblasti.</w:t>
      </w:r>
    </w:p>
    <w:p w:rsidR="00A566F8" w:rsidRPr="00B4124B" w:rsidRDefault="00A566F8" w:rsidP="003335D8">
      <w:pPr>
        <w:pStyle w:val="Titulek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17" w:name="_Toc513451953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Tabulka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Tabulka \* ARABIC </w:instrTex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4</w:t>
      </w:r>
      <w:r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fldChar w:fldCharType="end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- Metropolitní oblasti a sídelní aglomerace 2014 - 2020</w:t>
      </w:r>
      <w:bookmarkEnd w:id="17"/>
    </w:p>
    <w:tbl>
      <w:tblPr>
        <w:tblStyle w:val="Svtlseznam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2551"/>
      </w:tblGrid>
      <w:tr w:rsidR="003335D8" w:rsidRPr="00B4124B" w:rsidTr="003335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566F8" w:rsidRPr="00B4124B" w:rsidRDefault="00A566F8" w:rsidP="00D078A0">
            <w:pPr>
              <w:pStyle w:val="Bezmezer"/>
              <w:rPr>
                <w:rFonts w:ascii="Arial" w:hAnsi="Arial" w:cs="Arial"/>
                <w:color w:val="auto"/>
              </w:rPr>
            </w:pPr>
            <w:r w:rsidRPr="00B4124B">
              <w:rPr>
                <w:rFonts w:ascii="Arial" w:hAnsi="Arial" w:cs="Arial"/>
                <w:color w:val="auto"/>
              </w:rPr>
              <w:t>Metropolitní oblasti: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566F8" w:rsidRPr="00B4124B" w:rsidRDefault="00A566F8" w:rsidP="00D078A0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B4124B">
              <w:rPr>
                <w:rFonts w:ascii="Arial" w:hAnsi="Arial" w:cs="Arial"/>
                <w:color w:val="auto"/>
              </w:rPr>
              <w:t>Sídelní aglomerace:</w:t>
            </w:r>
          </w:p>
        </w:tc>
      </w:tr>
      <w:tr w:rsidR="003335D8" w:rsidRPr="00B4124B" w:rsidTr="003335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566F8" w:rsidRPr="00B4124B" w:rsidRDefault="00A566F8" w:rsidP="00D078A0">
            <w:pPr>
              <w:pStyle w:val="Bezmezer"/>
              <w:rPr>
                <w:rFonts w:ascii="Arial" w:hAnsi="Arial" w:cs="Arial"/>
                <w:b w:val="0"/>
              </w:rPr>
            </w:pPr>
            <w:r w:rsidRPr="00B4124B">
              <w:rPr>
                <w:rFonts w:ascii="Arial" w:eastAsia="Times New Roman" w:hAnsi="Arial" w:cs="Arial"/>
                <w:b w:val="0"/>
              </w:rPr>
              <w:t>Praha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566F8" w:rsidRPr="00B4124B" w:rsidRDefault="00A566F8" w:rsidP="00D078A0">
            <w:pPr>
              <w:pStyle w:val="Bezmez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4124B">
              <w:rPr>
                <w:rFonts w:ascii="Arial" w:eastAsia="Times New Roman" w:hAnsi="Arial" w:cs="Arial"/>
              </w:rPr>
              <w:t>Ústecko-chomutovská</w:t>
            </w:r>
          </w:p>
        </w:tc>
      </w:tr>
      <w:tr w:rsidR="003335D8" w:rsidRPr="00B4124B" w:rsidTr="003335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566F8" w:rsidRPr="00B4124B" w:rsidRDefault="00A566F8" w:rsidP="00D078A0">
            <w:pPr>
              <w:pStyle w:val="Bezmezer"/>
              <w:rPr>
                <w:rFonts w:ascii="Arial" w:hAnsi="Arial" w:cs="Arial"/>
                <w:b w:val="0"/>
              </w:rPr>
            </w:pPr>
            <w:r w:rsidRPr="00B4124B">
              <w:rPr>
                <w:rFonts w:ascii="Arial" w:eastAsia="Times New Roman" w:hAnsi="Arial" w:cs="Arial"/>
                <w:b w:val="0"/>
              </w:rPr>
              <w:t>Brno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566F8" w:rsidRPr="00B4124B" w:rsidRDefault="00A566F8" w:rsidP="00D078A0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4124B">
              <w:rPr>
                <w:rFonts w:ascii="Arial" w:eastAsia="Times New Roman" w:hAnsi="Arial" w:cs="Arial"/>
              </w:rPr>
              <w:t>Olomoucká</w:t>
            </w:r>
          </w:p>
        </w:tc>
      </w:tr>
      <w:tr w:rsidR="003335D8" w:rsidRPr="00B4124B" w:rsidTr="003335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566F8" w:rsidRPr="00B4124B" w:rsidRDefault="00A566F8" w:rsidP="00D078A0">
            <w:pPr>
              <w:pStyle w:val="Bezmezer"/>
              <w:rPr>
                <w:rFonts w:ascii="Arial" w:hAnsi="Arial" w:cs="Arial"/>
                <w:b w:val="0"/>
              </w:rPr>
            </w:pPr>
            <w:r w:rsidRPr="00B4124B">
              <w:rPr>
                <w:rFonts w:ascii="Arial" w:eastAsia="Times New Roman" w:hAnsi="Arial" w:cs="Arial"/>
                <w:b w:val="0"/>
              </w:rPr>
              <w:t>Ostrava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566F8" w:rsidRPr="00B4124B" w:rsidRDefault="00A566F8" w:rsidP="00D078A0">
            <w:pPr>
              <w:pStyle w:val="Bezmez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4124B">
              <w:rPr>
                <w:rFonts w:ascii="Arial" w:eastAsia="Times New Roman" w:hAnsi="Arial" w:cs="Arial"/>
              </w:rPr>
              <w:t>Hradecko-pardubická</w:t>
            </w:r>
          </w:p>
        </w:tc>
      </w:tr>
      <w:tr w:rsidR="003335D8" w:rsidRPr="00B4124B" w:rsidTr="003335D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566F8" w:rsidRPr="00B4124B" w:rsidRDefault="00A566F8" w:rsidP="00D078A0">
            <w:pPr>
              <w:pStyle w:val="Bezmezer"/>
              <w:rPr>
                <w:rFonts w:ascii="Arial" w:hAnsi="Arial" w:cs="Arial"/>
                <w:b w:val="0"/>
              </w:rPr>
            </w:pPr>
            <w:r w:rsidRPr="00B4124B">
              <w:rPr>
                <w:rFonts w:ascii="Arial" w:eastAsia="Times New Roman" w:hAnsi="Arial" w:cs="Arial"/>
                <w:b w:val="0"/>
              </w:rPr>
              <w:t>Plzeň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566F8" w:rsidRPr="00B4124B" w:rsidRDefault="00A566F8" w:rsidP="00D078A0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A566F8" w:rsidRPr="00B4124B" w:rsidRDefault="003335D8" w:rsidP="00CC62BC">
      <w:pPr>
        <w:shd w:val="clear" w:color="auto" w:fill="FFFFFF"/>
        <w:spacing w:after="300" w:line="330" w:lineRule="atLeast"/>
        <w:ind w:left="1416" w:firstLine="708"/>
        <w:rPr>
          <w:rFonts w:ascii="Arial" w:eastAsia="Times New Roman" w:hAnsi="Arial" w:cs="Arial"/>
          <w:i/>
          <w:noProof/>
          <w:lang w:eastAsia="cs-CZ"/>
        </w:rPr>
      </w:pPr>
      <w:r w:rsidRPr="00B4124B">
        <w:rPr>
          <w:rFonts w:ascii="Arial" w:eastAsia="Times New Roman" w:hAnsi="Arial" w:cs="Arial"/>
          <w:i/>
          <w:noProof/>
          <w:lang w:eastAsia="cs-CZ"/>
        </w:rPr>
        <w:t>Zdroj:</w:t>
      </w:r>
      <w:r w:rsidR="0000711C" w:rsidRPr="00B4124B">
        <w:rPr>
          <w:rFonts w:ascii="Arial" w:hAnsi="Arial" w:cs="Arial"/>
        </w:rPr>
        <w:t xml:space="preserve"> </w:t>
      </w:r>
      <w:hyperlink r:id="rId13" w:history="1">
        <w:r w:rsidR="0000711C" w:rsidRPr="00B4124B">
          <w:rPr>
            <w:rFonts w:ascii="Arial" w:hAnsi="Arial" w:cs="Arial"/>
            <w:i/>
          </w:rPr>
          <w:t>DotaceEU.cz</w:t>
        </w:r>
      </w:hyperlink>
    </w:p>
    <w:p w:rsidR="00A566F8" w:rsidRPr="00B4124B" w:rsidRDefault="00A566F8" w:rsidP="00CC62BC">
      <w:pPr>
        <w:pStyle w:val="Titulek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18" w:name="_Toc513016282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Obrázek </w:t>
      </w:r>
      <w:r w:rsidR="00F64930"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="00F64930"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Obrázek \* ARABIC </w:instrText>
      </w:r>
      <w:r w:rsidR="00F64930"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2</w:t>
      </w:r>
      <w:r w:rsidR="00F64930"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– Integrované nástroje v programovém období 2014 - 2020</w:t>
      </w:r>
      <w:bookmarkEnd w:id="18"/>
    </w:p>
    <w:p w:rsidR="00A566F8" w:rsidRPr="00B4124B" w:rsidRDefault="00A566F8" w:rsidP="00A566F8">
      <w:pPr>
        <w:pStyle w:val="Bezmezer"/>
        <w:jc w:val="center"/>
        <w:rPr>
          <w:rFonts w:ascii="Arial" w:hAnsi="Arial" w:cs="Arial"/>
        </w:rPr>
      </w:pPr>
      <w:r w:rsidRPr="00B4124B">
        <w:rPr>
          <w:rFonts w:ascii="Arial" w:hAnsi="Arial" w:cs="Arial"/>
          <w:noProof/>
        </w:rPr>
        <w:drawing>
          <wp:inline distT="0" distB="0" distL="0" distR="0" wp14:anchorId="5DC90816" wp14:editId="04481447">
            <wp:extent cx="5129441" cy="3623321"/>
            <wp:effectExtent l="0" t="0" r="0" b="0"/>
            <wp:docPr id="6" name="Obrázek 6" descr="ITI_IPRU_201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TI_IPRU_20160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28" cy="3623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6F8" w:rsidRPr="00B4124B" w:rsidRDefault="00183B82" w:rsidP="00183B82">
      <w:pPr>
        <w:pStyle w:val="Bezmezer"/>
        <w:ind w:firstLine="708"/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 xml:space="preserve">   Z</w:t>
      </w:r>
      <w:r w:rsidR="00A566F8" w:rsidRPr="00B4124B">
        <w:rPr>
          <w:rFonts w:ascii="Arial" w:hAnsi="Arial" w:cs="Arial"/>
          <w:i/>
        </w:rPr>
        <w:t xml:space="preserve">droj: </w:t>
      </w:r>
      <w:hyperlink r:id="rId15" w:history="1">
        <w:r w:rsidR="00A566F8" w:rsidRPr="00B4124B">
          <w:rPr>
            <w:rFonts w:ascii="Arial" w:hAnsi="Arial" w:cs="Arial"/>
            <w:i/>
          </w:rPr>
          <w:t>DotaceEU.cz</w:t>
        </w:r>
      </w:hyperlink>
    </w:p>
    <w:p w:rsidR="00A566F8" w:rsidRPr="00B4124B" w:rsidRDefault="00A566F8" w:rsidP="00A566F8">
      <w:pPr>
        <w:spacing w:before="120" w:after="120"/>
        <w:ind w:left="576"/>
        <w:rPr>
          <w:rFonts w:ascii="Arial" w:eastAsia="Arial" w:hAnsi="Arial" w:cs="Arial"/>
          <w:color w:val="4F81BD"/>
        </w:rPr>
      </w:pPr>
    </w:p>
    <w:p w:rsidR="00F805B0" w:rsidRPr="00B4124B" w:rsidRDefault="00A566F8" w:rsidP="00A8764C">
      <w:pPr>
        <w:spacing w:line="360" w:lineRule="auto"/>
        <w:jc w:val="both"/>
        <w:rPr>
          <w:rFonts w:ascii="Arial" w:hAnsi="Arial" w:cs="Arial"/>
        </w:rPr>
      </w:pPr>
      <w:bookmarkStart w:id="19" w:name="_1tawg6xsfip4" w:colFirst="0" w:colLast="0"/>
      <w:bookmarkEnd w:id="19"/>
      <w:r w:rsidRPr="00B4124B">
        <w:rPr>
          <w:rFonts w:ascii="Arial" w:hAnsi="Arial" w:cs="Arial"/>
        </w:rPr>
        <w:tab/>
      </w:r>
      <w:r w:rsidR="00F805B0" w:rsidRPr="00B4124B">
        <w:rPr>
          <w:rFonts w:ascii="Arial" w:hAnsi="Arial" w:cs="Arial"/>
        </w:rPr>
        <w:br w:type="page"/>
      </w:r>
    </w:p>
    <w:p w:rsidR="00A566F8" w:rsidRPr="00B4124B" w:rsidRDefault="00A566F8" w:rsidP="00A8764C">
      <w:p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lastRenderedPageBreak/>
        <w:t>První intervence ITI byly vyhlášeny v </w:t>
      </w:r>
      <w:r w:rsidRPr="00B4124B">
        <w:rPr>
          <w:rFonts w:ascii="Arial" w:hAnsi="Arial" w:cs="Arial"/>
          <w:b/>
        </w:rPr>
        <w:t>roce 2017</w:t>
      </w:r>
      <w:r w:rsidRPr="00B4124B">
        <w:rPr>
          <w:rFonts w:ascii="Arial" w:hAnsi="Arial" w:cs="Arial"/>
        </w:rPr>
        <w:t>. Jednalo se celkem o</w:t>
      </w:r>
      <w:r w:rsidR="00F805B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  <w:b/>
        </w:rPr>
        <w:t>16</w:t>
      </w:r>
      <w:r w:rsidR="00F805B0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výzev</w:t>
      </w:r>
      <w:r w:rsidR="00F805B0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ITI</w:t>
      </w:r>
      <w:r w:rsidRPr="00B4124B">
        <w:rPr>
          <w:rFonts w:ascii="Arial" w:hAnsi="Arial" w:cs="Arial"/>
        </w:rPr>
        <w:t>. Kromě dvou výzev OP</w:t>
      </w:r>
      <w:r w:rsidR="00F805B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VVV (Předaplikační výzkum ITI; Dlouhodobá mezisektorová spolupráce ITI), které byly uzavřené již v roce 2017, jsou ostatní výzvy ITI spadající pod program OP</w:t>
      </w:r>
      <w:r w:rsidR="00F805B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PIK otevřené ještě v roce 2018 (viz</w:t>
      </w:r>
      <w:r w:rsidR="00295F79" w:rsidRPr="00B4124B">
        <w:rPr>
          <w:rFonts w:ascii="Arial" w:hAnsi="Arial" w:cs="Arial"/>
        </w:rPr>
        <w:t xml:space="preserve"> Graf 3</w:t>
      </w:r>
      <w:r w:rsidRPr="00B4124B">
        <w:rPr>
          <w:rFonts w:ascii="Arial" w:hAnsi="Arial" w:cs="Arial"/>
        </w:rPr>
        <w:t xml:space="preserve">). </w:t>
      </w:r>
    </w:p>
    <w:p w:rsidR="00A566F8" w:rsidRPr="00B4124B" w:rsidRDefault="00A566F8" w:rsidP="00A8764C">
      <w:p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Celková alokace vázaná na intervence ITI 2017 činí 3,78</w:t>
      </w:r>
      <w:r w:rsidR="00F805B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F805B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Kč, z toho </w:t>
      </w:r>
      <w:r w:rsidRPr="00B4124B">
        <w:rPr>
          <w:rFonts w:ascii="Arial" w:hAnsi="Arial" w:cs="Arial"/>
          <w:b/>
        </w:rPr>
        <w:t>cca 70</w:t>
      </w:r>
      <w:r w:rsidR="00F805B0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% alokací</w:t>
      </w:r>
      <w:r w:rsidRPr="00B4124B">
        <w:rPr>
          <w:rFonts w:ascii="Arial" w:hAnsi="Arial" w:cs="Arial"/>
        </w:rPr>
        <w:t xml:space="preserve"> je vázáno na </w:t>
      </w:r>
      <w:r w:rsidRPr="00B4124B">
        <w:rPr>
          <w:rFonts w:ascii="Arial" w:hAnsi="Arial" w:cs="Arial"/>
          <w:b/>
        </w:rPr>
        <w:t xml:space="preserve">rozvoj výzkumných pracovišť </w:t>
      </w:r>
      <w:r w:rsidRPr="00B4124B">
        <w:rPr>
          <w:rFonts w:ascii="Arial" w:hAnsi="Arial" w:cs="Arial"/>
        </w:rPr>
        <w:t xml:space="preserve">a </w:t>
      </w:r>
      <w:r w:rsidRPr="00B4124B">
        <w:rPr>
          <w:rFonts w:ascii="Arial" w:hAnsi="Arial" w:cs="Arial"/>
          <w:b/>
        </w:rPr>
        <w:t>podporu výzkumu pro potřeby aplikační sféry</w:t>
      </w:r>
      <w:r w:rsidRPr="00B4124B">
        <w:rPr>
          <w:rFonts w:ascii="Arial" w:hAnsi="Arial" w:cs="Arial"/>
        </w:rPr>
        <w:t>.</w:t>
      </w:r>
    </w:p>
    <w:p w:rsidR="00F805B0" w:rsidRPr="00B4124B" w:rsidRDefault="00F805B0" w:rsidP="00A566F8">
      <w:pPr>
        <w:pStyle w:val="Titulek"/>
        <w:rPr>
          <w:rFonts w:ascii="Arial" w:hAnsi="Arial" w:cs="Arial"/>
          <w:sz w:val="22"/>
          <w:szCs w:val="22"/>
        </w:rPr>
      </w:pPr>
      <w:bookmarkStart w:id="20" w:name="_Ref508352583"/>
      <w:r w:rsidRPr="00B4124B">
        <w:rPr>
          <w:rFonts w:ascii="Arial" w:hAnsi="Arial" w:cs="Arial"/>
          <w:sz w:val="22"/>
          <w:szCs w:val="22"/>
        </w:rPr>
        <w:br w:type="page"/>
      </w:r>
    </w:p>
    <w:p w:rsidR="00A566F8" w:rsidRPr="00B4124B" w:rsidRDefault="00BF188B" w:rsidP="00BF188B">
      <w:pPr>
        <w:pStyle w:val="Titulek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21" w:name="_Toc513016258"/>
      <w:bookmarkEnd w:id="20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lastRenderedPageBreak/>
        <w:t xml:space="preserve">Graf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Graf \* ARABIC </w:instrTex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3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r w:rsidR="00A566F8"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- Intervence ITI RIS3 strategie vyhlášené v roce 2017</w:t>
      </w:r>
      <w:bookmarkEnd w:id="21"/>
    </w:p>
    <w:p w:rsidR="004165AB" w:rsidRPr="00B4124B" w:rsidRDefault="00A566F8" w:rsidP="00BF188B">
      <w:pPr>
        <w:jc w:val="center"/>
        <w:rPr>
          <w:rFonts w:ascii="Arial" w:hAnsi="Arial" w:cs="Arial"/>
        </w:rPr>
      </w:pPr>
      <w:r w:rsidRPr="00B4124B">
        <w:rPr>
          <w:rFonts w:ascii="Arial" w:hAnsi="Arial" w:cs="Arial"/>
          <w:noProof/>
          <w:lang w:eastAsia="cs-CZ"/>
        </w:rPr>
        <w:drawing>
          <wp:inline distT="0" distB="0" distL="0" distR="0" wp14:anchorId="5C3EAAED" wp14:editId="6B303CB5">
            <wp:extent cx="5914390" cy="8490585"/>
            <wp:effectExtent l="0" t="0" r="10160" b="5715"/>
            <wp:docPr id="7" name="Graf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566F8" w:rsidRPr="00B4124B" w:rsidRDefault="00BF188B" w:rsidP="00BF188B">
      <w:pPr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 xml:space="preserve">     </w:t>
      </w:r>
      <w:r w:rsidR="004165AB" w:rsidRPr="00B4124B">
        <w:rPr>
          <w:rFonts w:ascii="Arial" w:hAnsi="Arial" w:cs="Arial"/>
          <w:i/>
        </w:rPr>
        <w:t>Zdroj:</w:t>
      </w:r>
      <w:r w:rsidR="002C3F82" w:rsidRPr="00B4124B">
        <w:rPr>
          <w:rFonts w:ascii="Arial" w:hAnsi="Arial" w:cs="Arial"/>
          <w:i/>
        </w:rPr>
        <w:t xml:space="preserve"> MPO</w:t>
      </w:r>
    </w:p>
    <w:p w:rsidR="00A566F8" w:rsidRPr="00B4124B" w:rsidRDefault="00A566F8" w:rsidP="005066B5">
      <w:p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lastRenderedPageBreak/>
        <w:tab/>
        <w:t xml:space="preserve">Pro </w:t>
      </w:r>
      <w:r w:rsidRPr="00B4124B">
        <w:rPr>
          <w:rFonts w:ascii="Arial" w:hAnsi="Arial" w:cs="Arial"/>
          <w:b/>
        </w:rPr>
        <w:t xml:space="preserve">rok 2018 </w:t>
      </w:r>
      <w:r w:rsidRPr="00B4124B">
        <w:rPr>
          <w:rFonts w:ascii="Arial" w:hAnsi="Arial" w:cs="Arial"/>
        </w:rPr>
        <w:t>je plánováno</w:t>
      </w:r>
      <w:r w:rsidRPr="00B4124B">
        <w:rPr>
          <w:rFonts w:ascii="Arial" w:hAnsi="Arial" w:cs="Arial"/>
          <w:b/>
        </w:rPr>
        <w:t xml:space="preserve"> 10 intervencí ITI </w:t>
      </w:r>
      <w:r w:rsidRPr="00B4124B">
        <w:rPr>
          <w:rFonts w:ascii="Arial" w:hAnsi="Arial" w:cs="Arial"/>
        </w:rPr>
        <w:t xml:space="preserve">(viz </w:t>
      </w:r>
      <w:r w:rsidRPr="00B4124B">
        <w:rPr>
          <w:rFonts w:ascii="Arial" w:hAnsi="Arial" w:cs="Arial"/>
        </w:rPr>
        <w:fldChar w:fldCharType="begin"/>
      </w:r>
      <w:r w:rsidRPr="00B4124B">
        <w:rPr>
          <w:rFonts w:ascii="Arial" w:hAnsi="Arial" w:cs="Arial"/>
        </w:rPr>
        <w:instrText xml:space="preserve"> REF _Ref508354291 \h </w:instrText>
      </w:r>
      <w:r w:rsidR="005066B5" w:rsidRPr="00B4124B">
        <w:rPr>
          <w:rFonts w:ascii="Arial" w:hAnsi="Arial" w:cs="Arial"/>
        </w:rPr>
        <w:instrText xml:space="preserve"> \* MERGEFORMAT </w:instrText>
      </w:r>
      <w:r w:rsidRPr="00B4124B">
        <w:rPr>
          <w:rFonts w:ascii="Arial" w:hAnsi="Arial" w:cs="Arial"/>
        </w:rPr>
      </w:r>
      <w:r w:rsidRPr="00B4124B">
        <w:rPr>
          <w:rFonts w:ascii="Arial" w:hAnsi="Arial" w:cs="Arial"/>
        </w:rPr>
        <w:fldChar w:fldCharType="separate"/>
      </w:r>
      <w:r w:rsidR="00295F79" w:rsidRPr="00B4124B">
        <w:rPr>
          <w:rFonts w:ascii="Arial" w:hAnsi="Arial" w:cs="Arial"/>
          <w:b/>
          <w:bCs/>
        </w:rPr>
        <w:t>Chyba! Nenalezen zdroj odkazů.</w:t>
      </w:r>
      <w:r w:rsidRPr="00B4124B">
        <w:rPr>
          <w:rFonts w:ascii="Arial" w:hAnsi="Arial" w:cs="Arial"/>
        </w:rPr>
        <w:fldChar w:fldCharType="end"/>
      </w:r>
      <w:r w:rsidRPr="00B4124B">
        <w:rPr>
          <w:rFonts w:ascii="Arial" w:hAnsi="Arial" w:cs="Arial"/>
        </w:rPr>
        <w:t>). Celková alokace vázaná na tyto intervence činí 1,70</w:t>
      </w:r>
      <w:r w:rsidR="00990E1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990E1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</w:t>
      </w:r>
      <w:r w:rsidRPr="00B4124B">
        <w:rPr>
          <w:rStyle w:val="Znakapoznpodarou"/>
          <w:rFonts w:ascii="Arial" w:hAnsi="Arial" w:cs="Arial"/>
        </w:rPr>
        <w:footnoteReference w:id="5"/>
      </w:r>
      <w:r w:rsidRPr="00B4124B">
        <w:rPr>
          <w:rFonts w:ascii="Arial" w:hAnsi="Arial" w:cs="Arial"/>
        </w:rPr>
        <w:t xml:space="preserve">, z toho </w:t>
      </w:r>
      <w:r w:rsidRPr="00B4124B">
        <w:rPr>
          <w:rFonts w:ascii="Arial" w:hAnsi="Arial" w:cs="Arial"/>
          <w:b/>
        </w:rPr>
        <w:t>cca</w:t>
      </w:r>
      <w:r w:rsidR="00990E11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1/3 alokací</w:t>
      </w:r>
      <w:r w:rsidRPr="00B4124B">
        <w:rPr>
          <w:rFonts w:ascii="Arial" w:hAnsi="Arial" w:cs="Arial"/>
        </w:rPr>
        <w:t xml:space="preserve"> je vázáno na </w:t>
      </w:r>
      <w:r w:rsidRPr="00B4124B">
        <w:rPr>
          <w:rFonts w:ascii="Arial" w:hAnsi="Arial" w:cs="Arial"/>
          <w:b/>
        </w:rPr>
        <w:t>podporu spolupráce VO</w:t>
      </w:r>
      <w:r w:rsidR="00990E11" w:rsidRPr="00B4124B">
        <w:rPr>
          <w:rFonts w:ascii="Arial" w:hAnsi="Arial" w:cs="Arial"/>
          <w:b/>
        </w:rPr>
        <w:t xml:space="preserve"> </w:t>
      </w:r>
      <w:r w:rsidRPr="00B4124B">
        <w:rPr>
          <w:rFonts w:ascii="Arial" w:hAnsi="Arial" w:cs="Arial"/>
          <w:b/>
        </w:rPr>
        <w:t>a</w:t>
      </w:r>
      <w:r w:rsidR="00990E11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 xml:space="preserve">aplikační sféry </w:t>
      </w:r>
      <w:r w:rsidRPr="00B4124B">
        <w:rPr>
          <w:rFonts w:ascii="Arial" w:hAnsi="Arial" w:cs="Arial"/>
        </w:rPr>
        <w:t>a další cca</w:t>
      </w:r>
      <w:r w:rsidR="00990E11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  <w:b/>
        </w:rPr>
        <w:t>1/3</w:t>
      </w:r>
      <w:r w:rsidR="00990E11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alokací</w:t>
      </w:r>
      <w:r w:rsidRPr="00B4124B">
        <w:rPr>
          <w:rFonts w:ascii="Arial" w:hAnsi="Arial" w:cs="Arial"/>
        </w:rPr>
        <w:t xml:space="preserve"> na </w:t>
      </w:r>
      <w:r w:rsidRPr="00B4124B">
        <w:rPr>
          <w:rFonts w:ascii="Arial" w:hAnsi="Arial" w:cs="Arial"/>
          <w:b/>
        </w:rPr>
        <w:t>posílení technologické spolupráce firem</w:t>
      </w:r>
      <w:r w:rsidRPr="00B4124B">
        <w:rPr>
          <w:rFonts w:ascii="Arial" w:hAnsi="Arial" w:cs="Arial"/>
        </w:rPr>
        <w:t>.</w:t>
      </w:r>
    </w:p>
    <w:p w:rsidR="00A566F8" w:rsidRPr="00B4124B" w:rsidRDefault="005B009D" w:rsidP="005B009D">
      <w:pPr>
        <w:pStyle w:val="Titulek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22" w:name="_Ref513016802"/>
      <w:bookmarkStart w:id="23" w:name="_Toc513016259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Graf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Graf \* ARABIC </w:instrTex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4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end"/>
      </w:r>
      <w:bookmarkEnd w:id="22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</w:t>
      </w:r>
      <w:r w:rsidR="00A566F8" w:rsidRPr="00B4124B">
        <w:rPr>
          <w:rFonts w:ascii="Arial" w:hAnsi="Arial" w:cs="Arial"/>
          <w:b/>
          <w:i w:val="0"/>
          <w:color w:val="auto"/>
          <w:sz w:val="22"/>
          <w:szCs w:val="22"/>
        </w:rPr>
        <w:t>- Intervence ITI RIS3 strategie plánované pro rok 2018</w:t>
      </w:r>
      <w:bookmarkEnd w:id="23"/>
    </w:p>
    <w:p w:rsidR="00A566F8" w:rsidRPr="00B4124B" w:rsidRDefault="00A566F8" w:rsidP="00A566F8">
      <w:pPr>
        <w:rPr>
          <w:rFonts w:ascii="Arial" w:hAnsi="Arial" w:cs="Arial"/>
        </w:rPr>
      </w:pPr>
      <w:r w:rsidRPr="00B4124B">
        <w:rPr>
          <w:rFonts w:ascii="Arial" w:hAnsi="Arial" w:cs="Arial"/>
          <w:noProof/>
          <w:lang w:eastAsia="cs-CZ"/>
        </w:rPr>
        <w:drawing>
          <wp:inline distT="0" distB="0" distL="0" distR="0" wp14:anchorId="7EE4B0C4" wp14:editId="265E4A50">
            <wp:extent cx="5919815" cy="5216837"/>
            <wp:effectExtent l="0" t="0" r="24130" b="22225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7386A" w:rsidRPr="00B4124B" w:rsidRDefault="0047386A" w:rsidP="00A566F8">
      <w:pPr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Zdroj:</w:t>
      </w:r>
      <w:r w:rsidR="002C3F82" w:rsidRPr="00B4124B">
        <w:rPr>
          <w:rFonts w:ascii="Arial" w:hAnsi="Arial" w:cs="Arial"/>
          <w:i/>
        </w:rPr>
        <w:t xml:space="preserve"> MPO</w:t>
      </w:r>
    </w:p>
    <w:p w:rsidR="005066B5" w:rsidRPr="00B4124B" w:rsidRDefault="005066B5" w:rsidP="005066B5">
      <w:pPr>
        <w:spacing w:line="360" w:lineRule="auto"/>
        <w:ind w:firstLine="545"/>
        <w:jc w:val="both"/>
        <w:rPr>
          <w:rFonts w:ascii="Arial" w:hAnsi="Arial" w:cs="Arial"/>
          <w:b/>
        </w:rPr>
      </w:pPr>
      <w:r w:rsidRPr="00B4124B">
        <w:rPr>
          <w:rFonts w:ascii="Arial" w:hAnsi="Arial" w:cs="Arial"/>
          <w:b/>
        </w:rPr>
        <w:t>Souhrnný přehled implementace Národní RIS3 strategie v operačních programech dle příslušných indikativních harmonogramů za období 2015 - 2018 viz Příloha 1.</w:t>
      </w:r>
    </w:p>
    <w:p w:rsidR="009C7E64" w:rsidRPr="00B4124B" w:rsidRDefault="00956A6A" w:rsidP="00B35B7D">
      <w:pPr>
        <w:pStyle w:val="Nadpis2"/>
        <w:numPr>
          <w:ilvl w:val="1"/>
          <w:numId w:val="9"/>
        </w:numPr>
        <w:rPr>
          <w:rFonts w:cs="Arial"/>
          <w:sz w:val="22"/>
          <w:szCs w:val="22"/>
        </w:rPr>
      </w:pPr>
      <w:bookmarkStart w:id="24" w:name="_Toc513451937"/>
      <w:r w:rsidRPr="00B4124B">
        <w:rPr>
          <w:rFonts w:cs="Arial"/>
          <w:sz w:val="22"/>
          <w:szCs w:val="22"/>
        </w:rPr>
        <w:t xml:space="preserve">Indikativní podpora Národní RIS3 strategie z národních programů </w:t>
      </w:r>
      <w:r w:rsidR="00CF4F29" w:rsidRPr="00B4124B">
        <w:rPr>
          <w:rFonts w:cs="Arial"/>
          <w:sz w:val="22"/>
          <w:szCs w:val="22"/>
        </w:rPr>
        <w:t>podpory</w:t>
      </w:r>
      <w:bookmarkEnd w:id="24"/>
    </w:p>
    <w:p w:rsidR="00CF4F29" w:rsidRPr="00B4124B" w:rsidRDefault="00CF4F29" w:rsidP="00BF4986">
      <w:pPr>
        <w:spacing w:line="360" w:lineRule="auto"/>
        <w:ind w:firstLine="432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V </w:t>
      </w:r>
      <w:r w:rsidRPr="00B4124B">
        <w:rPr>
          <w:rFonts w:ascii="Arial" w:hAnsi="Arial" w:cs="Arial"/>
          <w:b/>
        </w:rPr>
        <w:t>roce 2016 a</w:t>
      </w:r>
      <w:r w:rsidR="0047386A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 xml:space="preserve">2017 </w:t>
      </w:r>
      <w:r w:rsidRPr="00B4124B">
        <w:rPr>
          <w:rFonts w:ascii="Arial" w:hAnsi="Arial" w:cs="Arial"/>
        </w:rPr>
        <w:t xml:space="preserve">byly realizovány projekty RIS3 strategie </w:t>
      </w:r>
      <w:r w:rsidR="0047386A" w:rsidRPr="00B4124B">
        <w:rPr>
          <w:rFonts w:ascii="Arial" w:hAnsi="Arial" w:cs="Arial"/>
          <w:b/>
        </w:rPr>
        <w:t xml:space="preserve">ve </w:t>
      </w:r>
      <w:r w:rsidRPr="00B4124B">
        <w:rPr>
          <w:rFonts w:ascii="Arial" w:hAnsi="Arial" w:cs="Arial"/>
          <w:b/>
        </w:rPr>
        <w:t>14</w:t>
      </w:r>
      <w:r w:rsidR="0047386A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veřejných soutěžích</w:t>
      </w:r>
      <w:r w:rsidRPr="00B4124B">
        <w:rPr>
          <w:rFonts w:ascii="Arial" w:hAnsi="Arial" w:cs="Arial"/>
        </w:rPr>
        <w:t xml:space="preserve"> vyhlášených v národních programech podpory v období let 2011 až 2017 (viz </w:t>
      </w:r>
      <w:r w:rsidRPr="00B4124B">
        <w:rPr>
          <w:rFonts w:ascii="Arial" w:hAnsi="Arial" w:cs="Arial"/>
        </w:rPr>
        <w:fldChar w:fldCharType="begin"/>
      </w:r>
      <w:r w:rsidRPr="00B4124B">
        <w:rPr>
          <w:rFonts w:ascii="Arial" w:hAnsi="Arial" w:cs="Arial"/>
        </w:rPr>
        <w:instrText xml:space="preserve"> REF _Ref508368329 \h  \* MERGEFORMAT </w:instrText>
      </w:r>
      <w:r w:rsidRPr="00B4124B">
        <w:rPr>
          <w:rFonts w:ascii="Arial" w:hAnsi="Arial" w:cs="Arial"/>
        </w:rPr>
      </w:r>
      <w:r w:rsidRPr="00B4124B">
        <w:rPr>
          <w:rFonts w:ascii="Arial" w:hAnsi="Arial" w:cs="Arial"/>
        </w:rPr>
        <w:fldChar w:fldCharType="separate"/>
      </w:r>
      <w:r w:rsidR="00295F79" w:rsidRPr="00B4124B">
        <w:rPr>
          <w:rFonts w:ascii="Arial" w:hAnsi="Arial" w:cs="Arial"/>
        </w:rPr>
        <w:t>Tabulka</w:t>
      </w:r>
      <w:r w:rsidR="00295F79" w:rsidRPr="00B4124B">
        <w:rPr>
          <w:rFonts w:ascii="Arial" w:hAnsi="Arial" w:cs="Arial"/>
          <w:b/>
          <w:i/>
        </w:rPr>
        <w:t xml:space="preserve"> </w:t>
      </w:r>
      <w:r w:rsidR="00295F79" w:rsidRPr="00B4124B">
        <w:rPr>
          <w:rFonts w:ascii="Arial" w:hAnsi="Arial" w:cs="Arial"/>
          <w:b/>
          <w:i/>
          <w:noProof/>
        </w:rPr>
        <w:t>5</w:t>
      </w:r>
      <w:r w:rsidRPr="00B4124B">
        <w:rPr>
          <w:rFonts w:ascii="Arial" w:hAnsi="Arial" w:cs="Arial"/>
        </w:rPr>
        <w:fldChar w:fldCharType="end"/>
      </w:r>
      <w:r w:rsidRPr="00B4124B">
        <w:rPr>
          <w:rFonts w:ascii="Arial" w:hAnsi="Arial" w:cs="Arial"/>
        </w:rPr>
        <w:t>). Celkové náklady na projekty evidované pro toto období v</w:t>
      </w:r>
      <w:r w:rsidR="0047386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IS</w:t>
      </w:r>
      <w:r w:rsidR="0047386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VaVaI činily</w:t>
      </w:r>
      <w:r w:rsidR="0047386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5,79</w:t>
      </w:r>
      <w:r w:rsidR="0047386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47386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Kč, z toho </w:t>
      </w:r>
      <w:r w:rsidRPr="00B4124B">
        <w:rPr>
          <w:rFonts w:ascii="Arial" w:hAnsi="Arial" w:cs="Arial"/>
          <w:b/>
        </w:rPr>
        <w:t xml:space="preserve">veřejná </w:t>
      </w:r>
      <w:r w:rsidRPr="00B4124B">
        <w:rPr>
          <w:rFonts w:ascii="Arial" w:hAnsi="Arial" w:cs="Arial"/>
          <w:b/>
        </w:rPr>
        <w:lastRenderedPageBreak/>
        <w:t>podpora činila</w:t>
      </w:r>
      <w:r w:rsidR="00485CEA" w:rsidRPr="00B4124B">
        <w:rPr>
          <w:rFonts w:ascii="Arial" w:hAnsi="Arial" w:cs="Arial"/>
        </w:rPr>
        <w:t xml:space="preserve"> 4,05</w:t>
      </w:r>
      <w:r w:rsidR="0047386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mld.</w:t>
      </w:r>
      <w:r w:rsidR="0047386A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Kč</w:t>
      </w:r>
      <w:r w:rsidR="0047386A" w:rsidRPr="00B4124B">
        <w:rPr>
          <w:rFonts w:ascii="Arial" w:hAnsi="Arial" w:cs="Arial"/>
        </w:rPr>
        <w:t xml:space="preserve">. </w:t>
      </w:r>
      <w:r w:rsidRPr="00B4124B">
        <w:rPr>
          <w:rFonts w:ascii="Arial" w:hAnsi="Arial" w:cs="Arial"/>
        </w:rPr>
        <w:t>Podpora se soustředila především do cílů RIS3 strategie</w:t>
      </w:r>
      <w:r w:rsidR="00DC12AD" w:rsidRPr="00B4124B">
        <w:rPr>
          <w:rFonts w:ascii="Arial" w:hAnsi="Arial" w:cs="Arial"/>
        </w:rPr>
        <w:t xml:space="preserve"> </w:t>
      </w:r>
      <w:r w:rsidR="00C27250" w:rsidRPr="00B4124B">
        <w:rPr>
          <w:rFonts w:ascii="Arial" w:hAnsi="Arial" w:cs="Arial"/>
        </w:rPr>
        <w:t xml:space="preserve">(viz Příloha 3) </w:t>
      </w:r>
      <w:r w:rsidR="00DC12AD" w:rsidRPr="00B4124B">
        <w:rPr>
          <w:rFonts w:ascii="Arial" w:hAnsi="Arial" w:cs="Arial"/>
        </w:rPr>
        <w:t>s následující charakteristikou</w:t>
      </w:r>
      <w:r w:rsidRPr="00B4124B">
        <w:rPr>
          <w:rFonts w:ascii="Arial" w:hAnsi="Arial" w:cs="Arial"/>
        </w:rPr>
        <w:t>:</w:t>
      </w:r>
    </w:p>
    <w:p w:rsidR="00CF4F29" w:rsidRPr="00B4124B" w:rsidRDefault="00CF4F29" w:rsidP="00B35B7D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VaV kapacity firem,</w:t>
      </w:r>
    </w:p>
    <w:p w:rsidR="00CF4F29" w:rsidRPr="00B4124B" w:rsidRDefault="00CF4F29" w:rsidP="00B35B7D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technologická spolupráce firem,</w:t>
      </w:r>
    </w:p>
    <w:p w:rsidR="00CF4F29" w:rsidRPr="00B4124B" w:rsidRDefault="00CF4F29" w:rsidP="00B35B7D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rozvoj výzkumných pracovišť,</w:t>
      </w:r>
    </w:p>
    <w:p w:rsidR="00CF4F29" w:rsidRPr="00B4124B" w:rsidRDefault="00CF4F29" w:rsidP="00CF4F29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spolupráce VO a aplikační sféry.</w:t>
      </w:r>
    </w:p>
    <w:p w:rsidR="00CF4F29" w:rsidRPr="00B4124B" w:rsidRDefault="00CF4F29" w:rsidP="0047386A">
      <w:pPr>
        <w:pStyle w:val="Titulek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bookmarkStart w:id="25" w:name="_Ref508368329"/>
      <w:bookmarkStart w:id="26" w:name="_Toc513451954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Tabulka </w: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begin"/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instrText xml:space="preserve"> SEQ Tabulka \* ARABIC </w:instrText>
      </w:r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fldChar w:fldCharType="separate"/>
      </w:r>
      <w:r w:rsidR="00295F79"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t>5</w:t>
      </w:r>
      <w:r w:rsidRPr="00B4124B">
        <w:rPr>
          <w:rFonts w:ascii="Arial" w:hAnsi="Arial" w:cs="Arial"/>
          <w:b/>
          <w:i w:val="0"/>
          <w:noProof/>
          <w:color w:val="auto"/>
          <w:sz w:val="22"/>
          <w:szCs w:val="22"/>
        </w:rPr>
        <w:fldChar w:fldCharType="end"/>
      </w:r>
      <w:bookmarkEnd w:id="25"/>
      <w:r w:rsidRPr="00B4124B">
        <w:rPr>
          <w:rFonts w:ascii="Arial" w:hAnsi="Arial" w:cs="Arial"/>
          <w:b/>
          <w:i w:val="0"/>
          <w:color w:val="auto"/>
          <w:sz w:val="22"/>
          <w:szCs w:val="22"/>
        </w:rPr>
        <w:t xml:space="preserve"> - Implementace RIS3 strategie v národních programech podpory 2016 - 2018</w:t>
      </w:r>
      <w:bookmarkEnd w:id="26"/>
    </w:p>
    <w:p w:rsidR="00CF4F29" w:rsidRPr="00B4124B" w:rsidRDefault="00DF2809" w:rsidP="00DF2809">
      <w:pPr>
        <w:spacing w:after="0" w:line="240" w:lineRule="auto"/>
        <w:ind w:left="-284"/>
        <w:jc w:val="center"/>
        <w:rPr>
          <w:rFonts w:ascii="Arial" w:hAnsi="Arial" w:cs="Arial"/>
        </w:rPr>
      </w:pPr>
      <w:r w:rsidRPr="00B4124B">
        <w:rPr>
          <w:rFonts w:ascii="Arial" w:hAnsi="Arial" w:cs="Arial"/>
          <w:noProof/>
          <w:lang w:eastAsia="cs-CZ"/>
        </w:rPr>
        <w:drawing>
          <wp:inline distT="0" distB="0" distL="0" distR="0">
            <wp:extent cx="6495940" cy="3075940"/>
            <wp:effectExtent l="0" t="0" r="63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49" cy="3094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8CD" w:rsidRPr="00B4124B" w:rsidRDefault="008B58CD" w:rsidP="008B58CD">
      <w:pPr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Zdroj:</w:t>
      </w:r>
      <w:r w:rsidR="002C3F82" w:rsidRPr="00B4124B">
        <w:rPr>
          <w:rFonts w:ascii="Arial" w:hAnsi="Arial" w:cs="Arial"/>
          <w:i/>
        </w:rPr>
        <w:t xml:space="preserve"> MPO</w:t>
      </w:r>
    </w:p>
    <w:p w:rsidR="00CF4F29" w:rsidRPr="00B4124B" w:rsidRDefault="00CF4F29" w:rsidP="00BF4986">
      <w:pPr>
        <w:spacing w:line="360" w:lineRule="auto"/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Pro </w:t>
      </w:r>
      <w:r w:rsidRPr="00B4124B">
        <w:rPr>
          <w:rFonts w:ascii="Arial" w:hAnsi="Arial" w:cs="Arial"/>
          <w:b/>
        </w:rPr>
        <w:t>rok 2018</w:t>
      </w:r>
      <w:r w:rsidRPr="00B4124B">
        <w:rPr>
          <w:rFonts w:ascii="Arial" w:hAnsi="Arial" w:cs="Arial"/>
        </w:rPr>
        <w:t xml:space="preserve"> je plánována realizace projektů náležejících k RIS3 strategii </w:t>
      </w:r>
      <w:r w:rsidRPr="00B4124B">
        <w:rPr>
          <w:rFonts w:ascii="Arial" w:hAnsi="Arial" w:cs="Arial"/>
          <w:b/>
        </w:rPr>
        <w:t>v</w:t>
      </w:r>
      <w:r w:rsidR="00C75410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7</w:t>
      </w:r>
      <w:r w:rsidR="00C75410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veřejných soutěžích</w:t>
      </w:r>
      <w:r w:rsidRPr="00B4124B">
        <w:rPr>
          <w:rFonts w:ascii="Arial" w:hAnsi="Arial" w:cs="Arial"/>
        </w:rPr>
        <w:t>, z toho 4</w:t>
      </w:r>
      <w:r w:rsidR="00C7541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veřejné soutěže byly již uzavřeny</w:t>
      </w:r>
      <w:r w:rsidR="005066B5" w:rsidRPr="00B4124B">
        <w:rPr>
          <w:rFonts w:ascii="Arial" w:hAnsi="Arial" w:cs="Arial"/>
        </w:rPr>
        <w:t>,</w:t>
      </w:r>
      <w:r w:rsidRPr="00B4124B">
        <w:rPr>
          <w:rFonts w:ascii="Arial" w:hAnsi="Arial" w:cs="Arial"/>
        </w:rPr>
        <w:t xml:space="preserve"> vyhlášení zbylých 3 veřejných soutěží je plánováno v průběhu roku 2018 (viz </w:t>
      </w:r>
      <w:r w:rsidRPr="00B4124B">
        <w:rPr>
          <w:rFonts w:ascii="Arial" w:hAnsi="Arial" w:cs="Arial"/>
        </w:rPr>
        <w:fldChar w:fldCharType="begin"/>
      </w:r>
      <w:r w:rsidRPr="00B4124B">
        <w:rPr>
          <w:rFonts w:ascii="Arial" w:hAnsi="Arial" w:cs="Arial"/>
        </w:rPr>
        <w:instrText xml:space="preserve"> REF _Ref508368329 \h  \* MERGEFORMAT </w:instrText>
      </w:r>
      <w:r w:rsidRPr="00B4124B">
        <w:rPr>
          <w:rFonts w:ascii="Arial" w:hAnsi="Arial" w:cs="Arial"/>
        </w:rPr>
      </w:r>
      <w:r w:rsidRPr="00B4124B">
        <w:rPr>
          <w:rFonts w:ascii="Arial" w:hAnsi="Arial" w:cs="Arial"/>
        </w:rPr>
        <w:fldChar w:fldCharType="separate"/>
      </w:r>
      <w:r w:rsidR="00295F79" w:rsidRPr="00B4124B">
        <w:rPr>
          <w:rFonts w:ascii="Arial" w:hAnsi="Arial" w:cs="Arial"/>
        </w:rPr>
        <w:t>Tabulka</w:t>
      </w:r>
      <w:r w:rsidR="00295F79" w:rsidRPr="00B4124B">
        <w:rPr>
          <w:rFonts w:ascii="Arial" w:hAnsi="Arial" w:cs="Arial"/>
          <w:b/>
          <w:i/>
        </w:rPr>
        <w:t xml:space="preserve"> </w:t>
      </w:r>
      <w:r w:rsidR="00295F79" w:rsidRPr="00B4124B">
        <w:rPr>
          <w:rFonts w:ascii="Arial" w:hAnsi="Arial" w:cs="Arial"/>
          <w:b/>
          <w:i/>
          <w:noProof/>
        </w:rPr>
        <w:t>5</w:t>
      </w:r>
      <w:r w:rsidRPr="00B4124B">
        <w:rPr>
          <w:rFonts w:ascii="Arial" w:hAnsi="Arial" w:cs="Arial"/>
        </w:rPr>
        <w:fldChar w:fldCharType="end"/>
      </w:r>
      <w:r w:rsidRPr="00B4124B">
        <w:rPr>
          <w:rFonts w:ascii="Arial" w:hAnsi="Arial" w:cs="Arial"/>
        </w:rPr>
        <w:t xml:space="preserve">). </w:t>
      </w:r>
      <w:r w:rsidRPr="00B4124B">
        <w:rPr>
          <w:rFonts w:ascii="Arial" w:hAnsi="Arial" w:cs="Arial"/>
          <w:b/>
        </w:rPr>
        <w:t>Plánované náklady</w:t>
      </w:r>
      <w:r w:rsidRPr="00B4124B">
        <w:rPr>
          <w:rFonts w:ascii="Arial" w:hAnsi="Arial" w:cs="Arial"/>
        </w:rPr>
        <w:t xml:space="preserve"> na realizaci projektů </w:t>
      </w:r>
      <w:r w:rsidR="005066B5" w:rsidRPr="00B4124B">
        <w:rPr>
          <w:rFonts w:ascii="Arial" w:hAnsi="Arial" w:cs="Arial"/>
        </w:rPr>
        <w:t>s vazbou na Národní RIS3 strategii</w:t>
      </w:r>
      <w:r w:rsidRPr="00B4124B">
        <w:rPr>
          <w:rFonts w:ascii="Arial" w:hAnsi="Arial" w:cs="Arial"/>
        </w:rPr>
        <w:t xml:space="preserve"> v roce 2018 </w:t>
      </w:r>
      <w:r w:rsidRPr="00B4124B">
        <w:rPr>
          <w:rFonts w:ascii="Arial" w:hAnsi="Arial" w:cs="Arial"/>
          <w:b/>
        </w:rPr>
        <w:t>činí dle finančního plánu RIS3 strategie 3,92</w:t>
      </w:r>
      <w:r w:rsidR="00C75410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mld.</w:t>
      </w:r>
      <w:r w:rsidR="00C75410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>Kč</w:t>
      </w:r>
      <w:r w:rsidRPr="00B4124B">
        <w:rPr>
          <w:rFonts w:ascii="Arial" w:hAnsi="Arial" w:cs="Arial"/>
        </w:rPr>
        <w:t>.     Podpora bude soustř</w:t>
      </w:r>
      <w:r w:rsidR="00DC12AD" w:rsidRPr="00B4124B">
        <w:rPr>
          <w:rFonts w:ascii="Arial" w:hAnsi="Arial" w:cs="Arial"/>
        </w:rPr>
        <w:t>eděna především do</w:t>
      </w:r>
      <w:r w:rsidRPr="00B4124B">
        <w:rPr>
          <w:rFonts w:ascii="Arial" w:hAnsi="Arial" w:cs="Arial"/>
        </w:rPr>
        <w:t xml:space="preserve"> cílů RIS3 </w:t>
      </w:r>
      <w:r w:rsidR="00DC12AD" w:rsidRPr="00B4124B">
        <w:rPr>
          <w:rFonts w:ascii="Arial" w:hAnsi="Arial" w:cs="Arial"/>
        </w:rPr>
        <w:t>strategie s následující charakteristikou</w:t>
      </w:r>
      <w:r w:rsidRPr="00B4124B">
        <w:rPr>
          <w:rFonts w:ascii="Arial" w:hAnsi="Arial" w:cs="Arial"/>
        </w:rPr>
        <w:t>:</w:t>
      </w:r>
    </w:p>
    <w:p w:rsidR="00CF4F29" w:rsidRPr="00B4124B" w:rsidRDefault="00CF4F29" w:rsidP="00BF4986">
      <w:pPr>
        <w:pStyle w:val="Odstavecseseznamem"/>
        <w:numPr>
          <w:ilvl w:val="0"/>
          <w:numId w:val="24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VaV kapacity firem,</w:t>
      </w:r>
    </w:p>
    <w:p w:rsidR="00CF4F29" w:rsidRPr="00B4124B" w:rsidRDefault="00CF4F29" w:rsidP="00B35B7D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technologická spolupráce firem,</w:t>
      </w:r>
    </w:p>
    <w:p w:rsidR="00CF4F29" w:rsidRPr="00B4124B" w:rsidRDefault="00CF4F29" w:rsidP="00B35B7D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spolupráce VO a aplikační sféry,</w:t>
      </w:r>
    </w:p>
    <w:p w:rsidR="00C75410" w:rsidRPr="00B4124B" w:rsidRDefault="005066B5" w:rsidP="00B35B7D">
      <w:pPr>
        <w:pStyle w:val="Odstavecseseznamem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komerční využití výsledků Va</w:t>
      </w:r>
      <w:r w:rsidR="00CF4F29" w:rsidRPr="00B4124B">
        <w:rPr>
          <w:rFonts w:ascii="Arial" w:hAnsi="Arial" w:cs="Arial"/>
        </w:rPr>
        <w:t>V.</w:t>
      </w:r>
      <w:r w:rsidR="00C75410" w:rsidRPr="00B4124B">
        <w:rPr>
          <w:rFonts w:ascii="Arial" w:hAnsi="Arial" w:cs="Arial"/>
        </w:rPr>
        <w:br w:type="page"/>
      </w:r>
    </w:p>
    <w:p w:rsidR="00DF1753" w:rsidRPr="00B4124B" w:rsidRDefault="00DF1753" w:rsidP="00DF1753">
      <w:pPr>
        <w:pStyle w:val="Nadpis1"/>
        <w:rPr>
          <w:rFonts w:cs="Arial"/>
          <w:sz w:val="22"/>
          <w:szCs w:val="22"/>
        </w:rPr>
      </w:pPr>
      <w:bookmarkStart w:id="27" w:name="_Toc513451938"/>
      <w:r w:rsidRPr="00B4124B">
        <w:rPr>
          <w:rFonts w:cs="Arial"/>
          <w:sz w:val="22"/>
          <w:szCs w:val="22"/>
        </w:rPr>
        <w:lastRenderedPageBreak/>
        <w:t>Krajská dimenze</w:t>
      </w:r>
      <w:bookmarkEnd w:id="27"/>
    </w:p>
    <w:p w:rsidR="00961A2E" w:rsidRPr="00B4124B" w:rsidRDefault="00961A2E" w:rsidP="00961A2E">
      <w:pPr>
        <w:spacing w:line="360" w:lineRule="auto"/>
        <w:ind w:firstLine="360"/>
        <w:jc w:val="both"/>
        <w:rPr>
          <w:rFonts w:ascii="Arial" w:eastAsia="Arial" w:hAnsi="Arial" w:cs="Arial"/>
        </w:rPr>
      </w:pPr>
      <w:r w:rsidRPr="00B4124B">
        <w:rPr>
          <w:rFonts w:ascii="Arial" w:hAnsi="Arial" w:cs="Arial"/>
        </w:rPr>
        <w:t>Mezi krajskou a národní úrovní RIS3 strategie bude probíhat v letech 2018 – 2019 pravidelná osobní i</w:t>
      </w:r>
      <w:r w:rsidR="00C7541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písemná komunikace v běžném režimu (tj. ad hoc setkání mezi MPO a</w:t>
      </w:r>
      <w:r w:rsidR="00C7541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kraji, </w:t>
      </w:r>
      <w:r w:rsidRPr="00B4124B">
        <w:rPr>
          <w:rFonts w:ascii="Arial" w:eastAsia="Arial" w:hAnsi="Arial" w:cs="Arial"/>
        </w:rPr>
        <w:t>účast zástupců krajů na jednání NIP, případná účast zástupců MPO na jednáních organizovaných kraji; dále syntéza výstupních pololetních zpráv a přehledů financování a její zpětná vazba na kraje</w:t>
      </w:r>
      <w:r w:rsidR="00C0272B" w:rsidRPr="00B4124B">
        <w:rPr>
          <w:rFonts w:ascii="Arial" w:eastAsia="Arial" w:hAnsi="Arial" w:cs="Arial"/>
        </w:rPr>
        <w:t>,</w:t>
      </w:r>
      <w:r w:rsidRPr="00B4124B">
        <w:rPr>
          <w:rFonts w:ascii="Arial" w:eastAsia="Arial" w:hAnsi="Arial" w:cs="Arial"/>
        </w:rPr>
        <w:t xml:space="preserve"> sledování dalších klíčových výstupů krajských RIS3 strategií - zápisy z</w:t>
      </w:r>
      <w:r w:rsidR="00C75410" w:rsidRPr="00B4124B">
        <w:rPr>
          <w:rFonts w:ascii="Arial" w:eastAsia="Arial" w:hAnsi="Arial" w:cs="Arial"/>
        </w:rPr>
        <w:t> </w:t>
      </w:r>
      <w:r w:rsidRPr="00B4124B">
        <w:rPr>
          <w:rFonts w:ascii="Arial" w:eastAsia="Arial" w:hAnsi="Arial" w:cs="Arial"/>
        </w:rPr>
        <w:t>krajských inovačních rad, z</w:t>
      </w:r>
      <w:r w:rsidR="00C75410" w:rsidRPr="00B4124B">
        <w:rPr>
          <w:rFonts w:ascii="Arial" w:eastAsia="Arial" w:hAnsi="Arial" w:cs="Arial"/>
        </w:rPr>
        <w:t> </w:t>
      </w:r>
      <w:r w:rsidRPr="00B4124B">
        <w:rPr>
          <w:rFonts w:ascii="Arial" w:eastAsia="Arial" w:hAnsi="Arial" w:cs="Arial"/>
        </w:rPr>
        <w:t>krajských inovačních platforem</w:t>
      </w:r>
      <w:r w:rsidR="00C0272B" w:rsidRPr="00B4124B">
        <w:rPr>
          <w:rFonts w:ascii="Arial" w:eastAsia="Arial" w:hAnsi="Arial" w:cs="Arial"/>
        </w:rPr>
        <w:t xml:space="preserve"> apod.</w:t>
      </w:r>
      <w:r w:rsidRPr="00B4124B">
        <w:rPr>
          <w:rFonts w:ascii="Arial" w:eastAsia="Arial" w:hAnsi="Arial" w:cs="Arial"/>
        </w:rPr>
        <w:t>)</w:t>
      </w:r>
    </w:p>
    <w:p w:rsidR="00C0272B" w:rsidRPr="00B4124B" w:rsidRDefault="00C0272B" w:rsidP="00961A2E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eastAsia="Arial" w:hAnsi="Arial" w:cs="Arial"/>
        </w:rPr>
        <w:t xml:space="preserve">Výrazné prohloubení koordinační role lze očekávat v oblasti plánované unifikace krajského monitoringu (viz kap. 6.3. </w:t>
      </w:r>
      <w:r w:rsidR="006F49B8" w:rsidRPr="00B4124B">
        <w:rPr>
          <w:rFonts w:ascii="Arial" w:eastAsia="Arial" w:hAnsi="Arial" w:cs="Arial"/>
        </w:rPr>
        <w:fldChar w:fldCharType="begin"/>
      </w:r>
      <w:r w:rsidR="006F49B8" w:rsidRPr="00B4124B">
        <w:rPr>
          <w:rFonts w:ascii="Arial" w:eastAsia="Arial" w:hAnsi="Arial" w:cs="Arial"/>
        </w:rPr>
        <w:instrText xml:space="preserve"> REF _Ref513015197 \h  \* MERGEFORMAT </w:instrText>
      </w:r>
      <w:r w:rsidR="006F49B8" w:rsidRPr="00B4124B">
        <w:rPr>
          <w:rFonts w:ascii="Arial" w:eastAsia="Arial" w:hAnsi="Arial" w:cs="Arial"/>
        </w:rPr>
      </w:r>
      <w:r w:rsidR="006F49B8" w:rsidRPr="00B4124B">
        <w:rPr>
          <w:rFonts w:ascii="Arial" w:eastAsia="Arial" w:hAnsi="Arial" w:cs="Arial"/>
        </w:rPr>
        <w:fldChar w:fldCharType="separate"/>
      </w:r>
      <w:r w:rsidR="00295F79" w:rsidRPr="00B4124B">
        <w:rPr>
          <w:rFonts w:ascii="Arial" w:hAnsi="Arial" w:cs="Arial"/>
        </w:rPr>
        <w:t>Nové oblasti monitoringu</w:t>
      </w:r>
      <w:r w:rsidR="006F49B8" w:rsidRPr="00B4124B">
        <w:rPr>
          <w:rFonts w:ascii="Arial" w:eastAsia="Arial" w:hAnsi="Arial" w:cs="Arial"/>
        </w:rPr>
        <w:fldChar w:fldCharType="end"/>
      </w:r>
      <w:r w:rsidRPr="00B4124B">
        <w:rPr>
          <w:rFonts w:ascii="Arial" w:eastAsia="Arial" w:hAnsi="Arial" w:cs="Arial"/>
        </w:rPr>
        <w:t>), a</w:t>
      </w:r>
      <w:r w:rsidR="00C75410" w:rsidRPr="00B4124B">
        <w:rPr>
          <w:rFonts w:ascii="Arial" w:eastAsia="Arial" w:hAnsi="Arial" w:cs="Arial"/>
        </w:rPr>
        <w:t> </w:t>
      </w:r>
      <w:r w:rsidRPr="00B4124B">
        <w:rPr>
          <w:rFonts w:ascii="Arial" w:eastAsia="Arial" w:hAnsi="Arial" w:cs="Arial"/>
        </w:rPr>
        <w:t xml:space="preserve">také v aktivitách spojených s vypracováním </w:t>
      </w:r>
      <w:r w:rsidRPr="00B4124B">
        <w:rPr>
          <w:rFonts w:ascii="Arial" w:hAnsi="Arial" w:cs="Arial"/>
          <w:i/>
        </w:rPr>
        <w:t>Hodnotící zprávy Národní RIS3 strategie</w:t>
      </w:r>
      <w:r w:rsidRPr="00B4124B">
        <w:rPr>
          <w:rFonts w:ascii="Arial" w:hAnsi="Arial" w:cs="Arial"/>
        </w:rPr>
        <w:t xml:space="preserve"> </w:t>
      </w:r>
      <w:r w:rsidRPr="00B4124B">
        <w:rPr>
          <w:rFonts w:ascii="Arial" w:hAnsi="Arial" w:cs="Arial"/>
          <w:i/>
        </w:rPr>
        <w:t>2019</w:t>
      </w:r>
      <w:r w:rsidRPr="00B4124B">
        <w:rPr>
          <w:rFonts w:ascii="Arial" w:hAnsi="Arial" w:cs="Arial"/>
        </w:rPr>
        <w:t xml:space="preserve"> (viz kap. 7</w:t>
      </w:r>
      <w:r w:rsidR="0078384F" w:rsidRPr="00B4124B">
        <w:rPr>
          <w:rFonts w:ascii="Arial" w:hAnsi="Arial" w:cs="Arial"/>
        </w:rPr>
        <w:t>.</w:t>
      </w:r>
      <w:r w:rsidRPr="00B4124B">
        <w:rPr>
          <w:rFonts w:ascii="Arial" w:hAnsi="Arial" w:cs="Arial"/>
        </w:rPr>
        <w:t xml:space="preserve"> </w:t>
      </w:r>
      <w:r w:rsidR="00225460" w:rsidRPr="00B4124B">
        <w:rPr>
          <w:rFonts w:ascii="Arial" w:hAnsi="Arial" w:cs="Arial"/>
          <w:highlight w:val="yellow"/>
        </w:rPr>
        <w:fldChar w:fldCharType="begin"/>
      </w:r>
      <w:r w:rsidR="00225460" w:rsidRPr="00B4124B">
        <w:rPr>
          <w:rFonts w:ascii="Arial" w:hAnsi="Arial" w:cs="Arial"/>
          <w:highlight w:val="yellow"/>
        </w:rPr>
        <w:instrText xml:space="preserve"> REF _Ref513015219 \h  \* MERGEFORMAT </w:instrText>
      </w:r>
      <w:r w:rsidR="00225460" w:rsidRPr="00B4124B">
        <w:rPr>
          <w:rFonts w:ascii="Arial" w:hAnsi="Arial" w:cs="Arial"/>
          <w:highlight w:val="yellow"/>
        </w:rPr>
      </w:r>
      <w:r w:rsidR="00225460" w:rsidRPr="00B4124B">
        <w:rPr>
          <w:rFonts w:ascii="Arial" w:hAnsi="Arial" w:cs="Arial"/>
          <w:highlight w:val="yellow"/>
        </w:rPr>
        <w:fldChar w:fldCharType="separate"/>
      </w:r>
      <w:r w:rsidR="00295F79" w:rsidRPr="00B4124B">
        <w:rPr>
          <w:rFonts w:ascii="Arial" w:hAnsi="Arial" w:cs="Arial"/>
        </w:rPr>
        <w:t>Mid-term evaluace 2019</w:t>
      </w:r>
      <w:r w:rsidR="00225460" w:rsidRPr="00B4124B">
        <w:rPr>
          <w:rFonts w:ascii="Arial" w:hAnsi="Arial" w:cs="Arial"/>
          <w:highlight w:val="yellow"/>
        </w:rPr>
        <w:fldChar w:fldCharType="end"/>
      </w:r>
      <w:r w:rsidRPr="00B4124B">
        <w:rPr>
          <w:rFonts w:ascii="Arial" w:hAnsi="Arial" w:cs="Arial"/>
        </w:rPr>
        <w:t>). V neposlední řadě bude n</w:t>
      </w:r>
      <w:r w:rsidR="00FD24B0" w:rsidRPr="00B4124B">
        <w:rPr>
          <w:rFonts w:ascii="Arial" w:hAnsi="Arial" w:cs="Arial"/>
        </w:rPr>
        <w:t>utná národní asistence</w:t>
      </w:r>
      <w:r w:rsidRPr="00B4124B">
        <w:rPr>
          <w:rFonts w:ascii="Arial" w:hAnsi="Arial" w:cs="Arial"/>
        </w:rPr>
        <w:t xml:space="preserve"> také v dokončování procesu aktualizace a případné korekci nejvýraznějších krajsky specifických aplikačních odvětví</w:t>
      </w:r>
      <w:r w:rsidR="0078384F" w:rsidRPr="00B4124B">
        <w:rPr>
          <w:rFonts w:ascii="Arial" w:hAnsi="Arial" w:cs="Arial"/>
        </w:rPr>
        <w:t xml:space="preserve"> (viz kap. 2. </w:t>
      </w:r>
      <w:r w:rsidR="00606FB0" w:rsidRPr="00B4124B">
        <w:rPr>
          <w:rFonts w:ascii="Arial" w:hAnsi="Arial" w:cs="Arial"/>
        </w:rPr>
        <w:fldChar w:fldCharType="begin"/>
      </w:r>
      <w:r w:rsidR="00606FB0" w:rsidRPr="00B4124B">
        <w:rPr>
          <w:rFonts w:ascii="Arial" w:hAnsi="Arial" w:cs="Arial"/>
        </w:rPr>
        <w:instrText xml:space="preserve"> REF _Ref513015255 \h  \* MERGEFORMAT </w:instrText>
      </w:r>
      <w:r w:rsidR="00606FB0" w:rsidRPr="00B4124B">
        <w:rPr>
          <w:rFonts w:ascii="Arial" w:hAnsi="Arial" w:cs="Arial"/>
        </w:rPr>
      </w:r>
      <w:r w:rsidR="00606FB0" w:rsidRPr="00B4124B">
        <w:rPr>
          <w:rFonts w:ascii="Arial" w:hAnsi="Arial" w:cs="Arial"/>
        </w:rPr>
        <w:fldChar w:fldCharType="separate"/>
      </w:r>
      <w:r w:rsidR="00295F79" w:rsidRPr="00B4124B">
        <w:rPr>
          <w:rFonts w:ascii="Arial" w:hAnsi="Arial" w:cs="Arial"/>
        </w:rPr>
        <w:t>Změny v gesci a obměny řídicí struktury</w:t>
      </w:r>
      <w:r w:rsidR="00606FB0" w:rsidRPr="00B4124B">
        <w:rPr>
          <w:rFonts w:ascii="Arial" w:hAnsi="Arial" w:cs="Arial"/>
        </w:rPr>
        <w:fldChar w:fldCharType="end"/>
      </w:r>
      <w:r w:rsidR="0078384F" w:rsidRPr="00B4124B">
        <w:rPr>
          <w:rFonts w:ascii="Arial" w:hAnsi="Arial" w:cs="Arial"/>
        </w:rPr>
        <w:t>).</w:t>
      </w:r>
    </w:p>
    <w:p w:rsidR="00494AD8" w:rsidRPr="00B4124B" w:rsidRDefault="00494AD8" w:rsidP="0078384F">
      <w:pPr>
        <w:pStyle w:val="Nadpis2"/>
        <w:numPr>
          <w:ilvl w:val="1"/>
          <w:numId w:val="9"/>
        </w:numPr>
        <w:rPr>
          <w:rFonts w:cs="Arial"/>
          <w:sz w:val="22"/>
          <w:szCs w:val="22"/>
        </w:rPr>
      </w:pPr>
      <w:bookmarkStart w:id="28" w:name="_Toc513451939"/>
      <w:r w:rsidRPr="00B4124B">
        <w:rPr>
          <w:rFonts w:cs="Arial"/>
          <w:sz w:val="22"/>
          <w:szCs w:val="22"/>
        </w:rPr>
        <w:t>Smart Akcelerátor II.</w:t>
      </w:r>
      <w:bookmarkEnd w:id="28"/>
    </w:p>
    <w:p w:rsidR="0078384F" w:rsidRPr="00B4124B" w:rsidRDefault="0078384F" w:rsidP="0078384F">
      <w:pPr>
        <w:spacing w:line="360" w:lineRule="auto"/>
        <w:ind w:firstLine="360"/>
        <w:jc w:val="both"/>
        <w:rPr>
          <w:rFonts w:ascii="Arial" w:eastAsia="Calibri" w:hAnsi="Arial" w:cs="Arial"/>
        </w:rPr>
      </w:pPr>
      <w:r w:rsidRPr="00B4124B">
        <w:rPr>
          <w:rFonts w:ascii="Arial" w:eastAsia="Calibri" w:hAnsi="Arial" w:cs="Arial"/>
        </w:rPr>
        <w:t xml:space="preserve">Pro rok 2018 je OP VVV plánováno vyhlášení </w:t>
      </w:r>
      <w:r w:rsidRPr="00B4124B">
        <w:rPr>
          <w:rFonts w:ascii="Arial" w:eastAsia="Times New Roman" w:hAnsi="Arial" w:cs="Arial"/>
          <w:lang w:eastAsia="cs-CZ"/>
        </w:rPr>
        <w:t xml:space="preserve">navazující výzvy </w:t>
      </w:r>
      <w:r w:rsidRPr="00B4124B">
        <w:rPr>
          <w:rFonts w:ascii="Arial" w:eastAsia="Times New Roman" w:hAnsi="Arial" w:cs="Arial"/>
          <w:b/>
          <w:i/>
          <w:lang w:eastAsia="cs-CZ"/>
        </w:rPr>
        <w:t>Smart Akcelerátor II</w:t>
      </w:r>
      <w:r w:rsidRPr="00B4124B">
        <w:rPr>
          <w:rFonts w:ascii="Arial" w:eastAsia="Times New Roman" w:hAnsi="Arial" w:cs="Arial"/>
          <w:lang w:eastAsia="cs-CZ"/>
        </w:rPr>
        <w:t>.</w:t>
      </w:r>
      <w:r w:rsidR="00B22D1D" w:rsidRPr="00B4124B">
        <w:rPr>
          <w:rFonts w:ascii="Arial" w:eastAsia="Times New Roman" w:hAnsi="Arial" w:cs="Arial"/>
          <w:lang w:eastAsia="cs-CZ"/>
        </w:rPr>
        <w:t xml:space="preserve"> (předběžná alokace výzvy 550</w:t>
      </w:r>
      <w:r w:rsidR="00C75410" w:rsidRPr="00B4124B">
        <w:rPr>
          <w:rFonts w:ascii="Arial" w:eastAsia="Times New Roman" w:hAnsi="Arial" w:cs="Arial"/>
          <w:lang w:eastAsia="cs-CZ"/>
        </w:rPr>
        <w:t> </w:t>
      </w:r>
      <w:r w:rsidR="00B22D1D" w:rsidRPr="00B4124B">
        <w:rPr>
          <w:rFonts w:ascii="Arial" w:eastAsia="Times New Roman" w:hAnsi="Arial" w:cs="Arial"/>
          <w:lang w:eastAsia="cs-CZ"/>
        </w:rPr>
        <w:t>mil.</w:t>
      </w:r>
      <w:r w:rsidR="00C75410" w:rsidRPr="00B4124B">
        <w:rPr>
          <w:rFonts w:ascii="Arial" w:eastAsia="Times New Roman" w:hAnsi="Arial" w:cs="Arial"/>
          <w:lang w:eastAsia="cs-CZ"/>
        </w:rPr>
        <w:t> </w:t>
      </w:r>
      <w:r w:rsidR="00B22D1D" w:rsidRPr="00B4124B">
        <w:rPr>
          <w:rFonts w:ascii="Arial" w:eastAsia="Times New Roman" w:hAnsi="Arial" w:cs="Arial"/>
          <w:lang w:eastAsia="cs-CZ"/>
        </w:rPr>
        <w:t>Kč, maximální délka projektu 53</w:t>
      </w:r>
      <w:r w:rsidR="00A94029" w:rsidRPr="00B4124B">
        <w:rPr>
          <w:rFonts w:ascii="Arial" w:eastAsia="Times New Roman" w:hAnsi="Arial" w:cs="Arial"/>
          <w:lang w:eastAsia="cs-CZ"/>
        </w:rPr>
        <w:t> </w:t>
      </w:r>
      <w:r w:rsidR="00B22D1D" w:rsidRPr="00B4124B">
        <w:rPr>
          <w:rFonts w:ascii="Arial" w:eastAsia="Times New Roman" w:hAnsi="Arial" w:cs="Arial"/>
          <w:lang w:eastAsia="cs-CZ"/>
        </w:rPr>
        <w:t>měsíců, oprávnění žadat</w:t>
      </w:r>
      <w:r w:rsidR="00C75410" w:rsidRPr="00B4124B">
        <w:rPr>
          <w:rFonts w:ascii="Arial" w:eastAsia="Times New Roman" w:hAnsi="Arial" w:cs="Arial"/>
          <w:lang w:eastAsia="cs-CZ"/>
        </w:rPr>
        <w:t>elé – vyšší územně právní celky</w:t>
      </w:r>
      <w:r w:rsidR="00B22D1D" w:rsidRPr="00B4124B">
        <w:rPr>
          <w:rFonts w:ascii="Arial" w:eastAsia="Times New Roman" w:hAnsi="Arial" w:cs="Arial"/>
          <w:lang w:eastAsia="cs-CZ"/>
        </w:rPr>
        <w:t>)</w:t>
      </w:r>
      <w:r w:rsidRPr="00B4124B">
        <w:rPr>
          <w:rFonts w:ascii="Arial" w:hAnsi="Arial" w:cs="Arial"/>
        </w:rPr>
        <w:t xml:space="preserve">, jež má sloužit jako </w:t>
      </w:r>
      <w:r w:rsidRPr="00B4124B">
        <w:rPr>
          <w:rFonts w:ascii="Arial" w:eastAsia="Times New Roman" w:hAnsi="Arial" w:cs="Arial"/>
          <w:lang w:eastAsia="cs-CZ"/>
        </w:rPr>
        <w:t>podpora regionálních inovačních systémů (</w:t>
      </w:r>
      <w:r w:rsidRPr="00B4124B">
        <w:rPr>
          <w:rFonts w:ascii="Arial" w:eastAsia="Calibri" w:hAnsi="Arial" w:cs="Arial"/>
        </w:rPr>
        <w:t>zajištění kapacit na podporu krajských partnerství mezi výzkumnou a podnikatelskou sférou, cílený rozvoj inovačního prostředí, profilace krajských domén inteligentní specializace a celkový proces tvorby a</w:t>
      </w:r>
      <w:r w:rsidR="00C75410" w:rsidRPr="00B4124B">
        <w:rPr>
          <w:rFonts w:ascii="Arial" w:eastAsia="Calibri" w:hAnsi="Arial" w:cs="Arial"/>
        </w:rPr>
        <w:t> </w:t>
      </w:r>
      <w:r w:rsidRPr="00B4124B">
        <w:rPr>
          <w:rFonts w:ascii="Arial" w:eastAsia="Calibri" w:hAnsi="Arial" w:cs="Arial"/>
        </w:rPr>
        <w:t>aktualizace krajských RIS3 strategií)</w:t>
      </w:r>
      <w:r w:rsidR="00493F21" w:rsidRPr="00B4124B">
        <w:rPr>
          <w:rStyle w:val="Znakapoznpodarou"/>
          <w:rFonts w:ascii="Arial" w:eastAsia="Calibri" w:hAnsi="Arial" w:cs="Arial"/>
        </w:rPr>
        <w:footnoteReference w:id="6"/>
      </w:r>
      <w:r w:rsidRPr="00B4124B">
        <w:rPr>
          <w:rFonts w:ascii="Arial" w:eastAsia="Calibri" w:hAnsi="Arial" w:cs="Arial"/>
        </w:rPr>
        <w:t>.</w:t>
      </w:r>
    </w:p>
    <w:p w:rsidR="0078384F" w:rsidRPr="00B4124B" w:rsidRDefault="00493F21" w:rsidP="0078384F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Dne 1.</w:t>
      </w:r>
      <w:r w:rsidR="00C7541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února</w:t>
      </w:r>
      <w:r w:rsidR="00C7541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2018 se za účasti zástupců MŠMT, krajů, regionálních inovačních center, </w:t>
      </w:r>
      <w:r w:rsidR="00846BCD" w:rsidRPr="00B4124B">
        <w:rPr>
          <w:rFonts w:ascii="Arial" w:hAnsi="Arial" w:cs="Arial"/>
        </w:rPr>
        <w:t>ÚV</w:t>
      </w:r>
      <w:r w:rsidR="00483B9E" w:rsidRPr="00B4124B">
        <w:rPr>
          <w:rFonts w:ascii="Arial" w:hAnsi="Arial" w:cs="Arial"/>
        </w:rPr>
        <w:t> </w:t>
      </w:r>
      <w:r w:rsidR="00846BCD" w:rsidRPr="00B4124B">
        <w:rPr>
          <w:rFonts w:ascii="Arial" w:hAnsi="Arial" w:cs="Arial"/>
        </w:rPr>
        <w:t>ČR</w:t>
      </w:r>
      <w:r w:rsidRPr="00B4124B">
        <w:rPr>
          <w:rFonts w:ascii="Arial" w:hAnsi="Arial" w:cs="Arial"/>
        </w:rPr>
        <w:t xml:space="preserve">, </w:t>
      </w:r>
      <w:r w:rsidR="00846BCD" w:rsidRPr="00B4124B">
        <w:rPr>
          <w:rFonts w:ascii="Arial" w:hAnsi="Arial" w:cs="Arial"/>
        </w:rPr>
        <w:t>MPO</w:t>
      </w:r>
      <w:r w:rsidRPr="00B4124B">
        <w:rPr>
          <w:rFonts w:ascii="Arial" w:hAnsi="Arial" w:cs="Arial"/>
        </w:rPr>
        <w:t xml:space="preserve"> a</w:t>
      </w:r>
      <w:r w:rsidR="00483B9E" w:rsidRPr="00B4124B">
        <w:rPr>
          <w:rFonts w:ascii="Arial" w:hAnsi="Arial" w:cs="Arial"/>
        </w:rPr>
        <w:t> </w:t>
      </w:r>
      <w:r w:rsidR="00CF7B9E" w:rsidRPr="00B4124B">
        <w:rPr>
          <w:rFonts w:ascii="Arial" w:hAnsi="Arial" w:cs="Arial"/>
        </w:rPr>
        <w:t>MMR</w:t>
      </w:r>
      <w:r w:rsidRPr="00B4124B">
        <w:rPr>
          <w:rFonts w:ascii="Arial" w:hAnsi="Arial" w:cs="Arial"/>
        </w:rPr>
        <w:t xml:space="preserve"> konal kulatý stůl s cílem zhodnocení výzvy Smart Akcelerátor</w:t>
      </w:r>
      <w:r w:rsidR="00483B9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I.  </w:t>
      </w:r>
      <w:r w:rsidR="0078384F" w:rsidRPr="00B4124B">
        <w:rPr>
          <w:rFonts w:ascii="Arial" w:hAnsi="Arial" w:cs="Arial"/>
        </w:rPr>
        <w:t>Za úspěchy výzvy se dá považovat nárůst prostředků na podporu inovací, koncentrace know-how v jednotlivých oblastech a ukotvení organizačních struktur (např. Krajská rada pro inovace). Podařilo se identifikovat krajské inovační aktéry a</w:t>
      </w:r>
      <w:r w:rsidR="00483B9E" w:rsidRPr="00B4124B">
        <w:rPr>
          <w:rFonts w:ascii="Arial" w:hAnsi="Arial" w:cs="Arial"/>
        </w:rPr>
        <w:t> </w:t>
      </w:r>
      <w:r w:rsidR="0078384F" w:rsidRPr="00B4124B">
        <w:rPr>
          <w:rFonts w:ascii="Arial" w:hAnsi="Arial" w:cs="Arial"/>
        </w:rPr>
        <w:t>jejich potřeby a</w:t>
      </w:r>
      <w:r w:rsidR="00483B9E" w:rsidRPr="00B4124B">
        <w:rPr>
          <w:rFonts w:ascii="Arial" w:hAnsi="Arial" w:cs="Arial"/>
        </w:rPr>
        <w:t> </w:t>
      </w:r>
      <w:r w:rsidR="0078384F" w:rsidRPr="00B4124B">
        <w:rPr>
          <w:rFonts w:ascii="Arial" w:hAnsi="Arial" w:cs="Arial"/>
        </w:rPr>
        <w:t>také vzbudit zájem politické reprezentace. Zvýšila se i</w:t>
      </w:r>
      <w:r w:rsidR="00C75410" w:rsidRPr="00B4124B">
        <w:rPr>
          <w:rFonts w:ascii="Arial" w:hAnsi="Arial" w:cs="Arial"/>
        </w:rPr>
        <w:t> </w:t>
      </w:r>
      <w:r w:rsidR="0078384F" w:rsidRPr="00B4124B">
        <w:rPr>
          <w:rFonts w:ascii="Arial" w:hAnsi="Arial" w:cs="Arial"/>
        </w:rPr>
        <w:t>důvěryhodnost krajů v</w:t>
      </w:r>
      <w:r w:rsidR="00C75410" w:rsidRPr="00B4124B">
        <w:rPr>
          <w:rFonts w:ascii="Arial" w:hAnsi="Arial" w:cs="Arial"/>
        </w:rPr>
        <w:t> </w:t>
      </w:r>
      <w:r w:rsidR="0078384F" w:rsidRPr="00B4124B">
        <w:rPr>
          <w:rFonts w:ascii="Arial" w:hAnsi="Arial" w:cs="Arial"/>
        </w:rPr>
        <w:t>roli partnerů pro diskusi nad společným směřováním regionu a</w:t>
      </w:r>
      <w:r w:rsidR="00C75410" w:rsidRPr="00B4124B">
        <w:rPr>
          <w:rFonts w:ascii="Arial" w:hAnsi="Arial" w:cs="Arial"/>
        </w:rPr>
        <w:t> </w:t>
      </w:r>
      <w:r w:rsidR="0078384F" w:rsidRPr="00B4124B">
        <w:rPr>
          <w:rFonts w:ascii="Arial" w:hAnsi="Arial" w:cs="Arial"/>
        </w:rPr>
        <w:t>v</w:t>
      </w:r>
      <w:r w:rsidR="00C75410" w:rsidRPr="00B4124B">
        <w:rPr>
          <w:rFonts w:ascii="Arial" w:hAnsi="Arial" w:cs="Arial"/>
        </w:rPr>
        <w:t> </w:t>
      </w:r>
      <w:r w:rsidR="0078384F" w:rsidRPr="00B4124B">
        <w:rPr>
          <w:rFonts w:ascii="Arial" w:hAnsi="Arial" w:cs="Arial"/>
        </w:rPr>
        <w:t>roli poskytovatele podpory nebo služeb pro místní aktéry. Do některých projektů se také nově daří zapojit víc</w:t>
      </w:r>
      <w:r w:rsidRPr="00B4124B">
        <w:rPr>
          <w:rFonts w:ascii="Arial" w:hAnsi="Arial" w:cs="Arial"/>
        </w:rPr>
        <w:t>e aktérů.</w:t>
      </w:r>
    </w:p>
    <w:p w:rsidR="00C75410" w:rsidRPr="00B4124B" w:rsidRDefault="00493F21" w:rsidP="0078384F">
      <w:pPr>
        <w:spacing w:line="360" w:lineRule="auto"/>
        <w:ind w:firstLine="360"/>
        <w:jc w:val="both"/>
        <w:rPr>
          <w:rFonts w:ascii="Arial" w:hAnsi="Arial" w:cs="Arial"/>
          <w:b/>
        </w:rPr>
      </w:pPr>
      <w:r w:rsidRPr="00B4124B">
        <w:rPr>
          <w:rFonts w:ascii="Arial" w:hAnsi="Arial" w:cs="Arial"/>
          <w:b/>
        </w:rPr>
        <w:t>V rámci výzvy Smart Akcelerátor</w:t>
      </w:r>
      <w:r w:rsidR="00C75410" w:rsidRPr="00B4124B">
        <w:rPr>
          <w:rFonts w:ascii="Arial" w:hAnsi="Arial" w:cs="Arial"/>
          <w:b/>
        </w:rPr>
        <w:t> </w:t>
      </w:r>
      <w:r w:rsidRPr="00B4124B">
        <w:rPr>
          <w:rFonts w:ascii="Arial" w:hAnsi="Arial" w:cs="Arial"/>
          <w:b/>
        </w:rPr>
        <w:t xml:space="preserve">II. je národní úroveň RIS3 strategie připravena pokračovat v koordinační roli </w:t>
      </w:r>
      <w:r w:rsidR="00EA13DF" w:rsidRPr="00B4124B">
        <w:rPr>
          <w:rFonts w:ascii="Arial" w:hAnsi="Arial" w:cs="Arial"/>
          <w:b/>
        </w:rPr>
        <w:t xml:space="preserve">vůči </w:t>
      </w:r>
      <w:r w:rsidRPr="00B4124B">
        <w:rPr>
          <w:rFonts w:ascii="Arial" w:hAnsi="Arial" w:cs="Arial"/>
          <w:b/>
        </w:rPr>
        <w:t>krajů</w:t>
      </w:r>
      <w:r w:rsidR="00EA13DF" w:rsidRPr="00B4124B">
        <w:rPr>
          <w:rFonts w:ascii="Arial" w:hAnsi="Arial" w:cs="Arial"/>
          <w:b/>
        </w:rPr>
        <w:t>m, a</w:t>
      </w:r>
      <w:r w:rsidR="00C75410" w:rsidRPr="00B4124B">
        <w:rPr>
          <w:rFonts w:ascii="Arial" w:hAnsi="Arial" w:cs="Arial"/>
          <w:b/>
        </w:rPr>
        <w:t> </w:t>
      </w:r>
      <w:r w:rsidR="00EA13DF" w:rsidRPr="00B4124B">
        <w:rPr>
          <w:rFonts w:ascii="Arial" w:hAnsi="Arial" w:cs="Arial"/>
          <w:b/>
        </w:rPr>
        <w:t>to</w:t>
      </w:r>
      <w:r w:rsidRPr="00B4124B">
        <w:rPr>
          <w:rFonts w:ascii="Arial" w:hAnsi="Arial" w:cs="Arial"/>
          <w:b/>
        </w:rPr>
        <w:t xml:space="preserve"> s výrazným posílením důrazu na jednotná strukturovaná data a jejich vyhodnocování. </w:t>
      </w:r>
      <w:r w:rsidR="00C75410" w:rsidRPr="00B4124B">
        <w:rPr>
          <w:rFonts w:ascii="Arial" w:hAnsi="Arial" w:cs="Arial"/>
          <w:b/>
        </w:rPr>
        <w:br w:type="page"/>
      </w:r>
    </w:p>
    <w:p w:rsidR="00EA5838" w:rsidRPr="00B4124B" w:rsidRDefault="00BB43CA" w:rsidP="00EA5838">
      <w:pPr>
        <w:pStyle w:val="Nadpis1"/>
        <w:rPr>
          <w:rFonts w:cs="Arial"/>
          <w:sz w:val="22"/>
          <w:szCs w:val="22"/>
        </w:rPr>
      </w:pPr>
      <w:bookmarkStart w:id="29" w:name="_Toc513451940"/>
      <w:r w:rsidRPr="00B4124B">
        <w:rPr>
          <w:rFonts w:cs="Arial"/>
          <w:sz w:val="22"/>
          <w:szCs w:val="22"/>
        </w:rPr>
        <w:lastRenderedPageBreak/>
        <w:t>Růst kvality</w:t>
      </w:r>
      <w:r w:rsidR="00975C33" w:rsidRPr="00B4124B">
        <w:rPr>
          <w:rFonts w:cs="Arial"/>
          <w:sz w:val="22"/>
          <w:szCs w:val="22"/>
        </w:rPr>
        <w:t xml:space="preserve"> m</w:t>
      </w:r>
      <w:r w:rsidR="00DF1753" w:rsidRPr="00B4124B">
        <w:rPr>
          <w:rFonts w:cs="Arial"/>
          <w:sz w:val="22"/>
          <w:szCs w:val="22"/>
        </w:rPr>
        <w:t>onitoring</w:t>
      </w:r>
      <w:r w:rsidR="00975C33" w:rsidRPr="00B4124B">
        <w:rPr>
          <w:rFonts w:cs="Arial"/>
          <w:sz w:val="22"/>
          <w:szCs w:val="22"/>
        </w:rPr>
        <w:t>u</w:t>
      </w:r>
      <w:bookmarkEnd w:id="29"/>
    </w:p>
    <w:p w:rsidR="00C75410" w:rsidRPr="00B4124B" w:rsidRDefault="00494AD8" w:rsidP="00494AD8">
      <w:pPr>
        <w:spacing w:line="360" w:lineRule="auto"/>
        <w:ind w:firstLine="432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>Monitorování intervencí</w:t>
      </w:r>
      <w:r w:rsidRPr="00B4124B">
        <w:rPr>
          <w:rFonts w:ascii="Arial" w:hAnsi="Arial" w:cs="Arial"/>
        </w:rPr>
        <w:t xml:space="preserve"> </w:t>
      </w:r>
      <w:r w:rsidR="00A76959" w:rsidRPr="00B4124B">
        <w:rPr>
          <w:rFonts w:ascii="Arial" w:hAnsi="Arial" w:cs="Arial"/>
        </w:rPr>
        <w:t>bylo v roce 2017 realizováno ve spolupráci s dotčenými řídi</w:t>
      </w:r>
      <w:r w:rsidRPr="00B4124B">
        <w:rPr>
          <w:rFonts w:ascii="Arial" w:hAnsi="Arial" w:cs="Arial"/>
        </w:rPr>
        <w:t>cími orgány operačních a</w:t>
      </w:r>
      <w:r w:rsidR="00C7541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národních programů podpory</w:t>
      </w:r>
      <w:r w:rsidR="00A76959" w:rsidRPr="00B4124B">
        <w:rPr>
          <w:rFonts w:ascii="Arial" w:hAnsi="Arial" w:cs="Arial"/>
        </w:rPr>
        <w:t>,</w:t>
      </w:r>
      <w:r w:rsidRPr="00B4124B">
        <w:rPr>
          <w:rFonts w:ascii="Arial" w:hAnsi="Arial" w:cs="Arial"/>
        </w:rPr>
        <w:t xml:space="preserve"> a v souladu s postupem stanoveným v</w:t>
      </w:r>
      <w:r w:rsidR="00C7541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RIS3 strategii</w:t>
      </w:r>
      <w:r w:rsidRPr="00B4124B">
        <w:rPr>
          <w:rStyle w:val="Znakapoznpodarou"/>
          <w:rFonts w:ascii="Arial" w:hAnsi="Arial" w:cs="Arial"/>
        </w:rPr>
        <w:footnoteReference w:id="7"/>
      </w:r>
      <w:r w:rsidR="00935F17" w:rsidRPr="00B4124B">
        <w:rPr>
          <w:rFonts w:ascii="Arial" w:hAnsi="Arial" w:cs="Arial"/>
        </w:rPr>
        <w:t>. Monitorovány byly</w:t>
      </w:r>
      <w:r w:rsidRPr="00B4124B">
        <w:rPr>
          <w:rFonts w:ascii="Arial" w:hAnsi="Arial" w:cs="Arial"/>
        </w:rPr>
        <w:t xml:space="preserve"> programy (projekty), které se zabývají aplikovaným výzkumem v ČR a</w:t>
      </w:r>
      <w:r w:rsidR="00C75410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jsou ve svém věcném obsahu navázány na RIS3 strategii.</w:t>
      </w:r>
      <w:r w:rsidR="00935F17" w:rsidRPr="00B4124B">
        <w:rPr>
          <w:rFonts w:ascii="Arial" w:hAnsi="Arial" w:cs="Arial"/>
        </w:rPr>
        <w:t xml:space="preserve"> V návaznosti na první ucelené monitorovací výstupy byly identifikovány některé </w:t>
      </w:r>
      <w:r w:rsidR="00935F17" w:rsidRPr="00B4124B">
        <w:rPr>
          <w:rFonts w:ascii="Arial" w:hAnsi="Arial" w:cs="Arial"/>
          <w:b/>
        </w:rPr>
        <w:t>problémové okruhy monitoringu</w:t>
      </w:r>
      <w:r w:rsidR="00935F17" w:rsidRPr="00B4124B">
        <w:rPr>
          <w:rFonts w:ascii="Arial" w:hAnsi="Arial" w:cs="Arial"/>
        </w:rPr>
        <w:t xml:space="preserve">, které budou v průběhu roku 2018 řešeny. Samostatnými tématy, která budou </w:t>
      </w:r>
      <w:r w:rsidR="00A415D1" w:rsidRPr="00B4124B">
        <w:rPr>
          <w:rFonts w:ascii="Arial" w:hAnsi="Arial" w:cs="Arial"/>
        </w:rPr>
        <w:t xml:space="preserve">od roku 2018 </w:t>
      </w:r>
      <w:r w:rsidR="00935F17" w:rsidRPr="00B4124B">
        <w:rPr>
          <w:rFonts w:ascii="Arial" w:hAnsi="Arial" w:cs="Arial"/>
        </w:rPr>
        <w:t>rozvíjena</w:t>
      </w:r>
      <w:r w:rsidR="00A415D1" w:rsidRPr="00B4124B">
        <w:rPr>
          <w:rFonts w:ascii="Arial" w:hAnsi="Arial" w:cs="Arial"/>
        </w:rPr>
        <w:t>, je rozpracování a</w:t>
      </w:r>
      <w:r w:rsidR="00483B9E" w:rsidRPr="00B4124B">
        <w:rPr>
          <w:rFonts w:ascii="Arial" w:hAnsi="Arial" w:cs="Arial"/>
        </w:rPr>
        <w:t> </w:t>
      </w:r>
      <w:r w:rsidR="00A415D1" w:rsidRPr="00B4124B">
        <w:rPr>
          <w:rFonts w:ascii="Arial" w:hAnsi="Arial" w:cs="Arial"/>
        </w:rPr>
        <w:t xml:space="preserve">sledování </w:t>
      </w:r>
      <w:r w:rsidR="00A415D1" w:rsidRPr="00B4124B">
        <w:rPr>
          <w:rFonts w:ascii="Arial" w:hAnsi="Arial" w:cs="Arial"/>
          <w:b/>
        </w:rPr>
        <w:t>indikátorů strategických</w:t>
      </w:r>
      <w:r w:rsidR="00935F17" w:rsidRPr="00B4124B">
        <w:rPr>
          <w:rFonts w:ascii="Arial" w:hAnsi="Arial" w:cs="Arial"/>
          <w:b/>
        </w:rPr>
        <w:t xml:space="preserve"> </w:t>
      </w:r>
      <w:r w:rsidR="00A415D1" w:rsidRPr="00B4124B">
        <w:rPr>
          <w:rFonts w:ascii="Arial" w:hAnsi="Arial" w:cs="Arial"/>
          <w:b/>
        </w:rPr>
        <w:t>cílů</w:t>
      </w:r>
      <w:r w:rsidR="00A415D1" w:rsidRPr="00B4124B">
        <w:rPr>
          <w:rFonts w:ascii="Arial" w:hAnsi="Arial" w:cs="Arial"/>
        </w:rPr>
        <w:t xml:space="preserve"> (budou využity mimo jiné rovněž v </w:t>
      </w:r>
      <w:r w:rsidR="00A415D1" w:rsidRPr="00B4124B">
        <w:rPr>
          <w:rFonts w:ascii="Arial" w:hAnsi="Arial" w:cs="Arial"/>
          <w:i/>
        </w:rPr>
        <w:t>Hodnotící zprávě RIS3 strategie 2019</w:t>
      </w:r>
      <w:r w:rsidR="00A415D1" w:rsidRPr="00B4124B">
        <w:rPr>
          <w:rFonts w:ascii="Arial" w:hAnsi="Arial" w:cs="Arial"/>
        </w:rPr>
        <w:t xml:space="preserve"> – viz kap. 7 </w:t>
      </w:r>
      <w:r w:rsidR="00CD75B8" w:rsidRPr="00B4124B">
        <w:rPr>
          <w:rFonts w:ascii="Arial" w:hAnsi="Arial" w:cs="Arial"/>
        </w:rPr>
        <w:fldChar w:fldCharType="begin"/>
      </w:r>
      <w:r w:rsidR="00CD75B8" w:rsidRPr="00B4124B">
        <w:rPr>
          <w:rFonts w:ascii="Arial" w:hAnsi="Arial" w:cs="Arial"/>
        </w:rPr>
        <w:instrText xml:space="preserve"> REF _Ref513015299 \h  \* MERGEFORMAT </w:instrText>
      </w:r>
      <w:r w:rsidR="00CD75B8" w:rsidRPr="00B4124B">
        <w:rPr>
          <w:rFonts w:ascii="Arial" w:hAnsi="Arial" w:cs="Arial"/>
        </w:rPr>
      </w:r>
      <w:r w:rsidR="00CD75B8" w:rsidRPr="00B4124B">
        <w:rPr>
          <w:rFonts w:ascii="Arial" w:hAnsi="Arial" w:cs="Arial"/>
        </w:rPr>
        <w:fldChar w:fldCharType="separate"/>
      </w:r>
      <w:r w:rsidR="00295F79" w:rsidRPr="00B4124B">
        <w:rPr>
          <w:rFonts w:ascii="Arial" w:hAnsi="Arial" w:cs="Arial"/>
        </w:rPr>
        <w:t>Mid-term evaluace 2019</w:t>
      </w:r>
      <w:r w:rsidR="00CD75B8" w:rsidRPr="00B4124B">
        <w:rPr>
          <w:rFonts w:ascii="Arial" w:hAnsi="Arial" w:cs="Arial"/>
        </w:rPr>
        <w:fldChar w:fldCharType="end"/>
      </w:r>
      <w:r w:rsidR="00A415D1" w:rsidRPr="00B4124B">
        <w:rPr>
          <w:rFonts w:ascii="Arial" w:hAnsi="Arial" w:cs="Arial"/>
        </w:rPr>
        <w:t xml:space="preserve">) a nastavení </w:t>
      </w:r>
      <w:r w:rsidR="00A415D1" w:rsidRPr="00B4124B">
        <w:rPr>
          <w:rFonts w:ascii="Arial" w:hAnsi="Arial" w:cs="Arial"/>
          <w:b/>
        </w:rPr>
        <w:t xml:space="preserve">jednotného monitoringu </w:t>
      </w:r>
      <w:r w:rsidR="00A415D1" w:rsidRPr="00B4124B">
        <w:rPr>
          <w:rFonts w:ascii="Arial" w:hAnsi="Arial" w:cs="Arial"/>
        </w:rPr>
        <w:t xml:space="preserve">dílčích okruhů </w:t>
      </w:r>
      <w:r w:rsidR="00A415D1" w:rsidRPr="00B4124B">
        <w:rPr>
          <w:rFonts w:ascii="Arial" w:hAnsi="Arial" w:cs="Arial"/>
          <w:b/>
        </w:rPr>
        <w:t>krajských RIS3 strategií</w:t>
      </w:r>
      <w:r w:rsidR="00A415D1" w:rsidRPr="00B4124B">
        <w:rPr>
          <w:rFonts w:ascii="Arial" w:hAnsi="Arial" w:cs="Arial"/>
        </w:rPr>
        <w:t>.</w:t>
      </w:r>
    </w:p>
    <w:p w:rsidR="00494AD8" w:rsidRPr="00B4124B" w:rsidRDefault="00A415D1" w:rsidP="00E573C5">
      <w:pPr>
        <w:pStyle w:val="Nadpis2"/>
        <w:numPr>
          <w:ilvl w:val="1"/>
          <w:numId w:val="9"/>
        </w:numPr>
        <w:rPr>
          <w:rFonts w:cs="Arial"/>
          <w:sz w:val="22"/>
          <w:szCs w:val="22"/>
        </w:rPr>
      </w:pPr>
      <w:bookmarkStart w:id="30" w:name="_Toc512764937"/>
      <w:bookmarkStart w:id="31" w:name="_Toc512765178"/>
      <w:bookmarkStart w:id="32" w:name="_Toc512765442"/>
      <w:bookmarkStart w:id="33" w:name="_Toc512766245"/>
      <w:bookmarkStart w:id="34" w:name="_Toc512766365"/>
      <w:bookmarkStart w:id="35" w:name="_Toc512777870"/>
      <w:bookmarkStart w:id="36" w:name="_Toc512779150"/>
      <w:bookmarkStart w:id="37" w:name="_Toc512788249"/>
      <w:bookmarkStart w:id="38" w:name="_Toc512805259"/>
      <w:bookmarkStart w:id="39" w:name="_Toc512805463"/>
      <w:bookmarkStart w:id="40" w:name="_Toc512937511"/>
      <w:bookmarkStart w:id="41" w:name="_Toc512950227"/>
      <w:bookmarkStart w:id="42" w:name="_Toc512952142"/>
      <w:bookmarkStart w:id="43" w:name="_Toc512976919"/>
      <w:bookmarkStart w:id="44" w:name="_Toc512764938"/>
      <w:bookmarkStart w:id="45" w:name="_Toc512765179"/>
      <w:bookmarkStart w:id="46" w:name="_Toc512765443"/>
      <w:bookmarkStart w:id="47" w:name="_Toc512766246"/>
      <w:bookmarkStart w:id="48" w:name="_Toc512766366"/>
      <w:bookmarkStart w:id="49" w:name="_Toc512777871"/>
      <w:bookmarkStart w:id="50" w:name="_Toc512779151"/>
      <w:bookmarkStart w:id="51" w:name="_Toc512788250"/>
      <w:bookmarkStart w:id="52" w:name="_Toc512805260"/>
      <w:bookmarkStart w:id="53" w:name="_Toc512805464"/>
      <w:bookmarkStart w:id="54" w:name="_Toc512937512"/>
      <w:bookmarkStart w:id="55" w:name="_Toc512950228"/>
      <w:bookmarkStart w:id="56" w:name="_Toc512952143"/>
      <w:bookmarkStart w:id="57" w:name="_Toc512976920"/>
      <w:bookmarkStart w:id="58" w:name="_Toc512764939"/>
      <w:bookmarkStart w:id="59" w:name="_Toc512765180"/>
      <w:bookmarkStart w:id="60" w:name="_Toc512765444"/>
      <w:bookmarkStart w:id="61" w:name="_Toc512766247"/>
      <w:bookmarkStart w:id="62" w:name="_Toc512766367"/>
      <w:bookmarkStart w:id="63" w:name="_Toc512777872"/>
      <w:bookmarkStart w:id="64" w:name="_Toc512779152"/>
      <w:bookmarkStart w:id="65" w:name="_Toc512788251"/>
      <w:bookmarkStart w:id="66" w:name="_Toc512805261"/>
      <w:bookmarkStart w:id="67" w:name="_Toc512805465"/>
      <w:bookmarkStart w:id="68" w:name="_Toc512937513"/>
      <w:bookmarkStart w:id="69" w:name="_Toc512950229"/>
      <w:bookmarkStart w:id="70" w:name="_Toc512952144"/>
      <w:bookmarkStart w:id="71" w:name="_Toc512976921"/>
      <w:bookmarkStart w:id="72" w:name="_Toc512764940"/>
      <w:bookmarkStart w:id="73" w:name="_Toc512765181"/>
      <w:bookmarkStart w:id="74" w:name="_Toc512765445"/>
      <w:bookmarkStart w:id="75" w:name="_Toc512766248"/>
      <w:bookmarkStart w:id="76" w:name="_Toc512766368"/>
      <w:bookmarkStart w:id="77" w:name="_Toc512777873"/>
      <w:bookmarkStart w:id="78" w:name="_Toc512779153"/>
      <w:bookmarkStart w:id="79" w:name="_Toc512788252"/>
      <w:bookmarkStart w:id="80" w:name="_Toc512805262"/>
      <w:bookmarkStart w:id="81" w:name="_Toc512805466"/>
      <w:bookmarkStart w:id="82" w:name="_Toc512937514"/>
      <w:bookmarkStart w:id="83" w:name="_Toc512950230"/>
      <w:bookmarkStart w:id="84" w:name="_Toc512952145"/>
      <w:bookmarkStart w:id="85" w:name="_Toc512976922"/>
      <w:bookmarkStart w:id="86" w:name="_Toc512764941"/>
      <w:bookmarkStart w:id="87" w:name="_Toc512765182"/>
      <w:bookmarkStart w:id="88" w:name="_Toc512765446"/>
      <w:bookmarkStart w:id="89" w:name="_Toc512766249"/>
      <w:bookmarkStart w:id="90" w:name="_Toc512766369"/>
      <w:bookmarkStart w:id="91" w:name="_Toc512777874"/>
      <w:bookmarkStart w:id="92" w:name="_Toc512779154"/>
      <w:bookmarkStart w:id="93" w:name="_Toc512788253"/>
      <w:bookmarkStart w:id="94" w:name="_Toc512805263"/>
      <w:bookmarkStart w:id="95" w:name="_Toc512805467"/>
      <w:bookmarkStart w:id="96" w:name="_Toc512937515"/>
      <w:bookmarkStart w:id="97" w:name="_Toc512950231"/>
      <w:bookmarkStart w:id="98" w:name="_Toc512952146"/>
      <w:bookmarkStart w:id="99" w:name="_Toc512976923"/>
      <w:bookmarkStart w:id="100" w:name="_Toc513451941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Pr="00B4124B">
        <w:rPr>
          <w:rFonts w:cs="Arial"/>
          <w:sz w:val="22"/>
          <w:szCs w:val="22"/>
        </w:rPr>
        <w:t>Shrnutí nynějších monitorovaných</w:t>
      </w:r>
      <w:r w:rsidR="00494AD8" w:rsidRPr="00B4124B">
        <w:rPr>
          <w:rFonts w:cs="Arial"/>
          <w:sz w:val="22"/>
          <w:szCs w:val="22"/>
        </w:rPr>
        <w:t xml:space="preserve"> oblast</w:t>
      </w:r>
      <w:r w:rsidRPr="00B4124B">
        <w:rPr>
          <w:rFonts w:cs="Arial"/>
          <w:sz w:val="22"/>
          <w:szCs w:val="22"/>
        </w:rPr>
        <w:t>í</w:t>
      </w:r>
      <w:bookmarkEnd w:id="100"/>
    </w:p>
    <w:p w:rsidR="00494AD8" w:rsidRPr="00B4124B" w:rsidRDefault="00A76959" w:rsidP="00494AD8">
      <w:pPr>
        <w:spacing w:line="360" w:lineRule="auto"/>
        <w:ind w:firstLine="426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Doposud se Národní RIS3 strategie zaměřuje</w:t>
      </w:r>
      <w:r w:rsidR="00494AD8" w:rsidRPr="00B4124B">
        <w:rPr>
          <w:rFonts w:ascii="Arial" w:hAnsi="Arial" w:cs="Arial"/>
        </w:rPr>
        <w:t xml:space="preserve"> zejména </w:t>
      </w:r>
      <w:r w:rsidRPr="00B4124B">
        <w:rPr>
          <w:rFonts w:ascii="Arial" w:hAnsi="Arial" w:cs="Arial"/>
        </w:rPr>
        <w:t xml:space="preserve">na </w:t>
      </w:r>
      <w:r w:rsidR="00494AD8" w:rsidRPr="00B4124B">
        <w:rPr>
          <w:rFonts w:ascii="Arial" w:hAnsi="Arial" w:cs="Arial"/>
        </w:rPr>
        <w:t>následující monitorované oblasti</w:t>
      </w:r>
      <w:r w:rsidRPr="00B4124B">
        <w:rPr>
          <w:rStyle w:val="Znakapoznpodarou"/>
          <w:rFonts w:ascii="Arial" w:hAnsi="Arial" w:cs="Arial"/>
        </w:rPr>
        <w:footnoteReference w:id="8"/>
      </w:r>
      <w:r w:rsidR="00494AD8" w:rsidRPr="00B4124B">
        <w:rPr>
          <w:rFonts w:ascii="Arial" w:hAnsi="Arial" w:cs="Arial"/>
        </w:rPr>
        <w:t xml:space="preserve">: </w:t>
      </w:r>
    </w:p>
    <w:p w:rsidR="00494AD8" w:rsidRPr="00B4124B" w:rsidRDefault="00494AD8" w:rsidP="00B35B7D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přehled čerpání evropských finančních prostředků, veřejných a neveřejných finančních prostředků ČR a krajských finančních prostředků, a to podle intervencí (výzev) ESIF a</w:t>
      </w:r>
      <w:r w:rsidR="00E655B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intervencí (veřejných soutěží) národních programů podpory,</w:t>
      </w:r>
    </w:p>
    <w:p w:rsidR="00494AD8" w:rsidRPr="00B4124B" w:rsidRDefault="00494AD8" w:rsidP="00B35B7D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přehled realizovaných intervencí v členění podle klíčových oblastí změn, strategických a specifických cílů RIS3 strategie spolu s uvedením objemu prostředků na tyto intervence,</w:t>
      </w:r>
    </w:p>
    <w:p w:rsidR="00494AD8" w:rsidRPr="00B4124B" w:rsidRDefault="00494AD8" w:rsidP="00B35B7D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podporu aplikačních odvětví spolu s uvedením objemu prostředků na tato odvětví,</w:t>
      </w:r>
    </w:p>
    <w:p w:rsidR="00494AD8" w:rsidRPr="00B4124B" w:rsidRDefault="00494AD8" w:rsidP="00B35B7D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podporu aplikačních odvětví v jednotlivých krajích spolu s uvedením objemu prostředků na tato odvětví, </w:t>
      </w:r>
    </w:p>
    <w:p w:rsidR="00494AD8" w:rsidRPr="00B4124B" w:rsidRDefault="00494AD8" w:rsidP="00B35B7D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podporu krajsky specifických aplikační odvětví spolu s uvedením objemu prostředků na tato odvětví,</w:t>
      </w:r>
    </w:p>
    <w:p w:rsidR="00494AD8" w:rsidRPr="00B4124B" w:rsidRDefault="00494AD8" w:rsidP="00B35B7D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podporu znalostních domén v operačních programech OP</w:t>
      </w:r>
      <w:r w:rsidR="00E655B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VVV a</w:t>
      </w:r>
      <w:r w:rsidR="00483B9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OP</w:t>
      </w:r>
      <w:r w:rsidR="00E655B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PPR spolu s uvedením objemu prostředků na tyto domény,</w:t>
      </w:r>
    </w:p>
    <w:p w:rsidR="00494AD8" w:rsidRPr="00B4124B" w:rsidRDefault="00494AD8" w:rsidP="00A415D1">
      <w:pPr>
        <w:pStyle w:val="Odstavecseseznamem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přehled naplňování indikátorů </w:t>
      </w:r>
      <w:r w:rsidR="00A415D1" w:rsidRPr="00B4124B">
        <w:rPr>
          <w:rFonts w:ascii="Arial" w:hAnsi="Arial" w:cs="Arial"/>
        </w:rPr>
        <w:t xml:space="preserve">specifických cílů Národní </w:t>
      </w:r>
      <w:r w:rsidRPr="00B4124B">
        <w:rPr>
          <w:rFonts w:ascii="Arial" w:hAnsi="Arial" w:cs="Arial"/>
        </w:rPr>
        <w:t xml:space="preserve">RIS3 strategie s využitím indikátorů příslušných operačních programů a národních programů podpory  </w:t>
      </w:r>
    </w:p>
    <w:p w:rsidR="00494AD8" w:rsidRPr="00B4124B" w:rsidRDefault="00494AD8" w:rsidP="00494AD8">
      <w:pPr>
        <w:spacing w:line="360" w:lineRule="auto"/>
        <w:ind w:firstLine="426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>Období pro monitoring</w:t>
      </w:r>
      <w:r w:rsidRPr="00B4124B">
        <w:rPr>
          <w:rFonts w:ascii="Arial" w:hAnsi="Arial" w:cs="Arial"/>
        </w:rPr>
        <w:t xml:space="preserve"> dat bylo pro operační programy stanoveno od 1. ledna 2015 vždy do data aktuálního sběru požadovaných dat (31.</w:t>
      </w:r>
      <w:r w:rsidR="00E655B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květen</w:t>
      </w:r>
      <w:r w:rsidR="00E655B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2017; 31.</w:t>
      </w:r>
      <w:r w:rsidR="00E655B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říjen</w:t>
      </w:r>
      <w:r w:rsidR="00E655B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2017). Datum 1. ledna</w:t>
      </w:r>
      <w:r w:rsidR="00E655B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2015 vychází z předpokladu, že sbíraná data budou dostatečně a reprezentativně zohledňovat náběh implementace RIS3 strategie v jednotlivých operačních programech. U národních programů podpory byl tento náběh opožděn, proto bylo jako výchozí datum pro sběr dat stanoveno 1.</w:t>
      </w:r>
      <w:r w:rsidR="00367A94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ledna</w:t>
      </w:r>
      <w:r w:rsidR="00367A94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2016. </w:t>
      </w:r>
    </w:p>
    <w:p w:rsidR="00494AD8" w:rsidRPr="00B4124B" w:rsidRDefault="00494AD8" w:rsidP="00494AD8">
      <w:pPr>
        <w:spacing w:line="360" w:lineRule="auto"/>
        <w:ind w:firstLine="426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lastRenderedPageBreak/>
        <w:t xml:space="preserve">Dalším ze základních kritérií byl </w:t>
      </w:r>
      <w:r w:rsidRPr="00B4124B">
        <w:rPr>
          <w:rFonts w:ascii="Arial" w:hAnsi="Arial" w:cs="Arial"/>
          <w:b/>
        </w:rPr>
        <w:t>stav projektů</w:t>
      </w:r>
      <w:r w:rsidRPr="00B4124B">
        <w:rPr>
          <w:rFonts w:ascii="Arial" w:hAnsi="Arial" w:cs="Arial"/>
        </w:rPr>
        <w:t>, tedy v jaké realizační fázi se sledované projekty (projektové žádosti) nacházejí. Pro operační programy i</w:t>
      </w:r>
      <w:r w:rsidR="00176B4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pro národní programy podpory bylo stanoveno, že budou sledovány projekty (projektové žádosti) ve stavu vydaní právního aktu o</w:t>
      </w:r>
      <w:r w:rsidR="00176B4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poskytnutí podpory a</w:t>
      </w:r>
      <w:r w:rsidR="00176B4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ve stavech následných. </w:t>
      </w:r>
    </w:p>
    <w:p w:rsidR="00494AD8" w:rsidRPr="00B4124B" w:rsidRDefault="00494AD8" w:rsidP="00494AD8">
      <w:pPr>
        <w:spacing w:line="360" w:lineRule="auto"/>
        <w:ind w:firstLine="426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Co se týká </w:t>
      </w:r>
      <w:r w:rsidRPr="00B4124B">
        <w:rPr>
          <w:rFonts w:ascii="Arial" w:hAnsi="Arial" w:cs="Arial"/>
          <w:b/>
        </w:rPr>
        <w:t>sledovaných výdajů</w:t>
      </w:r>
      <w:r w:rsidRPr="00B4124B">
        <w:rPr>
          <w:rFonts w:ascii="Arial" w:hAnsi="Arial" w:cs="Arial"/>
        </w:rPr>
        <w:t>, u</w:t>
      </w:r>
      <w:r w:rsidR="00176B4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projektů realizovaných v rámci operačních programů, se jedná o celkové způsobilé výdaje nebo o podporu (dotaci) EU, tedy finanční prostředky, které jsou stanoveny (plánovány) a</w:t>
      </w:r>
      <w:r w:rsidR="00176B4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evidovány v</w:t>
      </w:r>
      <w:r w:rsidR="00176B4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systému MS2014+ na celou dobu trvání projektu. Oproti tomu u národních programů podpory jsou finance v systému IS</w:t>
      </w:r>
      <w:r w:rsidR="00176B4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VaVaI rozděleny po jednotlivých letech a jedná se o</w:t>
      </w:r>
      <w:r w:rsidR="00176B4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prostředky plánované i čerpané. </w:t>
      </w:r>
    </w:p>
    <w:p w:rsidR="00494AD8" w:rsidRPr="00B4124B" w:rsidRDefault="00494AD8" w:rsidP="00494AD8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V rámci monitorování intervencí operačních programů a</w:t>
      </w:r>
      <w:r w:rsidR="00176B4B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národních programů podpory v roce 2018 by další sběr dat (při zachování jejich kvantitativní i kvalitativní hodnoty) měl proběhnout ve dvou následujících termínech:</w:t>
      </w:r>
    </w:p>
    <w:p w:rsidR="00494AD8" w:rsidRPr="00B4124B" w:rsidRDefault="00494AD8" w:rsidP="00B35B7D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>1. sběr do 31. května 2018</w:t>
      </w:r>
      <w:r w:rsidRPr="00B4124B">
        <w:rPr>
          <w:rFonts w:ascii="Arial" w:hAnsi="Arial" w:cs="Arial"/>
        </w:rPr>
        <w:t>,</w:t>
      </w:r>
    </w:p>
    <w:p w:rsidR="00494AD8" w:rsidRPr="00B4124B" w:rsidRDefault="00494AD8" w:rsidP="00A415D1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B4124B">
        <w:rPr>
          <w:rFonts w:ascii="Arial" w:hAnsi="Arial" w:cs="Arial"/>
          <w:b/>
        </w:rPr>
        <w:t>2. sběr do 31. října 2018</w:t>
      </w:r>
      <w:r w:rsidRPr="00B4124B">
        <w:rPr>
          <w:rFonts w:ascii="Arial" w:hAnsi="Arial" w:cs="Arial"/>
        </w:rPr>
        <w:t>.</w:t>
      </w:r>
    </w:p>
    <w:p w:rsidR="00494AD8" w:rsidRPr="00B4124B" w:rsidRDefault="00A415D1" w:rsidP="00E573C5">
      <w:pPr>
        <w:pStyle w:val="Nadpis2"/>
        <w:numPr>
          <w:ilvl w:val="1"/>
          <w:numId w:val="23"/>
        </w:numPr>
        <w:rPr>
          <w:rFonts w:cs="Arial"/>
          <w:sz w:val="22"/>
          <w:szCs w:val="22"/>
        </w:rPr>
      </w:pPr>
      <w:bookmarkStart w:id="101" w:name="_Toc513451942"/>
      <w:r w:rsidRPr="00B4124B">
        <w:rPr>
          <w:rFonts w:cs="Arial"/>
          <w:sz w:val="22"/>
          <w:szCs w:val="22"/>
        </w:rPr>
        <w:t>Problémové okruhy monitoringu</w:t>
      </w:r>
      <w:bookmarkEnd w:id="101"/>
    </w:p>
    <w:p w:rsidR="00E573C5" w:rsidRPr="00B4124B" w:rsidRDefault="00E573C5" w:rsidP="00E573C5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Metodicky se v letech 2018 – 2019 monitoring zaměří především na nedostatky, které vyplynuly během roku 2017</w:t>
      </w:r>
      <w:r w:rsidRPr="00B4124B">
        <w:rPr>
          <w:rStyle w:val="Znakapoznpodarou"/>
          <w:rFonts w:ascii="Arial" w:hAnsi="Arial" w:cs="Arial"/>
        </w:rPr>
        <w:footnoteReference w:id="9"/>
      </w:r>
      <w:r w:rsidRPr="00B4124B">
        <w:rPr>
          <w:rFonts w:ascii="Arial" w:hAnsi="Arial" w:cs="Arial"/>
        </w:rPr>
        <w:t>. Jedná se o plošné řešení pro sledování klíčové oblasti D (tj. Lepší dostupnost lidských zdrojů pro inovační podnikání) přes aktivity a subaktivity projektů OP VVV, a</w:t>
      </w:r>
      <w:r w:rsidR="00483B9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dále nasazení </w:t>
      </w:r>
      <w:r w:rsidR="004A4DC2" w:rsidRPr="00B4124B">
        <w:rPr>
          <w:rFonts w:ascii="Arial" w:hAnsi="Arial" w:cs="Arial"/>
        </w:rPr>
        <w:t xml:space="preserve">adekvátního </w:t>
      </w:r>
      <w:r w:rsidRPr="00B4124B">
        <w:rPr>
          <w:rFonts w:ascii="Arial" w:hAnsi="Arial" w:cs="Arial"/>
        </w:rPr>
        <w:t>analytickéh</w:t>
      </w:r>
      <w:r w:rsidR="004A4DC2" w:rsidRPr="00B4124B">
        <w:rPr>
          <w:rFonts w:ascii="Arial" w:hAnsi="Arial" w:cs="Arial"/>
        </w:rPr>
        <w:t>o vzorku pro sledování pokrytí znalostních domén z projektů OP PIK.</w:t>
      </w:r>
    </w:p>
    <w:p w:rsidR="004A4DC2" w:rsidRPr="00B4124B" w:rsidRDefault="004A4DC2" w:rsidP="004A4DC2">
      <w:pPr>
        <w:pStyle w:val="Nadpis2"/>
        <w:numPr>
          <w:ilvl w:val="1"/>
          <w:numId w:val="23"/>
        </w:numPr>
        <w:rPr>
          <w:rFonts w:cs="Arial"/>
          <w:sz w:val="22"/>
          <w:szCs w:val="22"/>
        </w:rPr>
      </w:pPr>
      <w:bookmarkStart w:id="102" w:name="_Ref513015197"/>
      <w:bookmarkStart w:id="103" w:name="_Toc513451943"/>
      <w:r w:rsidRPr="00B4124B">
        <w:rPr>
          <w:rFonts w:cs="Arial"/>
          <w:sz w:val="22"/>
          <w:szCs w:val="22"/>
        </w:rPr>
        <w:t>Nové oblasti monitoringu</w:t>
      </w:r>
      <w:bookmarkEnd w:id="102"/>
      <w:bookmarkEnd w:id="103"/>
    </w:p>
    <w:p w:rsidR="004A4DC2" w:rsidRPr="00B4124B" w:rsidRDefault="004A4DC2" w:rsidP="004A4DC2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Kvalitativně nové výstupy monitoringu za rok 2018 jsou dvojího druhu.</w:t>
      </w:r>
    </w:p>
    <w:p w:rsidR="004A4DC2" w:rsidRPr="00B4124B" w:rsidRDefault="004A4DC2" w:rsidP="004A4DC2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V prvé řadě půjde o první </w:t>
      </w:r>
      <w:r w:rsidRPr="00B4124B">
        <w:rPr>
          <w:rFonts w:ascii="Arial" w:hAnsi="Arial" w:cs="Arial"/>
          <w:b/>
        </w:rPr>
        <w:t xml:space="preserve">vyhodnocení indikátorů strategických cílů Národní RIS3 strategie </w:t>
      </w:r>
      <w:r w:rsidRPr="00B4124B">
        <w:rPr>
          <w:rFonts w:ascii="Arial" w:hAnsi="Arial" w:cs="Arial"/>
        </w:rPr>
        <w:t>(viz Příloha 4), které se vztahují k širším ekonomicko-statistickým ukazatelům a</w:t>
      </w:r>
      <w:r w:rsidR="00483B9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jako takové již od počátku nasazení Národní RIS3 strategie v ČR mohou vykazovat hodnotitelné změny.</w:t>
      </w:r>
    </w:p>
    <w:p w:rsidR="00176B4B" w:rsidRPr="00B4124B" w:rsidRDefault="008B1245" w:rsidP="004A4DC2">
      <w:pPr>
        <w:spacing w:line="360" w:lineRule="auto"/>
        <w:ind w:firstLine="360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>Za druhé se bude jednat o</w:t>
      </w:r>
      <w:r w:rsidR="00483B9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 xml:space="preserve">metodologicky </w:t>
      </w:r>
      <w:r w:rsidRPr="00B4124B">
        <w:rPr>
          <w:rFonts w:ascii="Arial" w:hAnsi="Arial" w:cs="Arial"/>
          <w:b/>
        </w:rPr>
        <w:t>samostatné sledování vybraných segmentů krajských RIS3 strategií</w:t>
      </w:r>
      <w:r w:rsidRPr="00B4124B">
        <w:rPr>
          <w:rFonts w:ascii="Arial" w:hAnsi="Arial" w:cs="Arial"/>
        </w:rPr>
        <w:t>, které doposud vyplynuly jako zásadní pro koordinační roli Národní RIS3 strategie. Především se bude jednat o</w:t>
      </w:r>
      <w:r w:rsidR="00483B9E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zpracování strukturovaných dat o strategických projektech jednotlivých krajů</w:t>
      </w:r>
      <w:r w:rsidRPr="00B4124B">
        <w:rPr>
          <w:rStyle w:val="Znakapoznpodarou"/>
          <w:rFonts w:ascii="Arial" w:hAnsi="Arial" w:cs="Arial"/>
        </w:rPr>
        <w:footnoteReference w:id="10"/>
      </w:r>
      <w:r w:rsidRPr="00B4124B">
        <w:rPr>
          <w:rFonts w:ascii="Arial" w:hAnsi="Arial" w:cs="Arial"/>
        </w:rPr>
        <w:t>, a také krajských indikátorech (viz Příloha 5), a</w:t>
      </w:r>
      <w:r w:rsidR="00F06347" w:rsidRPr="00B4124B">
        <w:rPr>
          <w:rFonts w:ascii="Arial" w:hAnsi="Arial" w:cs="Arial"/>
        </w:rPr>
        <w:t> </w:t>
      </w:r>
      <w:r w:rsidRPr="00B4124B">
        <w:rPr>
          <w:rFonts w:ascii="Arial" w:hAnsi="Arial" w:cs="Arial"/>
        </w:rPr>
        <w:t>to v těsné vazbě na přehledy ročního financování krajských RIS3 strategií (</w:t>
      </w:r>
      <w:r w:rsidR="00AF5F03" w:rsidRPr="00B4124B">
        <w:rPr>
          <w:rFonts w:ascii="Arial" w:hAnsi="Arial" w:cs="Arial"/>
        </w:rPr>
        <w:t xml:space="preserve">viz </w:t>
      </w:r>
      <w:r w:rsidRPr="00B4124B">
        <w:rPr>
          <w:rFonts w:ascii="Arial" w:hAnsi="Arial" w:cs="Arial"/>
        </w:rPr>
        <w:t>Příloha 6).</w:t>
      </w:r>
      <w:r w:rsidR="00176B4B" w:rsidRPr="00B4124B">
        <w:rPr>
          <w:rFonts w:ascii="Arial" w:hAnsi="Arial" w:cs="Arial"/>
        </w:rPr>
        <w:br w:type="page"/>
      </w:r>
    </w:p>
    <w:p w:rsidR="00DF1753" w:rsidRPr="00B4124B" w:rsidRDefault="00494AD8" w:rsidP="00EA5838">
      <w:pPr>
        <w:pStyle w:val="Nadpis1"/>
        <w:ind w:left="851" w:hanging="491"/>
        <w:rPr>
          <w:rFonts w:cs="Arial"/>
          <w:sz w:val="22"/>
          <w:szCs w:val="22"/>
        </w:rPr>
      </w:pPr>
      <w:bookmarkStart w:id="104" w:name="_Ref513015219"/>
      <w:bookmarkStart w:id="105" w:name="_Ref513015299"/>
      <w:bookmarkStart w:id="106" w:name="_Ref513015424"/>
      <w:bookmarkStart w:id="107" w:name="_Toc513451944"/>
      <w:r w:rsidRPr="00B4124B">
        <w:rPr>
          <w:rFonts w:cs="Arial"/>
          <w:sz w:val="22"/>
          <w:szCs w:val="22"/>
        </w:rPr>
        <w:lastRenderedPageBreak/>
        <w:t>Mid-term evaluace 2019</w:t>
      </w:r>
      <w:bookmarkEnd w:id="104"/>
      <w:bookmarkEnd w:id="105"/>
      <w:bookmarkEnd w:id="106"/>
      <w:bookmarkEnd w:id="107"/>
    </w:p>
    <w:p w:rsidR="0052754F" w:rsidRPr="00B4124B" w:rsidRDefault="00AF627B" w:rsidP="009E158E">
      <w:pPr>
        <w:spacing w:before="240" w:after="0" w:line="360" w:lineRule="auto"/>
        <w:ind w:firstLine="708"/>
        <w:jc w:val="both"/>
        <w:rPr>
          <w:rFonts w:ascii="Arial" w:hAnsi="Arial" w:cs="Arial"/>
        </w:rPr>
      </w:pPr>
      <w:r w:rsidRPr="00B4124B">
        <w:rPr>
          <w:rFonts w:ascii="Arial" w:hAnsi="Arial" w:cs="Arial"/>
        </w:rPr>
        <w:t xml:space="preserve">Na podzim roku 2017 byl vytvořen indikativní </w:t>
      </w:r>
      <w:r w:rsidRPr="00B4124B">
        <w:rPr>
          <w:rFonts w:ascii="Arial" w:hAnsi="Arial" w:cs="Arial"/>
          <w:i/>
        </w:rPr>
        <w:t>Evaluační pl</w:t>
      </w:r>
      <w:r w:rsidR="00AD2457" w:rsidRPr="00B4124B">
        <w:rPr>
          <w:rFonts w:ascii="Arial" w:hAnsi="Arial" w:cs="Arial"/>
          <w:i/>
        </w:rPr>
        <w:t>án Národní RIS3 strategie (2017 - </w:t>
      </w:r>
      <w:r w:rsidRPr="00B4124B">
        <w:rPr>
          <w:rFonts w:ascii="Arial" w:hAnsi="Arial" w:cs="Arial"/>
          <w:i/>
        </w:rPr>
        <w:t>2019)</w:t>
      </w:r>
      <w:r w:rsidRPr="00B4124B">
        <w:rPr>
          <w:rFonts w:ascii="Arial" w:hAnsi="Arial" w:cs="Arial"/>
        </w:rPr>
        <w:t xml:space="preserve"> –</w:t>
      </w:r>
      <w:r w:rsidR="0052754F" w:rsidRPr="00B4124B">
        <w:rPr>
          <w:rFonts w:ascii="Arial" w:hAnsi="Arial" w:cs="Arial"/>
        </w:rPr>
        <w:t xml:space="preserve"> dále „EP RIS3 2017 – 2019“</w:t>
      </w:r>
      <w:r w:rsidR="00312341" w:rsidRPr="00B4124B">
        <w:rPr>
          <w:rFonts w:ascii="Arial" w:hAnsi="Arial" w:cs="Arial"/>
        </w:rPr>
        <w:t xml:space="preserve"> (celý plán viz Příloha 7)</w:t>
      </w:r>
      <w:r w:rsidRPr="00B4124B">
        <w:rPr>
          <w:rFonts w:ascii="Arial" w:hAnsi="Arial" w:cs="Arial"/>
        </w:rPr>
        <w:t xml:space="preserve">, jehož cílem je harmonizovat aktivity směřující k vytvoření </w:t>
      </w:r>
      <w:r w:rsidRPr="00B4124B">
        <w:rPr>
          <w:rFonts w:ascii="Arial" w:hAnsi="Arial" w:cs="Arial"/>
          <w:i/>
        </w:rPr>
        <w:t>Hodnotící zprávy Národní RIS3 strategie</w:t>
      </w:r>
      <w:r w:rsidRPr="00B4124B">
        <w:rPr>
          <w:rFonts w:ascii="Arial" w:hAnsi="Arial" w:cs="Arial"/>
        </w:rPr>
        <w:t xml:space="preserve"> </w:t>
      </w:r>
      <w:r w:rsidRPr="00B4124B">
        <w:rPr>
          <w:rFonts w:ascii="Arial" w:hAnsi="Arial" w:cs="Arial"/>
          <w:i/>
        </w:rPr>
        <w:t>2019</w:t>
      </w:r>
      <w:r w:rsidRPr="00B4124B">
        <w:rPr>
          <w:rFonts w:ascii="Arial" w:hAnsi="Arial" w:cs="Arial"/>
        </w:rPr>
        <w:t>, jež má být do 30.</w:t>
      </w:r>
      <w:r w:rsidR="0052754F" w:rsidRPr="00B4124B">
        <w:rPr>
          <w:rFonts w:ascii="Arial" w:hAnsi="Arial" w:cs="Arial"/>
        </w:rPr>
        <w:t xml:space="preserve"> června </w:t>
      </w:r>
      <w:r w:rsidRPr="00B4124B">
        <w:rPr>
          <w:rFonts w:ascii="Arial" w:hAnsi="Arial" w:cs="Arial"/>
        </w:rPr>
        <w:t>2019 předložena vládě ČR</w:t>
      </w:r>
      <w:r w:rsidRPr="00B4124B">
        <w:rPr>
          <w:rStyle w:val="Znakapoznpodarou"/>
          <w:rFonts w:ascii="Arial" w:hAnsi="Arial" w:cs="Arial"/>
        </w:rPr>
        <w:footnoteReference w:id="11"/>
      </w:r>
      <w:r w:rsidRPr="00B4124B">
        <w:rPr>
          <w:rFonts w:ascii="Arial" w:hAnsi="Arial" w:cs="Arial"/>
        </w:rPr>
        <w:t xml:space="preserve">. Tentýž dokument bude použit jako podklad </w:t>
      </w:r>
      <w:r w:rsidR="00AD2457" w:rsidRPr="00B4124B">
        <w:rPr>
          <w:rFonts w:ascii="Arial" w:hAnsi="Arial" w:cs="Arial"/>
        </w:rPr>
        <w:t>pro celkovou Zprávu o </w:t>
      </w:r>
      <w:r w:rsidR="0052754F" w:rsidRPr="00B4124B">
        <w:rPr>
          <w:rFonts w:ascii="Arial" w:hAnsi="Arial" w:cs="Arial"/>
        </w:rPr>
        <w:t>pokroku v programovacím období 2014</w:t>
      </w:r>
      <w:r w:rsidR="00AD2457" w:rsidRPr="00B4124B">
        <w:rPr>
          <w:rFonts w:ascii="Arial" w:hAnsi="Arial" w:cs="Arial"/>
        </w:rPr>
        <w:t xml:space="preserve"> </w:t>
      </w:r>
      <w:r w:rsidR="0052754F" w:rsidRPr="00B4124B">
        <w:rPr>
          <w:rFonts w:ascii="Arial" w:hAnsi="Arial" w:cs="Arial"/>
        </w:rPr>
        <w:t>-</w:t>
      </w:r>
      <w:r w:rsidR="00AD2457" w:rsidRPr="00B4124B">
        <w:rPr>
          <w:rFonts w:ascii="Arial" w:hAnsi="Arial" w:cs="Arial"/>
        </w:rPr>
        <w:t xml:space="preserve"> </w:t>
      </w:r>
      <w:r w:rsidR="0052754F" w:rsidRPr="00B4124B">
        <w:rPr>
          <w:rFonts w:ascii="Arial" w:hAnsi="Arial" w:cs="Arial"/>
        </w:rPr>
        <w:t xml:space="preserve">2020 (sestavovat ji bude MMR – NOK), </w:t>
      </w:r>
      <w:r w:rsidR="0052754F" w:rsidRPr="00B4124B">
        <w:rPr>
          <w:rStyle w:val="Zdraznn"/>
          <w:rFonts w:ascii="Arial" w:hAnsi="Arial" w:cs="Arial"/>
          <w:i w:val="0"/>
        </w:rPr>
        <w:t xml:space="preserve">která bude v souladu s pravidly pro ESI fondy předána Evropské komisi k 31. srpnu 2019. </w:t>
      </w:r>
    </w:p>
    <w:p w:rsidR="00594094" w:rsidRPr="00B4124B" w:rsidRDefault="00594094" w:rsidP="009E158E">
      <w:pPr>
        <w:spacing w:before="240" w:line="360" w:lineRule="auto"/>
        <w:ind w:firstLine="360"/>
        <w:jc w:val="both"/>
        <w:rPr>
          <w:rFonts w:ascii="Arial" w:eastAsia="Times New Roman" w:hAnsi="Arial" w:cs="Arial"/>
          <w:bCs/>
          <w:lang w:eastAsia="cs-CZ"/>
        </w:rPr>
      </w:pPr>
      <w:r w:rsidRPr="00B4124B">
        <w:rPr>
          <w:rFonts w:ascii="Arial" w:hAnsi="Arial" w:cs="Arial"/>
        </w:rPr>
        <w:t>EP RIS3 2017-2019 vymezuje legislativní a metodický rám</w:t>
      </w:r>
      <w:r w:rsidR="00AD2457" w:rsidRPr="00B4124B">
        <w:rPr>
          <w:rFonts w:ascii="Arial" w:hAnsi="Arial" w:cs="Arial"/>
        </w:rPr>
        <w:t>ec, hlavní evaluační principy a </w:t>
      </w:r>
      <w:r w:rsidRPr="00B4124B">
        <w:rPr>
          <w:rFonts w:ascii="Arial" w:hAnsi="Arial" w:cs="Arial"/>
        </w:rPr>
        <w:t xml:space="preserve">standardy, a dále uvádí přehled jednotlivých plánovaných evaluačních aktivit, včetně harmonogramu a sledovaných sekundárních zdrojů. </w:t>
      </w:r>
      <w:r w:rsidR="005E72F9" w:rsidRPr="00B4124B">
        <w:rPr>
          <w:rFonts w:ascii="Arial" w:eastAsia="Times New Roman" w:hAnsi="Arial" w:cs="Arial"/>
          <w:lang w:eastAsia="cs-CZ"/>
        </w:rPr>
        <w:t xml:space="preserve">Nastavení </w:t>
      </w:r>
      <w:r w:rsidRPr="00B4124B">
        <w:rPr>
          <w:rFonts w:ascii="Arial" w:eastAsia="Times New Roman" w:hAnsi="Arial" w:cs="Arial"/>
          <w:lang w:eastAsia="cs-CZ"/>
        </w:rPr>
        <w:t>platné pro plánování evaluací Národní RIS3 strategie vyplývá z  jejího základního dokumentu</w:t>
      </w:r>
      <w:r w:rsidRPr="00B4124B">
        <w:rPr>
          <w:rStyle w:val="Znakapoznpodarou"/>
          <w:rFonts w:ascii="Arial" w:eastAsia="Times New Roman" w:hAnsi="Arial" w:cs="Arial"/>
          <w:lang w:eastAsia="cs-CZ"/>
        </w:rPr>
        <w:footnoteReference w:id="12"/>
      </w:r>
      <w:r w:rsidRPr="00B4124B">
        <w:rPr>
          <w:rFonts w:ascii="Arial" w:eastAsia="Times New Roman" w:hAnsi="Arial" w:cs="Arial"/>
          <w:lang w:eastAsia="cs-CZ"/>
        </w:rPr>
        <w:t>. Na základě věcné souvislosti je přihlédnuto k evropské legislativě pro programy realizované s podporou ESIF v p</w:t>
      </w:r>
      <w:r w:rsidR="00B36445" w:rsidRPr="00B4124B">
        <w:rPr>
          <w:rFonts w:ascii="Arial" w:eastAsia="Times New Roman" w:hAnsi="Arial" w:cs="Arial"/>
          <w:lang w:eastAsia="cs-CZ"/>
        </w:rPr>
        <w:t>růběhu programovacího období </w:t>
      </w:r>
      <w:r w:rsidRPr="00B4124B">
        <w:rPr>
          <w:rFonts w:ascii="Arial" w:eastAsia="Times New Roman" w:hAnsi="Arial" w:cs="Arial"/>
          <w:lang w:eastAsia="cs-CZ"/>
        </w:rPr>
        <w:t>2014 – 2020</w:t>
      </w:r>
      <w:r w:rsidR="00B36445" w:rsidRPr="00B4124B">
        <w:rPr>
          <w:rStyle w:val="Znakapoznpodarou"/>
          <w:rFonts w:ascii="Arial" w:eastAsia="Times New Roman" w:hAnsi="Arial" w:cs="Arial"/>
          <w:lang w:eastAsia="cs-CZ"/>
        </w:rPr>
        <w:footnoteReference w:id="13"/>
      </w:r>
      <w:r w:rsidR="00B36445" w:rsidRPr="00B4124B">
        <w:rPr>
          <w:rFonts w:ascii="Arial" w:eastAsia="Times New Roman" w:hAnsi="Arial" w:cs="Arial"/>
          <w:lang w:eastAsia="cs-CZ"/>
        </w:rPr>
        <w:t xml:space="preserve"> </w:t>
      </w:r>
      <w:r w:rsidRPr="00B4124B">
        <w:rPr>
          <w:rFonts w:ascii="Arial" w:eastAsia="Times New Roman" w:hAnsi="Arial" w:cs="Arial"/>
          <w:bCs/>
          <w:lang w:eastAsia="cs-CZ"/>
        </w:rPr>
        <w:t xml:space="preserve">a </w:t>
      </w:r>
      <w:r w:rsidRPr="00B4124B">
        <w:rPr>
          <w:rFonts w:ascii="Arial" w:eastAsia="Times New Roman" w:hAnsi="Arial" w:cs="Arial"/>
          <w:bCs/>
          <w:i/>
          <w:lang w:eastAsia="cs-CZ"/>
        </w:rPr>
        <w:t>Metodickém</w:t>
      </w:r>
      <w:r w:rsidR="00035669" w:rsidRPr="00B4124B">
        <w:rPr>
          <w:rFonts w:ascii="Arial" w:eastAsia="Times New Roman" w:hAnsi="Arial" w:cs="Arial"/>
          <w:bCs/>
          <w:i/>
          <w:lang w:eastAsia="cs-CZ"/>
        </w:rPr>
        <w:t>u pokynu pro evaluace programovací</w:t>
      </w:r>
      <w:r w:rsidRPr="00B4124B">
        <w:rPr>
          <w:rFonts w:ascii="Arial" w:eastAsia="Times New Roman" w:hAnsi="Arial" w:cs="Arial"/>
          <w:bCs/>
          <w:i/>
          <w:lang w:eastAsia="cs-CZ"/>
        </w:rPr>
        <w:t>ho období 2014</w:t>
      </w:r>
      <w:r w:rsidR="00B36445" w:rsidRPr="00B4124B">
        <w:rPr>
          <w:rFonts w:ascii="Arial" w:eastAsia="Times New Roman" w:hAnsi="Arial" w:cs="Arial"/>
          <w:bCs/>
          <w:i/>
          <w:lang w:eastAsia="cs-CZ"/>
        </w:rPr>
        <w:t xml:space="preserve"> </w:t>
      </w:r>
      <w:r w:rsidRPr="00B4124B">
        <w:rPr>
          <w:rFonts w:ascii="Arial" w:eastAsia="Times New Roman" w:hAnsi="Arial" w:cs="Arial"/>
          <w:bCs/>
          <w:i/>
          <w:lang w:eastAsia="cs-CZ"/>
        </w:rPr>
        <w:t>-</w:t>
      </w:r>
      <w:r w:rsidR="00B36445" w:rsidRPr="00B4124B">
        <w:rPr>
          <w:rFonts w:ascii="Arial" w:eastAsia="Times New Roman" w:hAnsi="Arial" w:cs="Arial"/>
          <w:bCs/>
          <w:i/>
          <w:lang w:eastAsia="cs-CZ"/>
        </w:rPr>
        <w:t xml:space="preserve"> </w:t>
      </w:r>
      <w:r w:rsidRPr="00B4124B">
        <w:rPr>
          <w:rFonts w:ascii="Arial" w:eastAsia="Times New Roman" w:hAnsi="Arial" w:cs="Arial"/>
          <w:bCs/>
          <w:i/>
          <w:lang w:eastAsia="cs-CZ"/>
        </w:rPr>
        <w:t>2020</w:t>
      </w:r>
      <w:r w:rsidRPr="00B4124B">
        <w:rPr>
          <w:rFonts w:ascii="Arial" w:eastAsia="Times New Roman" w:hAnsi="Arial" w:cs="Arial"/>
          <w:bCs/>
          <w:lang w:eastAsia="cs-CZ"/>
        </w:rPr>
        <w:t>, zpracovaném a aktualizovaném Ministerstvem pro místní rozvoj.</w:t>
      </w:r>
    </w:p>
    <w:p w:rsidR="00594094" w:rsidRPr="00B4124B" w:rsidRDefault="00594094" w:rsidP="009E158E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eastAsia="Times New Roman" w:hAnsi="Arial" w:cs="Arial"/>
          <w:lang w:eastAsia="cs-CZ"/>
        </w:rPr>
      </w:pPr>
      <w:r w:rsidRPr="00B4124B">
        <w:rPr>
          <w:rFonts w:ascii="Arial" w:eastAsia="Times New Roman" w:hAnsi="Arial" w:cs="Arial"/>
          <w:lang w:eastAsia="cs-CZ"/>
        </w:rPr>
        <w:t xml:space="preserve">Evaluací se ve vztahu k Národní RIS3 strategii rozumí zpracování informací získaných v rámci monitoringu i mimo něj, interpretace informací a formulace závěrů a doporučení ke zlepšení implementace a celkového strategického nastavení. </w:t>
      </w:r>
      <w:r w:rsidR="00B36445" w:rsidRPr="00B4124B">
        <w:rPr>
          <w:rFonts w:ascii="Arial" w:eastAsia="Times New Roman" w:hAnsi="Arial" w:cs="Arial"/>
          <w:lang w:eastAsia="cs-CZ"/>
        </w:rPr>
        <w:t>Dodržována budou</w:t>
      </w:r>
      <w:r w:rsidRPr="00B4124B">
        <w:rPr>
          <w:rFonts w:ascii="Arial" w:eastAsia="Times New Roman" w:hAnsi="Arial" w:cs="Arial"/>
          <w:lang w:eastAsia="cs-CZ"/>
        </w:rPr>
        <w:t xml:space="preserve"> základní pravidla stanovená </w:t>
      </w:r>
      <w:r w:rsidRPr="00B4124B">
        <w:rPr>
          <w:rFonts w:ascii="Arial" w:eastAsia="Times New Roman" w:hAnsi="Arial" w:cs="Arial"/>
          <w:i/>
          <w:lang w:eastAsia="cs-CZ"/>
        </w:rPr>
        <w:t>Etickým kodexem evaluátora</w:t>
      </w:r>
      <w:r w:rsidRPr="00B4124B">
        <w:rPr>
          <w:rFonts w:ascii="Arial" w:eastAsia="Times New Roman" w:hAnsi="Arial" w:cs="Arial"/>
          <w:lang w:eastAsia="cs-CZ"/>
        </w:rPr>
        <w:t xml:space="preserve"> a </w:t>
      </w:r>
      <w:r w:rsidRPr="00B4124B">
        <w:rPr>
          <w:rFonts w:ascii="Arial" w:eastAsia="Times New Roman" w:hAnsi="Arial" w:cs="Arial"/>
          <w:i/>
          <w:lang w:eastAsia="cs-CZ"/>
        </w:rPr>
        <w:t>Formálními standardy provádění evaluací</w:t>
      </w:r>
      <w:r w:rsidRPr="00B4124B">
        <w:rPr>
          <w:rFonts w:ascii="Arial" w:eastAsia="Times New Roman" w:hAnsi="Arial" w:cs="Arial"/>
          <w:lang w:eastAsia="cs-CZ"/>
        </w:rPr>
        <w:t xml:space="preserve"> deklarovaných Českou evaluační společnosti.</w:t>
      </w:r>
    </w:p>
    <w:p w:rsidR="0052754F" w:rsidRPr="00B4124B" w:rsidRDefault="00594094" w:rsidP="009E158E">
      <w:pPr>
        <w:spacing w:line="360" w:lineRule="auto"/>
        <w:ind w:firstLine="360"/>
        <w:jc w:val="both"/>
        <w:rPr>
          <w:rFonts w:ascii="Arial" w:eastAsia="Arial" w:hAnsi="Arial" w:cs="Arial"/>
        </w:rPr>
      </w:pPr>
      <w:r w:rsidRPr="00B4124B">
        <w:rPr>
          <w:rFonts w:ascii="Arial" w:eastAsia="Arial" w:hAnsi="Arial" w:cs="Arial"/>
        </w:rPr>
        <w:t>K prvnímu sumativnímu zhodnocení Náro</w:t>
      </w:r>
      <w:r w:rsidR="00035669" w:rsidRPr="00B4124B">
        <w:rPr>
          <w:rFonts w:ascii="Arial" w:eastAsia="Arial" w:hAnsi="Arial" w:cs="Arial"/>
        </w:rPr>
        <w:t xml:space="preserve">dní RIS strategie za období 2015 </w:t>
      </w:r>
      <w:r w:rsidRPr="00B4124B">
        <w:rPr>
          <w:rFonts w:ascii="Arial" w:eastAsia="Arial" w:hAnsi="Arial" w:cs="Arial"/>
        </w:rPr>
        <w:t>-</w:t>
      </w:r>
      <w:r w:rsidR="00035669" w:rsidRPr="00B4124B">
        <w:rPr>
          <w:rFonts w:ascii="Arial" w:eastAsia="Arial" w:hAnsi="Arial" w:cs="Arial"/>
        </w:rPr>
        <w:t xml:space="preserve"> </w:t>
      </w:r>
      <w:r w:rsidRPr="00B4124B">
        <w:rPr>
          <w:rFonts w:ascii="Arial" w:eastAsia="Arial" w:hAnsi="Arial" w:cs="Arial"/>
        </w:rPr>
        <w:t xml:space="preserve">2018 povede soubor dílčích evaluačních aktivit, zčásti průběžných a zčásti jednorázových. Ve výjimečných případech se počítá s využitím externích kapacit. </w:t>
      </w:r>
      <w:r w:rsidR="00B36445" w:rsidRPr="00B4124B">
        <w:rPr>
          <w:rFonts w:ascii="Arial" w:hAnsi="Arial" w:cs="Arial"/>
        </w:rPr>
        <w:t xml:space="preserve">Půjde o smíšenou </w:t>
      </w:r>
      <w:r w:rsidR="00B36445" w:rsidRPr="00B4124B">
        <w:rPr>
          <w:rFonts w:ascii="Arial" w:hAnsi="Arial" w:cs="Arial"/>
          <w:i/>
        </w:rPr>
        <w:t>mid-term</w:t>
      </w:r>
      <w:r w:rsidR="00B36445" w:rsidRPr="00B4124B">
        <w:rPr>
          <w:rFonts w:ascii="Arial" w:hAnsi="Arial" w:cs="Arial"/>
        </w:rPr>
        <w:t xml:space="preserve"> evaluaci s využitím primárních a</w:t>
      </w:r>
      <w:r w:rsidR="003F7D3F" w:rsidRPr="00B4124B">
        <w:rPr>
          <w:rFonts w:ascii="Arial" w:hAnsi="Arial" w:cs="Arial"/>
        </w:rPr>
        <w:t> </w:t>
      </w:r>
      <w:r w:rsidR="00B36445" w:rsidRPr="00B4124B">
        <w:rPr>
          <w:rFonts w:ascii="Arial" w:hAnsi="Arial" w:cs="Arial"/>
        </w:rPr>
        <w:t>sekundárních zdrojů (relevantní dílčí evaluace řídicí</w:t>
      </w:r>
      <w:r w:rsidR="00AD2457" w:rsidRPr="00B4124B">
        <w:rPr>
          <w:rFonts w:ascii="Arial" w:hAnsi="Arial" w:cs="Arial"/>
        </w:rPr>
        <w:t>ch orgánů operačních programů a </w:t>
      </w:r>
      <w:r w:rsidR="00B36445" w:rsidRPr="00B4124B">
        <w:rPr>
          <w:rFonts w:ascii="Arial" w:hAnsi="Arial" w:cs="Arial"/>
        </w:rPr>
        <w:t xml:space="preserve">národních programů podpory). Významnou složkou budou rovněž vstupy krajských RIS3 strategií. </w:t>
      </w:r>
      <w:r w:rsidRPr="00B4124B">
        <w:rPr>
          <w:rFonts w:ascii="Arial" w:eastAsia="Arial" w:hAnsi="Arial" w:cs="Arial"/>
        </w:rPr>
        <w:t xml:space="preserve">EP </w:t>
      </w:r>
      <w:r w:rsidR="00B36445" w:rsidRPr="00B4124B">
        <w:rPr>
          <w:rFonts w:ascii="Arial" w:hAnsi="Arial" w:cs="Arial"/>
        </w:rPr>
        <w:t xml:space="preserve">RIS3 2017-2019 </w:t>
      </w:r>
      <w:r w:rsidR="00B36445" w:rsidRPr="00B4124B">
        <w:rPr>
          <w:rFonts w:ascii="Arial" w:eastAsia="Arial" w:hAnsi="Arial" w:cs="Arial"/>
        </w:rPr>
        <w:t>byl</w:t>
      </w:r>
      <w:r w:rsidRPr="00B4124B">
        <w:rPr>
          <w:rFonts w:ascii="Arial" w:eastAsia="Arial" w:hAnsi="Arial" w:cs="Arial"/>
        </w:rPr>
        <w:t xml:space="preserve"> vytvořen se zohledněním interních možností, avšak s maximální snahou o</w:t>
      </w:r>
      <w:r w:rsidR="003F7D3F" w:rsidRPr="00B4124B">
        <w:rPr>
          <w:rFonts w:ascii="Arial" w:eastAsia="Arial" w:hAnsi="Arial" w:cs="Arial"/>
        </w:rPr>
        <w:t> </w:t>
      </w:r>
      <w:r w:rsidRPr="00B4124B">
        <w:rPr>
          <w:rFonts w:ascii="Arial" w:eastAsia="Arial" w:hAnsi="Arial" w:cs="Arial"/>
        </w:rPr>
        <w:t>několikastupňovou prevenci nežádoucích trendů, včasnou identifikaci problémů a</w:t>
      </w:r>
      <w:r w:rsidR="003F7D3F" w:rsidRPr="00B4124B">
        <w:rPr>
          <w:rFonts w:ascii="Arial" w:eastAsia="Arial" w:hAnsi="Arial" w:cs="Arial"/>
        </w:rPr>
        <w:t> </w:t>
      </w:r>
      <w:r w:rsidRPr="00B4124B">
        <w:rPr>
          <w:rFonts w:ascii="Arial" w:eastAsia="Arial" w:hAnsi="Arial" w:cs="Arial"/>
        </w:rPr>
        <w:t>efektivní nastavení dalších postupů.</w:t>
      </w:r>
      <w:r w:rsidR="00AF627B" w:rsidRPr="00B4124B">
        <w:rPr>
          <w:rFonts w:ascii="Arial" w:eastAsia="Arial" w:hAnsi="Arial" w:cs="Arial"/>
        </w:rPr>
        <w:t xml:space="preserve"> </w:t>
      </w:r>
      <w:r w:rsidR="00B36445" w:rsidRPr="00B4124B">
        <w:rPr>
          <w:rFonts w:ascii="Arial" w:eastAsia="Arial" w:hAnsi="Arial" w:cs="Arial"/>
        </w:rPr>
        <w:t xml:space="preserve">Prozatím se počítá </w:t>
      </w:r>
      <w:r w:rsidR="005E72F9" w:rsidRPr="00B4124B">
        <w:rPr>
          <w:rFonts w:ascii="Arial" w:eastAsia="Arial" w:hAnsi="Arial" w:cs="Arial"/>
        </w:rPr>
        <w:t xml:space="preserve">s </w:t>
      </w:r>
      <w:r w:rsidR="00B36445" w:rsidRPr="00B4124B">
        <w:rPr>
          <w:rFonts w:ascii="Arial" w:eastAsia="Arial" w:hAnsi="Arial" w:cs="Arial"/>
        </w:rPr>
        <w:t>evaluačními aktivitami</w:t>
      </w:r>
      <w:r w:rsidR="005E72F9" w:rsidRPr="00B4124B">
        <w:rPr>
          <w:rFonts w:ascii="Arial" w:eastAsia="Arial" w:hAnsi="Arial" w:cs="Arial"/>
        </w:rPr>
        <w:t xml:space="preserve"> zaměřenými na následující tematické okruhy (některé z nich byly zahájeny již v roce 2017</w:t>
      </w:r>
      <w:r w:rsidR="005E72F9" w:rsidRPr="00B4124B">
        <w:rPr>
          <w:rStyle w:val="Znakapoznpodarou"/>
          <w:rFonts w:ascii="Arial" w:eastAsia="Arial" w:hAnsi="Arial" w:cs="Arial"/>
        </w:rPr>
        <w:footnoteReference w:id="14"/>
      </w:r>
      <w:r w:rsidR="005E72F9" w:rsidRPr="00B4124B">
        <w:rPr>
          <w:rFonts w:ascii="Arial" w:eastAsia="Arial" w:hAnsi="Arial" w:cs="Arial"/>
        </w:rPr>
        <w:t xml:space="preserve"> v rámci monitorovacích činností)</w:t>
      </w:r>
      <w:r w:rsidR="00B36445" w:rsidRPr="00B4124B">
        <w:rPr>
          <w:rFonts w:ascii="Arial" w:eastAsia="Arial" w:hAnsi="Arial" w:cs="Arial"/>
        </w:rPr>
        <w:t>:</w:t>
      </w:r>
    </w:p>
    <w:p w:rsidR="009E158E" w:rsidRPr="00B4124B" w:rsidRDefault="009E158E" w:rsidP="009E158E">
      <w:pPr>
        <w:spacing w:line="360" w:lineRule="auto"/>
        <w:ind w:firstLine="360"/>
        <w:jc w:val="both"/>
        <w:rPr>
          <w:rFonts w:ascii="Arial" w:eastAsia="Arial" w:hAnsi="Arial" w:cs="Arial"/>
        </w:rPr>
      </w:pPr>
    </w:p>
    <w:p w:rsidR="00B36445" w:rsidRPr="00B4124B" w:rsidRDefault="005E72F9" w:rsidP="005E72F9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F</w:t>
      </w:r>
      <w:r w:rsidR="00B36445" w:rsidRPr="00B4124B">
        <w:rPr>
          <w:rFonts w:ascii="Arial" w:hAnsi="Arial" w:cs="Arial"/>
          <w:i/>
        </w:rPr>
        <w:t>inancování a zacílení Národní RIS3 strategie</w:t>
      </w:r>
    </w:p>
    <w:p w:rsidR="005E72F9" w:rsidRPr="00B4124B" w:rsidRDefault="005E72F9" w:rsidP="005E72F9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Věcné indikátory Národní RIS3 strategie</w:t>
      </w:r>
    </w:p>
    <w:p w:rsidR="005E72F9" w:rsidRPr="00B4124B" w:rsidRDefault="005E72F9" w:rsidP="005E72F9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lastRenderedPageBreak/>
        <w:t>Pokrok v naplňování krajských RIS3 strategií</w:t>
      </w:r>
    </w:p>
    <w:p w:rsidR="005E72F9" w:rsidRPr="00B4124B" w:rsidRDefault="005E72F9" w:rsidP="005E72F9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Socioekonomický vývoj a podmínky VVaI v ČR ve vztahu k Národní RIS 3 strategii</w:t>
      </w:r>
    </w:p>
    <w:p w:rsidR="003F7D3F" w:rsidRPr="00B4124B" w:rsidRDefault="005E72F9" w:rsidP="005E72F9">
      <w:pPr>
        <w:pStyle w:val="Odstavecseseznamem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i/>
        </w:rPr>
      </w:pPr>
      <w:r w:rsidRPr="00B4124B">
        <w:rPr>
          <w:rFonts w:ascii="Arial" w:hAnsi="Arial" w:cs="Arial"/>
          <w:i/>
        </w:rPr>
        <w:t>Souhrnné mid-term hodnocení Národní RIS3 strategie</w:t>
      </w:r>
      <w:r w:rsidR="003F7D3F" w:rsidRPr="00B4124B">
        <w:rPr>
          <w:rFonts w:ascii="Arial" w:hAnsi="Arial" w:cs="Arial"/>
          <w:i/>
        </w:rPr>
        <w:br w:type="page"/>
      </w:r>
    </w:p>
    <w:p w:rsidR="00422AA8" w:rsidRPr="00B4124B" w:rsidRDefault="00CF4F29" w:rsidP="00422AA8">
      <w:pPr>
        <w:pStyle w:val="Nadpis1"/>
        <w:rPr>
          <w:rFonts w:cs="Arial"/>
          <w:sz w:val="22"/>
          <w:szCs w:val="22"/>
        </w:rPr>
      </w:pPr>
      <w:bookmarkStart w:id="108" w:name="_Toc513451945"/>
      <w:r w:rsidRPr="00B4124B">
        <w:rPr>
          <w:rFonts w:cs="Arial"/>
          <w:sz w:val="22"/>
          <w:szCs w:val="22"/>
        </w:rPr>
        <w:lastRenderedPageBreak/>
        <w:t>Příprava na nové programov</w:t>
      </w:r>
      <w:r w:rsidR="00A659ED" w:rsidRPr="00B4124B">
        <w:rPr>
          <w:rFonts w:cs="Arial"/>
          <w:sz w:val="22"/>
          <w:szCs w:val="22"/>
        </w:rPr>
        <w:t xml:space="preserve">ací </w:t>
      </w:r>
      <w:r w:rsidRPr="00B4124B">
        <w:rPr>
          <w:rFonts w:cs="Arial"/>
          <w:sz w:val="22"/>
          <w:szCs w:val="22"/>
        </w:rPr>
        <w:t>období</w:t>
      </w:r>
      <w:r w:rsidR="0074383A" w:rsidRPr="00B4124B">
        <w:rPr>
          <w:rFonts w:cs="Arial"/>
          <w:sz w:val="22"/>
          <w:szCs w:val="22"/>
        </w:rPr>
        <w:t xml:space="preserve"> po r. 2020</w:t>
      </w:r>
      <w:bookmarkEnd w:id="108"/>
    </w:p>
    <w:p w:rsidR="0074383A" w:rsidRPr="00B4124B" w:rsidRDefault="00422AA8" w:rsidP="00422AA8">
      <w:pPr>
        <w:spacing w:line="360" w:lineRule="auto"/>
        <w:ind w:firstLine="360"/>
        <w:contextualSpacing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 xml:space="preserve">V průběhu roku </w:t>
      </w:r>
      <w:r w:rsidR="0074383A" w:rsidRPr="00B4124B">
        <w:rPr>
          <w:rStyle w:val="Zdraznn"/>
          <w:rFonts w:ascii="Arial" w:hAnsi="Arial" w:cs="Arial"/>
          <w:i w:val="0"/>
        </w:rPr>
        <w:t xml:space="preserve">budou </w:t>
      </w:r>
      <w:r w:rsidRPr="00B4124B">
        <w:rPr>
          <w:rStyle w:val="Zdraznn"/>
          <w:rFonts w:ascii="Arial" w:hAnsi="Arial" w:cs="Arial"/>
          <w:i w:val="0"/>
        </w:rPr>
        <w:t>2018 a</w:t>
      </w:r>
      <w:r w:rsidR="003F7D3F" w:rsidRPr="00B4124B">
        <w:rPr>
          <w:rStyle w:val="Zdraznn"/>
          <w:rFonts w:ascii="Arial" w:hAnsi="Arial" w:cs="Arial"/>
          <w:i w:val="0"/>
        </w:rPr>
        <w:t> </w:t>
      </w:r>
      <w:r w:rsidRPr="00B4124B">
        <w:rPr>
          <w:rStyle w:val="Zdraznn"/>
          <w:rFonts w:ascii="Arial" w:hAnsi="Arial" w:cs="Arial"/>
          <w:i w:val="0"/>
        </w:rPr>
        <w:t>2019 budou zahájeny</w:t>
      </w:r>
      <w:r w:rsidR="0074383A" w:rsidRPr="00B4124B">
        <w:rPr>
          <w:rStyle w:val="Zdraznn"/>
          <w:rFonts w:ascii="Arial" w:hAnsi="Arial" w:cs="Arial"/>
          <w:i w:val="0"/>
        </w:rPr>
        <w:t xml:space="preserve"> aktivity, zaměřené na přípravu</w:t>
      </w:r>
      <w:r w:rsidRPr="00B4124B">
        <w:rPr>
          <w:rStyle w:val="Zdraznn"/>
          <w:rFonts w:ascii="Arial" w:hAnsi="Arial" w:cs="Arial"/>
          <w:i w:val="0"/>
        </w:rPr>
        <w:t xml:space="preserve"> </w:t>
      </w:r>
      <w:r w:rsidR="0074383A" w:rsidRPr="00B4124B">
        <w:rPr>
          <w:rStyle w:val="Zdraznn"/>
          <w:rFonts w:ascii="Arial" w:hAnsi="Arial" w:cs="Arial"/>
          <w:i w:val="0"/>
        </w:rPr>
        <w:t>strate</w:t>
      </w:r>
      <w:r w:rsidRPr="00B4124B">
        <w:rPr>
          <w:rStyle w:val="Zdraznn"/>
          <w:rFonts w:ascii="Arial" w:hAnsi="Arial" w:cs="Arial"/>
          <w:i w:val="0"/>
        </w:rPr>
        <w:t>gie inteligentní specializace V</w:t>
      </w:r>
      <w:r w:rsidR="0074383A" w:rsidRPr="00B4124B">
        <w:rPr>
          <w:rStyle w:val="Zdraznn"/>
          <w:rFonts w:ascii="Arial" w:hAnsi="Arial" w:cs="Arial"/>
          <w:i w:val="0"/>
        </w:rPr>
        <w:t>VaI pro období let 2021 – 2027, včetně systému její realizace.</w:t>
      </w:r>
    </w:p>
    <w:p w:rsidR="0074383A" w:rsidRPr="00B4124B" w:rsidRDefault="0074383A" w:rsidP="0074383A">
      <w:pPr>
        <w:spacing w:line="360" w:lineRule="auto"/>
        <w:contextualSpacing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>Půjde o následující úkoly:</w:t>
      </w:r>
    </w:p>
    <w:p w:rsidR="0074383A" w:rsidRPr="00B4124B" w:rsidRDefault="0050024E" w:rsidP="00B35B7D">
      <w:pPr>
        <w:pStyle w:val="Odstavecseseznamem"/>
        <w:numPr>
          <w:ilvl w:val="0"/>
          <w:numId w:val="18"/>
        </w:numPr>
        <w:spacing w:after="120" w:line="360" w:lineRule="auto"/>
        <w:contextualSpacing w:val="0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>Zpracování plánu</w:t>
      </w:r>
      <w:r w:rsidR="0074383A" w:rsidRPr="00B4124B">
        <w:rPr>
          <w:rStyle w:val="Zdraznn"/>
          <w:rFonts w:ascii="Arial" w:hAnsi="Arial" w:cs="Arial"/>
          <w:i w:val="0"/>
        </w:rPr>
        <w:t xml:space="preserve"> hlavních </w:t>
      </w:r>
      <w:r w:rsidRPr="00B4124B">
        <w:rPr>
          <w:rStyle w:val="Zdraznn"/>
          <w:rFonts w:ascii="Arial" w:hAnsi="Arial" w:cs="Arial"/>
          <w:i w:val="0"/>
        </w:rPr>
        <w:t>aktivit a termínů</w:t>
      </w:r>
      <w:r w:rsidR="0074383A" w:rsidRPr="00B4124B">
        <w:rPr>
          <w:rStyle w:val="Zdraznn"/>
          <w:rFonts w:ascii="Arial" w:hAnsi="Arial" w:cs="Arial"/>
          <w:i w:val="0"/>
        </w:rPr>
        <w:t xml:space="preserve"> přípravy budoucnosti RIS</w:t>
      </w:r>
      <w:r w:rsidR="00422AA8" w:rsidRPr="00B4124B">
        <w:rPr>
          <w:rStyle w:val="Zdraznn"/>
          <w:rFonts w:ascii="Arial" w:hAnsi="Arial" w:cs="Arial"/>
          <w:i w:val="0"/>
        </w:rPr>
        <w:t>3</w:t>
      </w:r>
      <w:r w:rsidRPr="00B4124B">
        <w:rPr>
          <w:rStyle w:val="Zdraznn"/>
          <w:rFonts w:ascii="Arial" w:hAnsi="Arial" w:cs="Arial"/>
          <w:i w:val="0"/>
        </w:rPr>
        <w:t xml:space="preserve"> strategie</w:t>
      </w:r>
      <w:r w:rsidR="0074383A" w:rsidRPr="00B4124B">
        <w:rPr>
          <w:rStyle w:val="Zdraznn"/>
          <w:rFonts w:ascii="Arial" w:hAnsi="Arial" w:cs="Arial"/>
          <w:i w:val="0"/>
        </w:rPr>
        <w:t xml:space="preserve"> v letech 2018-2020</w:t>
      </w:r>
    </w:p>
    <w:p w:rsidR="0074383A" w:rsidRPr="00B4124B" w:rsidRDefault="0074383A" w:rsidP="00BB43CA">
      <w:pPr>
        <w:pStyle w:val="Odstavecseseznamem"/>
        <w:numPr>
          <w:ilvl w:val="0"/>
          <w:numId w:val="18"/>
        </w:numPr>
        <w:spacing w:after="120" w:line="360" w:lineRule="auto"/>
        <w:contextualSpacing w:val="0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>Prohloubení spolupráce s relevantními účastníky procesu přípra</w:t>
      </w:r>
      <w:r w:rsidR="00BB43CA" w:rsidRPr="00B4124B">
        <w:rPr>
          <w:rStyle w:val="Zdraznn"/>
          <w:rFonts w:ascii="Arial" w:hAnsi="Arial" w:cs="Arial"/>
          <w:i w:val="0"/>
        </w:rPr>
        <w:t>vy</w:t>
      </w:r>
    </w:p>
    <w:p w:rsidR="0074383A" w:rsidRPr="00B4124B" w:rsidRDefault="0050024E" w:rsidP="00422AA8">
      <w:pPr>
        <w:pStyle w:val="Nadpis2"/>
        <w:numPr>
          <w:ilvl w:val="1"/>
          <w:numId w:val="9"/>
        </w:numPr>
        <w:rPr>
          <w:rStyle w:val="Zdraznn"/>
          <w:rFonts w:cs="Arial"/>
          <w:i w:val="0"/>
          <w:iCs w:val="0"/>
          <w:sz w:val="22"/>
          <w:szCs w:val="22"/>
        </w:rPr>
      </w:pPr>
      <w:bookmarkStart w:id="109" w:name="_Toc513451946"/>
      <w:r w:rsidRPr="00B4124B">
        <w:rPr>
          <w:rStyle w:val="Zdraznn"/>
          <w:rFonts w:cs="Arial"/>
          <w:i w:val="0"/>
          <w:iCs w:val="0"/>
          <w:sz w:val="22"/>
          <w:szCs w:val="22"/>
        </w:rPr>
        <w:t>Plán</w:t>
      </w:r>
      <w:r w:rsidR="0074383A" w:rsidRPr="00B4124B">
        <w:rPr>
          <w:rStyle w:val="Zdraznn"/>
          <w:rFonts w:cs="Arial"/>
          <w:i w:val="0"/>
          <w:iCs w:val="0"/>
          <w:sz w:val="22"/>
          <w:szCs w:val="22"/>
        </w:rPr>
        <w:t xml:space="preserve"> hlavních aktivit a </w:t>
      </w:r>
      <w:r w:rsidRPr="00B4124B">
        <w:rPr>
          <w:rStyle w:val="Zdraznn"/>
          <w:rFonts w:cs="Arial"/>
          <w:i w:val="0"/>
          <w:iCs w:val="0"/>
          <w:sz w:val="22"/>
          <w:szCs w:val="22"/>
        </w:rPr>
        <w:t>termínů přípravy budoucnosti RIS3 strategie</w:t>
      </w:r>
      <w:r w:rsidR="0074383A" w:rsidRPr="00B4124B">
        <w:rPr>
          <w:rStyle w:val="Zdraznn"/>
          <w:rFonts w:cs="Arial"/>
          <w:i w:val="0"/>
          <w:iCs w:val="0"/>
          <w:sz w:val="22"/>
          <w:szCs w:val="22"/>
        </w:rPr>
        <w:t xml:space="preserve"> </w:t>
      </w:r>
      <w:r w:rsidRPr="00B4124B">
        <w:rPr>
          <w:rStyle w:val="Zdraznn"/>
          <w:rFonts w:cs="Arial"/>
          <w:i w:val="0"/>
          <w:iCs w:val="0"/>
          <w:sz w:val="22"/>
          <w:szCs w:val="22"/>
        </w:rPr>
        <w:t>(</w:t>
      </w:r>
      <w:r w:rsidR="0074383A" w:rsidRPr="00B4124B">
        <w:rPr>
          <w:rStyle w:val="Zdraznn"/>
          <w:rFonts w:cs="Arial"/>
          <w:i w:val="0"/>
          <w:iCs w:val="0"/>
          <w:sz w:val="22"/>
          <w:szCs w:val="22"/>
        </w:rPr>
        <w:t>2018</w:t>
      </w:r>
      <w:r w:rsidRPr="00B4124B">
        <w:rPr>
          <w:rStyle w:val="Zdraznn"/>
          <w:rFonts w:cs="Arial"/>
          <w:i w:val="0"/>
          <w:iCs w:val="0"/>
          <w:sz w:val="22"/>
          <w:szCs w:val="22"/>
        </w:rPr>
        <w:t xml:space="preserve"> </w:t>
      </w:r>
      <w:r w:rsidR="0074383A" w:rsidRPr="00B4124B">
        <w:rPr>
          <w:rStyle w:val="Zdraznn"/>
          <w:rFonts w:cs="Arial"/>
          <w:i w:val="0"/>
          <w:iCs w:val="0"/>
          <w:sz w:val="22"/>
          <w:szCs w:val="22"/>
        </w:rPr>
        <w:t>-</w:t>
      </w:r>
      <w:r w:rsidRPr="00B4124B">
        <w:rPr>
          <w:rStyle w:val="Zdraznn"/>
          <w:rFonts w:cs="Arial"/>
          <w:i w:val="0"/>
          <w:iCs w:val="0"/>
          <w:sz w:val="22"/>
          <w:szCs w:val="22"/>
        </w:rPr>
        <w:t xml:space="preserve"> </w:t>
      </w:r>
      <w:r w:rsidR="0074383A" w:rsidRPr="00B4124B">
        <w:rPr>
          <w:rStyle w:val="Zdraznn"/>
          <w:rFonts w:cs="Arial"/>
          <w:i w:val="0"/>
          <w:iCs w:val="0"/>
          <w:sz w:val="22"/>
          <w:szCs w:val="22"/>
        </w:rPr>
        <w:t>2020</w:t>
      </w:r>
      <w:r w:rsidRPr="00B4124B">
        <w:rPr>
          <w:rStyle w:val="Zdraznn"/>
          <w:rFonts w:cs="Arial"/>
          <w:i w:val="0"/>
          <w:iCs w:val="0"/>
          <w:sz w:val="22"/>
          <w:szCs w:val="22"/>
        </w:rPr>
        <w:t>)</w:t>
      </w:r>
      <w:bookmarkEnd w:id="109"/>
    </w:p>
    <w:p w:rsidR="0050024E" w:rsidRPr="00B4124B" w:rsidRDefault="00D078A0" w:rsidP="0050024E">
      <w:pPr>
        <w:spacing w:after="360" w:line="360" w:lineRule="auto"/>
        <w:ind w:firstLine="360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>MPO (Sekce technologií 4.0) ve spolupráci s relevantními subjekty a platformami (MAPS, NIP, kraje) zpracuje plán činností, které budou probíhat do roku 2020. Tento p</w:t>
      </w:r>
      <w:r w:rsidR="0050024E" w:rsidRPr="00B4124B">
        <w:rPr>
          <w:rStyle w:val="Zdraznn"/>
          <w:rFonts w:ascii="Arial" w:hAnsi="Arial" w:cs="Arial"/>
          <w:i w:val="0"/>
        </w:rPr>
        <w:t>lán</w:t>
      </w:r>
      <w:r w:rsidR="0074383A" w:rsidRPr="00B4124B">
        <w:rPr>
          <w:rStyle w:val="Zdraznn"/>
          <w:rFonts w:ascii="Arial" w:hAnsi="Arial" w:cs="Arial"/>
          <w:i w:val="0"/>
        </w:rPr>
        <w:t xml:space="preserve"> bude obsahovat rozdělení činností do etap s hlavními milníky v jednotlivých letech, názvy činností, vymezení období, kdy bude aktivita probíhat, popř. další relevantní informace. V</w:t>
      </w:r>
      <w:r w:rsidRPr="00B4124B">
        <w:rPr>
          <w:rStyle w:val="Zdraznn"/>
          <w:rFonts w:ascii="Arial" w:hAnsi="Arial" w:cs="Arial"/>
          <w:i w:val="0"/>
        </w:rPr>
        <w:t> </w:t>
      </w:r>
      <w:r w:rsidR="0074383A" w:rsidRPr="00B4124B">
        <w:rPr>
          <w:rStyle w:val="Zdraznn"/>
          <w:rFonts w:ascii="Arial" w:hAnsi="Arial" w:cs="Arial"/>
          <w:i w:val="0"/>
        </w:rPr>
        <w:t>prvn</w:t>
      </w:r>
      <w:r w:rsidRPr="00B4124B">
        <w:rPr>
          <w:rStyle w:val="Zdraznn"/>
          <w:rFonts w:ascii="Arial" w:hAnsi="Arial" w:cs="Arial"/>
          <w:i w:val="0"/>
        </w:rPr>
        <w:t>í etapě</w:t>
      </w:r>
      <w:r w:rsidR="0074383A" w:rsidRPr="00B4124B">
        <w:rPr>
          <w:rStyle w:val="Zdraznn"/>
          <w:rFonts w:ascii="Arial" w:hAnsi="Arial" w:cs="Arial"/>
          <w:i w:val="0"/>
        </w:rPr>
        <w:t xml:space="preserve"> bude kladen důraz na </w:t>
      </w:r>
      <w:r w:rsidR="0074383A" w:rsidRPr="00B4124B">
        <w:rPr>
          <w:rStyle w:val="Zdraznn"/>
          <w:rFonts w:ascii="Arial" w:hAnsi="Arial" w:cs="Arial"/>
          <w:b/>
          <w:i w:val="0"/>
        </w:rPr>
        <w:t>výsledky analýz a evaluací</w:t>
      </w:r>
      <w:r w:rsidR="0074383A" w:rsidRPr="00B4124B">
        <w:rPr>
          <w:rStyle w:val="Zdraznn"/>
          <w:rFonts w:ascii="Arial" w:hAnsi="Arial" w:cs="Arial"/>
          <w:i w:val="0"/>
        </w:rPr>
        <w:t>, následně na jejich vyhodnocení a doporučení pro tvorbu nové RIS</w:t>
      </w:r>
      <w:r w:rsidR="0050024E" w:rsidRPr="00B4124B">
        <w:rPr>
          <w:rStyle w:val="Zdraznn"/>
          <w:rFonts w:ascii="Arial" w:hAnsi="Arial" w:cs="Arial"/>
          <w:i w:val="0"/>
        </w:rPr>
        <w:t>3 strategie</w:t>
      </w:r>
      <w:r w:rsidR="0074383A" w:rsidRPr="00B4124B">
        <w:rPr>
          <w:rStyle w:val="Zdraznn"/>
          <w:rFonts w:ascii="Arial" w:hAnsi="Arial" w:cs="Arial"/>
          <w:i w:val="0"/>
        </w:rPr>
        <w:t xml:space="preserve">. Druhá </w:t>
      </w:r>
      <w:r w:rsidRPr="00B4124B">
        <w:rPr>
          <w:rStyle w:val="Zdraznn"/>
          <w:rFonts w:ascii="Arial" w:hAnsi="Arial" w:cs="Arial"/>
          <w:i w:val="0"/>
        </w:rPr>
        <w:t xml:space="preserve">etapa </w:t>
      </w:r>
      <w:r w:rsidR="0074383A" w:rsidRPr="00B4124B">
        <w:rPr>
          <w:rStyle w:val="Zdraznn"/>
          <w:rFonts w:ascii="Arial" w:hAnsi="Arial" w:cs="Arial"/>
          <w:i w:val="0"/>
        </w:rPr>
        <w:t xml:space="preserve">se </w:t>
      </w:r>
      <w:r w:rsidRPr="00B4124B">
        <w:rPr>
          <w:rStyle w:val="Zdraznn"/>
          <w:rFonts w:ascii="Arial" w:hAnsi="Arial" w:cs="Arial"/>
          <w:i w:val="0"/>
        </w:rPr>
        <w:t>bude soustřeďovat</w:t>
      </w:r>
      <w:r w:rsidR="0074383A" w:rsidRPr="00B4124B">
        <w:rPr>
          <w:rStyle w:val="Zdraznn"/>
          <w:rFonts w:ascii="Arial" w:hAnsi="Arial" w:cs="Arial"/>
          <w:i w:val="0"/>
        </w:rPr>
        <w:t xml:space="preserve"> na stanovení cílů, priorit a zpracování </w:t>
      </w:r>
      <w:r w:rsidR="0074383A" w:rsidRPr="00B4124B">
        <w:rPr>
          <w:rStyle w:val="Zdraznn"/>
          <w:rFonts w:ascii="Arial" w:hAnsi="Arial" w:cs="Arial"/>
          <w:b/>
          <w:i w:val="0"/>
        </w:rPr>
        <w:t>vlastního návrhu nové strategie</w:t>
      </w:r>
      <w:r w:rsidRPr="00B4124B">
        <w:rPr>
          <w:rStyle w:val="Zdraznn"/>
          <w:rFonts w:ascii="Arial" w:hAnsi="Arial" w:cs="Arial"/>
          <w:i w:val="0"/>
        </w:rPr>
        <w:t>. A</w:t>
      </w:r>
      <w:r w:rsidR="0074383A" w:rsidRPr="00B4124B">
        <w:rPr>
          <w:rStyle w:val="Zdraznn"/>
          <w:rFonts w:ascii="Arial" w:hAnsi="Arial" w:cs="Arial"/>
          <w:i w:val="0"/>
        </w:rPr>
        <w:t xml:space="preserve">ktivity </w:t>
      </w:r>
      <w:r w:rsidRPr="00B4124B">
        <w:rPr>
          <w:rStyle w:val="Zdraznn"/>
          <w:rFonts w:ascii="Arial" w:hAnsi="Arial" w:cs="Arial"/>
          <w:i w:val="0"/>
        </w:rPr>
        <w:t xml:space="preserve">budou </w:t>
      </w:r>
      <w:r w:rsidR="0074383A" w:rsidRPr="00B4124B">
        <w:rPr>
          <w:rStyle w:val="Zdraznn"/>
          <w:rFonts w:ascii="Arial" w:hAnsi="Arial" w:cs="Arial"/>
          <w:i w:val="0"/>
        </w:rPr>
        <w:t>rozpracovány a postupně realizovány s tím, že bude ponechán prostor pro flexibilní reakci na vývoj potřeb ČR a na požadavky EK na přípravu nových strategických a programovacích dokumentů (návrh nových nařízení a k nim příslušných pokynů, šablon a stanovených postupů a procedur).</w:t>
      </w:r>
    </w:p>
    <w:p w:rsidR="00D078A0" w:rsidRPr="00B4124B" w:rsidRDefault="00D078A0" w:rsidP="00D078A0">
      <w:pPr>
        <w:pStyle w:val="Nadpis3-mimoobsah"/>
        <w:rPr>
          <w:rStyle w:val="Zdraznn"/>
          <w:rFonts w:ascii="Arial" w:hAnsi="Arial" w:cs="Arial"/>
          <w:i w:val="0"/>
          <w:sz w:val="22"/>
        </w:rPr>
      </w:pPr>
      <w:r w:rsidRPr="00B4124B">
        <w:rPr>
          <w:rStyle w:val="Zdraznn"/>
          <w:rFonts w:ascii="Arial" w:hAnsi="Arial" w:cs="Arial"/>
          <w:i w:val="0"/>
          <w:sz w:val="22"/>
        </w:rPr>
        <w:t>Vyhodnocení analýz a evaluací</w:t>
      </w:r>
    </w:p>
    <w:p w:rsidR="0074383A" w:rsidRPr="00B4124B" w:rsidRDefault="0074383A" w:rsidP="00630334">
      <w:pPr>
        <w:spacing w:line="360" w:lineRule="auto"/>
        <w:ind w:firstLine="450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>Při formulaci</w:t>
      </w:r>
      <w:r w:rsidR="00D078A0" w:rsidRPr="00B4124B">
        <w:rPr>
          <w:rStyle w:val="Zdraznn"/>
          <w:rFonts w:ascii="Arial" w:hAnsi="Arial" w:cs="Arial"/>
          <w:i w:val="0"/>
        </w:rPr>
        <w:t xml:space="preserve"> </w:t>
      </w:r>
      <w:r w:rsidRPr="00B4124B">
        <w:rPr>
          <w:rStyle w:val="Zdraznn"/>
          <w:rFonts w:ascii="Arial" w:hAnsi="Arial" w:cs="Arial"/>
          <w:i w:val="0"/>
        </w:rPr>
        <w:t xml:space="preserve">hodnocení budou zohledněny požadavky na přípravu </w:t>
      </w:r>
      <w:r w:rsidR="00A415D1" w:rsidRPr="00B4124B">
        <w:rPr>
          <w:rStyle w:val="Zdraznn"/>
          <w:rFonts w:ascii="Arial" w:hAnsi="Arial" w:cs="Arial"/>
        </w:rPr>
        <w:t>Hodnotí</w:t>
      </w:r>
      <w:r w:rsidRPr="00B4124B">
        <w:rPr>
          <w:rStyle w:val="Zdraznn"/>
          <w:rFonts w:ascii="Arial" w:hAnsi="Arial" w:cs="Arial"/>
        </w:rPr>
        <w:t>cí zprávy RIS3</w:t>
      </w:r>
      <w:r w:rsidR="00D078A0" w:rsidRPr="00B4124B">
        <w:rPr>
          <w:rStyle w:val="Zdraznn"/>
          <w:rFonts w:ascii="Arial" w:hAnsi="Arial" w:cs="Arial"/>
        </w:rPr>
        <w:t xml:space="preserve"> strategie</w:t>
      </w:r>
      <w:r w:rsidR="00A415D1" w:rsidRPr="00B4124B">
        <w:rPr>
          <w:rStyle w:val="Zdraznn"/>
          <w:rFonts w:ascii="Arial" w:hAnsi="Arial" w:cs="Arial"/>
        </w:rPr>
        <w:t xml:space="preserve"> 2019</w:t>
      </w:r>
      <w:r w:rsidRPr="00B4124B">
        <w:rPr>
          <w:rStyle w:val="Zdraznn"/>
          <w:rFonts w:ascii="Arial" w:hAnsi="Arial" w:cs="Arial"/>
          <w:i w:val="0"/>
        </w:rPr>
        <w:t>, která bude</w:t>
      </w:r>
      <w:r w:rsidR="00630334" w:rsidRPr="00B4124B">
        <w:rPr>
          <w:rStyle w:val="Zdraznn"/>
          <w:rFonts w:ascii="Arial" w:hAnsi="Arial" w:cs="Arial"/>
          <w:i w:val="0"/>
        </w:rPr>
        <w:t xml:space="preserve"> v souladu s pravidly pro ESI fondy</w:t>
      </w:r>
      <w:r w:rsidRPr="00B4124B">
        <w:rPr>
          <w:rStyle w:val="Zdraznn"/>
          <w:rFonts w:ascii="Arial" w:hAnsi="Arial" w:cs="Arial"/>
          <w:i w:val="0"/>
        </w:rPr>
        <w:t xml:space="preserve"> předána Evropské k</w:t>
      </w:r>
      <w:r w:rsidR="00630334" w:rsidRPr="00B4124B">
        <w:rPr>
          <w:rStyle w:val="Zdraznn"/>
          <w:rFonts w:ascii="Arial" w:hAnsi="Arial" w:cs="Arial"/>
          <w:i w:val="0"/>
        </w:rPr>
        <w:t xml:space="preserve">omisi k 31. srpnu 2019 (viz kap. 7 </w:t>
      </w:r>
      <w:r w:rsidR="005F15D9" w:rsidRPr="00B4124B">
        <w:rPr>
          <w:rStyle w:val="Zdraznn"/>
          <w:rFonts w:ascii="Arial" w:hAnsi="Arial" w:cs="Arial"/>
          <w:i w:val="0"/>
        </w:rPr>
        <w:fldChar w:fldCharType="begin"/>
      </w:r>
      <w:r w:rsidR="005F15D9" w:rsidRPr="00B4124B">
        <w:rPr>
          <w:rStyle w:val="Zdraznn"/>
          <w:rFonts w:ascii="Arial" w:hAnsi="Arial" w:cs="Arial"/>
          <w:i w:val="0"/>
        </w:rPr>
        <w:instrText xml:space="preserve"> REF _Ref513015424 \h  \* MERGEFORMAT </w:instrText>
      </w:r>
      <w:r w:rsidR="005F15D9" w:rsidRPr="00B4124B">
        <w:rPr>
          <w:rStyle w:val="Zdraznn"/>
          <w:rFonts w:ascii="Arial" w:hAnsi="Arial" w:cs="Arial"/>
          <w:i w:val="0"/>
        </w:rPr>
      </w:r>
      <w:r w:rsidR="005F15D9" w:rsidRPr="00B4124B">
        <w:rPr>
          <w:rStyle w:val="Zdraznn"/>
          <w:rFonts w:ascii="Arial" w:hAnsi="Arial" w:cs="Arial"/>
          <w:i w:val="0"/>
        </w:rPr>
        <w:fldChar w:fldCharType="separate"/>
      </w:r>
      <w:r w:rsidR="00295F79" w:rsidRPr="00B4124B">
        <w:rPr>
          <w:rFonts w:ascii="Arial" w:hAnsi="Arial" w:cs="Arial"/>
        </w:rPr>
        <w:t>Mid-term evaluace 2019</w:t>
      </w:r>
      <w:r w:rsidR="005F15D9" w:rsidRPr="00B4124B">
        <w:rPr>
          <w:rStyle w:val="Zdraznn"/>
          <w:rFonts w:ascii="Arial" w:hAnsi="Arial" w:cs="Arial"/>
          <w:i w:val="0"/>
        </w:rPr>
        <w:fldChar w:fldCharType="end"/>
      </w:r>
      <w:r w:rsidR="00630334" w:rsidRPr="00B4124B">
        <w:rPr>
          <w:rStyle w:val="Zdraznn"/>
          <w:rFonts w:ascii="Arial" w:hAnsi="Arial" w:cs="Arial"/>
          <w:i w:val="0"/>
        </w:rPr>
        <w:t xml:space="preserve">.). </w:t>
      </w:r>
      <w:r w:rsidRPr="00B4124B">
        <w:rPr>
          <w:rStyle w:val="Zdraznn"/>
          <w:rFonts w:ascii="Arial" w:hAnsi="Arial" w:cs="Arial"/>
          <w:i w:val="0"/>
        </w:rPr>
        <w:t>Nad rámec uved</w:t>
      </w:r>
      <w:r w:rsidR="00630334" w:rsidRPr="00B4124B">
        <w:rPr>
          <w:rStyle w:val="Zdraznn"/>
          <w:rFonts w:ascii="Arial" w:hAnsi="Arial" w:cs="Arial"/>
          <w:i w:val="0"/>
        </w:rPr>
        <w:t xml:space="preserve">eného hodnocení budou zváženy následující </w:t>
      </w:r>
      <w:r w:rsidR="00616C14" w:rsidRPr="00B4124B">
        <w:rPr>
          <w:rStyle w:val="Zdraznn"/>
          <w:rFonts w:ascii="Arial" w:hAnsi="Arial" w:cs="Arial"/>
          <w:i w:val="0"/>
        </w:rPr>
        <w:t xml:space="preserve">rozšiřující </w:t>
      </w:r>
      <w:r w:rsidR="00630334" w:rsidRPr="00B4124B">
        <w:rPr>
          <w:rStyle w:val="Zdraznn"/>
          <w:rFonts w:ascii="Arial" w:hAnsi="Arial" w:cs="Arial"/>
          <w:i w:val="0"/>
        </w:rPr>
        <w:t>otázky</w:t>
      </w:r>
      <w:r w:rsidRPr="00B4124B">
        <w:rPr>
          <w:rStyle w:val="Zdraznn"/>
          <w:rFonts w:ascii="Arial" w:hAnsi="Arial" w:cs="Arial"/>
          <w:i w:val="0"/>
        </w:rPr>
        <w:t>:</w:t>
      </w:r>
    </w:p>
    <w:p w:rsidR="0074383A" w:rsidRPr="00B4124B" w:rsidRDefault="00630334" w:rsidP="00630334">
      <w:pPr>
        <w:spacing w:after="240" w:line="360" w:lineRule="auto"/>
        <w:jc w:val="both"/>
        <w:rPr>
          <w:rStyle w:val="Zdraznn"/>
          <w:rFonts w:ascii="Arial" w:hAnsi="Arial" w:cs="Arial"/>
        </w:rPr>
      </w:pPr>
      <w:r w:rsidRPr="00B4124B">
        <w:rPr>
          <w:rStyle w:val="Zdraznn"/>
          <w:rFonts w:ascii="Arial" w:hAnsi="Arial" w:cs="Arial"/>
        </w:rPr>
        <w:t>Zohledňuje nastavený systém</w:t>
      </w:r>
      <w:r w:rsidR="0074383A" w:rsidRPr="00B4124B">
        <w:rPr>
          <w:rStyle w:val="Zdraznn"/>
          <w:rFonts w:ascii="Arial" w:hAnsi="Arial" w:cs="Arial"/>
        </w:rPr>
        <w:t xml:space="preserve"> OP a </w:t>
      </w:r>
      <w:r w:rsidRPr="00B4124B">
        <w:rPr>
          <w:rStyle w:val="Zdraznn"/>
          <w:rFonts w:ascii="Arial" w:hAnsi="Arial" w:cs="Arial"/>
        </w:rPr>
        <w:t>národních PP dostatečně</w:t>
      </w:r>
      <w:r w:rsidR="0074383A" w:rsidRPr="00B4124B">
        <w:rPr>
          <w:rStyle w:val="Zdraznn"/>
          <w:rFonts w:ascii="Arial" w:hAnsi="Arial" w:cs="Arial"/>
        </w:rPr>
        <w:t xml:space="preserve"> cíle N</w:t>
      </w:r>
      <w:r w:rsidRPr="00B4124B">
        <w:rPr>
          <w:rStyle w:val="Zdraznn"/>
          <w:rFonts w:ascii="Arial" w:hAnsi="Arial" w:cs="Arial"/>
        </w:rPr>
        <w:t xml:space="preserve">árodní </w:t>
      </w:r>
      <w:r w:rsidR="0074383A" w:rsidRPr="00B4124B">
        <w:rPr>
          <w:rStyle w:val="Zdraznn"/>
          <w:rFonts w:ascii="Arial" w:hAnsi="Arial" w:cs="Arial"/>
        </w:rPr>
        <w:t>RIS</w:t>
      </w:r>
      <w:r w:rsidRPr="00B4124B">
        <w:rPr>
          <w:rStyle w:val="Zdraznn"/>
          <w:rFonts w:ascii="Arial" w:hAnsi="Arial" w:cs="Arial"/>
        </w:rPr>
        <w:t>3 strategie</w:t>
      </w:r>
      <w:r w:rsidR="0074383A" w:rsidRPr="00B4124B">
        <w:rPr>
          <w:rStyle w:val="Zdraznn"/>
          <w:rFonts w:ascii="Arial" w:hAnsi="Arial" w:cs="Arial"/>
        </w:rPr>
        <w:t xml:space="preserve"> </w:t>
      </w:r>
      <w:r w:rsidRPr="00B4124B">
        <w:rPr>
          <w:rStyle w:val="Zdraznn"/>
          <w:rFonts w:ascii="Arial" w:hAnsi="Arial" w:cs="Arial"/>
        </w:rPr>
        <w:t>(</w:t>
      </w:r>
      <w:r w:rsidR="0074383A" w:rsidRPr="00B4124B">
        <w:rPr>
          <w:rStyle w:val="Zdraznn"/>
          <w:rFonts w:ascii="Arial" w:hAnsi="Arial" w:cs="Arial"/>
        </w:rPr>
        <w:t xml:space="preserve">způsob jakým jsou promítány </w:t>
      </w:r>
      <w:r w:rsidRPr="00B4124B">
        <w:rPr>
          <w:rStyle w:val="Zdraznn"/>
          <w:rFonts w:ascii="Arial" w:hAnsi="Arial" w:cs="Arial"/>
        </w:rPr>
        <w:t xml:space="preserve">RIS3 </w:t>
      </w:r>
      <w:r w:rsidR="0074383A" w:rsidRPr="00B4124B">
        <w:rPr>
          <w:rStyle w:val="Zdraznn"/>
          <w:rFonts w:ascii="Arial" w:hAnsi="Arial" w:cs="Arial"/>
        </w:rPr>
        <w:t xml:space="preserve">specifické </w:t>
      </w:r>
      <w:r w:rsidRPr="00B4124B">
        <w:rPr>
          <w:rStyle w:val="Zdraznn"/>
          <w:rFonts w:ascii="Arial" w:hAnsi="Arial" w:cs="Arial"/>
        </w:rPr>
        <w:t>cíle do výzev, a nakolik jsou</w:t>
      </w:r>
      <w:r w:rsidR="0074383A" w:rsidRPr="00B4124B">
        <w:rPr>
          <w:rStyle w:val="Zdraznn"/>
          <w:rFonts w:ascii="Arial" w:hAnsi="Arial" w:cs="Arial"/>
        </w:rPr>
        <w:t xml:space="preserve"> indikátory nastaveny s vazbou na RIS3</w:t>
      </w:r>
      <w:r w:rsidRPr="00B4124B">
        <w:rPr>
          <w:rStyle w:val="Zdraznn"/>
          <w:rFonts w:ascii="Arial" w:hAnsi="Arial" w:cs="Arial"/>
        </w:rPr>
        <w:t xml:space="preserve"> strategii)?</w:t>
      </w:r>
      <w:r w:rsidR="0074383A" w:rsidRPr="00B4124B">
        <w:rPr>
          <w:rStyle w:val="Zdraznn"/>
          <w:rFonts w:ascii="Arial" w:hAnsi="Arial" w:cs="Arial"/>
        </w:rPr>
        <w:t xml:space="preserve"> </w:t>
      </w:r>
    </w:p>
    <w:p w:rsidR="00410ADB" w:rsidRPr="00B4124B" w:rsidRDefault="00630334" w:rsidP="00410ADB">
      <w:pPr>
        <w:spacing w:after="240" w:line="360" w:lineRule="auto"/>
        <w:jc w:val="both"/>
        <w:rPr>
          <w:rStyle w:val="Zdraznn"/>
          <w:rFonts w:ascii="Arial" w:hAnsi="Arial" w:cs="Arial"/>
        </w:rPr>
      </w:pPr>
      <w:r w:rsidRPr="00B4124B">
        <w:rPr>
          <w:rStyle w:val="Zdraznn"/>
          <w:rFonts w:ascii="Arial" w:hAnsi="Arial" w:cs="Arial"/>
        </w:rPr>
        <w:t>Jaká je efektivnost</w:t>
      </w:r>
      <w:r w:rsidR="0074383A" w:rsidRPr="00B4124B">
        <w:rPr>
          <w:rStyle w:val="Zdraznn"/>
          <w:rFonts w:ascii="Arial" w:hAnsi="Arial" w:cs="Arial"/>
        </w:rPr>
        <w:t xml:space="preserve"> přenos</w:t>
      </w:r>
      <w:r w:rsidRPr="00B4124B">
        <w:rPr>
          <w:rStyle w:val="Zdraznn"/>
          <w:rFonts w:ascii="Arial" w:hAnsi="Arial" w:cs="Arial"/>
        </w:rPr>
        <w:t>u</w:t>
      </w:r>
      <w:r w:rsidR="00410ADB" w:rsidRPr="00B4124B">
        <w:rPr>
          <w:rStyle w:val="Zdraznn"/>
          <w:rFonts w:ascii="Arial" w:hAnsi="Arial" w:cs="Arial"/>
        </w:rPr>
        <w:t xml:space="preserve"> informací o realizaci </w:t>
      </w:r>
      <w:r w:rsidR="0074383A" w:rsidRPr="00B4124B">
        <w:rPr>
          <w:rStyle w:val="Zdraznn"/>
          <w:rFonts w:ascii="Arial" w:hAnsi="Arial" w:cs="Arial"/>
        </w:rPr>
        <w:t xml:space="preserve">RIS3 </w:t>
      </w:r>
      <w:r w:rsidRPr="00B4124B">
        <w:rPr>
          <w:rStyle w:val="Zdraznn"/>
          <w:rFonts w:ascii="Arial" w:hAnsi="Arial" w:cs="Arial"/>
        </w:rPr>
        <w:t xml:space="preserve">strategie </w:t>
      </w:r>
      <w:r w:rsidR="00410ADB" w:rsidRPr="00B4124B">
        <w:rPr>
          <w:rStyle w:val="Zdraznn"/>
          <w:rFonts w:ascii="Arial" w:hAnsi="Arial" w:cs="Arial"/>
        </w:rPr>
        <w:t>do monitorovacích systémů projektů OP a národních PP?</w:t>
      </w:r>
    </w:p>
    <w:p w:rsidR="0074383A" w:rsidRPr="00B4124B" w:rsidRDefault="00410ADB" w:rsidP="00410ADB">
      <w:pPr>
        <w:spacing w:after="240" w:line="360" w:lineRule="auto"/>
        <w:jc w:val="both"/>
        <w:rPr>
          <w:rStyle w:val="Zdraznn"/>
          <w:rFonts w:ascii="Arial" w:hAnsi="Arial" w:cs="Arial"/>
        </w:rPr>
      </w:pPr>
      <w:r w:rsidRPr="00B4124B">
        <w:rPr>
          <w:rStyle w:val="Zdraznn"/>
          <w:rFonts w:ascii="Arial" w:hAnsi="Arial" w:cs="Arial"/>
        </w:rPr>
        <w:t xml:space="preserve">Odpovídá celkové </w:t>
      </w:r>
      <w:r w:rsidR="0074383A" w:rsidRPr="00B4124B">
        <w:rPr>
          <w:rStyle w:val="Zdraznn"/>
          <w:rFonts w:ascii="Arial" w:hAnsi="Arial" w:cs="Arial"/>
        </w:rPr>
        <w:t xml:space="preserve">zaměření programů </w:t>
      </w:r>
      <w:r w:rsidRPr="00B4124B">
        <w:rPr>
          <w:rStyle w:val="Zdraznn"/>
          <w:rFonts w:ascii="Arial" w:hAnsi="Arial" w:cs="Arial"/>
        </w:rPr>
        <w:t>stále RIS3 strategii (např. změny v opatřeních, požadavcích příjemců a konečných uživatelů)?</w:t>
      </w:r>
    </w:p>
    <w:p w:rsidR="0074383A" w:rsidRPr="00B4124B" w:rsidRDefault="00410ADB" w:rsidP="00410ADB">
      <w:pPr>
        <w:spacing w:line="360" w:lineRule="auto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>Dalšími tematickými oblastmi vyhodnocování mohou být</w:t>
      </w:r>
      <w:r w:rsidR="0074383A" w:rsidRPr="00B4124B">
        <w:rPr>
          <w:rStyle w:val="Zdraznn"/>
          <w:rFonts w:ascii="Arial" w:hAnsi="Arial" w:cs="Arial"/>
          <w:i w:val="0"/>
        </w:rPr>
        <w:t>:</w:t>
      </w:r>
    </w:p>
    <w:p w:rsidR="0074383A" w:rsidRPr="00B4124B" w:rsidRDefault="0074383A" w:rsidP="00410ADB">
      <w:pPr>
        <w:spacing w:line="360" w:lineRule="auto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</w:rPr>
        <w:t>Spolupráce mezi podniky, univerzitami a veřejnými institucemi a jejich dopad na inovační prostředí</w:t>
      </w:r>
      <w:r w:rsidR="00410ADB" w:rsidRPr="00B4124B">
        <w:rPr>
          <w:rStyle w:val="Zdraznn"/>
          <w:rFonts w:ascii="Arial" w:hAnsi="Arial" w:cs="Arial"/>
          <w:i w:val="0"/>
        </w:rPr>
        <w:t xml:space="preserve"> (indikace hlavních bariér</w:t>
      </w:r>
      <w:r w:rsidR="00275DE1" w:rsidRPr="00B4124B">
        <w:rPr>
          <w:rStyle w:val="Zdraznn"/>
          <w:rFonts w:ascii="Arial" w:hAnsi="Arial" w:cs="Arial"/>
          <w:i w:val="0"/>
        </w:rPr>
        <w:t xml:space="preserve"> </w:t>
      </w:r>
      <w:r w:rsidR="00410ADB" w:rsidRPr="00B4124B">
        <w:rPr>
          <w:rStyle w:val="Zdraznn"/>
          <w:rFonts w:ascii="Arial" w:hAnsi="Arial" w:cs="Arial"/>
          <w:i w:val="0"/>
        </w:rPr>
        <w:t xml:space="preserve">- např. kvalifikace pracovníků, dostupnost finančních prostředků, </w:t>
      </w:r>
      <w:r w:rsidR="00410ADB" w:rsidRPr="00B4124B">
        <w:rPr>
          <w:rStyle w:val="Zdraznn"/>
          <w:rFonts w:ascii="Arial" w:hAnsi="Arial" w:cs="Arial"/>
          <w:i w:val="0"/>
        </w:rPr>
        <w:lastRenderedPageBreak/>
        <w:t>nedostatečná/nevhodná výzkumná a inov</w:t>
      </w:r>
      <w:r w:rsidR="00275DE1" w:rsidRPr="00B4124B">
        <w:rPr>
          <w:rStyle w:val="Zdraznn"/>
          <w:rFonts w:ascii="Arial" w:hAnsi="Arial" w:cs="Arial"/>
          <w:i w:val="0"/>
        </w:rPr>
        <w:t xml:space="preserve">ační podpora, legislativa apod. </w:t>
      </w:r>
      <w:r w:rsidR="003F7D3F" w:rsidRPr="00B4124B">
        <w:rPr>
          <w:rStyle w:val="Zdraznn"/>
          <w:rFonts w:ascii="Arial" w:hAnsi="Arial" w:cs="Arial"/>
          <w:i w:val="0"/>
        </w:rPr>
        <w:t>–</w:t>
      </w:r>
      <w:r w:rsidR="00410ADB" w:rsidRPr="00B4124B">
        <w:rPr>
          <w:rStyle w:val="Zdraznn"/>
          <w:rFonts w:ascii="Arial" w:hAnsi="Arial" w:cs="Arial"/>
          <w:i w:val="0"/>
        </w:rPr>
        <w:t xml:space="preserve"> a</w:t>
      </w:r>
      <w:r w:rsidR="003F7D3F" w:rsidRPr="00B4124B">
        <w:rPr>
          <w:rStyle w:val="Zdraznn"/>
          <w:rFonts w:ascii="Arial" w:hAnsi="Arial" w:cs="Arial"/>
          <w:i w:val="0"/>
        </w:rPr>
        <w:t> </w:t>
      </w:r>
      <w:r w:rsidR="00410ADB" w:rsidRPr="00B4124B">
        <w:rPr>
          <w:rStyle w:val="Zdraznn"/>
          <w:rFonts w:ascii="Arial" w:hAnsi="Arial" w:cs="Arial"/>
          <w:i w:val="0"/>
        </w:rPr>
        <w:t>návrhy na jejich odstranění</w:t>
      </w:r>
      <w:r w:rsidR="00275DE1" w:rsidRPr="00B4124B">
        <w:rPr>
          <w:rStyle w:val="Zdraznn"/>
          <w:rFonts w:ascii="Arial" w:hAnsi="Arial" w:cs="Arial"/>
          <w:i w:val="0"/>
        </w:rPr>
        <w:t>)</w:t>
      </w:r>
      <w:r w:rsidRPr="00B4124B">
        <w:rPr>
          <w:rStyle w:val="Zdraznn"/>
          <w:rFonts w:ascii="Arial" w:hAnsi="Arial" w:cs="Arial"/>
          <w:i w:val="0"/>
        </w:rPr>
        <w:t>.</w:t>
      </w:r>
    </w:p>
    <w:p w:rsidR="0074383A" w:rsidRPr="00B4124B" w:rsidRDefault="0074383A" w:rsidP="00275DE1">
      <w:pPr>
        <w:spacing w:line="360" w:lineRule="auto"/>
        <w:jc w:val="both"/>
        <w:rPr>
          <w:rStyle w:val="Zdraznn"/>
          <w:rFonts w:ascii="Arial" w:hAnsi="Arial" w:cs="Arial"/>
        </w:rPr>
      </w:pPr>
      <w:r w:rsidRPr="00B4124B">
        <w:rPr>
          <w:rStyle w:val="Zdraznn"/>
          <w:rFonts w:ascii="Arial" w:hAnsi="Arial" w:cs="Arial"/>
        </w:rPr>
        <w:t xml:space="preserve">Posouzení absorpční kapacity </w:t>
      </w:r>
      <w:r w:rsidR="00275DE1" w:rsidRPr="00B4124B">
        <w:rPr>
          <w:rStyle w:val="Zdraznn"/>
          <w:rFonts w:ascii="Arial" w:hAnsi="Arial" w:cs="Arial"/>
        </w:rPr>
        <w:t>v oblasti VVaI ČR z hlediska</w:t>
      </w:r>
      <w:r w:rsidRPr="00B4124B">
        <w:rPr>
          <w:rStyle w:val="Zdraznn"/>
          <w:rFonts w:ascii="Arial" w:hAnsi="Arial" w:cs="Arial"/>
        </w:rPr>
        <w:t xml:space="preserve"> inteligentní specializace po roce 2020</w:t>
      </w:r>
      <w:r w:rsidR="00275DE1" w:rsidRPr="00B4124B">
        <w:rPr>
          <w:rStyle w:val="Zdraznn"/>
          <w:rFonts w:ascii="Arial" w:hAnsi="Arial" w:cs="Arial"/>
        </w:rPr>
        <w:t xml:space="preserve"> </w:t>
      </w:r>
      <w:r w:rsidR="00275DE1" w:rsidRPr="00B4124B">
        <w:rPr>
          <w:rStyle w:val="Zdraznn"/>
          <w:rFonts w:ascii="Arial" w:hAnsi="Arial" w:cs="Arial"/>
          <w:i w:val="0"/>
        </w:rPr>
        <w:t>(</w:t>
      </w:r>
      <w:r w:rsidRPr="00B4124B">
        <w:rPr>
          <w:rStyle w:val="Zdraznn"/>
          <w:rFonts w:ascii="Arial" w:hAnsi="Arial" w:cs="Arial"/>
          <w:i w:val="0"/>
        </w:rPr>
        <w:t xml:space="preserve">včetně problematiky zapojování ČR do programů </w:t>
      </w:r>
      <w:r w:rsidR="00275DE1" w:rsidRPr="00B4124B">
        <w:rPr>
          <w:rStyle w:val="Zdraznn"/>
          <w:rFonts w:ascii="Arial" w:hAnsi="Arial" w:cs="Arial"/>
          <w:i w:val="0"/>
        </w:rPr>
        <w:t xml:space="preserve">přímo </w:t>
      </w:r>
      <w:r w:rsidRPr="00B4124B">
        <w:rPr>
          <w:rStyle w:val="Zdraznn"/>
          <w:rFonts w:ascii="Arial" w:hAnsi="Arial" w:cs="Arial"/>
          <w:i w:val="0"/>
        </w:rPr>
        <w:t>řízených EK</w:t>
      </w:r>
      <w:r w:rsidR="00275DE1" w:rsidRPr="00B4124B">
        <w:rPr>
          <w:rStyle w:val="Zdraznn"/>
          <w:rFonts w:ascii="Arial" w:hAnsi="Arial" w:cs="Arial"/>
          <w:i w:val="0"/>
        </w:rPr>
        <w:t>)</w:t>
      </w:r>
    </w:p>
    <w:p w:rsidR="0074383A" w:rsidRPr="00B4124B" w:rsidRDefault="00275DE1" w:rsidP="00275DE1">
      <w:pPr>
        <w:pStyle w:val="Nadpis3-mimoobsah"/>
        <w:rPr>
          <w:rStyle w:val="Zdraznn"/>
          <w:rFonts w:ascii="Arial" w:hAnsi="Arial" w:cs="Arial"/>
          <w:b w:val="0"/>
          <w:i w:val="0"/>
          <w:sz w:val="22"/>
        </w:rPr>
      </w:pPr>
      <w:r w:rsidRPr="00B4124B">
        <w:rPr>
          <w:rStyle w:val="Zdraznn"/>
          <w:rFonts w:ascii="Arial" w:hAnsi="Arial" w:cs="Arial"/>
          <w:i w:val="0"/>
          <w:sz w:val="22"/>
        </w:rPr>
        <w:t>Příprava</w:t>
      </w:r>
      <w:r w:rsidR="0074383A" w:rsidRPr="00B4124B">
        <w:rPr>
          <w:rStyle w:val="Zdraznn"/>
          <w:rFonts w:ascii="Arial" w:hAnsi="Arial" w:cs="Arial"/>
          <w:i w:val="0"/>
          <w:sz w:val="22"/>
        </w:rPr>
        <w:t xml:space="preserve"> </w:t>
      </w:r>
      <w:r w:rsidRPr="00B4124B">
        <w:rPr>
          <w:rStyle w:val="Zdraznn"/>
          <w:rFonts w:ascii="Arial" w:hAnsi="Arial" w:cs="Arial"/>
          <w:i w:val="0"/>
          <w:sz w:val="22"/>
        </w:rPr>
        <w:t xml:space="preserve">nového </w:t>
      </w:r>
      <w:r w:rsidR="0074383A" w:rsidRPr="00B4124B">
        <w:rPr>
          <w:rStyle w:val="Zdraznn"/>
          <w:rFonts w:ascii="Arial" w:hAnsi="Arial" w:cs="Arial"/>
          <w:i w:val="0"/>
          <w:sz w:val="22"/>
        </w:rPr>
        <w:t>konceptu N</w:t>
      </w:r>
      <w:r w:rsidRPr="00B4124B">
        <w:rPr>
          <w:rStyle w:val="Zdraznn"/>
          <w:rFonts w:ascii="Arial" w:hAnsi="Arial" w:cs="Arial"/>
          <w:i w:val="0"/>
          <w:sz w:val="22"/>
        </w:rPr>
        <w:t xml:space="preserve">árodní </w:t>
      </w:r>
      <w:r w:rsidR="0074383A" w:rsidRPr="00B4124B">
        <w:rPr>
          <w:rStyle w:val="Zdraznn"/>
          <w:rFonts w:ascii="Arial" w:hAnsi="Arial" w:cs="Arial"/>
          <w:i w:val="0"/>
          <w:sz w:val="22"/>
        </w:rPr>
        <w:t xml:space="preserve">RIS3 </w:t>
      </w:r>
      <w:r w:rsidRPr="00B4124B">
        <w:rPr>
          <w:rStyle w:val="Zdraznn"/>
          <w:rFonts w:ascii="Arial" w:hAnsi="Arial" w:cs="Arial"/>
          <w:i w:val="0"/>
          <w:sz w:val="22"/>
        </w:rPr>
        <w:t>strategie 2021-2027</w:t>
      </w:r>
    </w:p>
    <w:p w:rsidR="00616C14" w:rsidRPr="00B4124B" w:rsidRDefault="00616C14" w:rsidP="00616C14">
      <w:pPr>
        <w:spacing w:line="360" w:lineRule="auto"/>
        <w:ind w:firstLine="450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 xml:space="preserve">Naprosto nezbytné je otevření </w:t>
      </w:r>
      <w:r w:rsidRPr="00B4124B">
        <w:rPr>
          <w:rStyle w:val="Zdraznn"/>
          <w:rFonts w:ascii="Arial" w:hAnsi="Arial" w:cs="Arial"/>
          <w:b/>
          <w:i w:val="0"/>
        </w:rPr>
        <w:t>diskuze k budoucí podobě inteligentní specializace</w:t>
      </w:r>
      <w:r w:rsidRPr="00B4124B">
        <w:rPr>
          <w:rStyle w:val="Zdraznn"/>
          <w:rFonts w:ascii="Arial" w:hAnsi="Arial" w:cs="Arial"/>
          <w:i w:val="0"/>
        </w:rPr>
        <w:t xml:space="preserve"> s cílem zajistit argumentačně podloženou koncepci zaměření inteligentní specializace po roce 2020 pro jednání s Evropskou komisí i pro vnitřní potřebu ČR (mimo jiné propojení specializací uvnitř EU, formy podpory, národní vs. společné programy pro všechny státy EU</w:t>
      </w:r>
      <w:r w:rsidR="00B93B0E" w:rsidRPr="00B4124B">
        <w:rPr>
          <w:rStyle w:val="Zdraznn"/>
          <w:rFonts w:ascii="Arial" w:hAnsi="Arial" w:cs="Arial"/>
          <w:i w:val="0"/>
        </w:rPr>
        <w:t>; samotný rozsah budoucích finančních prostředků a</w:t>
      </w:r>
      <w:r w:rsidRPr="00B4124B">
        <w:rPr>
          <w:rStyle w:val="Zdraznn"/>
          <w:rFonts w:ascii="Arial" w:hAnsi="Arial" w:cs="Arial"/>
          <w:i w:val="0"/>
        </w:rPr>
        <w:t>d.</w:t>
      </w:r>
      <w:r w:rsidR="00B93B0E" w:rsidRPr="00B4124B">
        <w:rPr>
          <w:rStyle w:val="Zdraznn"/>
          <w:rFonts w:ascii="Arial" w:hAnsi="Arial" w:cs="Arial"/>
          <w:i w:val="0"/>
        </w:rPr>
        <w:t>). Klíčové aktivity</w:t>
      </w:r>
      <w:r w:rsidRPr="00B4124B">
        <w:rPr>
          <w:rStyle w:val="Zdraznn"/>
          <w:rFonts w:ascii="Arial" w:hAnsi="Arial" w:cs="Arial"/>
          <w:i w:val="0"/>
        </w:rPr>
        <w:t xml:space="preserve"> se budou soustředit na:</w:t>
      </w:r>
    </w:p>
    <w:p w:rsidR="0074383A" w:rsidRPr="00B4124B" w:rsidRDefault="00275DE1" w:rsidP="00616C14">
      <w:pPr>
        <w:spacing w:line="360" w:lineRule="auto"/>
        <w:ind w:firstLine="450"/>
        <w:jc w:val="both"/>
        <w:rPr>
          <w:rStyle w:val="Zdraznn"/>
          <w:rFonts w:ascii="Arial" w:hAnsi="Arial" w:cs="Arial"/>
        </w:rPr>
      </w:pPr>
      <w:r w:rsidRPr="00B4124B">
        <w:rPr>
          <w:rStyle w:val="Zdraznn"/>
          <w:rFonts w:ascii="Arial" w:hAnsi="Arial" w:cs="Arial"/>
        </w:rPr>
        <w:t xml:space="preserve">Mapování </w:t>
      </w:r>
      <w:r w:rsidR="00616C14" w:rsidRPr="00B4124B">
        <w:rPr>
          <w:rStyle w:val="Zdraznn"/>
          <w:rFonts w:ascii="Arial" w:hAnsi="Arial" w:cs="Arial"/>
        </w:rPr>
        <w:t xml:space="preserve">budoucích </w:t>
      </w:r>
      <w:r w:rsidRPr="00B4124B">
        <w:rPr>
          <w:rStyle w:val="Zdraznn"/>
          <w:rFonts w:ascii="Arial" w:hAnsi="Arial" w:cs="Arial"/>
        </w:rPr>
        <w:t>nástrojů podpory</w:t>
      </w:r>
      <w:r w:rsidR="00616C14" w:rsidRPr="00B4124B">
        <w:rPr>
          <w:rStyle w:val="Zdraznn"/>
          <w:rFonts w:ascii="Arial" w:hAnsi="Arial" w:cs="Arial"/>
        </w:rPr>
        <w:t xml:space="preserve"> </w:t>
      </w:r>
      <w:r w:rsidR="00616C14" w:rsidRPr="00B4124B">
        <w:rPr>
          <w:rStyle w:val="Zdraznn"/>
          <w:rFonts w:ascii="Arial" w:hAnsi="Arial" w:cs="Arial"/>
          <w:i w:val="0"/>
        </w:rPr>
        <w:t>(</w:t>
      </w:r>
      <w:r w:rsidR="0074383A" w:rsidRPr="00B4124B">
        <w:rPr>
          <w:rStyle w:val="Zdraznn"/>
          <w:rFonts w:ascii="Arial" w:hAnsi="Arial" w:cs="Arial"/>
          <w:i w:val="0"/>
        </w:rPr>
        <w:t xml:space="preserve">Ze strany EU jsou postupně formulovány </w:t>
      </w:r>
      <w:r w:rsidR="0074383A" w:rsidRPr="00B4124B">
        <w:rPr>
          <w:rStyle w:val="Zdraznn"/>
          <w:rFonts w:ascii="Arial" w:hAnsi="Arial" w:cs="Arial"/>
          <w:b/>
          <w:i w:val="0"/>
        </w:rPr>
        <w:t>nástroje p</w:t>
      </w:r>
      <w:r w:rsidRPr="00B4124B">
        <w:rPr>
          <w:rStyle w:val="Zdraznn"/>
          <w:rFonts w:ascii="Arial" w:hAnsi="Arial" w:cs="Arial"/>
          <w:b/>
          <w:i w:val="0"/>
        </w:rPr>
        <w:t>odpory</w:t>
      </w:r>
      <w:r w:rsidRPr="00B4124B">
        <w:rPr>
          <w:rStyle w:val="Zdraznn"/>
          <w:rFonts w:ascii="Arial" w:hAnsi="Arial" w:cs="Arial"/>
          <w:i w:val="0"/>
        </w:rPr>
        <w:t xml:space="preserve"> inteligentní specializace,</w:t>
      </w:r>
      <w:r w:rsidR="0074383A" w:rsidRPr="00B4124B">
        <w:rPr>
          <w:rStyle w:val="Zdraznn"/>
          <w:rFonts w:ascii="Arial" w:hAnsi="Arial" w:cs="Arial"/>
          <w:i w:val="0"/>
        </w:rPr>
        <w:t xml:space="preserve"> na jejichž využití je potřeba se včas připravit. Současné nástroje by pak bylo vhodné posoudit z hlediska možnosti zjednodušení administrativní náročnosti a</w:t>
      </w:r>
      <w:r w:rsidR="003F7D3F" w:rsidRPr="00B4124B">
        <w:rPr>
          <w:rStyle w:val="Zdraznn"/>
          <w:rFonts w:ascii="Arial" w:hAnsi="Arial" w:cs="Arial"/>
          <w:i w:val="0"/>
        </w:rPr>
        <w:t> </w:t>
      </w:r>
      <w:r w:rsidR="0074383A" w:rsidRPr="00B4124B">
        <w:rPr>
          <w:rStyle w:val="Zdraznn"/>
          <w:rFonts w:ascii="Arial" w:hAnsi="Arial" w:cs="Arial"/>
          <w:i w:val="0"/>
        </w:rPr>
        <w:t>možností podpory ze strany ČR vlády pro zajištění vyšší úspěšnosti při čerpání EU prostředků.</w:t>
      </w:r>
      <w:r w:rsidR="00616C14" w:rsidRPr="00B4124B">
        <w:rPr>
          <w:rStyle w:val="Zdraznn"/>
          <w:rFonts w:ascii="Arial" w:hAnsi="Arial" w:cs="Arial"/>
          <w:i w:val="0"/>
        </w:rPr>
        <w:t>)</w:t>
      </w:r>
    </w:p>
    <w:p w:rsidR="0074383A" w:rsidRPr="00B4124B" w:rsidRDefault="00616C14" w:rsidP="00616C14">
      <w:pPr>
        <w:spacing w:line="360" w:lineRule="auto"/>
        <w:ind w:firstLine="450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</w:rPr>
        <w:t xml:space="preserve">Analýzu celkových trendů </w:t>
      </w:r>
      <w:r w:rsidRPr="00B4124B">
        <w:rPr>
          <w:rStyle w:val="Zdraznn"/>
          <w:rFonts w:ascii="Arial" w:hAnsi="Arial" w:cs="Arial"/>
          <w:i w:val="0"/>
        </w:rPr>
        <w:t xml:space="preserve">(tj. </w:t>
      </w:r>
      <w:r w:rsidR="0074383A" w:rsidRPr="00B4124B">
        <w:rPr>
          <w:rStyle w:val="Zdraznn"/>
          <w:rFonts w:ascii="Arial" w:hAnsi="Arial" w:cs="Arial"/>
          <w:i w:val="0"/>
        </w:rPr>
        <w:t>potřeby a trendy, které budou vytvářet společ</w:t>
      </w:r>
      <w:r w:rsidRPr="00B4124B">
        <w:rPr>
          <w:rStyle w:val="Zdraznn"/>
          <w:rFonts w:ascii="Arial" w:hAnsi="Arial" w:cs="Arial"/>
          <w:i w:val="0"/>
        </w:rPr>
        <w:t>enské a ekonomické prostředí ČR</w:t>
      </w:r>
      <w:r w:rsidR="0074383A" w:rsidRPr="00B4124B">
        <w:rPr>
          <w:rStyle w:val="Zdraznn"/>
          <w:rFonts w:ascii="Arial" w:hAnsi="Arial" w:cs="Arial"/>
          <w:i w:val="0"/>
        </w:rPr>
        <w:t xml:space="preserve">, včetně </w:t>
      </w:r>
      <w:r w:rsidRPr="00B4124B">
        <w:rPr>
          <w:rStyle w:val="Zdraznn"/>
          <w:rFonts w:ascii="Arial" w:hAnsi="Arial" w:cs="Arial"/>
          <w:i w:val="0"/>
        </w:rPr>
        <w:t>celosvětového kontextu, poptávka</w:t>
      </w:r>
      <w:r w:rsidR="0074383A" w:rsidRPr="00B4124B">
        <w:rPr>
          <w:rStyle w:val="Zdraznn"/>
          <w:rFonts w:ascii="Arial" w:hAnsi="Arial" w:cs="Arial"/>
          <w:i w:val="0"/>
        </w:rPr>
        <w:t xml:space="preserve"> a potřeby podpory účastníků pr</w:t>
      </w:r>
      <w:r w:rsidRPr="00B4124B">
        <w:rPr>
          <w:rStyle w:val="Zdraznn"/>
          <w:rFonts w:ascii="Arial" w:hAnsi="Arial" w:cs="Arial"/>
          <w:i w:val="0"/>
        </w:rPr>
        <w:t xml:space="preserve">ocesu EDP, zaostření budoucí </w:t>
      </w:r>
      <w:r w:rsidR="0074383A" w:rsidRPr="00B4124B">
        <w:rPr>
          <w:rStyle w:val="Zdraznn"/>
          <w:rFonts w:ascii="Arial" w:hAnsi="Arial" w:cs="Arial"/>
          <w:i w:val="0"/>
        </w:rPr>
        <w:t>inteligentní specializace</w:t>
      </w:r>
      <w:r w:rsidRPr="00B4124B">
        <w:rPr>
          <w:rStyle w:val="Zdraznn"/>
          <w:rFonts w:ascii="Arial" w:hAnsi="Arial" w:cs="Arial"/>
          <w:i w:val="0"/>
        </w:rPr>
        <w:t>)</w:t>
      </w:r>
    </w:p>
    <w:p w:rsidR="0074383A" w:rsidRPr="00B4124B" w:rsidRDefault="0074383A" w:rsidP="00CE6013">
      <w:pPr>
        <w:pStyle w:val="Nadpis2"/>
        <w:numPr>
          <w:ilvl w:val="1"/>
          <w:numId w:val="9"/>
        </w:numPr>
        <w:rPr>
          <w:rFonts w:cs="Arial"/>
          <w:sz w:val="22"/>
          <w:szCs w:val="22"/>
        </w:rPr>
      </w:pPr>
      <w:bookmarkStart w:id="110" w:name="_Toc513451947"/>
      <w:r w:rsidRPr="00B4124B">
        <w:rPr>
          <w:rStyle w:val="Zdraznn"/>
          <w:rFonts w:cs="Arial"/>
          <w:i w:val="0"/>
          <w:iCs w:val="0"/>
          <w:sz w:val="22"/>
          <w:szCs w:val="22"/>
        </w:rPr>
        <w:t>Prohloubení spolupráce s relevantními účastníky procesu přípravy</w:t>
      </w:r>
      <w:r w:rsidR="00A659ED" w:rsidRPr="00B4124B">
        <w:rPr>
          <w:rStyle w:val="Zdraznn"/>
          <w:rFonts w:cs="Arial"/>
          <w:i w:val="0"/>
          <w:iCs w:val="0"/>
          <w:sz w:val="22"/>
          <w:szCs w:val="22"/>
        </w:rPr>
        <w:t xml:space="preserve"> - </w:t>
      </w:r>
      <w:r w:rsidR="00A659ED" w:rsidRPr="00B4124B">
        <w:rPr>
          <w:rFonts w:cs="Arial"/>
          <w:sz w:val="22"/>
          <w:szCs w:val="22"/>
        </w:rPr>
        <w:t>synchronizovaná jednání s Ministerstvem pro místní rozvoj a Evropskou komisí</w:t>
      </w:r>
      <w:bookmarkEnd w:id="110"/>
    </w:p>
    <w:p w:rsidR="0074383A" w:rsidRPr="00B4124B" w:rsidRDefault="00B93B0E" w:rsidP="00B93B0E">
      <w:pPr>
        <w:pStyle w:val="Nadpis3-mimoobsah"/>
        <w:rPr>
          <w:rStyle w:val="Zdraznn"/>
          <w:rFonts w:ascii="Arial" w:hAnsi="Arial" w:cs="Arial"/>
          <w:b w:val="0"/>
          <w:i w:val="0"/>
          <w:sz w:val="22"/>
        </w:rPr>
      </w:pPr>
      <w:r w:rsidRPr="00B4124B">
        <w:rPr>
          <w:rStyle w:val="Zdraznn"/>
          <w:rFonts w:ascii="Arial" w:hAnsi="Arial" w:cs="Arial"/>
          <w:i w:val="0"/>
          <w:sz w:val="22"/>
        </w:rPr>
        <w:t>Ministerstvo pro místní rozvoj – Národní orgán koordinace</w:t>
      </w:r>
    </w:p>
    <w:p w:rsidR="0074383A" w:rsidRPr="00B4124B" w:rsidRDefault="00B93B0E" w:rsidP="00B93B0E">
      <w:pPr>
        <w:spacing w:line="360" w:lineRule="auto"/>
        <w:ind w:firstLine="708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 xml:space="preserve">V procesu přípravy RIS3 strategie po roce 2020 bude nutné posílit spolupráci mezi MPO (Sekce technologií 4.0) a Národním orgánem pro koordinaci kohezní politiky v ČR.  </w:t>
      </w:r>
      <w:r w:rsidRPr="00B4124B">
        <w:rPr>
          <w:rStyle w:val="Zdraznn"/>
          <w:rFonts w:ascii="Arial" w:hAnsi="Arial" w:cs="Arial"/>
          <w:b/>
          <w:i w:val="0"/>
        </w:rPr>
        <w:t>Inteligentní specializaci, jako jeden</w:t>
      </w:r>
      <w:r w:rsidR="0074383A" w:rsidRPr="00B4124B">
        <w:rPr>
          <w:rStyle w:val="Zdraznn"/>
          <w:rFonts w:ascii="Arial" w:hAnsi="Arial" w:cs="Arial"/>
          <w:b/>
          <w:i w:val="0"/>
        </w:rPr>
        <w:t xml:space="preserve"> z hlavních motorů r</w:t>
      </w:r>
      <w:r w:rsidRPr="00B4124B">
        <w:rPr>
          <w:rStyle w:val="Zdraznn"/>
          <w:rFonts w:ascii="Arial" w:hAnsi="Arial" w:cs="Arial"/>
          <w:b/>
          <w:i w:val="0"/>
        </w:rPr>
        <w:t xml:space="preserve">ůstu konkurenceschopnosti, je nezbytné </w:t>
      </w:r>
      <w:r w:rsidR="0074383A" w:rsidRPr="00B4124B">
        <w:rPr>
          <w:rStyle w:val="Zdraznn"/>
          <w:rFonts w:ascii="Arial" w:hAnsi="Arial" w:cs="Arial"/>
          <w:b/>
          <w:i w:val="0"/>
        </w:rPr>
        <w:t>v připravovaných materiálech d</w:t>
      </w:r>
      <w:r w:rsidRPr="00B4124B">
        <w:rPr>
          <w:rStyle w:val="Zdraznn"/>
          <w:rFonts w:ascii="Arial" w:hAnsi="Arial" w:cs="Arial"/>
          <w:b/>
          <w:i w:val="0"/>
        </w:rPr>
        <w:t>ostatečně ukotvit.</w:t>
      </w:r>
      <w:r w:rsidR="0074383A" w:rsidRPr="00B4124B">
        <w:rPr>
          <w:rStyle w:val="Zdraznn"/>
          <w:rFonts w:ascii="Arial" w:hAnsi="Arial" w:cs="Arial"/>
          <w:i w:val="0"/>
        </w:rPr>
        <w:t xml:space="preserve"> Předpokládá se především užší spolupráce při rozpracování </w:t>
      </w:r>
      <w:r w:rsidR="0074383A" w:rsidRPr="00B4124B">
        <w:rPr>
          <w:rStyle w:val="Zdraznn"/>
          <w:rFonts w:ascii="Arial" w:hAnsi="Arial" w:cs="Arial"/>
        </w:rPr>
        <w:t>Východisek pozice ČR k budoucnosti politiky soudržnosti po roce 2020</w:t>
      </w:r>
      <w:r w:rsidR="0074383A" w:rsidRPr="00B4124B">
        <w:rPr>
          <w:rStyle w:val="Zdraznn"/>
          <w:rFonts w:ascii="Arial" w:hAnsi="Arial" w:cs="Arial"/>
          <w:i w:val="0"/>
        </w:rPr>
        <w:t xml:space="preserve"> a</w:t>
      </w:r>
      <w:r w:rsidR="003F7D3F" w:rsidRPr="00B4124B">
        <w:rPr>
          <w:rStyle w:val="Zdraznn"/>
          <w:rFonts w:ascii="Arial" w:hAnsi="Arial" w:cs="Arial"/>
          <w:i w:val="0"/>
        </w:rPr>
        <w:t> </w:t>
      </w:r>
      <w:r w:rsidR="0074383A" w:rsidRPr="00B4124B">
        <w:rPr>
          <w:rStyle w:val="Zdraznn"/>
          <w:rFonts w:ascii="Arial" w:hAnsi="Arial" w:cs="Arial"/>
          <w:i w:val="0"/>
        </w:rPr>
        <w:t xml:space="preserve">účast </w:t>
      </w:r>
      <w:r w:rsidR="002E2704" w:rsidRPr="00B4124B">
        <w:rPr>
          <w:rStyle w:val="Zdraznn"/>
          <w:rFonts w:ascii="Arial" w:hAnsi="Arial" w:cs="Arial"/>
          <w:i w:val="0"/>
        </w:rPr>
        <w:t>na dalších aktivitách souvisejících s přípravou všech strategických dokumentů pro financování budoucí kohezní politiky (včetně příslušných pracovních skupin</w:t>
      </w:r>
      <w:r w:rsidR="0074383A" w:rsidRPr="00B4124B">
        <w:rPr>
          <w:rStyle w:val="Zdraznn"/>
          <w:rFonts w:ascii="Arial" w:hAnsi="Arial" w:cs="Arial"/>
          <w:i w:val="0"/>
        </w:rPr>
        <w:t>, jednán</w:t>
      </w:r>
      <w:r w:rsidR="002E2704" w:rsidRPr="00B4124B">
        <w:rPr>
          <w:rStyle w:val="Zdraznn"/>
          <w:rFonts w:ascii="Arial" w:hAnsi="Arial" w:cs="Arial"/>
          <w:i w:val="0"/>
        </w:rPr>
        <w:t xml:space="preserve">í u kulatých stolů, jednání </w:t>
      </w:r>
      <w:r w:rsidR="0074383A" w:rsidRPr="00B4124B">
        <w:rPr>
          <w:rStyle w:val="Zdraznn"/>
          <w:rFonts w:ascii="Arial" w:hAnsi="Arial" w:cs="Arial"/>
          <w:i w:val="0"/>
        </w:rPr>
        <w:t>Rady pro Evropské strukturální a invest</w:t>
      </w:r>
      <w:r w:rsidR="002E2704" w:rsidRPr="00B4124B">
        <w:rPr>
          <w:rStyle w:val="Zdraznn"/>
          <w:rFonts w:ascii="Arial" w:hAnsi="Arial" w:cs="Arial"/>
          <w:i w:val="0"/>
        </w:rPr>
        <w:t>iční fondy ad.)</w:t>
      </w:r>
      <w:r w:rsidR="0074383A" w:rsidRPr="00B4124B">
        <w:rPr>
          <w:rStyle w:val="Zdraznn"/>
          <w:rFonts w:ascii="Arial" w:hAnsi="Arial" w:cs="Arial"/>
          <w:i w:val="0"/>
        </w:rPr>
        <w:t>.</w:t>
      </w:r>
    </w:p>
    <w:p w:rsidR="00540074" w:rsidRPr="00B4124B" w:rsidRDefault="003E20D2" w:rsidP="003E20D2">
      <w:pPr>
        <w:rPr>
          <w:rStyle w:val="Zdraznn"/>
          <w:rFonts w:ascii="Arial" w:hAnsi="Arial" w:cs="Arial"/>
          <w:b/>
          <w:i w:val="0"/>
        </w:rPr>
      </w:pPr>
      <w:r w:rsidRPr="00B4124B">
        <w:rPr>
          <w:rStyle w:val="Zdraznn"/>
          <w:rFonts w:ascii="Arial" w:hAnsi="Arial" w:cs="Arial"/>
          <w:b/>
          <w:i w:val="0"/>
        </w:rPr>
        <w:t>Evropská komise</w:t>
      </w:r>
    </w:p>
    <w:p w:rsidR="002D5E63" w:rsidRPr="00B4124B" w:rsidRDefault="0074383A" w:rsidP="00132C29">
      <w:pPr>
        <w:spacing w:line="360" w:lineRule="auto"/>
        <w:ind w:firstLine="708"/>
        <w:jc w:val="both"/>
        <w:rPr>
          <w:rStyle w:val="Zdraznn"/>
          <w:rFonts w:ascii="Arial" w:hAnsi="Arial" w:cs="Arial"/>
          <w:i w:val="0"/>
        </w:rPr>
      </w:pPr>
      <w:r w:rsidRPr="00B4124B">
        <w:rPr>
          <w:rStyle w:val="Zdraznn"/>
          <w:rFonts w:ascii="Arial" w:hAnsi="Arial" w:cs="Arial"/>
          <w:i w:val="0"/>
        </w:rPr>
        <w:t>Pře</w:t>
      </w:r>
      <w:r w:rsidR="002D5E63" w:rsidRPr="00B4124B">
        <w:rPr>
          <w:rStyle w:val="Zdraznn"/>
          <w:rFonts w:ascii="Arial" w:hAnsi="Arial" w:cs="Arial"/>
          <w:i w:val="0"/>
        </w:rPr>
        <w:t xml:space="preserve">dpokládá se posílení spolupráci </w:t>
      </w:r>
      <w:r w:rsidRPr="00B4124B">
        <w:rPr>
          <w:rStyle w:val="Zdraznn"/>
          <w:rFonts w:ascii="Arial" w:hAnsi="Arial" w:cs="Arial"/>
          <w:i w:val="0"/>
        </w:rPr>
        <w:t>s DG Regional and Urban Policy, ředitelství F4 pro ČR a</w:t>
      </w:r>
      <w:r w:rsidR="003F7D3F" w:rsidRPr="00B4124B">
        <w:rPr>
          <w:rStyle w:val="Zdraznn"/>
          <w:rFonts w:ascii="Arial" w:hAnsi="Arial" w:cs="Arial"/>
          <w:i w:val="0"/>
        </w:rPr>
        <w:t> </w:t>
      </w:r>
      <w:r w:rsidRPr="00B4124B">
        <w:rPr>
          <w:rStyle w:val="Zdraznn"/>
          <w:rFonts w:ascii="Arial" w:hAnsi="Arial" w:cs="Arial"/>
          <w:i w:val="0"/>
        </w:rPr>
        <w:t>Slovensko, podle potřeby i s DG Research and Innovation, ředitelství A</w:t>
      </w:r>
      <w:r w:rsidR="002D5E63" w:rsidRPr="00B4124B">
        <w:rPr>
          <w:rStyle w:val="Zdraznn"/>
          <w:rFonts w:ascii="Arial" w:hAnsi="Arial" w:cs="Arial"/>
          <w:i w:val="0"/>
        </w:rPr>
        <w:t xml:space="preserve"> </w:t>
      </w:r>
      <w:r w:rsidRPr="00B4124B">
        <w:rPr>
          <w:rStyle w:val="Zdraznn"/>
          <w:rFonts w:ascii="Arial" w:hAnsi="Arial" w:cs="Arial"/>
          <w:i w:val="0"/>
        </w:rPr>
        <w:t>- Poli</w:t>
      </w:r>
      <w:r w:rsidR="002D5E63" w:rsidRPr="00B4124B">
        <w:rPr>
          <w:rStyle w:val="Zdraznn"/>
          <w:rFonts w:ascii="Arial" w:hAnsi="Arial" w:cs="Arial"/>
          <w:i w:val="0"/>
        </w:rPr>
        <w:t xml:space="preserve">cy Development and Coordination, popř. </w:t>
      </w:r>
      <w:r w:rsidRPr="00B4124B">
        <w:rPr>
          <w:rStyle w:val="Zdraznn"/>
          <w:rFonts w:ascii="Arial" w:hAnsi="Arial" w:cs="Arial"/>
          <w:i w:val="0"/>
        </w:rPr>
        <w:t>s dalšími subjek</w:t>
      </w:r>
      <w:r w:rsidR="002D5E63" w:rsidRPr="00B4124B">
        <w:rPr>
          <w:rStyle w:val="Zdraznn"/>
          <w:rFonts w:ascii="Arial" w:hAnsi="Arial" w:cs="Arial"/>
          <w:i w:val="0"/>
        </w:rPr>
        <w:t>ty a platformami EU zabývajícími</w:t>
      </w:r>
      <w:r w:rsidR="00CE6013" w:rsidRPr="00B4124B">
        <w:rPr>
          <w:rStyle w:val="Zdraznn"/>
          <w:rFonts w:ascii="Arial" w:hAnsi="Arial" w:cs="Arial"/>
          <w:i w:val="0"/>
        </w:rPr>
        <w:t xml:space="preserve"> se budoucností</w:t>
      </w:r>
      <w:r w:rsidRPr="00B4124B">
        <w:rPr>
          <w:rStyle w:val="Zdraznn"/>
          <w:rFonts w:ascii="Arial" w:hAnsi="Arial" w:cs="Arial"/>
          <w:i w:val="0"/>
        </w:rPr>
        <w:t xml:space="preserve"> inteligentní specializace</w:t>
      </w:r>
      <w:r w:rsidR="002D5E63" w:rsidRPr="00B4124B">
        <w:rPr>
          <w:rStyle w:val="Zdraznn"/>
          <w:rFonts w:ascii="Arial" w:hAnsi="Arial" w:cs="Arial"/>
          <w:i w:val="0"/>
        </w:rPr>
        <w:t>,</w:t>
      </w:r>
      <w:r w:rsidRPr="00B4124B">
        <w:rPr>
          <w:rStyle w:val="Zdraznn"/>
          <w:rFonts w:ascii="Arial" w:hAnsi="Arial" w:cs="Arial"/>
          <w:i w:val="0"/>
        </w:rPr>
        <w:t xml:space="preserve"> jako jsou The High Level Working Group on Competitiveness and Growth</w:t>
      </w:r>
      <w:r w:rsidR="002D5E63" w:rsidRPr="00B4124B">
        <w:rPr>
          <w:rStyle w:val="Zdraznn"/>
          <w:rFonts w:ascii="Arial" w:hAnsi="Arial" w:cs="Arial"/>
          <w:i w:val="0"/>
        </w:rPr>
        <w:t>,</w:t>
      </w:r>
      <w:r w:rsidRPr="00B4124B">
        <w:rPr>
          <w:rStyle w:val="Zdraznn"/>
          <w:rFonts w:ascii="Arial" w:hAnsi="Arial" w:cs="Arial"/>
          <w:i w:val="0"/>
        </w:rPr>
        <w:t xml:space="preserve"> s cílem </w:t>
      </w:r>
      <w:r w:rsidRPr="00B4124B">
        <w:rPr>
          <w:rStyle w:val="Zdraznn"/>
          <w:rFonts w:ascii="Arial" w:hAnsi="Arial" w:cs="Arial"/>
          <w:i w:val="0"/>
        </w:rPr>
        <w:lastRenderedPageBreak/>
        <w:t>získávat aktuální informace</w:t>
      </w:r>
      <w:r w:rsidR="002D5E63" w:rsidRPr="00B4124B">
        <w:rPr>
          <w:rStyle w:val="Zdraznn"/>
          <w:rFonts w:ascii="Arial" w:hAnsi="Arial" w:cs="Arial"/>
          <w:i w:val="0"/>
        </w:rPr>
        <w:t xml:space="preserve"> z diskuzí</w:t>
      </w:r>
      <w:r w:rsidR="00CE6013" w:rsidRPr="00B4124B">
        <w:rPr>
          <w:rStyle w:val="Zdraznn"/>
          <w:rFonts w:ascii="Arial" w:hAnsi="Arial" w:cs="Arial"/>
          <w:i w:val="0"/>
        </w:rPr>
        <w:t xml:space="preserve"> o předpokládaných změnách</w:t>
      </w:r>
      <w:r w:rsidRPr="00B4124B">
        <w:rPr>
          <w:rStyle w:val="Zdraznn"/>
          <w:rFonts w:ascii="Arial" w:hAnsi="Arial" w:cs="Arial"/>
          <w:i w:val="0"/>
        </w:rPr>
        <w:t xml:space="preserve"> po roce 2020</w:t>
      </w:r>
      <w:r w:rsidR="002D5E63" w:rsidRPr="00B4124B">
        <w:rPr>
          <w:rStyle w:val="Zdraznn"/>
          <w:rFonts w:ascii="Arial" w:hAnsi="Arial" w:cs="Arial"/>
          <w:i w:val="0"/>
        </w:rPr>
        <w:t>.</w:t>
      </w:r>
      <w:r w:rsidR="002D5E63" w:rsidRPr="00B4124B">
        <w:rPr>
          <w:rStyle w:val="Znakapoznpodarou"/>
          <w:rFonts w:ascii="Arial" w:hAnsi="Arial" w:cs="Arial"/>
          <w:iCs/>
        </w:rPr>
        <w:footnoteReference w:id="15"/>
      </w:r>
      <w:r w:rsidR="00132C29" w:rsidRPr="00B4124B">
        <w:rPr>
          <w:rStyle w:val="Zdraznn"/>
          <w:rFonts w:ascii="Arial" w:hAnsi="Arial" w:cs="Arial"/>
          <w:i w:val="0"/>
        </w:rPr>
        <w:t xml:space="preserve"> Informace v úrovni EU by měly být zprostředkovávány zástupci EK pro ČR na základě přímého osobního i</w:t>
      </w:r>
      <w:r w:rsidR="003F7D3F" w:rsidRPr="00B4124B">
        <w:rPr>
          <w:rStyle w:val="Zdraznn"/>
          <w:rFonts w:ascii="Arial" w:hAnsi="Arial" w:cs="Arial"/>
          <w:i w:val="0"/>
        </w:rPr>
        <w:t> </w:t>
      </w:r>
      <w:r w:rsidR="00132C29" w:rsidRPr="00B4124B">
        <w:rPr>
          <w:rStyle w:val="Zdraznn"/>
          <w:rFonts w:ascii="Arial" w:hAnsi="Arial" w:cs="Arial"/>
          <w:i w:val="0"/>
        </w:rPr>
        <w:t>písemného kontaktu.</w:t>
      </w:r>
    </w:p>
    <w:p w:rsidR="009C7E64" w:rsidRPr="00B4124B" w:rsidRDefault="002D5E63" w:rsidP="00132C29">
      <w:pPr>
        <w:spacing w:line="360" w:lineRule="auto"/>
        <w:ind w:firstLine="708"/>
        <w:jc w:val="both"/>
        <w:rPr>
          <w:rFonts w:ascii="Arial" w:hAnsi="Arial" w:cs="Arial"/>
          <w:b/>
          <w:iCs/>
        </w:rPr>
      </w:pPr>
      <w:r w:rsidRPr="00B4124B">
        <w:rPr>
          <w:rStyle w:val="Zdraznn"/>
          <w:rFonts w:ascii="Arial" w:hAnsi="Arial" w:cs="Arial"/>
          <w:b/>
          <w:i w:val="0"/>
        </w:rPr>
        <w:t>Podle dosavadních signálů se předpokládá pro</w:t>
      </w:r>
      <w:r w:rsidR="00132C29" w:rsidRPr="00B4124B">
        <w:rPr>
          <w:rStyle w:val="Zdraznn"/>
          <w:rFonts w:ascii="Arial" w:hAnsi="Arial" w:cs="Arial"/>
          <w:b/>
          <w:i w:val="0"/>
        </w:rPr>
        <w:t>h</w:t>
      </w:r>
      <w:r w:rsidRPr="00B4124B">
        <w:rPr>
          <w:rStyle w:val="Zdraznn"/>
          <w:rFonts w:ascii="Arial" w:hAnsi="Arial" w:cs="Arial"/>
          <w:b/>
          <w:i w:val="0"/>
        </w:rPr>
        <w:t>loubení</w:t>
      </w:r>
      <w:r w:rsidR="0074383A" w:rsidRPr="00B4124B">
        <w:rPr>
          <w:rStyle w:val="Zdraznn"/>
          <w:rFonts w:ascii="Arial" w:hAnsi="Arial" w:cs="Arial"/>
          <w:b/>
          <w:i w:val="0"/>
        </w:rPr>
        <w:t xml:space="preserve"> kondicionality</w:t>
      </w:r>
      <w:r w:rsidRPr="00B4124B">
        <w:rPr>
          <w:rStyle w:val="Zdraznn"/>
          <w:rFonts w:ascii="Arial" w:hAnsi="Arial" w:cs="Arial"/>
          <w:b/>
          <w:i w:val="0"/>
        </w:rPr>
        <w:t xml:space="preserve"> veřejných podpor VVaI</w:t>
      </w:r>
      <w:r w:rsidR="0074383A" w:rsidRPr="00B4124B">
        <w:rPr>
          <w:rStyle w:val="Zdraznn"/>
          <w:rFonts w:ascii="Arial" w:hAnsi="Arial" w:cs="Arial"/>
          <w:b/>
          <w:i w:val="0"/>
        </w:rPr>
        <w:t>, odklon od dotačních systémů k finančním nástrojům, posíl</w:t>
      </w:r>
      <w:r w:rsidR="00132C29" w:rsidRPr="00B4124B">
        <w:rPr>
          <w:rStyle w:val="Zdraznn"/>
          <w:rFonts w:ascii="Arial" w:hAnsi="Arial" w:cs="Arial"/>
          <w:b/>
          <w:i w:val="0"/>
        </w:rPr>
        <w:t xml:space="preserve">ení programů řízených z úrovně </w:t>
      </w:r>
      <w:r w:rsidR="0074383A" w:rsidRPr="00B4124B">
        <w:rPr>
          <w:rStyle w:val="Zdraznn"/>
          <w:rFonts w:ascii="Arial" w:hAnsi="Arial" w:cs="Arial"/>
          <w:b/>
          <w:i w:val="0"/>
        </w:rPr>
        <w:t>EU, rozvoj současných a</w:t>
      </w:r>
      <w:r w:rsidR="00716C3E" w:rsidRPr="00B4124B">
        <w:rPr>
          <w:rStyle w:val="Zdraznn"/>
          <w:rFonts w:ascii="Arial" w:hAnsi="Arial" w:cs="Arial"/>
          <w:b/>
          <w:i w:val="0"/>
        </w:rPr>
        <w:t> </w:t>
      </w:r>
      <w:r w:rsidR="0074383A" w:rsidRPr="00B4124B">
        <w:rPr>
          <w:rStyle w:val="Zdraznn"/>
          <w:rFonts w:ascii="Arial" w:hAnsi="Arial" w:cs="Arial"/>
          <w:b/>
          <w:i w:val="0"/>
        </w:rPr>
        <w:t>vytváření nových evropských hodnotových řetězců</w:t>
      </w:r>
      <w:r w:rsidR="00132C29" w:rsidRPr="00B4124B">
        <w:rPr>
          <w:rStyle w:val="Zdraznn"/>
          <w:rFonts w:ascii="Arial" w:hAnsi="Arial" w:cs="Arial"/>
          <w:b/>
          <w:i w:val="0"/>
        </w:rPr>
        <w:t xml:space="preserve"> ad.</w:t>
      </w:r>
    </w:p>
    <w:sectPr w:rsidR="009C7E64" w:rsidRPr="00B4124B" w:rsidSect="0022531F">
      <w:footerReference w:type="default" r:id="rId19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551" w:rsidRDefault="003D3551" w:rsidP="00494AD8">
      <w:pPr>
        <w:spacing w:after="0" w:line="240" w:lineRule="auto"/>
      </w:pPr>
      <w:r>
        <w:separator/>
      </w:r>
    </w:p>
  </w:endnote>
  <w:endnote w:type="continuationSeparator" w:id="0">
    <w:p w:rsidR="003D3551" w:rsidRDefault="003D3551" w:rsidP="00494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5420073"/>
      <w:docPartObj>
        <w:docPartGallery w:val="Page Numbers (Bottom of Page)"/>
        <w:docPartUnique/>
      </w:docPartObj>
    </w:sdtPr>
    <w:sdtEndPr/>
    <w:sdtContent>
      <w:p w:rsidR="00482C1B" w:rsidRDefault="00482C1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F67">
          <w:rPr>
            <w:noProof/>
          </w:rPr>
          <w:t>20</w:t>
        </w:r>
        <w:r>
          <w:fldChar w:fldCharType="end"/>
        </w:r>
      </w:p>
    </w:sdtContent>
  </w:sdt>
  <w:p w:rsidR="00482C1B" w:rsidRDefault="00482C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551" w:rsidRDefault="003D3551" w:rsidP="00494AD8">
      <w:pPr>
        <w:spacing w:after="0" w:line="240" w:lineRule="auto"/>
      </w:pPr>
      <w:r>
        <w:separator/>
      </w:r>
    </w:p>
  </w:footnote>
  <w:footnote w:type="continuationSeparator" w:id="0">
    <w:p w:rsidR="003D3551" w:rsidRDefault="003D3551" w:rsidP="00494AD8">
      <w:pPr>
        <w:spacing w:after="0" w:line="240" w:lineRule="auto"/>
      </w:pPr>
      <w:r>
        <w:continuationSeparator/>
      </w:r>
    </w:p>
  </w:footnote>
  <w:footnote w:id="1">
    <w:p w:rsidR="00482C1B" w:rsidRPr="006B18CB" w:rsidRDefault="00482C1B">
      <w:pPr>
        <w:pStyle w:val="Textpoznpodarou"/>
      </w:pPr>
      <w:r>
        <w:rPr>
          <w:rStyle w:val="Znakapoznpodarou"/>
        </w:rPr>
        <w:footnoteRef/>
      </w:r>
      <w:r>
        <w:t xml:space="preserve"> viz </w:t>
      </w:r>
      <w:r>
        <w:rPr>
          <w:i/>
        </w:rPr>
        <w:t>Národní RIS3 strategie (2016),</w:t>
      </w:r>
      <w:r>
        <w:t xml:space="preserve"> kap. 7.4 (Monitorování, hodnocení a aktualizace Národní RIS3 strategie)</w:t>
      </w:r>
    </w:p>
  </w:footnote>
  <w:footnote w:id="2">
    <w:p w:rsidR="00482C1B" w:rsidRDefault="00482C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7324E">
        <w:rPr>
          <w:sz w:val="18"/>
          <w:szCs w:val="18"/>
        </w:rPr>
        <w:t xml:space="preserve">V této </w:t>
      </w:r>
      <w:r w:rsidR="0077324E" w:rsidRPr="0077324E">
        <w:rPr>
          <w:rFonts w:cs="Arial"/>
          <w:sz w:val="18"/>
          <w:szCs w:val="18"/>
        </w:rPr>
        <w:t>kapitole</w:t>
      </w:r>
      <w:r w:rsidRPr="0077324E">
        <w:rPr>
          <w:rFonts w:cs="Arial"/>
          <w:sz w:val="18"/>
          <w:szCs w:val="18"/>
        </w:rPr>
        <w:t xml:space="preserve"> jsou zahrnuty</w:t>
      </w:r>
      <w:r w:rsidR="0077324E" w:rsidRPr="0077324E">
        <w:rPr>
          <w:rFonts w:cs="Arial"/>
          <w:sz w:val="18"/>
          <w:szCs w:val="18"/>
        </w:rPr>
        <w:t>,</w:t>
      </w:r>
      <w:r w:rsidRPr="0077324E">
        <w:rPr>
          <w:rFonts w:cs="Arial"/>
          <w:sz w:val="18"/>
          <w:szCs w:val="18"/>
        </w:rPr>
        <w:t xml:space="preserve"> jak výzvy </w:t>
      </w:r>
      <w:r w:rsidR="000440CB">
        <w:rPr>
          <w:rFonts w:cs="Arial"/>
          <w:sz w:val="18"/>
          <w:szCs w:val="18"/>
        </w:rPr>
        <w:t xml:space="preserve">spadající </w:t>
      </w:r>
      <w:r w:rsidRPr="0077324E">
        <w:rPr>
          <w:rFonts w:cs="Arial"/>
          <w:sz w:val="18"/>
          <w:szCs w:val="18"/>
        </w:rPr>
        <w:t>přímo pod ex ante koncidionalitu, tak</w:t>
      </w:r>
      <w:r w:rsidR="000440CB">
        <w:rPr>
          <w:rFonts w:cs="Arial"/>
          <w:sz w:val="18"/>
          <w:szCs w:val="18"/>
        </w:rPr>
        <w:t xml:space="preserve"> i</w:t>
      </w:r>
      <w:r w:rsidRPr="0077324E">
        <w:rPr>
          <w:rFonts w:cs="Arial"/>
          <w:sz w:val="18"/>
          <w:szCs w:val="18"/>
        </w:rPr>
        <w:t xml:space="preserve"> výzvy nevýzkumného charakteru, které pod RIS3 kondicionalitou nejsou, ale svým věcným obsahem k plnění RIS3 dílčím způsobem přispívají</w:t>
      </w:r>
      <w:r w:rsidR="0077324E" w:rsidRPr="0077324E">
        <w:rPr>
          <w:rFonts w:cs="Arial"/>
          <w:sz w:val="18"/>
          <w:szCs w:val="18"/>
        </w:rPr>
        <w:t>.</w:t>
      </w:r>
      <w:r w:rsidR="000440CB" w:rsidRPr="000440CB">
        <w:rPr>
          <w:rFonts w:cs="Arial"/>
        </w:rPr>
        <w:t xml:space="preserve"> </w:t>
      </w:r>
    </w:p>
  </w:footnote>
  <w:footnote w:id="3">
    <w:p w:rsidR="00482C1B" w:rsidRDefault="00482C1B" w:rsidP="00A566F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77F94">
        <w:rPr>
          <w:sz w:val="18"/>
          <w:szCs w:val="18"/>
        </w:rPr>
        <w:t xml:space="preserve">viz </w:t>
      </w:r>
      <w:r w:rsidRPr="00877F94">
        <w:rPr>
          <w:i/>
          <w:sz w:val="18"/>
          <w:szCs w:val="18"/>
        </w:rPr>
        <w:t>Plán implementace (2017-2018)</w:t>
      </w:r>
      <w:r w:rsidRPr="00877F94">
        <w:rPr>
          <w:sz w:val="18"/>
          <w:szCs w:val="18"/>
        </w:rPr>
        <w:t xml:space="preserve">, kap. 2 (Operační programy a programy podpory VVaI) </w:t>
      </w:r>
    </w:p>
  </w:footnote>
  <w:footnote w:id="4">
    <w:p w:rsidR="00482C1B" w:rsidRPr="00AD2457" w:rsidRDefault="00482C1B" w:rsidP="00A566F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77F94">
        <w:rPr>
          <w:sz w:val="18"/>
          <w:szCs w:val="18"/>
        </w:rPr>
        <w:t xml:space="preserve">U intervencí v programu OP VVV se jedná o prostředky EU i veřejné a soukromé prostředky ČR. </w:t>
      </w:r>
    </w:p>
  </w:footnote>
  <w:footnote w:id="5">
    <w:p w:rsidR="00482C1B" w:rsidRDefault="00482C1B" w:rsidP="00A566F8">
      <w:pPr>
        <w:pStyle w:val="Textpoznpodarou"/>
      </w:pPr>
      <w:r>
        <w:rPr>
          <w:rStyle w:val="Znakapoznpodarou"/>
        </w:rPr>
        <w:footnoteRef/>
      </w:r>
      <w:r w:rsidRPr="003253C4">
        <w:rPr>
          <w:sz w:val="18"/>
          <w:szCs w:val="18"/>
        </w:rPr>
        <w:t xml:space="preserve"> U intervencí ITI v programu OP</w:t>
      </w:r>
      <w:r>
        <w:rPr>
          <w:sz w:val="18"/>
          <w:szCs w:val="18"/>
        </w:rPr>
        <w:t> </w:t>
      </w:r>
      <w:r w:rsidRPr="003253C4">
        <w:rPr>
          <w:sz w:val="18"/>
          <w:szCs w:val="18"/>
        </w:rPr>
        <w:t>VVV se jedná o</w:t>
      </w:r>
      <w:r>
        <w:rPr>
          <w:sz w:val="18"/>
          <w:szCs w:val="18"/>
        </w:rPr>
        <w:t> </w:t>
      </w:r>
      <w:r w:rsidRPr="003253C4">
        <w:rPr>
          <w:sz w:val="18"/>
          <w:szCs w:val="18"/>
        </w:rPr>
        <w:t>prostředky EU i</w:t>
      </w:r>
      <w:r>
        <w:rPr>
          <w:sz w:val="18"/>
          <w:szCs w:val="18"/>
        </w:rPr>
        <w:t> </w:t>
      </w:r>
      <w:r w:rsidRPr="003253C4">
        <w:rPr>
          <w:sz w:val="18"/>
          <w:szCs w:val="18"/>
        </w:rPr>
        <w:t>veřejné a</w:t>
      </w:r>
      <w:r>
        <w:rPr>
          <w:sz w:val="18"/>
          <w:szCs w:val="18"/>
        </w:rPr>
        <w:t> </w:t>
      </w:r>
      <w:r w:rsidRPr="003253C4">
        <w:rPr>
          <w:sz w:val="18"/>
          <w:szCs w:val="18"/>
        </w:rPr>
        <w:t>soukromé prostředky ČR.</w:t>
      </w:r>
    </w:p>
  </w:footnote>
  <w:footnote w:id="6">
    <w:p w:rsidR="00482C1B" w:rsidRDefault="00482C1B">
      <w:pPr>
        <w:pStyle w:val="Textpoznpodarou"/>
      </w:pPr>
      <w:r>
        <w:rPr>
          <w:rStyle w:val="Znakapoznpodarou"/>
        </w:rPr>
        <w:footnoteRef/>
      </w:r>
      <w:r>
        <w:t xml:space="preserve"> blíže o smyslu této výzvy viz </w:t>
      </w:r>
      <w:r w:rsidRPr="000408F9">
        <w:rPr>
          <w:i/>
        </w:rPr>
        <w:t>Národní RIS3 strategie</w:t>
      </w:r>
      <w:r>
        <w:rPr>
          <w:i/>
        </w:rPr>
        <w:t xml:space="preserve"> </w:t>
      </w:r>
      <w:r w:rsidRPr="00493F21">
        <w:rPr>
          <w:i/>
        </w:rPr>
        <w:t>(2016)</w:t>
      </w:r>
      <w:r w:rsidRPr="009A2865">
        <w:t>, kap.</w:t>
      </w:r>
      <w:r>
        <w:t xml:space="preserve"> </w:t>
      </w:r>
      <w:r w:rsidRPr="00493F21">
        <w:t xml:space="preserve">7.3.3.8. </w:t>
      </w:r>
      <w:r>
        <w:t xml:space="preserve">(Smart Akcelerátor </w:t>
      </w:r>
      <w:r w:rsidRPr="00493F21">
        <w:t>– nástroj na rozvoj krajských inovačních systémů</w:t>
      </w:r>
      <w:r>
        <w:t>)</w:t>
      </w:r>
    </w:p>
  </w:footnote>
  <w:footnote w:id="7">
    <w:p w:rsidR="00482C1B" w:rsidRPr="009A2865" w:rsidRDefault="00482C1B" w:rsidP="00494AD8">
      <w:pPr>
        <w:pStyle w:val="Textpoznpodarou"/>
      </w:pPr>
      <w:r w:rsidRPr="00A76959">
        <w:rPr>
          <w:rStyle w:val="Znakapoznpodarou"/>
        </w:rPr>
        <w:footnoteRef/>
      </w:r>
      <w:r w:rsidRPr="00A76959">
        <w:t xml:space="preserve"> </w:t>
      </w:r>
      <w:r>
        <w:t xml:space="preserve">viz </w:t>
      </w:r>
      <w:r w:rsidRPr="000408F9">
        <w:rPr>
          <w:i/>
        </w:rPr>
        <w:t>Národní RIS3 strategie</w:t>
      </w:r>
      <w:r>
        <w:rPr>
          <w:i/>
        </w:rPr>
        <w:t xml:space="preserve"> </w:t>
      </w:r>
      <w:r>
        <w:t>(2016)</w:t>
      </w:r>
      <w:r w:rsidRPr="009A2865">
        <w:t xml:space="preserve">, kap. 7.4 </w:t>
      </w:r>
      <w:r>
        <w:t>(</w:t>
      </w:r>
      <w:r w:rsidRPr="009A2865">
        <w:t>Monitorování, hodnocení a aktualizace Národní RIS3</w:t>
      </w:r>
      <w:r>
        <w:t xml:space="preserve"> strategie)</w:t>
      </w:r>
    </w:p>
  </w:footnote>
  <w:footnote w:id="8">
    <w:p w:rsidR="00482C1B" w:rsidRDefault="00482C1B">
      <w:pPr>
        <w:pStyle w:val="Textpoznpodarou"/>
      </w:pPr>
      <w:r>
        <w:rPr>
          <w:rStyle w:val="Znakapoznpodarou"/>
        </w:rPr>
        <w:footnoteRef/>
      </w:r>
      <w:r>
        <w:t xml:space="preserve"> nejkomplexnější dosavadní výstupy Národní RIS3 strategie viz </w:t>
      </w:r>
      <w:r>
        <w:rPr>
          <w:i/>
        </w:rPr>
        <w:t>Zpráva o realizaci (2017)</w:t>
      </w:r>
      <w:r>
        <w:t>, kap. 4 (</w:t>
      </w:r>
      <w:r w:rsidRPr="00A76959">
        <w:t>Analytické vyhodnocení aktuálního stavu implementace RIS3 strategie</w:t>
      </w:r>
      <w:r>
        <w:t xml:space="preserve">) </w:t>
      </w:r>
    </w:p>
  </w:footnote>
  <w:footnote w:id="9">
    <w:p w:rsidR="00482C1B" w:rsidRPr="00E573C5" w:rsidRDefault="00482C1B">
      <w:pPr>
        <w:pStyle w:val="Textpoznpodarou"/>
      </w:pPr>
      <w:r>
        <w:rPr>
          <w:rStyle w:val="Znakapoznpodarou"/>
        </w:rPr>
        <w:footnoteRef/>
      </w:r>
      <w:r>
        <w:t xml:space="preserve"> viz </w:t>
      </w:r>
      <w:r>
        <w:rPr>
          <w:i/>
        </w:rPr>
        <w:t>Zpráva o realizaci (2017)</w:t>
      </w:r>
      <w:r>
        <w:t>, kap. 2.5.4. (Problémové okruhy monitoringu)</w:t>
      </w:r>
    </w:p>
  </w:footnote>
  <w:footnote w:id="10">
    <w:p w:rsidR="00482C1B" w:rsidRDefault="00482C1B">
      <w:pPr>
        <w:pStyle w:val="Textpoznpodarou"/>
      </w:pPr>
      <w:r>
        <w:rPr>
          <w:rStyle w:val="Znakapoznpodarou"/>
        </w:rPr>
        <w:footnoteRef/>
      </w:r>
      <w:r>
        <w:t xml:space="preserve"> viz </w:t>
      </w:r>
      <w:r>
        <w:rPr>
          <w:i/>
        </w:rPr>
        <w:t>Zpráva o realizaci (2017)</w:t>
      </w:r>
      <w:r>
        <w:t xml:space="preserve">, Příloha 9 (Krajské strategické RIS3 projekty realizované v roce </w:t>
      </w:r>
      <w:r w:rsidRPr="005E72F9">
        <w:t>2017</w:t>
      </w:r>
      <w:r>
        <w:t>)</w:t>
      </w:r>
    </w:p>
  </w:footnote>
  <w:footnote w:id="11">
    <w:p w:rsidR="00482C1B" w:rsidRPr="00F06347" w:rsidRDefault="00482C1B" w:rsidP="00AF627B">
      <w:pPr>
        <w:pStyle w:val="Textpoznpodarou"/>
        <w:rPr>
          <w:sz w:val="18"/>
          <w:szCs w:val="18"/>
        </w:rPr>
      </w:pPr>
      <w:r w:rsidRPr="00F06347">
        <w:rPr>
          <w:rStyle w:val="Znakapoznpodarou"/>
          <w:sz w:val="18"/>
          <w:szCs w:val="18"/>
        </w:rPr>
        <w:footnoteRef/>
      </w:r>
      <w:r w:rsidRPr="00F06347">
        <w:rPr>
          <w:sz w:val="18"/>
          <w:szCs w:val="18"/>
        </w:rPr>
        <w:t xml:space="preserve"> usnesení vlády ČR ze dne 11. 7. 2016 (č. 634)</w:t>
      </w:r>
    </w:p>
  </w:footnote>
  <w:footnote w:id="12">
    <w:p w:rsidR="00482C1B" w:rsidRPr="00F06347" w:rsidRDefault="00482C1B" w:rsidP="00594094">
      <w:pPr>
        <w:pStyle w:val="Textpoznpodarou"/>
        <w:rPr>
          <w:sz w:val="18"/>
          <w:szCs w:val="18"/>
        </w:rPr>
      </w:pPr>
      <w:r w:rsidRPr="00F06347">
        <w:rPr>
          <w:rStyle w:val="Znakapoznpodarou"/>
          <w:sz w:val="18"/>
          <w:szCs w:val="18"/>
        </w:rPr>
        <w:footnoteRef/>
      </w:r>
      <w:r w:rsidRPr="00F06347">
        <w:rPr>
          <w:sz w:val="18"/>
          <w:szCs w:val="18"/>
        </w:rPr>
        <w:t xml:space="preserve"> </w:t>
      </w:r>
      <w:r w:rsidRPr="00F06347">
        <w:rPr>
          <w:i/>
          <w:sz w:val="18"/>
          <w:szCs w:val="18"/>
        </w:rPr>
        <w:t xml:space="preserve">Národní RIS3 strategie (2016): </w:t>
      </w:r>
      <w:r w:rsidRPr="00F06347">
        <w:rPr>
          <w:sz w:val="18"/>
          <w:szCs w:val="18"/>
        </w:rPr>
        <w:t>kap. 7.4 (Monitorování, hodnocení a aktualizace Národní RIS3 strategie)</w:t>
      </w:r>
    </w:p>
  </w:footnote>
  <w:footnote w:id="13">
    <w:p w:rsidR="00482C1B" w:rsidRPr="00F06347" w:rsidRDefault="00482C1B">
      <w:pPr>
        <w:pStyle w:val="Textpoznpodarou"/>
        <w:rPr>
          <w:sz w:val="18"/>
          <w:szCs w:val="18"/>
        </w:rPr>
      </w:pPr>
      <w:r w:rsidRPr="00F06347">
        <w:rPr>
          <w:rStyle w:val="Znakapoznpodarou"/>
          <w:sz w:val="18"/>
          <w:szCs w:val="18"/>
        </w:rPr>
        <w:footnoteRef/>
      </w:r>
      <w:r w:rsidRPr="00F06347">
        <w:rPr>
          <w:sz w:val="18"/>
          <w:szCs w:val="18"/>
        </w:rPr>
        <w:t xml:space="preserve"> </w:t>
      </w:r>
      <w:r w:rsidRPr="00F06347">
        <w:rPr>
          <w:rFonts w:eastAsia="Times New Roman" w:cs="Arial"/>
          <w:bCs/>
          <w:sz w:val="18"/>
          <w:szCs w:val="18"/>
          <w:lang w:eastAsia="cs-CZ"/>
        </w:rPr>
        <w:t>nařízení EU č. 1303/2013</w:t>
      </w:r>
      <w:r w:rsidRPr="00F06347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 w:rsidRPr="00F06347">
        <w:rPr>
          <w:rFonts w:eastAsia="Times New Roman" w:cs="Arial"/>
          <w:bCs/>
          <w:sz w:val="18"/>
          <w:szCs w:val="18"/>
          <w:lang w:eastAsia="cs-CZ"/>
        </w:rPr>
        <w:t>články č. 54 až 57, 110 a 114</w:t>
      </w:r>
    </w:p>
  </w:footnote>
  <w:footnote w:id="14">
    <w:p w:rsidR="00482C1B" w:rsidRDefault="00482C1B">
      <w:pPr>
        <w:pStyle w:val="Textpoznpodarou"/>
      </w:pPr>
      <w:r w:rsidRPr="00F06347">
        <w:rPr>
          <w:rStyle w:val="Znakapoznpodarou"/>
          <w:sz w:val="18"/>
          <w:szCs w:val="18"/>
        </w:rPr>
        <w:footnoteRef/>
      </w:r>
      <w:r w:rsidRPr="00F06347">
        <w:rPr>
          <w:sz w:val="18"/>
          <w:szCs w:val="18"/>
        </w:rPr>
        <w:t xml:space="preserve"> </w:t>
      </w:r>
      <w:r w:rsidRPr="00F06347">
        <w:rPr>
          <w:i/>
          <w:sz w:val="18"/>
          <w:szCs w:val="18"/>
        </w:rPr>
        <w:t>Zpráva o realizaci (2017)</w:t>
      </w:r>
      <w:r w:rsidRPr="00F06347">
        <w:rPr>
          <w:sz w:val="18"/>
          <w:szCs w:val="18"/>
        </w:rPr>
        <w:t>, kap. 4 (Analytické vyhodnocení aktuálního stavu implementace RIS3 strategie)</w:t>
      </w:r>
    </w:p>
  </w:footnote>
  <w:footnote w:id="15">
    <w:p w:rsidR="00482C1B" w:rsidRDefault="00482C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06347">
        <w:rPr>
          <w:sz w:val="18"/>
          <w:szCs w:val="18"/>
        </w:rPr>
        <w:t xml:space="preserve">Doposud evidovanými informačními zdroji jsou </w:t>
      </w:r>
      <w:r w:rsidRPr="00F06347">
        <w:rPr>
          <w:i/>
          <w:sz w:val="18"/>
          <w:szCs w:val="18"/>
        </w:rPr>
        <w:t xml:space="preserve">Bílá kniha o budoucnosti Evropy </w:t>
      </w:r>
      <w:r w:rsidRPr="00F06347">
        <w:rPr>
          <w:sz w:val="18"/>
          <w:szCs w:val="18"/>
        </w:rPr>
        <w:t xml:space="preserve">(5 scénářů vývoje EU), Kohezní fórum 2017, </w:t>
      </w:r>
      <w:r w:rsidRPr="00F06347">
        <w:rPr>
          <w:i/>
          <w:sz w:val="18"/>
          <w:szCs w:val="18"/>
        </w:rPr>
        <w:t>Doporučení skupiny HLG</w:t>
      </w:r>
      <w:r w:rsidRPr="00F06347">
        <w:rPr>
          <w:sz w:val="18"/>
          <w:szCs w:val="18"/>
        </w:rPr>
        <w:t xml:space="preserve">, </w:t>
      </w:r>
      <w:r w:rsidRPr="00F06347">
        <w:rPr>
          <w:i/>
          <w:sz w:val="18"/>
          <w:szCs w:val="18"/>
        </w:rPr>
        <w:t>7. Kohezní zpráva</w:t>
      </w:r>
      <w:r w:rsidRPr="00F06347">
        <w:rPr>
          <w:sz w:val="18"/>
          <w:szCs w:val="18"/>
        </w:rPr>
        <w:t>, GAC - Rada pro obecné záležitosti (návrhy na zlepšení implementace), DG meetingy a konference k politice soudržnosti, Smart Specialisation Platform aj.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8FB2DF9"/>
    <w:multiLevelType w:val="hybridMultilevel"/>
    <w:tmpl w:val="6B087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12FC5"/>
    <w:multiLevelType w:val="hybridMultilevel"/>
    <w:tmpl w:val="BC48C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F046D"/>
    <w:multiLevelType w:val="hybridMultilevel"/>
    <w:tmpl w:val="E280D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F1024"/>
    <w:multiLevelType w:val="hybridMultilevel"/>
    <w:tmpl w:val="E1E49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53E13"/>
    <w:multiLevelType w:val="hybridMultilevel"/>
    <w:tmpl w:val="615EA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83B10"/>
    <w:multiLevelType w:val="hybridMultilevel"/>
    <w:tmpl w:val="F2B6ED1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30316F8"/>
    <w:multiLevelType w:val="multilevel"/>
    <w:tmpl w:val="3320A8B2"/>
    <w:numStyleLink w:val="VariantaB-odrky"/>
  </w:abstractNum>
  <w:abstractNum w:abstractNumId="8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9" w15:restartNumberingAfterBreak="0">
    <w:nsid w:val="190A4B4D"/>
    <w:multiLevelType w:val="hybridMultilevel"/>
    <w:tmpl w:val="3B5CC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872DA"/>
    <w:multiLevelType w:val="multilevel"/>
    <w:tmpl w:val="E8A48D7C"/>
    <w:numStyleLink w:val="VariantaA-sla"/>
  </w:abstractNum>
  <w:abstractNum w:abstractNumId="11" w15:restartNumberingAfterBreak="0">
    <w:nsid w:val="1A3F07E0"/>
    <w:multiLevelType w:val="hybridMultilevel"/>
    <w:tmpl w:val="B3425B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5F529B"/>
    <w:multiLevelType w:val="hybridMultilevel"/>
    <w:tmpl w:val="A6A23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A5EA2"/>
    <w:multiLevelType w:val="multilevel"/>
    <w:tmpl w:val="E8BAE50A"/>
    <w:numStyleLink w:val="VariantaA-odrky"/>
  </w:abstractNum>
  <w:abstractNum w:abstractNumId="14" w15:restartNumberingAfterBreak="0">
    <w:nsid w:val="2B4F1E31"/>
    <w:multiLevelType w:val="hybridMultilevel"/>
    <w:tmpl w:val="19088D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600E07"/>
    <w:multiLevelType w:val="hybridMultilevel"/>
    <w:tmpl w:val="AD425478"/>
    <w:lvl w:ilvl="0" w:tplc="82B27DAA">
      <w:start w:val="1"/>
      <w:numFmt w:val="decimal"/>
      <w:pStyle w:val="Nadpis2"/>
      <w:lvlText w:val="%1.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B4548"/>
    <w:multiLevelType w:val="hybridMultilevel"/>
    <w:tmpl w:val="575CD180"/>
    <w:lvl w:ilvl="0" w:tplc="04050001">
      <w:start w:val="1"/>
      <w:numFmt w:val="bullet"/>
      <w:lvlText w:val=""/>
      <w:lvlJc w:val="left"/>
      <w:pPr>
        <w:ind w:left="9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17" w15:restartNumberingAfterBreak="0">
    <w:nsid w:val="4985435B"/>
    <w:multiLevelType w:val="hybridMultilevel"/>
    <w:tmpl w:val="9E56C2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07A29F2"/>
    <w:multiLevelType w:val="hybridMultilevel"/>
    <w:tmpl w:val="E2847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CE4027"/>
    <w:multiLevelType w:val="hybridMultilevel"/>
    <w:tmpl w:val="8E1C59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742C4"/>
    <w:multiLevelType w:val="hybridMultilevel"/>
    <w:tmpl w:val="3ACAE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7E46FC"/>
    <w:multiLevelType w:val="multilevel"/>
    <w:tmpl w:val="AD40E83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24" w15:restartNumberingAfterBreak="0">
    <w:nsid w:val="5AF35F43"/>
    <w:multiLevelType w:val="multilevel"/>
    <w:tmpl w:val="0D8ABE32"/>
    <w:numStyleLink w:val="VariantaB-sla"/>
  </w:abstractNum>
  <w:abstractNum w:abstractNumId="25" w15:restartNumberingAfterBreak="0">
    <w:nsid w:val="64572715"/>
    <w:multiLevelType w:val="multilevel"/>
    <w:tmpl w:val="05F0194E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68781633"/>
    <w:multiLevelType w:val="hybridMultilevel"/>
    <w:tmpl w:val="9320963C"/>
    <w:lvl w:ilvl="0" w:tplc="040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7" w15:restartNumberingAfterBreak="0">
    <w:nsid w:val="7C4F38B8"/>
    <w:multiLevelType w:val="hybridMultilevel"/>
    <w:tmpl w:val="3A38F4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8"/>
  </w:num>
  <w:num w:numId="4">
    <w:abstractNumId w:val="0"/>
  </w:num>
  <w:num w:numId="5">
    <w:abstractNumId w:val="24"/>
  </w:num>
  <w:num w:numId="6">
    <w:abstractNumId w:val="13"/>
  </w:num>
  <w:num w:numId="7">
    <w:abstractNumId w:val="10"/>
  </w:num>
  <w:num w:numId="8">
    <w:abstractNumId w:val="7"/>
  </w:num>
  <w:num w:numId="9">
    <w:abstractNumId w:val="25"/>
  </w:num>
  <w:num w:numId="10">
    <w:abstractNumId w:val="15"/>
  </w:num>
  <w:num w:numId="11">
    <w:abstractNumId w:val="22"/>
  </w:num>
  <w:num w:numId="12">
    <w:abstractNumId w:val="5"/>
  </w:num>
  <w:num w:numId="13">
    <w:abstractNumId w:val="11"/>
  </w:num>
  <w:num w:numId="14">
    <w:abstractNumId w:val="17"/>
  </w:num>
  <w:num w:numId="15">
    <w:abstractNumId w:val="16"/>
  </w:num>
  <w:num w:numId="16">
    <w:abstractNumId w:val="4"/>
  </w:num>
  <w:num w:numId="17">
    <w:abstractNumId w:val="27"/>
  </w:num>
  <w:num w:numId="18">
    <w:abstractNumId w:val="2"/>
  </w:num>
  <w:num w:numId="19">
    <w:abstractNumId w:val="26"/>
  </w:num>
  <w:num w:numId="20">
    <w:abstractNumId w:val="9"/>
  </w:num>
  <w:num w:numId="21">
    <w:abstractNumId w:val="21"/>
  </w:num>
  <w:num w:numId="22">
    <w:abstractNumId w:val="12"/>
  </w:num>
  <w:num w:numId="23">
    <w:abstractNumId w:val="25"/>
    <w:lvlOverride w:ilvl="0">
      <w:startOverride w:val="5"/>
    </w:lvlOverride>
    <w:lvlOverride w:ilvl="1">
      <w:startOverride w:val="2"/>
    </w:lvlOverride>
  </w:num>
  <w:num w:numId="24">
    <w:abstractNumId w:val="19"/>
  </w:num>
  <w:num w:numId="25">
    <w:abstractNumId w:val="1"/>
  </w:num>
  <w:num w:numId="26">
    <w:abstractNumId w:val="14"/>
  </w:num>
  <w:num w:numId="27">
    <w:abstractNumId w:val="6"/>
  </w:num>
  <w:num w:numId="28">
    <w:abstractNumId w:val="20"/>
  </w:num>
  <w:num w:numId="29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1F"/>
    <w:rsid w:val="00003DC0"/>
    <w:rsid w:val="0000711C"/>
    <w:rsid w:val="00015306"/>
    <w:rsid w:val="0002674B"/>
    <w:rsid w:val="00035669"/>
    <w:rsid w:val="0004162E"/>
    <w:rsid w:val="000440CB"/>
    <w:rsid w:val="000462AA"/>
    <w:rsid w:val="0004786B"/>
    <w:rsid w:val="00063405"/>
    <w:rsid w:val="00074557"/>
    <w:rsid w:val="000809B9"/>
    <w:rsid w:val="00090B40"/>
    <w:rsid w:val="00095A0A"/>
    <w:rsid w:val="000B1B3D"/>
    <w:rsid w:val="000B262C"/>
    <w:rsid w:val="000B46F2"/>
    <w:rsid w:val="000B4831"/>
    <w:rsid w:val="000C19AA"/>
    <w:rsid w:val="000C4CAF"/>
    <w:rsid w:val="000C504A"/>
    <w:rsid w:val="000D1CA2"/>
    <w:rsid w:val="000E0C9E"/>
    <w:rsid w:val="000E4935"/>
    <w:rsid w:val="0010513E"/>
    <w:rsid w:val="001213DC"/>
    <w:rsid w:val="00121485"/>
    <w:rsid w:val="00132C29"/>
    <w:rsid w:val="001514C7"/>
    <w:rsid w:val="00156A36"/>
    <w:rsid w:val="00176B4B"/>
    <w:rsid w:val="0018051B"/>
    <w:rsid w:val="00183B82"/>
    <w:rsid w:val="0019026E"/>
    <w:rsid w:val="00190BDB"/>
    <w:rsid w:val="0019334C"/>
    <w:rsid w:val="001978E1"/>
    <w:rsid w:val="001B1E4A"/>
    <w:rsid w:val="001C41CB"/>
    <w:rsid w:val="001D27C0"/>
    <w:rsid w:val="001E74C3"/>
    <w:rsid w:val="001F10B6"/>
    <w:rsid w:val="001F6937"/>
    <w:rsid w:val="00204901"/>
    <w:rsid w:val="00216106"/>
    <w:rsid w:val="00220DE3"/>
    <w:rsid w:val="0022531F"/>
    <w:rsid w:val="00225460"/>
    <w:rsid w:val="00227556"/>
    <w:rsid w:val="002348D8"/>
    <w:rsid w:val="0024483A"/>
    <w:rsid w:val="0025290D"/>
    <w:rsid w:val="00260372"/>
    <w:rsid w:val="00262DAF"/>
    <w:rsid w:val="00271758"/>
    <w:rsid w:val="00275DE1"/>
    <w:rsid w:val="00285AED"/>
    <w:rsid w:val="002940A5"/>
    <w:rsid w:val="00294830"/>
    <w:rsid w:val="00295F79"/>
    <w:rsid w:val="002B1933"/>
    <w:rsid w:val="002C0C47"/>
    <w:rsid w:val="002C3F82"/>
    <w:rsid w:val="002C7A15"/>
    <w:rsid w:val="002D5E63"/>
    <w:rsid w:val="002E2442"/>
    <w:rsid w:val="002E2704"/>
    <w:rsid w:val="002F0E8C"/>
    <w:rsid w:val="003040CC"/>
    <w:rsid w:val="00310FA0"/>
    <w:rsid w:val="00312341"/>
    <w:rsid w:val="00320481"/>
    <w:rsid w:val="00321F90"/>
    <w:rsid w:val="003250CB"/>
    <w:rsid w:val="003253C4"/>
    <w:rsid w:val="003310B4"/>
    <w:rsid w:val="003335D8"/>
    <w:rsid w:val="00336E20"/>
    <w:rsid w:val="00342974"/>
    <w:rsid w:val="00343EDA"/>
    <w:rsid w:val="00344AEF"/>
    <w:rsid w:val="00363201"/>
    <w:rsid w:val="00365467"/>
    <w:rsid w:val="00367A94"/>
    <w:rsid w:val="00376007"/>
    <w:rsid w:val="003833B6"/>
    <w:rsid w:val="0039063C"/>
    <w:rsid w:val="003A46A8"/>
    <w:rsid w:val="003A51AA"/>
    <w:rsid w:val="003B565A"/>
    <w:rsid w:val="003D00A1"/>
    <w:rsid w:val="003D3551"/>
    <w:rsid w:val="003E20D2"/>
    <w:rsid w:val="003E345F"/>
    <w:rsid w:val="003E44A4"/>
    <w:rsid w:val="003F7D3F"/>
    <w:rsid w:val="00410ADB"/>
    <w:rsid w:val="0041427F"/>
    <w:rsid w:val="0041536C"/>
    <w:rsid w:val="004165AB"/>
    <w:rsid w:val="00422AA8"/>
    <w:rsid w:val="00422FFD"/>
    <w:rsid w:val="00432747"/>
    <w:rsid w:val="004509E5"/>
    <w:rsid w:val="00452AC5"/>
    <w:rsid w:val="0047386A"/>
    <w:rsid w:val="00474711"/>
    <w:rsid w:val="00475615"/>
    <w:rsid w:val="00482C1B"/>
    <w:rsid w:val="00483B9E"/>
    <w:rsid w:val="00485CEA"/>
    <w:rsid w:val="00486FB9"/>
    <w:rsid w:val="00493F21"/>
    <w:rsid w:val="00494AD8"/>
    <w:rsid w:val="004A350B"/>
    <w:rsid w:val="004A4DC2"/>
    <w:rsid w:val="004A64B2"/>
    <w:rsid w:val="004C212A"/>
    <w:rsid w:val="00500232"/>
    <w:rsid w:val="0050024E"/>
    <w:rsid w:val="00504668"/>
    <w:rsid w:val="005066B5"/>
    <w:rsid w:val="0052754F"/>
    <w:rsid w:val="00534A71"/>
    <w:rsid w:val="00540074"/>
    <w:rsid w:val="0054041F"/>
    <w:rsid w:val="005455E1"/>
    <w:rsid w:val="005502BD"/>
    <w:rsid w:val="005564A0"/>
    <w:rsid w:val="00556787"/>
    <w:rsid w:val="00557298"/>
    <w:rsid w:val="005678E6"/>
    <w:rsid w:val="0057474A"/>
    <w:rsid w:val="0058095D"/>
    <w:rsid w:val="00594094"/>
    <w:rsid w:val="005B009D"/>
    <w:rsid w:val="005C2560"/>
    <w:rsid w:val="005D40E1"/>
    <w:rsid w:val="005E72F9"/>
    <w:rsid w:val="005E7789"/>
    <w:rsid w:val="005F15D9"/>
    <w:rsid w:val="005F7585"/>
    <w:rsid w:val="006048FE"/>
    <w:rsid w:val="00605759"/>
    <w:rsid w:val="00606FB0"/>
    <w:rsid w:val="00616C14"/>
    <w:rsid w:val="00630334"/>
    <w:rsid w:val="00650C6C"/>
    <w:rsid w:val="00652D92"/>
    <w:rsid w:val="00652FE6"/>
    <w:rsid w:val="00667898"/>
    <w:rsid w:val="006A69CE"/>
    <w:rsid w:val="006B18CB"/>
    <w:rsid w:val="006C5181"/>
    <w:rsid w:val="006D04EF"/>
    <w:rsid w:val="006E0FEB"/>
    <w:rsid w:val="006E2FB0"/>
    <w:rsid w:val="006E77BE"/>
    <w:rsid w:val="006F26DF"/>
    <w:rsid w:val="006F49B8"/>
    <w:rsid w:val="007102D2"/>
    <w:rsid w:val="00713948"/>
    <w:rsid w:val="00716C3E"/>
    <w:rsid w:val="00720FD6"/>
    <w:rsid w:val="00725C5B"/>
    <w:rsid w:val="0073392D"/>
    <w:rsid w:val="0074383A"/>
    <w:rsid w:val="00753A27"/>
    <w:rsid w:val="0077324E"/>
    <w:rsid w:val="00780BF1"/>
    <w:rsid w:val="007834A9"/>
    <w:rsid w:val="0078384F"/>
    <w:rsid w:val="00783D2F"/>
    <w:rsid w:val="00784AEC"/>
    <w:rsid w:val="0079342A"/>
    <w:rsid w:val="00795085"/>
    <w:rsid w:val="007B4949"/>
    <w:rsid w:val="007F0BC6"/>
    <w:rsid w:val="00811715"/>
    <w:rsid w:val="00822007"/>
    <w:rsid w:val="0082664E"/>
    <w:rsid w:val="00831374"/>
    <w:rsid w:val="0083298A"/>
    <w:rsid w:val="00846BCD"/>
    <w:rsid w:val="00853BC5"/>
    <w:rsid w:val="00857580"/>
    <w:rsid w:val="00865238"/>
    <w:rsid w:val="008667BF"/>
    <w:rsid w:val="00877F94"/>
    <w:rsid w:val="00895645"/>
    <w:rsid w:val="008A5695"/>
    <w:rsid w:val="008B1245"/>
    <w:rsid w:val="008B58CD"/>
    <w:rsid w:val="008C3782"/>
    <w:rsid w:val="008D4A32"/>
    <w:rsid w:val="008D593A"/>
    <w:rsid w:val="008E566D"/>
    <w:rsid w:val="008E7760"/>
    <w:rsid w:val="008F2BF4"/>
    <w:rsid w:val="00906EF7"/>
    <w:rsid w:val="00922001"/>
    <w:rsid w:val="00922C17"/>
    <w:rsid w:val="0093341E"/>
    <w:rsid w:val="00934E28"/>
    <w:rsid w:val="00935F17"/>
    <w:rsid w:val="00942DDD"/>
    <w:rsid w:val="009516A8"/>
    <w:rsid w:val="00956A6A"/>
    <w:rsid w:val="00961A2E"/>
    <w:rsid w:val="0097448E"/>
    <w:rsid w:val="00975C33"/>
    <w:rsid w:val="0097705C"/>
    <w:rsid w:val="00990E11"/>
    <w:rsid w:val="009B6674"/>
    <w:rsid w:val="009C5B63"/>
    <w:rsid w:val="009C7E64"/>
    <w:rsid w:val="009D75C2"/>
    <w:rsid w:val="009E045D"/>
    <w:rsid w:val="009E158E"/>
    <w:rsid w:val="009F1400"/>
    <w:rsid w:val="009F160D"/>
    <w:rsid w:val="009F393D"/>
    <w:rsid w:val="009F770B"/>
    <w:rsid w:val="009F7900"/>
    <w:rsid w:val="009F7F46"/>
    <w:rsid w:val="00A000BF"/>
    <w:rsid w:val="00A0587E"/>
    <w:rsid w:val="00A12C7F"/>
    <w:rsid w:val="00A16C2A"/>
    <w:rsid w:val="00A17D9D"/>
    <w:rsid w:val="00A275BC"/>
    <w:rsid w:val="00A415D1"/>
    <w:rsid w:val="00A418E9"/>
    <w:rsid w:val="00A464B4"/>
    <w:rsid w:val="00A566F8"/>
    <w:rsid w:val="00A63D6B"/>
    <w:rsid w:val="00A659ED"/>
    <w:rsid w:val="00A76959"/>
    <w:rsid w:val="00A84B52"/>
    <w:rsid w:val="00A8660F"/>
    <w:rsid w:val="00A8764C"/>
    <w:rsid w:val="00A94029"/>
    <w:rsid w:val="00A94BF3"/>
    <w:rsid w:val="00A95C48"/>
    <w:rsid w:val="00AA7056"/>
    <w:rsid w:val="00AB31C6"/>
    <w:rsid w:val="00AB523B"/>
    <w:rsid w:val="00AD2457"/>
    <w:rsid w:val="00AD7579"/>
    <w:rsid w:val="00AD7E40"/>
    <w:rsid w:val="00AE0B5B"/>
    <w:rsid w:val="00AF5F03"/>
    <w:rsid w:val="00AF627B"/>
    <w:rsid w:val="00B05E5F"/>
    <w:rsid w:val="00B139CA"/>
    <w:rsid w:val="00B1477A"/>
    <w:rsid w:val="00B20993"/>
    <w:rsid w:val="00B22D1D"/>
    <w:rsid w:val="00B31BE2"/>
    <w:rsid w:val="00B35B7D"/>
    <w:rsid w:val="00B36445"/>
    <w:rsid w:val="00B4124B"/>
    <w:rsid w:val="00B42E96"/>
    <w:rsid w:val="00B50EE6"/>
    <w:rsid w:val="00B52185"/>
    <w:rsid w:val="00B76A1D"/>
    <w:rsid w:val="00B830E5"/>
    <w:rsid w:val="00B930EC"/>
    <w:rsid w:val="00B93B0E"/>
    <w:rsid w:val="00B9753A"/>
    <w:rsid w:val="00BB43CA"/>
    <w:rsid w:val="00BB479C"/>
    <w:rsid w:val="00BC422E"/>
    <w:rsid w:val="00BC4720"/>
    <w:rsid w:val="00BD75A2"/>
    <w:rsid w:val="00BE024B"/>
    <w:rsid w:val="00BE4979"/>
    <w:rsid w:val="00BF188B"/>
    <w:rsid w:val="00BF4986"/>
    <w:rsid w:val="00C0272B"/>
    <w:rsid w:val="00C2017A"/>
    <w:rsid w:val="00C2026B"/>
    <w:rsid w:val="00C20470"/>
    <w:rsid w:val="00C27250"/>
    <w:rsid w:val="00C34B2F"/>
    <w:rsid w:val="00C4641B"/>
    <w:rsid w:val="00C471AD"/>
    <w:rsid w:val="00C51549"/>
    <w:rsid w:val="00C51DEE"/>
    <w:rsid w:val="00C560B2"/>
    <w:rsid w:val="00C6690E"/>
    <w:rsid w:val="00C6768C"/>
    <w:rsid w:val="00C703C5"/>
    <w:rsid w:val="00C751BB"/>
    <w:rsid w:val="00C75410"/>
    <w:rsid w:val="00C77E63"/>
    <w:rsid w:val="00C805F2"/>
    <w:rsid w:val="00C86D10"/>
    <w:rsid w:val="00CC5E40"/>
    <w:rsid w:val="00CC62BC"/>
    <w:rsid w:val="00CD3F33"/>
    <w:rsid w:val="00CD75B8"/>
    <w:rsid w:val="00CE6013"/>
    <w:rsid w:val="00CF4F29"/>
    <w:rsid w:val="00CF7B9E"/>
    <w:rsid w:val="00D078A0"/>
    <w:rsid w:val="00D12F67"/>
    <w:rsid w:val="00D1569F"/>
    <w:rsid w:val="00D20B1E"/>
    <w:rsid w:val="00D22462"/>
    <w:rsid w:val="00D230AC"/>
    <w:rsid w:val="00D30B8A"/>
    <w:rsid w:val="00D32489"/>
    <w:rsid w:val="00D3349E"/>
    <w:rsid w:val="00D73CB8"/>
    <w:rsid w:val="00D7484B"/>
    <w:rsid w:val="00D878F1"/>
    <w:rsid w:val="00DA7591"/>
    <w:rsid w:val="00DC12AD"/>
    <w:rsid w:val="00DC60A1"/>
    <w:rsid w:val="00DD4FF3"/>
    <w:rsid w:val="00DF1753"/>
    <w:rsid w:val="00DF2809"/>
    <w:rsid w:val="00DF7F02"/>
    <w:rsid w:val="00E07AC7"/>
    <w:rsid w:val="00E12988"/>
    <w:rsid w:val="00E140B1"/>
    <w:rsid w:val="00E248E0"/>
    <w:rsid w:val="00E32798"/>
    <w:rsid w:val="00E46A0A"/>
    <w:rsid w:val="00E51C91"/>
    <w:rsid w:val="00E573C5"/>
    <w:rsid w:val="00E655BE"/>
    <w:rsid w:val="00E667C1"/>
    <w:rsid w:val="00E74357"/>
    <w:rsid w:val="00EA13DF"/>
    <w:rsid w:val="00EA446A"/>
    <w:rsid w:val="00EA5838"/>
    <w:rsid w:val="00EC3F88"/>
    <w:rsid w:val="00ED137D"/>
    <w:rsid w:val="00ED36D8"/>
    <w:rsid w:val="00EE31AF"/>
    <w:rsid w:val="00EE6A66"/>
    <w:rsid w:val="00EE6BD7"/>
    <w:rsid w:val="00EE6CFD"/>
    <w:rsid w:val="00F06347"/>
    <w:rsid w:val="00F0689D"/>
    <w:rsid w:val="00F13A53"/>
    <w:rsid w:val="00F64930"/>
    <w:rsid w:val="00F805B0"/>
    <w:rsid w:val="00F91F7A"/>
    <w:rsid w:val="00FA2DF6"/>
    <w:rsid w:val="00FB01B5"/>
    <w:rsid w:val="00FB5714"/>
    <w:rsid w:val="00FD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AEC2D7-9E11-4F7E-8C79-454271C9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48D8"/>
  </w:style>
  <w:style w:type="paragraph" w:styleId="Nadpis1">
    <w:name w:val="heading 1"/>
    <w:basedOn w:val="Normln"/>
    <w:next w:val="Normln"/>
    <w:link w:val="Nadpis1Char"/>
    <w:uiPriority w:val="7"/>
    <w:qFormat/>
    <w:rsid w:val="006048FE"/>
    <w:pPr>
      <w:keepNext/>
      <w:keepLines/>
      <w:numPr>
        <w:numId w:val="9"/>
      </w:numPr>
      <w:spacing w:before="160" w:after="0" w:line="293" w:lineRule="auto"/>
      <w:outlineLvl w:val="0"/>
    </w:pPr>
    <w:rPr>
      <w:rFonts w:ascii="Arial" w:eastAsiaTheme="majorEastAsia" w:hAnsi="Arial" w:cstheme="majorBidi"/>
      <w:b/>
      <w:color w:val="57B4EC" w:themeColor="background2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8FE"/>
    <w:pPr>
      <w:keepNext/>
      <w:keepLines/>
      <w:numPr>
        <w:numId w:val="10"/>
      </w:numPr>
      <w:spacing w:before="80" w:after="0" w:line="293" w:lineRule="auto"/>
      <w:outlineLvl w:val="1"/>
    </w:pPr>
    <w:rPr>
      <w:rFonts w:ascii="Arial" w:eastAsiaTheme="majorEastAsia" w:hAnsi="Arial" w:cstheme="majorBidi"/>
      <w:b/>
      <w:color w:val="57B4EC" w:themeColor="background2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4668"/>
    <w:pPr>
      <w:keepNext/>
      <w:keepLines/>
      <w:spacing w:before="40" w:after="0" w:line="293" w:lineRule="auto"/>
      <w:outlineLvl w:val="2"/>
    </w:pPr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6690E"/>
    <w:pPr>
      <w:keepNext/>
      <w:keepLines/>
      <w:spacing w:before="40" w:after="0" w:line="293" w:lineRule="auto"/>
      <w:outlineLvl w:val="3"/>
    </w:pPr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6690E"/>
    <w:pPr>
      <w:keepNext/>
      <w:keepLines/>
      <w:spacing w:before="40" w:after="0" w:line="293" w:lineRule="auto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6690E"/>
    <w:pPr>
      <w:keepNext/>
      <w:keepLines/>
      <w:spacing w:before="40" w:after="0" w:line="293" w:lineRule="auto"/>
      <w:outlineLvl w:val="5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6690E"/>
    <w:pPr>
      <w:keepNext/>
      <w:keepLines/>
      <w:spacing w:before="40" w:after="0" w:line="293" w:lineRule="auto"/>
      <w:outlineLvl w:val="6"/>
    </w:pPr>
    <w:rPr>
      <w:rFonts w:asciiTheme="majorHAnsi" w:eastAsiaTheme="majorEastAsia" w:hAnsiTheme="majorHAnsi" w:cstheme="majorBidi"/>
      <w:iCs/>
      <w:color w:val="000000" w:themeColor="text1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95C48"/>
    <w:pPr>
      <w:keepNext/>
      <w:keepLines/>
      <w:spacing w:before="40" w:after="0" w:line="293" w:lineRule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95C48"/>
    <w:pPr>
      <w:keepNext/>
      <w:keepLines/>
      <w:spacing w:before="40" w:after="0" w:line="293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,Fiche List Paragraph,Task Body,Viñetas (Inicio Parrafo),3 Txt tabla,Zerrenda-paragrafoa,Lista multicolor - Énfasis 11,Paragrafo elenco,Dot pt,F5 List Paragraph,List Paragraph1,No Spacing1"/>
    <w:basedOn w:val="Normln"/>
    <w:link w:val="OdstavecseseznamemChar"/>
    <w:uiPriority w:val="34"/>
    <w:unhideWhenUsed/>
    <w:qFormat/>
    <w:rsid w:val="009F7F46"/>
    <w:pPr>
      <w:spacing w:after="160" w:line="293" w:lineRule="auto"/>
      <w:ind w:left="720"/>
      <w:contextualSpacing/>
    </w:pPr>
    <w:rPr>
      <w:color w:val="000000" w:themeColor="text1"/>
    </w:r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6048FE"/>
    <w:rPr>
      <w:rFonts w:ascii="Arial" w:eastAsiaTheme="majorEastAsia" w:hAnsi="Arial" w:cstheme="majorBidi"/>
      <w:b/>
      <w:color w:val="57B4EC" w:themeColor="background2" w:themeShade="BF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6048FE"/>
    <w:rPr>
      <w:rFonts w:ascii="Arial" w:eastAsiaTheme="majorEastAsia" w:hAnsi="Arial" w:cstheme="majorBidi"/>
      <w:b/>
      <w:color w:val="57B4EC" w:themeColor="background2" w:themeShade="BF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 w:line="293" w:lineRule="auto"/>
      <w:ind w:left="357" w:right="357"/>
    </w:pPr>
    <w:rPr>
      <w:i/>
      <w:iCs/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 w:line="293" w:lineRule="auto"/>
    </w:pPr>
    <w:rPr>
      <w:color w:val="000000" w:themeColor="text1"/>
    </w:r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 w:line="293" w:lineRule="auto"/>
      <w:contextualSpacing/>
    </w:pPr>
    <w:rPr>
      <w:color w:val="000000" w:themeColor="text1"/>
    </w:r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 w:line="293" w:lineRule="auto"/>
      <w:contextualSpacing/>
    </w:pPr>
    <w:rPr>
      <w:color w:val="000000" w:themeColor="text1"/>
    </w:r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 w:line="293" w:lineRule="auto"/>
      <w:contextualSpacing/>
    </w:pPr>
    <w:rPr>
      <w:color w:val="000000" w:themeColor="text1"/>
    </w:r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 w:line="293" w:lineRule="auto"/>
      <w:contextualSpacing/>
    </w:pPr>
    <w:rPr>
      <w:color w:val="000000" w:themeColor="text1"/>
    </w:r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 w:line="293" w:lineRule="auto"/>
    </w:pPr>
    <w:rPr>
      <w:color w:val="000000" w:themeColor="text1"/>
    </w:r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 w:line="293" w:lineRule="auto"/>
    </w:pPr>
    <w:rPr>
      <w:color w:val="000000" w:themeColor="text1"/>
    </w:r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 w:line="293" w:lineRule="auto"/>
    </w:pPr>
    <w:rPr>
      <w:color w:val="000000" w:themeColor="text1"/>
    </w:r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 w:line="293" w:lineRule="auto"/>
    </w:pPr>
    <w:rPr>
      <w:color w:val="000000" w:themeColor="text1"/>
    </w:r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 w:line="293" w:lineRule="auto"/>
    </w:pPr>
    <w:rPr>
      <w:color w:val="000000" w:themeColor="text1"/>
    </w:r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 w:line="293" w:lineRule="auto"/>
      <w:contextualSpacing/>
    </w:pPr>
    <w:rPr>
      <w:color w:val="000000" w:themeColor="text1"/>
    </w:r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 w:line="293" w:lineRule="auto"/>
      <w:contextualSpacing/>
    </w:pPr>
    <w:rPr>
      <w:color w:val="000000" w:themeColor="text1"/>
    </w:r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 w:line="293" w:lineRule="auto"/>
    </w:pPr>
    <w:rPr>
      <w:color w:val="000000" w:themeColor="text1"/>
    </w:r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 w:line="293" w:lineRule="auto"/>
      <w:contextualSpacing/>
    </w:pPr>
    <w:rPr>
      <w:color w:val="000000" w:themeColor="text1"/>
    </w:r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 w:line="293" w:lineRule="auto"/>
      <w:contextualSpacing/>
    </w:pPr>
    <w:rPr>
      <w:color w:val="000000" w:themeColor="text1"/>
    </w:r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 w:line="293" w:lineRule="auto"/>
    </w:pPr>
    <w:rPr>
      <w:rFonts w:asciiTheme="majorHAnsi" w:hAnsiTheme="majorHAnsi"/>
      <w:b/>
      <w:color w:val="000000" w:themeColor="text1"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 w:line="293" w:lineRule="auto"/>
    </w:pPr>
    <w:rPr>
      <w:rFonts w:asciiTheme="majorHAnsi" w:hAnsiTheme="majorHAnsi"/>
      <w:b/>
      <w:color w:val="000000" w:themeColor="text1"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</w:pPr>
    <w:rPr>
      <w:rFonts w:asciiTheme="majorHAnsi" w:hAnsiTheme="majorHAnsi"/>
      <w:b/>
      <w:color w:val="000000" w:themeColor="text1"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</w:pPr>
    <w:rPr>
      <w:rFonts w:asciiTheme="majorHAnsi" w:hAnsiTheme="majorHAnsi"/>
      <w:i/>
      <w:color w:val="000000" w:themeColor="text1"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</w:pPr>
    <w:rPr>
      <w:rFonts w:asciiTheme="majorHAnsi" w:hAnsiTheme="majorHAnsi"/>
      <w:b/>
      <w:color w:val="000000" w:themeColor="text1"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 w:line="293" w:lineRule="auto"/>
    </w:pPr>
    <w:rPr>
      <w:rFonts w:asciiTheme="majorHAnsi" w:hAnsiTheme="majorHAnsi"/>
      <w:color w:val="000000" w:themeColor="text1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</w:pPr>
    <w:rPr>
      <w:rFonts w:asciiTheme="majorHAnsi" w:hAnsiTheme="majorHAnsi"/>
      <w:i/>
      <w:color w:val="000000" w:themeColor="text1"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</w:pPr>
    <w:rPr>
      <w:rFonts w:asciiTheme="majorHAnsi" w:hAnsiTheme="majorHAnsi"/>
      <w:b/>
      <w:color w:val="000000" w:themeColor="text1"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 w:line="293" w:lineRule="auto"/>
    </w:pPr>
    <w:rPr>
      <w:rFonts w:asciiTheme="majorHAnsi" w:hAnsiTheme="majorHAnsi"/>
      <w:i/>
      <w:color w:val="000000" w:themeColor="text1"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11"/>
    <w:qFormat/>
    <w:rsid w:val="008D4A32"/>
    <w:pPr>
      <w:numPr>
        <w:ilvl w:val="1"/>
      </w:numPr>
      <w:spacing w:after="160" w:line="293" w:lineRule="auto"/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 w:line="293" w:lineRule="auto"/>
    </w:pPr>
    <w:rPr>
      <w:color w:val="000000" w:themeColor="text1"/>
    </w:r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 w:line="293" w:lineRule="auto"/>
      <w:ind w:left="220"/>
    </w:pPr>
    <w:rPr>
      <w:color w:val="000000" w:themeColor="text1"/>
    </w:r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 w:line="293" w:lineRule="auto"/>
      <w:ind w:left="440"/>
    </w:pPr>
    <w:rPr>
      <w:color w:val="000000" w:themeColor="text1"/>
    </w:r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 w:line="293" w:lineRule="auto"/>
      <w:ind w:left="660"/>
    </w:pPr>
    <w:rPr>
      <w:color w:val="000000" w:themeColor="text1"/>
    </w:r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 w:line="293" w:lineRule="auto"/>
      <w:ind w:left="880"/>
    </w:pPr>
    <w:rPr>
      <w:color w:val="000000" w:themeColor="text1"/>
    </w:r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 w:line="293" w:lineRule="auto"/>
      <w:ind w:left="1100"/>
    </w:pPr>
    <w:rPr>
      <w:color w:val="000000" w:themeColor="text1"/>
    </w:r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 w:line="293" w:lineRule="auto"/>
      <w:ind w:left="1320"/>
    </w:pPr>
    <w:rPr>
      <w:color w:val="000000" w:themeColor="text1"/>
    </w:r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 w:line="293" w:lineRule="auto"/>
      <w:ind w:left="1540"/>
    </w:pPr>
    <w:rPr>
      <w:color w:val="000000" w:themeColor="text1"/>
    </w:r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 w:line="293" w:lineRule="auto"/>
      <w:ind w:left="1760"/>
    </w:pPr>
    <w:rPr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 w:after="160" w:line="293" w:lineRule="auto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39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  <w:pPr>
      <w:spacing w:after="160" w:line="293" w:lineRule="auto"/>
    </w:pPr>
    <w:rPr>
      <w:color w:val="000000" w:themeColor="text1"/>
    </w:rPr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spacing w:after="160" w:line="293" w:lineRule="auto"/>
      <w:ind w:left="357" w:right="357"/>
    </w:pPr>
    <w:rPr>
      <w:rFonts w:eastAsiaTheme="minorEastAsia"/>
      <w:i/>
      <w:iCs/>
      <w:color w:val="000000" w:themeColor="text1"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  <w:pPr>
      <w:spacing w:after="160" w:line="293" w:lineRule="auto"/>
    </w:pPr>
    <w:rPr>
      <w:color w:val="000000" w:themeColor="text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spacing w:after="160" w:line="293" w:lineRule="auto"/>
      <w:ind w:left="357"/>
    </w:pPr>
    <w:rPr>
      <w:color w:val="000000" w:themeColor="text1"/>
    </w:r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 w:line="293" w:lineRule="auto"/>
    </w:pPr>
    <w:rPr>
      <w:color w:val="000000" w:themeColor="text1"/>
    </w:r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 w:line="293" w:lineRule="auto"/>
    </w:pPr>
    <w:rPr>
      <w:color w:val="000000" w:themeColor="text1"/>
    </w:r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 w:line="293" w:lineRule="auto"/>
    </w:pPr>
    <w:rPr>
      <w:color w:val="000000" w:themeColor="text1"/>
    </w:r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 w:line="293" w:lineRule="auto"/>
    </w:pPr>
    <w:rPr>
      <w:color w:val="000000" w:themeColor="text1"/>
    </w:r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 w:line="293" w:lineRule="auto"/>
    </w:pPr>
    <w:rPr>
      <w:color w:val="000000" w:themeColor="text1"/>
    </w:rPr>
  </w:style>
  <w:style w:type="paragraph" w:styleId="Bezmezer">
    <w:name w:val="No Spacing"/>
    <w:link w:val="BezmezerChar"/>
    <w:uiPriority w:val="1"/>
    <w:qFormat/>
    <w:rsid w:val="0022531F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22531F"/>
    <w:rPr>
      <w:rFonts w:eastAsiaTheme="minorEastAsia"/>
      <w:lang w:eastAsia="cs-CZ"/>
    </w:rPr>
  </w:style>
  <w:style w:type="paragraph" w:styleId="Titulek">
    <w:name w:val="caption"/>
    <w:aliases w:val="~Caption"/>
    <w:basedOn w:val="Normln"/>
    <w:next w:val="Normln"/>
    <w:link w:val="TitulekChar"/>
    <w:uiPriority w:val="35"/>
    <w:unhideWhenUsed/>
    <w:qFormat/>
    <w:rsid w:val="00494AD8"/>
    <w:pPr>
      <w:spacing w:line="240" w:lineRule="auto"/>
    </w:pPr>
    <w:rPr>
      <w:i/>
      <w:iCs/>
      <w:color w:val="004B8D" w:themeColor="text2"/>
      <w:sz w:val="18"/>
      <w:szCs w:val="18"/>
    </w:rPr>
  </w:style>
  <w:style w:type="table" w:styleId="Mkatabulky">
    <w:name w:val="Table Grid"/>
    <w:basedOn w:val="Normlntabulka"/>
    <w:uiPriority w:val="59"/>
    <w:rsid w:val="00494AD8"/>
    <w:pPr>
      <w:spacing w:after="0" w:line="240" w:lineRule="auto"/>
    </w:pPr>
    <w:tblPr>
      <w:tblStyleRowBandSize w:val="1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  <w:tcPr>
      <w:shd w:val="clear" w:color="auto" w:fill="D9D9D9" w:themeFill="background1" w:themeFillShade="D9"/>
    </w:tcPr>
    <w:tblStylePr w:type="firstRow">
      <w:pPr>
        <w:jc w:val="center"/>
      </w:pPr>
      <w:rPr>
        <w:rFonts w:ascii="Arial" w:hAnsi="Arial"/>
        <w:sz w:val="22"/>
      </w:rPr>
      <w:tblPr/>
      <w:tcPr>
        <w:vAlign w:val="center"/>
      </w:tcPr>
    </w:tblStylePr>
    <w:tblStylePr w:type="lastRow">
      <w:tblPr/>
      <w:tcPr>
        <w:shd w:val="clear" w:color="auto" w:fill="6BB9FF" w:themeFill="text2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FFFFF" w:themeFill="background1"/>
      </w:tcPr>
    </w:tblStyle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494AD8"/>
    <w:pPr>
      <w:spacing w:after="0" w:line="240" w:lineRule="auto"/>
      <w:jc w:val="both"/>
    </w:pPr>
    <w:rPr>
      <w:rFonts w:ascii="Arial" w:eastAsia="Calibri" w:hAnsi="Arial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rsid w:val="00494AD8"/>
    <w:rPr>
      <w:rFonts w:ascii="Arial" w:eastAsia="Calibri" w:hAnsi="Arial"/>
      <w:sz w:val="20"/>
      <w:szCs w:val="20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Footnote Reference Number,Légende;Char Car Car Car Car"/>
    <w:basedOn w:val="Standardnpsmoodstavce"/>
    <w:uiPriority w:val="99"/>
    <w:unhideWhenUsed/>
    <w:rsid w:val="00494AD8"/>
    <w:rPr>
      <w:vertAlign w:val="superscript"/>
    </w:rPr>
  </w:style>
  <w:style w:type="character" w:customStyle="1" w:styleId="OdstavecseseznamemChar">
    <w:name w:val="Odstavec se seznamem Char"/>
    <w:aliases w:val="Nad Char,Odstavec_muj Char,Název grafu Char,nad 1 Char,Fiche List Paragraph Char,Task Body Char,Viñetas (Inicio Parrafo) Char,3 Txt tabla Char,Zerrenda-paragrafoa Char,Lista multicolor - Énfasis 11 Char,Paragrafo elenco Char"/>
    <w:link w:val="Odstavecseseznamem"/>
    <w:uiPriority w:val="34"/>
    <w:qFormat/>
    <w:locked/>
    <w:rsid w:val="00494AD8"/>
    <w:rPr>
      <w:color w:val="000000" w:themeColor="text1"/>
    </w:rPr>
  </w:style>
  <w:style w:type="character" w:customStyle="1" w:styleId="TitulekChar">
    <w:name w:val="Titulek Char"/>
    <w:aliases w:val="~Caption Char"/>
    <w:basedOn w:val="Standardnpsmoodstavce"/>
    <w:link w:val="Titulek"/>
    <w:uiPriority w:val="35"/>
    <w:rsid w:val="00A566F8"/>
    <w:rPr>
      <w:i/>
      <w:iCs/>
      <w:color w:val="004B8D" w:themeColor="text2"/>
      <w:sz w:val="18"/>
      <w:szCs w:val="18"/>
    </w:rPr>
  </w:style>
  <w:style w:type="table" w:styleId="Svtlseznam">
    <w:name w:val="Light List"/>
    <w:basedOn w:val="Normlntabulka"/>
    <w:uiPriority w:val="61"/>
    <w:rsid w:val="00A566F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2B19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19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19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19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193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1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193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CD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3F33"/>
  </w:style>
  <w:style w:type="paragraph" w:styleId="Zpat">
    <w:name w:val="footer"/>
    <w:basedOn w:val="Normln"/>
    <w:link w:val="ZpatChar"/>
    <w:uiPriority w:val="99"/>
    <w:unhideWhenUsed/>
    <w:rsid w:val="00CD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3F33"/>
  </w:style>
  <w:style w:type="paragraph" w:styleId="Seznamobrzk">
    <w:name w:val="table of figures"/>
    <w:basedOn w:val="Normln"/>
    <w:next w:val="Normln"/>
    <w:uiPriority w:val="99"/>
    <w:unhideWhenUsed/>
    <w:rsid w:val="009F770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trukturalni-fondy.cz/cs/Microsites/uzemni-dimenze/Aktuality/PRVNI-MESTA-A-AGLOMERACE-JSOU-PRIPRAVENE-CERPAT-EVROPSKE-DOTACE" TargetMode="External"/><Relationship Id="rId18" Type="http://schemas.openxmlformats.org/officeDocument/2006/relationships/image" Target="media/image4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hyperlink" Target="http://www.strukturalni-fondy.cz/cs/Microsites/uzemni-dimenze/Aktuality/PRVNI-MESTA-A-AGLOMERACE-JSOU-PRIPRAVENE-CERPAT-EVROPSKE-DOTACE" TargetMode="Externa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3D264.98FFCD60" TargetMode="External"/><Relationship Id="rId14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ilik\Desktop\implementace_RIS3_2015_20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ilik\Desktop\implementace_RIS3_2015_201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ilik\Desktop\implementace_RIS3_2015_201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ilik\Desktop\implementace_RIS3_2015_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pivotSource>
    <c:name>[implementace_RIS3_2015_2018.xlsx]2017!Kontingenční tabulka 3</c:name>
    <c:fmtId val="-1"/>
  </c:pivotSource>
  <c:chart>
    <c:autoTitleDeleted val="0"/>
    <c:pivotFmts>
      <c:pivotFmt>
        <c:idx val="0"/>
      </c:pivotFmt>
      <c:pivotFmt>
        <c:idx val="1"/>
      </c:pivotFmt>
      <c:pivotFmt>
        <c:idx val="2"/>
      </c:pivotFmt>
      <c:pivotFmt>
        <c:idx val="3"/>
      </c:pivotFmt>
      <c:pivotFmt>
        <c:idx val="4"/>
      </c:pivotFmt>
      <c:pivotFmt>
        <c:idx val="5"/>
      </c:pivotFmt>
      <c:pivotFmt>
        <c:idx val="6"/>
      </c:pivotFmt>
      <c:pivotFmt>
        <c:idx val="7"/>
      </c:pivotFmt>
      <c:pivotFmt>
        <c:idx val="8"/>
      </c:pivotFmt>
      <c:pivotFmt>
        <c:idx val="9"/>
      </c:pivotFmt>
      <c:pivotFmt>
        <c:idx val="10"/>
      </c:pivotFmt>
      <c:pivotFmt>
        <c:idx val="11"/>
      </c:pivotFmt>
      <c:pivotFmt>
        <c:idx val="12"/>
      </c:pivotFmt>
      <c:pivotFmt>
        <c:idx val="13"/>
      </c:pivotFmt>
      <c:pivotFmt>
        <c:idx val="14"/>
      </c:pivotFmt>
      <c:pivotFmt>
        <c:idx val="15"/>
      </c:pivotFmt>
      <c:pivotFmt>
        <c:idx val="16"/>
      </c:pivotFmt>
      <c:pivotFmt>
        <c:idx val="17"/>
        <c:marker>
          <c:symbol val="none"/>
        </c:marker>
      </c:pivotFmt>
      <c:pivotFmt>
        <c:idx val="18"/>
        <c:marker>
          <c:symbol val="none"/>
        </c:marker>
      </c:pivotFmt>
      <c:pivotFmt>
        <c:idx val="19"/>
        <c:marker>
          <c:symbol val="none"/>
        </c:marker>
      </c:pivotFmt>
      <c:pivotFmt>
        <c:idx val="20"/>
        <c:marker>
          <c:symbol val="none"/>
        </c:marker>
      </c:pivotFmt>
      <c:pivotFmt>
        <c:idx val="21"/>
        <c:marker>
          <c:symbol val="none"/>
        </c:marker>
      </c:pivotFmt>
      <c:pivotFmt>
        <c:idx val="22"/>
        <c:marker>
          <c:symbol val="none"/>
        </c:marker>
      </c:pivotFmt>
      <c:pivotFmt>
        <c:idx val="23"/>
        <c:marker>
          <c:symbol val="none"/>
        </c:marker>
      </c:pivotFmt>
      <c:pivotFmt>
        <c:idx val="24"/>
        <c:marker>
          <c:symbol val="none"/>
        </c:marker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'2017'!$E$3</c:f>
              <c:strCache>
                <c:ptCount val="1"/>
                <c:pt idx="0">
                  <c:v>CZV - projekty s vydaným právním aktem o poskytnutí podpory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'2017'!$A$4:$D$26</c:f>
              <c:multiLvlStrCache>
                <c:ptCount val="22"/>
                <c:lvl>
                  <c:pt idx="0">
                    <c:v>26 - Zvyšování kvality a efektivity fungování vědeckotechnických parků, včetně inkubátorů</c:v>
                  </c:pt>
                  <c:pt idx="1">
                    <c:v>POTENCIÁL - III. VÝZVA</c:v>
                  </c:pt>
                  <c:pt idx="2">
                    <c:v>INOVACE - Inovační projekt - Výzva III</c:v>
                  </c:pt>
                  <c:pt idx="3">
                    <c:v>APLIKACE III. </c:v>
                  </c:pt>
                  <c:pt idx="4">
                    <c:v>SLUŽBY INFRASTRUKTURY - III. VÝZVA </c:v>
                  </c:pt>
                  <c:pt idx="5">
                    <c:v>Předaplikační výzkum</c:v>
                  </c:pt>
                  <c:pt idx="6">
                    <c:v>SPOLUPRÁCE - TECHNOLOGICKÉ PLATFORMY - II. VÝZVA</c:v>
                  </c:pt>
                  <c:pt idx="7">
                    <c:v>Výzva pro VOŠ</c:v>
                  </c:pt>
                  <c:pt idx="8">
                    <c:v>Vysokorychlostní internet I.</c:v>
                  </c:pt>
                  <c:pt idx="9">
                    <c:v>Implementace Krajských akčních plánů I</c:v>
                  </c:pt>
                  <c:pt idx="10">
                    <c:v>Mezinárodní mobilita výzkumných pracovníků</c:v>
                  </c:pt>
                  <c:pt idx="11">
                    <c:v>Mezinárodní mobilita výzkumných pracovníků - MSCA-IF</c:v>
                  </c:pt>
                  <c:pt idx="12">
                    <c:v>Inovační vouchery - II. výzva</c:v>
                  </c:pt>
                  <c:pt idx="13">
                    <c:v>Dlouhodobá mezisektorová spolupráce</c:v>
                  </c:pt>
                  <c:pt idx="14">
                    <c:v>Inovace IV.</c:v>
                  </c:pt>
                  <c:pt idx="15">
                    <c:v>Partnerství znalostního transferu III. </c:v>
                  </c:pt>
                  <c:pt idx="16">
                    <c:v>Spolupráce IV. – Klastry</c:v>
                  </c:pt>
                  <c:pt idx="17">
                    <c:v>POTENCIÁL IV. VÝZVA</c:v>
                  </c:pt>
                  <c:pt idx="18">
                    <c:v>Aplikace IV.</c:v>
                  </c:pt>
                  <c:pt idx="19">
                    <c:v>Služby Infrastruktury IV. </c:v>
                  </c:pt>
                  <c:pt idx="20">
                    <c:v>Místní akční plány rozvoje vzdělávání II</c:v>
                  </c:pt>
                  <c:pt idx="21">
                    <c:v>Teaming II.</c:v>
                  </c:pt>
                </c:lvl>
                <c:lvl>
                  <c:pt idx="0">
                    <c:v>OPPPR</c:v>
                  </c:pt>
                  <c:pt idx="1">
                    <c:v>OPPIK</c:v>
                  </c:pt>
                  <c:pt idx="2">
                    <c:v>OPPIK</c:v>
                  </c:pt>
                  <c:pt idx="3">
                    <c:v>OPPIK</c:v>
                  </c:pt>
                  <c:pt idx="4">
                    <c:v>OPPIK</c:v>
                  </c:pt>
                  <c:pt idx="5">
                    <c:v>OPVVV</c:v>
                  </c:pt>
                  <c:pt idx="6">
                    <c:v>OPPIK</c:v>
                  </c:pt>
                  <c:pt idx="7">
                    <c:v>OPVVV</c:v>
                  </c:pt>
                  <c:pt idx="8">
                    <c:v>OPPIK</c:v>
                  </c:pt>
                  <c:pt idx="9">
                    <c:v>OPVVV</c:v>
                  </c:pt>
                  <c:pt idx="10">
                    <c:v>OPVVV</c:v>
                  </c:pt>
                  <c:pt idx="11">
                    <c:v>OPVVV</c:v>
                  </c:pt>
                  <c:pt idx="12">
                    <c:v>OPPIK</c:v>
                  </c:pt>
                  <c:pt idx="13">
                    <c:v>OPVVV</c:v>
                  </c:pt>
                  <c:pt idx="14">
                    <c:v>OPPIK</c:v>
                  </c:pt>
                  <c:pt idx="15">
                    <c:v>OPPIK</c:v>
                  </c:pt>
                  <c:pt idx="16">
                    <c:v>OPPIK</c:v>
                  </c:pt>
                  <c:pt idx="17">
                    <c:v>OPPIK</c:v>
                  </c:pt>
                  <c:pt idx="18">
                    <c:v>OPPIK</c:v>
                  </c:pt>
                  <c:pt idx="19">
                    <c:v>OPPIK</c:v>
                  </c:pt>
                  <c:pt idx="20">
                    <c:v>OPVVV</c:v>
                  </c:pt>
                  <c:pt idx="21">
                    <c:v>OPVVV</c:v>
                  </c:pt>
                </c:lvl>
                <c:lvl>
                  <c:pt idx="0">
                    <c:v>31.5.2017</c:v>
                  </c:pt>
                  <c:pt idx="1">
                    <c:v>17.4.2017</c:v>
                  </c:pt>
                  <c:pt idx="2">
                    <c:v>18.4.2017</c:v>
                  </c:pt>
                  <c:pt idx="3">
                    <c:v>20.4.2017</c:v>
                  </c:pt>
                  <c:pt idx="4">
                    <c:v>28.4.2017</c:v>
                  </c:pt>
                  <c:pt idx="5">
                    <c:v>20.6.2017</c:v>
                  </c:pt>
                  <c:pt idx="6">
                    <c:v>1.6.2017</c:v>
                  </c:pt>
                  <c:pt idx="7">
                    <c:v>14.9.2017</c:v>
                  </c:pt>
                  <c:pt idx="8">
                    <c:v>26.9.2017</c:v>
                  </c:pt>
                  <c:pt idx="9">
                    <c:v>28.2.2018</c:v>
                  </c:pt>
                  <c:pt idx="10">
                    <c:v>31.12.2017</c:v>
                  </c:pt>
                  <c:pt idx="11">
                    <c:v>31.12.2017</c:v>
                  </c:pt>
                  <c:pt idx="12">
                    <c:v>31.12.2017</c:v>
                  </c:pt>
                  <c:pt idx="13">
                    <c:v>15.11.2017</c:v>
                  </c:pt>
                  <c:pt idx="14">
                    <c:v>12.11.2017</c:v>
                  </c:pt>
                  <c:pt idx="15">
                    <c:v>13.10.2017</c:v>
                  </c:pt>
                  <c:pt idx="16">
                    <c:v>20.10.2017</c:v>
                  </c:pt>
                  <c:pt idx="17">
                    <c:v>30.11.2017</c:v>
                  </c:pt>
                  <c:pt idx="18">
                    <c:v>30.11.2017</c:v>
                  </c:pt>
                  <c:pt idx="19">
                    <c:v>22.12.2017</c:v>
                  </c:pt>
                  <c:pt idx="20">
                    <c:v>31.10.2018</c:v>
                  </c:pt>
                  <c:pt idx="21">
                    <c:v>15.11.2018</c:v>
                  </c:pt>
                </c:lvl>
                <c:lvl>
                  <c:pt idx="0">
                    <c:v>9.1.2017</c:v>
                  </c:pt>
                  <c:pt idx="1">
                    <c:v>16.1.2017</c:v>
                  </c:pt>
                  <c:pt idx="2">
                    <c:v>18.1.2017</c:v>
                  </c:pt>
                  <c:pt idx="3">
                    <c:v>20.1.2017</c:v>
                  </c:pt>
                  <c:pt idx="4">
                    <c:v>1.2.2017</c:v>
                  </c:pt>
                  <c:pt idx="5">
                    <c:v>2.2.2017</c:v>
                  </c:pt>
                  <c:pt idx="6">
                    <c:v>1.3.2017</c:v>
                  </c:pt>
                  <c:pt idx="7">
                    <c:v>11.4.2017</c:v>
                  </c:pt>
                  <c:pt idx="8">
                    <c:v>26.4.2017</c:v>
                  </c:pt>
                  <c:pt idx="9">
                    <c:v>12.6.2017</c:v>
                  </c:pt>
                  <c:pt idx="10">
                    <c:v>30.6.2017</c:v>
                  </c:pt>
                  <c:pt idx="11">
                    <c:v>4.7.2017</c:v>
                  </c:pt>
                  <c:pt idx="12">
                    <c:v>10.7.2017</c:v>
                  </c:pt>
                  <c:pt idx="13">
                    <c:v>11.7.2017</c:v>
                  </c:pt>
                  <c:pt idx="14">
                    <c:v>12.7.2017</c:v>
                  </c:pt>
                  <c:pt idx="15">
                    <c:v>14.7.2017</c:v>
                  </c:pt>
                  <c:pt idx="17">
                    <c:v>20.7.2017</c:v>
                  </c:pt>
                  <c:pt idx="18">
                    <c:v>3.8.2017</c:v>
                  </c:pt>
                  <c:pt idx="19">
                    <c:v>7.9.2017</c:v>
                  </c:pt>
                  <c:pt idx="20">
                    <c:v>15.11.2017</c:v>
                  </c:pt>
                  <c:pt idx="21">
                    <c:v>22.11.2017</c:v>
                  </c:pt>
                </c:lvl>
              </c:multiLvlStrCache>
            </c:multiLvlStrRef>
          </c:cat>
          <c:val>
            <c:numRef>
              <c:f>'2017'!$E$4:$E$26</c:f>
              <c:numCache>
                <c:formatCode>0.00,,,</c:formatCode>
                <c:ptCount val="22"/>
                <c:pt idx="1">
                  <c:v>1983478850</c:v>
                </c:pt>
                <c:pt idx="2">
                  <c:v>7008232491</c:v>
                </c:pt>
              </c:numCache>
            </c:numRef>
          </c:val>
        </c:ser>
        <c:ser>
          <c:idx val="1"/>
          <c:order val="1"/>
          <c:tx>
            <c:strRef>
              <c:f>'2017'!$F$3</c:f>
              <c:strCache>
                <c:ptCount val="1"/>
                <c:pt idx="0">
                  <c:v>Podpora EU - projekty s vydaným právním aktem o poskytnutí podpory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'2017'!$A$4:$D$26</c:f>
              <c:multiLvlStrCache>
                <c:ptCount val="22"/>
                <c:lvl>
                  <c:pt idx="0">
                    <c:v>26 - Zvyšování kvality a efektivity fungování vědeckotechnických parků, včetně inkubátorů</c:v>
                  </c:pt>
                  <c:pt idx="1">
                    <c:v>POTENCIÁL - III. VÝZVA</c:v>
                  </c:pt>
                  <c:pt idx="2">
                    <c:v>INOVACE - Inovační projekt - Výzva III</c:v>
                  </c:pt>
                  <c:pt idx="3">
                    <c:v>APLIKACE III. </c:v>
                  </c:pt>
                  <c:pt idx="4">
                    <c:v>SLUŽBY INFRASTRUKTURY - III. VÝZVA </c:v>
                  </c:pt>
                  <c:pt idx="5">
                    <c:v>Předaplikační výzkum</c:v>
                  </c:pt>
                  <c:pt idx="6">
                    <c:v>SPOLUPRÁCE - TECHNOLOGICKÉ PLATFORMY - II. VÝZVA</c:v>
                  </c:pt>
                  <c:pt idx="7">
                    <c:v>Výzva pro VOŠ</c:v>
                  </c:pt>
                  <c:pt idx="8">
                    <c:v>Vysokorychlostní internet I.</c:v>
                  </c:pt>
                  <c:pt idx="9">
                    <c:v>Implementace Krajských akčních plánů I</c:v>
                  </c:pt>
                  <c:pt idx="10">
                    <c:v>Mezinárodní mobilita výzkumných pracovníků</c:v>
                  </c:pt>
                  <c:pt idx="11">
                    <c:v>Mezinárodní mobilita výzkumných pracovníků - MSCA-IF</c:v>
                  </c:pt>
                  <c:pt idx="12">
                    <c:v>Inovační vouchery - II. výzva</c:v>
                  </c:pt>
                  <c:pt idx="13">
                    <c:v>Dlouhodobá mezisektorová spolupráce</c:v>
                  </c:pt>
                  <c:pt idx="14">
                    <c:v>Inovace IV.</c:v>
                  </c:pt>
                  <c:pt idx="15">
                    <c:v>Partnerství znalostního transferu III. </c:v>
                  </c:pt>
                  <c:pt idx="16">
                    <c:v>Spolupráce IV. – Klastry</c:v>
                  </c:pt>
                  <c:pt idx="17">
                    <c:v>POTENCIÁL IV. VÝZVA</c:v>
                  </c:pt>
                  <c:pt idx="18">
                    <c:v>Aplikace IV.</c:v>
                  </c:pt>
                  <c:pt idx="19">
                    <c:v>Služby Infrastruktury IV. </c:v>
                  </c:pt>
                  <c:pt idx="20">
                    <c:v>Místní akční plány rozvoje vzdělávání II</c:v>
                  </c:pt>
                  <c:pt idx="21">
                    <c:v>Teaming II.</c:v>
                  </c:pt>
                </c:lvl>
                <c:lvl>
                  <c:pt idx="0">
                    <c:v>OPPPR</c:v>
                  </c:pt>
                  <c:pt idx="1">
                    <c:v>OPPIK</c:v>
                  </c:pt>
                  <c:pt idx="2">
                    <c:v>OPPIK</c:v>
                  </c:pt>
                  <c:pt idx="3">
                    <c:v>OPPIK</c:v>
                  </c:pt>
                  <c:pt idx="4">
                    <c:v>OPPIK</c:v>
                  </c:pt>
                  <c:pt idx="5">
                    <c:v>OPVVV</c:v>
                  </c:pt>
                  <c:pt idx="6">
                    <c:v>OPPIK</c:v>
                  </c:pt>
                  <c:pt idx="7">
                    <c:v>OPVVV</c:v>
                  </c:pt>
                  <c:pt idx="8">
                    <c:v>OPPIK</c:v>
                  </c:pt>
                  <c:pt idx="9">
                    <c:v>OPVVV</c:v>
                  </c:pt>
                  <c:pt idx="10">
                    <c:v>OPVVV</c:v>
                  </c:pt>
                  <c:pt idx="11">
                    <c:v>OPVVV</c:v>
                  </c:pt>
                  <c:pt idx="12">
                    <c:v>OPPIK</c:v>
                  </c:pt>
                  <c:pt idx="13">
                    <c:v>OPVVV</c:v>
                  </c:pt>
                  <c:pt idx="14">
                    <c:v>OPPIK</c:v>
                  </c:pt>
                  <c:pt idx="15">
                    <c:v>OPPIK</c:v>
                  </c:pt>
                  <c:pt idx="16">
                    <c:v>OPPIK</c:v>
                  </c:pt>
                  <c:pt idx="17">
                    <c:v>OPPIK</c:v>
                  </c:pt>
                  <c:pt idx="18">
                    <c:v>OPPIK</c:v>
                  </c:pt>
                  <c:pt idx="19">
                    <c:v>OPPIK</c:v>
                  </c:pt>
                  <c:pt idx="20">
                    <c:v>OPVVV</c:v>
                  </c:pt>
                  <c:pt idx="21">
                    <c:v>OPVVV</c:v>
                  </c:pt>
                </c:lvl>
                <c:lvl>
                  <c:pt idx="0">
                    <c:v>31.5.2017</c:v>
                  </c:pt>
                  <c:pt idx="1">
                    <c:v>17.4.2017</c:v>
                  </c:pt>
                  <c:pt idx="2">
                    <c:v>18.4.2017</c:v>
                  </c:pt>
                  <c:pt idx="3">
                    <c:v>20.4.2017</c:v>
                  </c:pt>
                  <c:pt idx="4">
                    <c:v>28.4.2017</c:v>
                  </c:pt>
                  <c:pt idx="5">
                    <c:v>20.6.2017</c:v>
                  </c:pt>
                  <c:pt idx="6">
                    <c:v>1.6.2017</c:v>
                  </c:pt>
                  <c:pt idx="7">
                    <c:v>14.9.2017</c:v>
                  </c:pt>
                  <c:pt idx="8">
                    <c:v>26.9.2017</c:v>
                  </c:pt>
                  <c:pt idx="9">
                    <c:v>28.2.2018</c:v>
                  </c:pt>
                  <c:pt idx="10">
                    <c:v>31.12.2017</c:v>
                  </c:pt>
                  <c:pt idx="11">
                    <c:v>31.12.2017</c:v>
                  </c:pt>
                  <c:pt idx="12">
                    <c:v>31.12.2017</c:v>
                  </c:pt>
                  <c:pt idx="13">
                    <c:v>15.11.2017</c:v>
                  </c:pt>
                  <c:pt idx="14">
                    <c:v>12.11.2017</c:v>
                  </c:pt>
                  <c:pt idx="15">
                    <c:v>13.10.2017</c:v>
                  </c:pt>
                  <c:pt idx="16">
                    <c:v>20.10.2017</c:v>
                  </c:pt>
                  <c:pt idx="17">
                    <c:v>30.11.2017</c:v>
                  </c:pt>
                  <c:pt idx="18">
                    <c:v>30.11.2017</c:v>
                  </c:pt>
                  <c:pt idx="19">
                    <c:v>22.12.2017</c:v>
                  </c:pt>
                  <c:pt idx="20">
                    <c:v>31.10.2018</c:v>
                  </c:pt>
                  <c:pt idx="21">
                    <c:v>15.11.2018</c:v>
                  </c:pt>
                </c:lvl>
                <c:lvl>
                  <c:pt idx="0">
                    <c:v>9.1.2017</c:v>
                  </c:pt>
                  <c:pt idx="1">
                    <c:v>16.1.2017</c:v>
                  </c:pt>
                  <c:pt idx="2">
                    <c:v>18.1.2017</c:v>
                  </c:pt>
                  <c:pt idx="3">
                    <c:v>20.1.2017</c:v>
                  </c:pt>
                  <c:pt idx="4">
                    <c:v>1.2.2017</c:v>
                  </c:pt>
                  <c:pt idx="5">
                    <c:v>2.2.2017</c:v>
                  </c:pt>
                  <c:pt idx="6">
                    <c:v>1.3.2017</c:v>
                  </c:pt>
                  <c:pt idx="7">
                    <c:v>11.4.2017</c:v>
                  </c:pt>
                  <c:pt idx="8">
                    <c:v>26.4.2017</c:v>
                  </c:pt>
                  <c:pt idx="9">
                    <c:v>12.6.2017</c:v>
                  </c:pt>
                  <c:pt idx="10">
                    <c:v>30.6.2017</c:v>
                  </c:pt>
                  <c:pt idx="11">
                    <c:v>4.7.2017</c:v>
                  </c:pt>
                  <c:pt idx="12">
                    <c:v>10.7.2017</c:v>
                  </c:pt>
                  <c:pt idx="13">
                    <c:v>11.7.2017</c:v>
                  </c:pt>
                  <c:pt idx="14">
                    <c:v>12.7.2017</c:v>
                  </c:pt>
                  <c:pt idx="15">
                    <c:v>14.7.2017</c:v>
                  </c:pt>
                  <c:pt idx="17">
                    <c:v>20.7.2017</c:v>
                  </c:pt>
                  <c:pt idx="18">
                    <c:v>3.8.2017</c:v>
                  </c:pt>
                  <c:pt idx="19">
                    <c:v>7.9.2017</c:v>
                  </c:pt>
                  <c:pt idx="20">
                    <c:v>15.11.2017</c:v>
                  </c:pt>
                  <c:pt idx="21">
                    <c:v>22.11.2017</c:v>
                  </c:pt>
                </c:lvl>
              </c:multiLvlStrCache>
            </c:multiLvlStrRef>
          </c:cat>
          <c:val>
            <c:numRef>
              <c:f>'2017'!$F$4:$F$26</c:f>
              <c:numCache>
                <c:formatCode>0.00,,,</c:formatCode>
                <c:ptCount val="22"/>
                <c:pt idx="1">
                  <c:v>991739424.97000003</c:v>
                </c:pt>
                <c:pt idx="2">
                  <c:v>2216233136.1599998</c:v>
                </c:pt>
              </c:numCache>
            </c:numRef>
          </c:val>
        </c:ser>
        <c:ser>
          <c:idx val="2"/>
          <c:order val="2"/>
          <c:tx>
            <c:strRef>
              <c:f>'2017'!$G$3</c:f>
              <c:strCache>
                <c:ptCount val="1"/>
                <c:pt idx="0">
                  <c:v>Alokace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'2017'!$A$4:$D$26</c:f>
              <c:multiLvlStrCache>
                <c:ptCount val="22"/>
                <c:lvl>
                  <c:pt idx="0">
                    <c:v>26 - Zvyšování kvality a efektivity fungování vědeckotechnických parků, včetně inkubátorů</c:v>
                  </c:pt>
                  <c:pt idx="1">
                    <c:v>POTENCIÁL - III. VÝZVA</c:v>
                  </c:pt>
                  <c:pt idx="2">
                    <c:v>INOVACE - Inovační projekt - Výzva III</c:v>
                  </c:pt>
                  <c:pt idx="3">
                    <c:v>APLIKACE III. </c:v>
                  </c:pt>
                  <c:pt idx="4">
                    <c:v>SLUŽBY INFRASTRUKTURY - III. VÝZVA </c:v>
                  </c:pt>
                  <c:pt idx="5">
                    <c:v>Předaplikační výzkum</c:v>
                  </c:pt>
                  <c:pt idx="6">
                    <c:v>SPOLUPRÁCE - TECHNOLOGICKÉ PLATFORMY - II. VÝZVA</c:v>
                  </c:pt>
                  <c:pt idx="7">
                    <c:v>Výzva pro VOŠ</c:v>
                  </c:pt>
                  <c:pt idx="8">
                    <c:v>Vysokorychlostní internet I.</c:v>
                  </c:pt>
                  <c:pt idx="9">
                    <c:v>Implementace Krajských akčních plánů I</c:v>
                  </c:pt>
                  <c:pt idx="10">
                    <c:v>Mezinárodní mobilita výzkumných pracovníků</c:v>
                  </c:pt>
                  <c:pt idx="11">
                    <c:v>Mezinárodní mobilita výzkumných pracovníků - MSCA-IF</c:v>
                  </c:pt>
                  <c:pt idx="12">
                    <c:v>Inovační vouchery - II. výzva</c:v>
                  </c:pt>
                  <c:pt idx="13">
                    <c:v>Dlouhodobá mezisektorová spolupráce</c:v>
                  </c:pt>
                  <c:pt idx="14">
                    <c:v>Inovace IV.</c:v>
                  </c:pt>
                  <c:pt idx="15">
                    <c:v>Partnerství znalostního transferu III. </c:v>
                  </c:pt>
                  <c:pt idx="16">
                    <c:v>Spolupráce IV. – Klastry</c:v>
                  </c:pt>
                  <c:pt idx="17">
                    <c:v>POTENCIÁL IV. VÝZVA</c:v>
                  </c:pt>
                  <c:pt idx="18">
                    <c:v>Aplikace IV.</c:v>
                  </c:pt>
                  <c:pt idx="19">
                    <c:v>Služby Infrastruktury IV. </c:v>
                  </c:pt>
                  <c:pt idx="20">
                    <c:v>Místní akční plány rozvoje vzdělávání II</c:v>
                  </c:pt>
                  <c:pt idx="21">
                    <c:v>Teaming II.</c:v>
                  </c:pt>
                </c:lvl>
                <c:lvl>
                  <c:pt idx="0">
                    <c:v>OPPPR</c:v>
                  </c:pt>
                  <c:pt idx="1">
                    <c:v>OPPIK</c:v>
                  </c:pt>
                  <c:pt idx="2">
                    <c:v>OPPIK</c:v>
                  </c:pt>
                  <c:pt idx="3">
                    <c:v>OPPIK</c:v>
                  </c:pt>
                  <c:pt idx="4">
                    <c:v>OPPIK</c:v>
                  </c:pt>
                  <c:pt idx="5">
                    <c:v>OPVVV</c:v>
                  </c:pt>
                  <c:pt idx="6">
                    <c:v>OPPIK</c:v>
                  </c:pt>
                  <c:pt idx="7">
                    <c:v>OPVVV</c:v>
                  </c:pt>
                  <c:pt idx="8">
                    <c:v>OPPIK</c:v>
                  </c:pt>
                  <c:pt idx="9">
                    <c:v>OPVVV</c:v>
                  </c:pt>
                  <c:pt idx="10">
                    <c:v>OPVVV</c:v>
                  </c:pt>
                  <c:pt idx="11">
                    <c:v>OPVVV</c:v>
                  </c:pt>
                  <c:pt idx="12">
                    <c:v>OPPIK</c:v>
                  </c:pt>
                  <c:pt idx="13">
                    <c:v>OPVVV</c:v>
                  </c:pt>
                  <c:pt idx="14">
                    <c:v>OPPIK</c:v>
                  </c:pt>
                  <c:pt idx="15">
                    <c:v>OPPIK</c:v>
                  </c:pt>
                  <c:pt idx="16">
                    <c:v>OPPIK</c:v>
                  </c:pt>
                  <c:pt idx="17">
                    <c:v>OPPIK</c:v>
                  </c:pt>
                  <c:pt idx="18">
                    <c:v>OPPIK</c:v>
                  </c:pt>
                  <c:pt idx="19">
                    <c:v>OPPIK</c:v>
                  </c:pt>
                  <c:pt idx="20">
                    <c:v>OPVVV</c:v>
                  </c:pt>
                  <c:pt idx="21">
                    <c:v>OPVVV</c:v>
                  </c:pt>
                </c:lvl>
                <c:lvl>
                  <c:pt idx="0">
                    <c:v>31.5.2017</c:v>
                  </c:pt>
                  <c:pt idx="1">
                    <c:v>17.4.2017</c:v>
                  </c:pt>
                  <c:pt idx="2">
                    <c:v>18.4.2017</c:v>
                  </c:pt>
                  <c:pt idx="3">
                    <c:v>20.4.2017</c:v>
                  </c:pt>
                  <c:pt idx="4">
                    <c:v>28.4.2017</c:v>
                  </c:pt>
                  <c:pt idx="5">
                    <c:v>20.6.2017</c:v>
                  </c:pt>
                  <c:pt idx="6">
                    <c:v>1.6.2017</c:v>
                  </c:pt>
                  <c:pt idx="7">
                    <c:v>14.9.2017</c:v>
                  </c:pt>
                  <c:pt idx="8">
                    <c:v>26.9.2017</c:v>
                  </c:pt>
                  <c:pt idx="9">
                    <c:v>28.2.2018</c:v>
                  </c:pt>
                  <c:pt idx="10">
                    <c:v>31.12.2017</c:v>
                  </c:pt>
                  <c:pt idx="11">
                    <c:v>31.12.2017</c:v>
                  </c:pt>
                  <c:pt idx="12">
                    <c:v>31.12.2017</c:v>
                  </c:pt>
                  <c:pt idx="13">
                    <c:v>15.11.2017</c:v>
                  </c:pt>
                  <c:pt idx="14">
                    <c:v>12.11.2017</c:v>
                  </c:pt>
                  <c:pt idx="15">
                    <c:v>13.10.2017</c:v>
                  </c:pt>
                  <c:pt idx="16">
                    <c:v>20.10.2017</c:v>
                  </c:pt>
                  <c:pt idx="17">
                    <c:v>30.11.2017</c:v>
                  </c:pt>
                  <c:pt idx="18">
                    <c:v>30.11.2017</c:v>
                  </c:pt>
                  <c:pt idx="19">
                    <c:v>22.12.2017</c:v>
                  </c:pt>
                  <c:pt idx="20">
                    <c:v>31.10.2018</c:v>
                  </c:pt>
                  <c:pt idx="21">
                    <c:v>15.11.2018</c:v>
                  </c:pt>
                </c:lvl>
                <c:lvl>
                  <c:pt idx="0">
                    <c:v>9.1.2017</c:v>
                  </c:pt>
                  <c:pt idx="1">
                    <c:v>16.1.2017</c:v>
                  </c:pt>
                  <c:pt idx="2">
                    <c:v>18.1.2017</c:v>
                  </c:pt>
                  <c:pt idx="3">
                    <c:v>20.1.2017</c:v>
                  </c:pt>
                  <c:pt idx="4">
                    <c:v>1.2.2017</c:v>
                  </c:pt>
                  <c:pt idx="5">
                    <c:v>2.2.2017</c:v>
                  </c:pt>
                  <c:pt idx="6">
                    <c:v>1.3.2017</c:v>
                  </c:pt>
                  <c:pt idx="7">
                    <c:v>11.4.2017</c:v>
                  </c:pt>
                  <c:pt idx="8">
                    <c:v>26.4.2017</c:v>
                  </c:pt>
                  <c:pt idx="9">
                    <c:v>12.6.2017</c:v>
                  </c:pt>
                  <c:pt idx="10">
                    <c:v>30.6.2017</c:v>
                  </c:pt>
                  <c:pt idx="11">
                    <c:v>4.7.2017</c:v>
                  </c:pt>
                  <c:pt idx="12">
                    <c:v>10.7.2017</c:v>
                  </c:pt>
                  <c:pt idx="13">
                    <c:v>11.7.2017</c:v>
                  </c:pt>
                  <c:pt idx="14">
                    <c:v>12.7.2017</c:v>
                  </c:pt>
                  <c:pt idx="15">
                    <c:v>14.7.2017</c:v>
                  </c:pt>
                  <c:pt idx="17">
                    <c:v>20.7.2017</c:v>
                  </c:pt>
                  <c:pt idx="18">
                    <c:v>3.8.2017</c:v>
                  </c:pt>
                  <c:pt idx="19">
                    <c:v>7.9.2017</c:v>
                  </c:pt>
                  <c:pt idx="20">
                    <c:v>15.11.2017</c:v>
                  </c:pt>
                  <c:pt idx="21">
                    <c:v>22.11.2017</c:v>
                  </c:pt>
                </c:lvl>
              </c:multiLvlStrCache>
            </c:multiLvlStrRef>
          </c:cat>
          <c:val>
            <c:numRef>
              <c:f>'2017'!$G$4:$G$26</c:f>
              <c:numCache>
                <c:formatCode>0.00,,,</c:formatCode>
                <c:ptCount val="22"/>
                <c:pt idx="0">
                  <c:v>200000000</c:v>
                </c:pt>
                <c:pt idx="1">
                  <c:v>2500000000</c:v>
                </c:pt>
                <c:pt idx="2">
                  <c:v>5500000000</c:v>
                </c:pt>
                <c:pt idx="3">
                  <c:v>4500000000</c:v>
                </c:pt>
                <c:pt idx="4">
                  <c:v>1750000000</c:v>
                </c:pt>
                <c:pt idx="5">
                  <c:v>700000000</c:v>
                </c:pt>
                <c:pt idx="6">
                  <c:v>60000000</c:v>
                </c:pt>
                <c:pt idx="7">
                  <c:v>250000000</c:v>
                </c:pt>
                <c:pt idx="8">
                  <c:v>11550000000</c:v>
                </c:pt>
                <c:pt idx="9">
                  <c:v>1750000000</c:v>
                </c:pt>
                <c:pt idx="10">
                  <c:v>1500000000</c:v>
                </c:pt>
                <c:pt idx="11">
                  <c:v>500000000</c:v>
                </c:pt>
                <c:pt idx="12">
                  <c:v>164000000</c:v>
                </c:pt>
                <c:pt idx="13">
                  <c:v>1100000000</c:v>
                </c:pt>
                <c:pt idx="14">
                  <c:v>3000000000</c:v>
                </c:pt>
                <c:pt idx="15">
                  <c:v>200000000</c:v>
                </c:pt>
                <c:pt idx="16">
                  <c:v>300000000</c:v>
                </c:pt>
                <c:pt idx="17">
                  <c:v>1500000000</c:v>
                </c:pt>
                <c:pt idx="18">
                  <c:v>1600000000</c:v>
                </c:pt>
                <c:pt idx="19">
                  <c:v>400000000</c:v>
                </c:pt>
                <c:pt idx="20">
                  <c:v>3000000000</c:v>
                </c:pt>
                <c:pt idx="21">
                  <c:v>900000000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55676752"/>
        <c:axId val="459697592"/>
      </c:barChart>
      <c:catAx>
        <c:axId val="455676752"/>
        <c:scaling>
          <c:orientation val="minMax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crossAx val="459697592"/>
        <c:crosses val="autoZero"/>
        <c:auto val="1"/>
        <c:lblAlgn val="ctr"/>
        <c:lblOffset val="100"/>
        <c:noMultiLvlLbl val="0"/>
      </c:catAx>
      <c:valAx>
        <c:axId val="459697592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v mld. Kč</a:t>
                </a:r>
              </a:p>
            </c:rich>
          </c:tx>
          <c:layout>
            <c:manualLayout>
              <c:xMode val="edge"/>
              <c:yMode val="edge"/>
              <c:x val="0.82297339409145576"/>
              <c:y val="0.94818332467928235"/>
            </c:manualLayout>
          </c:layout>
          <c:overlay val="0"/>
        </c:title>
        <c:numFmt formatCode="0.00,,," sourceLinked="1"/>
        <c:majorTickMark val="out"/>
        <c:minorTickMark val="none"/>
        <c:tickLblPos val="nextTo"/>
        <c:crossAx val="45567675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4.4320863820791825E-2"/>
          <c:y val="0.96339287788710759"/>
          <c:w val="0.91798452457539548"/>
          <c:h val="1.8515872322726421E-2"/>
        </c:manualLayout>
      </c:layout>
      <c:overlay val="0"/>
    </c:legend>
    <c:plotVisOnly val="1"/>
    <c:dispBlanksAs val="gap"/>
    <c:showDLblsOverMax val="0"/>
  </c:chart>
  <c:spPr>
    <a:gradFill>
      <a:gsLst>
        <a:gs pos="0">
          <a:srgbClr val="FFFFFF"/>
        </a:gs>
        <a:gs pos="22000">
          <a:srgbClr val="E6E6E6">
            <a:lumMod val="90000"/>
          </a:srgbClr>
        </a:gs>
        <a:gs pos="100000">
          <a:srgbClr val="E6E6E6"/>
        </a:gs>
      </a:gsLst>
      <a:lin ang="3600000" scaled="0"/>
    </a:gradFill>
  </c:spPr>
  <c:txPr>
    <a:bodyPr/>
    <a:lstStyle/>
    <a:p>
      <a:pPr>
        <a:defRPr sz="600"/>
      </a:pPr>
      <a:endParaRPr lang="cs-CZ"/>
    </a:p>
  </c:txPr>
  <c:externalData r:id="rId1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</c:extLst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pivotSource>
    <c:name>[implementace_RIS3_2015_2018.xlsx]2018!Kontingenční tabulka 1</c:name>
    <c:fmtId val="-1"/>
  </c:pivotSource>
  <c:chart>
    <c:autoTitleDeleted val="1"/>
    <c:pivotFmts>
      <c:pivotFmt>
        <c:idx val="0"/>
      </c:pivotFmt>
      <c:pivotFmt>
        <c:idx val="1"/>
        <c:marker>
          <c:symbol val="none"/>
        </c:marker>
      </c:pivotFmt>
      <c:pivotFmt>
        <c:idx val="2"/>
        <c:marker>
          <c:symbol val="none"/>
        </c:marker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'2018'!$E$3</c:f>
              <c:strCache>
                <c:ptCount val="1"/>
                <c:pt idx="0">
                  <c:v>Celkem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'2018'!$A$4:$D$30</c:f>
              <c:multiLvlStrCache>
                <c:ptCount val="26"/>
                <c:lvl>
                  <c:pt idx="0">
                    <c:v>Proof of concept I. </c:v>
                  </c:pt>
                  <c:pt idx="1">
                    <c:v>IV. Výzva ICT a sdílené služby </c:v>
                  </c:pt>
                  <c:pt idx="2">
                    <c:v>Zvyšování kvality a efektivity fungování podpůrné inovační infrastruktury III</c:v>
                  </c:pt>
                  <c:pt idx="3">
                    <c:v>ESF výzva pro VŠ ve strukturálně postižených regionech</c:v>
                  </c:pt>
                  <c:pt idx="4">
                    <c:v>Mezinárodní mobility výzkumných pracovníků – MSCA-IF II</c:v>
                  </c:pt>
                  <c:pt idx="5">
                    <c:v>IV. Výzva Partnerství znalostního transferu</c:v>
                  </c:pt>
                  <c:pt idx="6">
                    <c:v>V. Výzva Spolupráce - Klastry </c:v>
                  </c:pt>
                  <c:pt idx="7">
                    <c:v>VI. Výzva Aplikace - bez účinné spolupráce </c:v>
                  </c:pt>
                  <c:pt idx="8">
                    <c:v>VI. Výzva Aplikace - s účinnou spoluprací</c:v>
                  </c:pt>
                  <c:pt idx="9">
                    <c:v>V. Výzva Inovace </c:v>
                  </c:pt>
                  <c:pt idx="10">
                    <c:v>ESF pro VŠ II</c:v>
                  </c:pt>
                  <c:pt idx="11">
                    <c:v>ESF výzva pro VŠ – velké projekty</c:v>
                  </c:pt>
                  <c:pt idx="12">
                    <c:v>Rozvoj výzkumně zaměřených studijních
programů – velké projekty </c:v>
                  </c:pt>
                  <c:pt idx="13">
                    <c:v>Výzkumné infrastruktury II.</c:v>
                  </c:pt>
                  <c:pt idx="14">
                    <c:v>Nová řešení  pro tíživé sociální problémy</c:v>
                  </c:pt>
                  <c:pt idx="15">
                    <c:v>V. Výzva ICT a sdílené služby </c:v>
                  </c:pt>
                  <c:pt idx="16">
                    <c:v>Celoživotní vzdělávání na vysokých školách</c:v>
                  </c:pt>
                  <c:pt idx="17">
                    <c:v>Smart Akcelerátor II</c:v>
                  </c:pt>
                  <c:pt idx="18">
                    <c:v>II. Výzva Proof of Concept</c:v>
                  </c:pt>
                  <c:pt idx="19">
                    <c:v>Mezinárodní mobility výzkumných pracovníků II</c:v>
                  </c:pt>
                  <c:pt idx="20">
                    <c:v>Rozvoj kapacit pro výzkum a vývoj II</c:v>
                  </c:pt>
                  <c:pt idx="21">
                    <c:v>I. Výzva Rizikový kapitál - finanční nástroj</c:v>
                  </c:pt>
                  <c:pt idx="22">
                    <c:v>II. Výzva Vysokorychlostní internet</c:v>
                  </c:pt>
                  <c:pt idx="23">
                    <c:v>IV. Výzva Služby infrastruktury - aktivita a) </c:v>
                  </c:pt>
                  <c:pt idx="24">
                    <c:v>V. Výzva Potenciál</c:v>
                  </c:pt>
                  <c:pt idx="25">
                    <c:v>Mezinárodní spolupráce v oblastech: sociální začleňování, mobilita</c:v>
                  </c:pt>
                </c:lvl>
                <c:lvl>
                  <c:pt idx="0">
                    <c:v>OPPIK</c:v>
                  </c:pt>
                  <c:pt idx="1">
                    <c:v>OPPIK</c:v>
                  </c:pt>
                  <c:pt idx="2">
                    <c:v>OPPPR</c:v>
                  </c:pt>
                  <c:pt idx="3">
                    <c:v>OPVVV</c:v>
                  </c:pt>
                  <c:pt idx="5">
                    <c:v>OPPIK</c:v>
                  </c:pt>
                  <c:pt idx="9">
                    <c:v>OPPIK</c:v>
                  </c:pt>
                  <c:pt idx="10">
                    <c:v>OPVVV</c:v>
                  </c:pt>
                  <c:pt idx="14">
                    <c:v>OPZ</c:v>
                  </c:pt>
                  <c:pt idx="15">
                    <c:v>OPPIK</c:v>
                  </c:pt>
                  <c:pt idx="16">
                    <c:v>OPVVV</c:v>
                  </c:pt>
                  <c:pt idx="18">
                    <c:v>OPPIK</c:v>
                  </c:pt>
                  <c:pt idx="19">
                    <c:v>OPVVV</c:v>
                  </c:pt>
                  <c:pt idx="21">
                    <c:v>OPPIK</c:v>
                  </c:pt>
                  <c:pt idx="25">
                    <c:v>OPZ</c:v>
                  </c:pt>
                </c:lvl>
                <c:lvl>
                  <c:pt idx="0">
                    <c:v>4.5.2018</c:v>
                  </c:pt>
                  <c:pt idx="1">
                    <c:v>2Q/2018</c:v>
                  </c:pt>
                  <c:pt idx="2">
                    <c:v>(prázdné)</c:v>
                  </c:pt>
                  <c:pt idx="5">
                    <c:v>3Q/2018</c:v>
                  </c:pt>
                  <c:pt idx="9">
                    <c:v>4Q/2018</c:v>
                  </c:pt>
                  <c:pt idx="10">
                    <c:v>(prázdné)</c:v>
                  </c:pt>
                  <c:pt idx="15">
                    <c:v>1Q/2019</c:v>
                  </c:pt>
                  <c:pt idx="16">
                    <c:v>(prázdné)</c:v>
                  </c:pt>
                  <c:pt idx="18">
                    <c:v>1Q/2019</c:v>
                  </c:pt>
                  <c:pt idx="19">
                    <c:v>(prázdné)</c:v>
                  </c:pt>
                  <c:pt idx="21">
                    <c:v>(prázdné)</c:v>
                  </c:pt>
                </c:lvl>
                <c:lvl>
                  <c:pt idx="0">
                    <c:v>3.1.2018</c:v>
                  </c:pt>
                  <c:pt idx="1">
                    <c:v>1Q/2018</c:v>
                  </c:pt>
                  <c:pt idx="5">
                    <c:v>2Q/2018</c:v>
                  </c:pt>
                  <c:pt idx="15">
                    <c:v>3Q/2018</c:v>
                  </c:pt>
                  <c:pt idx="18">
                    <c:v>4Q/2018</c:v>
                  </c:pt>
                  <c:pt idx="21">
                    <c:v>2018</c:v>
                  </c:pt>
                </c:lvl>
              </c:multiLvlStrCache>
            </c:multiLvlStrRef>
          </c:cat>
          <c:val>
            <c:numRef>
              <c:f>'2018'!$E$4:$E$30</c:f>
              <c:numCache>
                <c:formatCode>0.00,,,</c:formatCode>
                <c:ptCount val="26"/>
                <c:pt idx="0">
                  <c:v>200000000</c:v>
                </c:pt>
                <c:pt idx="1">
                  <c:v>2000000000</c:v>
                </c:pt>
                <c:pt idx="2">
                  <c:v>600000000</c:v>
                </c:pt>
                <c:pt idx="3">
                  <c:v>600000000</c:v>
                </c:pt>
                <c:pt idx="4">
                  <c:v>250000000</c:v>
                </c:pt>
                <c:pt idx="5">
                  <c:v>200000000</c:v>
                </c:pt>
                <c:pt idx="6">
                  <c:v>300000000</c:v>
                </c:pt>
                <c:pt idx="7">
                  <c:v>500000000</c:v>
                </c:pt>
                <c:pt idx="8">
                  <c:v>500000000</c:v>
                </c:pt>
                <c:pt idx="9">
                  <c:v>1000000000</c:v>
                </c:pt>
                <c:pt idx="10">
                  <c:v>1000000000</c:v>
                </c:pt>
                <c:pt idx="11">
                  <c:v>120000000</c:v>
                </c:pt>
                <c:pt idx="12">
                  <c:v>300000000</c:v>
                </c:pt>
                <c:pt idx="13">
                  <c:v>3000000000</c:v>
                </c:pt>
                <c:pt idx="14">
                  <c:v>50000000</c:v>
                </c:pt>
                <c:pt idx="15">
                  <c:v>2000000000</c:v>
                </c:pt>
                <c:pt idx="16">
                  <c:v>200000000</c:v>
                </c:pt>
                <c:pt idx="17">
                  <c:v>550000000</c:v>
                </c:pt>
                <c:pt idx="18">
                  <c:v>200000000</c:v>
                </c:pt>
                <c:pt idx="19">
                  <c:v>300000000</c:v>
                </c:pt>
                <c:pt idx="20">
                  <c:v>1100000000</c:v>
                </c:pt>
                <c:pt idx="21">
                  <c:v>312000000</c:v>
                </c:pt>
                <c:pt idx="22">
                  <c:v>2450000000</c:v>
                </c:pt>
                <c:pt idx="23">
                  <c:v>250000000</c:v>
                </c:pt>
                <c:pt idx="24">
                  <c:v>1500000000</c:v>
                </c:pt>
                <c:pt idx="25">
                  <c:v>50000000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59698376"/>
        <c:axId val="459698768"/>
      </c:barChart>
      <c:catAx>
        <c:axId val="459698376"/>
        <c:scaling>
          <c:orientation val="maxMin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600"/>
            </a:pPr>
            <a:endParaRPr lang="cs-CZ"/>
          </a:p>
        </c:txPr>
        <c:crossAx val="459698768"/>
        <c:crosses val="autoZero"/>
        <c:auto val="1"/>
        <c:lblAlgn val="ctr"/>
        <c:lblOffset val="100"/>
        <c:noMultiLvlLbl val="0"/>
      </c:catAx>
      <c:valAx>
        <c:axId val="459698768"/>
        <c:scaling>
          <c:orientation val="minMax"/>
        </c:scaling>
        <c:delete val="0"/>
        <c:axPos val="t"/>
        <c:majorGridlines/>
        <c:minorGridlines/>
        <c:title>
          <c:tx>
            <c:rich>
              <a:bodyPr/>
              <a:lstStyle/>
              <a:p>
                <a:pPr>
                  <a:defRPr sz="800"/>
                </a:pPr>
                <a:r>
                  <a:rPr lang="cs-CZ" sz="800"/>
                  <a:t>v mld. Kč</a:t>
                </a:r>
              </a:p>
            </c:rich>
          </c:tx>
          <c:overlay val="0"/>
        </c:title>
        <c:numFmt formatCode="0.00,,,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459698376"/>
        <c:crosses val="autoZero"/>
        <c:crossBetween val="between"/>
      </c:valAx>
    </c:plotArea>
    <c:plotVisOnly val="1"/>
    <c:dispBlanksAs val="gap"/>
    <c:showDLblsOverMax val="0"/>
  </c:chart>
  <c:spPr>
    <a:gradFill>
      <a:gsLst>
        <a:gs pos="0">
          <a:srgbClr val="FFFFFF"/>
        </a:gs>
        <a:gs pos="17000">
          <a:srgbClr val="E6E6E6"/>
        </a:gs>
        <a:gs pos="47000">
          <a:srgbClr val="E6E6E6"/>
        </a:gs>
        <a:gs pos="100000">
          <a:srgbClr val="E6E6E6"/>
        </a:gs>
      </a:gsLst>
      <a:lin ang="3600000" scaled="0"/>
    </a:gradFill>
  </c:spPr>
  <c:externalData r:id="rId1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Visible val="1"/>
      </c14:pivotOptions>
    </c:ext>
  </c:extLst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pivotSource>
    <c:name>[implementace_RIS3_2015_2018.xlsx]ITI_2017!Kontingenční tabulka 1</c:name>
    <c:fmtId val="-1"/>
  </c:pivotSource>
  <c:chart>
    <c:autoTitleDeleted val="0"/>
    <c:pivotFmts>
      <c:pivotFmt>
        <c:idx val="0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ITI_2017!$E$3</c:f>
              <c:strCache>
                <c:ptCount val="1"/>
                <c:pt idx="0">
                  <c:v>Alokace (příspěvek EU) 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ITI_2017!$A$4:$D$20</c:f>
              <c:multiLvlStrCache>
                <c:ptCount val="16"/>
                <c:lvl>
                  <c:pt idx="0">
                    <c:v>Předaplikační výzkum ITI</c:v>
                  </c:pt>
                  <c:pt idx="1">
                    <c:v>Dlouhodobá mezisektorová spolupráce ITI</c:v>
                  </c:pt>
                  <c:pt idx="2">
                    <c:v>I. Výzva Potenciál - ITI Hradec-Pardubice</c:v>
                  </c:pt>
                  <c:pt idx="3">
                    <c:v>I. Výzva Aplikace - ITI Hradec-Pardubice</c:v>
                  </c:pt>
                  <c:pt idx="4">
                    <c:v>I. Výzva Inovace - Inovační projekt - ITI Hradec-Pardubice</c:v>
                  </c:pt>
                  <c:pt idx="5">
                    <c:v>I. Výzva Služby infrastruktury -ITI Hradec-Pardubice - VP aktivita b)</c:v>
                  </c:pt>
                  <c:pt idx="6">
                    <c:v>I. Výzva Služby infrastruktury -ITI Hradec-Pardubice - VP aktivita c)</c:v>
                  </c:pt>
                  <c:pt idx="7">
                    <c:v>I. Výzva Služby infrastruktury -ITI Hradec-Pardubice - VP aktivita d)</c:v>
                  </c:pt>
                  <c:pt idx="8">
                    <c:v>I. Výzva Inovace - Inovační projekt - ITI Olomouc</c:v>
                  </c:pt>
                  <c:pt idx="9">
                    <c:v>II. Výzva Potenciál - ITI Olomouc</c:v>
                  </c:pt>
                  <c:pt idx="10">
                    <c:v>I. Výzva Služby infrastruktury -ITI Olomouc - NVP aktivita c)</c:v>
                  </c:pt>
                  <c:pt idx="11">
                    <c:v>I. Výzva Spolupráce - Klastry -ITI Ostrava - internacionalizace</c:v>
                  </c:pt>
                  <c:pt idx="12">
                    <c:v>I. Výzva Spolupráce - Klastry -ITI Ostrava - kolektivní výzkum</c:v>
                  </c:pt>
                  <c:pt idx="13">
                    <c:v>I. Výzva Spolupráce - Klastry -ITI Ostrava - rozvoj klastru</c:v>
                  </c:pt>
                  <c:pt idx="14">
                    <c:v>I. Výzva Spolupráce - Klastry -ITI Ostrava - sdílená infrastruktura</c:v>
                  </c:pt>
                  <c:pt idx="15">
                    <c:v>I. Výzva Inovace - Projekt na ochranu práv průmyslového vlastnictví - ITI Olomouc</c:v>
                  </c:pt>
                </c:lvl>
                <c:lvl>
                  <c:pt idx="0">
                    <c:v>OPVVV</c:v>
                  </c:pt>
                  <c:pt idx="1">
                    <c:v>OPVVV</c:v>
                  </c:pt>
                  <c:pt idx="2">
                    <c:v>OPPIK</c:v>
                  </c:pt>
                  <c:pt idx="3">
                    <c:v>OPPIK</c:v>
                  </c:pt>
                  <c:pt idx="8">
                    <c:v>OPPIK</c:v>
                  </c:pt>
                  <c:pt idx="9">
                    <c:v>OPPIK</c:v>
                  </c:pt>
                  <c:pt idx="10">
                    <c:v>OPPIK</c:v>
                  </c:pt>
                  <c:pt idx="11">
                    <c:v>OPPIK</c:v>
                  </c:pt>
                  <c:pt idx="15">
                    <c:v>OPPIK</c:v>
                  </c:pt>
                </c:lvl>
                <c:lvl>
                  <c:pt idx="0">
                    <c:v>20.6.2017</c:v>
                  </c:pt>
                  <c:pt idx="1">
                    <c:v>15.11.2017</c:v>
                  </c:pt>
                  <c:pt idx="2">
                    <c:v>31.7.2018</c:v>
                  </c:pt>
                  <c:pt idx="3">
                    <c:v>31.7.2018</c:v>
                  </c:pt>
                  <c:pt idx="8">
                    <c:v>15.8.2018</c:v>
                  </c:pt>
                  <c:pt idx="9">
                    <c:v>15.9.2018</c:v>
                  </c:pt>
                  <c:pt idx="10">
                    <c:v>26.9.2018</c:v>
                  </c:pt>
                  <c:pt idx="11">
                    <c:v>30.11.2018</c:v>
                  </c:pt>
                  <c:pt idx="15">
                    <c:v>15.12.2018</c:v>
                  </c:pt>
                </c:lvl>
                <c:lvl>
                  <c:pt idx="0">
                    <c:v>10.2.2017</c:v>
                  </c:pt>
                  <c:pt idx="1">
                    <c:v>11.7.2017</c:v>
                  </c:pt>
                  <c:pt idx="2">
                    <c:v>31.7.2017</c:v>
                  </c:pt>
                  <c:pt idx="3">
                    <c:v>1.8.2017</c:v>
                  </c:pt>
                  <c:pt idx="8">
                    <c:v>15.9.2017</c:v>
                  </c:pt>
                  <c:pt idx="10">
                    <c:v>27.9.2017</c:v>
                  </c:pt>
                  <c:pt idx="11">
                    <c:v>4.12.2017</c:v>
                  </c:pt>
                  <c:pt idx="15">
                    <c:v>15.12.2017</c:v>
                  </c:pt>
                </c:lvl>
              </c:multiLvlStrCache>
            </c:multiLvlStrRef>
          </c:cat>
          <c:val>
            <c:numRef>
              <c:f>ITI_2017!$E$4:$E$20</c:f>
              <c:numCache>
                <c:formatCode>0.#0,,,</c:formatCode>
                <c:ptCount val="16"/>
                <c:pt idx="0">
                  <c:v>1577823530</c:v>
                </c:pt>
                <c:pt idx="1">
                  <c:v>1060176470</c:v>
                </c:pt>
                <c:pt idx="2">
                  <c:v>45802340</c:v>
                </c:pt>
                <c:pt idx="3">
                  <c:v>125308200</c:v>
                </c:pt>
                <c:pt idx="4">
                  <c:v>50503500</c:v>
                </c:pt>
                <c:pt idx="5">
                  <c:v>52833330</c:v>
                </c:pt>
                <c:pt idx="6">
                  <c:v>52833330</c:v>
                </c:pt>
                <c:pt idx="7">
                  <c:v>52833330</c:v>
                </c:pt>
                <c:pt idx="8">
                  <c:v>240000000</c:v>
                </c:pt>
                <c:pt idx="9">
                  <c:v>150000000</c:v>
                </c:pt>
                <c:pt idx="10">
                  <c:v>262000000</c:v>
                </c:pt>
                <c:pt idx="11">
                  <c:v>10000000</c:v>
                </c:pt>
                <c:pt idx="12">
                  <c:v>30000000</c:v>
                </c:pt>
                <c:pt idx="13">
                  <c:v>25000000</c:v>
                </c:pt>
                <c:pt idx="14">
                  <c:v>15000000</c:v>
                </c:pt>
                <c:pt idx="15">
                  <c:v>30000000</c:v>
                </c:pt>
              </c:numCache>
            </c:numRef>
          </c:val>
        </c:ser>
        <c:ser>
          <c:idx val="1"/>
          <c:order val="1"/>
          <c:tx>
            <c:strRef>
              <c:f>ITI_2017!$F$3</c:f>
              <c:strCache>
                <c:ptCount val="1"/>
                <c:pt idx="0">
                  <c:v>Součet z Alokace (příspěvek EU)2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ITI_2017!$A$4:$D$20</c:f>
              <c:multiLvlStrCache>
                <c:ptCount val="16"/>
                <c:lvl>
                  <c:pt idx="0">
                    <c:v>Předaplikační výzkum ITI</c:v>
                  </c:pt>
                  <c:pt idx="1">
                    <c:v>Dlouhodobá mezisektorová spolupráce ITI</c:v>
                  </c:pt>
                  <c:pt idx="2">
                    <c:v>I. Výzva Potenciál - ITI Hradec-Pardubice</c:v>
                  </c:pt>
                  <c:pt idx="3">
                    <c:v>I. Výzva Aplikace - ITI Hradec-Pardubice</c:v>
                  </c:pt>
                  <c:pt idx="4">
                    <c:v>I. Výzva Inovace - Inovační projekt - ITI Hradec-Pardubice</c:v>
                  </c:pt>
                  <c:pt idx="5">
                    <c:v>I. Výzva Služby infrastruktury -ITI Hradec-Pardubice - VP aktivita b)</c:v>
                  </c:pt>
                  <c:pt idx="6">
                    <c:v>I. Výzva Služby infrastruktury -ITI Hradec-Pardubice - VP aktivita c)</c:v>
                  </c:pt>
                  <c:pt idx="7">
                    <c:v>I. Výzva Služby infrastruktury -ITI Hradec-Pardubice - VP aktivita d)</c:v>
                  </c:pt>
                  <c:pt idx="8">
                    <c:v>I. Výzva Inovace - Inovační projekt - ITI Olomouc</c:v>
                  </c:pt>
                  <c:pt idx="9">
                    <c:v>II. Výzva Potenciál - ITI Olomouc</c:v>
                  </c:pt>
                  <c:pt idx="10">
                    <c:v>I. Výzva Služby infrastruktury -ITI Olomouc - NVP aktivita c)</c:v>
                  </c:pt>
                  <c:pt idx="11">
                    <c:v>I. Výzva Spolupráce - Klastry -ITI Ostrava - internacionalizace</c:v>
                  </c:pt>
                  <c:pt idx="12">
                    <c:v>I. Výzva Spolupráce - Klastry -ITI Ostrava - kolektivní výzkum</c:v>
                  </c:pt>
                  <c:pt idx="13">
                    <c:v>I. Výzva Spolupráce - Klastry -ITI Ostrava - rozvoj klastru</c:v>
                  </c:pt>
                  <c:pt idx="14">
                    <c:v>I. Výzva Spolupráce - Klastry -ITI Ostrava - sdílená infrastruktura</c:v>
                  </c:pt>
                  <c:pt idx="15">
                    <c:v>I. Výzva Inovace - Projekt na ochranu práv průmyslového vlastnictví - ITI Olomouc</c:v>
                  </c:pt>
                </c:lvl>
                <c:lvl>
                  <c:pt idx="0">
                    <c:v>OPVVV</c:v>
                  </c:pt>
                  <c:pt idx="1">
                    <c:v>OPVVV</c:v>
                  </c:pt>
                  <c:pt idx="2">
                    <c:v>OPPIK</c:v>
                  </c:pt>
                  <c:pt idx="3">
                    <c:v>OPPIK</c:v>
                  </c:pt>
                  <c:pt idx="8">
                    <c:v>OPPIK</c:v>
                  </c:pt>
                  <c:pt idx="9">
                    <c:v>OPPIK</c:v>
                  </c:pt>
                  <c:pt idx="10">
                    <c:v>OPPIK</c:v>
                  </c:pt>
                  <c:pt idx="11">
                    <c:v>OPPIK</c:v>
                  </c:pt>
                  <c:pt idx="15">
                    <c:v>OPPIK</c:v>
                  </c:pt>
                </c:lvl>
                <c:lvl>
                  <c:pt idx="0">
                    <c:v>20.6.2017</c:v>
                  </c:pt>
                  <c:pt idx="1">
                    <c:v>15.11.2017</c:v>
                  </c:pt>
                  <c:pt idx="2">
                    <c:v>31.7.2018</c:v>
                  </c:pt>
                  <c:pt idx="3">
                    <c:v>31.7.2018</c:v>
                  </c:pt>
                  <c:pt idx="8">
                    <c:v>15.8.2018</c:v>
                  </c:pt>
                  <c:pt idx="9">
                    <c:v>15.9.2018</c:v>
                  </c:pt>
                  <c:pt idx="10">
                    <c:v>26.9.2018</c:v>
                  </c:pt>
                  <c:pt idx="11">
                    <c:v>30.11.2018</c:v>
                  </c:pt>
                  <c:pt idx="15">
                    <c:v>15.12.2018</c:v>
                  </c:pt>
                </c:lvl>
                <c:lvl>
                  <c:pt idx="0">
                    <c:v>10.2.2017</c:v>
                  </c:pt>
                  <c:pt idx="1">
                    <c:v>11.7.2017</c:v>
                  </c:pt>
                  <c:pt idx="2">
                    <c:v>31.7.2017</c:v>
                  </c:pt>
                  <c:pt idx="3">
                    <c:v>1.8.2017</c:v>
                  </c:pt>
                  <c:pt idx="8">
                    <c:v>15.9.2017</c:v>
                  </c:pt>
                  <c:pt idx="10">
                    <c:v>27.9.2017</c:v>
                  </c:pt>
                  <c:pt idx="11">
                    <c:v>4.12.2017</c:v>
                  </c:pt>
                  <c:pt idx="15">
                    <c:v>15.12.2017</c:v>
                  </c:pt>
                </c:lvl>
              </c:multiLvlStrCache>
            </c:multiLvlStrRef>
          </c:cat>
          <c:val>
            <c:numRef>
              <c:f>ITI_2017!$F$4:$F$20</c:f>
              <c:numCache>
                <c:formatCode>0.00%</c:formatCode>
                <c:ptCount val="16"/>
                <c:pt idx="0">
                  <c:v>0.41740104067707184</c:v>
                </c:pt>
                <c:pt idx="1">
                  <c:v>0.28046150501973083</c:v>
                </c:pt>
                <c:pt idx="2">
                  <c:v>1.211665564490921E-2</c:v>
                </c:pt>
                <c:pt idx="3">
                  <c:v>3.3149317455907538E-2</c:v>
                </c:pt>
                <c:pt idx="4">
                  <c:v>1.3360311249658254E-2</c:v>
                </c:pt>
                <c:pt idx="5">
                  <c:v>1.3976649799635806E-2</c:v>
                </c:pt>
                <c:pt idx="6">
                  <c:v>1.3976649799635806E-2</c:v>
                </c:pt>
                <c:pt idx="7">
                  <c:v>1.3976649799635806E-2</c:v>
                </c:pt>
                <c:pt idx="8">
                  <c:v>6.3490148205925953E-2</c:v>
                </c:pt>
                <c:pt idx="9">
                  <c:v>3.9681342628703715E-2</c:v>
                </c:pt>
                <c:pt idx="10">
                  <c:v>6.9310078458135832E-2</c:v>
                </c:pt>
                <c:pt idx="11">
                  <c:v>2.6454228419135811E-3</c:v>
                </c:pt>
                <c:pt idx="12">
                  <c:v>7.9362685257407441E-3</c:v>
                </c:pt>
                <c:pt idx="13">
                  <c:v>6.6135571047839532E-3</c:v>
                </c:pt>
                <c:pt idx="14">
                  <c:v>3.9681342628703721E-3</c:v>
                </c:pt>
                <c:pt idx="15">
                  <c:v>7.9362685257407441E-3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51406560"/>
        <c:axId val="455676360"/>
      </c:barChart>
      <c:valAx>
        <c:axId val="455676360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v mld. Kč</a:t>
                </a:r>
              </a:p>
            </c:rich>
          </c:tx>
          <c:overlay val="0"/>
        </c:title>
        <c:numFmt formatCode="0.#0,,," sourceLinked="1"/>
        <c:majorTickMark val="out"/>
        <c:minorTickMark val="none"/>
        <c:tickLblPos val="nextTo"/>
        <c:crossAx val="451406560"/>
        <c:crosses val="autoZero"/>
        <c:crossBetween val="between"/>
      </c:valAx>
      <c:catAx>
        <c:axId val="451406560"/>
        <c:scaling>
          <c:orientation val="minMax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455676360"/>
        <c:crosses val="autoZero"/>
        <c:auto val="1"/>
        <c:lblAlgn val="ctr"/>
        <c:lblOffset val="100"/>
        <c:noMultiLvlLbl val="0"/>
      </c:catAx>
    </c:plotArea>
    <c:legend>
      <c:legendPos val="b"/>
      <c:legendEntry>
        <c:idx val="0"/>
        <c:delete val="1"/>
      </c:legendEntry>
      <c:overlay val="0"/>
    </c:legend>
    <c:plotVisOnly val="1"/>
    <c:dispBlanksAs val="gap"/>
    <c:showDLblsOverMax val="0"/>
  </c:chart>
  <c:spPr>
    <a:gradFill>
      <a:gsLst>
        <a:gs pos="0">
          <a:srgbClr val="FFFFFF"/>
        </a:gs>
        <a:gs pos="15000">
          <a:srgbClr val="E6E6E6"/>
        </a:gs>
        <a:gs pos="47000">
          <a:srgbClr val="E6E6E6"/>
        </a:gs>
        <a:gs pos="100000">
          <a:srgbClr val="E6E6E6"/>
        </a:gs>
      </a:gsLst>
      <a:lin ang="3600000" scaled="0"/>
    </a:gradFill>
  </c:spPr>
  <c:externalData r:id="rId1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</c:extLst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pivotSource>
    <c:name>[implementace_RIS3_2015_2018.xlsx]ITI_2018!Kontingenční tabulka 2</c:name>
    <c:fmtId val="-1"/>
  </c:pivotSource>
  <c:chart>
    <c:autoTitleDeleted val="0"/>
    <c:pivotFmts>
      <c:pivotFmt>
        <c:idx val="0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marker>
          <c:symbol val="none"/>
        </c:marker>
        <c:dLbl>
          <c:idx val="0"/>
          <c:spPr/>
          <c:txPr>
            <a:bodyPr/>
            <a:lstStyle/>
            <a:p>
              <a:pPr>
                <a:defRPr/>
              </a:pPr>
              <a:endParaRPr lang="cs-CZ"/>
            </a:p>
          </c:txPr>
          <c:showLegendKey val="0"/>
          <c:showVal val="1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ITI_2018!$E$3</c:f>
              <c:strCache>
                <c:ptCount val="1"/>
                <c:pt idx="0">
                  <c:v>Součet z Alokace (příspěvek EU)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ITI_2018!$A$4:$D$14</c:f>
              <c:multiLvlStrCache>
                <c:ptCount val="10"/>
                <c:lvl>
                  <c:pt idx="0">
                    <c:v>Předaplikační výzkum pro ITI II.</c:v>
                  </c:pt>
                  <c:pt idx="1">
                    <c:v>I. Výzva Aplikace - ITI Olomouc - bez účinné spolupráce</c:v>
                  </c:pt>
                  <c:pt idx="2">
                    <c:v>I. Výzva Aplikace - ITI Olomouc - s účinnou spoluprací</c:v>
                  </c:pt>
                  <c:pt idx="3">
                    <c:v>I. Výzva Služby infrastruktury - ITI Plzeň</c:v>
                  </c:pt>
                  <c:pt idx="4">
                    <c:v>I. Výzva Služby infrastruktury -ITI Brno </c:v>
                  </c:pt>
                  <c:pt idx="5">
                    <c:v>I. Výzva Služby infrastruktury -ITI Ostrava </c:v>
                  </c:pt>
                  <c:pt idx="6">
                    <c:v>I. Výzva Spolupráce - Klastry -ITI Plzeň</c:v>
                  </c:pt>
                  <c:pt idx="7">
                    <c:v>III. Výzva Potenciál - ITI Plzeň</c:v>
                  </c:pt>
                  <c:pt idx="8">
                    <c:v>I. Výzva Inovace - Inovační projekt - ITI Plzeň</c:v>
                  </c:pt>
                  <c:pt idx="9">
                    <c:v>I. Výzva Aplikace - ITI Ostrava - s účinnou spoluprací</c:v>
                  </c:pt>
                </c:lvl>
                <c:lvl>
                  <c:pt idx="0">
                    <c:v>OPVVV</c:v>
                  </c:pt>
                  <c:pt idx="1">
                    <c:v>OPPIK</c:v>
                  </c:pt>
                  <c:pt idx="3">
                    <c:v>OPPIK</c:v>
                  </c:pt>
                  <c:pt idx="8">
                    <c:v>OPPIK</c:v>
                  </c:pt>
                  <c:pt idx="9">
                    <c:v>OPPIK</c:v>
                  </c:pt>
                </c:lvl>
                <c:lvl>
                  <c:pt idx="0">
                    <c:v>(prázdné)</c:v>
                  </c:pt>
                  <c:pt idx="1">
                    <c:v>31.12.2018</c:v>
                  </c:pt>
                  <c:pt idx="3">
                    <c:v>1.2.2019</c:v>
                  </c:pt>
                  <c:pt idx="8">
                    <c:v>1.2.2019</c:v>
                  </c:pt>
                  <c:pt idx="9">
                    <c:v>1.6.2019</c:v>
                  </c:pt>
                </c:lvl>
                <c:lvl>
                  <c:pt idx="0">
                    <c:v>1Q/2018</c:v>
                  </c:pt>
                  <c:pt idx="1">
                    <c:v>15.1.2018</c:v>
                  </c:pt>
                  <c:pt idx="3">
                    <c:v>1.3.2018</c:v>
                  </c:pt>
                  <c:pt idx="8">
                    <c:v>1.4.2018</c:v>
                  </c:pt>
                  <c:pt idx="9">
                    <c:v>1.7.2018</c:v>
                  </c:pt>
                </c:lvl>
              </c:multiLvlStrCache>
            </c:multiLvlStrRef>
          </c:cat>
          <c:val>
            <c:numRef>
              <c:f>ITI_2018!$E$4:$E$14</c:f>
              <c:numCache>
                <c:formatCode>0.#0,,,</c:formatCode>
                <c:ptCount val="10"/>
                <c:pt idx="0">
                  <c:v>624851534.04999995</c:v>
                </c:pt>
                <c:pt idx="1">
                  <c:v>16000000</c:v>
                </c:pt>
                <c:pt idx="2">
                  <c:v>64000000</c:v>
                </c:pt>
                <c:pt idx="3">
                  <c:v>250000000</c:v>
                </c:pt>
                <c:pt idx="4">
                  <c:v>400000000</c:v>
                </c:pt>
                <c:pt idx="5">
                  <c:v>150028000</c:v>
                </c:pt>
                <c:pt idx="6">
                  <c:v>20000000</c:v>
                </c:pt>
                <c:pt idx="7">
                  <c:v>40000000</c:v>
                </c:pt>
                <c:pt idx="8">
                  <c:v>30000000</c:v>
                </c:pt>
                <c:pt idx="9">
                  <c:v>106800000</c:v>
                </c:pt>
              </c:numCache>
            </c:numRef>
          </c:val>
        </c:ser>
        <c:ser>
          <c:idx val="1"/>
          <c:order val="1"/>
          <c:tx>
            <c:strRef>
              <c:f>ITI_2018!$F$3</c:f>
              <c:strCache>
                <c:ptCount val="1"/>
                <c:pt idx="0">
                  <c:v>Součet z Alokace (příspěvek EU)2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ITI_2018!$A$4:$D$14</c:f>
              <c:multiLvlStrCache>
                <c:ptCount val="10"/>
                <c:lvl>
                  <c:pt idx="0">
                    <c:v>Předaplikační výzkum pro ITI II.</c:v>
                  </c:pt>
                  <c:pt idx="1">
                    <c:v>I. Výzva Aplikace - ITI Olomouc - bez účinné spolupráce</c:v>
                  </c:pt>
                  <c:pt idx="2">
                    <c:v>I. Výzva Aplikace - ITI Olomouc - s účinnou spoluprací</c:v>
                  </c:pt>
                  <c:pt idx="3">
                    <c:v>I. Výzva Služby infrastruktury - ITI Plzeň</c:v>
                  </c:pt>
                  <c:pt idx="4">
                    <c:v>I. Výzva Služby infrastruktury -ITI Brno </c:v>
                  </c:pt>
                  <c:pt idx="5">
                    <c:v>I. Výzva Služby infrastruktury -ITI Ostrava </c:v>
                  </c:pt>
                  <c:pt idx="6">
                    <c:v>I. Výzva Spolupráce - Klastry -ITI Plzeň</c:v>
                  </c:pt>
                  <c:pt idx="7">
                    <c:v>III. Výzva Potenciál - ITI Plzeň</c:v>
                  </c:pt>
                  <c:pt idx="8">
                    <c:v>I. Výzva Inovace - Inovační projekt - ITI Plzeň</c:v>
                  </c:pt>
                  <c:pt idx="9">
                    <c:v>I. Výzva Aplikace - ITI Ostrava - s účinnou spoluprací</c:v>
                  </c:pt>
                </c:lvl>
                <c:lvl>
                  <c:pt idx="0">
                    <c:v>OPVVV</c:v>
                  </c:pt>
                  <c:pt idx="1">
                    <c:v>OPPIK</c:v>
                  </c:pt>
                  <c:pt idx="3">
                    <c:v>OPPIK</c:v>
                  </c:pt>
                  <c:pt idx="8">
                    <c:v>OPPIK</c:v>
                  </c:pt>
                  <c:pt idx="9">
                    <c:v>OPPIK</c:v>
                  </c:pt>
                </c:lvl>
                <c:lvl>
                  <c:pt idx="0">
                    <c:v>(prázdné)</c:v>
                  </c:pt>
                  <c:pt idx="1">
                    <c:v>31.12.2018</c:v>
                  </c:pt>
                  <c:pt idx="3">
                    <c:v>1.2.2019</c:v>
                  </c:pt>
                  <c:pt idx="8">
                    <c:v>1.2.2019</c:v>
                  </c:pt>
                  <c:pt idx="9">
                    <c:v>1.6.2019</c:v>
                  </c:pt>
                </c:lvl>
                <c:lvl>
                  <c:pt idx="0">
                    <c:v>1Q/2018</c:v>
                  </c:pt>
                  <c:pt idx="1">
                    <c:v>15.1.2018</c:v>
                  </c:pt>
                  <c:pt idx="3">
                    <c:v>1.3.2018</c:v>
                  </c:pt>
                  <c:pt idx="8">
                    <c:v>1.4.2018</c:v>
                  </c:pt>
                  <c:pt idx="9">
                    <c:v>1.7.2018</c:v>
                  </c:pt>
                </c:lvl>
              </c:multiLvlStrCache>
            </c:multiLvlStrRef>
          </c:cat>
          <c:val>
            <c:numRef>
              <c:f>ITI_2018!$F$4:$F$14</c:f>
              <c:numCache>
                <c:formatCode>0.00%</c:formatCode>
                <c:ptCount val="10"/>
                <c:pt idx="0">
                  <c:v>0.36719694957067051</c:v>
                </c:pt>
                <c:pt idx="1">
                  <c:v>9.4024754249232671E-3</c:v>
                </c:pt>
                <c:pt idx="2">
                  <c:v>3.7609901699693069E-2</c:v>
                </c:pt>
                <c:pt idx="3">
                  <c:v>0.14691367851442605</c:v>
                </c:pt>
                <c:pt idx="4">
                  <c:v>0.23506188562308167</c:v>
                </c:pt>
                <c:pt idx="5">
                  <c:v>8.8164661440649245E-2</c:v>
                </c:pt>
                <c:pt idx="6">
                  <c:v>1.1753094281154083E-2</c:v>
                </c:pt>
                <c:pt idx="7">
                  <c:v>2.3506188562308166E-2</c:v>
                </c:pt>
                <c:pt idx="8">
                  <c:v>1.7629641421731124E-2</c:v>
                </c:pt>
                <c:pt idx="9">
                  <c:v>6.2761523461362809E-2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4110104"/>
        <c:axId val="224109712"/>
      </c:barChart>
      <c:valAx>
        <c:axId val="224109712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v mld. Kč</a:t>
                </a:r>
              </a:p>
            </c:rich>
          </c:tx>
          <c:overlay val="0"/>
        </c:title>
        <c:numFmt formatCode="0.#0,,," sourceLinked="1"/>
        <c:majorTickMark val="out"/>
        <c:minorTickMark val="none"/>
        <c:tickLblPos val="nextTo"/>
        <c:crossAx val="224110104"/>
        <c:crosses val="autoZero"/>
        <c:crossBetween val="between"/>
      </c:valAx>
      <c:catAx>
        <c:axId val="224110104"/>
        <c:scaling>
          <c:orientation val="minMax"/>
        </c:scaling>
        <c:delete val="0"/>
        <c:axPos val="l"/>
        <c:majorGridlines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224109712"/>
        <c:crosses val="autoZero"/>
        <c:auto val="1"/>
        <c:lblAlgn val="ctr"/>
        <c:lblOffset val="100"/>
        <c:noMultiLvlLbl val="0"/>
      </c:catAx>
    </c:plotArea>
    <c:legend>
      <c:legendPos val="b"/>
      <c:legendEntry>
        <c:idx val="0"/>
        <c:delete val="1"/>
      </c:legendEntry>
      <c:overlay val="0"/>
    </c:legend>
    <c:plotVisOnly val="1"/>
    <c:dispBlanksAs val="gap"/>
    <c:showDLblsOverMax val="0"/>
  </c:chart>
  <c:spPr>
    <a:gradFill>
      <a:gsLst>
        <a:gs pos="0">
          <a:srgbClr val="FFFFFF"/>
        </a:gs>
        <a:gs pos="29000">
          <a:srgbClr val="E6E6E6">
            <a:lumMod val="99000"/>
            <a:lumOff val="1000"/>
          </a:srgbClr>
        </a:gs>
        <a:gs pos="47000">
          <a:srgbClr val="E6E6E6"/>
        </a:gs>
        <a:gs pos="100000">
          <a:srgbClr val="E6E6E6"/>
        </a:gs>
      </a:gsLst>
      <a:lin ang="3600000" scaled="0"/>
    </a:gradFill>
  </c:spPr>
  <c:externalData r:id="rId1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  <c14:dropZoneSeries val="1"/>
        <c14:dropZonesVisible val="1"/>
      </c14:pivotOptions>
    </c:ext>
  </c:extLst>
</c:chartSpace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44412-AF4A-4534-97FD-A1B2EBA1A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3CFBD4E9.dotm</Template>
  <TotalTime>222</TotalTime>
  <Pages>30</Pages>
  <Words>6310</Words>
  <Characters>37232</Characters>
  <Application>Microsoft Office Word</Application>
  <DocSecurity>0</DocSecurity>
  <Lines>310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43456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Sekce technologií 4.0Oddělení strategie S32018</dc:subject>
  <dc:creator>Svobodová Alena</dc:creator>
  <cp:keywords/>
  <dc:description/>
  <cp:lastModifiedBy>Maroušková Ludmila</cp:lastModifiedBy>
  <cp:revision>125</cp:revision>
  <cp:lastPrinted>2018-05-02T06:45:00Z</cp:lastPrinted>
  <dcterms:created xsi:type="dcterms:W3CDTF">2018-05-02T05:37:00Z</dcterms:created>
  <dcterms:modified xsi:type="dcterms:W3CDTF">2018-05-10T09:27:00Z</dcterms:modified>
</cp:coreProperties>
</file>