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34B0" w:rsidRPr="00DE1F54" w:rsidRDefault="000734B0" w:rsidP="000734B0">
      <w:pPr>
        <w:pStyle w:val="Nadpis4"/>
        <w:numPr>
          <w:ilvl w:val="3"/>
          <w:numId w:val="0"/>
        </w:numPr>
        <w:spacing w:before="240" w:after="120"/>
        <w:ind w:left="864" w:hanging="864"/>
        <w:rPr>
          <w:rFonts w:ascii="Arial" w:eastAsia="Arial" w:hAnsi="Arial" w:cs="Arial"/>
          <w:sz w:val="20"/>
          <w:szCs w:val="20"/>
          <w:lang w:eastAsia="cs-CZ"/>
        </w:rPr>
      </w:pPr>
      <w:bookmarkStart w:id="0" w:name="_Toc473707895"/>
      <w:proofErr w:type="spellStart"/>
      <w:r w:rsidRPr="00DE1F54">
        <w:rPr>
          <w:rFonts w:ascii="Arial" w:eastAsia="Arial" w:hAnsi="Arial" w:cs="Arial"/>
          <w:sz w:val="20"/>
          <w:szCs w:val="20"/>
          <w:lang w:eastAsia="cs-CZ"/>
        </w:rPr>
        <w:t>Vertikalizační</w:t>
      </w:r>
      <w:proofErr w:type="spellEnd"/>
      <w:r w:rsidRPr="00DE1F54">
        <w:rPr>
          <w:rFonts w:ascii="Arial" w:eastAsia="Arial" w:hAnsi="Arial" w:cs="Arial"/>
          <w:sz w:val="20"/>
          <w:szCs w:val="20"/>
          <w:lang w:eastAsia="cs-CZ"/>
        </w:rPr>
        <w:t xml:space="preserve"> matice </w:t>
      </w:r>
      <w:r w:rsidRPr="009529DE">
        <w:rPr>
          <w:rFonts w:ascii="Arial" w:eastAsia="Arial" w:hAnsi="Arial" w:cs="Arial"/>
          <w:sz w:val="20"/>
          <w:szCs w:val="20"/>
          <w:lang w:eastAsia="cs-CZ"/>
        </w:rPr>
        <w:t>–</w:t>
      </w:r>
      <w:r w:rsidRPr="00DE1F54">
        <w:rPr>
          <w:rFonts w:ascii="Arial" w:eastAsia="Arial" w:hAnsi="Arial" w:cs="Arial"/>
          <w:sz w:val="20"/>
          <w:szCs w:val="20"/>
          <w:lang w:eastAsia="cs-CZ"/>
        </w:rPr>
        <w:t xml:space="preserve"> Přehled DOMÉN INTELIGENTNÍ SPECIALIZACE</w:t>
      </w:r>
      <w:r w:rsidRPr="00DE1F54">
        <w:rPr>
          <w:rStyle w:val="Znakapoznpodarou"/>
          <w:rFonts w:ascii="Arial" w:eastAsia="Arial" w:hAnsi="Arial" w:cs="Arial"/>
          <w:sz w:val="20"/>
          <w:szCs w:val="20"/>
          <w:lang w:eastAsia="cs-CZ"/>
        </w:rPr>
        <w:footnoteReference w:id="1"/>
      </w:r>
      <w:r w:rsidRPr="00DE1F54">
        <w:rPr>
          <w:rFonts w:ascii="Arial" w:eastAsia="Arial" w:hAnsi="Arial" w:cs="Arial"/>
          <w:sz w:val="20"/>
          <w:szCs w:val="20"/>
          <w:lang w:eastAsia="cs-CZ"/>
        </w:rPr>
        <w:t xml:space="preserve">: </w:t>
      </w:r>
      <w:r>
        <w:rPr>
          <w:rFonts w:ascii="Arial" w:eastAsia="Arial" w:hAnsi="Arial" w:cs="Arial"/>
          <w:sz w:val="20"/>
          <w:szCs w:val="20"/>
          <w:lang w:eastAsia="cs-CZ"/>
        </w:rPr>
        <w:t>klíčová</w:t>
      </w:r>
      <w:r w:rsidRPr="00DE1F54">
        <w:rPr>
          <w:rFonts w:ascii="Arial" w:eastAsia="Arial" w:hAnsi="Arial" w:cs="Arial"/>
          <w:sz w:val="20"/>
          <w:szCs w:val="20"/>
          <w:lang w:eastAsia="cs-CZ"/>
        </w:rPr>
        <w:t xml:space="preserve"> aplikační odvětví/témat</w:t>
      </w:r>
      <w:r>
        <w:rPr>
          <w:rFonts w:ascii="Arial" w:eastAsia="Arial" w:hAnsi="Arial" w:cs="Arial"/>
          <w:sz w:val="20"/>
          <w:szCs w:val="20"/>
          <w:lang w:eastAsia="cs-CZ"/>
        </w:rPr>
        <w:t xml:space="preserve">a vs. </w:t>
      </w:r>
      <w:r w:rsidRPr="00DE1F54">
        <w:rPr>
          <w:rFonts w:ascii="Arial" w:eastAsia="Arial" w:hAnsi="Arial" w:cs="Arial"/>
          <w:sz w:val="20"/>
          <w:szCs w:val="20"/>
          <w:lang w:eastAsia="cs-CZ"/>
        </w:rPr>
        <w:t>generick</w:t>
      </w:r>
      <w:r>
        <w:rPr>
          <w:rFonts w:ascii="Arial" w:eastAsia="Arial" w:hAnsi="Arial" w:cs="Arial"/>
          <w:sz w:val="20"/>
          <w:szCs w:val="20"/>
          <w:lang w:eastAsia="cs-CZ"/>
        </w:rPr>
        <w:t>é</w:t>
      </w:r>
      <w:r w:rsidRPr="00DE1F54">
        <w:rPr>
          <w:rFonts w:ascii="Arial" w:eastAsia="Arial" w:hAnsi="Arial" w:cs="Arial"/>
          <w:sz w:val="20"/>
          <w:szCs w:val="20"/>
          <w:lang w:eastAsia="cs-CZ"/>
        </w:rPr>
        <w:t xml:space="preserve"> znalostní domén</w:t>
      </w:r>
      <w:r>
        <w:rPr>
          <w:rFonts w:ascii="Arial" w:eastAsia="Arial" w:hAnsi="Arial" w:cs="Arial"/>
          <w:sz w:val="20"/>
          <w:szCs w:val="20"/>
          <w:lang w:eastAsia="cs-CZ"/>
        </w:rPr>
        <w:t>y</w:t>
      </w:r>
      <w:r w:rsidRPr="00DE1F54">
        <w:rPr>
          <w:rFonts w:ascii="Arial" w:eastAsia="Arial" w:hAnsi="Arial" w:cs="Arial"/>
          <w:sz w:val="20"/>
          <w:szCs w:val="20"/>
          <w:lang w:eastAsia="cs-CZ"/>
        </w:rPr>
        <w:t xml:space="preserve"> (</w:t>
      </w:r>
      <w:r>
        <w:rPr>
          <w:rFonts w:ascii="Arial" w:eastAsia="Arial" w:hAnsi="Arial" w:cs="Arial"/>
          <w:sz w:val="20"/>
          <w:szCs w:val="20"/>
          <w:lang w:eastAsia="cs-CZ"/>
        </w:rPr>
        <w:t xml:space="preserve">relevantní průniky </w:t>
      </w:r>
      <w:r w:rsidRPr="00DE1F54">
        <w:rPr>
          <w:rFonts w:ascii="Arial" w:eastAsia="Arial" w:hAnsi="Arial" w:cs="Arial"/>
          <w:sz w:val="20"/>
          <w:szCs w:val="20"/>
          <w:lang w:eastAsia="cs-CZ"/>
        </w:rPr>
        <w:t>zaostřen</w:t>
      </w:r>
      <w:r>
        <w:rPr>
          <w:rFonts w:ascii="Arial" w:eastAsia="Arial" w:hAnsi="Arial" w:cs="Arial"/>
          <w:sz w:val="20"/>
          <w:szCs w:val="20"/>
          <w:lang w:eastAsia="cs-CZ"/>
        </w:rPr>
        <w:t>é</w:t>
      </w:r>
      <w:r w:rsidRPr="00DE1F54">
        <w:rPr>
          <w:rFonts w:ascii="Arial" w:eastAsia="Arial" w:hAnsi="Arial" w:cs="Arial"/>
          <w:sz w:val="20"/>
          <w:szCs w:val="20"/>
          <w:lang w:eastAsia="cs-CZ"/>
        </w:rPr>
        <w:t>/zpřesněn</w:t>
      </w:r>
      <w:r>
        <w:rPr>
          <w:rFonts w:ascii="Arial" w:eastAsia="Arial" w:hAnsi="Arial" w:cs="Arial"/>
          <w:sz w:val="20"/>
          <w:szCs w:val="20"/>
          <w:lang w:eastAsia="cs-CZ"/>
        </w:rPr>
        <w:t>é</w:t>
      </w:r>
      <w:r w:rsidRPr="00DE1F54">
        <w:rPr>
          <w:rFonts w:ascii="Arial" w:eastAsia="Arial" w:hAnsi="Arial" w:cs="Arial"/>
          <w:sz w:val="20"/>
          <w:szCs w:val="20"/>
          <w:lang w:eastAsia="cs-CZ"/>
        </w:rPr>
        <w:t xml:space="preserve"> na základě pokročilé fáze EDP</w:t>
      </w:r>
      <w:r>
        <w:rPr>
          <w:rFonts w:ascii="Arial" w:eastAsia="Arial" w:hAnsi="Arial" w:cs="Arial"/>
          <w:sz w:val="20"/>
          <w:szCs w:val="20"/>
          <w:lang w:eastAsia="cs-CZ"/>
        </w:rPr>
        <w:t xml:space="preserve"> jsou v matici označeny křížkem</w:t>
      </w:r>
      <w:r w:rsidRPr="00DE1F54">
        <w:rPr>
          <w:rFonts w:ascii="Arial" w:eastAsia="Arial" w:hAnsi="Arial" w:cs="Arial"/>
          <w:sz w:val="20"/>
          <w:szCs w:val="20"/>
          <w:lang w:eastAsia="cs-CZ"/>
        </w:rPr>
        <w:t>)</w:t>
      </w:r>
      <w:bookmarkEnd w:id="0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1"/>
        <w:gridCol w:w="501"/>
        <w:gridCol w:w="1548"/>
        <w:gridCol w:w="1138"/>
        <w:gridCol w:w="792"/>
        <w:gridCol w:w="927"/>
        <w:gridCol w:w="1217"/>
        <w:gridCol w:w="927"/>
        <w:gridCol w:w="941"/>
        <w:gridCol w:w="913"/>
        <w:gridCol w:w="800"/>
        <w:gridCol w:w="1468"/>
        <w:gridCol w:w="793"/>
        <w:gridCol w:w="902"/>
        <w:gridCol w:w="518"/>
        <w:gridCol w:w="514"/>
        <w:gridCol w:w="518"/>
        <w:gridCol w:w="793"/>
        <w:gridCol w:w="1119"/>
        <w:gridCol w:w="1156"/>
        <w:gridCol w:w="776"/>
        <w:gridCol w:w="945"/>
        <w:gridCol w:w="776"/>
        <w:gridCol w:w="637"/>
      </w:tblGrid>
      <w:tr w:rsidR="000734B0" w:rsidRPr="00A705B6" w:rsidTr="00B62586">
        <w:trPr>
          <w:trHeight w:val="450"/>
        </w:trPr>
        <w:tc>
          <w:tcPr>
            <w:tcW w:w="617" w:type="pct"/>
            <w:gridSpan w:val="3"/>
            <w:tcBorders>
              <w:top w:val="single" w:sz="12" w:space="0" w:color="80A1B6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4F81BD"/>
            <w:vAlign w:val="center"/>
          </w:tcPr>
          <w:p w:rsidR="000734B0" w:rsidRPr="00DE1F54" w:rsidDel="00441809" w:rsidRDefault="000734B0" w:rsidP="006A41AB">
            <w:pPr>
              <w:spacing w:after="0" w:line="240" w:lineRule="auto"/>
              <w:rPr>
                <w:rFonts w:ascii="Arial,Times New Roman" w:eastAsia="Arial,Times New Roman" w:hAnsi="Arial,Times New Roman" w:cs="Arial,Times New Roman"/>
                <w:b/>
                <w:bCs/>
                <w:color w:val="FFFFFF"/>
                <w:sz w:val="16"/>
                <w:szCs w:val="16"/>
                <w:lang w:eastAsia="cs-CZ"/>
              </w:rPr>
            </w:pPr>
          </w:p>
        </w:tc>
        <w:tc>
          <w:tcPr>
            <w:tcW w:w="3346" w:type="pct"/>
            <w:gridSpan w:val="16"/>
            <w:tcBorders>
              <w:top w:val="single" w:sz="12" w:space="0" w:color="80A1B6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4F81BD"/>
            <w:vAlign w:val="center"/>
          </w:tcPr>
          <w:p w:rsidR="000734B0" w:rsidRPr="00DE1F54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>
              <w:rPr>
                <w:rFonts w:ascii="Arial" w:eastAsia="Arial,Times New Roman" w:hAnsi="Arial" w:cs="Arial"/>
                <w:b/>
                <w:bCs/>
                <w:color w:val="FFFFFF"/>
                <w:sz w:val="20"/>
                <w:lang w:eastAsia="cs-CZ"/>
              </w:rPr>
              <w:t xml:space="preserve">KLÍČOVÁ </w:t>
            </w:r>
            <w:r w:rsidRPr="00DE1F54">
              <w:rPr>
                <w:rFonts w:ascii="Arial" w:eastAsia="Arial,Times New Roman" w:hAnsi="Arial" w:cs="Arial"/>
                <w:b/>
                <w:bCs/>
                <w:color w:val="FFFFFF"/>
                <w:sz w:val="20"/>
                <w:lang w:eastAsia="cs-CZ"/>
              </w:rPr>
              <w:t>APLIKAČNÍ ODVĚTVÍ/TÉMATA</w:t>
            </w:r>
            <w:r w:rsidRPr="00DE1F54">
              <w:rPr>
                <w:rStyle w:val="Znakapoznpodarou"/>
                <w:rFonts w:ascii="Arial" w:eastAsia="Arial,Times New Roman" w:hAnsi="Arial" w:cs="Arial"/>
                <w:b/>
                <w:bCs/>
                <w:color w:val="FFFFFF"/>
                <w:sz w:val="20"/>
                <w:lang w:eastAsia="cs-CZ"/>
              </w:rPr>
              <w:footnoteReference w:id="2"/>
            </w:r>
            <w:r w:rsidRPr="00DE1F54">
              <w:rPr>
                <w:rFonts w:ascii="Arial" w:eastAsia="Arial,Times New Roman" w:hAnsi="Arial" w:cs="Arial"/>
                <w:b/>
                <w:bCs/>
                <w:color w:val="FFFFFF"/>
                <w:sz w:val="20"/>
                <w:lang w:eastAsia="cs-CZ"/>
              </w:rPr>
              <w:t xml:space="preserve">  (zaostřená na základě pokročil</w:t>
            </w:r>
            <w:r>
              <w:rPr>
                <w:rFonts w:ascii="Arial" w:eastAsia="Arial,Times New Roman" w:hAnsi="Arial" w:cs="Arial"/>
                <w:b/>
                <w:bCs/>
                <w:color w:val="FFFFFF"/>
                <w:sz w:val="20"/>
                <w:lang w:eastAsia="cs-CZ"/>
              </w:rPr>
              <w:t>é</w:t>
            </w:r>
            <w:r w:rsidRPr="00DE1F54">
              <w:rPr>
                <w:rFonts w:ascii="Arial" w:eastAsia="Arial,Times New Roman" w:hAnsi="Arial" w:cs="Arial"/>
                <w:b/>
                <w:bCs/>
                <w:color w:val="FFFFFF"/>
                <w:sz w:val="20"/>
                <w:lang w:eastAsia="cs-CZ"/>
              </w:rPr>
              <w:t xml:space="preserve"> fáze EDP v aktualizované Národní RIS3 strategii)</w:t>
            </w:r>
            <w:r>
              <w:rPr>
                <w:rFonts w:ascii="Arial" w:eastAsia="Arial,Times New Roman" w:hAnsi="Arial" w:cs="Arial"/>
                <w:b/>
                <w:bCs/>
                <w:color w:val="FFFFFF"/>
                <w:sz w:val="20"/>
                <w:lang w:eastAsia="cs-CZ"/>
              </w:rPr>
              <w:t xml:space="preserve"> – národní úroveň</w:t>
            </w:r>
          </w:p>
        </w:tc>
        <w:tc>
          <w:tcPr>
            <w:tcW w:w="1037" w:type="pct"/>
            <w:gridSpan w:val="5"/>
            <w:tcBorders>
              <w:top w:val="single" w:sz="12" w:space="0" w:color="80A1B6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8064A2"/>
            <w:vAlign w:val="center"/>
          </w:tcPr>
          <w:p w:rsidR="000734B0" w:rsidRPr="00DE1F54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DE1F54">
              <w:rPr>
                <w:rFonts w:ascii="Arial" w:eastAsia="Arial,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Krajsky specifick</w:t>
            </w:r>
            <w:r>
              <w:rPr>
                <w:rFonts w:ascii="Arial" w:eastAsia="Arial,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á</w:t>
            </w:r>
            <w:r w:rsidRPr="00DE1F54">
              <w:rPr>
                <w:rFonts w:ascii="Arial" w:eastAsia="Arial,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 xml:space="preserve"> aplikační o</w:t>
            </w:r>
            <w:r>
              <w:rPr>
                <w:rFonts w:ascii="Arial" w:eastAsia="Arial,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dvětví</w:t>
            </w:r>
            <w:r w:rsidRPr="00DE1F54">
              <w:rPr>
                <w:rFonts w:ascii="Arial" w:eastAsia="Arial,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/témata</w:t>
            </w:r>
            <w:r w:rsidRPr="00DE1F54">
              <w:rPr>
                <w:rStyle w:val="Znakapoznpodarou"/>
                <w:rFonts w:ascii="Arial" w:eastAsia="Arial,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footnoteReference w:id="3"/>
            </w:r>
          </w:p>
        </w:tc>
      </w:tr>
      <w:tr w:rsidR="000734B0" w:rsidRPr="00A705B6" w:rsidTr="00B62586">
        <w:trPr>
          <w:trHeight w:val="1478"/>
        </w:trPr>
        <w:tc>
          <w:tcPr>
            <w:tcW w:w="617" w:type="pct"/>
            <w:gridSpan w:val="3"/>
            <w:vMerge w:val="restart"/>
            <w:tcBorders>
              <w:top w:val="single" w:sz="12" w:space="0" w:color="80A1B6"/>
              <w:left w:val="single" w:sz="12" w:space="0" w:color="80A1B6"/>
              <w:right w:val="single" w:sz="12" w:space="0" w:color="80A1B6"/>
            </w:tcBorders>
            <w:shd w:val="clear" w:color="auto" w:fill="4F81BD"/>
            <w:vAlign w:val="center"/>
          </w:tcPr>
          <w:p w:rsidR="000734B0" w:rsidRPr="00CF6038" w:rsidRDefault="000734B0" w:rsidP="006A41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</w:p>
          <w:p w:rsidR="000734B0" w:rsidRPr="00CF6038" w:rsidRDefault="000734B0" w:rsidP="006A41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</w:p>
        </w:tc>
        <w:tc>
          <w:tcPr>
            <w:tcW w:w="690" w:type="pct"/>
            <w:gridSpan w:val="3"/>
            <w:tcBorders>
              <w:top w:val="single" w:sz="12" w:space="0" w:color="80A1B6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4F81BD"/>
            <w:vAlign w:val="center"/>
            <w:hideMark/>
          </w:tcPr>
          <w:p w:rsidR="000734B0" w:rsidRPr="00DE1F54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DE1F54">
              <w:rPr>
                <w:rFonts w:ascii="Arial" w:eastAsia="Arial,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 xml:space="preserve">Pokročilé stroje/technologie pro silný a globálně konkurenceschopný průmysl </w:t>
            </w:r>
          </w:p>
          <w:p w:rsidR="000734B0" w:rsidRPr="00DE1F54" w:rsidRDefault="000734B0" w:rsidP="006A41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</w:p>
          <w:p w:rsidR="000734B0" w:rsidRPr="00DE1F54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DE1F54">
              <w:rPr>
                <w:rFonts w:ascii="Arial" w:eastAsia="Arial,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 xml:space="preserve">(NIP I. </w:t>
            </w:r>
            <w:r w:rsidRPr="009529DE">
              <w:rPr>
                <w:rFonts w:ascii="Arial" w:eastAsia="Arial,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–</w:t>
            </w:r>
            <w:r w:rsidRPr="00DE1F54">
              <w:rPr>
                <w:rFonts w:ascii="Arial" w:eastAsia="Arial,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 xml:space="preserve"> Strojírenství, energetika a hutnictví)</w:t>
            </w:r>
          </w:p>
        </w:tc>
        <w:tc>
          <w:tcPr>
            <w:tcW w:w="450" w:type="pct"/>
            <w:gridSpan w:val="2"/>
            <w:tcBorders>
              <w:top w:val="single" w:sz="12" w:space="0" w:color="80A1B6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4F81BD"/>
            <w:vAlign w:val="center"/>
            <w:hideMark/>
          </w:tcPr>
          <w:p w:rsidR="000734B0" w:rsidRPr="00DE1F54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DE1F54">
              <w:rPr>
                <w:rFonts w:ascii="Arial" w:eastAsia="Arial,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 xml:space="preserve">Digital market </w:t>
            </w:r>
            <w:proofErr w:type="spellStart"/>
            <w:r w:rsidRPr="00DE1F54">
              <w:rPr>
                <w:rFonts w:ascii="Arial" w:eastAsia="Arial,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technologies</w:t>
            </w:r>
            <w:proofErr w:type="spellEnd"/>
            <w:r w:rsidRPr="00DE1F54">
              <w:rPr>
                <w:rFonts w:ascii="Arial" w:eastAsia="Arial,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 xml:space="preserve"> a elektrotechnika </w:t>
            </w:r>
          </w:p>
          <w:p w:rsidR="000734B0" w:rsidRPr="00DE1F54" w:rsidRDefault="000734B0" w:rsidP="006A41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</w:p>
          <w:p w:rsidR="000734B0" w:rsidRPr="00DE1F54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DE1F54">
              <w:rPr>
                <w:rFonts w:ascii="Arial" w:eastAsia="Arial,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 xml:space="preserve">(NIP II. </w:t>
            </w:r>
            <w:r w:rsidRPr="009529DE">
              <w:rPr>
                <w:rFonts w:ascii="Arial" w:eastAsia="Arial,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–</w:t>
            </w:r>
            <w:r w:rsidRPr="00DE1F54">
              <w:rPr>
                <w:rFonts w:ascii="Arial" w:eastAsia="Arial,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 xml:space="preserve"> Elektronika, elektrotechnika a ICT)</w:t>
            </w:r>
          </w:p>
        </w:tc>
        <w:tc>
          <w:tcPr>
            <w:tcW w:w="642" w:type="pct"/>
            <w:gridSpan w:val="3"/>
            <w:tcBorders>
              <w:top w:val="single" w:sz="12" w:space="0" w:color="80A1B6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4F81BD"/>
            <w:vAlign w:val="center"/>
            <w:hideMark/>
          </w:tcPr>
          <w:p w:rsidR="000734B0" w:rsidRPr="00DE1F54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DE1F54">
              <w:rPr>
                <w:rFonts w:ascii="Arial" w:eastAsia="Arial,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 xml:space="preserve">Dopravní prostředky pro 21. století </w:t>
            </w:r>
          </w:p>
          <w:p w:rsidR="000734B0" w:rsidRPr="00DE1F54" w:rsidRDefault="000734B0" w:rsidP="006A41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</w:p>
          <w:p w:rsidR="000734B0" w:rsidRPr="00DE1F54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DE1F54">
              <w:rPr>
                <w:rFonts w:ascii="Arial" w:eastAsia="Arial,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(NIP III. – Výroba dopravních prostředků)</w:t>
            </w:r>
          </w:p>
        </w:tc>
        <w:tc>
          <w:tcPr>
            <w:tcW w:w="352" w:type="pct"/>
            <w:tcBorders>
              <w:top w:val="single" w:sz="12" w:space="0" w:color="80A1B6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4F81BD"/>
            <w:vAlign w:val="center"/>
            <w:hideMark/>
          </w:tcPr>
          <w:p w:rsidR="000734B0" w:rsidRPr="00DE1F54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DE1F54">
              <w:rPr>
                <w:rFonts w:ascii="Arial" w:eastAsia="Arial,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 xml:space="preserve">Péče o zdraví, pokročilá medicína </w:t>
            </w:r>
          </w:p>
          <w:p w:rsidR="000734B0" w:rsidRPr="00DE1F54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DE1F54">
              <w:rPr>
                <w:rFonts w:ascii="Arial" w:eastAsia="Arial,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 xml:space="preserve">(NIP IV. </w:t>
            </w:r>
            <w:r w:rsidRPr="009529DE">
              <w:rPr>
                <w:rFonts w:ascii="Arial" w:eastAsia="Arial,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–</w:t>
            </w:r>
            <w:r w:rsidRPr="00DE1F54">
              <w:rPr>
                <w:rFonts w:ascii="Arial" w:eastAsia="Arial,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 xml:space="preserve"> Léčiva, biotechnologie, prostředky zdrav. </w:t>
            </w:r>
            <w:proofErr w:type="gramStart"/>
            <w:r w:rsidRPr="00DE1F54">
              <w:rPr>
                <w:rFonts w:ascii="Arial" w:eastAsia="Arial,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techniky</w:t>
            </w:r>
            <w:proofErr w:type="gramEnd"/>
            <w:r w:rsidRPr="00DE1F54">
              <w:rPr>
                <w:rFonts w:ascii="Arial" w:eastAsia="Arial,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 xml:space="preserve">, </w:t>
            </w:r>
            <w:proofErr w:type="spellStart"/>
            <w:r w:rsidRPr="00DE1F54">
              <w:rPr>
                <w:rFonts w:ascii="Arial" w:eastAsia="Arial,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Life</w:t>
            </w:r>
            <w:proofErr w:type="spellEnd"/>
            <w:r w:rsidRPr="00DE1F54">
              <w:rPr>
                <w:rFonts w:ascii="Arial" w:eastAsia="Arial,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DE1F54">
              <w:rPr>
                <w:rFonts w:ascii="Arial" w:eastAsia="Arial,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Sciences</w:t>
            </w:r>
            <w:proofErr w:type="spellEnd"/>
            <w:r w:rsidRPr="00DE1F54">
              <w:rPr>
                <w:rFonts w:ascii="Arial" w:eastAsia="Arial,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384" w:type="pct"/>
            <w:gridSpan w:val="2"/>
            <w:tcBorders>
              <w:top w:val="single" w:sz="12" w:space="0" w:color="80A1B6"/>
              <w:left w:val="single" w:sz="12" w:space="0" w:color="80A1B6"/>
              <w:right w:val="single" w:sz="12" w:space="0" w:color="80A1B6"/>
            </w:tcBorders>
            <w:shd w:val="clear" w:color="auto" w:fill="4F81BD"/>
            <w:vAlign w:val="center"/>
            <w:hideMark/>
          </w:tcPr>
          <w:p w:rsidR="000734B0" w:rsidRPr="00DE1F54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DE1F54">
              <w:rPr>
                <w:rFonts w:ascii="Arial" w:eastAsia="Arial,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 xml:space="preserve">Kulturní a kreativní odvětví </w:t>
            </w:r>
          </w:p>
          <w:p w:rsidR="000734B0" w:rsidRPr="00DE1F54" w:rsidRDefault="000734B0" w:rsidP="006A41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</w:p>
          <w:p w:rsidR="000734B0" w:rsidRPr="00DE1F54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DE1F54">
              <w:rPr>
                <w:rFonts w:ascii="Arial" w:eastAsia="Arial,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(NIP V.</w:t>
            </w:r>
            <w:r w:rsidRPr="00F534B7">
              <w:t xml:space="preserve"> </w:t>
            </w:r>
            <w:r w:rsidRPr="009529DE">
              <w:rPr>
                <w:rFonts w:ascii="Arial" w:eastAsia="Arial,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–</w:t>
            </w:r>
            <w:r w:rsidRPr="00DE1F54">
              <w:rPr>
                <w:rFonts w:ascii="Arial" w:eastAsia="Arial,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 xml:space="preserve"> Kulturní a kreativní průmysly)</w:t>
            </w:r>
          </w:p>
          <w:p w:rsidR="000734B0" w:rsidRPr="00DE1F54" w:rsidRDefault="000734B0" w:rsidP="006A41A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FFFFFF"/>
                <w:sz w:val="16"/>
                <w:szCs w:val="16"/>
                <w:lang w:eastAsia="cs-CZ"/>
              </w:rPr>
            </w:pPr>
          </w:p>
        </w:tc>
        <w:tc>
          <w:tcPr>
            <w:tcW w:w="572" w:type="pct"/>
            <w:gridSpan w:val="4"/>
            <w:tcBorders>
              <w:top w:val="single" w:sz="12" w:space="0" w:color="80A1B6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4F81BD"/>
            <w:vAlign w:val="center"/>
          </w:tcPr>
          <w:p w:rsidR="000734B0" w:rsidRPr="00DE1F54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DE1F54">
              <w:rPr>
                <w:rFonts w:ascii="Arial" w:eastAsia="Arial,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 xml:space="preserve">Zemědělství a životní prostředí </w:t>
            </w:r>
          </w:p>
          <w:p w:rsidR="000734B0" w:rsidRPr="00DE1F54" w:rsidRDefault="000734B0" w:rsidP="006A41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</w:p>
          <w:p w:rsidR="000734B0" w:rsidRPr="00DE1F54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DE1F54">
              <w:rPr>
                <w:rFonts w:ascii="Arial" w:eastAsia="Arial,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(NIP VI.)</w:t>
            </w:r>
          </w:p>
        </w:tc>
        <w:tc>
          <w:tcPr>
            <w:tcW w:w="256" w:type="pct"/>
            <w:tcBorders>
              <w:top w:val="single" w:sz="12" w:space="0" w:color="80A1B6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4F81BD"/>
            <w:vAlign w:val="center"/>
            <w:hideMark/>
          </w:tcPr>
          <w:p w:rsidR="000734B0" w:rsidRPr="00DE1F54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DE1F54">
              <w:rPr>
                <w:rFonts w:ascii="Arial" w:eastAsia="Arial,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Společenské výzvy</w:t>
            </w:r>
          </w:p>
          <w:p w:rsidR="000734B0" w:rsidRPr="00DE1F54" w:rsidRDefault="000734B0" w:rsidP="006A41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</w:p>
          <w:p w:rsidR="000734B0" w:rsidRPr="00DE1F54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DE1F54">
              <w:rPr>
                <w:rFonts w:ascii="Arial" w:eastAsia="Arial,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 xml:space="preserve"> (NIP VII.)</w:t>
            </w:r>
            <w:r w:rsidRPr="00DE1F54">
              <w:rPr>
                <w:rFonts w:ascii="Arial" w:hAnsi="Arial" w:cs="Arial"/>
                <w:color w:val="FFFFFF"/>
                <w:sz w:val="22"/>
                <w:vertAlign w:val="superscript"/>
              </w:rPr>
              <w:footnoteReference w:id="4"/>
            </w:r>
          </w:p>
        </w:tc>
        <w:tc>
          <w:tcPr>
            <w:tcW w:w="1037" w:type="pct"/>
            <w:gridSpan w:val="5"/>
            <w:tcBorders>
              <w:top w:val="single" w:sz="12" w:space="0" w:color="80A1B6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8064A2"/>
            <w:vAlign w:val="center"/>
          </w:tcPr>
          <w:p w:rsidR="000734B0" w:rsidRPr="00DE1F54" w:rsidRDefault="000734B0" w:rsidP="006A41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color w:val="FFFFFF"/>
                <w:sz w:val="16"/>
                <w:szCs w:val="16"/>
                <w:lang w:eastAsia="cs-CZ"/>
              </w:rPr>
            </w:pPr>
          </w:p>
        </w:tc>
      </w:tr>
      <w:tr w:rsidR="000734B0" w:rsidRPr="00A705B6" w:rsidTr="00B62586">
        <w:trPr>
          <w:cantSplit/>
          <w:trHeight w:val="1692"/>
        </w:trPr>
        <w:tc>
          <w:tcPr>
            <w:tcW w:w="617" w:type="pct"/>
            <w:gridSpan w:val="3"/>
            <w:vMerge/>
            <w:tcBorders>
              <w:left w:val="single" w:sz="12" w:space="0" w:color="80A1B6"/>
              <w:bottom w:val="single" w:sz="12" w:space="0" w:color="80A1B6"/>
              <w:right w:val="single" w:sz="12" w:space="0" w:color="80A1B6"/>
            </w:tcBorders>
            <w:shd w:val="clear" w:color="000000" w:fill="4F81BD"/>
            <w:vAlign w:val="center"/>
          </w:tcPr>
          <w:p w:rsidR="000734B0" w:rsidRPr="00CF6038" w:rsidRDefault="000734B0" w:rsidP="006A41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</w:p>
        </w:tc>
        <w:tc>
          <w:tcPr>
            <w:tcW w:w="274" w:type="pct"/>
            <w:tcBorders>
              <w:top w:val="single" w:sz="4" w:space="0" w:color="80A1B6"/>
              <w:left w:val="single" w:sz="12" w:space="0" w:color="80A1B6"/>
              <w:bottom w:val="single" w:sz="12" w:space="0" w:color="80A1B6"/>
              <w:right w:val="single" w:sz="8" w:space="0" w:color="80A1B6"/>
            </w:tcBorders>
            <w:shd w:val="clear" w:color="auto" w:fill="B8CCE4"/>
            <w:vAlign w:val="center"/>
            <w:hideMark/>
          </w:tcPr>
          <w:p w:rsidR="000734B0" w:rsidRPr="00DE1F54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</w:pPr>
            <w:r w:rsidRPr="00DE1F54"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  <w:t xml:space="preserve">Strojírenství </w:t>
            </w:r>
            <w:proofErr w:type="spellStart"/>
            <w:r w:rsidRPr="00DE1F54"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  <w:t>mechatronika</w:t>
            </w:r>
            <w:proofErr w:type="spellEnd"/>
          </w:p>
        </w:tc>
        <w:tc>
          <w:tcPr>
            <w:tcW w:w="192" w:type="pct"/>
            <w:tcBorders>
              <w:top w:val="single" w:sz="4" w:space="0" w:color="80A1B6"/>
              <w:left w:val="single" w:sz="8" w:space="0" w:color="80A1B6"/>
              <w:bottom w:val="single" w:sz="12" w:space="0" w:color="80A1B6"/>
              <w:right w:val="single" w:sz="8" w:space="0" w:color="80A1B6"/>
            </w:tcBorders>
            <w:shd w:val="clear" w:color="auto" w:fill="B8CCE4"/>
            <w:vAlign w:val="center"/>
            <w:hideMark/>
          </w:tcPr>
          <w:p w:rsidR="000734B0" w:rsidRPr="00DE1F54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</w:pPr>
            <w:r w:rsidRPr="00DE1F54"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  <w:t>Hutnictví</w:t>
            </w:r>
          </w:p>
        </w:tc>
        <w:tc>
          <w:tcPr>
            <w:tcW w:w="224" w:type="pct"/>
            <w:tcBorders>
              <w:top w:val="single" w:sz="4" w:space="0" w:color="80A1B6"/>
              <w:left w:val="single" w:sz="8" w:space="0" w:color="80A1B6"/>
              <w:bottom w:val="single" w:sz="12" w:space="0" w:color="80A1B6"/>
              <w:right w:val="single" w:sz="12" w:space="0" w:color="80A1B6"/>
            </w:tcBorders>
            <w:shd w:val="clear" w:color="auto" w:fill="B8CCE4"/>
            <w:vAlign w:val="center"/>
            <w:hideMark/>
          </w:tcPr>
          <w:p w:rsidR="000734B0" w:rsidRPr="00DE1F54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</w:pPr>
            <w:r w:rsidRPr="00DE1F54"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  <w:t>Energetika</w:t>
            </w:r>
          </w:p>
        </w:tc>
        <w:tc>
          <w:tcPr>
            <w:tcW w:w="226" w:type="pct"/>
            <w:tcBorders>
              <w:top w:val="single" w:sz="4" w:space="0" w:color="80A1B6"/>
              <w:left w:val="single" w:sz="12" w:space="0" w:color="80A1B6"/>
              <w:bottom w:val="single" w:sz="12" w:space="0" w:color="80A1B6"/>
              <w:right w:val="single" w:sz="8" w:space="0" w:color="80A1B6"/>
            </w:tcBorders>
            <w:shd w:val="clear" w:color="auto" w:fill="B8CCE4"/>
            <w:vAlign w:val="center"/>
            <w:hideMark/>
          </w:tcPr>
          <w:p w:rsidR="000734B0" w:rsidRPr="00DE1F54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</w:pPr>
            <w:r w:rsidRPr="00DE1F54"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  <w:t>Elektronika a elektrotechnika v digitálním věku</w:t>
            </w:r>
          </w:p>
        </w:tc>
        <w:tc>
          <w:tcPr>
            <w:tcW w:w="224" w:type="pct"/>
            <w:tcBorders>
              <w:top w:val="single" w:sz="4" w:space="0" w:color="80A1B6"/>
              <w:left w:val="single" w:sz="8" w:space="0" w:color="80A1B6"/>
              <w:bottom w:val="single" w:sz="12" w:space="0" w:color="80A1B6"/>
              <w:right w:val="single" w:sz="12" w:space="0" w:color="80A1B6"/>
            </w:tcBorders>
            <w:shd w:val="clear" w:color="auto" w:fill="B8CCE4"/>
            <w:vAlign w:val="center"/>
            <w:hideMark/>
          </w:tcPr>
          <w:p w:rsidR="000734B0" w:rsidRPr="00DE1F54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</w:pPr>
            <w:r w:rsidRPr="00DE1F54"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  <w:t>Digitální ekonomika a digitální obsah</w:t>
            </w:r>
          </w:p>
        </w:tc>
        <w:tc>
          <w:tcPr>
            <w:tcW w:w="224" w:type="pct"/>
            <w:tcBorders>
              <w:top w:val="single" w:sz="4" w:space="0" w:color="80A1B6"/>
              <w:left w:val="single" w:sz="12" w:space="0" w:color="80A1B6"/>
              <w:bottom w:val="single" w:sz="12" w:space="0" w:color="80A1B6"/>
              <w:right w:val="single" w:sz="8" w:space="0" w:color="80A1B6"/>
            </w:tcBorders>
            <w:shd w:val="clear" w:color="auto" w:fill="B8CCE4"/>
            <w:vAlign w:val="center"/>
            <w:hideMark/>
          </w:tcPr>
          <w:p w:rsidR="000734B0" w:rsidRPr="00DE1F54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</w:pPr>
            <w:proofErr w:type="spellStart"/>
            <w:r w:rsidRPr="00DE1F54"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  <w:t>Automotive</w:t>
            </w:r>
            <w:proofErr w:type="spellEnd"/>
          </w:p>
        </w:tc>
        <w:tc>
          <w:tcPr>
            <w:tcW w:w="224" w:type="pct"/>
            <w:tcBorders>
              <w:top w:val="single" w:sz="4" w:space="0" w:color="80A1B6"/>
              <w:left w:val="single" w:sz="8" w:space="0" w:color="80A1B6"/>
              <w:bottom w:val="single" w:sz="12" w:space="0" w:color="80A1B6"/>
              <w:right w:val="single" w:sz="8" w:space="0" w:color="80A1B6"/>
            </w:tcBorders>
            <w:shd w:val="clear" w:color="auto" w:fill="B8CCE4"/>
            <w:vAlign w:val="center"/>
            <w:hideMark/>
          </w:tcPr>
          <w:p w:rsidR="000734B0" w:rsidRPr="00DE1F54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</w:pPr>
            <w:r w:rsidRPr="00DE1F54"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  <w:t>Železniční a kolejová vozidla</w:t>
            </w:r>
          </w:p>
        </w:tc>
        <w:tc>
          <w:tcPr>
            <w:tcW w:w="194" w:type="pct"/>
            <w:tcBorders>
              <w:top w:val="single" w:sz="4" w:space="0" w:color="80A1B6"/>
              <w:left w:val="single" w:sz="8" w:space="0" w:color="80A1B6"/>
              <w:right w:val="single" w:sz="12" w:space="0" w:color="80A1B6"/>
            </w:tcBorders>
            <w:shd w:val="clear" w:color="auto" w:fill="B8CCE4"/>
            <w:vAlign w:val="center"/>
            <w:hideMark/>
          </w:tcPr>
          <w:p w:rsidR="000734B0" w:rsidRPr="00DE1F54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</w:pPr>
            <w:r w:rsidRPr="00DE1F54"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  <w:t>Letecký a kosmický průmysl</w:t>
            </w:r>
          </w:p>
        </w:tc>
        <w:tc>
          <w:tcPr>
            <w:tcW w:w="352" w:type="pct"/>
            <w:tcBorders>
              <w:top w:val="single" w:sz="4" w:space="0" w:color="80A1B6"/>
              <w:left w:val="single" w:sz="12" w:space="0" w:color="80A1B6"/>
              <w:bottom w:val="single" w:sz="12" w:space="0" w:color="80A1B6"/>
              <w:right w:val="single" w:sz="12" w:space="0" w:color="80A1B6"/>
            </w:tcBorders>
            <w:shd w:val="clear" w:color="auto" w:fill="B8CCE4"/>
            <w:vAlign w:val="center"/>
            <w:hideMark/>
          </w:tcPr>
          <w:p w:rsidR="000734B0" w:rsidRPr="00DE1F54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</w:pPr>
            <w:r w:rsidRPr="00DE1F54"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  <w:t xml:space="preserve">Léčiva, biotechnologie, prostředky zdravotnické techniky a </w:t>
            </w:r>
            <w:proofErr w:type="spellStart"/>
            <w:r w:rsidRPr="00DE1F54"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  <w:t>Life</w:t>
            </w:r>
            <w:proofErr w:type="spellEnd"/>
            <w:r w:rsidRPr="00DE1F54"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DE1F54"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  <w:t>Sciences</w:t>
            </w:r>
            <w:proofErr w:type="spellEnd"/>
          </w:p>
        </w:tc>
        <w:tc>
          <w:tcPr>
            <w:tcW w:w="192" w:type="pct"/>
            <w:tcBorders>
              <w:top w:val="single" w:sz="4" w:space="0" w:color="80A1B6"/>
              <w:left w:val="single" w:sz="12" w:space="0" w:color="80A1B6"/>
              <w:bottom w:val="single" w:sz="12" w:space="0" w:color="80A1B6"/>
              <w:right w:val="single" w:sz="8" w:space="0" w:color="80A1B6"/>
            </w:tcBorders>
            <w:shd w:val="clear" w:color="auto" w:fill="B8CCE4"/>
            <w:vAlign w:val="center"/>
            <w:hideMark/>
          </w:tcPr>
          <w:p w:rsidR="000734B0" w:rsidRPr="00DE1F54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</w:pPr>
            <w:r w:rsidRPr="00DE1F54"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  <w:t>Tradiční kulturní a kreativní průmysly</w:t>
            </w:r>
          </w:p>
        </w:tc>
        <w:tc>
          <w:tcPr>
            <w:tcW w:w="192" w:type="pct"/>
            <w:tcBorders>
              <w:top w:val="single" w:sz="4" w:space="0" w:color="80A1B6"/>
              <w:left w:val="single" w:sz="8" w:space="0" w:color="80A1B6"/>
              <w:bottom w:val="single" w:sz="12" w:space="0" w:color="80A1B6"/>
              <w:right w:val="single" w:sz="12" w:space="0" w:color="80A1B6"/>
            </w:tcBorders>
            <w:shd w:val="clear" w:color="auto" w:fill="B8CCE4"/>
            <w:vAlign w:val="center"/>
            <w:hideMark/>
          </w:tcPr>
          <w:p w:rsidR="000734B0" w:rsidRPr="00DE1F54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</w:pPr>
            <w:r w:rsidRPr="00DE1F54"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  <w:t>Nové kulturní a kreativní průmysly</w:t>
            </w:r>
            <w:r w:rsidRPr="00DE1F54">
              <w:rPr>
                <w:bCs/>
                <w:color w:val="365F91"/>
              </w:rPr>
              <w:footnoteReference w:id="5"/>
            </w:r>
          </w:p>
        </w:tc>
        <w:tc>
          <w:tcPr>
            <w:tcW w:w="127" w:type="pct"/>
            <w:tcBorders>
              <w:top w:val="single" w:sz="4" w:space="0" w:color="80A1B6"/>
              <w:left w:val="single" w:sz="12" w:space="0" w:color="80A1B6"/>
              <w:bottom w:val="single" w:sz="12" w:space="0" w:color="80A1B6"/>
              <w:right w:val="single" w:sz="12" w:space="0" w:color="80A1B6"/>
            </w:tcBorders>
            <w:shd w:val="clear" w:color="auto" w:fill="B8CCE4"/>
            <w:textDirection w:val="btLr"/>
            <w:vAlign w:val="center"/>
          </w:tcPr>
          <w:p w:rsidR="000734B0" w:rsidRPr="00DE1F54" w:rsidRDefault="000734B0" w:rsidP="006A41AB">
            <w:pPr>
              <w:spacing w:after="0" w:line="240" w:lineRule="auto"/>
              <w:ind w:left="113" w:right="113"/>
              <w:jc w:val="center"/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</w:pPr>
            <w:r w:rsidRPr="00DE1F54"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  <w:t xml:space="preserve">Udržitelné hospodaření s přírodními zdroji; </w:t>
            </w:r>
          </w:p>
        </w:tc>
        <w:tc>
          <w:tcPr>
            <w:tcW w:w="126" w:type="pct"/>
            <w:tcBorders>
              <w:top w:val="single" w:sz="4" w:space="0" w:color="80A1B6"/>
              <w:left w:val="single" w:sz="12" w:space="0" w:color="80A1B6"/>
              <w:bottom w:val="single" w:sz="12" w:space="0" w:color="80A1B6"/>
              <w:right w:val="single" w:sz="12" w:space="0" w:color="80A1B6"/>
            </w:tcBorders>
            <w:shd w:val="clear" w:color="auto" w:fill="B8CCE4"/>
            <w:textDirection w:val="btLr"/>
            <w:vAlign w:val="center"/>
          </w:tcPr>
          <w:p w:rsidR="000734B0" w:rsidRPr="00DE1F54" w:rsidRDefault="000734B0" w:rsidP="006A41AB">
            <w:pPr>
              <w:spacing w:after="0" w:line="240" w:lineRule="auto"/>
              <w:ind w:left="113" w:right="113"/>
              <w:jc w:val="center"/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</w:pPr>
            <w:r w:rsidRPr="00DE1F54"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  <w:t xml:space="preserve">Udržitelné zemědělství a lesnictví; </w:t>
            </w:r>
          </w:p>
        </w:tc>
        <w:tc>
          <w:tcPr>
            <w:tcW w:w="127" w:type="pct"/>
            <w:tcBorders>
              <w:top w:val="single" w:sz="4" w:space="0" w:color="80A1B6"/>
              <w:left w:val="single" w:sz="12" w:space="0" w:color="80A1B6"/>
              <w:bottom w:val="single" w:sz="12" w:space="0" w:color="80A1B6"/>
              <w:right w:val="single" w:sz="12" w:space="0" w:color="80A1B6"/>
            </w:tcBorders>
            <w:shd w:val="clear" w:color="auto" w:fill="B8CCE4"/>
            <w:textDirection w:val="btLr"/>
            <w:vAlign w:val="center"/>
          </w:tcPr>
          <w:p w:rsidR="000734B0" w:rsidRPr="00DE1F54" w:rsidRDefault="000734B0" w:rsidP="006A41AB">
            <w:pPr>
              <w:spacing w:after="0" w:line="240" w:lineRule="auto"/>
              <w:ind w:left="113" w:right="113"/>
              <w:jc w:val="center"/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</w:pPr>
            <w:r w:rsidRPr="00DE1F54"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  <w:t xml:space="preserve">Udržitelná produkce potravin; </w:t>
            </w:r>
          </w:p>
        </w:tc>
        <w:tc>
          <w:tcPr>
            <w:tcW w:w="192" w:type="pct"/>
            <w:tcBorders>
              <w:top w:val="single" w:sz="4" w:space="0" w:color="80A1B6"/>
              <w:left w:val="single" w:sz="12" w:space="0" w:color="80A1B6"/>
              <w:bottom w:val="single" w:sz="12" w:space="0" w:color="80A1B6"/>
              <w:right w:val="single" w:sz="12" w:space="0" w:color="80A1B6"/>
            </w:tcBorders>
            <w:shd w:val="clear" w:color="auto" w:fill="B8CCE4"/>
            <w:textDirection w:val="btLr"/>
            <w:vAlign w:val="center"/>
          </w:tcPr>
          <w:p w:rsidR="000734B0" w:rsidRPr="00DE1F54" w:rsidRDefault="000734B0" w:rsidP="006A41AB">
            <w:pPr>
              <w:spacing w:after="0" w:line="240" w:lineRule="auto"/>
              <w:ind w:left="113" w:right="113"/>
              <w:jc w:val="center"/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</w:pPr>
            <w:r w:rsidRPr="00DE1F54"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  <w:t xml:space="preserve">Zajištění zdravého a kvalitního životního prostředí a efektivní využívání </w:t>
            </w:r>
            <w:proofErr w:type="spellStart"/>
            <w:r w:rsidRPr="00DE1F54"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  <w:t>přír</w:t>
            </w:r>
            <w:proofErr w:type="spellEnd"/>
            <w:r w:rsidRPr="00DE1F54"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  <w:t xml:space="preserve">. </w:t>
            </w:r>
            <w:proofErr w:type="gramStart"/>
            <w:r w:rsidRPr="00DE1F54"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  <w:t>zdrojů</w:t>
            </w:r>
            <w:proofErr w:type="gramEnd"/>
          </w:p>
        </w:tc>
        <w:tc>
          <w:tcPr>
            <w:tcW w:w="256" w:type="pct"/>
            <w:tcBorders>
              <w:top w:val="single" w:sz="4" w:space="0" w:color="80A1B6"/>
              <w:left w:val="single" w:sz="12" w:space="0" w:color="80A1B6"/>
              <w:bottom w:val="single" w:sz="12" w:space="0" w:color="80A1B6"/>
              <w:right w:val="single" w:sz="12" w:space="0" w:color="80A1B6"/>
            </w:tcBorders>
            <w:shd w:val="clear" w:color="auto" w:fill="B8CCE4"/>
            <w:vAlign w:val="center"/>
            <w:hideMark/>
          </w:tcPr>
          <w:p w:rsidR="000734B0" w:rsidRPr="00DE1F54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</w:pPr>
            <w:r w:rsidRPr="00DE1F54"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  <w:t>Bezpečnostní výzkum; Výzkum ve zdravotnictví; Práce, soc. služby a důchodový systém</w:t>
            </w:r>
          </w:p>
        </w:tc>
        <w:tc>
          <w:tcPr>
            <w:tcW w:w="278" w:type="pct"/>
            <w:tcBorders>
              <w:top w:val="single" w:sz="4" w:space="0" w:color="80A1B6"/>
              <w:left w:val="single" w:sz="12" w:space="0" w:color="80A1B6"/>
              <w:bottom w:val="single" w:sz="12" w:space="0" w:color="80A1B6"/>
              <w:right w:val="single" w:sz="12" w:space="0" w:color="80A1B6"/>
            </w:tcBorders>
            <w:shd w:val="clear" w:color="auto" w:fill="CCC0D9"/>
            <w:textDirection w:val="btLr"/>
          </w:tcPr>
          <w:p w:rsidR="000734B0" w:rsidRPr="00DE1F54" w:rsidRDefault="000734B0" w:rsidP="006A41AB">
            <w:pPr>
              <w:spacing w:after="0" w:line="240" w:lineRule="auto"/>
              <w:ind w:left="113" w:right="113"/>
              <w:jc w:val="center"/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</w:pPr>
            <w:r w:rsidRPr="00DE1F54"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  <w:t xml:space="preserve">Chemie a chemický </w:t>
            </w:r>
            <w:proofErr w:type="gramStart"/>
            <w:r w:rsidRPr="00DE1F54"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  <w:t>průmysl –  kraje</w:t>
            </w:r>
            <w:proofErr w:type="gramEnd"/>
            <w:r w:rsidRPr="00DE1F54"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  <w:t xml:space="preserve">: Karlovarský, Olomoucký, </w:t>
            </w:r>
            <w:proofErr w:type="gramStart"/>
            <w:r w:rsidRPr="00DE1F54"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  <w:t>Středočeský  Ústecký</w:t>
            </w:r>
            <w:proofErr w:type="gramEnd"/>
            <w:r w:rsidRPr="00DE1F54"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  <w:t xml:space="preserve">, Pardubický </w:t>
            </w:r>
          </w:p>
        </w:tc>
        <w:tc>
          <w:tcPr>
            <w:tcW w:w="188" w:type="pct"/>
            <w:tcBorders>
              <w:top w:val="single" w:sz="4" w:space="0" w:color="80A1B6"/>
              <w:left w:val="single" w:sz="12" w:space="0" w:color="80A1B6"/>
              <w:bottom w:val="single" w:sz="12" w:space="0" w:color="80A1B6"/>
              <w:right w:val="single" w:sz="12" w:space="0" w:color="80A1B6"/>
            </w:tcBorders>
            <w:shd w:val="clear" w:color="auto" w:fill="CCC0D9"/>
            <w:textDirection w:val="btLr"/>
          </w:tcPr>
          <w:p w:rsidR="000734B0" w:rsidRPr="00DE1F54" w:rsidRDefault="000734B0" w:rsidP="006A41AB">
            <w:pPr>
              <w:spacing w:after="0" w:line="240" w:lineRule="auto"/>
              <w:ind w:left="113" w:right="113"/>
              <w:jc w:val="center"/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</w:pPr>
            <w:r w:rsidRPr="00DE1F54"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  <w:t>Sklářství a keramika – kraje: Ústecký, Karlovarský, Liberecký</w:t>
            </w:r>
          </w:p>
        </w:tc>
        <w:tc>
          <w:tcPr>
            <w:tcW w:w="228" w:type="pct"/>
            <w:tcBorders>
              <w:top w:val="single" w:sz="4" w:space="0" w:color="80A1B6"/>
              <w:left w:val="single" w:sz="12" w:space="0" w:color="80A1B6"/>
              <w:bottom w:val="single" w:sz="12" w:space="0" w:color="80A1B6"/>
              <w:right w:val="single" w:sz="12" w:space="0" w:color="80A1B6"/>
            </w:tcBorders>
            <w:shd w:val="clear" w:color="auto" w:fill="CCC0D9"/>
            <w:textDirection w:val="btLr"/>
          </w:tcPr>
          <w:p w:rsidR="000734B0" w:rsidRPr="00DE1F54" w:rsidRDefault="000734B0" w:rsidP="006A41AB">
            <w:pPr>
              <w:spacing w:after="0" w:line="240" w:lineRule="auto"/>
              <w:ind w:left="113" w:right="113"/>
              <w:jc w:val="center"/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</w:pPr>
            <w:r w:rsidRPr="00DE1F54"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  <w:t xml:space="preserve">Gumárenství a </w:t>
            </w:r>
            <w:proofErr w:type="spellStart"/>
            <w:r w:rsidRPr="00DE1F54"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  <w:t>plastikářství</w:t>
            </w:r>
            <w:proofErr w:type="spellEnd"/>
            <w:r w:rsidRPr="00DE1F54"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  <w:t xml:space="preserve"> – kraje: Karlovarský, Královéhradecký, Zlínský  </w:t>
            </w:r>
          </w:p>
          <w:p w:rsidR="000734B0" w:rsidRPr="00DE1F54" w:rsidRDefault="000734B0" w:rsidP="006A41AB">
            <w:pPr>
              <w:spacing w:after="0" w:line="240" w:lineRule="auto"/>
              <w:ind w:left="113" w:right="113"/>
              <w:jc w:val="center"/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</w:pPr>
          </w:p>
          <w:p w:rsidR="000734B0" w:rsidRPr="00DE1F54" w:rsidRDefault="000734B0" w:rsidP="006A41AB">
            <w:pPr>
              <w:spacing w:after="0" w:line="240" w:lineRule="auto"/>
              <w:ind w:left="113" w:right="113"/>
              <w:jc w:val="center"/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</w:pPr>
          </w:p>
        </w:tc>
        <w:tc>
          <w:tcPr>
            <w:tcW w:w="188" w:type="pct"/>
            <w:tcBorders>
              <w:top w:val="single" w:sz="4" w:space="0" w:color="80A1B6"/>
              <w:left w:val="single" w:sz="12" w:space="0" w:color="80A1B6"/>
              <w:bottom w:val="single" w:sz="12" w:space="0" w:color="80A1B6"/>
              <w:right w:val="single" w:sz="12" w:space="0" w:color="80A1B6"/>
            </w:tcBorders>
            <w:shd w:val="clear" w:color="auto" w:fill="CCC0D9"/>
            <w:textDirection w:val="btLr"/>
          </w:tcPr>
          <w:p w:rsidR="000734B0" w:rsidRPr="00DE1F54" w:rsidRDefault="000734B0" w:rsidP="006A41AB">
            <w:pPr>
              <w:spacing w:after="0" w:line="240" w:lineRule="auto"/>
              <w:ind w:left="113" w:right="113"/>
              <w:jc w:val="center"/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</w:pPr>
            <w:r w:rsidRPr="00DE1F54"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  <w:t xml:space="preserve">Textil – kraje: Pardubický, </w:t>
            </w:r>
            <w:proofErr w:type="gramStart"/>
            <w:r w:rsidRPr="00DE1F54"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  <w:t>Liberecký,  Královéhradecký</w:t>
            </w:r>
            <w:proofErr w:type="gramEnd"/>
          </w:p>
          <w:p w:rsidR="000734B0" w:rsidRPr="00DE1F54" w:rsidRDefault="000734B0" w:rsidP="006A41AB">
            <w:pPr>
              <w:spacing w:after="0" w:line="240" w:lineRule="auto"/>
              <w:ind w:left="113" w:right="113"/>
              <w:jc w:val="center"/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</w:pPr>
          </w:p>
        </w:tc>
        <w:tc>
          <w:tcPr>
            <w:tcW w:w="155" w:type="pct"/>
            <w:tcBorders>
              <w:top w:val="single" w:sz="4" w:space="0" w:color="80A1B6"/>
              <w:left w:val="single" w:sz="12" w:space="0" w:color="80A1B6"/>
              <w:bottom w:val="single" w:sz="12" w:space="0" w:color="80A1B6"/>
              <w:right w:val="single" w:sz="12" w:space="0" w:color="80A1B6"/>
            </w:tcBorders>
            <w:shd w:val="clear" w:color="auto" w:fill="CCC0D9"/>
            <w:textDirection w:val="btLr"/>
          </w:tcPr>
          <w:p w:rsidR="000734B0" w:rsidRPr="00DE1F54" w:rsidRDefault="000734B0" w:rsidP="006A41AB">
            <w:pPr>
              <w:spacing w:after="0" w:line="240" w:lineRule="auto"/>
              <w:ind w:left="113" w:right="113"/>
              <w:jc w:val="center"/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</w:pPr>
            <w:r w:rsidRPr="00DE1F54"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  <w:t>Balneologie a lázeňství – kraj: Karlovarský</w:t>
            </w:r>
          </w:p>
        </w:tc>
      </w:tr>
      <w:tr w:rsidR="000734B0" w:rsidRPr="00A705B6" w:rsidTr="00B62586">
        <w:trPr>
          <w:trHeight w:val="567"/>
        </w:trPr>
        <w:tc>
          <w:tcPr>
            <w:tcW w:w="123" w:type="pct"/>
            <w:vMerge w:val="restart"/>
            <w:tcBorders>
              <w:top w:val="single" w:sz="12" w:space="0" w:color="80A1B6"/>
              <w:left w:val="single" w:sz="12" w:space="0" w:color="80A1B6"/>
              <w:right w:val="single" w:sz="12" w:space="0" w:color="80A1B6"/>
            </w:tcBorders>
            <w:shd w:val="clear" w:color="auto" w:fill="76923C"/>
            <w:textDirection w:val="btLr"/>
            <w:vAlign w:val="center"/>
          </w:tcPr>
          <w:p w:rsidR="000734B0" w:rsidRPr="00DE1F54" w:rsidRDefault="000734B0" w:rsidP="006A41AB">
            <w:pPr>
              <w:spacing w:after="0" w:line="240" w:lineRule="auto"/>
              <w:ind w:left="113" w:right="113"/>
              <w:jc w:val="center"/>
              <w:rPr>
                <w:rFonts w:ascii="Arial" w:eastAsia="Arial,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DE1F54">
              <w:rPr>
                <w:rFonts w:ascii="Arial" w:eastAsia="Arial,Times New Roman" w:hAnsi="Arial" w:cs="Arial"/>
                <w:b/>
                <w:bCs/>
                <w:color w:val="FFFFFF"/>
                <w:sz w:val="20"/>
                <w:lang w:eastAsia="cs-CZ"/>
              </w:rPr>
              <w:t>GENERICKÉ ZNALOSTNÍ DOMÉNY</w:t>
            </w:r>
            <w:r w:rsidRPr="00DE1F54">
              <w:rPr>
                <w:rStyle w:val="Znakapoznpodarou"/>
                <w:rFonts w:ascii="Arial" w:eastAsia="Arial,Times New Roman" w:hAnsi="Arial" w:cs="Arial"/>
                <w:bCs/>
                <w:color w:val="FFFFFF"/>
                <w:sz w:val="20"/>
                <w:lang w:eastAsia="cs-CZ"/>
              </w:rPr>
              <w:footnoteReference w:id="6"/>
            </w:r>
          </w:p>
        </w:tc>
        <w:tc>
          <w:tcPr>
            <w:tcW w:w="123" w:type="pct"/>
            <w:vMerge w:val="restart"/>
            <w:tcBorders>
              <w:top w:val="single" w:sz="12" w:space="0" w:color="80A1B6"/>
              <w:left w:val="single" w:sz="12" w:space="0" w:color="80A1B6"/>
              <w:right w:val="single" w:sz="12" w:space="0" w:color="80A1B6"/>
            </w:tcBorders>
            <w:shd w:val="clear" w:color="auto" w:fill="C2D69B"/>
            <w:textDirection w:val="btLr"/>
            <w:vAlign w:val="center"/>
          </w:tcPr>
          <w:p w:rsidR="000734B0" w:rsidRPr="00DE1F54" w:rsidRDefault="000734B0" w:rsidP="006A41AB">
            <w:pPr>
              <w:spacing w:after="0" w:line="240" w:lineRule="auto"/>
              <w:ind w:left="113" w:right="113"/>
              <w:rPr>
                <w:rFonts w:ascii="Arial" w:eastAsia="Arial,Times New Roman" w:hAnsi="Arial" w:cs="Arial"/>
                <w:b/>
                <w:bCs/>
                <w:color w:val="365F91"/>
                <w:sz w:val="16"/>
                <w:szCs w:val="16"/>
                <w:lang w:eastAsia="cs-CZ"/>
              </w:rPr>
            </w:pPr>
            <w:proofErr w:type="spellStart"/>
            <w:r w:rsidRPr="00DE1F54">
              <w:rPr>
                <w:rFonts w:ascii="Arial" w:eastAsia="Arial,Times New Roman" w:hAnsi="Arial" w:cs="Arial"/>
                <w:b/>
                <w:bCs/>
                <w:color w:val="365F91"/>
                <w:sz w:val="16"/>
                <w:szCs w:val="16"/>
                <w:lang w:eastAsia="cs-CZ"/>
              </w:rPr>
              <w:t>Key</w:t>
            </w:r>
            <w:proofErr w:type="spellEnd"/>
            <w:r w:rsidRPr="00DE1F54">
              <w:rPr>
                <w:rFonts w:ascii="Arial" w:eastAsia="Arial,Times New Roman" w:hAnsi="Arial" w:cs="Arial"/>
                <w:b/>
                <w:bCs/>
                <w:color w:val="365F91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DE1F54">
              <w:rPr>
                <w:rFonts w:ascii="Arial" w:eastAsia="Arial,Times New Roman" w:hAnsi="Arial" w:cs="Arial"/>
                <w:b/>
                <w:bCs/>
                <w:color w:val="365F91"/>
                <w:sz w:val="16"/>
                <w:szCs w:val="16"/>
                <w:lang w:eastAsia="cs-CZ"/>
              </w:rPr>
              <w:t>enabling</w:t>
            </w:r>
            <w:proofErr w:type="spellEnd"/>
            <w:r w:rsidRPr="00DE1F54">
              <w:rPr>
                <w:rFonts w:ascii="Arial" w:eastAsia="Arial,Times New Roman" w:hAnsi="Arial" w:cs="Arial"/>
                <w:b/>
                <w:bCs/>
                <w:color w:val="365F91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DE1F54">
              <w:rPr>
                <w:rFonts w:ascii="Arial" w:eastAsia="Arial,Times New Roman" w:hAnsi="Arial" w:cs="Arial"/>
                <w:b/>
                <w:bCs/>
                <w:color w:val="365F91"/>
                <w:sz w:val="16"/>
                <w:szCs w:val="16"/>
                <w:lang w:eastAsia="cs-CZ"/>
              </w:rPr>
              <w:t>technologies</w:t>
            </w:r>
            <w:proofErr w:type="spellEnd"/>
            <w:r w:rsidRPr="00DE1F54">
              <w:rPr>
                <w:rFonts w:ascii="Arial" w:eastAsia="Arial,Times New Roman" w:hAnsi="Arial" w:cs="Arial"/>
                <w:b/>
                <w:bCs/>
                <w:color w:val="365F91"/>
                <w:sz w:val="16"/>
                <w:szCs w:val="16"/>
                <w:lang w:eastAsia="cs-CZ"/>
              </w:rPr>
              <w:t xml:space="preserve"> (</w:t>
            </w:r>
            <w:proofErr w:type="spellStart"/>
            <w:r w:rsidRPr="00DE1F54">
              <w:rPr>
                <w:rFonts w:ascii="Arial" w:eastAsia="Arial,Times New Roman" w:hAnsi="Arial" w:cs="Arial"/>
                <w:b/>
                <w:bCs/>
                <w:color w:val="365F91"/>
                <w:sz w:val="16"/>
                <w:szCs w:val="16"/>
                <w:lang w:eastAsia="cs-CZ"/>
              </w:rPr>
              <w:t>KETs</w:t>
            </w:r>
            <w:proofErr w:type="spellEnd"/>
            <w:r w:rsidRPr="00DE1F54">
              <w:rPr>
                <w:rFonts w:ascii="Arial" w:eastAsia="Arial,Times New Roman" w:hAnsi="Arial" w:cs="Arial"/>
                <w:b/>
                <w:bCs/>
                <w:color w:val="365F91"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371" w:type="pct"/>
            <w:tcBorders>
              <w:top w:val="single" w:sz="12" w:space="0" w:color="80A1B6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D6E3BC"/>
            <w:vAlign w:val="center"/>
          </w:tcPr>
          <w:p w:rsidR="000734B0" w:rsidRPr="00DE1F54" w:rsidRDefault="000734B0" w:rsidP="006A41AB">
            <w:pPr>
              <w:spacing w:after="0" w:line="240" w:lineRule="auto"/>
              <w:rPr>
                <w:rFonts w:ascii="Arial" w:eastAsia="Arial,Times New Roman" w:hAnsi="Arial" w:cs="Arial"/>
                <w:b/>
                <w:bCs/>
                <w:color w:val="365F91"/>
                <w:sz w:val="16"/>
                <w:szCs w:val="16"/>
                <w:lang w:eastAsia="cs-CZ"/>
              </w:rPr>
            </w:pPr>
            <w:r w:rsidRPr="00DE1F54">
              <w:rPr>
                <w:rFonts w:ascii="Arial" w:eastAsia="Arial,Times New Roman" w:hAnsi="Arial" w:cs="Arial"/>
                <w:b/>
                <w:bCs/>
                <w:color w:val="365F91"/>
                <w:sz w:val="16"/>
                <w:szCs w:val="16"/>
                <w:lang w:eastAsia="cs-CZ"/>
              </w:rPr>
              <w:t>Pokročilé materiály</w:t>
            </w:r>
          </w:p>
        </w:tc>
        <w:tc>
          <w:tcPr>
            <w:tcW w:w="274" w:type="pct"/>
            <w:tcBorders>
              <w:top w:val="single" w:sz="12" w:space="0" w:color="80A1B6"/>
              <w:left w:val="single" w:sz="12" w:space="0" w:color="80A1B6"/>
              <w:bottom w:val="single" w:sz="4" w:space="0" w:color="80A1B6"/>
              <w:right w:val="single" w:sz="4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192" w:type="pct"/>
            <w:tcBorders>
              <w:top w:val="single" w:sz="12" w:space="0" w:color="80A1B6"/>
              <w:left w:val="nil"/>
              <w:bottom w:val="single" w:sz="4" w:space="0" w:color="80A1B6"/>
              <w:right w:val="single" w:sz="4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24" w:type="pct"/>
            <w:tcBorders>
              <w:top w:val="single" w:sz="12" w:space="0" w:color="80A1B6"/>
              <w:left w:val="nil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26" w:type="pct"/>
            <w:tcBorders>
              <w:top w:val="single" w:sz="12" w:space="0" w:color="80A1B6"/>
              <w:left w:val="single" w:sz="12" w:space="0" w:color="80A1B6"/>
              <w:bottom w:val="single" w:sz="4" w:space="0" w:color="80A1B6"/>
              <w:right w:val="single" w:sz="4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24" w:type="pct"/>
            <w:tcBorders>
              <w:top w:val="single" w:sz="12" w:space="0" w:color="80A1B6"/>
              <w:left w:val="nil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24" w:type="pct"/>
            <w:tcBorders>
              <w:top w:val="single" w:sz="12" w:space="0" w:color="80A1B6"/>
              <w:left w:val="single" w:sz="12" w:space="0" w:color="80A1B6"/>
              <w:bottom w:val="single" w:sz="4" w:space="0" w:color="80A1B6"/>
              <w:right w:val="single" w:sz="4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24" w:type="pct"/>
            <w:tcBorders>
              <w:top w:val="single" w:sz="12" w:space="0" w:color="80A1B6"/>
              <w:left w:val="nil"/>
              <w:bottom w:val="single" w:sz="4" w:space="0" w:color="80A1B6"/>
              <w:right w:val="single" w:sz="4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194" w:type="pct"/>
            <w:tcBorders>
              <w:top w:val="single" w:sz="12" w:space="0" w:color="80A1B6"/>
              <w:left w:val="nil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352" w:type="pct"/>
            <w:tcBorders>
              <w:top w:val="single" w:sz="12" w:space="0" w:color="80A1B6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192" w:type="pct"/>
            <w:tcBorders>
              <w:top w:val="single" w:sz="12" w:space="0" w:color="80A1B6"/>
              <w:left w:val="single" w:sz="12" w:space="0" w:color="80A1B6"/>
              <w:bottom w:val="single" w:sz="4" w:space="0" w:color="80A1B6"/>
              <w:right w:val="single" w:sz="4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192" w:type="pct"/>
            <w:tcBorders>
              <w:top w:val="single" w:sz="12" w:space="0" w:color="80A1B6"/>
              <w:left w:val="nil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127" w:type="pct"/>
            <w:tcBorders>
              <w:top w:val="single" w:sz="12" w:space="0" w:color="80A1B6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126" w:type="pct"/>
            <w:tcBorders>
              <w:top w:val="single" w:sz="12" w:space="0" w:color="80A1B6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127" w:type="pct"/>
            <w:tcBorders>
              <w:top w:val="single" w:sz="12" w:space="0" w:color="80A1B6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192" w:type="pct"/>
            <w:tcBorders>
              <w:top w:val="single" w:sz="12" w:space="0" w:color="80A1B6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56" w:type="pct"/>
            <w:tcBorders>
              <w:top w:val="single" w:sz="12" w:space="0" w:color="80A1B6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78" w:type="pct"/>
            <w:tcBorders>
              <w:top w:val="single" w:sz="12" w:space="0" w:color="80A1B6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  <w:t>X</w:t>
            </w:r>
          </w:p>
        </w:tc>
        <w:tc>
          <w:tcPr>
            <w:tcW w:w="188" w:type="pct"/>
            <w:tcBorders>
              <w:top w:val="single" w:sz="12" w:space="0" w:color="80A1B6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  <w:t>X</w:t>
            </w:r>
          </w:p>
        </w:tc>
        <w:tc>
          <w:tcPr>
            <w:tcW w:w="228" w:type="pct"/>
            <w:tcBorders>
              <w:top w:val="single" w:sz="12" w:space="0" w:color="80A1B6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  <w:t>X</w:t>
            </w:r>
          </w:p>
        </w:tc>
        <w:tc>
          <w:tcPr>
            <w:tcW w:w="188" w:type="pct"/>
            <w:tcBorders>
              <w:top w:val="single" w:sz="12" w:space="0" w:color="80A1B6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  <w:t>X</w:t>
            </w:r>
          </w:p>
        </w:tc>
        <w:tc>
          <w:tcPr>
            <w:tcW w:w="155" w:type="pct"/>
            <w:tcBorders>
              <w:top w:val="single" w:sz="12" w:space="0" w:color="80A1B6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highlight w:val="yellow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  <w:t>X</w:t>
            </w:r>
          </w:p>
        </w:tc>
      </w:tr>
      <w:tr w:rsidR="000734B0" w:rsidRPr="00A705B6" w:rsidTr="00B62586">
        <w:trPr>
          <w:trHeight w:val="567"/>
        </w:trPr>
        <w:tc>
          <w:tcPr>
            <w:tcW w:w="123" w:type="pct"/>
            <w:vMerge/>
            <w:tcBorders>
              <w:left w:val="single" w:sz="12" w:space="0" w:color="80A1B6"/>
              <w:right w:val="single" w:sz="12" w:space="0" w:color="80A1B6"/>
            </w:tcBorders>
            <w:shd w:val="clear" w:color="auto" w:fill="76923C"/>
          </w:tcPr>
          <w:p w:rsidR="000734B0" w:rsidRPr="00DE1F54" w:rsidRDefault="000734B0" w:rsidP="006A41AB">
            <w:pPr>
              <w:spacing w:after="0" w:line="240" w:lineRule="auto"/>
              <w:rPr>
                <w:rFonts w:ascii="Arial" w:eastAsia="Times New Roman" w:hAnsi="Arial" w:cs="Arial"/>
                <w:b/>
                <w:color w:val="FFFFFF"/>
                <w:sz w:val="16"/>
                <w:szCs w:val="16"/>
                <w:lang w:eastAsia="cs-CZ"/>
              </w:rPr>
            </w:pPr>
          </w:p>
        </w:tc>
        <w:tc>
          <w:tcPr>
            <w:tcW w:w="123" w:type="pct"/>
            <w:vMerge/>
            <w:tcBorders>
              <w:left w:val="single" w:sz="12" w:space="0" w:color="80A1B6"/>
              <w:right w:val="single" w:sz="12" w:space="0" w:color="80A1B6"/>
            </w:tcBorders>
            <w:shd w:val="clear" w:color="auto" w:fill="C2D69B"/>
            <w:vAlign w:val="center"/>
          </w:tcPr>
          <w:p w:rsidR="000734B0" w:rsidRPr="00DE1F54" w:rsidRDefault="000734B0" w:rsidP="006A41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65F91"/>
                <w:sz w:val="16"/>
                <w:szCs w:val="16"/>
                <w:lang w:eastAsia="cs-CZ"/>
              </w:rPr>
            </w:pPr>
          </w:p>
        </w:tc>
        <w:tc>
          <w:tcPr>
            <w:tcW w:w="371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D6E3BC"/>
            <w:vAlign w:val="center"/>
          </w:tcPr>
          <w:p w:rsidR="000734B0" w:rsidRPr="00DE1F54" w:rsidRDefault="00495D68" w:rsidP="006A41AB">
            <w:pPr>
              <w:spacing w:after="0" w:line="240" w:lineRule="auto"/>
              <w:rPr>
                <w:rFonts w:ascii="Arial" w:eastAsia="Arial,Times New Roman" w:hAnsi="Arial" w:cs="Arial"/>
                <w:b/>
                <w:bCs/>
                <w:color w:val="365F91"/>
                <w:sz w:val="16"/>
                <w:szCs w:val="16"/>
                <w:lang w:eastAsia="cs-CZ"/>
              </w:rPr>
            </w:pPr>
            <w:hyperlink w:anchor="RANGE!#ODKAZ!" w:history="1">
              <w:r w:rsidR="000734B0" w:rsidRPr="00DE1F54">
                <w:rPr>
                  <w:rFonts w:ascii="Arial" w:eastAsia="Arial,Times New Roman" w:hAnsi="Arial" w:cs="Arial"/>
                  <w:b/>
                  <w:bCs/>
                  <w:color w:val="365F91"/>
                  <w:sz w:val="16"/>
                  <w:szCs w:val="16"/>
                  <w:lang w:eastAsia="cs-CZ"/>
                </w:rPr>
                <w:t>Nanotechnologie</w:t>
              </w:r>
            </w:hyperlink>
            <w:r w:rsidR="000734B0" w:rsidRPr="00DE1F54">
              <w:rPr>
                <w:rFonts w:ascii="Arial" w:eastAsia="Arial,Times New Roman" w:hAnsi="Arial" w:cs="Arial"/>
                <w:b/>
                <w:bCs/>
                <w:color w:val="365F91"/>
                <w:sz w:val="20"/>
                <w:szCs w:val="18"/>
                <w:vertAlign w:val="superscript"/>
                <w:lang w:eastAsia="cs-CZ"/>
              </w:rPr>
              <w:footnoteReference w:id="7"/>
            </w:r>
          </w:p>
        </w:tc>
        <w:tc>
          <w:tcPr>
            <w:tcW w:w="274" w:type="pct"/>
            <w:tcBorders>
              <w:top w:val="nil"/>
              <w:left w:val="single" w:sz="12" w:space="0" w:color="80A1B6"/>
              <w:bottom w:val="single" w:sz="4" w:space="0" w:color="80A1B6"/>
              <w:right w:val="single" w:sz="4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192" w:type="pct"/>
            <w:tcBorders>
              <w:top w:val="single" w:sz="4" w:space="0" w:color="80A1B6"/>
              <w:left w:val="nil"/>
              <w:bottom w:val="single" w:sz="4" w:space="0" w:color="80A1B6"/>
              <w:right w:val="single" w:sz="4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26" w:type="pct"/>
            <w:tcBorders>
              <w:top w:val="nil"/>
              <w:left w:val="single" w:sz="12" w:space="0" w:color="80A1B6"/>
              <w:bottom w:val="single" w:sz="4" w:space="0" w:color="80A1B6"/>
              <w:right w:val="single" w:sz="4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24" w:type="pct"/>
            <w:tcBorders>
              <w:top w:val="nil"/>
              <w:left w:val="single" w:sz="12" w:space="0" w:color="80A1B6"/>
              <w:bottom w:val="single" w:sz="4" w:space="0" w:color="80A1B6"/>
              <w:right w:val="single" w:sz="4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80A1B6"/>
              <w:right w:val="single" w:sz="4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352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192" w:type="pct"/>
            <w:tcBorders>
              <w:top w:val="nil"/>
              <w:left w:val="single" w:sz="12" w:space="0" w:color="80A1B6"/>
              <w:bottom w:val="single" w:sz="4" w:space="0" w:color="80A1B6"/>
              <w:right w:val="single" w:sz="4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127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126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127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192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56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78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  <w:t>X</w:t>
            </w:r>
          </w:p>
        </w:tc>
        <w:tc>
          <w:tcPr>
            <w:tcW w:w="188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  <w:t>X</w:t>
            </w:r>
          </w:p>
        </w:tc>
        <w:tc>
          <w:tcPr>
            <w:tcW w:w="228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  <w:t>X</w:t>
            </w:r>
          </w:p>
        </w:tc>
        <w:tc>
          <w:tcPr>
            <w:tcW w:w="188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  <w:t>X</w:t>
            </w:r>
          </w:p>
        </w:tc>
        <w:tc>
          <w:tcPr>
            <w:tcW w:w="155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highlight w:val="yellow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  <w:t>X</w:t>
            </w:r>
          </w:p>
        </w:tc>
      </w:tr>
      <w:tr w:rsidR="000734B0" w:rsidRPr="00A705B6" w:rsidTr="00B62586">
        <w:trPr>
          <w:trHeight w:val="567"/>
        </w:trPr>
        <w:tc>
          <w:tcPr>
            <w:tcW w:w="123" w:type="pct"/>
            <w:vMerge/>
            <w:tcBorders>
              <w:left w:val="single" w:sz="12" w:space="0" w:color="80A1B6"/>
              <w:right w:val="single" w:sz="12" w:space="0" w:color="80A1B6"/>
            </w:tcBorders>
            <w:shd w:val="clear" w:color="auto" w:fill="76923C"/>
          </w:tcPr>
          <w:p w:rsidR="000734B0" w:rsidRPr="00DE1F54" w:rsidRDefault="000734B0" w:rsidP="006A41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</w:p>
        </w:tc>
        <w:tc>
          <w:tcPr>
            <w:tcW w:w="123" w:type="pct"/>
            <w:vMerge/>
            <w:tcBorders>
              <w:left w:val="single" w:sz="12" w:space="0" w:color="80A1B6"/>
              <w:right w:val="single" w:sz="12" w:space="0" w:color="80A1B6"/>
            </w:tcBorders>
            <w:shd w:val="clear" w:color="auto" w:fill="C2D69B"/>
            <w:vAlign w:val="center"/>
          </w:tcPr>
          <w:p w:rsidR="000734B0" w:rsidRPr="00DE1F54" w:rsidRDefault="000734B0" w:rsidP="006A41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65F91"/>
                <w:sz w:val="16"/>
                <w:szCs w:val="16"/>
                <w:lang w:eastAsia="cs-CZ"/>
              </w:rPr>
            </w:pPr>
          </w:p>
        </w:tc>
        <w:tc>
          <w:tcPr>
            <w:tcW w:w="371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D6E3BC"/>
            <w:vAlign w:val="center"/>
          </w:tcPr>
          <w:p w:rsidR="000734B0" w:rsidRPr="00DE1F54" w:rsidRDefault="000734B0" w:rsidP="006A41AB">
            <w:pPr>
              <w:spacing w:after="0" w:line="240" w:lineRule="auto"/>
              <w:rPr>
                <w:rFonts w:ascii="Arial" w:eastAsia="Arial,Times New Roman" w:hAnsi="Arial" w:cs="Arial"/>
                <w:b/>
                <w:bCs/>
                <w:color w:val="365F91"/>
                <w:sz w:val="16"/>
                <w:szCs w:val="16"/>
                <w:lang w:eastAsia="cs-CZ"/>
              </w:rPr>
            </w:pPr>
            <w:r w:rsidRPr="00DE1F54">
              <w:rPr>
                <w:rFonts w:ascii="Arial" w:eastAsia="Arial,Times New Roman" w:hAnsi="Arial" w:cs="Arial"/>
                <w:b/>
                <w:bCs/>
                <w:color w:val="365F91"/>
                <w:sz w:val="16"/>
                <w:szCs w:val="16"/>
                <w:lang w:eastAsia="cs-CZ"/>
              </w:rPr>
              <w:t xml:space="preserve">Mikro a </w:t>
            </w:r>
            <w:proofErr w:type="spellStart"/>
            <w:r w:rsidRPr="00DE1F54">
              <w:rPr>
                <w:rFonts w:ascii="Arial" w:eastAsia="Arial,Times New Roman" w:hAnsi="Arial" w:cs="Arial"/>
                <w:b/>
                <w:bCs/>
                <w:color w:val="365F91"/>
                <w:sz w:val="16"/>
                <w:szCs w:val="16"/>
                <w:lang w:eastAsia="cs-CZ"/>
              </w:rPr>
              <w:t>nanoelektronika</w:t>
            </w:r>
            <w:proofErr w:type="spellEnd"/>
          </w:p>
        </w:tc>
        <w:tc>
          <w:tcPr>
            <w:tcW w:w="274" w:type="pct"/>
            <w:tcBorders>
              <w:top w:val="nil"/>
              <w:left w:val="single" w:sz="12" w:space="0" w:color="80A1B6"/>
              <w:bottom w:val="single" w:sz="4" w:space="0" w:color="80A1B6"/>
              <w:right w:val="single" w:sz="4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192" w:type="pct"/>
            <w:tcBorders>
              <w:top w:val="single" w:sz="4" w:space="0" w:color="80A1B6"/>
              <w:left w:val="nil"/>
              <w:bottom w:val="single" w:sz="4" w:space="0" w:color="80A1B6"/>
              <w:right w:val="single" w:sz="4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26" w:type="pct"/>
            <w:tcBorders>
              <w:top w:val="nil"/>
              <w:left w:val="single" w:sz="12" w:space="0" w:color="80A1B6"/>
              <w:bottom w:val="single" w:sz="4" w:space="0" w:color="80A1B6"/>
              <w:right w:val="single" w:sz="4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24" w:type="pct"/>
            <w:tcBorders>
              <w:top w:val="nil"/>
              <w:left w:val="single" w:sz="12" w:space="0" w:color="80A1B6"/>
              <w:bottom w:val="single" w:sz="4" w:space="0" w:color="80A1B6"/>
              <w:right w:val="single" w:sz="4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80A1B6"/>
              <w:right w:val="single" w:sz="4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352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192" w:type="pct"/>
            <w:tcBorders>
              <w:top w:val="nil"/>
              <w:left w:val="single" w:sz="12" w:space="0" w:color="80A1B6"/>
              <w:bottom w:val="single" w:sz="4" w:space="0" w:color="80A1B6"/>
              <w:right w:val="single" w:sz="4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127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</w:p>
        </w:tc>
        <w:tc>
          <w:tcPr>
            <w:tcW w:w="126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</w:p>
        </w:tc>
        <w:tc>
          <w:tcPr>
            <w:tcW w:w="127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</w:p>
        </w:tc>
        <w:tc>
          <w:tcPr>
            <w:tcW w:w="192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</w:p>
        </w:tc>
        <w:tc>
          <w:tcPr>
            <w:tcW w:w="256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78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  <w:t>X</w:t>
            </w:r>
          </w:p>
        </w:tc>
        <w:tc>
          <w:tcPr>
            <w:tcW w:w="188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  <w:t>X</w:t>
            </w:r>
          </w:p>
        </w:tc>
        <w:tc>
          <w:tcPr>
            <w:tcW w:w="228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  <w:t>X</w:t>
            </w:r>
          </w:p>
        </w:tc>
        <w:tc>
          <w:tcPr>
            <w:tcW w:w="188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  <w:t>X</w:t>
            </w:r>
          </w:p>
        </w:tc>
        <w:tc>
          <w:tcPr>
            <w:tcW w:w="155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highlight w:val="yellow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  <w:t>X</w:t>
            </w:r>
          </w:p>
        </w:tc>
      </w:tr>
      <w:tr w:rsidR="000734B0" w:rsidRPr="00A705B6" w:rsidTr="00B62586">
        <w:trPr>
          <w:trHeight w:val="567"/>
        </w:trPr>
        <w:tc>
          <w:tcPr>
            <w:tcW w:w="123" w:type="pct"/>
            <w:vMerge/>
            <w:tcBorders>
              <w:left w:val="single" w:sz="12" w:space="0" w:color="80A1B6"/>
              <w:right w:val="single" w:sz="12" w:space="0" w:color="80A1B6"/>
            </w:tcBorders>
            <w:shd w:val="clear" w:color="auto" w:fill="76923C"/>
          </w:tcPr>
          <w:p w:rsidR="000734B0" w:rsidRPr="00DE1F54" w:rsidRDefault="000734B0" w:rsidP="006A41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</w:p>
        </w:tc>
        <w:tc>
          <w:tcPr>
            <w:tcW w:w="123" w:type="pct"/>
            <w:vMerge/>
            <w:tcBorders>
              <w:left w:val="single" w:sz="12" w:space="0" w:color="80A1B6"/>
              <w:right w:val="single" w:sz="12" w:space="0" w:color="80A1B6"/>
            </w:tcBorders>
            <w:shd w:val="clear" w:color="auto" w:fill="C2D69B"/>
            <w:vAlign w:val="center"/>
          </w:tcPr>
          <w:p w:rsidR="000734B0" w:rsidRPr="00DE1F54" w:rsidRDefault="000734B0" w:rsidP="006A41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65F91"/>
                <w:sz w:val="16"/>
                <w:szCs w:val="16"/>
                <w:lang w:eastAsia="cs-CZ"/>
              </w:rPr>
            </w:pPr>
          </w:p>
        </w:tc>
        <w:tc>
          <w:tcPr>
            <w:tcW w:w="371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D6E3BC"/>
            <w:vAlign w:val="center"/>
          </w:tcPr>
          <w:p w:rsidR="000734B0" w:rsidRPr="00DE1F54" w:rsidRDefault="000734B0" w:rsidP="006A41AB">
            <w:pPr>
              <w:spacing w:after="0" w:line="240" w:lineRule="auto"/>
              <w:rPr>
                <w:rFonts w:ascii="Arial" w:eastAsia="Arial,Times New Roman" w:hAnsi="Arial" w:cs="Arial"/>
                <w:b/>
                <w:bCs/>
                <w:color w:val="365F91"/>
                <w:sz w:val="16"/>
                <w:szCs w:val="16"/>
                <w:lang w:eastAsia="cs-CZ"/>
              </w:rPr>
            </w:pPr>
            <w:r w:rsidRPr="00DE1F54">
              <w:rPr>
                <w:rFonts w:ascii="Arial" w:eastAsia="Arial,Times New Roman" w:hAnsi="Arial" w:cs="Arial"/>
                <w:b/>
                <w:bCs/>
                <w:color w:val="365F91"/>
                <w:sz w:val="16"/>
                <w:szCs w:val="16"/>
                <w:lang w:eastAsia="cs-CZ"/>
              </w:rPr>
              <w:t>Pokročilé výrobní technologie</w:t>
            </w:r>
          </w:p>
        </w:tc>
        <w:tc>
          <w:tcPr>
            <w:tcW w:w="274" w:type="pct"/>
            <w:tcBorders>
              <w:top w:val="nil"/>
              <w:left w:val="single" w:sz="12" w:space="0" w:color="80A1B6"/>
              <w:bottom w:val="single" w:sz="4" w:space="0" w:color="80A1B6"/>
              <w:right w:val="single" w:sz="4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192" w:type="pct"/>
            <w:tcBorders>
              <w:top w:val="single" w:sz="4" w:space="0" w:color="80A1B6"/>
              <w:left w:val="nil"/>
              <w:bottom w:val="single" w:sz="4" w:space="0" w:color="80A1B6"/>
              <w:right w:val="single" w:sz="4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26" w:type="pct"/>
            <w:tcBorders>
              <w:top w:val="nil"/>
              <w:left w:val="single" w:sz="12" w:space="0" w:color="80A1B6"/>
              <w:bottom w:val="single" w:sz="4" w:space="0" w:color="80A1B6"/>
              <w:right w:val="single" w:sz="4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24" w:type="pct"/>
            <w:tcBorders>
              <w:top w:val="nil"/>
              <w:left w:val="single" w:sz="12" w:space="0" w:color="80A1B6"/>
              <w:bottom w:val="single" w:sz="4" w:space="0" w:color="80A1B6"/>
              <w:right w:val="single" w:sz="4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80A1B6"/>
              <w:right w:val="single" w:sz="4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352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192" w:type="pct"/>
            <w:tcBorders>
              <w:top w:val="nil"/>
              <w:left w:val="single" w:sz="12" w:space="0" w:color="80A1B6"/>
              <w:bottom w:val="single" w:sz="4" w:space="0" w:color="80A1B6"/>
              <w:right w:val="single" w:sz="4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127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126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127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192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56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78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  <w:t>X</w:t>
            </w:r>
          </w:p>
        </w:tc>
        <w:tc>
          <w:tcPr>
            <w:tcW w:w="188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  <w:t>X</w:t>
            </w:r>
          </w:p>
        </w:tc>
        <w:tc>
          <w:tcPr>
            <w:tcW w:w="228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  <w:t>X</w:t>
            </w:r>
          </w:p>
        </w:tc>
        <w:tc>
          <w:tcPr>
            <w:tcW w:w="188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  <w:t>X</w:t>
            </w:r>
          </w:p>
        </w:tc>
        <w:tc>
          <w:tcPr>
            <w:tcW w:w="155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highlight w:val="yellow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  <w:t>X</w:t>
            </w:r>
          </w:p>
        </w:tc>
      </w:tr>
      <w:tr w:rsidR="000734B0" w:rsidRPr="00A705B6" w:rsidTr="00B62586">
        <w:trPr>
          <w:trHeight w:val="567"/>
        </w:trPr>
        <w:tc>
          <w:tcPr>
            <w:tcW w:w="123" w:type="pct"/>
            <w:vMerge/>
            <w:tcBorders>
              <w:left w:val="single" w:sz="12" w:space="0" w:color="80A1B6"/>
              <w:right w:val="single" w:sz="12" w:space="0" w:color="80A1B6"/>
            </w:tcBorders>
            <w:shd w:val="clear" w:color="auto" w:fill="76923C"/>
          </w:tcPr>
          <w:p w:rsidR="000734B0" w:rsidRPr="00DE1F54" w:rsidRDefault="000734B0" w:rsidP="006A41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</w:p>
        </w:tc>
        <w:tc>
          <w:tcPr>
            <w:tcW w:w="123" w:type="pct"/>
            <w:vMerge/>
            <w:tcBorders>
              <w:left w:val="single" w:sz="12" w:space="0" w:color="80A1B6"/>
              <w:right w:val="single" w:sz="12" w:space="0" w:color="80A1B6"/>
            </w:tcBorders>
            <w:shd w:val="clear" w:color="auto" w:fill="C2D69B"/>
            <w:vAlign w:val="center"/>
          </w:tcPr>
          <w:p w:rsidR="000734B0" w:rsidRPr="00DE1F54" w:rsidRDefault="000734B0" w:rsidP="006A41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65F91"/>
                <w:sz w:val="16"/>
                <w:szCs w:val="16"/>
                <w:lang w:eastAsia="cs-CZ"/>
              </w:rPr>
            </w:pPr>
          </w:p>
        </w:tc>
        <w:tc>
          <w:tcPr>
            <w:tcW w:w="371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D6E3BC"/>
            <w:vAlign w:val="center"/>
          </w:tcPr>
          <w:p w:rsidR="000734B0" w:rsidRPr="00DE1F54" w:rsidRDefault="000734B0" w:rsidP="006A41AB">
            <w:pPr>
              <w:spacing w:after="0" w:line="240" w:lineRule="auto"/>
              <w:rPr>
                <w:rFonts w:ascii="Arial" w:eastAsia="Arial,Times New Roman" w:hAnsi="Arial" w:cs="Arial"/>
                <w:b/>
                <w:bCs/>
                <w:color w:val="365F91"/>
                <w:sz w:val="16"/>
                <w:szCs w:val="16"/>
                <w:lang w:eastAsia="cs-CZ"/>
              </w:rPr>
            </w:pPr>
            <w:proofErr w:type="spellStart"/>
            <w:r w:rsidRPr="00DE1F54">
              <w:rPr>
                <w:rFonts w:ascii="Arial" w:eastAsia="Arial,Times New Roman" w:hAnsi="Arial" w:cs="Arial"/>
                <w:b/>
                <w:bCs/>
                <w:color w:val="365F91"/>
                <w:sz w:val="16"/>
                <w:szCs w:val="16"/>
                <w:lang w:eastAsia="cs-CZ"/>
              </w:rPr>
              <w:t>Fotonika</w:t>
            </w:r>
            <w:proofErr w:type="spellEnd"/>
          </w:p>
        </w:tc>
        <w:tc>
          <w:tcPr>
            <w:tcW w:w="274" w:type="pct"/>
            <w:tcBorders>
              <w:top w:val="nil"/>
              <w:left w:val="single" w:sz="12" w:space="0" w:color="80A1B6"/>
              <w:bottom w:val="single" w:sz="4" w:space="0" w:color="80A1B6"/>
              <w:right w:val="single" w:sz="4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192" w:type="pct"/>
            <w:tcBorders>
              <w:top w:val="single" w:sz="4" w:space="0" w:color="80A1B6"/>
              <w:left w:val="nil"/>
              <w:bottom w:val="single" w:sz="4" w:space="0" w:color="80A1B6"/>
              <w:right w:val="single" w:sz="4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26" w:type="pct"/>
            <w:tcBorders>
              <w:top w:val="nil"/>
              <w:left w:val="single" w:sz="12" w:space="0" w:color="80A1B6"/>
              <w:bottom w:val="single" w:sz="4" w:space="0" w:color="80A1B6"/>
              <w:right w:val="single" w:sz="4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24" w:type="pct"/>
            <w:tcBorders>
              <w:top w:val="nil"/>
              <w:left w:val="single" w:sz="12" w:space="0" w:color="80A1B6"/>
              <w:bottom w:val="single" w:sz="4" w:space="0" w:color="80A1B6"/>
              <w:right w:val="single" w:sz="4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80A1B6"/>
              <w:right w:val="single" w:sz="4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352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192" w:type="pct"/>
            <w:tcBorders>
              <w:top w:val="nil"/>
              <w:left w:val="single" w:sz="12" w:space="0" w:color="80A1B6"/>
              <w:bottom w:val="single" w:sz="4" w:space="0" w:color="80A1B6"/>
              <w:right w:val="single" w:sz="4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  <w:r w:rsidRPr="00C97D81">
              <w:rPr>
                <w:rFonts w:ascii="Arial" w:hAnsi="Arial" w:cs="Arial"/>
                <w:b/>
                <w:color w:val="365F91" w:themeColor="accent1" w:themeShade="BF"/>
                <w:sz w:val="18"/>
                <w:szCs w:val="18"/>
                <w:vertAlign w:val="superscript"/>
              </w:rPr>
              <w:footnoteReference w:id="8"/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127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</w:p>
        </w:tc>
        <w:tc>
          <w:tcPr>
            <w:tcW w:w="126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</w:p>
        </w:tc>
        <w:tc>
          <w:tcPr>
            <w:tcW w:w="127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</w:p>
        </w:tc>
        <w:tc>
          <w:tcPr>
            <w:tcW w:w="192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</w:p>
        </w:tc>
        <w:tc>
          <w:tcPr>
            <w:tcW w:w="256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78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  <w:t>X</w:t>
            </w:r>
          </w:p>
        </w:tc>
        <w:tc>
          <w:tcPr>
            <w:tcW w:w="188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  <w:t>X</w:t>
            </w:r>
          </w:p>
        </w:tc>
        <w:tc>
          <w:tcPr>
            <w:tcW w:w="228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  <w:t>X</w:t>
            </w:r>
          </w:p>
        </w:tc>
        <w:tc>
          <w:tcPr>
            <w:tcW w:w="188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  <w:t>X</w:t>
            </w:r>
          </w:p>
        </w:tc>
        <w:tc>
          <w:tcPr>
            <w:tcW w:w="155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highlight w:val="yellow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  <w:t>X</w:t>
            </w:r>
          </w:p>
        </w:tc>
      </w:tr>
      <w:tr w:rsidR="000734B0" w:rsidRPr="00A705B6" w:rsidTr="00B62586">
        <w:trPr>
          <w:trHeight w:val="480"/>
        </w:trPr>
        <w:tc>
          <w:tcPr>
            <w:tcW w:w="123" w:type="pct"/>
            <w:vMerge/>
            <w:tcBorders>
              <w:left w:val="single" w:sz="12" w:space="0" w:color="80A1B6"/>
              <w:right w:val="single" w:sz="12" w:space="0" w:color="80A1B6"/>
            </w:tcBorders>
            <w:shd w:val="clear" w:color="auto" w:fill="76923C"/>
          </w:tcPr>
          <w:p w:rsidR="000734B0" w:rsidRPr="00DE1F54" w:rsidRDefault="000734B0" w:rsidP="006A41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</w:p>
        </w:tc>
        <w:tc>
          <w:tcPr>
            <w:tcW w:w="123" w:type="pct"/>
            <w:vMerge/>
            <w:tcBorders>
              <w:left w:val="single" w:sz="12" w:space="0" w:color="80A1B6"/>
              <w:bottom w:val="single" w:sz="12" w:space="0" w:color="95B3D7"/>
              <w:right w:val="single" w:sz="12" w:space="0" w:color="80A1B6"/>
            </w:tcBorders>
            <w:shd w:val="clear" w:color="auto" w:fill="C2D69B"/>
            <w:vAlign w:val="center"/>
          </w:tcPr>
          <w:p w:rsidR="000734B0" w:rsidRPr="00DE1F54" w:rsidRDefault="000734B0" w:rsidP="006A41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65F91"/>
                <w:sz w:val="16"/>
                <w:szCs w:val="16"/>
                <w:lang w:eastAsia="cs-CZ"/>
              </w:rPr>
            </w:pPr>
          </w:p>
        </w:tc>
        <w:tc>
          <w:tcPr>
            <w:tcW w:w="371" w:type="pct"/>
            <w:tcBorders>
              <w:top w:val="nil"/>
              <w:left w:val="single" w:sz="12" w:space="0" w:color="80A1B6"/>
              <w:bottom w:val="single" w:sz="12" w:space="0" w:color="95B3D7"/>
              <w:right w:val="single" w:sz="12" w:space="0" w:color="80A1B6"/>
            </w:tcBorders>
            <w:shd w:val="clear" w:color="auto" w:fill="D6E3BC"/>
            <w:vAlign w:val="center"/>
          </w:tcPr>
          <w:p w:rsidR="000734B0" w:rsidRPr="00DE1F54" w:rsidRDefault="000734B0" w:rsidP="006A41AB">
            <w:pPr>
              <w:spacing w:after="0" w:line="240" w:lineRule="auto"/>
              <w:rPr>
                <w:rFonts w:ascii="Arial" w:eastAsia="Arial,Times New Roman" w:hAnsi="Arial" w:cs="Arial"/>
                <w:b/>
                <w:bCs/>
                <w:color w:val="365F91"/>
                <w:sz w:val="16"/>
                <w:szCs w:val="16"/>
                <w:lang w:eastAsia="cs-CZ"/>
              </w:rPr>
            </w:pPr>
            <w:r w:rsidRPr="00DE1F54">
              <w:rPr>
                <w:rFonts w:ascii="Arial" w:eastAsia="Arial,Times New Roman" w:hAnsi="Arial" w:cs="Arial"/>
                <w:b/>
                <w:bCs/>
                <w:color w:val="365F91"/>
                <w:sz w:val="16"/>
                <w:szCs w:val="16"/>
                <w:lang w:eastAsia="cs-CZ"/>
              </w:rPr>
              <w:t>Průmyslové biotechnologie</w:t>
            </w:r>
          </w:p>
        </w:tc>
        <w:tc>
          <w:tcPr>
            <w:tcW w:w="274" w:type="pct"/>
            <w:tcBorders>
              <w:top w:val="nil"/>
              <w:left w:val="single" w:sz="12" w:space="0" w:color="80A1B6"/>
              <w:bottom w:val="single" w:sz="4" w:space="0" w:color="80A1B6"/>
              <w:right w:val="single" w:sz="4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192" w:type="pct"/>
            <w:tcBorders>
              <w:top w:val="single" w:sz="4" w:space="0" w:color="80A1B6"/>
              <w:left w:val="nil"/>
              <w:bottom w:val="single" w:sz="4" w:space="0" w:color="80A1B6"/>
              <w:right w:val="single" w:sz="4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26" w:type="pct"/>
            <w:tcBorders>
              <w:top w:val="nil"/>
              <w:left w:val="single" w:sz="12" w:space="0" w:color="80A1B6"/>
              <w:bottom w:val="single" w:sz="4" w:space="0" w:color="80A1B6"/>
              <w:right w:val="single" w:sz="4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24" w:type="pct"/>
            <w:tcBorders>
              <w:top w:val="nil"/>
              <w:left w:val="single" w:sz="12" w:space="0" w:color="80A1B6"/>
              <w:bottom w:val="single" w:sz="4" w:space="0" w:color="80A1B6"/>
              <w:right w:val="single" w:sz="4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80A1B6"/>
              <w:right w:val="single" w:sz="4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</w:p>
        </w:tc>
        <w:tc>
          <w:tcPr>
            <w:tcW w:w="352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192" w:type="pct"/>
            <w:tcBorders>
              <w:top w:val="nil"/>
              <w:left w:val="single" w:sz="12" w:space="0" w:color="80A1B6"/>
              <w:bottom w:val="single" w:sz="4" w:space="0" w:color="80A1B6"/>
              <w:right w:val="single" w:sz="4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127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126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127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192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56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78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  <w:t>X</w:t>
            </w:r>
          </w:p>
        </w:tc>
        <w:tc>
          <w:tcPr>
            <w:tcW w:w="188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  <w:t>X</w:t>
            </w:r>
          </w:p>
        </w:tc>
        <w:tc>
          <w:tcPr>
            <w:tcW w:w="228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  <w:t>X</w:t>
            </w:r>
          </w:p>
        </w:tc>
        <w:tc>
          <w:tcPr>
            <w:tcW w:w="188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  <w:t>X</w:t>
            </w:r>
          </w:p>
        </w:tc>
        <w:tc>
          <w:tcPr>
            <w:tcW w:w="155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highlight w:val="yellow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  <w:t>X</w:t>
            </w:r>
          </w:p>
        </w:tc>
      </w:tr>
      <w:tr w:rsidR="000734B0" w:rsidRPr="00A705B6" w:rsidTr="00B62586">
        <w:trPr>
          <w:trHeight w:val="751"/>
        </w:trPr>
        <w:tc>
          <w:tcPr>
            <w:tcW w:w="123" w:type="pct"/>
            <w:vMerge/>
            <w:tcBorders>
              <w:left w:val="single" w:sz="12" w:space="0" w:color="80A1B6"/>
              <w:right w:val="single" w:sz="12" w:space="0" w:color="80A1B6"/>
            </w:tcBorders>
            <w:shd w:val="clear" w:color="auto" w:fill="76923C"/>
          </w:tcPr>
          <w:p w:rsidR="000734B0" w:rsidRPr="00DE1F54" w:rsidRDefault="000734B0" w:rsidP="006A41AB">
            <w:pPr>
              <w:spacing w:after="0" w:line="240" w:lineRule="auto"/>
              <w:rPr>
                <w:rFonts w:ascii="Arial" w:eastAsia="Times New Roman" w:hAnsi="Arial" w:cs="Arial"/>
                <w:b/>
                <w:color w:val="FFFFFF"/>
                <w:sz w:val="16"/>
                <w:szCs w:val="16"/>
                <w:lang w:eastAsia="cs-CZ"/>
              </w:rPr>
            </w:pPr>
          </w:p>
        </w:tc>
        <w:tc>
          <w:tcPr>
            <w:tcW w:w="123" w:type="pct"/>
            <w:vMerge w:val="restart"/>
            <w:tcBorders>
              <w:top w:val="single" w:sz="12" w:space="0" w:color="95B3D7"/>
              <w:left w:val="single" w:sz="12" w:space="0" w:color="80A1B6"/>
              <w:right w:val="single" w:sz="12" w:space="0" w:color="80A1B6"/>
            </w:tcBorders>
            <w:shd w:val="clear" w:color="auto" w:fill="CCC0D9" w:themeFill="accent4" w:themeFillTint="66"/>
            <w:textDirection w:val="btLr"/>
            <w:vAlign w:val="center"/>
            <w:hideMark/>
          </w:tcPr>
          <w:p w:rsidR="000734B0" w:rsidRPr="00DE1F54" w:rsidRDefault="000734B0" w:rsidP="006A41AB">
            <w:pPr>
              <w:spacing w:after="0" w:line="240" w:lineRule="auto"/>
              <w:ind w:left="113" w:right="113"/>
              <w:rPr>
                <w:rFonts w:ascii="Arial" w:eastAsia="Arial,Times New Roman" w:hAnsi="Arial" w:cs="Arial"/>
                <w:b/>
                <w:bCs/>
                <w:color w:val="365F91"/>
                <w:sz w:val="16"/>
                <w:szCs w:val="16"/>
                <w:lang w:eastAsia="cs-CZ"/>
              </w:rPr>
            </w:pPr>
            <w:r w:rsidRPr="00DE1F54">
              <w:rPr>
                <w:rFonts w:ascii="Arial" w:eastAsia="Arial,Times New Roman" w:hAnsi="Arial" w:cs="Arial"/>
                <w:b/>
                <w:bCs/>
                <w:color w:val="365F91"/>
                <w:sz w:val="16"/>
                <w:szCs w:val="16"/>
                <w:lang w:eastAsia="cs-CZ"/>
              </w:rPr>
              <w:t>Netechnologické znalostní domény</w:t>
            </w:r>
          </w:p>
        </w:tc>
        <w:tc>
          <w:tcPr>
            <w:tcW w:w="371" w:type="pct"/>
            <w:tcBorders>
              <w:top w:val="single" w:sz="12" w:space="0" w:color="95B3D7"/>
              <w:left w:val="single" w:sz="12" w:space="0" w:color="80A1B6"/>
              <w:right w:val="single" w:sz="12" w:space="0" w:color="80A1B6"/>
            </w:tcBorders>
            <w:shd w:val="clear" w:color="auto" w:fill="CCC0D9" w:themeFill="accent4" w:themeFillTint="66"/>
            <w:vAlign w:val="center"/>
          </w:tcPr>
          <w:p w:rsidR="000734B0" w:rsidRPr="00DE1F54" w:rsidRDefault="000734B0" w:rsidP="006A41AB">
            <w:pPr>
              <w:spacing w:after="0" w:line="240" w:lineRule="auto"/>
              <w:rPr>
                <w:rFonts w:ascii="Arial" w:eastAsia="Arial,Times New Roman" w:hAnsi="Arial" w:cs="Arial"/>
                <w:b/>
                <w:bCs/>
                <w:color w:val="365F91"/>
                <w:sz w:val="16"/>
                <w:szCs w:val="16"/>
                <w:lang w:eastAsia="cs-CZ"/>
              </w:rPr>
            </w:pPr>
            <w:r w:rsidRPr="00DE1F54">
              <w:rPr>
                <w:rFonts w:ascii="Arial" w:eastAsia="Arial,Times New Roman" w:hAnsi="Arial" w:cs="Arial"/>
                <w:b/>
                <w:bCs/>
                <w:color w:val="365F91"/>
                <w:sz w:val="16"/>
                <w:szCs w:val="16"/>
                <w:lang w:eastAsia="cs-CZ"/>
              </w:rPr>
              <w:t>Znalosti pro digitální ekonomiku kulturní a kreativní průmysl</w:t>
            </w:r>
          </w:p>
        </w:tc>
        <w:tc>
          <w:tcPr>
            <w:tcW w:w="274" w:type="pct"/>
            <w:tcBorders>
              <w:top w:val="nil"/>
              <w:left w:val="single" w:sz="12" w:space="0" w:color="80A1B6"/>
              <w:bottom w:val="single" w:sz="4" w:space="0" w:color="80A1B6"/>
              <w:right w:val="single" w:sz="4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</w:p>
        </w:tc>
        <w:tc>
          <w:tcPr>
            <w:tcW w:w="192" w:type="pct"/>
            <w:tcBorders>
              <w:top w:val="single" w:sz="4" w:space="0" w:color="80A1B6"/>
              <w:left w:val="single" w:sz="4" w:space="0" w:color="80A1B6"/>
              <w:bottom w:val="single" w:sz="4" w:space="0" w:color="80A1B6"/>
              <w:right w:val="single" w:sz="4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24" w:type="pct"/>
            <w:tcBorders>
              <w:top w:val="nil"/>
              <w:left w:val="single" w:sz="4" w:space="0" w:color="80A1B6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26" w:type="pct"/>
            <w:tcBorders>
              <w:top w:val="nil"/>
              <w:left w:val="single" w:sz="12" w:space="0" w:color="80A1B6"/>
              <w:bottom w:val="single" w:sz="4" w:space="0" w:color="80A1B6"/>
              <w:right w:val="single" w:sz="4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24" w:type="pct"/>
            <w:tcBorders>
              <w:top w:val="nil"/>
              <w:left w:val="single" w:sz="4" w:space="0" w:color="80A1B6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24" w:type="pct"/>
            <w:tcBorders>
              <w:top w:val="nil"/>
              <w:left w:val="single" w:sz="12" w:space="0" w:color="80A1B6"/>
              <w:bottom w:val="single" w:sz="4" w:space="0" w:color="80A1B6"/>
              <w:right w:val="single" w:sz="4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24" w:type="pct"/>
            <w:tcBorders>
              <w:top w:val="nil"/>
              <w:left w:val="single" w:sz="4" w:space="0" w:color="80A1B6"/>
              <w:bottom w:val="single" w:sz="4" w:space="0" w:color="80A1B6"/>
              <w:right w:val="single" w:sz="4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194" w:type="pct"/>
            <w:tcBorders>
              <w:top w:val="nil"/>
              <w:left w:val="single" w:sz="4" w:space="0" w:color="80A1B6"/>
              <w:right w:val="single" w:sz="12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352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192" w:type="pct"/>
            <w:tcBorders>
              <w:top w:val="nil"/>
              <w:left w:val="single" w:sz="12" w:space="0" w:color="80A1B6"/>
              <w:right w:val="single" w:sz="4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192" w:type="pct"/>
            <w:tcBorders>
              <w:top w:val="nil"/>
              <w:left w:val="single" w:sz="4" w:space="0" w:color="80A1B6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127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365F91" w:themeColor="accent1" w:themeShade="BF"/>
                <w:sz w:val="18"/>
                <w:szCs w:val="18"/>
                <w:highlight w:val="green"/>
                <w:lang w:eastAsia="cs-CZ"/>
              </w:rPr>
            </w:pPr>
          </w:p>
        </w:tc>
        <w:tc>
          <w:tcPr>
            <w:tcW w:w="126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127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</w:p>
        </w:tc>
        <w:tc>
          <w:tcPr>
            <w:tcW w:w="192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</w:p>
        </w:tc>
        <w:tc>
          <w:tcPr>
            <w:tcW w:w="256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78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  <w:t>X</w:t>
            </w:r>
          </w:p>
        </w:tc>
        <w:tc>
          <w:tcPr>
            <w:tcW w:w="188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  <w:t>X</w:t>
            </w:r>
          </w:p>
        </w:tc>
        <w:tc>
          <w:tcPr>
            <w:tcW w:w="228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  <w:t>X</w:t>
            </w:r>
          </w:p>
        </w:tc>
        <w:tc>
          <w:tcPr>
            <w:tcW w:w="188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  <w:t>X</w:t>
            </w:r>
          </w:p>
        </w:tc>
        <w:tc>
          <w:tcPr>
            <w:tcW w:w="155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highlight w:val="yellow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  <w:t>X</w:t>
            </w:r>
          </w:p>
        </w:tc>
      </w:tr>
      <w:tr w:rsidR="000734B0" w:rsidRPr="00A705B6" w:rsidTr="00B62586">
        <w:trPr>
          <w:trHeight w:val="820"/>
        </w:trPr>
        <w:tc>
          <w:tcPr>
            <w:tcW w:w="123" w:type="pct"/>
            <w:vMerge/>
            <w:tcBorders>
              <w:left w:val="single" w:sz="12" w:space="0" w:color="80A1B6"/>
              <w:bottom w:val="single" w:sz="12" w:space="0" w:color="80A1B6"/>
              <w:right w:val="single" w:sz="12" w:space="0" w:color="80A1B6"/>
            </w:tcBorders>
            <w:shd w:val="clear" w:color="auto" w:fill="76923C"/>
          </w:tcPr>
          <w:p w:rsidR="000734B0" w:rsidRPr="00DE1F54" w:rsidRDefault="000734B0" w:rsidP="006A41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123" w:type="pct"/>
            <w:vMerge/>
            <w:tcBorders>
              <w:left w:val="single" w:sz="12" w:space="0" w:color="80A1B6"/>
              <w:bottom w:val="single" w:sz="12" w:space="0" w:color="80A1B6"/>
              <w:right w:val="single" w:sz="12" w:space="0" w:color="80A1B6"/>
            </w:tcBorders>
            <w:shd w:val="clear" w:color="auto" w:fill="CCC0D9" w:themeFill="accent4" w:themeFillTint="66"/>
            <w:vAlign w:val="center"/>
            <w:hideMark/>
          </w:tcPr>
          <w:p w:rsidR="000734B0" w:rsidRPr="00DE1F54" w:rsidRDefault="000734B0" w:rsidP="006A41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65F91"/>
                <w:sz w:val="16"/>
                <w:szCs w:val="16"/>
                <w:lang w:eastAsia="cs-CZ"/>
              </w:rPr>
            </w:pPr>
          </w:p>
        </w:tc>
        <w:tc>
          <w:tcPr>
            <w:tcW w:w="371" w:type="pct"/>
            <w:tcBorders>
              <w:top w:val="single" w:sz="4" w:space="0" w:color="80A1B6"/>
              <w:left w:val="single" w:sz="12" w:space="0" w:color="80A1B6"/>
              <w:bottom w:val="single" w:sz="12" w:space="0" w:color="80A1B6"/>
              <w:right w:val="single" w:sz="12" w:space="0" w:color="80A1B6"/>
            </w:tcBorders>
            <w:shd w:val="clear" w:color="auto" w:fill="CCC0D9" w:themeFill="accent4" w:themeFillTint="66"/>
            <w:vAlign w:val="center"/>
          </w:tcPr>
          <w:p w:rsidR="000734B0" w:rsidRPr="00DE1F54" w:rsidRDefault="000734B0" w:rsidP="006A41AB">
            <w:pPr>
              <w:spacing w:after="0" w:line="240" w:lineRule="auto"/>
              <w:rPr>
                <w:rFonts w:ascii="Arial" w:eastAsia="Arial,Times New Roman" w:hAnsi="Arial" w:cs="Arial"/>
                <w:b/>
                <w:bCs/>
                <w:color w:val="365F91"/>
                <w:sz w:val="16"/>
                <w:szCs w:val="16"/>
                <w:lang w:eastAsia="cs-CZ"/>
              </w:rPr>
            </w:pPr>
            <w:r w:rsidRPr="00DE1F54">
              <w:rPr>
                <w:rFonts w:ascii="Arial" w:eastAsia="Arial,Times New Roman" w:hAnsi="Arial" w:cs="Arial"/>
                <w:b/>
                <w:bCs/>
                <w:color w:val="365F91"/>
                <w:sz w:val="16"/>
                <w:szCs w:val="16"/>
                <w:lang w:eastAsia="cs-CZ"/>
              </w:rPr>
              <w:t>Společenskovědní znalosti pro netechnické inovace</w:t>
            </w:r>
          </w:p>
        </w:tc>
        <w:tc>
          <w:tcPr>
            <w:tcW w:w="274" w:type="pct"/>
            <w:tcBorders>
              <w:top w:val="single" w:sz="4" w:space="0" w:color="80A1B6"/>
              <w:left w:val="single" w:sz="12" w:space="0" w:color="80A1B6"/>
              <w:bottom w:val="single" w:sz="12" w:space="0" w:color="80A1B6"/>
              <w:right w:val="single" w:sz="4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</w:p>
        </w:tc>
        <w:tc>
          <w:tcPr>
            <w:tcW w:w="192" w:type="pct"/>
            <w:tcBorders>
              <w:top w:val="single" w:sz="4" w:space="0" w:color="80A1B6"/>
              <w:left w:val="nil"/>
              <w:bottom w:val="single" w:sz="12" w:space="0" w:color="80A1B6"/>
              <w:right w:val="single" w:sz="4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</w:p>
        </w:tc>
        <w:tc>
          <w:tcPr>
            <w:tcW w:w="224" w:type="pct"/>
            <w:tcBorders>
              <w:top w:val="single" w:sz="4" w:space="0" w:color="80A1B6"/>
              <w:left w:val="nil"/>
              <w:bottom w:val="single" w:sz="12" w:space="0" w:color="80A1B6"/>
              <w:right w:val="single" w:sz="12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</w:p>
        </w:tc>
        <w:tc>
          <w:tcPr>
            <w:tcW w:w="226" w:type="pct"/>
            <w:tcBorders>
              <w:top w:val="single" w:sz="4" w:space="0" w:color="80A1B6"/>
              <w:left w:val="single" w:sz="12" w:space="0" w:color="80A1B6"/>
              <w:bottom w:val="single" w:sz="12" w:space="0" w:color="80A1B6"/>
              <w:right w:val="single" w:sz="4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24" w:type="pct"/>
            <w:tcBorders>
              <w:top w:val="single" w:sz="4" w:space="0" w:color="80A1B6"/>
              <w:left w:val="nil"/>
              <w:bottom w:val="single" w:sz="12" w:space="0" w:color="80A1B6"/>
              <w:right w:val="single" w:sz="12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24" w:type="pct"/>
            <w:tcBorders>
              <w:top w:val="single" w:sz="4" w:space="0" w:color="80A1B6"/>
              <w:left w:val="single" w:sz="12" w:space="0" w:color="80A1B6"/>
              <w:bottom w:val="single" w:sz="12" w:space="0" w:color="80A1B6"/>
              <w:right w:val="single" w:sz="4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</w:p>
        </w:tc>
        <w:tc>
          <w:tcPr>
            <w:tcW w:w="224" w:type="pct"/>
            <w:tcBorders>
              <w:top w:val="single" w:sz="4" w:space="0" w:color="80A1B6"/>
              <w:left w:val="nil"/>
              <w:bottom w:val="single" w:sz="12" w:space="0" w:color="80A1B6"/>
              <w:right w:val="single" w:sz="4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</w:p>
        </w:tc>
        <w:tc>
          <w:tcPr>
            <w:tcW w:w="194" w:type="pct"/>
            <w:tcBorders>
              <w:top w:val="single" w:sz="4" w:space="0" w:color="80A1B6"/>
              <w:left w:val="nil"/>
              <w:bottom w:val="single" w:sz="12" w:space="0" w:color="80A1B6"/>
              <w:right w:val="single" w:sz="12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</w:p>
        </w:tc>
        <w:tc>
          <w:tcPr>
            <w:tcW w:w="352" w:type="pct"/>
            <w:tcBorders>
              <w:top w:val="single" w:sz="4" w:space="0" w:color="80A1B6"/>
              <w:left w:val="single" w:sz="12" w:space="0" w:color="80A1B6"/>
              <w:bottom w:val="single" w:sz="12" w:space="0" w:color="80A1B6"/>
              <w:right w:val="single" w:sz="12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192" w:type="pct"/>
            <w:tcBorders>
              <w:top w:val="single" w:sz="4" w:space="0" w:color="80A1B6"/>
              <w:left w:val="single" w:sz="12" w:space="0" w:color="80A1B6"/>
              <w:bottom w:val="single" w:sz="12" w:space="0" w:color="80A1B6"/>
              <w:right w:val="single" w:sz="4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</w:p>
        </w:tc>
        <w:tc>
          <w:tcPr>
            <w:tcW w:w="192" w:type="pct"/>
            <w:tcBorders>
              <w:top w:val="single" w:sz="4" w:space="0" w:color="80A1B6"/>
              <w:left w:val="nil"/>
              <w:bottom w:val="single" w:sz="12" w:space="0" w:color="80A1B6"/>
              <w:right w:val="single" w:sz="12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127" w:type="pct"/>
            <w:tcBorders>
              <w:top w:val="single" w:sz="4" w:space="0" w:color="80A1B6"/>
              <w:left w:val="single" w:sz="12" w:space="0" w:color="80A1B6"/>
              <w:bottom w:val="single" w:sz="12" w:space="0" w:color="80A1B6"/>
              <w:right w:val="single" w:sz="12" w:space="0" w:color="80A1B6"/>
            </w:tcBorders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126" w:type="pct"/>
            <w:tcBorders>
              <w:top w:val="single" w:sz="4" w:space="0" w:color="80A1B6"/>
              <w:left w:val="single" w:sz="12" w:space="0" w:color="80A1B6"/>
              <w:bottom w:val="single" w:sz="12" w:space="0" w:color="80A1B6"/>
              <w:right w:val="single" w:sz="12" w:space="0" w:color="80A1B6"/>
            </w:tcBorders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127" w:type="pct"/>
            <w:tcBorders>
              <w:top w:val="single" w:sz="4" w:space="0" w:color="80A1B6"/>
              <w:left w:val="single" w:sz="12" w:space="0" w:color="80A1B6"/>
              <w:bottom w:val="single" w:sz="12" w:space="0" w:color="80A1B6"/>
              <w:right w:val="single" w:sz="12" w:space="0" w:color="80A1B6"/>
            </w:tcBorders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192" w:type="pct"/>
            <w:tcBorders>
              <w:top w:val="single" w:sz="4" w:space="0" w:color="80A1B6"/>
              <w:left w:val="single" w:sz="12" w:space="0" w:color="80A1B6"/>
              <w:bottom w:val="single" w:sz="12" w:space="0" w:color="80A1B6"/>
              <w:right w:val="single" w:sz="12" w:space="0" w:color="80A1B6"/>
            </w:tcBorders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56" w:type="pct"/>
            <w:tcBorders>
              <w:top w:val="single" w:sz="4" w:space="0" w:color="80A1B6"/>
              <w:left w:val="single" w:sz="12" w:space="0" w:color="80A1B6"/>
              <w:bottom w:val="single" w:sz="12" w:space="0" w:color="80A1B6"/>
              <w:right w:val="single" w:sz="12" w:space="0" w:color="80A1B6"/>
            </w:tcBorders>
            <w:shd w:val="clear" w:color="auto" w:fill="auto"/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78" w:type="pct"/>
            <w:tcBorders>
              <w:top w:val="single" w:sz="4" w:space="0" w:color="80A1B6"/>
              <w:left w:val="single" w:sz="12" w:space="0" w:color="80A1B6"/>
              <w:bottom w:val="single" w:sz="12" w:space="0" w:color="80A1B6"/>
              <w:right w:val="single" w:sz="12" w:space="0" w:color="80A1B6"/>
            </w:tcBorders>
            <w:shd w:val="clear" w:color="auto" w:fill="auto"/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  <w:t>X</w:t>
            </w:r>
          </w:p>
        </w:tc>
        <w:tc>
          <w:tcPr>
            <w:tcW w:w="188" w:type="pct"/>
            <w:tcBorders>
              <w:top w:val="single" w:sz="4" w:space="0" w:color="80A1B6"/>
              <w:left w:val="single" w:sz="12" w:space="0" w:color="80A1B6"/>
              <w:bottom w:val="single" w:sz="12" w:space="0" w:color="80A1B6"/>
              <w:right w:val="single" w:sz="12" w:space="0" w:color="80A1B6"/>
            </w:tcBorders>
            <w:shd w:val="clear" w:color="auto" w:fill="auto"/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  <w:t>X</w:t>
            </w:r>
          </w:p>
        </w:tc>
        <w:tc>
          <w:tcPr>
            <w:tcW w:w="228" w:type="pct"/>
            <w:tcBorders>
              <w:top w:val="single" w:sz="4" w:space="0" w:color="80A1B6"/>
              <w:left w:val="single" w:sz="12" w:space="0" w:color="80A1B6"/>
              <w:bottom w:val="single" w:sz="12" w:space="0" w:color="80A1B6"/>
              <w:right w:val="single" w:sz="12" w:space="0" w:color="80A1B6"/>
            </w:tcBorders>
            <w:shd w:val="clear" w:color="auto" w:fill="auto"/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  <w:t>X</w:t>
            </w:r>
          </w:p>
        </w:tc>
        <w:tc>
          <w:tcPr>
            <w:tcW w:w="188" w:type="pct"/>
            <w:tcBorders>
              <w:top w:val="single" w:sz="4" w:space="0" w:color="80A1B6"/>
              <w:left w:val="single" w:sz="12" w:space="0" w:color="80A1B6"/>
              <w:bottom w:val="single" w:sz="12" w:space="0" w:color="80A1B6"/>
              <w:right w:val="single" w:sz="12" w:space="0" w:color="80A1B6"/>
            </w:tcBorders>
            <w:shd w:val="clear" w:color="auto" w:fill="auto"/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  <w:t>X</w:t>
            </w:r>
          </w:p>
        </w:tc>
        <w:tc>
          <w:tcPr>
            <w:tcW w:w="155" w:type="pct"/>
            <w:tcBorders>
              <w:top w:val="single" w:sz="4" w:space="0" w:color="80A1B6"/>
              <w:left w:val="single" w:sz="12" w:space="0" w:color="80A1B6"/>
              <w:bottom w:val="single" w:sz="12" w:space="0" w:color="80A1B6"/>
              <w:right w:val="single" w:sz="12" w:space="0" w:color="80A1B6"/>
            </w:tcBorders>
            <w:shd w:val="clear" w:color="auto" w:fill="auto"/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highlight w:val="yellow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  <w:t>X</w:t>
            </w:r>
          </w:p>
        </w:tc>
      </w:tr>
    </w:tbl>
    <w:p w:rsidR="006F5914" w:rsidRDefault="000734B0">
      <w:r w:rsidRPr="00DD3926">
        <w:rPr>
          <w:sz w:val="18"/>
          <w:szCs w:val="18"/>
        </w:rPr>
        <w:t>Zdroj: Úřad vlády ČR (2016): Národní výzkumná a inovační strategie inteligentní specializace České republiky</w:t>
      </w:r>
      <w:r>
        <w:rPr>
          <w:sz w:val="18"/>
          <w:szCs w:val="18"/>
        </w:rPr>
        <w:t xml:space="preserve"> (aktualizovaná verze); Úřad vlády ČR (2016): Podkladový analytický materiál – Podklad k naplňování NP V</w:t>
      </w:r>
    </w:p>
    <w:sectPr w:rsidR="006F5914" w:rsidSect="000734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23814" w:h="16839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3A43" w:rsidRDefault="00EB3A43" w:rsidP="000734B0">
      <w:pPr>
        <w:spacing w:after="0" w:line="240" w:lineRule="auto"/>
      </w:pPr>
      <w:r>
        <w:separator/>
      </w:r>
    </w:p>
  </w:endnote>
  <w:endnote w:type="continuationSeparator" w:id="0">
    <w:p w:rsidR="00EB3A43" w:rsidRDefault="00EB3A43" w:rsidP="000734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,Times New 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5D68" w:rsidRDefault="00495D6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5D68" w:rsidRDefault="00495D68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5D68" w:rsidRDefault="00495D6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3A43" w:rsidRDefault="00EB3A43" w:rsidP="000734B0">
      <w:pPr>
        <w:spacing w:after="0" w:line="240" w:lineRule="auto"/>
      </w:pPr>
      <w:r>
        <w:separator/>
      </w:r>
    </w:p>
  </w:footnote>
  <w:footnote w:type="continuationSeparator" w:id="0">
    <w:p w:rsidR="00EB3A43" w:rsidRDefault="00EB3A43" w:rsidP="000734B0">
      <w:pPr>
        <w:spacing w:after="0" w:line="240" w:lineRule="auto"/>
      </w:pPr>
      <w:r>
        <w:continuationSeparator/>
      </w:r>
    </w:p>
  </w:footnote>
  <w:footnote w:id="1">
    <w:p w:rsidR="000734B0" w:rsidRPr="00E21CE4" w:rsidRDefault="000734B0" w:rsidP="000734B0">
      <w:pPr>
        <w:pStyle w:val="Textpoznpodarou"/>
        <w:rPr>
          <w:b/>
        </w:rPr>
      </w:pPr>
      <w:r>
        <w:rPr>
          <w:rStyle w:val="Znakapoznpodarou"/>
        </w:rPr>
        <w:footnoteRef/>
      </w:r>
      <w:r>
        <w:t xml:space="preserve"> </w:t>
      </w:r>
      <w:r w:rsidRPr="00E21CE4">
        <w:rPr>
          <w:b/>
        </w:rPr>
        <w:t>V průběhu „</w:t>
      </w:r>
      <w:proofErr w:type="spellStart"/>
      <w:r w:rsidRPr="00E21CE4">
        <w:rPr>
          <w:b/>
        </w:rPr>
        <w:t>entrepreneurial</w:t>
      </w:r>
      <w:proofErr w:type="spellEnd"/>
      <w:r w:rsidRPr="00E21CE4">
        <w:rPr>
          <w:b/>
        </w:rPr>
        <w:t xml:space="preserve"> </w:t>
      </w:r>
      <w:proofErr w:type="spellStart"/>
      <w:r w:rsidRPr="00E21CE4">
        <w:rPr>
          <w:b/>
        </w:rPr>
        <w:t>discovery</w:t>
      </w:r>
      <w:proofErr w:type="spellEnd"/>
      <w:r w:rsidRPr="00E21CE4">
        <w:rPr>
          <w:b/>
        </w:rPr>
        <w:t>“ procesu v rámci jednotlivých NIP byla identifikována relevance generických znal</w:t>
      </w:r>
      <w:r w:rsidRPr="00C861D7">
        <w:rPr>
          <w:b/>
        </w:rPr>
        <w:t xml:space="preserve">ostních domén (tj. </w:t>
      </w:r>
      <w:proofErr w:type="spellStart"/>
      <w:r w:rsidRPr="00C861D7">
        <w:rPr>
          <w:b/>
        </w:rPr>
        <w:t>KETs</w:t>
      </w:r>
      <w:proofErr w:type="spellEnd"/>
      <w:r w:rsidRPr="00C861D7">
        <w:rPr>
          <w:b/>
        </w:rPr>
        <w:t xml:space="preserve"> doplně</w:t>
      </w:r>
      <w:r>
        <w:rPr>
          <w:b/>
        </w:rPr>
        <w:t>ných</w:t>
      </w:r>
      <w:r w:rsidRPr="00E21CE4">
        <w:rPr>
          <w:b/>
        </w:rPr>
        <w:t xml:space="preserve"> o dvě netechnologické znalostní domény) vůči národním prioritním aplikačním odvětvím/tématům</w:t>
      </w:r>
      <w:r>
        <w:rPr>
          <w:b/>
        </w:rPr>
        <w:t xml:space="preserve"> ve smyslu potenciálu/</w:t>
      </w:r>
      <w:r w:rsidRPr="00E21CE4">
        <w:rPr>
          <w:b/>
        </w:rPr>
        <w:t>využitelnost</w:t>
      </w:r>
      <w:r>
        <w:rPr>
          <w:b/>
        </w:rPr>
        <w:t>i</w:t>
      </w:r>
      <w:r w:rsidRPr="00E21CE4">
        <w:rPr>
          <w:b/>
        </w:rPr>
        <w:t xml:space="preserve"> znalostních domén v těchto </w:t>
      </w:r>
      <w:proofErr w:type="spellStart"/>
      <w:r w:rsidRPr="00E21CE4">
        <w:rPr>
          <w:b/>
        </w:rPr>
        <w:t>prioritizovaných</w:t>
      </w:r>
      <w:proofErr w:type="spellEnd"/>
      <w:r w:rsidRPr="00E21CE4">
        <w:rPr>
          <w:b/>
        </w:rPr>
        <w:t xml:space="preserve"> aplikačních odvětvích</w:t>
      </w:r>
      <w:r w:rsidRPr="00E21CE4">
        <w:rPr>
          <w:b/>
          <w:sz w:val="18"/>
          <w:szCs w:val="18"/>
        </w:rPr>
        <w:t xml:space="preserve">. Tyto </w:t>
      </w:r>
      <w:r>
        <w:rPr>
          <w:b/>
          <w:sz w:val="18"/>
          <w:szCs w:val="18"/>
        </w:rPr>
        <w:t xml:space="preserve">identifikované </w:t>
      </w:r>
      <w:r w:rsidRPr="00E21CE4">
        <w:rPr>
          <w:b/>
          <w:sz w:val="18"/>
          <w:szCs w:val="18"/>
        </w:rPr>
        <w:t xml:space="preserve">relevantní vazby </w:t>
      </w:r>
      <w:r w:rsidRPr="009529DE">
        <w:rPr>
          <w:b/>
          <w:sz w:val="18"/>
          <w:szCs w:val="18"/>
        </w:rPr>
        <w:t>–</w:t>
      </w:r>
      <w:r>
        <w:rPr>
          <w:b/>
          <w:sz w:val="18"/>
          <w:szCs w:val="18"/>
        </w:rPr>
        <w:t xml:space="preserve"> </w:t>
      </w:r>
      <w:r w:rsidRPr="00E21CE4">
        <w:rPr>
          <w:b/>
          <w:sz w:val="18"/>
          <w:szCs w:val="18"/>
        </w:rPr>
        <w:t>DOMÉNY INTELIGENTNÍ SPECIALIZACE</w:t>
      </w:r>
      <w:r>
        <w:rPr>
          <w:b/>
          <w:sz w:val="18"/>
          <w:szCs w:val="18"/>
        </w:rPr>
        <w:t xml:space="preserve"> (tj. </w:t>
      </w:r>
      <w:r w:rsidRPr="00E21CE4">
        <w:rPr>
          <w:b/>
          <w:sz w:val="18"/>
          <w:szCs w:val="18"/>
        </w:rPr>
        <w:t>průniky generických znalostních domén a aplikačních odvětví</w:t>
      </w:r>
      <w:r>
        <w:rPr>
          <w:b/>
          <w:sz w:val="18"/>
          <w:szCs w:val="18"/>
        </w:rPr>
        <w:t>)</w:t>
      </w:r>
      <w:r w:rsidRPr="00E21CE4">
        <w:rPr>
          <w:b/>
          <w:sz w:val="18"/>
          <w:szCs w:val="18"/>
        </w:rPr>
        <w:t xml:space="preserve"> </w:t>
      </w:r>
      <w:r>
        <w:rPr>
          <w:b/>
          <w:sz w:val="18"/>
          <w:szCs w:val="18"/>
        </w:rPr>
        <w:t>JSOU V MATICI OZNAČENY</w:t>
      </w:r>
      <w:r w:rsidRPr="00E21CE4">
        <w:rPr>
          <w:b/>
          <w:sz w:val="18"/>
          <w:szCs w:val="18"/>
        </w:rPr>
        <w:t xml:space="preserve"> </w:t>
      </w:r>
      <w:r>
        <w:rPr>
          <w:b/>
          <w:sz w:val="18"/>
          <w:szCs w:val="18"/>
        </w:rPr>
        <w:t>KŘÍŽKEM.</w:t>
      </w:r>
    </w:p>
  </w:footnote>
  <w:footnote w:id="2">
    <w:p w:rsidR="000734B0" w:rsidRPr="00E21CE4" w:rsidRDefault="000734B0" w:rsidP="000734B0">
      <w:pPr>
        <w:pStyle w:val="Textpoznpodarou"/>
        <w:rPr>
          <w:sz w:val="18"/>
        </w:rPr>
      </w:pPr>
      <w:r w:rsidRPr="00E21CE4">
        <w:rPr>
          <w:rStyle w:val="Znakapoznpodarou"/>
          <w:sz w:val="18"/>
        </w:rPr>
        <w:footnoteRef/>
      </w:r>
      <w:r w:rsidRPr="00E21CE4">
        <w:rPr>
          <w:sz w:val="18"/>
        </w:rPr>
        <w:t xml:space="preserve"> Jednotlivá aplikační odvětví/témata se ve většině případů rozpadají na několik samostatných podtémat, která jsou podrobně předmětem kapitol 2.1.1</w:t>
      </w:r>
      <w:r>
        <w:rPr>
          <w:sz w:val="18"/>
        </w:rPr>
        <w:t xml:space="preserve"> </w:t>
      </w:r>
      <w:r w:rsidRPr="009529DE">
        <w:rPr>
          <w:sz w:val="18"/>
        </w:rPr>
        <w:t>–</w:t>
      </w:r>
      <w:r>
        <w:rPr>
          <w:sz w:val="18"/>
        </w:rPr>
        <w:t xml:space="preserve"> </w:t>
      </w:r>
      <w:r w:rsidRPr="00E21CE4">
        <w:rPr>
          <w:sz w:val="18"/>
        </w:rPr>
        <w:t>2.7.3 (resp. 2.8.5 – včetně krajsky specifických aplikačních odvětví/témat).</w:t>
      </w:r>
    </w:p>
  </w:footnote>
  <w:footnote w:id="3">
    <w:p w:rsidR="000734B0" w:rsidRDefault="000734B0" w:rsidP="000734B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7424F">
        <w:rPr>
          <w:sz w:val="18"/>
          <w:szCs w:val="18"/>
        </w:rPr>
        <w:t xml:space="preserve">Více informací </w:t>
      </w:r>
      <w:r>
        <w:rPr>
          <w:sz w:val="18"/>
          <w:szCs w:val="18"/>
        </w:rPr>
        <w:t xml:space="preserve">k jednotlivým krajsky specifickým oblastem specializace viz kap. 2.8 tohoto materiálu. </w:t>
      </w:r>
      <w:r w:rsidRPr="00E444E7">
        <w:rPr>
          <w:sz w:val="18"/>
        </w:rPr>
        <w:t xml:space="preserve">EDP v rámci </w:t>
      </w:r>
      <w:r>
        <w:rPr>
          <w:sz w:val="18"/>
        </w:rPr>
        <w:t>regionálních inovačních platforem</w:t>
      </w:r>
      <w:r w:rsidRPr="00E444E7">
        <w:rPr>
          <w:sz w:val="18"/>
        </w:rPr>
        <w:t xml:space="preserve"> </w:t>
      </w:r>
      <w:r>
        <w:rPr>
          <w:sz w:val="18"/>
        </w:rPr>
        <w:t>je zatím pouze na počátku identifikace VaVaI potřeb a příležitostí v daných oborech/odvětvích – průniky</w:t>
      </w:r>
      <w:r w:rsidRPr="00C82041">
        <w:rPr>
          <w:sz w:val="18"/>
        </w:rPr>
        <w:t xml:space="preserve"> </w:t>
      </w:r>
      <w:r w:rsidRPr="007D5B4B">
        <w:rPr>
          <w:sz w:val="18"/>
        </w:rPr>
        <w:t>generických</w:t>
      </w:r>
      <w:r>
        <w:rPr>
          <w:sz w:val="18"/>
        </w:rPr>
        <w:t xml:space="preserve"> znalostních domén s regionálními aplikačními tématy tak zatím</w:t>
      </w:r>
      <w:r w:rsidRPr="007D5B4B">
        <w:rPr>
          <w:sz w:val="18"/>
        </w:rPr>
        <w:t xml:space="preserve"> identifikovány</w:t>
      </w:r>
      <w:r w:rsidRPr="00E444E7">
        <w:rPr>
          <w:sz w:val="18"/>
        </w:rPr>
        <w:t>. V daný moment tudíž průniky nejsou omezeny, tj. relevantním průnikem je využitelnost kterékoliv generické znalostní domény v daném aplikačním tématu.</w:t>
      </w:r>
    </w:p>
  </w:footnote>
  <w:footnote w:id="4">
    <w:p w:rsidR="000734B0" w:rsidRDefault="000734B0" w:rsidP="000734B0">
      <w:pPr>
        <w:pStyle w:val="Textpoznpodarou"/>
      </w:pPr>
      <w:r w:rsidRPr="00E21CE4">
        <w:rPr>
          <w:rStyle w:val="Znakapoznpodarou"/>
          <w:sz w:val="18"/>
        </w:rPr>
        <w:footnoteRef/>
      </w:r>
      <w:r w:rsidRPr="00E21CE4">
        <w:rPr>
          <w:sz w:val="18"/>
        </w:rPr>
        <w:t xml:space="preserve"> Relevantní průniky generických znalostních domén s aplikačním tém</w:t>
      </w:r>
      <w:r>
        <w:rPr>
          <w:sz w:val="18"/>
        </w:rPr>
        <w:t>a</w:t>
      </w:r>
      <w:r w:rsidRPr="00E21CE4">
        <w:rPr>
          <w:sz w:val="18"/>
        </w:rPr>
        <w:t>tem „Společenské výzvy“ nebyly v rámci EDP v relevantní NIP zatím identifikovány</w:t>
      </w:r>
      <w:r>
        <w:rPr>
          <w:sz w:val="18"/>
        </w:rPr>
        <w:t>, neboť platforma je zatím pouze na počátku identifikace VaVaI potřeb a příležitostí v daných oblastech</w:t>
      </w:r>
      <w:r w:rsidRPr="00E21CE4">
        <w:rPr>
          <w:sz w:val="18"/>
        </w:rPr>
        <w:t>. V daný moment tudíž průniky nejsou omezeny, tj. relevantním průnikem je využitelnost kterékoliv generické znalostní domény v daném aplikačním tématu.</w:t>
      </w:r>
    </w:p>
  </w:footnote>
  <w:footnote w:id="5">
    <w:p w:rsidR="000734B0" w:rsidRDefault="000734B0" w:rsidP="000734B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7424F">
        <w:rPr>
          <w:sz w:val="18"/>
          <w:szCs w:val="18"/>
        </w:rPr>
        <w:t>Nové kulturní a kreativní průmysly jsou provázány s Digitální ekonomikou a digitálním obsahem</w:t>
      </w:r>
      <w:r>
        <w:rPr>
          <w:sz w:val="18"/>
          <w:szCs w:val="18"/>
        </w:rPr>
        <w:t>.</w:t>
      </w:r>
    </w:p>
  </w:footnote>
  <w:footnote w:id="6">
    <w:p w:rsidR="000734B0" w:rsidRDefault="000734B0" w:rsidP="000734B0">
      <w:pPr>
        <w:pStyle w:val="Textpoznpodarou"/>
      </w:pPr>
      <w:r>
        <w:rPr>
          <w:rStyle w:val="Znakapoznpodarou"/>
        </w:rPr>
        <w:footnoteRef/>
      </w:r>
      <w:r>
        <w:t xml:space="preserve"> Generické znalostní domény jsou blíže popsány v kapitole 1.2.3.</w:t>
      </w:r>
    </w:p>
  </w:footnote>
  <w:footnote w:id="7">
    <w:p w:rsidR="000734B0" w:rsidRPr="00DF3E1A" w:rsidRDefault="000734B0" w:rsidP="000734B0">
      <w:pPr>
        <w:pStyle w:val="Textpoznpodarou"/>
        <w:rPr>
          <w:b/>
        </w:rPr>
      </w:pPr>
      <w:r>
        <w:rPr>
          <w:rStyle w:val="Znakapoznpodarou"/>
        </w:rPr>
        <w:footnoteRef/>
      </w:r>
      <w:r>
        <w:t xml:space="preserve"> </w:t>
      </w:r>
      <w:r w:rsidRPr="0042600E">
        <w:rPr>
          <w:sz w:val="18"/>
          <w:szCs w:val="18"/>
        </w:rPr>
        <w:t xml:space="preserve">KET Nanotechnologie </w:t>
      </w:r>
      <w:r>
        <w:rPr>
          <w:sz w:val="18"/>
          <w:szCs w:val="18"/>
        </w:rPr>
        <w:t xml:space="preserve">je </w:t>
      </w:r>
      <w:r w:rsidRPr="0042600E">
        <w:rPr>
          <w:sz w:val="18"/>
          <w:szCs w:val="18"/>
        </w:rPr>
        <w:t>v </w:t>
      </w:r>
      <w:r w:rsidRPr="00DF3E1A">
        <w:rPr>
          <w:sz w:val="18"/>
          <w:szCs w:val="18"/>
        </w:rPr>
        <w:t>rámci implementace a realizace RIS3</w:t>
      </w:r>
      <w:r>
        <w:rPr>
          <w:sz w:val="18"/>
          <w:szCs w:val="18"/>
        </w:rPr>
        <w:t xml:space="preserve"> </w:t>
      </w:r>
      <w:r w:rsidRPr="0042600E">
        <w:rPr>
          <w:sz w:val="18"/>
          <w:szCs w:val="18"/>
        </w:rPr>
        <w:t>průřezově sledován</w:t>
      </w:r>
      <w:r>
        <w:rPr>
          <w:sz w:val="18"/>
          <w:szCs w:val="18"/>
        </w:rPr>
        <w:t>a</w:t>
      </w:r>
      <w:r w:rsidRPr="0042600E">
        <w:rPr>
          <w:sz w:val="18"/>
          <w:szCs w:val="18"/>
        </w:rPr>
        <w:t xml:space="preserve"> a podporován</w:t>
      </w:r>
      <w:r>
        <w:rPr>
          <w:sz w:val="18"/>
          <w:szCs w:val="18"/>
        </w:rPr>
        <w:t>a a je jí z titulu její významnosti v rámci výzkumné specializace ČR věnován v  procesu EDP obzvláštní zřetel</w:t>
      </w:r>
      <w:r w:rsidRPr="00DF3E1A">
        <w:rPr>
          <w:sz w:val="18"/>
          <w:szCs w:val="18"/>
        </w:rPr>
        <w:t xml:space="preserve">. </w:t>
      </w:r>
      <w:r>
        <w:rPr>
          <w:sz w:val="18"/>
          <w:szCs w:val="18"/>
        </w:rPr>
        <w:t> Na základě procesu</w:t>
      </w:r>
      <w:r w:rsidRPr="00DF3E1A">
        <w:rPr>
          <w:sz w:val="18"/>
          <w:szCs w:val="18"/>
        </w:rPr>
        <w:t xml:space="preserve"> EDP byla </w:t>
      </w:r>
      <w:r>
        <w:rPr>
          <w:sz w:val="18"/>
          <w:szCs w:val="18"/>
        </w:rPr>
        <w:t>v oblasti Nanotechnologií podrobněji identifikována/specifikována tato perspektivní</w:t>
      </w:r>
      <w:r w:rsidRPr="00DF3E1A">
        <w:rPr>
          <w:sz w:val="18"/>
          <w:szCs w:val="18"/>
        </w:rPr>
        <w:t xml:space="preserve"> témata: </w:t>
      </w:r>
      <w:proofErr w:type="spellStart"/>
      <w:r w:rsidRPr="00E21CE4">
        <w:rPr>
          <w:sz w:val="18"/>
          <w:szCs w:val="18"/>
        </w:rPr>
        <w:t>Nanovlá</w:t>
      </w:r>
      <w:proofErr w:type="spellEnd"/>
      <w:r w:rsidRPr="00E21CE4">
        <w:rPr>
          <w:sz w:val="18"/>
          <w:szCs w:val="18"/>
          <w:lang w:val="de-DE"/>
        </w:rPr>
        <w:t>kenn</w:t>
      </w:r>
      <w:r w:rsidRPr="00E21CE4">
        <w:rPr>
          <w:sz w:val="18"/>
          <w:szCs w:val="18"/>
          <w:lang w:val="fr-FR"/>
        </w:rPr>
        <w:t xml:space="preserve">é </w:t>
      </w:r>
      <w:r w:rsidRPr="00E21CE4">
        <w:rPr>
          <w:sz w:val="18"/>
          <w:szCs w:val="18"/>
          <w:lang w:val="it-IT"/>
        </w:rPr>
        <w:t>materi</w:t>
      </w:r>
      <w:proofErr w:type="spellStart"/>
      <w:r w:rsidRPr="00E21CE4">
        <w:rPr>
          <w:sz w:val="18"/>
          <w:szCs w:val="18"/>
        </w:rPr>
        <w:t>ály</w:t>
      </w:r>
      <w:proofErr w:type="spellEnd"/>
      <w:r w:rsidRPr="00E21CE4">
        <w:rPr>
          <w:sz w:val="18"/>
          <w:szCs w:val="18"/>
        </w:rPr>
        <w:t xml:space="preserve"> pro </w:t>
      </w:r>
      <w:proofErr w:type="spellStart"/>
      <w:r w:rsidRPr="00E21CE4">
        <w:rPr>
          <w:sz w:val="18"/>
          <w:szCs w:val="18"/>
        </w:rPr>
        <w:t>průmyslov</w:t>
      </w:r>
      <w:proofErr w:type="spellEnd"/>
      <w:r w:rsidRPr="00E21CE4">
        <w:rPr>
          <w:sz w:val="18"/>
          <w:szCs w:val="18"/>
          <w:lang w:val="fr-FR"/>
        </w:rPr>
        <w:t xml:space="preserve">é </w:t>
      </w:r>
      <w:r w:rsidRPr="00E21CE4">
        <w:rPr>
          <w:sz w:val="18"/>
          <w:szCs w:val="18"/>
        </w:rPr>
        <w:t xml:space="preserve">aplikace (filtrace).  </w:t>
      </w:r>
      <w:r w:rsidRPr="00E21CE4">
        <w:rPr>
          <w:sz w:val="18"/>
          <w:szCs w:val="18"/>
          <w:lang w:val="it-IT"/>
        </w:rPr>
        <w:t>Nano</w:t>
      </w:r>
      <w:r w:rsidRPr="00E21CE4">
        <w:rPr>
          <w:sz w:val="18"/>
          <w:szCs w:val="18"/>
        </w:rPr>
        <w:t xml:space="preserve">částice </w:t>
      </w:r>
      <w:proofErr w:type="spellStart"/>
      <w:r w:rsidRPr="00E21CE4">
        <w:rPr>
          <w:sz w:val="18"/>
          <w:szCs w:val="18"/>
        </w:rPr>
        <w:t>nulamocn</w:t>
      </w:r>
      <w:proofErr w:type="spellEnd"/>
      <w:r w:rsidRPr="00E21CE4">
        <w:rPr>
          <w:sz w:val="18"/>
          <w:szCs w:val="18"/>
          <w:lang w:val="fr-FR"/>
        </w:rPr>
        <w:t>é</w:t>
      </w:r>
      <w:r w:rsidRPr="00E21CE4">
        <w:rPr>
          <w:sz w:val="18"/>
          <w:szCs w:val="18"/>
        </w:rPr>
        <w:t xml:space="preserve">ho železa a jejich aplikace v technologiích sanace podzemních i povrchových vod. </w:t>
      </w:r>
      <w:r w:rsidRPr="00E21CE4">
        <w:rPr>
          <w:sz w:val="18"/>
          <w:szCs w:val="18"/>
          <w:lang w:val="it-IT"/>
        </w:rPr>
        <w:t>Filtra</w:t>
      </w:r>
      <w:r w:rsidRPr="00E21CE4">
        <w:rPr>
          <w:sz w:val="18"/>
          <w:szCs w:val="18"/>
        </w:rPr>
        <w:t xml:space="preserve">ční </w:t>
      </w:r>
      <w:r w:rsidRPr="00E21CE4">
        <w:rPr>
          <w:sz w:val="18"/>
          <w:szCs w:val="18"/>
          <w:lang w:val="it-IT"/>
        </w:rPr>
        <w:t>materi</w:t>
      </w:r>
      <w:proofErr w:type="spellStart"/>
      <w:r w:rsidRPr="00E21CE4">
        <w:rPr>
          <w:sz w:val="18"/>
          <w:szCs w:val="18"/>
        </w:rPr>
        <w:t>ály</w:t>
      </w:r>
      <w:proofErr w:type="spellEnd"/>
      <w:r w:rsidRPr="00E21CE4">
        <w:rPr>
          <w:sz w:val="18"/>
          <w:szCs w:val="18"/>
        </w:rPr>
        <w:t xml:space="preserve"> (polymerní </w:t>
      </w:r>
      <w:proofErr w:type="spellStart"/>
      <w:r w:rsidRPr="00E21CE4">
        <w:rPr>
          <w:sz w:val="18"/>
          <w:szCs w:val="18"/>
        </w:rPr>
        <w:t>nanovlá</w:t>
      </w:r>
      <w:proofErr w:type="spellEnd"/>
      <w:r w:rsidRPr="00E21CE4">
        <w:rPr>
          <w:sz w:val="18"/>
          <w:szCs w:val="18"/>
          <w:lang w:val="de-DE"/>
        </w:rPr>
        <w:t>kenn</w:t>
      </w:r>
      <w:r w:rsidRPr="00E21CE4">
        <w:rPr>
          <w:sz w:val="18"/>
          <w:szCs w:val="18"/>
          <w:lang w:val="fr-FR"/>
        </w:rPr>
        <w:t>é membr</w:t>
      </w:r>
      <w:proofErr w:type="spellStart"/>
      <w:r w:rsidRPr="00E21CE4">
        <w:rPr>
          <w:sz w:val="18"/>
          <w:szCs w:val="18"/>
        </w:rPr>
        <w:t>ány</w:t>
      </w:r>
      <w:proofErr w:type="spellEnd"/>
      <w:r w:rsidRPr="00E21CE4">
        <w:rPr>
          <w:sz w:val="18"/>
          <w:szCs w:val="18"/>
        </w:rPr>
        <w:t>) – pro technologie čištění vody a vzduchu bez chemikálií prostřednictví</w:t>
      </w:r>
      <w:r w:rsidRPr="00E21CE4">
        <w:rPr>
          <w:sz w:val="18"/>
          <w:szCs w:val="18"/>
          <w:lang w:val="fr-FR"/>
        </w:rPr>
        <w:t>m technologie membr</w:t>
      </w:r>
      <w:proofErr w:type="spellStart"/>
      <w:r w:rsidRPr="00E21CE4">
        <w:rPr>
          <w:sz w:val="18"/>
          <w:szCs w:val="18"/>
        </w:rPr>
        <w:t>ánov</w:t>
      </w:r>
      <w:proofErr w:type="spellEnd"/>
      <w:r w:rsidRPr="00E21CE4">
        <w:rPr>
          <w:sz w:val="18"/>
          <w:szCs w:val="18"/>
          <w:lang w:val="fr-FR"/>
        </w:rPr>
        <w:t xml:space="preserve">é </w:t>
      </w:r>
      <w:r w:rsidRPr="00E21CE4">
        <w:rPr>
          <w:sz w:val="18"/>
          <w:szCs w:val="18"/>
          <w:lang w:val="es-ES_tradnl"/>
        </w:rPr>
        <w:t xml:space="preserve">separace. </w:t>
      </w:r>
      <w:proofErr w:type="spellStart"/>
      <w:r w:rsidRPr="00E21CE4">
        <w:rPr>
          <w:sz w:val="18"/>
          <w:szCs w:val="18"/>
        </w:rPr>
        <w:t>Fotokatalytick</w:t>
      </w:r>
      <w:proofErr w:type="spellEnd"/>
      <w:r w:rsidRPr="00E21CE4">
        <w:rPr>
          <w:sz w:val="18"/>
          <w:szCs w:val="18"/>
          <w:lang w:val="fr-FR"/>
        </w:rPr>
        <w:t xml:space="preserve">é </w:t>
      </w:r>
      <w:r w:rsidRPr="00E21CE4">
        <w:rPr>
          <w:sz w:val="18"/>
          <w:szCs w:val="18"/>
        </w:rPr>
        <w:t>nátěry s nanočásticemi TiO</w:t>
      </w:r>
      <w:r w:rsidRPr="00E21CE4">
        <w:rPr>
          <w:sz w:val="18"/>
          <w:szCs w:val="18"/>
          <w:vertAlign w:val="subscript"/>
        </w:rPr>
        <w:t xml:space="preserve">2. </w:t>
      </w:r>
      <w:proofErr w:type="spellStart"/>
      <w:r w:rsidRPr="00E21CE4">
        <w:rPr>
          <w:sz w:val="18"/>
          <w:szCs w:val="18"/>
        </w:rPr>
        <w:t>Nanostrukturovan</w:t>
      </w:r>
      <w:proofErr w:type="spellEnd"/>
      <w:r w:rsidRPr="00E21CE4">
        <w:rPr>
          <w:sz w:val="18"/>
          <w:szCs w:val="18"/>
          <w:lang w:val="fr-FR"/>
        </w:rPr>
        <w:t xml:space="preserve">é </w:t>
      </w:r>
      <w:r w:rsidRPr="00E21CE4">
        <w:rPr>
          <w:sz w:val="18"/>
          <w:szCs w:val="18"/>
        </w:rPr>
        <w:t xml:space="preserve">polymery, </w:t>
      </w:r>
      <w:proofErr w:type="spellStart"/>
      <w:r w:rsidRPr="00E21CE4">
        <w:rPr>
          <w:sz w:val="18"/>
          <w:szCs w:val="18"/>
        </w:rPr>
        <w:t>elektroaktivní</w:t>
      </w:r>
      <w:proofErr w:type="spellEnd"/>
      <w:r w:rsidRPr="00E21CE4">
        <w:rPr>
          <w:sz w:val="18"/>
          <w:szCs w:val="18"/>
        </w:rPr>
        <w:t xml:space="preserve"> polymery, </w:t>
      </w:r>
      <w:proofErr w:type="spellStart"/>
      <w:r w:rsidRPr="00E21CE4">
        <w:rPr>
          <w:sz w:val="18"/>
          <w:szCs w:val="18"/>
        </w:rPr>
        <w:t>termosetov</w:t>
      </w:r>
      <w:proofErr w:type="spellEnd"/>
      <w:r w:rsidRPr="00E21CE4">
        <w:rPr>
          <w:sz w:val="18"/>
          <w:szCs w:val="18"/>
          <w:lang w:val="fr-FR"/>
        </w:rPr>
        <w:t xml:space="preserve">é </w:t>
      </w:r>
      <w:r w:rsidRPr="00E21CE4">
        <w:rPr>
          <w:sz w:val="18"/>
          <w:szCs w:val="18"/>
        </w:rPr>
        <w:t xml:space="preserve">i </w:t>
      </w:r>
      <w:proofErr w:type="spellStart"/>
      <w:r w:rsidRPr="00E21CE4">
        <w:rPr>
          <w:sz w:val="18"/>
          <w:szCs w:val="18"/>
        </w:rPr>
        <w:t>termoplastov</w:t>
      </w:r>
      <w:proofErr w:type="spellEnd"/>
      <w:r w:rsidRPr="00E21CE4">
        <w:rPr>
          <w:sz w:val="18"/>
          <w:szCs w:val="18"/>
          <w:lang w:val="fr-FR"/>
        </w:rPr>
        <w:t xml:space="preserve">é </w:t>
      </w:r>
      <w:r w:rsidRPr="00E21CE4">
        <w:rPr>
          <w:sz w:val="18"/>
          <w:szCs w:val="18"/>
        </w:rPr>
        <w:t xml:space="preserve">kompozity, polymerní kompozity pro medicínu, architektura hmoty v </w:t>
      </w:r>
      <w:proofErr w:type="spellStart"/>
      <w:r w:rsidRPr="00E21CE4">
        <w:rPr>
          <w:sz w:val="18"/>
          <w:szCs w:val="18"/>
        </w:rPr>
        <w:t>nanoměřítku</w:t>
      </w:r>
      <w:proofErr w:type="spellEnd"/>
      <w:r w:rsidRPr="00E21CE4">
        <w:rPr>
          <w:sz w:val="18"/>
          <w:szCs w:val="18"/>
        </w:rPr>
        <w:t xml:space="preserve">, 2D a 3D </w:t>
      </w:r>
      <w:proofErr w:type="spellStart"/>
      <w:r w:rsidRPr="00E21CE4">
        <w:rPr>
          <w:sz w:val="18"/>
          <w:szCs w:val="18"/>
        </w:rPr>
        <w:t>nanostruktury</w:t>
      </w:r>
      <w:proofErr w:type="spellEnd"/>
      <w:r w:rsidRPr="00E21CE4">
        <w:rPr>
          <w:sz w:val="18"/>
          <w:szCs w:val="18"/>
        </w:rPr>
        <w:t>.</w:t>
      </w:r>
    </w:p>
  </w:footnote>
  <w:footnote w:id="8">
    <w:p w:rsidR="000734B0" w:rsidRDefault="000734B0" w:rsidP="000734B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82FB7">
        <w:rPr>
          <w:sz w:val="18"/>
          <w:szCs w:val="18"/>
        </w:rPr>
        <w:t>Vazba na průmysl skla, keramiky, porcelánu a stavebních hmot.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5D68" w:rsidRDefault="00495D6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6797" w:rsidRDefault="00495D68">
    <w:pPr>
      <w:pStyle w:val="Zhlav"/>
    </w:pPr>
    <w:r>
      <w:t>Příloha</w:t>
    </w:r>
    <w:r w:rsidR="00B84E6A">
      <w:t xml:space="preserve"> 2</w:t>
    </w:r>
    <w:r w:rsidR="00686797">
      <w:t xml:space="preserve"> </w:t>
    </w:r>
    <w:r w:rsidR="005B1770">
      <w:t xml:space="preserve">- </w:t>
    </w:r>
    <w:proofErr w:type="spellStart"/>
    <w:r w:rsidR="00686797">
      <w:t>Verti</w:t>
    </w:r>
    <w:bookmarkStart w:id="1" w:name="_GoBack"/>
    <w:bookmarkEnd w:id="1"/>
    <w:r w:rsidR="00686797">
      <w:t>kalizační</w:t>
    </w:r>
    <w:proofErr w:type="spellEnd"/>
    <w:r w:rsidR="00686797">
      <w:t xml:space="preserve"> matice RIS3 strategie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5D68" w:rsidRDefault="00495D6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0C22AA"/>
    <w:multiLevelType w:val="multilevel"/>
    <w:tmpl w:val="AE06C18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718" w:hanging="576"/>
      </w:pPr>
      <w:rPr>
        <w:rFonts w:hint="default"/>
        <w:i w:val="0"/>
      </w:rPr>
    </w:lvl>
    <w:lvl w:ilvl="2">
      <w:start w:val="1"/>
      <w:numFmt w:val="decimal"/>
      <w:pStyle w:val="Nadpis3"/>
      <w:lvlText w:val="%1.%2.%3"/>
      <w:lvlJc w:val="left"/>
      <w:pPr>
        <w:ind w:left="1997" w:hanging="720"/>
      </w:pPr>
      <w:rPr>
        <w:rFonts w:ascii="Arial" w:hAnsi="Arial" w:cs="Arial" w:hint="default"/>
        <w:b/>
        <w:color w:val="365F91"/>
      </w:rPr>
    </w:lvl>
    <w:lvl w:ilvl="3">
      <w:start w:val="1"/>
      <w:numFmt w:val="decimal"/>
      <w:pStyle w:val="Nadpis4"/>
      <w:lvlText w:val="%1.%2.%3.%4"/>
      <w:lvlJc w:val="left"/>
      <w:pPr>
        <w:ind w:left="2707" w:hanging="864"/>
      </w:pPr>
      <w:rPr>
        <w:rFonts w:ascii="Arial" w:hAnsi="Arial" w:cs="Arial" w:hint="default"/>
        <w:b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4B0"/>
    <w:rsid w:val="000734B0"/>
    <w:rsid w:val="001862B5"/>
    <w:rsid w:val="00495D68"/>
    <w:rsid w:val="005B1770"/>
    <w:rsid w:val="00686797"/>
    <w:rsid w:val="006F5914"/>
    <w:rsid w:val="00B62586"/>
    <w:rsid w:val="00B84E6A"/>
    <w:rsid w:val="00D4789F"/>
    <w:rsid w:val="00EB3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2620BF-5DE8-4880-AC97-F10B8ABC1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734B0"/>
    <w:pPr>
      <w:suppressAutoHyphens/>
    </w:pPr>
    <w:rPr>
      <w:rFonts w:ascii="Calibri" w:eastAsia="Calibri" w:hAnsi="Calibri" w:cs="Calibri"/>
      <w:color w:val="000000"/>
      <w:kern w:val="1"/>
      <w:sz w:val="24"/>
      <w:szCs w:val="20"/>
      <w:lang w:eastAsia="hi-IN" w:bidi="hi-IN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734B0"/>
    <w:pPr>
      <w:keepNext/>
      <w:numPr>
        <w:ilvl w:val="1"/>
        <w:numId w:val="1"/>
      </w:numPr>
      <w:spacing w:before="240" w:after="60"/>
      <w:outlineLvl w:val="1"/>
    </w:pPr>
    <w:rPr>
      <w:rFonts w:ascii="Cambria" w:eastAsia="Times New Roman" w:hAnsi="Cambria" w:cs="Mangal"/>
      <w:b/>
      <w:bCs/>
      <w:i/>
      <w:iCs/>
      <w:sz w:val="28"/>
      <w:szCs w:val="25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34B0"/>
    <w:pPr>
      <w:keepNext/>
      <w:numPr>
        <w:ilvl w:val="2"/>
        <w:numId w:val="1"/>
      </w:numPr>
      <w:spacing w:before="240" w:after="60"/>
      <w:outlineLvl w:val="2"/>
    </w:pPr>
    <w:rPr>
      <w:rFonts w:ascii="Cambria" w:eastAsia="Times New Roman" w:hAnsi="Cambria" w:cs="Mangal"/>
      <w:b/>
      <w:bCs/>
      <w:sz w:val="26"/>
      <w:szCs w:val="23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734B0"/>
    <w:pPr>
      <w:keepNext/>
      <w:keepLines/>
      <w:numPr>
        <w:ilvl w:val="3"/>
        <w:numId w:val="1"/>
      </w:numPr>
      <w:suppressAutoHyphens w:val="0"/>
      <w:spacing w:before="200" w:after="0"/>
      <w:ind w:left="2280"/>
      <w:outlineLvl w:val="3"/>
    </w:pPr>
    <w:rPr>
      <w:rFonts w:ascii="Cambria" w:eastAsia="Times New Roman" w:hAnsi="Cambria" w:cs="Times New Roman"/>
      <w:b/>
      <w:bCs/>
      <w:i/>
      <w:iCs/>
      <w:color w:val="4F81BD"/>
      <w:kern w:val="0"/>
      <w:sz w:val="22"/>
      <w:szCs w:val="22"/>
      <w:lang w:eastAsia="en-US" w:bidi="ar-SA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734B0"/>
    <w:pPr>
      <w:keepNext/>
      <w:keepLines/>
      <w:numPr>
        <w:ilvl w:val="4"/>
        <w:numId w:val="1"/>
      </w:numPr>
      <w:suppressAutoHyphens w:val="0"/>
      <w:spacing w:before="200" w:after="0"/>
      <w:outlineLvl w:val="4"/>
    </w:pPr>
    <w:rPr>
      <w:rFonts w:ascii="Cambria" w:eastAsia="Times New Roman" w:hAnsi="Cambria" w:cs="Times New Roman"/>
      <w:color w:val="243F60"/>
      <w:kern w:val="0"/>
      <w:sz w:val="22"/>
      <w:szCs w:val="22"/>
      <w:lang w:eastAsia="en-US" w:bidi="ar-SA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734B0"/>
    <w:pPr>
      <w:keepNext/>
      <w:keepLines/>
      <w:numPr>
        <w:ilvl w:val="5"/>
        <w:numId w:val="1"/>
      </w:numPr>
      <w:suppressAutoHyphens w:val="0"/>
      <w:spacing w:before="200" w:after="0"/>
      <w:outlineLvl w:val="5"/>
    </w:pPr>
    <w:rPr>
      <w:rFonts w:ascii="Cambria" w:eastAsia="Times New Roman" w:hAnsi="Cambria" w:cs="Times New Roman"/>
      <w:i/>
      <w:iCs/>
      <w:color w:val="243F60"/>
      <w:kern w:val="0"/>
      <w:sz w:val="22"/>
      <w:szCs w:val="22"/>
      <w:lang w:eastAsia="en-US" w:bidi="ar-SA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734B0"/>
    <w:pPr>
      <w:keepNext/>
      <w:keepLines/>
      <w:numPr>
        <w:ilvl w:val="6"/>
        <w:numId w:val="1"/>
      </w:numPr>
      <w:suppressAutoHyphens w:val="0"/>
      <w:spacing w:before="200" w:after="0"/>
      <w:outlineLvl w:val="6"/>
    </w:pPr>
    <w:rPr>
      <w:rFonts w:ascii="Cambria" w:eastAsia="Times New Roman" w:hAnsi="Cambria" w:cs="Times New Roman"/>
      <w:i/>
      <w:iCs/>
      <w:color w:val="404040"/>
      <w:kern w:val="0"/>
      <w:sz w:val="22"/>
      <w:szCs w:val="22"/>
      <w:lang w:eastAsia="en-US" w:bidi="ar-SA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734B0"/>
    <w:pPr>
      <w:keepNext/>
      <w:keepLines/>
      <w:numPr>
        <w:ilvl w:val="7"/>
        <w:numId w:val="1"/>
      </w:numPr>
      <w:suppressAutoHyphens w:val="0"/>
      <w:spacing w:before="200" w:after="0"/>
      <w:outlineLvl w:val="7"/>
    </w:pPr>
    <w:rPr>
      <w:rFonts w:ascii="Cambria" w:eastAsia="Times New Roman" w:hAnsi="Cambria" w:cs="Times New Roman"/>
      <w:color w:val="404040"/>
      <w:kern w:val="0"/>
      <w:sz w:val="20"/>
      <w:lang w:eastAsia="en-US" w:bidi="ar-SA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734B0"/>
    <w:pPr>
      <w:keepNext/>
      <w:keepLines/>
      <w:numPr>
        <w:ilvl w:val="8"/>
        <w:numId w:val="1"/>
      </w:numPr>
      <w:suppressAutoHyphens w:val="0"/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kern w:val="0"/>
      <w:sz w:val="20"/>
      <w:lang w:eastAsia="en-US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0734B0"/>
    <w:rPr>
      <w:rFonts w:ascii="Cambria" w:eastAsia="Times New Roman" w:hAnsi="Cambria" w:cs="Mangal"/>
      <w:b/>
      <w:bCs/>
      <w:i/>
      <w:iCs/>
      <w:color w:val="000000"/>
      <w:kern w:val="1"/>
      <w:sz w:val="28"/>
      <w:szCs w:val="25"/>
      <w:lang w:eastAsia="hi-IN" w:bidi="hi-IN"/>
    </w:rPr>
  </w:style>
  <w:style w:type="character" w:customStyle="1" w:styleId="Nadpis3Char">
    <w:name w:val="Nadpis 3 Char"/>
    <w:basedOn w:val="Standardnpsmoodstavce"/>
    <w:link w:val="Nadpis3"/>
    <w:uiPriority w:val="9"/>
    <w:rsid w:val="000734B0"/>
    <w:rPr>
      <w:rFonts w:ascii="Cambria" w:eastAsia="Times New Roman" w:hAnsi="Cambria" w:cs="Mangal"/>
      <w:b/>
      <w:bCs/>
      <w:color w:val="000000"/>
      <w:kern w:val="1"/>
      <w:sz w:val="26"/>
      <w:szCs w:val="23"/>
      <w:lang w:eastAsia="hi-IN" w:bidi="hi-IN"/>
    </w:rPr>
  </w:style>
  <w:style w:type="character" w:customStyle="1" w:styleId="Nadpis4Char">
    <w:name w:val="Nadpis 4 Char"/>
    <w:basedOn w:val="Standardnpsmoodstavce"/>
    <w:link w:val="Nadpis4"/>
    <w:uiPriority w:val="9"/>
    <w:rsid w:val="000734B0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734B0"/>
    <w:rPr>
      <w:rFonts w:ascii="Cambria" w:eastAsia="Times New Roman" w:hAnsi="Cambria" w:cs="Times New Roman"/>
      <w:color w:val="243F6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734B0"/>
    <w:rPr>
      <w:rFonts w:ascii="Cambria" w:eastAsia="Times New Roman" w:hAnsi="Cambria" w:cs="Times New Roman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734B0"/>
    <w:rPr>
      <w:rFonts w:ascii="Cambria" w:eastAsia="Times New Roman" w:hAnsi="Cambria" w:cs="Times New Roman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734B0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734B0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Textpoznpodarou">
    <w:name w:val="footnote text"/>
    <w:aliases w:val="Schriftart: 9 pt,Schriftart: 10 pt,Schriftart: 8 pt,Text poznámky pod čiarou 007,Footnote,Fußnotentextf,Geneva 9,Font: Geneva 9,Boston 10,f,pozn. pod čarou,Char,Text pozn. pod čarou1,Char Char Char1,Char Char1,Footnote Text Char"/>
    <w:basedOn w:val="Normln"/>
    <w:link w:val="TextpoznpodarouChar"/>
    <w:uiPriority w:val="99"/>
    <w:unhideWhenUsed/>
    <w:qFormat/>
    <w:rsid w:val="000734B0"/>
    <w:pPr>
      <w:suppressAutoHyphens w:val="0"/>
      <w:spacing w:after="0" w:line="240" w:lineRule="auto"/>
    </w:pPr>
    <w:rPr>
      <w:rFonts w:cs="Times New Roman"/>
      <w:color w:val="auto"/>
      <w:kern w:val="0"/>
      <w:sz w:val="20"/>
      <w:lang w:eastAsia="en-US" w:bidi="ar-SA"/>
    </w:rPr>
  </w:style>
  <w:style w:type="character" w:customStyle="1" w:styleId="TextpoznpodarouChar">
    <w:name w:val="Text pozn. pod čarou Char"/>
    <w:aliases w:val="Schriftart: 9 pt Char,Schriftart: 10 pt Char,Schriftart: 8 pt Char,Text poznámky pod čiarou 007 Char,Footnote Char,Fußnotentextf Char,Geneva 9 Char,Font: Geneva 9 Char,Boston 10 Char,f Char,pozn. pod čarou Char,Char Char"/>
    <w:basedOn w:val="Standardnpsmoodstavce"/>
    <w:link w:val="Textpoznpodarou"/>
    <w:uiPriority w:val="99"/>
    <w:rsid w:val="000734B0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aliases w:val="BVI fnr,Footnote symbol,Footnote Reference Superscript,Appel note de bas de p,Appel note de bas de page,Légende,Char Car Car Car Car,Voetnootverwijzing,PGI Fußnote Ziffer,Footnote Reference Number,Légende;Char Car Car Car Ca"/>
    <w:uiPriority w:val="99"/>
    <w:unhideWhenUsed/>
    <w:rsid w:val="000734B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686797"/>
    <w:pPr>
      <w:tabs>
        <w:tab w:val="center" w:pos="4536"/>
        <w:tab w:val="right" w:pos="9072"/>
      </w:tabs>
      <w:spacing w:after="0" w:line="240" w:lineRule="auto"/>
    </w:pPr>
    <w:rPr>
      <w:rFonts w:cs="Mangal"/>
    </w:rPr>
  </w:style>
  <w:style w:type="character" w:customStyle="1" w:styleId="ZhlavChar">
    <w:name w:val="Záhlaví Char"/>
    <w:basedOn w:val="Standardnpsmoodstavce"/>
    <w:link w:val="Zhlav"/>
    <w:uiPriority w:val="99"/>
    <w:rsid w:val="00686797"/>
    <w:rPr>
      <w:rFonts w:ascii="Calibri" w:eastAsia="Calibri" w:hAnsi="Calibri" w:cs="Mangal"/>
      <w:color w:val="000000"/>
      <w:kern w:val="1"/>
      <w:sz w:val="24"/>
      <w:szCs w:val="20"/>
      <w:lang w:eastAsia="hi-IN" w:bidi="hi-IN"/>
    </w:rPr>
  </w:style>
  <w:style w:type="paragraph" w:styleId="Zpat">
    <w:name w:val="footer"/>
    <w:basedOn w:val="Normln"/>
    <w:link w:val="ZpatChar"/>
    <w:uiPriority w:val="99"/>
    <w:unhideWhenUsed/>
    <w:rsid w:val="00686797"/>
    <w:pPr>
      <w:tabs>
        <w:tab w:val="center" w:pos="4536"/>
        <w:tab w:val="right" w:pos="9072"/>
      </w:tabs>
      <w:spacing w:after="0" w:line="240" w:lineRule="auto"/>
    </w:pPr>
    <w:rPr>
      <w:rFonts w:cs="Mangal"/>
    </w:rPr>
  </w:style>
  <w:style w:type="character" w:customStyle="1" w:styleId="ZpatChar">
    <w:name w:val="Zápatí Char"/>
    <w:basedOn w:val="Standardnpsmoodstavce"/>
    <w:link w:val="Zpat"/>
    <w:uiPriority w:val="99"/>
    <w:rsid w:val="00686797"/>
    <w:rPr>
      <w:rFonts w:ascii="Calibri" w:eastAsia="Calibri" w:hAnsi="Calibri" w:cs="Mangal"/>
      <w:color w:val="000000"/>
      <w:kern w:val="1"/>
      <w:sz w:val="24"/>
      <w:szCs w:val="2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B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A9DF8A09.dotm</Template>
  <TotalTime>4</TotalTime>
  <Pages>1</Pages>
  <Words>414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Fišerová Jana</dc:creator>
  <cp:lastModifiedBy>Bilík Jan</cp:lastModifiedBy>
  <cp:revision>6</cp:revision>
  <dcterms:created xsi:type="dcterms:W3CDTF">2018-02-05T12:36:00Z</dcterms:created>
  <dcterms:modified xsi:type="dcterms:W3CDTF">2018-05-04T08:51:00Z</dcterms:modified>
</cp:coreProperties>
</file>