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408" w:rsidRDefault="00FE26CE">
      <w:pPr>
        <w:spacing w:after="600"/>
        <w:jc w:val="right"/>
        <w:rPr>
          <w:rFonts w:ascii="Arial" w:eastAsia="Arial" w:hAnsi="Arial" w:cs="Arial"/>
          <w:sz w:val="22"/>
          <w:szCs w:val="22"/>
        </w:rPr>
      </w:pPr>
      <w:r>
        <w:rPr>
          <w:rFonts w:ascii="Arial" w:eastAsia="Arial" w:hAnsi="Arial" w:cs="Arial"/>
          <w:sz w:val="22"/>
          <w:szCs w:val="22"/>
        </w:rPr>
        <w:t>II.</w:t>
      </w:r>
    </w:p>
    <w:p w:rsidR="00352408" w:rsidRDefault="00FE26CE">
      <w:pPr>
        <w:spacing w:after="120"/>
        <w:jc w:val="center"/>
        <w:rPr>
          <w:rFonts w:ascii="Arial" w:eastAsia="Arial" w:hAnsi="Arial" w:cs="Arial"/>
          <w:sz w:val="22"/>
          <w:szCs w:val="22"/>
        </w:rPr>
      </w:pPr>
      <w:r>
        <w:rPr>
          <w:rFonts w:ascii="Arial" w:eastAsia="Arial" w:hAnsi="Arial" w:cs="Arial"/>
          <w:b/>
          <w:sz w:val="22"/>
          <w:szCs w:val="22"/>
        </w:rPr>
        <w:t>PŘEDKLÁDACÍ ZPRÁVA</w:t>
      </w:r>
    </w:p>
    <w:p w:rsidR="00352408" w:rsidRDefault="00352408">
      <w:pPr>
        <w:spacing w:after="120"/>
        <w:jc w:val="center"/>
        <w:rPr>
          <w:rFonts w:ascii="Arial" w:eastAsia="Arial" w:hAnsi="Arial" w:cs="Arial"/>
          <w:sz w:val="22"/>
          <w:szCs w:val="22"/>
        </w:rPr>
      </w:pPr>
    </w:p>
    <w:p w:rsidR="00352408" w:rsidRDefault="00FE26CE">
      <w:pPr>
        <w:spacing w:before="120" w:after="120"/>
        <w:jc w:val="both"/>
        <w:rPr>
          <w:rFonts w:ascii="Arial" w:eastAsia="Arial" w:hAnsi="Arial" w:cs="Arial"/>
          <w:sz w:val="22"/>
          <w:szCs w:val="22"/>
        </w:rPr>
      </w:pPr>
      <w:r>
        <w:rPr>
          <w:rFonts w:ascii="Arial" w:eastAsia="Arial" w:hAnsi="Arial" w:cs="Arial"/>
          <w:b/>
          <w:sz w:val="22"/>
          <w:szCs w:val="22"/>
        </w:rPr>
        <w:t xml:space="preserve">Návrh na změnu programu aplikovaného výzkumu, experimentálního vývoje a inovací GAMA </w:t>
      </w:r>
      <w:r>
        <w:rPr>
          <w:rFonts w:ascii="Arial" w:eastAsia="Arial" w:hAnsi="Arial" w:cs="Arial"/>
          <w:sz w:val="22"/>
          <w:szCs w:val="22"/>
        </w:rPr>
        <w:t>(dále také “program”) předkládá vládě České republiky ke schválení Technologická agentura České republiky (dále také „TA ČR“). Materiál obsahuje v části III. návrh na změnu programu aplikovaného výzkumu, experimentálního vývoje a inovací GAMA. Návrh se předkládá dle § 5 odst. 2 zákona č. 130/2002 Sb., o podpoře výzkumu, experimentálního vývoje a inovací z veřejných prostředků a o změně některých souvisejících zákonů, ve znění pozdějších předpisů.</w:t>
      </w:r>
    </w:p>
    <w:p w:rsidR="00352408" w:rsidRDefault="00FE26CE">
      <w:pPr>
        <w:pBdr>
          <w:top w:val="nil"/>
          <w:left w:val="nil"/>
          <w:bottom w:val="nil"/>
          <w:right w:val="nil"/>
          <w:between w:val="nil"/>
        </w:pBdr>
        <w:spacing w:before="120" w:after="120"/>
        <w:jc w:val="both"/>
        <w:rPr>
          <w:rFonts w:ascii="Arial" w:eastAsia="Arial" w:hAnsi="Arial" w:cs="Arial"/>
          <w:sz w:val="22"/>
          <w:szCs w:val="22"/>
        </w:rPr>
      </w:pPr>
      <w:r>
        <w:rPr>
          <w:rFonts w:ascii="Arial" w:eastAsia="Arial" w:hAnsi="Arial" w:cs="Arial"/>
          <w:sz w:val="22"/>
          <w:szCs w:val="22"/>
        </w:rPr>
        <w:t>Původní program byl od počátku formulován, mimo jiné, se záměrem pomoci vytvořit systémové podmínky pro připravovaný Národní inovační fond (dále také “NIF”), který měl být jako finanční nástroj připraven v rámci Operačního programu Podnikání a inovace pro konkurenceschopnost</w:t>
      </w:r>
      <w:r w:rsidR="0073019F">
        <w:rPr>
          <w:rFonts w:ascii="Arial" w:eastAsia="Arial" w:hAnsi="Arial" w:cs="Arial"/>
          <w:sz w:val="22"/>
          <w:szCs w:val="22"/>
        </w:rPr>
        <w:t>, zejména pak v části tzv. pre-seed financování</w:t>
      </w:r>
      <w:r>
        <w:rPr>
          <w:rFonts w:ascii="Arial" w:eastAsia="Arial" w:hAnsi="Arial" w:cs="Arial"/>
          <w:sz w:val="22"/>
          <w:szCs w:val="22"/>
        </w:rPr>
        <w:t xml:space="preserve">. Podle podmínek NIF mělo být připraveno pokračování programu GAMA tak, aby doplnilo systém podpory pro využití výsledků výzkumu </w:t>
      </w:r>
      <w:r w:rsidR="00FC7187">
        <w:rPr>
          <w:rFonts w:ascii="Arial" w:eastAsia="Arial" w:hAnsi="Arial" w:cs="Arial"/>
          <w:sz w:val="22"/>
          <w:szCs w:val="22"/>
        </w:rPr>
        <w:br/>
      </w:r>
      <w:r>
        <w:rPr>
          <w:rFonts w:ascii="Arial" w:eastAsia="Arial" w:hAnsi="Arial" w:cs="Arial"/>
          <w:sz w:val="22"/>
          <w:szCs w:val="22"/>
        </w:rPr>
        <w:t>a vývoje financovaných z veřejných prostředků v praxi. V průběhu přípravy NIF však došlo k jeho zdržení. V důsledku toho tak vznikla časová mezera ve financování oblasti proof of concept pro výzkumné organizace. Vzhledem k tomu, že</w:t>
      </w:r>
      <w:r w:rsidR="0073019F">
        <w:rPr>
          <w:rFonts w:ascii="Arial" w:eastAsia="Arial" w:hAnsi="Arial" w:cs="Arial"/>
          <w:sz w:val="22"/>
          <w:szCs w:val="22"/>
        </w:rPr>
        <w:t xml:space="preserve"> program GAMA je </w:t>
      </w:r>
      <w:r>
        <w:rPr>
          <w:rFonts w:ascii="Arial" w:eastAsia="Arial" w:hAnsi="Arial" w:cs="Arial"/>
          <w:sz w:val="22"/>
          <w:szCs w:val="22"/>
        </w:rPr>
        <w:t xml:space="preserve">velmi dobře hodnocen a přispěl </w:t>
      </w:r>
      <w:r w:rsidR="00FC7187">
        <w:rPr>
          <w:rFonts w:ascii="Arial" w:eastAsia="Arial" w:hAnsi="Arial" w:cs="Arial"/>
          <w:sz w:val="22"/>
          <w:szCs w:val="22"/>
        </w:rPr>
        <w:br/>
      </w:r>
      <w:r>
        <w:rPr>
          <w:rFonts w:ascii="Arial" w:eastAsia="Arial" w:hAnsi="Arial" w:cs="Arial"/>
          <w:sz w:val="22"/>
          <w:szCs w:val="22"/>
        </w:rPr>
        <w:t>k vybudování systémů komercializace v řadě výzkumných organizací, lze jeho prodloužením tuto časovou mezeru odstranit. Tento argument podporuje rovněž platforma Transfera</w:t>
      </w:r>
      <w:r w:rsidR="0073019F">
        <w:rPr>
          <w:rFonts w:ascii="Arial" w:eastAsia="Arial" w:hAnsi="Arial" w:cs="Arial"/>
          <w:sz w:val="22"/>
          <w:szCs w:val="22"/>
        </w:rPr>
        <w:t>, sdružující zástupce center technologického transferu většiny českých veřejných výzkumných organizací</w:t>
      </w:r>
      <w:r>
        <w:rPr>
          <w:rFonts w:ascii="Arial" w:eastAsia="Arial" w:hAnsi="Arial" w:cs="Arial"/>
          <w:sz w:val="22"/>
          <w:szCs w:val="22"/>
        </w:rPr>
        <w:t>, která Technologick</w:t>
      </w:r>
      <w:r w:rsidR="00405EE5">
        <w:rPr>
          <w:rFonts w:ascii="Arial" w:eastAsia="Arial" w:hAnsi="Arial" w:cs="Arial"/>
          <w:sz w:val="22"/>
          <w:szCs w:val="22"/>
        </w:rPr>
        <w:t>é agentuře ČR zaslala dopis vyja</w:t>
      </w:r>
      <w:r>
        <w:rPr>
          <w:rFonts w:ascii="Arial" w:eastAsia="Arial" w:hAnsi="Arial" w:cs="Arial"/>
          <w:sz w:val="22"/>
          <w:szCs w:val="22"/>
        </w:rPr>
        <w:t xml:space="preserve">dřující podporu prodloužení programu </w:t>
      </w:r>
      <w:r w:rsidR="00FC7187">
        <w:rPr>
          <w:rFonts w:ascii="Arial" w:eastAsia="Arial" w:hAnsi="Arial" w:cs="Arial"/>
          <w:sz w:val="22"/>
          <w:szCs w:val="22"/>
        </w:rPr>
        <w:br/>
      </w:r>
      <w:bookmarkStart w:id="0" w:name="_GoBack"/>
      <w:bookmarkEnd w:id="0"/>
      <w:r>
        <w:rPr>
          <w:rFonts w:ascii="Arial" w:eastAsia="Arial" w:hAnsi="Arial" w:cs="Arial"/>
          <w:sz w:val="22"/>
          <w:szCs w:val="22"/>
        </w:rPr>
        <w:t>(Příloha 2).</w:t>
      </w:r>
    </w:p>
    <w:p w:rsidR="00352408" w:rsidRDefault="00FE26CE">
      <w:pPr>
        <w:pBdr>
          <w:top w:val="nil"/>
          <w:left w:val="nil"/>
          <w:bottom w:val="nil"/>
          <w:right w:val="nil"/>
          <w:between w:val="nil"/>
        </w:pBdr>
        <w:spacing w:before="120" w:after="120"/>
        <w:jc w:val="both"/>
        <w:rPr>
          <w:rFonts w:ascii="Arial" w:eastAsia="Arial" w:hAnsi="Arial" w:cs="Arial"/>
          <w:sz w:val="22"/>
          <w:szCs w:val="22"/>
        </w:rPr>
      </w:pPr>
      <w:r>
        <w:rPr>
          <w:rFonts w:ascii="Arial" w:eastAsia="Arial" w:hAnsi="Arial" w:cs="Arial"/>
          <w:b/>
          <w:sz w:val="22"/>
          <w:szCs w:val="22"/>
        </w:rPr>
        <w:t>Prodloužení programu</w:t>
      </w:r>
      <w:r>
        <w:rPr>
          <w:rFonts w:ascii="Arial" w:eastAsia="Arial" w:hAnsi="Arial" w:cs="Arial"/>
          <w:sz w:val="22"/>
          <w:szCs w:val="22"/>
        </w:rPr>
        <w:t xml:space="preserve"> GAMA </w:t>
      </w:r>
      <w:r>
        <w:rPr>
          <w:rFonts w:ascii="Arial" w:eastAsia="Arial" w:hAnsi="Arial" w:cs="Arial"/>
          <w:b/>
          <w:sz w:val="22"/>
          <w:szCs w:val="22"/>
        </w:rPr>
        <w:t>se navrhuje v délce tří let</w:t>
      </w:r>
      <w:r>
        <w:rPr>
          <w:rFonts w:ascii="Arial" w:eastAsia="Arial" w:hAnsi="Arial" w:cs="Arial"/>
          <w:sz w:val="22"/>
          <w:szCs w:val="22"/>
        </w:rPr>
        <w:t>. Nová délka trvání programu je navržena na 9 let (2014 - 2022). Veřejné soutěže v aplikovaném výzkumu, experimentálním vývoji a inovacích na výběr projektů se předpokládají vyhlásit v letech 2019 - 2022. Doba trvání projektů nesmí přesáhnout dobu trvání programu.</w:t>
      </w:r>
    </w:p>
    <w:p w:rsidR="00352408" w:rsidRDefault="00FE26CE">
      <w:pPr>
        <w:spacing w:before="120" w:after="120"/>
        <w:jc w:val="both"/>
        <w:rPr>
          <w:rFonts w:ascii="Arial" w:eastAsia="Arial" w:hAnsi="Arial" w:cs="Arial"/>
          <w:sz w:val="22"/>
          <w:szCs w:val="22"/>
        </w:rPr>
      </w:pPr>
      <w:r>
        <w:rPr>
          <w:rFonts w:ascii="Arial" w:eastAsia="Arial" w:hAnsi="Arial" w:cs="Arial"/>
          <w:sz w:val="22"/>
          <w:szCs w:val="22"/>
        </w:rPr>
        <w:t xml:space="preserve">Cíl programu a jeho rozčlenění na podprogramy zůstává stejné s tím, že v podprogramu 2 se předpokládá přednostní realizace projektů Seal of </w:t>
      </w:r>
      <w:r w:rsidR="0073019F">
        <w:rPr>
          <w:rFonts w:ascii="Arial" w:eastAsia="Arial" w:hAnsi="Arial" w:cs="Arial"/>
          <w:sz w:val="22"/>
          <w:szCs w:val="22"/>
        </w:rPr>
        <w:t>E</w:t>
      </w:r>
      <w:r>
        <w:rPr>
          <w:rFonts w:ascii="Arial" w:eastAsia="Arial" w:hAnsi="Arial" w:cs="Arial"/>
          <w:sz w:val="22"/>
          <w:szCs w:val="22"/>
        </w:rPr>
        <w:t xml:space="preserve">xcellence, které není v současnosti možné financovat z jiných zdrojů na národní úrovni, a také podpora aktivit dle záměru podprogramu. Indikátory programu a struktura účastníků byly adekvátně upraveny dle zkušeností získaných </w:t>
      </w:r>
      <w:r w:rsidR="00405EE5">
        <w:rPr>
          <w:rFonts w:ascii="Arial" w:eastAsia="Arial" w:hAnsi="Arial" w:cs="Arial"/>
          <w:sz w:val="22"/>
          <w:szCs w:val="22"/>
        </w:rPr>
        <w:br/>
      </w:r>
      <w:r>
        <w:rPr>
          <w:rFonts w:ascii="Arial" w:eastAsia="Arial" w:hAnsi="Arial" w:cs="Arial"/>
          <w:sz w:val="22"/>
          <w:szCs w:val="22"/>
        </w:rPr>
        <w:t>z realizace programu a s ohledem na předpokládaný vývoj vyhlašovaných veřejných soutěží. Stejně tak by</w:t>
      </w:r>
      <w:r w:rsidR="00405EE5">
        <w:rPr>
          <w:rFonts w:ascii="Arial" w:eastAsia="Arial" w:hAnsi="Arial" w:cs="Arial"/>
          <w:sz w:val="22"/>
          <w:szCs w:val="22"/>
        </w:rPr>
        <w:t>l</w:t>
      </w:r>
      <w:r>
        <w:rPr>
          <w:rFonts w:ascii="Arial" w:eastAsia="Arial" w:hAnsi="Arial" w:cs="Arial"/>
          <w:sz w:val="22"/>
          <w:szCs w:val="22"/>
        </w:rPr>
        <w:t xml:space="preserve"> aktualizován rozpočet programu dle </w:t>
      </w:r>
      <w:r w:rsidR="00405EE5">
        <w:rPr>
          <w:rFonts w:ascii="Arial" w:eastAsia="Arial" w:hAnsi="Arial" w:cs="Arial"/>
          <w:sz w:val="22"/>
          <w:szCs w:val="22"/>
        </w:rPr>
        <w:t xml:space="preserve">jeho </w:t>
      </w:r>
      <w:r>
        <w:rPr>
          <w:rFonts w:ascii="Arial" w:eastAsia="Arial" w:hAnsi="Arial" w:cs="Arial"/>
          <w:sz w:val="22"/>
          <w:szCs w:val="22"/>
        </w:rPr>
        <w:t>realizace (resp. obou podprogramů) do roku 2018 a následně opět s ohledem na předpokládaný počet a rozsah veřejných soutěží.</w:t>
      </w:r>
    </w:p>
    <w:p w:rsidR="00352408" w:rsidRDefault="00FE26CE">
      <w:pPr>
        <w:spacing w:before="120" w:after="120"/>
        <w:jc w:val="both"/>
        <w:rPr>
          <w:rFonts w:ascii="Arial" w:eastAsia="Arial" w:hAnsi="Arial" w:cs="Arial"/>
          <w:sz w:val="22"/>
          <w:szCs w:val="22"/>
        </w:rPr>
      </w:pPr>
      <w:r>
        <w:rPr>
          <w:rFonts w:ascii="Arial" w:eastAsia="Arial" w:hAnsi="Arial" w:cs="Arial"/>
          <w:sz w:val="22"/>
          <w:szCs w:val="22"/>
        </w:rPr>
        <w:t xml:space="preserve">Součástí předkládaného materiálu je taktéž průběžné hodnocení programu GAMA, především pak Závěrečná zpráva průběžného hodnocení (Příloha 1), která shrnuje hlavní zjištění, závěry </w:t>
      </w:r>
      <w:r w:rsidR="00405EE5">
        <w:rPr>
          <w:rFonts w:ascii="Arial" w:eastAsia="Arial" w:hAnsi="Arial" w:cs="Arial"/>
          <w:sz w:val="22"/>
          <w:szCs w:val="22"/>
        </w:rPr>
        <w:br/>
      </w:r>
      <w:r>
        <w:rPr>
          <w:rFonts w:ascii="Arial" w:eastAsia="Arial" w:hAnsi="Arial" w:cs="Arial"/>
          <w:sz w:val="22"/>
          <w:szCs w:val="22"/>
        </w:rPr>
        <w:t>a doporučení. Prodloužení programu GAMA je v souladu s doporučeními vyplývající z tohoto hodnocení.</w:t>
      </w:r>
    </w:p>
    <w:p w:rsidR="00352408" w:rsidRDefault="00FE26CE">
      <w:pPr>
        <w:spacing w:before="120" w:after="120"/>
        <w:jc w:val="both"/>
        <w:rPr>
          <w:rFonts w:ascii="Arial" w:eastAsia="Arial" w:hAnsi="Arial" w:cs="Arial"/>
          <w:sz w:val="22"/>
          <w:szCs w:val="22"/>
        </w:rPr>
      </w:pPr>
      <w:r>
        <w:rPr>
          <w:rFonts w:ascii="Arial" w:eastAsia="Arial" w:hAnsi="Arial" w:cs="Arial"/>
          <w:sz w:val="22"/>
          <w:szCs w:val="22"/>
        </w:rPr>
        <w:t>Realizace navrhované změny programu bude mít pozitivní vliv na udržení nastaveného systému proof of concept ve výzkumných organizacích do té doby, než bude připraven návazný program na program GAMA, který by mohl zahrnovat i další účinné nástroje (mimo dotace) pro podporu a další rozvoj v této oblasti.</w:t>
      </w:r>
    </w:p>
    <w:p w:rsidR="00352408" w:rsidRDefault="00FE26CE">
      <w:pPr>
        <w:spacing w:before="120" w:after="120"/>
        <w:jc w:val="both"/>
        <w:rPr>
          <w:rFonts w:ascii="Arial" w:eastAsia="Arial" w:hAnsi="Arial" w:cs="Arial"/>
          <w:sz w:val="22"/>
          <w:szCs w:val="22"/>
        </w:rPr>
      </w:pPr>
      <w:r>
        <w:rPr>
          <w:rFonts w:ascii="Arial" w:eastAsia="Arial" w:hAnsi="Arial" w:cs="Arial"/>
          <w:b/>
          <w:sz w:val="22"/>
          <w:szCs w:val="22"/>
        </w:rPr>
        <w:t>Celkové výdaje programu</w:t>
      </w:r>
      <w:r>
        <w:rPr>
          <w:rFonts w:ascii="Arial" w:eastAsia="Arial" w:hAnsi="Arial" w:cs="Arial"/>
          <w:sz w:val="22"/>
          <w:szCs w:val="22"/>
        </w:rPr>
        <w:t xml:space="preserve"> jsou na období trvání programu rozvrženy v souladu s předpokládaným postupným vyhlašováním jednotlivých veřejných soutěží ve výzkumu, vývoji </w:t>
      </w:r>
      <w:r w:rsidR="00405EE5">
        <w:rPr>
          <w:rFonts w:ascii="Arial" w:eastAsia="Arial" w:hAnsi="Arial" w:cs="Arial"/>
          <w:sz w:val="22"/>
          <w:szCs w:val="22"/>
        </w:rPr>
        <w:br/>
      </w:r>
      <w:r>
        <w:rPr>
          <w:rFonts w:ascii="Arial" w:eastAsia="Arial" w:hAnsi="Arial" w:cs="Arial"/>
          <w:sz w:val="22"/>
          <w:szCs w:val="22"/>
        </w:rPr>
        <w:t>a inovacích a předpokládají se ve výši 1 376,7 mil. Kč, přičemž 1 224,8 mil. Kč by mělo být pokryto z výdajů státního rozpočtu a 151,9 mil. Kč z neveřejných zdrojů. Výdaje ze státního rozpočtu budou pokryty předpokládanými výdaji na financování původně zamýšleného programu GAMA 2 uvedeného ve střednědobém výhledu a z nároků z nesp</w:t>
      </w:r>
      <w:r w:rsidR="00405EE5">
        <w:rPr>
          <w:rFonts w:ascii="Arial" w:eastAsia="Arial" w:hAnsi="Arial" w:cs="Arial"/>
          <w:sz w:val="22"/>
          <w:szCs w:val="22"/>
        </w:rPr>
        <w:t>otřebovaných výdajů. TA ČR tedy</w:t>
      </w:r>
      <w:r>
        <w:rPr>
          <w:rFonts w:ascii="Arial" w:eastAsia="Arial" w:hAnsi="Arial" w:cs="Arial"/>
          <w:sz w:val="22"/>
          <w:szCs w:val="22"/>
        </w:rPr>
        <w:t xml:space="preserve"> nepožaduje navýšení výdajů ze státního rozpočtu a dodrží limity střednědobého výhledu stanoveného Radou pro výzkum, vývoj a inovace.</w:t>
      </w:r>
    </w:p>
    <w:p w:rsidR="00352408" w:rsidRDefault="00FE26CE">
      <w:pPr>
        <w:spacing w:before="120" w:after="120"/>
        <w:jc w:val="both"/>
        <w:rPr>
          <w:rFonts w:ascii="Arial" w:eastAsia="Arial" w:hAnsi="Arial" w:cs="Arial"/>
          <w:sz w:val="22"/>
          <w:szCs w:val="22"/>
        </w:rPr>
      </w:pPr>
      <w:r>
        <w:rPr>
          <w:rFonts w:ascii="Arial" w:eastAsia="Arial" w:hAnsi="Arial" w:cs="Arial"/>
          <w:b/>
          <w:sz w:val="22"/>
          <w:szCs w:val="22"/>
        </w:rPr>
        <w:lastRenderedPageBreak/>
        <w:t xml:space="preserve">Průměrná intenzita podpory </w:t>
      </w:r>
      <w:r>
        <w:rPr>
          <w:rFonts w:ascii="Arial" w:eastAsia="Arial" w:hAnsi="Arial" w:cs="Arial"/>
          <w:sz w:val="22"/>
          <w:szCs w:val="22"/>
        </w:rPr>
        <w:t>v podprogramu 1 je 100 % a v podprogramu 2 je 55 %.</w:t>
      </w:r>
    </w:p>
    <w:p w:rsidR="00352408" w:rsidRDefault="00FE26CE">
      <w:pPr>
        <w:spacing w:before="120" w:after="120"/>
        <w:jc w:val="both"/>
        <w:rPr>
          <w:rFonts w:ascii="Arial" w:eastAsia="Arial" w:hAnsi="Arial" w:cs="Arial"/>
          <w:sz w:val="22"/>
          <w:szCs w:val="22"/>
        </w:rPr>
      </w:pPr>
      <w:r>
        <w:rPr>
          <w:rFonts w:ascii="Arial" w:eastAsia="Arial" w:hAnsi="Arial" w:cs="Arial"/>
          <w:b/>
          <w:sz w:val="22"/>
          <w:szCs w:val="22"/>
        </w:rPr>
        <w:t>Návrhy projektů budou komplexně hodnoceny</w:t>
      </w:r>
      <w:r>
        <w:rPr>
          <w:rFonts w:ascii="Arial" w:eastAsia="Arial" w:hAnsi="Arial" w:cs="Arial"/>
          <w:sz w:val="22"/>
          <w:szCs w:val="22"/>
        </w:rPr>
        <w:t xml:space="preserve"> na základě kritérií stanovených veřejnou soutěží. </w:t>
      </w:r>
    </w:p>
    <w:p w:rsidR="00352408" w:rsidRDefault="00FE26CE">
      <w:pPr>
        <w:spacing w:before="120" w:after="120"/>
        <w:jc w:val="both"/>
        <w:rPr>
          <w:rFonts w:ascii="Arial" w:eastAsia="Arial" w:hAnsi="Arial" w:cs="Arial"/>
          <w:sz w:val="22"/>
          <w:szCs w:val="22"/>
        </w:rPr>
      </w:pPr>
      <w:r>
        <w:rPr>
          <w:rFonts w:ascii="Arial" w:eastAsia="Arial" w:hAnsi="Arial" w:cs="Arial"/>
          <w:b/>
          <w:sz w:val="22"/>
          <w:szCs w:val="22"/>
        </w:rPr>
        <w:t>Program bude realizován v souladu</w:t>
      </w:r>
      <w:r>
        <w:rPr>
          <w:rFonts w:ascii="Arial" w:eastAsia="Arial" w:hAnsi="Arial" w:cs="Arial"/>
          <w:sz w:val="22"/>
          <w:szCs w:val="22"/>
        </w:rPr>
        <w:t xml:space="preserve"> s Národní politikou výzkumu, vývoje a inovací České republiky na léta 2016 až 2020, schválenou usnesením vlády České republiky ze dne 17. února 2016 č. 135, Národními prioritami orientovaného výzkumu, experimentálního vývoje a inovací, které byly přijaty usnesením vlády ze dne 19. července 2012 č. 552, aktualizovanou Národní výzkumnou a inovační strategií pro inteligentní specializaci České republiky, schválenou usnesením vlády České republiky ze dne 11. července 2016 č. 634, s principy Iniciativy Průmysl 4.0 vzaté na vědomí vládou usnesením č. 729 dne 24. srpna 2016, a dalšími národními </w:t>
      </w:r>
      <w:r w:rsidR="00405EE5">
        <w:rPr>
          <w:rFonts w:ascii="Arial" w:eastAsia="Arial" w:hAnsi="Arial" w:cs="Arial"/>
          <w:sz w:val="22"/>
          <w:szCs w:val="22"/>
        </w:rPr>
        <w:br/>
      </w:r>
      <w:r>
        <w:rPr>
          <w:rFonts w:ascii="Arial" w:eastAsia="Arial" w:hAnsi="Arial" w:cs="Arial"/>
          <w:sz w:val="22"/>
          <w:szCs w:val="22"/>
        </w:rPr>
        <w:t>a rezortními strategiemi a nařízeními dárcovských zemí.</w:t>
      </w:r>
    </w:p>
    <w:sectPr w:rsidR="00352408">
      <w:footerReference w:type="default" r:id="rId7"/>
      <w:pgSz w:w="11906" w:h="16838"/>
      <w:pgMar w:top="1418" w:right="1134" w:bottom="1418" w:left="1134" w:header="720" w:footer="425"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5A0" w:rsidRDefault="007625A0">
      <w:r>
        <w:separator/>
      </w:r>
    </w:p>
  </w:endnote>
  <w:endnote w:type="continuationSeparator" w:id="0">
    <w:p w:rsidR="007625A0" w:rsidRDefault="00762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408" w:rsidRDefault="00FE26CE">
    <w:pPr>
      <w:spacing w:after="60"/>
      <w:jc w:val="center"/>
      <w:rPr>
        <w:rFonts w:ascii="Arial" w:eastAsia="Arial" w:hAnsi="Arial" w:cs="Arial"/>
        <w:sz w:val="22"/>
        <w:szCs w:val="22"/>
      </w:rPr>
    </w:pPr>
    <w:r>
      <w:rPr>
        <w:rFonts w:ascii="Arial" w:eastAsia="Arial" w:hAnsi="Arial" w:cs="Arial"/>
        <w:sz w:val="22"/>
        <w:szCs w:val="22"/>
      </w:rPr>
      <w:t xml:space="preserve">Stránka </w:t>
    </w:r>
    <w:r>
      <w:rPr>
        <w:rFonts w:ascii="Arial" w:eastAsia="Arial" w:hAnsi="Arial" w:cs="Arial"/>
        <w:sz w:val="22"/>
        <w:szCs w:val="22"/>
      </w:rPr>
      <w:fldChar w:fldCharType="begin"/>
    </w:r>
    <w:r>
      <w:rPr>
        <w:rFonts w:ascii="Arial" w:eastAsia="Arial" w:hAnsi="Arial" w:cs="Arial"/>
        <w:sz w:val="22"/>
        <w:szCs w:val="22"/>
      </w:rPr>
      <w:instrText>PAGE</w:instrText>
    </w:r>
    <w:r>
      <w:rPr>
        <w:rFonts w:ascii="Arial" w:eastAsia="Arial" w:hAnsi="Arial" w:cs="Arial"/>
        <w:sz w:val="22"/>
        <w:szCs w:val="22"/>
      </w:rPr>
      <w:fldChar w:fldCharType="separate"/>
    </w:r>
    <w:r w:rsidR="007625A0">
      <w:rPr>
        <w:rFonts w:ascii="Arial" w:eastAsia="Arial" w:hAnsi="Arial" w:cs="Arial"/>
        <w:noProof/>
        <w:sz w:val="22"/>
        <w:szCs w:val="22"/>
      </w:rPr>
      <w:t>1</w:t>
    </w:r>
    <w:r>
      <w:rPr>
        <w:rFonts w:ascii="Arial" w:eastAsia="Arial" w:hAnsi="Arial" w:cs="Arial"/>
        <w:sz w:val="22"/>
        <w:szCs w:val="22"/>
      </w:rPr>
      <w:fldChar w:fldCharType="end"/>
    </w:r>
    <w:r>
      <w:rPr>
        <w:rFonts w:ascii="Arial" w:eastAsia="Arial" w:hAnsi="Arial" w:cs="Arial"/>
        <w:sz w:val="22"/>
        <w:szCs w:val="22"/>
      </w:rPr>
      <w:t xml:space="preserve"> (celkem </w:t>
    </w:r>
    <w:r>
      <w:rPr>
        <w:rFonts w:ascii="Arial" w:eastAsia="Arial" w:hAnsi="Arial" w:cs="Arial"/>
        <w:sz w:val="22"/>
        <w:szCs w:val="22"/>
      </w:rPr>
      <w:fldChar w:fldCharType="begin"/>
    </w:r>
    <w:r>
      <w:rPr>
        <w:rFonts w:ascii="Arial" w:eastAsia="Arial" w:hAnsi="Arial" w:cs="Arial"/>
        <w:sz w:val="22"/>
        <w:szCs w:val="22"/>
      </w:rPr>
      <w:instrText>NUMPAGES</w:instrText>
    </w:r>
    <w:r>
      <w:rPr>
        <w:rFonts w:ascii="Arial" w:eastAsia="Arial" w:hAnsi="Arial" w:cs="Arial"/>
        <w:sz w:val="22"/>
        <w:szCs w:val="22"/>
      </w:rPr>
      <w:fldChar w:fldCharType="separate"/>
    </w:r>
    <w:r w:rsidR="007625A0">
      <w:rPr>
        <w:rFonts w:ascii="Arial" w:eastAsia="Arial" w:hAnsi="Arial" w:cs="Arial"/>
        <w:noProof/>
        <w:sz w:val="22"/>
        <w:szCs w:val="22"/>
      </w:rPr>
      <w:t>1</w:t>
    </w:r>
    <w:r>
      <w:rPr>
        <w:rFonts w:ascii="Arial" w:eastAsia="Arial" w:hAnsi="Arial" w:cs="Arial"/>
        <w:sz w:val="22"/>
        <w:szCs w:val="22"/>
      </w:rPr>
      <w:fldChar w:fldCharType="end"/>
    </w:r>
    <w:r>
      <w:rPr>
        <w:rFonts w:ascii="Arial" w:eastAsia="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5A0" w:rsidRDefault="007625A0">
      <w:r>
        <w:separator/>
      </w:r>
    </w:p>
  </w:footnote>
  <w:footnote w:type="continuationSeparator" w:id="0">
    <w:p w:rsidR="007625A0" w:rsidRDefault="007625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
  <w:rsids>
    <w:rsidRoot w:val="00352408"/>
    <w:rsid w:val="00352408"/>
    <w:rsid w:val="003A7C2D"/>
    <w:rsid w:val="00405EE5"/>
    <w:rsid w:val="004F2FFB"/>
    <w:rsid w:val="0073019F"/>
    <w:rsid w:val="007625A0"/>
    <w:rsid w:val="00FC7187"/>
    <w:rsid w:val="00FE26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685</Words>
  <Characters>4043</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Očko</dc:creator>
  <cp:lastModifiedBy>Barbara Kropáčková</cp:lastModifiedBy>
  <cp:revision>3</cp:revision>
  <dcterms:created xsi:type="dcterms:W3CDTF">2018-05-04T13:14:00Z</dcterms:created>
  <dcterms:modified xsi:type="dcterms:W3CDTF">2018-05-04T13:15:00Z</dcterms:modified>
</cp:coreProperties>
</file>