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4C4FB" w14:textId="77777777" w:rsidR="00D95CAA" w:rsidRPr="001C280C" w:rsidRDefault="001A687F" w:rsidP="0047432F">
      <w:pPr>
        <w:spacing w:after="600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C280C">
        <w:rPr>
          <w:rFonts w:ascii="Arial" w:hAnsi="Arial" w:cs="Arial"/>
          <w:bCs/>
          <w:sz w:val="22"/>
          <w:szCs w:val="22"/>
        </w:rPr>
        <w:t>III.</w:t>
      </w:r>
    </w:p>
    <w:p w14:paraId="29E5C3E7" w14:textId="77777777" w:rsidR="001A687F" w:rsidRPr="001C280C" w:rsidRDefault="001A687F" w:rsidP="001A687F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1C280C">
        <w:rPr>
          <w:rFonts w:ascii="Arial" w:hAnsi="Arial" w:cs="Arial"/>
          <w:color w:val="000000"/>
          <w:sz w:val="28"/>
          <w:szCs w:val="28"/>
        </w:rPr>
        <w:t>Skupina grantových projektů</w:t>
      </w:r>
    </w:p>
    <w:p w14:paraId="05397629" w14:textId="1483DDC0" w:rsidR="00797C69" w:rsidRPr="001C280C" w:rsidRDefault="00EA410F" w:rsidP="001A687F">
      <w:pPr>
        <w:jc w:val="center"/>
        <w:rPr>
          <w:rFonts w:ascii="Arial" w:hAnsi="Arial" w:cs="Arial"/>
          <w:b/>
          <w:color w:val="000000"/>
        </w:rPr>
      </w:pPr>
      <w:r w:rsidRPr="001C280C">
        <w:rPr>
          <w:rFonts w:ascii="Arial" w:hAnsi="Arial" w:cs="Arial"/>
          <w:b/>
          <w:color w:val="000000"/>
          <w:sz w:val="36"/>
          <w:szCs w:val="36"/>
        </w:rPr>
        <w:t>Podpora mezinárodní spolupráce pro získávání ERC grantů</w:t>
      </w:r>
      <w:r w:rsidR="001D7F99" w:rsidRPr="001C280C">
        <w:rPr>
          <w:rFonts w:ascii="Arial" w:hAnsi="Arial" w:cs="Arial"/>
          <w:b/>
          <w:color w:val="000000"/>
          <w:sz w:val="36"/>
          <w:szCs w:val="36"/>
        </w:rPr>
        <w:t xml:space="preserve"> (</w:t>
      </w:r>
      <w:r w:rsidR="00797C69" w:rsidRPr="001C280C">
        <w:rPr>
          <w:rFonts w:ascii="Arial" w:hAnsi="Arial" w:cs="Arial"/>
          <w:b/>
          <w:color w:val="000000"/>
          <w:sz w:val="36"/>
          <w:szCs w:val="36"/>
        </w:rPr>
        <w:t>„Podpora ERC žadatelů“</w:t>
      </w:r>
      <w:r w:rsidR="001D7F99" w:rsidRPr="001C280C">
        <w:rPr>
          <w:rFonts w:ascii="Arial" w:hAnsi="Arial" w:cs="Arial"/>
          <w:b/>
          <w:color w:val="000000"/>
          <w:sz w:val="36"/>
          <w:szCs w:val="36"/>
        </w:rPr>
        <w:t>)</w:t>
      </w:r>
    </w:p>
    <w:p w14:paraId="0876B014" w14:textId="77777777" w:rsidR="001A687F" w:rsidRPr="00055F01" w:rsidRDefault="001A687F" w:rsidP="001A687F">
      <w:pPr>
        <w:pBdr>
          <w:bottom w:val="single" w:sz="4" w:space="1" w:color="auto"/>
        </w:pBdr>
        <w:spacing w:after="60" w:line="288" w:lineRule="auto"/>
        <w:rPr>
          <w:color w:val="000000"/>
        </w:rPr>
      </w:pPr>
    </w:p>
    <w:p w14:paraId="4C4DB70C" w14:textId="77777777" w:rsidR="001A687F" w:rsidRPr="001C280C" w:rsidRDefault="001A687F" w:rsidP="001A687F">
      <w:pPr>
        <w:spacing w:after="60" w:line="288" w:lineRule="auto"/>
        <w:rPr>
          <w:rFonts w:ascii="Arial" w:hAnsi="Arial" w:cs="Arial"/>
          <w:color w:val="000000"/>
          <w:sz w:val="22"/>
          <w:szCs w:val="22"/>
        </w:rPr>
      </w:pPr>
    </w:p>
    <w:p w14:paraId="5C7421A6" w14:textId="77777777" w:rsidR="001A687F" w:rsidRPr="001C280C" w:rsidRDefault="001A687F" w:rsidP="001A687F">
      <w:pPr>
        <w:spacing w:after="60"/>
        <w:ind w:left="360" w:hanging="360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1.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Název skupiny grantových projektů</w:t>
      </w:r>
    </w:p>
    <w:p w14:paraId="77CF14E8" w14:textId="16EA3B72" w:rsidR="001D7F99" w:rsidRPr="001C280C" w:rsidRDefault="00EA410F" w:rsidP="001D7F99">
      <w:pPr>
        <w:spacing w:after="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C280C">
        <w:rPr>
          <w:rFonts w:ascii="Arial" w:hAnsi="Arial" w:cs="Arial"/>
          <w:b/>
          <w:color w:val="000000"/>
          <w:sz w:val="22"/>
          <w:szCs w:val="22"/>
        </w:rPr>
        <w:t>Podpora mezinárodní spolupráce pro získávání ERC grantů</w:t>
      </w:r>
      <w:r w:rsidR="000B6F25" w:rsidRPr="001C280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1D7F99" w:rsidRPr="001C280C">
        <w:rPr>
          <w:rFonts w:ascii="Arial" w:hAnsi="Arial" w:cs="Arial"/>
          <w:b/>
          <w:color w:val="000000"/>
          <w:sz w:val="22"/>
          <w:szCs w:val="22"/>
        </w:rPr>
        <w:t>(„Podpora ERC žadatelů“)</w:t>
      </w:r>
      <w:r w:rsidR="005F029C" w:rsidRPr="001C280C">
        <w:rPr>
          <w:rFonts w:ascii="Arial" w:hAnsi="Arial" w:cs="Arial"/>
          <w:b/>
          <w:color w:val="000000"/>
          <w:sz w:val="22"/>
          <w:szCs w:val="22"/>
        </w:rPr>
        <w:t>,</w:t>
      </w:r>
    </w:p>
    <w:p w14:paraId="6E3BB26C" w14:textId="21DEBC75" w:rsidR="001A687F" w:rsidRPr="001C280C" w:rsidRDefault="00797C69" w:rsidP="001A687F">
      <w:pPr>
        <w:spacing w:after="6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(</w:t>
      </w:r>
      <w:r w:rsidR="000B6F25" w:rsidRPr="001C280C">
        <w:rPr>
          <w:rFonts w:ascii="Arial" w:hAnsi="Arial" w:cs="Arial"/>
          <w:color w:val="000000"/>
          <w:sz w:val="22"/>
          <w:szCs w:val="22"/>
        </w:rPr>
        <w:t xml:space="preserve">dále jen </w:t>
      </w:r>
      <w:r w:rsidRPr="001C280C">
        <w:rPr>
          <w:rFonts w:ascii="Arial" w:hAnsi="Arial" w:cs="Arial"/>
          <w:color w:val="000000"/>
          <w:sz w:val="22"/>
          <w:szCs w:val="22"/>
        </w:rPr>
        <w:t>„Podpora ERC žadatelů“)</w:t>
      </w:r>
      <w:r w:rsidR="0022724A" w:rsidRPr="001C280C">
        <w:rPr>
          <w:rFonts w:ascii="Arial" w:hAnsi="Arial" w:cs="Arial"/>
          <w:color w:val="000000"/>
          <w:sz w:val="22"/>
          <w:szCs w:val="22"/>
        </w:rPr>
        <w:t>.</w:t>
      </w:r>
    </w:p>
    <w:p w14:paraId="0338C044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33349AE4" w14:textId="77777777" w:rsidR="001A687F" w:rsidRPr="001C280C" w:rsidRDefault="001A687F" w:rsidP="001A687F">
      <w:pPr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2.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Právní rámec skupiny grantových projektů</w:t>
      </w:r>
    </w:p>
    <w:p w14:paraId="0426DA6D" w14:textId="49DB9893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OLE_LINK6"/>
      <w:bookmarkStart w:id="2" w:name="OLE_LINK7"/>
      <w:r w:rsidRPr="001C280C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„Podpora ERC žadatelů“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E60F28" w:rsidRPr="001C280C">
        <w:rPr>
          <w:rFonts w:ascii="Arial" w:hAnsi="Arial" w:cs="Arial"/>
          <w:color w:val="000000"/>
          <w:sz w:val="22"/>
          <w:szCs w:val="22"/>
        </w:rPr>
        <w:t xml:space="preserve">je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realizována </w:t>
      </w:r>
      <w:bookmarkEnd w:id="1"/>
      <w:bookmarkEnd w:id="2"/>
      <w:r w:rsidRPr="001C280C">
        <w:rPr>
          <w:rFonts w:ascii="Arial" w:hAnsi="Arial" w:cs="Arial"/>
          <w:color w:val="000000"/>
          <w:sz w:val="22"/>
          <w:szCs w:val="22"/>
        </w:rPr>
        <w:t>podle:</w:t>
      </w:r>
    </w:p>
    <w:p w14:paraId="6196378D" w14:textId="77777777" w:rsidR="001A687F" w:rsidRPr="001C280C" w:rsidRDefault="001A687F" w:rsidP="001A687F">
      <w:pPr>
        <w:numPr>
          <w:ilvl w:val="0"/>
          <w:numId w:val="1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Zákona č. 130/2002 Sb., o podpoře výzkumu, experimentálního vývoje a inovací z veřejných prostředků a o změně některých souvisejících zákonů (zákon o podpoře výzkumu, experimentálního vývoje a inovací), ve znění pozdějších předpisů (dále jen </w:t>
      </w:r>
      <w:r w:rsidR="00996E64" w:rsidRPr="001C280C">
        <w:rPr>
          <w:rFonts w:ascii="Arial" w:hAnsi="Arial" w:cs="Arial"/>
          <w:color w:val="000000"/>
          <w:sz w:val="22"/>
          <w:szCs w:val="22"/>
        </w:rPr>
        <w:t>„</w:t>
      </w:r>
      <w:r w:rsidRPr="001C280C">
        <w:rPr>
          <w:rFonts w:ascii="Arial" w:hAnsi="Arial" w:cs="Arial"/>
          <w:color w:val="000000"/>
          <w:sz w:val="22"/>
          <w:szCs w:val="22"/>
        </w:rPr>
        <w:t>zákon o podpoře výzkumu, experimentálního vývoje a inovací</w:t>
      </w:r>
      <w:r w:rsidR="00996E64" w:rsidRPr="001C280C">
        <w:rPr>
          <w:rFonts w:ascii="Arial" w:hAnsi="Arial" w:cs="Arial"/>
          <w:color w:val="000000"/>
          <w:sz w:val="22"/>
          <w:szCs w:val="22"/>
        </w:rPr>
        <w:t>“</w:t>
      </w:r>
      <w:r w:rsidRPr="001C280C">
        <w:rPr>
          <w:rFonts w:ascii="Arial" w:hAnsi="Arial" w:cs="Arial"/>
          <w:color w:val="000000"/>
          <w:sz w:val="22"/>
          <w:szCs w:val="22"/>
        </w:rPr>
        <w:t>);</w:t>
      </w:r>
    </w:p>
    <w:p w14:paraId="5ADDFFA7" w14:textId="32DC94BE" w:rsidR="001A687F" w:rsidRPr="001C280C" w:rsidRDefault="001A687F" w:rsidP="001A687F">
      <w:pPr>
        <w:numPr>
          <w:ilvl w:val="0"/>
          <w:numId w:val="1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Nařízení Komise (EU) č. 651/2014 ze dne 17. června 2014, kterým se v souladu s články 107 a 108 Smlouvy prohlašují určité kategorie podpory za slučitelné s vnitřním trhem</w:t>
      </w:r>
      <w:r w:rsidR="00C35FB2" w:rsidRPr="001C280C">
        <w:rPr>
          <w:rFonts w:ascii="Arial" w:hAnsi="Arial" w:cs="Arial"/>
          <w:sz w:val="22"/>
          <w:szCs w:val="22"/>
        </w:rPr>
        <w:t>,</w:t>
      </w:r>
      <w:r w:rsidRPr="001C280C">
        <w:rPr>
          <w:rFonts w:ascii="Arial" w:hAnsi="Arial" w:cs="Arial"/>
          <w:sz w:val="22"/>
          <w:szCs w:val="22"/>
        </w:rPr>
        <w:t xml:space="preserve"> Úřední věstník EU L 187 ze dne 26. června 2014</w:t>
      </w:r>
      <w:r w:rsidR="00996E64" w:rsidRPr="001C280C">
        <w:rPr>
          <w:rFonts w:ascii="Arial" w:hAnsi="Arial" w:cs="Arial"/>
          <w:sz w:val="22"/>
          <w:szCs w:val="22"/>
        </w:rPr>
        <w:t xml:space="preserve"> (dále jen „nařízení“)</w:t>
      </w:r>
      <w:r w:rsidRPr="001C280C">
        <w:rPr>
          <w:rFonts w:ascii="Arial" w:hAnsi="Arial" w:cs="Arial"/>
          <w:sz w:val="22"/>
          <w:szCs w:val="22"/>
        </w:rPr>
        <w:t>;</w:t>
      </w:r>
    </w:p>
    <w:p w14:paraId="11A584EF" w14:textId="77777777" w:rsidR="001A687F" w:rsidRPr="001C280C" w:rsidRDefault="001A687F" w:rsidP="001A687F">
      <w:pPr>
        <w:numPr>
          <w:ilvl w:val="0"/>
          <w:numId w:val="1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Rámec pro státní podporu výzkumu, vývoje a inovací, Úřední věstník EU C 198 ze dne 27. června 2014;</w:t>
      </w:r>
    </w:p>
    <w:p w14:paraId="15E98172" w14:textId="77777777" w:rsidR="001A687F" w:rsidRPr="001C280C" w:rsidRDefault="001A687F" w:rsidP="001A687F">
      <w:pPr>
        <w:numPr>
          <w:ilvl w:val="0"/>
          <w:numId w:val="1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a ostatních souvisejících předpisů.</w:t>
      </w:r>
    </w:p>
    <w:p w14:paraId="3A17A3DE" w14:textId="77777777" w:rsidR="001A687F" w:rsidRPr="001C280C" w:rsidRDefault="001A687F" w:rsidP="00875028">
      <w:pPr>
        <w:spacing w:before="12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„Podpora ERC žadatelů“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 podle článku 108 odst. 3 Smlouvy o fungování EU vyňata z oznamovací povinnosti, neboť splňuje podmínky nařízení.</w:t>
      </w:r>
    </w:p>
    <w:p w14:paraId="37F650FE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F8DF5D7" w14:textId="77777777" w:rsidR="001A687F" w:rsidRPr="001C280C" w:rsidRDefault="001A687F" w:rsidP="001A687F">
      <w:pPr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t>3.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Poskytovatel</w:t>
      </w:r>
    </w:p>
    <w:p w14:paraId="041D2395" w14:textId="77777777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Poskytovatelem podpory je Grantová agentura České republiky (dále jen „GA ČR“) se sídlem v Praze.</w:t>
      </w:r>
    </w:p>
    <w:p w14:paraId="6CEAC2F3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0545CA7C" w14:textId="77777777" w:rsidR="001A687F" w:rsidRPr="001C280C" w:rsidRDefault="001A687F" w:rsidP="001A687F">
      <w:pPr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4.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Identifikační kód skupiny grantových projektů</w:t>
      </w:r>
    </w:p>
    <w:p w14:paraId="6175A13B" w14:textId="3DB14C62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Stanoviskem Rady pro výzkum, vývoj a inovace byl této skupině grantových projektů přidělen identifikační kód </w:t>
      </w:r>
      <w:r w:rsidR="00A01EDA" w:rsidRPr="001C280C">
        <w:rPr>
          <w:rFonts w:ascii="Arial" w:hAnsi="Arial" w:cs="Arial"/>
          <w:color w:val="000000"/>
          <w:sz w:val="22"/>
          <w:szCs w:val="22"/>
        </w:rPr>
        <w:t>G</w:t>
      </w:r>
      <w:r w:rsidR="0070678D" w:rsidRPr="001C280C">
        <w:rPr>
          <w:rFonts w:ascii="Arial" w:hAnsi="Arial" w:cs="Arial"/>
          <w:color w:val="000000"/>
          <w:sz w:val="22"/>
          <w:szCs w:val="22"/>
        </w:rPr>
        <w:t>H</w:t>
      </w:r>
      <w:r w:rsidRPr="001C280C">
        <w:rPr>
          <w:rFonts w:ascii="Arial" w:hAnsi="Arial" w:cs="Arial"/>
          <w:color w:val="000000"/>
          <w:sz w:val="22"/>
          <w:szCs w:val="22"/>
        </w:rPr>
        <w:t>.</w:t>
      </w:r>
    </w:p>
    <w:p w14:paraId="78B73863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27FB13A5" w14:textId="77777777" w:rsidR="001A687F" w:rsidRPr="001C280C" w:rsidRDefault="001A687F" w:rsidP="001A687F">
      <w:pPr>
        <w:keepNext/>
        <w:spacing w:after="60"/>
        <w:ind w:left="357" w:hanging="35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5.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Doba trvání skupiny grantových projektů</w:t>
      </w:r>
    </w:p>
    <w:p w14:paraId="662D6726" w14:textId="77777777" w:rsidR="001A687F" w:rsidRPr="001C280C" w:rsidRDefault="001A687F" w:rsidP="0011157E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Podpora skupiny grantových projektů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„Podpora ERC žadatelů“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bude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poskytována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v období 2016</w:t>
      </w:r>
      <w:r w:rsidR="0011157E" w:rsidRPr="001C280C">
        <w:rPr>
          <w:rFonts w:ascii="Arial" w:hAnsi="Arial" w:cs="Arial"/>
          <w:color w:val="000000"/>
          <w:sz w:val="22"/>
          <w:szCs w:val="22"/>
        </w:rPr>
        <w:t>–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202</w:t>
      </w:r>
      <w:r w:rsidR="00704C0D" w:rsidRPr="001C280C">
        <w:rPr>
          <w:rFonts w:ascii="Arial" w:hAnsi="Arial" w:cs="Arial"/>
          <w:color w:val="000000"/>
          <w:sz w:val="22"/>
          <w:szCs w:val="22"/>
        </w:rPr>
        <w:t>2</w:t>
      </w:r>
      <w:r w:rsidR="00CE4346" w:rsidRPr="001C280C">
        <w:rPr>
          <w:rFonts w:ascii="Arial" w:hAnsi="Arial" w:cs="Arial"/>
          <w:color w:val="000000"/>
          <w:sz w:val="22"/>
          <w:szCs w:val="22"/>
        </w:rPr>
        <w:t>.</w:t>
      </w:r>
      <w:r w:rsidR="00E60F28" w:rsidRPr="001C280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6DAFE35" w14:textId="77777777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V zájmu vytvoření podmínek pro splnění zaměření a cílů skupiny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„Podpora ERC žadatelů“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 doba řešení v této skupině grantových projektů stanovena </w:t>
      </w:r>
      <w:r w:rsidR="00082D02" w:rsidRPr="001C280C">
        <w:rPr>
          <w:rFonts w:ascii="Arial" w:hAnsi="Arial" w:cs="Arial"/>
          <w:color w:val="000000"/>
          <w:sz w:val="22"/>
          <w:szCs w:val="22"/>
        </w:rPr>
        <w:t>v</w:t>
      </w:r>
      <w:r w:rsidR="00595E5A" w:rsidRPr="001C280C">
        <w:rPr>
          <w:rFonts w:ascii="Arial" w:hAnsi="Arial" w:cs="Arial"/>
          <w:color w:val="000000"/>
          <w:sz w:val="22"/>
          <w:szCs w:val="22"/>
        </w:rPr>
        <w:t> </w:t>
      </w:r>
      <w:r w:rsidR="00082D02" w:rsidRPr="001C280C">
        <w:rPr>
          <w:rFonts w:ascii="Arial" w:hAnsi="Arial" w:cs="Arial"/>
          <w:color w:val="000000"/>
          <w:sz w:val="22"/>
          <w:szCs w:val="22"/>
        </w:rPr>
        <w:t xml:space="preserve">rozmezí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3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až </w:t>
      </w:r>
      <w:r w:rsidR="00082D02" w:rsidRPr="001C280C">
        <w:rPr>
          <w:rFonts w:ascii="Arial" w:hAnsi="Arial" w:cs="Arial"/>
          <w:color w:val="000000"/>
          <w:sz w:val="22"/>
          <w:szCs w:val="22"/>
        </w:rPr>
        <w:t xml:space="preserve">6 </w:t>
      </w:r>
      <w:r w:rsidRPr="001C280C">
        <w:rPr>
          <w:rFonts w:ascii="Arial" w:hAnsi="Arial" w:cs="Arial"/>
          <w:color w:val="000000"/>
          <w:sz w:val="22"/>
          <w:szCs w:val="22"/>
        </w:rPr>
        <w:t>měsíců.</w:t>
      </w:r>
    </w:p>
    <w:p w14:paraId="4A573C8D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0FBACC76" w14:textId="77777777" w:rsidR="001A687F" w:rsidRPr="001C280C" w:rsidRDefault="001A687F" w:rsidP="001A687F">
      <w:pPr>
        <w:keepNext/>
        <w:widowControl w:val="0"/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lastRenderedPageBreak/>
        <w:t>6.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Termín vyhlášení výzvy na podávání návrhů grantových projektů</w:t>
      </w:r>
    </w:p>
    <w:p w14:paraId="0C42792D" w14:textId="43EB792F" w:rsidR="00A775FB" w:rsidRPr="001C280C" w:rsidRDefault="001951CD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Návrh skupiny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„Podpora ERC žadatelů“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je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předkládán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na základě iniciativy ERC</w:t>
      </w:r>
      <w:r w:rsidR="00AC20C2" w:rsidRPr="001C280C">
        <w:rPr>
          <w:rFonts w:ascii="Arial" w:hAnsi="Arial" w:cs="Arial"/>
          <w:color w:val="000000"/>
          <w:sz w:val="22"/>
          <w:szCs w:val="22"/>
        </w:rPr>
        <w:t xml:space="preserve"> ze dne 19. 1. 2016 zveřejněné na webových stránkách ERC</w:t>
      </w:r>
      <w:r w:rsidR="000F7903" w:rsidRPr="001C280C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1"/>
      </w:r>
      <w:r w:rsidR="00A775FB" w:rsidRPr="001C280C">
        <w:rPr>
          <w:rFonts w:ascii="Arial" w:hAnsi="Arial" w:cs="Arial"/>
          <w:color w:val="000000"/>
          <w:sz w:val="22"/>
          <w:szCs w:val="22"/>
        </w:rPr>
        <w:t>. Výzva na podávání návrhů grantových projektů „</w:t>
      </w:r>
      <w:r w:rsidR="009D02A1" w:rsidRPr="001C280C">
        <w:rPr>
          <w:rFonts w:ascii="Arial" w:hAnsi="Arial" w:cs="Arial"/>
          <w:color w:val="000000"/>
          <w:sz w:val="22"/>
          <w:szCs w:val="22"/>
        </w:rPr>
        <w:t xml:space="preserve">Podpora ERC </w:t>
      </w:r>
      <w:r w:rsidR="00C96976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“ bude poprvé vyhlášena v roce 2016 se zahájením poskytování podpory v roce 2016. Následně se předpokládá </w:t>
      </w:r>
      <w:r w:rsidR="00D83079" w:rsidRPr="001C280C">
        <w:rPr>
          <w:rFonts w:ascii="Arial" w:hAnsi="Arial" w:cs="Arial"/>
          <w:sz w:val="22"/>
          <w:szCs w:val="22"/>
        </w:rPr>
        <w:t>kontinuální otevř</w:t>
      </w:r>
      <w:r w:rsidR="007F30B8" w:rsidRPr="001C280C">
        <w:rPr>
          <w:rFonts w:ascii="Arial" w:hAnsi="Arial" w:cs="Arial"/>
          <w:sz w:val="22"/>
          <w:szCs w:val="22"/>
        </w:rPr>
        <w:t xml:space="preserve">ení výzvy v průběhu celého roku, a to po celé období </w:t>
      </w:r>
      <w:r w:rsidR="00D83079" w:rsidRPr="001C280C">
        <w:rPr>
          <w:rFonts w:ascii="Arial" w:hAnsi="Arial" w:cs="Arial"/>
          <w:sz w:val="22"/>
          <w:szCs w:val="22"/>
        </w:rPr>
        <w:t>2016 – 2022</w:t>
      </w:r>
      <w:r w:rsidR="007F30B8" w:rsidRPr="001C280C">
        <w:rPr>
          <w:rFonts w:ascii="Arial" w:hAnsi="Arial" w:cs="Arial"/>
          <w:sz w:val="22"/>
          <w:szCs w:val="22"/>
        </w:rPr>
        <w:t>.</w:t>
      </w:r>
      <w:r w:rsidR="0082185C" w:rsidRPr="001C280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D2F7090" w14:textId="29AD2FBC" w:rsidR="00704C0D" w:rsidRPr="001C280C" w:rsidRDefault="00A775FB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U skupiny grantových projektů „</w:t>
      </w:r>
      <w:r w:rsidR="00F112DB" w:rsidRPr="001C280C">
        <w:rPr>
          <w:rFonts w:ascii="Arial" w:hAnsi="Arial" w:cs="Arial"/>
          <w:color w:val="000000"/>
          <w:sz w:val="22"/>
          <w:szCs w:val="22"/>
        </w:rPr>
        <w:t xml:space="preserve">Podpora ERC </w:t>
      </w:r>
      <w:r w:rsidR="00985AD2" w:rsidRPr="001C280C">
        <w:rPr>
          <w:rFonts w:ascii="Arial" w:hAnsi="Arial" w:cs="Arial"/>
          <w:color w:val="000000"/>
          <w:sz w:val="22"/>
          <w:szCs w:val="22"/>
        </w:rPr>
        <w:t>žada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hodnocení proběhne jako mezinárodní podle § 7 odst. 4 zákona o podpoře výzkumu, experimentálního </w:t>
      </w:r>
      <w:r w:rsidR="00412C68" w:rsidRPr="001C280C">
        <w:rPr>
          <w:rFonts w:ascii="Arial" w:hAnsi="Arial" w:cs="Arial"/>
          <w:color w:val="000000"/>
          <w:sz w:val="22"/>
          <w:szCs w:val="22"/>
        </w:rPr>
        <w:t>vývoje a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inovací. Výzvu na podávání návrhů grantových projektů „</w:t>
      </w:r>
      <w:r w:rsidR="00F112DB" w:rsidRPr="001C280C">
        <w:rPr>
          <w:rFonts w:ascii="Arial" w:hAnsi="Arial" w:cs="Arial"/>
          <w:color w:val="000000"/>
          <w:sz w:val="22"/>
          <w:szCs w:val="22"/>
        </w:rPr>
        <w:t xml:space="preserve">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vyhlašuje </w:t>
      </w:r>
      <w:r w:rsidR="00704C0D" w:rsidRPr="001C280C">
        <w:rPr>
          <w:rFonts w:ascii="Arial" w:hAnsi="Arial" w:cs="Arial"/>
          <w:color w:val="000000"/>
          <w:sz w:val="22"/>
          <w:szCs w:val="22"/>
        </w:rPr>
        <w:t>GA ČR</w:t>
      </w:r>
      <w:r w:rsidR="00E34137" w:rsidRPr="001C280C">
        <w:rPr>
          <w:rFonts w:ascii="Arial" w:hAnsi="Arial" w:cs="Arial"/>
          <w:color w:val="000000"/>
          <w:sz w:val="22"/>
          <w:szCs w:val="22"/>
        </w:rPr>
        <w:t xml:space="preserve"> zveřejněním </w:t>
      </w:r>
      <w:r w:rsidR="00704C0D" w:rsidRPr="001C280C">
        <w:rPr>
          <w:rFonts w:ascii="Arial" w:hAnsi="Arial" w:cs="Arial"/>
          <w:color w:val="000000"/>
          <w:sz w:val="22"/>
          <w:szCs w:val="22"/>
        </w:rPr>
        <w:t xml:space="preserve">na svých </w:t>
      </w:r>
      <w:r w:rsidR="00E34137" w:rsidRPr="001C280C">
        <w:rPr>
          <w:rFonts w:ascii="Arial" w:hAnsi="Arial" w:cs="Arial"/>
          <w:color w:val="000000"/>
          <w:sz w:val="22"/>
          <w:szCs w:val="22"/>
        </w:rPr>
        <w:t xml:space="preserve">webových </w:t>
      </w:r>
      <w:r w:rsidR="00704C0D" w:rsidRPr="001C280C">
        <w:rPr>
          <w:rFonts w:ascii="Arial" w:hAnsi="Arial" w:cs="Arial"/>
          <w:color w:val="000000"/>
          <w:sz w:val="22"/>
          <w:szCs w:val="22"/>
        </w:rPr>
        <w:t>stránkách.</w:t>
      </w:r>
    </w:p>
    <w:p w14:paraId="4FFE2D83" w14:textId="26C6D716" w:rsidR="001A687F" w:rsidRPr="001C280C" w:rsidRDefault="00E34137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Výzva bude informovat uchazeče o povinnosti podat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GA ČR </w:t>
      </w:r>
      <w:r w:rsidR="001951CD" w:rsidRPr="001C280C">
        <w:rPr>
          <w:rFonts w:ascii="Arial" w:hAnsi="Arial" w:cs="Arial"/>
          <w:color w:val="000000"/>
          <w:sz w:val="22"/>
          <w:szCs w:val="22"/>
        </w:rPr>
        <w:t xml:space="preserve">návrh projektu </w:t>
      </w:r>
      <w:r w:rsidRPr="001C280C">
        <w:rPr>
          <w:rFonts w:ascii="Arial" w:hAnsi="Arial" w:cs="Arial"/>
          <w:color w:val="000000"/>
          <w:sz w:val="22"/>
          <w:szCs w:val="22"/>
        </w:rPr>
        <w:t>obsahující informace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o uchazeči,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požadovaných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financ</w:t>
      </w:r>
      <w:r w:rsidRPr="001C280C">
        <w:rPr>
          <w:rFonts w:ascii="Arial" w:hAnsi="Arial" w:cs="Arial"/>
          <w:color w:val="000000"/>
          <w:sz w:val="22"/>
          <w:szCs w:val="22"/>
        </w:rPr>
        <w:t>ích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a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badatelském </w:t>
      </w:r>
      <w:r w:rsidR="00C639A9" w:rsidRPr="001C280C">
        <w:rPr>
          <w:rFonts w:ascii="Arial" w:hAnsi="Arial" w:cs="Arial"/>
          <w:color w:val="000000"/>
          <w:sz w:val="22"/>
          <w:szCs w:val="22"/>
        </w:rPr>
        <w:t>záměr</w:t>
      </w:r>
      <w:r w:rsidRPr="001C280C">
        <w:rPr>
          <w:rFonts w:ascii="Arial" w:hAnsi="Arial" w:cs="Arial"/>
          <w:color w:val="000000"/>
          <w:sz w:val="22"/>
          <w:szCs w:val="22"/>
        </w:rPr>
        <w:t>u</w:t>
      </w:r>
      <w:r w:rsidR="00C639A9" w:rsidRPr="001C280C">
        <w:rPr>
          <w:rFonts w:ascii="Arial" w:hAnsi="Arial" w:cs="Arial"/>
          <w:color w:val="000000"/>
          <w:sz w:val="22"/>
          <w:szCs w:val="22"/>
        </w:rPr>
        <w:t xml:space="preserve"> a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 xml:space="preserve">dále nástin návrhu zamýšleného ERC projektu.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>N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a základě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 xml:space="preserve">těchto podkladů 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GA ČR posoudí formální aspekty návrhu z hlediska českého práva (např. povolení vyžadovaná podle zákona o</w:t>
      </w:r>
      <w:r w:rsidR="003F4B20" w:rsidRPr="001C280C">
        <w:rPr>
          <w:rFonts w:ascii="Arial" w:hAnsi="Arial" w:cs="Arial"/>
          <w:color w:val="000000"/>
          <w:sz w:val="22"/>
          <w:szCs w:val="22"/>
        </w:rPr>
        <w:t> 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podpoře výzkumu, experimentálního vývoje a inovací § 18 odst. 2 písm. b) atd.)</w:t>
      </w:r>
      <w:r w:rsidRPr="001C280C">
        <w:rPr>
          <w:rFonts w:ascii="Arial" w:hAnsi="Arial" w:cs="Arial"/>
          <w:color w:val="000000"/>
          <w:sz w:val="22"/>
          <w:szCs w:val="22"/>
        </w:rPr>
        <w:t>, odborné aspekty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a</w:t>
      </w:r>
      <w:r w:rsidR="00356F08" w:rsidRPr="001C280C">
        <w:rPr>
          <w:rFonts w:ascii="Arial" w:hAnsi="Arial" w:cs="Arial"/>
          <w:color w:val="000000"/>
          <w:sz w:val="22"/>
          <w:szCs w:val="22"/>
        </w:rPr>
        <w:t> 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 xml:space="preserve"> celkovou rozpočtovou přiměřenost návrhu tak, aby nebyly hodnoceny návrhy, které GA</w:t>
      </w:r>
      <w:r w:rsidR="001C280C">
        <w:rPr>
          <w:rFonts w:ascii="Arial" w:hAnsi="Arial" w:cs="Arial"/>
          <w:color w:val="000000"/>
          <w:sz w:val="22"/>
          <w:szCs w:val="22"/>
        </w:rPr>
        <w:t> </w:t>
      </w:r>
      <w:r w:rsidR="00A775FB" w:rsidRPr="001C280C">
        <w:rPr>
          <w:rFonts w:ascii="Arial" w:hAnsi="Arial" w:cs="Arial"/>
          <w:color w:val="000000"/>
          <w:sz w:val="22"/>
          <w:szCs w:val="22"/>
        </w:rPr>
        <w:t>ČR vzhledem k disponibilním zdrojům nemůže podpořit</w:t>
      </w:r>
      <w:r w:rsidRPr="001C280C">
        <w:rPr>
          <w:rFonts w:ascii="Arial" w:hAnsi="Arial" w:cs="Arial"/>
          <w:color w:val="000000"/>
          <w:sz w:val="22"/>
          <w:szCs w:val="22"/>
        </w:rPr>
        <w:t>.</w:t>
      </w:r>
    </w:p>
    <w:p w14:paraId="6524D553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5118D015" w14:textId="77777777" w:rsidR="001A687F" w:rsidRPr="001C280C" w:rsidRDefault="001A687F" w:rsidP="001A687F">
      <w:pPr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</w:rPr>
        <w:t>7.</w:t>
      </w:r>
      <w:r w:rsidRPr="001C280C">
        <w:rPr>
          <w:rFonts w:ascii="Arial" w:hAnsi="Arial" w:cs="Arial"/>
          <w:color w:val="000000"/>
        </w:rPr>
        <w:tab/>
      </w:r>
      <w:r w:rsidR="00770D19" w:rsidRPr="001C280C">
        <w:rPr>
          <w:rFonts w:ascii="Arial" w:hAnsi="Arial" w:cs="Arial"/>
          <w:color w:val="000000"/>
          <w:sz w:val="22"/>
          <w:szCs w:val="22"/>
          <w:u w:val="single"/>
        </w:rPr>
        <w:t>V</w:t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ýdaje na skupinu grantových projektů</w:t>
      </w:r>
    </w:p>
    <w:p w14:paraId="3FF383EE" w14:textId="3B94E00F" w:rsidR="00292885" w:rsidRPr="001C280C" w:rsidRDefault="00704C0D" w:rsidP="00875028">
      <w:pPr>
        <w:spacing w:after="60"/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Celkové výdaje na novou skupinu grantových projektů „</w:t>
      </w:r>
      <w:r w:rsidR="00F112DB" w:rsidRPr="001C280C">
        <w:rPr>
          <w:rFonts w:ascii="Arial" w:hAnsi="Arial" w:cs="Arial"/>
          <w:sz w:val="22"/>
          <w:szCs w:val="22"/>
        </w:rPr>
        <w:t>Podpor</w:t>
      </w:r>
      <w:r w:rsidR="002730E1" w:rsidRPr="001C280C">
        <w:rPr>
          <w:rFonts w:ascii="Arial" w:hAnsi="Arial" w:cs="Arial"/>
          <w:sz w:val="22"/>
          <w:szCs w:val="22"/>
        </w:rPr>
        <w:t>u</w:t>
      </w:r>
      <w:r w:rsidR="00F112DB" w:rsidRPr="001C280C">
        <w:rPr>
          <w:rFonts w:ascii="Arial" w:hAnsi="Arial" w:cs="Arial"/>
          <w:sz w:val="22"/>
          <w:szCs w:val="22"/>
        </w:rPr>
        <w:t xml:space="preserve"> ERC </w:t>
      </w:r>
      <w:r w:rsidR="00985AD2" w:rsidRPr="001C280C">
        <w:rPr>
          <w:rFonts w:ascii="Arial" w:hAnsi="Arial" w:cs="Arial"/>
          <w:sz w:val="22"/>
          <w:szCs w:val="22"/>
        </w:rPr>
        <w:t>žada</w:t>
      </w:r>
      <w:r w:rsidR="007A50B9" w:rsidRPr="001C280C">
        <w:rPr>
          <w:rFonts w:ascii="Arial" w:hAnsi="Arial" w:cs="Arial"/>
          <w:sz w:val="22"/>
          <w:szCs w:val="22"/>
        </w:rPr>
        <w:t>telů</w:t>
      </w:r>
      <w:r w:rsidRPr="001C280C">
        <w:rPr>
          <w:rFonts w:ascii="Arial" w:hAnsi="Arial" w:cs="Arial"/>
          <w:sz w:val="22"/>
          <w:szCs w:val="22"/>
        </w:rPr>
        <w:t xml:space="preserve">“ se předpokládají v objemu cca </w:t>
      </w:r>
      <w:r w:rsidR="001571C5" w:rsidRPr="001C280C">
        <w:rPr>
          <w:rFonts w:ascii="Arial" w:hAnsi="Arial" w:cs="Arial"/>
          <w:sz w:val="22"/>
          <w:szCs w:val="22"/>
        </w:rPr>
        <w:t>10</w:t>
      </w:r>
      <w:r w:rsidRPr="001C280C">
        <w:rPr>
          <w:rFonts w:ascii="Arial" w:hAnsi="Arial" w:cs="Arial"/>
          <w:sz w:val="22"/>
          <w:szCs w:val="22"/>
        </w:rPr>
        <w:t xml:space="preserve"> mil. Kč ročně, v prvním roce 201</w:t>
      </w:r>
      <w:r w:rsidR="004D5D6F" w:rsidRPr="001C280C">
        <w:rPr>
          <w:rFonts w:ascii="Arial" w:hAnsi="Arial" w:cs="Arial"/>
          <w:sz w:val="22"/>
          <w:szCs w:val="22"/>
        </w:rPr>
        <w:t>6</w:t>
      </w:r>
      <w:r w:rsidRPr="001C280C">
        <w:rPr>
          <w:rFonts w:ascii="Arial" w:hAnsi="Arial" w:cs="Arial"/>
          <w:sz w:val="22"/>
          <w:szCs w:val="22"/>
        </w:rPr>
        <w:t xml:space="preserve"> cca </w:t>
      </w:r>
      <w:r w:rsidR="00984388" w:rsidRPr="001C280C">
        <w:rPr>
          <w:rFonts w:ascii="Arial" w:hAnsi="Arial" w:cs="Arial"/>
          <w:sz w:val="22"/>
          <w:szCs w:val="22"/>
        </w:rPr>
        <w:t>1,</w:t>
      </w:r>
      <w:r w:rsidR="004D5D6F" w:rsidRPr="001C280C">
        <w:rPr>
          <w:rFonts w:ascii="Arial" w:hAnsi="Arial" w:cs="Arial"/>
          <w:sz w:val="22"/>
          <w:szCs w:val="22"/>
        </w:rPr>
        <w:t>5</w:t>
      </w:r>
      <w:r w:rsidRPr="001C280C">
        <w:rPr>
          <w:rFonts w:ascii="Arial" w:hAnsi="Arial" w:cs="Arial"/>
          <w:sz w:val="22"/>
          <w:szCs w:val="22"/>
        </w:rPr>
        <w:t xml:space="preserve"> </w:t>
      </w:r>
      <w:r w:rsidR="00984388" w:rsidRPr="001C280C">
        <w:rPr>
          <w:rFonts w:ascii="Arial" w:hAnsi="Arial" w:cs="Arial"/>
          <w:sz w:val="22"/>
          <w:szCs w:val="22"/>
        </w:rPr>
        <w:t>mil</w:t>
      </w:r>
      <w:r w:rsidRPr="001C280C">
        <w:rPr>
          <w:rFonts w:ascii="Arial" w:hAnsi="Arial" w:cs="Arial"/>
          <w:sz w:val="22"/>
          <w:szCs w:val="22"/>
        </w:rPr>
        <w:t>. Kč</w:t>
      </w:r>
      <w:r w:rsidR="00655C2F" w:rsidRPr="001C280C">
        <w:rPr>
          <w:rFonts w:ascii="Arial" w:hAnsi="Arial" w:cs="Arial"/>
          <w:sz w:val="22"/>
          <w:szCs w:val="22"/>
        </w:rPr>
        <w:t xml:space="preserve"> a </w:t>
      </w:r>
      <w:r w:rsidRPr="001C280C">
        <w:rPr>
          <w:rFonts w:ascii="Arial" w:hAnsi="Arial" w:cs="Arial"/>
          <w:sz w:val="22"/>
          <w:szCs w:val="22"/>
        </w:rPr>
        <w:t xml:space="preserve">v </w:t>
      </w:r>
      <w:r w:rsidR="00762A21" w:rsidRPr="001C280C">
        <w:rPr>
          <w:rFonts w:ascii="Arial" w:hAnsi="Arial" w:cs="Arial"/>
          <w:sz w:val="22"/>
          <w:szCs w:val="22"/>
        </w:rPr>
        <w:t>letech</w:t>
      </w:r>
      <w:r w:rsidRPr="001C280C">
        <w:rPr>
          <w:rFonts w:ascii="Arial" w:hAnsi="Arial" w:cs="Arial"/>
          <w:sz w:val="22"/>
          <w:szCs w:val="22"/>
        </w:rPr>
        <w:t xml:space="preserve"> 201</w:t>
      </w:r>
      <w:r w:rsidR="00655C2F" w:rsidRPr="001C280C">
        <w:rPr>
          <w:rFonts w:ascii="Arial" w:hAnsi="Arial" w:cs="Arial"/>
          <w:sz w:val="22"/>
          <w:szCs w:val="22"/>
        </w:rPr>
        <w:t>7</w:t>
      </w:r>
      <w:r w:rsidRPr="001C280C">
        <w:rPr>
          <w:rFonts w:ascii="Arial" w:hAnsi="Arial" w:cs="Arial"/>
          <w:sz w:val="22"/>
          <w:szCs w:val="22"/>
        </w:rPr>
        <w:t xml:space="preserve"> </w:t>
      </w:r>
      <w:r w:rsidR="004D5D6F" w:rsidRPr="001C280C">
        <w:rPr>
          <w:rFonts w:ascii="Arial" w:hAnsi="Arial" w:cs="Arial"/>
          <w:sz w:val="22"/>
          <w:szCs w:val="22"/>
        </w:rPr>
        <w:t>–</w:t>
      </w:r>
      <w:r w:rsidRPr="001C280C">
        <w:rPr>
          <w:rFonts w:ascii="Arial" w:hAnsi="Arial" w:cs="Arial"/>
          <w:sz w:val="22"/>
          <w:szCs w:val="22"/>
        </w:rPr>
        <w:t xml:space="preserve"> 202</w:t>
      </w:r>
      <w:r w:rsidR="004D5D6F" w:rsidRPr="001C280C">
        <w:rPr>
          <w:rFonts w:ascii="Arial" w:hAnsi="Arial" w:cs="Arial"/>
          <w:sz w:val="22"/>
          <w:szCs w:val="22"/>
        </w:rPr>
        <w:t>2</w:t>
      </w:r>
      <w:r w:rsidRPr="001C280C">
        <w:rPr>
          <w:rFonts w:ascii="Arial" w:hAnsi="Arial" w:cs="Arial"/>
          <w:sz w:val="22"/>
          <w:szCs w:val="22"/>
        </w:rPr>
        <w:t xml:space="preserve"> cca </w:t>
      </w:r>
      <w:r w:rsidR="001571C5" w:rsidRPr="001C280C">
        <w:rPr>
          <w:rFonts w:ascii="Arial" w:hAnsi="Arial" w:cs="Arial"/>
          <w:sz w:val="22"/>
          <w:szCs w:val="22"/>
        </w:rPr>
        <w:t>10</w:t>
      </w:r>
      <w:r w:rsidRPr="001C280C">
        <w:rPr>
          <w:rFonts w:ascii="Arial" w:hAnsi="Arial" w:cs="Arial"/>
          <w:sz w:val="22"/>
          <w:szCs w:val="22"/>
        </w:rPr>
        <w:t xml:space="preserve"> mil. Kč</w:t>
      </w:r>
      <w:r w:rsidR="00655C2F" w:rsidRPr="001C280C">
        <w:rPr>
          <w:rFonts w:ascii="Arial" w:hAnsi="Arial" w:cs="Arial"/>
          <w:sz w:val="22"/>
          <w:szCs w:val="22"/>
        </w:rPr>
        <w:t xml:space="preserve"> ročně</w:t>
      </w:r>
      <w:r w:rsidRPr="001C280C">
        <w:rPr>
          <w:rFonts w:ascii="Arial" w:hAnsi="Arial" w:cs="Arial"/>
          <w:sz w:val="22"/>
          <w:szCs w:val="22"/>
        </w:rPr>
        <w:t xml:space="preserve">. Celkové výdaje za dobu trvání </w:t>
      </w:r>
      <w:r w:rsidR="004D5D6F" w:rsidRPr="001C280C">
        <w:rPr>
          <w:rFonts w:ascii="Arial" w:hAnsi="Arial" w:cs="Arial"/>
          <w:sz w:val="22"/>
          <w:szCs w:val="22"/>
        </w:rPr>
        <w:t>grant</w:t>
      </w:r>
      <w:r w:rsidR="009D02A1" w:rsidRPr="001C280C">
        <w:rPr>
          <w:rFonts w:ascii="Arial" w:hAnsi="Arial" w:cs="Arial"/>
          <w:sz w:val="22"/>
          <w:szCs w:val="22"/>
        </w:rPr>
        <w:t>ových projektů „Podpora ERC</w:t>
      </w:r>
      <w:r w:rsidR="000F7903" w:rsidRPr="001C280C">
        <w:rPr>
          <w:rFonts w:ascii="Arial" w:hAnsi="Arial" w:cs="Arial"/>
          <w:sz w:val="22"/>
          <w:szCs w:val="22"/>
        </w:rPr>
        <w:t xml:space="preserve"> </w:t>
      </w:r>
      <w:r w:rsidR="002730E1" w:rsidRPr="001C280C">
        <w:rPr>
          <w:rFonts w:ascii="Arial" w:hAnsi="Arial" w:cs="Arial"/>
          <w:sz w:val="22"/>
          <w:szCs w:val="22"/>
        </w:rPr>
        <w:t>žadatelů</w:t>
      </w:r>
      <w:r w:rsidR="009D02A1" w:rsidRPr="001C280C">
        <w:rPr>
          <w:rFonts w:ascii="Arial" w:hAnsi="Arial" w:cs="Arial"/>
          <w:sz w:val="22"/>
          <w:szCs w:val="22"/>
        </w:rPr>
        <w:t>“</w:t>
      </w:r>
      <w:r w:rsidRPr="001C280C">
        <w:rPr>
          <w:rFonts w:ascii="Arial" w:hAnsi="Arial" w:cs="Arial"/>
          <w:sz w:val="22"/>
          <w:szCs w:val="22"/>
        </w:rPr>
        <w:t xml:space="preserve"> v</w:t>
      </w:r>
      <w:r w:rsidR="003F4B20" w:rsidRPr="001C280C">
        <w:rPr>
          <w:rFonts w:ascii="Arial" w:hAnsi="Arial" w:cs="Arial"/>
          <w:sz w:val="22"/>
          <w:szCs w:val="22"/>
        </w:rPr>
        <w:t> </w:t>
      </w:r>
      <w:r w:rsidRPr="001C280C">
        <w:rPr>
          <w:rFonts w:ascii="Arial" w:hAnsi="Arial" w:cs="Arial"/>
          <w:sz w:val="22"/>
          <w:szCs w:val="22"/>
        </w:rPr>
        <w:t>letech 201</w:t>
      </w:r>
      <w:r w:rsidR="004D5D6F" w:rsidRPr="001C280C">
        <w:rPr>
          <w:rFonts w:ascii="Arial" w:hAnsi="Arial" w:cs="Arial"/>
          <w:sz w:val="22"/>
          <w:szCs w:val="22"/>
        </w:rPr>
        <w:t>6</w:t>
      </w:r>
      <w:r w:rsidRPr="001C280C">
        <w:rPr>
          <w:rFonts w:ascii="Arial" w:hAnsi="Arial" w:cs="Arial"/>
          <w:sz w:val="22"/>
          <w:szCs w:val="22"/>
        </w:rPr>
        <w:t xml:space="preserve"> až 2022 se </w:t>
      </w:r>
      <w:r w:rsidR="003F4B20" w:rsidRPr="001C280C">
        <w:rPr>
          <w:rFonts w:ascii="Arial" w:hAnsi="Arial" w:cs="Arial"/>
          <w:sz w:val="22"/>
          <w:szCs w:val="22"/>
        </w:rPr>
        <w:t xml:space="preserve">tak </w:t>
      </w:r>
      <w:r w:rsidRPr="001C280C">
        <w:rPr>
          <w:rFonts w:ascii="Arial" w:hAnsi="Arial" w:cs="Arial"/>
          <w:sz w:val="22"/>
          <w:szCs w:val="22"/>
        </w:rPr>
        <w:t xml:space="preserve">předpokládají ve výši cca </w:t>
      </w:r>
      <w:r w:rsidR="00984388" w:rsidRPr="001C280C">
        <w:rPr>
          <w:rFonts w:ascii="Arial" w:hAnsi="Arial" w:cs="Arial"/>
          <w:sz w:val="22"/>
          <w:szCs w:val="22"/>
        </w:rPr>
        <w:t xml:space="preserve">61,5 </w:t>
      </w:r>
      <w:r w:rsidRPr="001C280C">
        <w:rPr>
          <w:rFonts w:ascii="Arial" w:hAnsi="Arial" w:cs="Arial"/>
          <w:sz w:val="22"/>
          <w:szCs w:val="22"/>
        </w:rPr>
        <w:t>mil. Kč.</w:t>
      </w:r>
    </w:p>
    <w:p w14:paraId="7C19142E" w14:textId="77777777" w:rsidR="00977910" w:rsidRPr="001C280C" w:rsidRDefault="00977910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692816EE" w14:textId="77777777" w:rsidR="001A687F" w:rsidRPr="001C280C" w:rsidRDefault="001A687F" w:rsidP="001A687F">
      <w:pPr>
        <w:keepNext/>
        <w:spacing w:after="60"/>
        <w:ind w:left="357" w:hanging="357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8. 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</w:p>
    <w:p w14:paraId="420489CB" w14:textId="2003335B" w:rsidR="001A687F" w:rsidRPr="001C280C" w:rsidRDefault="001A687F" w:rsidP="00875028">
      <w:pPr>
        <w:autoSpaceDE w:val="0"/>
        <w:autoSpaceDN w:val="0"/>
        <w:adjustRightInd w:val="0"/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V souladu s </w:t>
      </w:r>
      <w:r w:rsidRPr="001C280C">
        <w:rPr>
          <w:rFonts w:ascii="Arial" w:hAnsi="Arial" w:cs="Arial"/>
          <w:sz w:val="22"/>
          <w:szCs w:val="22"/>
        </w:rPr>
        <w:t xml:space="preserve">§ 2 odst. 2 písm. b) </w:t>
      </w:r>
      <w:r w:rsidR="0050190E" w:rsidRPr="001C280C">
        <w:rPr>
          <w:rFonts w:ascii="Arial" w:hAnsi="Arial" w:cs="Arial"/>
          <w:sz w:val="22"/>
          <w:szCs w:val="22"/>
        </w:rPr>
        <w:t xml:space="preserve">a c)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zákona o podpoře výzkumu, experimentálního vývoje a inovací může být 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 xml:space="preserve">příjemcem </w:t>
      </w:r>
      <w:r w:rsidRPr="001C280C">
        <w:rPr>
          <w:rFonts w:ascii="Arial" w:hAnsi="Arial" w:cs="Arial"/>
          <w:color w:val="000000"/>
          <w:sz w:val="22"/>
          <w:szCs w:val="22"/>
        </w:rPr>
        <w:t>„</w:t>
      </w:r>
      <w:r w:rsidR="006E12C6" w:rsidRPr="001C280C">
        <w:rPr>
          <w:rFonts w:ascii="Arial" w:hAnsi="Arial" w:cs="Arial"/>
          <w:color w:val="000000"/>
          <w:sz w:val="22"/>
          <w:szCs w:val="22"/>
        </w:rPr>
        <w:t>P</w:t>
      </w:r>
      <w:r w:rsidR="0011157E" w:rsidRPr="001C280C">
        <w:rPr>
          <w:rFonts w:ascii="Arial" w:hAnsi="Arial" w:cs="Arial"/>
          <w:color w:val="000000"/>
          <w:sz w:val="22"/>
          <w:szCs w:val="22"/>
        </w:rPr>
        <w:t>odpor</w:t>
      </w:r>
      <w:r w:rsidR="00797C69" w:rsidRPr="001C280C">
        <w:rPr>
          <w:rFonts w:ascii="Arial" w:hAnsi="Arial" w:cs="Arial"/>
          <w:color w:val="000000"/>
          <w:sz w:val="22"/>
          <w:szCs w:val="22"/>
        </w:rPr>
        <w:t>y ERC žadatelů“</w:t>
      </w:r>
      <w:r w:rsidR="0011157E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564A99" w:rsidRPr="001C280C">
        <w:rPr>
          <w:rFonts w:ascii="Arial" w:hAnsi="Arial" w:cs="Arial"/>
          <w:color w:val="000000"/>
          <w:sz w:val="22"/>
          <w:szCs w:val="22"/>
        </w:rPr>
        <w:t xml:space="preserve">uchazeč o grant 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1C280C">
        <w:rPr>
          <w:rFonts w:ascii="Arial" w:hAnsi="Arial" w:cs="Arial"/>
          <w:color w:val="000000"/>
          <w:sz w:val="22"/>
          <w:szCs w:val="22"/>
        </w:rPr>
        <w:t>organizační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>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slož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>e</w:t>
      </w:r>
      <w:r w:rsidRPr="001C280C">
        <w:rPr>
          <w:rFonts w:ascii="Arial" w:hAnsi="Arial" w:cs="Arial"/>
          <w:color w:val="000000"/>
          <w:sz w:val="22"/>
          <w:szCs w:val="22"/>
        </w:rPr>
        <w:t>k státu nebo organizační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>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jednot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>e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k ministerstva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 xml:space="preserve">zabývajících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se výzkumem a vývojem a dále 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 xml:space="preserve">z řad </w:t>
      </w:r>
      <w:r w:rsidRPr="001C280C">
        <w:rPr>
          <w:rFonts w:ascii="Arial" w:hAnsi="Arial" w:cs="Arial"/>
          <w:color w:val="000000"/>
          <w:sz w:val="22"/>
          <w:szCs w:val="22"/>
        </w:rPr>
        <w:t>právnick</w:t>
      </w:r>
      <w:r w:rsidR="005501F6" w:rsidRPr="001C280C">
        <w:rPr>
          <w:rFonts w:ascii="Arial" w:hAnsi="Arial" w:cs="Arial"/>
          <w:color w:val="000000"/>
          <w:sz w:val="22"/>
          <w:szCs w:val="22"/>
        </w:rPr>
        <w:t>ých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osob, kter</w:t>
      </w:r>
      <w:r w:rsidR="00762A21" w:rsidRPr="001C280C">
        <w:rPr>
          <w:rFonts w:ascii="Arial" w:hAnsi="Arial" w:cs="Arial"/>
          <w:color w:val="000000"/>
          <w:sz w:val="22"/>
          <w:szCs w:val="22"/>
        </w:rPr>
        <w:t>é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splní podmínky způsobilosti uchazeče o podporu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 xml:space="preserve"> a</w:t>
      </w:r>
      <w:r w:rsidR="00E12076" w:rsidRPr="001C280C">
        <w:rPr>
          <w:rFonts w:ascii="Arial" w:hAnsi="Arial" w:cs="Arial"/>
          <w:color w:val="000000"/>
          <w:sz w:val="22"/>
          <w:szCs w:val="22"/>
        </w:rPr>
        <w:t> 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 xml:space="preserve"> v </w:t>
      </w:r>
      <w:r w:rsidR="00762A21" w:rsidRPr="001C280C">
        <w:rPr>
          <w:rFonts w:ascii="Arial" w:hAnsi="Arial" w:cs="Arial"/>
          <w:color w:val="000000"/>
          <w:sz w:val="22"/>
          <w:szCs w:val="22"/>
        </w:rPr>
        <w:t xml:space="preserve">jejichž </w:t>
      </w:r>
      <w:r w:rsidR="0050190E" w:rsidRPr="001C280C">
        <w:rPr>
          <w:rFonts w:ascii="Arial" w:hAnsi="Arial" w:cs="Arial"/>
          <w:color w:val="000000"/>
          <w:sz w:val="22"/>
          <w:szCs w:val="22"/>
        </w:rPr>
        <w:t>prospěch bylo o poskytnutí podpory poskytovatelem rozhodnuto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32708B6" w14:textId="77777777" w:rsidR="001A687F" w:rsidRPr="001C280C" w:rsidRDefault="001A687F" w:rsidP="00875028">
      <w:pPr>
        <w:autoSpaceDE w:val="0"/>
        <w:autoSpaceDN w:val="0"/>
        <w:adjustRightInd w:val="0"/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Podle čl. 1 odst. 4 písm. a) nařízení je vyloučeno vyplacení jednotlivé podpory ve prospěch podniku, vůči němuž byl v návaznosti na rozhodnutí Evropské komise vystaven inkasní příkaz.</w:t>
      </w:r>
    </w:p>
    <w:p w14:paraId="4B861166" w14:textId="77777777" w:rsidR="001A687F" w:rsidRPr="001C280C" w:rsidRDefault="001A687F" w:rsidP="001A687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1564361" w14:textId="77777777" w:rsidR="001A687F" w:rsidRPr="001C280C" w:rsidRDefault="001A687F" w:rsidP="001A687F">
      <w:pPr>
        <w:keepNext/>
        <w:spacing w:after="60"/>
        <w:ind w:left="360" w:hanging="36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9.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</w:p>
    <w:p w14:paraId="1563CB77" w14:textId="77777777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Podporu v této skupině grantových projektů mohou obdržet pouze uchazeči, kteří splňují podmínky způsobilosti dané § 18 zákona o podpoře výzkumu, experimentálního vývoje a inovací. </w:t>
      </w:r>
    </w:p>
    <w:p w14:paraId="30814503" w14:textId="72A8C43D" w:rsidR="001A687F" w:rsidRPr="001C280C" w:rsidRDefault="00385E6D" w:rsidP="00A2277A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Každý uchazeč o podporu je povinen </w:t>
      </w:r>
      <w:r w:rsidR="0008746A" w:rsidRPr="001C280C">
        <w:rPr>
          <w:rFonts w:ascii="Arial" w:hAnsi="Arial" w:cs="Arial"/>
          <w:color w:val="000000"/>
          <w:sz w:val="22"/>
          <w:szCs w:val="22"/>
        </w:rPr>
        <w:t xml:space="preserve">zajistit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způsobilého navrhovatele, </w:t>
      </w:r>
      <w:r w:rsidR="003F4B20" w:rsidRPr="001C280C">
        <w:rPr>
          <w:rFonts w:ascii="Arial" w:hAnsi="Arial" w:cs="Arial"/>
          <w:color w:val="000000"/>
          <w:sz w:val="22"/>
          <w:szCs w:val="22"/>
        </w:rPr>
        <w:t xml:space="preserve">tj. fyzickou osobu, která bude garantem řešení projektu.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>Řešení projektu se uskutečňuje na zahraničním pracovišti, na němž v době řešení projektu působí řešitel ERC grantu</w:t>
      </w:r>
      <w:r w:rsidR="009068C9" w:rsidRPr="001C280C">
        <w:rPr>
          <w:rFonts w:ascii="Arial" w:hAnsi="Arial" w:cs="Arial"/>
          <w:color w:val="000000"/>
          <w:sz w:val="22"/>
          <w:szCs w:val="22"/>
        </w:rPr>
        <w:t xml:space="preserve"> („Principal </w:t>
      </w:r>
      <w:r w:rsidR="00FA1302" w:rsidRPr="001C280C">
        <w:rPr>
          <w:rFonts w:ascii="Arial" w:hAnsi="Arial" w:cs="Arial"/>
          <w:color w:val="000000"/>
          <w:sz w:val="22"/>
          <w:szCs w:val="22"/>
        </w:rPr>
        <w:t>Investigator</w:t>
      </w:r>
      <w:r w:rsidR="009068C9" w:rsidRPr="001C280C">
        <w:rPr>
          <w:rFonts w:ascii="Arial" w:hAnsi="Arial" w:cs="Arial"/>
          <w:color w:val="000000"/>
          <w:sz w:val="22"/>
          <w:szCs w:val="22"/>
        </w:rPr>
        <w:t>“).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 Součástí návrhu projektu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„Podpora</w:t>
      </w:r>
      <w:r w:rsidR="008D79A8" w:rsidRPr="001C280C">
        <w:rPr>
          <w:rFonts w:ascii="Arial" w:hAnsi="Arial" w:cs="Arial"/>
          <w:color w:val="000000"/>
          <w:sz w:val="22"/>
          <w:szCs w:val="22"/>
        </w:rPr>
        <w:t xml:space="preserve"> ERC žadatele“ a podmínkou financování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je písemné prohlášení zahraničního pracoviště a příslušného řešitele ERC grantu </w:t>
      </w:r>
      <w:r w:rsidR="008D79A8" w:rsidRPr="001C280C">
        <w:rPr>
          <w:rFonts w:ascii="Arial" w:hAnsi="Arial" w:cs="Arial"/>
          <w:color w:val="000000"/>
          <w:sz w:val="22"/>
          <w:szCs w:val="22"/>
        </w:rPr>
        <w:t xml:space="preserve">(„Principal </w:t>
      </w:r>
      <w:r w:rsidR="00FA1302" w:rsidRPr="001C280C">
        <w:rPr>
          <w:rFonts w:ascii="Arial" w:hAnsi="Arial" w:cs="Arial"/>
          <w:color w:val="000000"/>
          <w:sz w:val="22"/>
          <w:szCs w:val="22"/>
        </w:rPr>
        <w:t>Investigator</w:t>
      </w:r>
      <w:r w:rsidR="008D79A8" w:rsidRPr="001C280C">
        <w:rPr>
          <w:rFonts w:ascii="Arial" w:hAnsi="Arial" w:cs="Arial"/>
          <w:color w:val="000000"/>
          <w:sz w:val="22"/>
          <w:szCs w:val="22"/>
        </w:rPr>
        <w:t xml:space="preserve">“)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vyjadřující souhlas s přijetím navrhovatele k řešení </w:t>
      </w:r>
      <w:r w:rsidR="008D79A8" w:rsidRPr="001C280C">
        <w:rPr>
          <w:rFonts w:ascii="Arial" w:hAnsi="Arial" w:cs="Arial"/>
          <w:color w:val="000000"/>
          <w:sz w:val="22"/>
          <w:szCs w:val="22"/>
        </w:rPr>
        <w:t>projektu „Podpory ERC žadatele“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. </w:t>
      </w:r>
      <w:r w:rsidR="00EE1334" w:rsidRPr="001C280C">
        <w:rPr>
          <w:rFonts w:ascii="Arial" w:hAnsi="Arial" w:cs="Arial"/>
          <w:color w:val="000000"/>
          <w:sz w:val="22"/>
          <w:szCs w:val="22"/>
        </w:rPr>
        <w:t xml:space="preserve">Navrhovatelem 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 xml:space="preserve">grantového projektu 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>„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 xml:space="preserve">Podpora ERC </w:t>
      </w:r>
      <w:r w:rsidR="00985AD2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 xml:space="preserve">“ </w:t>
      </w:r>
      <w:r w:rsidR="00EE1334" w:rsidRPr="001C280C">
        <w:rPr>
          <w:rFonts w:ascii="Arial" w:hAnsi="Arial" w:cs="Arial"/>
          <w:color w:val="000000"/>
          <w:sz w:val="22"/>
          <w:szCs w:val="22"/>
        </w:rPr>
        <w:t>může být pouze řešitel</w:t>
      </w:r>
      <w:r w:rsidR="00A863C9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1B3E43" w:rsidRPr="001C280C">
        <w:rPr>
          <w:rFonts w:ascii="Arial" w:hAnsi="Arial" w:cs="Arial"/>
          <w:color w:val="000000"/>
          <w:sz w:val="22"/>
          <w:szCs w:val="22"/>
        </w:rPr>
        <w:t xml:space="preserve">alespoň jednou hodnoceného 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>běžícího</w:t>
      </w:r>
      <w:r w:rsidR="001B3E43" w:rsidRPr="001C280C">
        <w:rPr>
          <w:rFonts w:ascii="Arial" w:hAnsi="Arial" w:cs="Arial"/>
          <w:color w:val="000000"/>
          <w:sz w:val="22"/>
          <w:szCs w:val="22"/>
        </w:rPr>
        <w:t xml:space="preserve"> juniorského projektu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 xml:space="preserve"> nebo ukončeného juniorského projektu, jehož </w:t>
      </w:r>
      <w:r w:rsidR="001B3E43" w:rsidRPr="001C280C">
        <w:rPr>
          <w:rFonts w:ascii="Arial" w:hAnsi="Arial" w:cs="Arial"/>
          <w:color w:val="000000"/>
          <w:sz w:val="22"/>
          <w:szCs w:val="22"/>
        </w:rPr>
        <w:t xml:space="preserve">poslední hodnocení </w:t>
      </w:r>
      <w:r w:rsidR="00D2617F" w:rsidRPr="001C280C">
        <w:rPr>
          <w:rFonts w:ascii="Arial" w:hAnsi="Arial" w:cs="Arial"/>
          <w:color w:val="000000"/>
          <w:sz w:val="22"/>
          <w:szCs w:val="22"/>
        </w:rPr>
        <w:t>provedené před podáním žádosti o grant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>ový projekt</w:t>
      </w:r>
      <w:r w:rsidR="006E12C6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 xml:space="preserve">„Podpora ERC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>“</w:t>
      </w:r>
      <w:r w:rsidR="00D2617F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 xml:space="preserve">bylo </w:t>
      </w:r>
      <w:r w:rsidR="006F6485" w:rsidRPr="001C280C">
        <w:rPr>
          <w:rFonts w:ascii="Arial" w:hAnsi="Arial" w:cs="Arial"/>
          <w:color w:val="000000"/>
          <w:sz w:val="22"/>
          <w:szCs w:val="22"/>
        </w:rPr>
        <w:t>hodnoceno jako</w:t>
      </w:r>
      <w:r w:rsidR="001E1779" w:rsidRPr="001C280C">
        <w:rPr>
          <w:rFonts w:ascii="Arial" w:hAnsi="Arial" w:cs="Arial"/>
          <w:color w:val="000000"/>
          <w:sz w:val="22"/>
          <w:szCs w:val="22"/>
        </w:rPr>
        <w:t xml:space="preserve"> splněno nebo vynikající. </w:t>
      </w:r>
      <w:r w:rsidR="001B3E43" w:rsidRPr="001C280C">
        <w:rPr>
          <w:rFonts w:ascii="Arial" w:hAnsi="Arial" w:cs="Arial"/>
          <w:color w:val="000000"/>
          <w:sz w:val="22"/>
          <w:szCs w:val="22"/>
        </w:rPr>
        <w:t xml:space="preserve">Jedna osoba může </w:t>
      </w:r>
      <w:r w:rsidR="00CA29C0" w:rsidRPr="001C280C">
        <w:rPr>
          <w:rFonts w:ascii="Arial" w:hAnsi="Arial" w:cs="Arial"/>
          <w:color w:val="000000"/>
          <w:sz w:val="22"/>
          <w:szCs w:val="22"/>
        </w:rPr>
        <w:t xml:space="preserve">být řešitelem grantového 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>projekt</w:t>
      </w:r>
      <w:r w:rsidR="00CA29C0" w:rsidRPr="001C280C">
        <w:rPr>
          <w:rFonts w:ascii="Arial" w:hAnsi="Arial" w:cs="Arial"/>
          <w:color w:val="000000"/>
          <w:sz w:val="22"/>
          <w:szCs w:val="22"/>
        </w:rPr>
        <w:t xml:space="preserve">u 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 xml:space="preserve">„Podpora ERC 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="00AE4F1A" w:rsidRPr="001C280C">
        <w:rPr>
          <w:rFonts w:ascii="Arial" w:hAnsi="Arial" w:cs="Arial"/>
          <w:color w:val="000000"/>
          <w:sz w:val="22"/>
          <w:szCs w:val="22"/>
        </w:rPr>
        <w:t>“</w:t>
      </w:r>
      <w:r w:rsidR="001B3E43" w:rsidRPr="001C280C">
        <w:rPr>
          <w:rFonts w:ascii="Arial" w:hAnsi="Arial" w:cs="Arial"/>
          <w:color w:val="000000"/>
          <w:sz w:val="22"/>
          <w:szCs w:val="22"/>
        </w:rPr>
        <w:t xml:space="preserve"> pouze jednou.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Řešitel </w:t>
      </w:r>
      <w:r w:rsidR="006F6485" w:rsidRPr="001C280C">
        <w:rPr>
          <w:rFonts w:ascii="Arial" w:hAnsi="Arial" w:cs="Arial"/>
          <w:color w:val="000000"/>
          <w:sz w:val="22"/>
          <w:szCs w:val="22"/>
        </w:rPr>
        <w:lastRenderedPageBreak/>
        <w:t xml:space="preserve">grantového projektu 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="006F6485" w:rsidRPr="001C280C">
        <w:rPr>
          <w:rFonts w:ascii="Arial" w:hAnsi="Arial" w:cs="Arial"/>
          <w:color w:val="000000"/>
          <w:sz w:val="22"/>
          <w:szCs w:val="22"/>
        </w:rPr>
        <w:t>“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je povinen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 xml:space="preserve">v návaznosti na ukončení řešení projektu vypracovat a podat žádost o </w:t>
      </w:r>
      <w:r w:rsidR="001F4C1C" w:rsidRPr="001C280C">
        <w:rPr>
          <w:rFonts w:ascii="Arial" w:hAnsi="Arial" w:cs="Arial"/>
          <w:color w:val="000000"/>
          <w:sz w:val="22"/>
          <w:szCs w:val="22"/>
        </w:rPr>
        <w:t xml:space="preserve">ERC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grant (v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 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programech StG, CoG, AdG)</w:t>
      </w:r>
      <w:r w:rsidR="000A7685" w:rsidRPr="001C280C">
        <w:rPr>
          <w:rFonts w:ascii="Arial" w:hAnsi="Arial" w:cs="Arial"/>
          <w:color w:val="000000"/>
          <w:sz w:val="22"/>
          <w:szCs w:val="22"/>
        </w:rPr>
        <w:t xml:space="preserve"> s hostitelskou organizací v ČR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 xml:space="preserve">, a to v nejbližší výzvě vyhlášené po ukončení řešení projektu </w:t>
      </w:r>
      <w:r w:rsidR="001F4C1C" w:rsidRPr="001C280C">
        <w:rPr>
          <w:rFonts w:ascii="Arial" w:hAnsi="Arial" w:cs="Arial"/>
          <w:color w:val="000000"/>
          <w:sz w:val="22"/>
          <w:szCs w:val="22"/>
        </w:rPr>
        <w:t xml:space="preserve">„Podpora ERC žadatelů“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nebo ve výzvě bezprostředně následující</w:t>
      </w:r>
      <w:r w:rsidR="001F4C1C" w:rsidRPr="001C280C">
        <w:rPr>
          <w:rFonts w:ascii="Arial" w:hAnsi="Arial" w:cs="Arial"/>
          <w:color w:val="000000"/>
          <w:sz w:val="22"/>
          <w:szCs w:val="22"/>
        </w:rPr>
        <w:t xml:space="preserve">, nejpozději však 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do 700 dní po ukončení řešení tohoto projektu.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 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Do této lhůty se n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ezapočítává </w:t>
      </w:r>
      <w:r w:rsidR="00C537A6" w:rsidRPr="001C280C">
        <w:rPr>
          <w:rFonts w:ascii="Arial" w:hAnsi="Arial" w:cs="Arial"/>
          <w:color w:val="000000"/>
          <w:sz w:val="22"/>
          <w:szCs w:val="22"/>
        </w:rPr>
        <w:t xml:space="preserve">období 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>stráven</w:t>
      </w:r>
      <w:r w:rsidR="00C537A6" w:rsidRPr="001C280C">
        <w:rPr>
          <w:rFonts w:ascii="Arial" w:hAnsi="Arial" w:cs="Arial"/>
          <w:color w:val="000000"/>
          <w:sz w:val="22"/>
          <w:szCs w:val="22"/>
        </w:rPr>
        <w:t>é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na mateřské/rodičovské dovolené.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>Pokud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podmínk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>u</w:t>
      </w:r>
      <w:r w:rsidR="000236A5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A2277A" w:rsidRPr="001C280C">
        <w:rPr>
          <w:rFonts w:ascii="Arial" w:hAnsi="Arial" w:cs="Arial"/>
          <w:color w:val="000000"/>
          <w:sz w:val="22"/>
          <w:szCs w:val="22"/>
        </w:rPr>
        <w:t xml:space="preserve">podání žádosti o grant ERC </w:t>
      </w:r>
      <w:r w:rsidR="00797C69" w:rsidRPr="001C280C">
        <w:rPr>
          <w:rFonts w:ascii="Arial" w:hAnsi="Arial" w:cs="Arial"/>
          <w:color w:val="000000"/>
          <w:sz w:val="22"/>
          <w:szCs w:val="22"/>
        </w:rPr>
        <w:t xml:space="preserve">řešitel projektu „Podpora ERC žadatelů“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ve stanovené lhůtě nesplní, GA ČR nepřijme v následujících třech letech žádný jeho návrh projektu v roli 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 xml:space="preserve">navrhovatele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>či spolu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navrhovatele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 do žádné ze soutěží vyhlašovaných GA ČR.</w:t>
      </w:r>
      <w:r w:rsidR="00167A4A" w:rsidRPr="001C280C" w:rsidDel="00167A4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A414114" w14:textId="77777777" w:rsidR="001A687F" w:rsidRPr="001C280C" w:rsidRDefault="001A687F" w:rsidP="001A687F">
      <w:pPr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2"/>
          <w:szCs w:val="22"/>
        </w:rPr>
      </w:pPr>
    </w:p>
    <w:p w14:paraId="646A96EC" w14:textId="77777777" w:rsidR="001A687F" w:rsidRPr="001C280C" w:rsidRDefault="001A687F" w:rsidP="001A687F">
      <w:pPr>
        <w:spacing w:after="60"/>
        <w:ind w:left="480" w:hanging="480"/>
        <w:jc w:val="both"/>
        <w:outlineLvl w:val="0"/>
        <w:rPr>
          <w:rFonts w:ascii="Arial" w:hAnsi="Arial" w:cs="Arial"/>
          <w:i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10.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Forma, míra a výše podpory</w:t>
      </w:r>
    </w:p>
    <w:p w14:paraId="682CC2D5" w14:textId="77777777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Podpora bude poskytována formou dotace na uznané náklady právnickým osobám a</w:t>
      </w:r>
      <w:r w:rsidR="00946777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formou zvýšení výdajů organizačních složek státu nebo organizačních jednotek ministerstev. </w:t>
      </w:r>
    </w:p>
    <w:p w14:paraId="183B6330" w14:textId="405B2167" w:rsidR="001A687F" w:rsidRPr="001C280C" w:rsidRDefault="001A687F" w:rsidP="00875028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V souladu se zákonem o podpoře výzkumu, experimentálního vývoje a inovací a</w:t>
      </w:r>
      <w:r w:rsid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nařízením může být </w:t>
      </w:r>
      <w:r w:rsidR="00370D5C" w:rsidRPr="001C280C">
        <w:rPr>
          <w:rFonts w:ascii="Arial" w:hAnsi="Arial" w:cs="Arial"/>
          <w:color w:val="000000"/>
          <w:sz w:val="22"/>
          <w:szCs w:val="22"/>
        </w:rPr>
        <w:t>míra (</w:t>
      </w:r>
      <w:r w:rsidRPr="001C280C">
        <w:rPr>
          <w:rFonts w:ascii="Arial" w:hAnsi="Arial" w:cs="Arial"/>
          <w:color w:val="000000"/>
          <w:sz w:val="22"/>
          <w:szCs w:val="22"/>
        </w:rPr>
        <w:t>intenzita</w:t>
      </w:r>
      <w:r w:rsidR="00370D5C" w:rsidRPr="001C280C">
        <w:rPr>
          <w:rFonts w:ascii="Arial" w:hAnsi="Arial" w:cs="Arial"/>
          <w:color w:val="000000"/>
          <w:sz w:val="22"/>
          <w:szCs w:val="22"/>
        </w:rPr>
        <w:t>)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podpory pro projekty základního výzkumu až 100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%. Maximální povolená výše podpory projektu základního výzkumu (bez oznamovací povinnosti a</w:t>
      </w:r>
      <w:r w:rsidR="00946777" w:rsidRPr="001C280C">
        <w:rPr>
          <w:rFonts w:ascii="Arial" w:hAnsi="Arial" w:cs="Arial"/>
          <w:color w:val="000000"/>
          <w:sz w:val="22"/>
          <w:szCs w:val="22"/>
        </w:rPr>
        <w:t> </w:t>
      </w:r>
      <w:r w:rsidR="00946777" w:rsidRPr="001C280C" w:rsidDel="009467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podrobnějšího posouzení E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vropskou</w:t>
      </w:r>
      <w:r w:rsidR="005501F6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komisí). Částka je stanovena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podle čl. 4 odst. 1 písm. i) bodu i) nařízení na 40 mil. EUR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 a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nebude překročena – ve </w:t>
      </w:r>
      <w:r w:rsidR="005839A8" w:rsidRPr="001C280C">
        <w:rPr>
          <w:rFonts w:ascii="Arial" w:hAnsi="Arial" w:cs="Arial"/>
          <w:color w:val="000000"/>
          <w:sz w:val="22"/>
          <w:szCs w:val="22"/>
        </w:rPr>
        <w:t xml:space="preserve">skupině grantových projektů „Podpora ERC </w:t>
      </w:r>
      <w:r w:rsidR="00985AD2" w:rsidRPr="001C280C">
        <w:rPr>
          <w:rFonts w:ascii="Arial" w:hAnsi="Arial" w:cs="Arial"/>
          <w:color w:val="000000"/>
          <w:sz w:val="22"/>
          <w:szCs w:val="22"/>
        </w:rPr>
        <w:t>žada</w:t>
      </w:r>
      <w:r w:rsidR="00C96976" w:rsidRPr="001C280C">
        <w:rPr>
          <w:rFonts w:ascii="Arial" w:hAnsi="Arial" w:cs="Arial"/>
          <w:color w:val="000000"/>
          <w:sz w:val="22"/>
          <w:szCs w:val="22"/>
        </w:rPr>
        <w:t>telů</w:t>
      </w:r>
      <w:r w:rsidR="005839A8" w:rsidRPr="001C280C">
        <w:rPr>
          <w:rFonts w:ascii="Arial" w:hAnsi="Arial" w:cs="Arial"/>
          <w:color w:val="000000"/>
          <w:sz w:val="22"/>
          <w:szCs w:val="22"/>
        </w:rPr>
        <w:t>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se předpokládá průměrná výše podpory jednoho projektu </w:t>
      </w:r>
      <w:r w:rsidR="006E12C6" w:rsidRPr="001C280C">
        <w:rPr>
          <w:rFonts w:ascii="Arial" w:hAnsi="Arial" w:cs="Arial"/>
          <w:color w:val="000000"/>
          <w:sz w:val="22"/>
          <w:szCs w:val="22"/>
        </w:rPr>
        <w:t>v řádech statisíců Kč</w:t>
      </w:r>
      <w:r w:rsidRPr="001C280C">
        <w:rPr>
          <w:rFonts w:ascii="Arial" w:hAnsi="Arial" w:cs="Arial"/>
          <w:color w:val="000000"/>
          <w:sz w:val="22"/>
          <w:szCs w:val="22"/>
        </w:rPr>
        <w:t>. Výše podpory bude posuzována u každého projektu individuálně. Požadovaná výše podpory musí být zdůvodněná</w:t>
      </w:r>
      <w:r w:rsidR="00385E6D" w:rsidRPr="001C280C">
        <w:rPr>
          <w:rFonts w:ascii="Arial" w:hAnsi="Arial" w:cs="Arial"/>
          <w:color w:val="000000"/>
          <w:sz w:val="22"/>
          <w:szCs w:val="22"/>
        </w:rPr>
        <w:t>,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přiměřená cílům, době trvání projektu a</w:t>
      </w:r>
      <w:r w:rsid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>předpokládaným výsledkům projektu</w:t>
      </w:r>
      <w:r w:rsidR="001A15B9" w:rsidRPr="001C280C">
        <w:rPr>
          <w:rFonts w:ascii="Arial" w:hAnsi="Arial" w:cs="Arial"/>
          <w:color w:val="000000"/>
          <w:sz w:val="22"/>
          <w:szCs w:val="22"/>
        </w:rPr>
        <w:t xml:space="preserve"> a stanovena</w:t>
      </w:r>
      <w:r w:rsidR="00385E6D" w:rsidRPr="001C280C">
        <w:rPr>
          <w:rFonts w:ascii="Arial" w:hAnsi="Arial" w:cs="Arial"/>
          <w:color w:val="000000"/>
          <w:sz w:val="22"/>
          <w:szCs w:val="22"/>
        </w:rPr>
        <w:t xml:space="preserve"> v souladu s příslušnou zadávací dokumentací </w:t>
      </w:r>
      <w:r w:rsidR="006E12C6" w:rsidRPr="001C280C">
        <w:rPr>
          <w:rFonts w:ascii="Arial" w:hAnsi="Arial" w:cs="Arial"/>
          <w:color w:val="000000"/>
          <w:sz w:val="22"/>
          <w:szCs w:val="22"/>
        </w:rPr>
        <w:t>výzvy.</w:t>
      </w:r>
    </w:p>
    <w:p w14:paraId="3958DAF1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20D4135D" w14:textId="77777777" w:rsidR="001A687F" w:rsidRPr="001C280C" w:rsidRDefault="001A687F" w:rsidP="001A687F">
      <w:pPr>
        <w:keepNext/>
        <w:spacing w:after="60"/>
        <w:ind w:left="480" w:hanging="48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t>11.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Uznané náklady</w:t>
      </w:r>
    </w:p>
    <w:p w14:paraId="02F79907" w14:textId="77777777" w:rsidR="001A687F" w:rsidRPr="001C280C" w:rsidRDefault="001A687F" w:rsidP="00875028">
      <w:pPr>
        <w:autoSpaceDE w:val="0"/>
        <w:autoSpaceDN w:val="0"/>
        <w:adjustRightInd w:val="0"/>
        <w:spacing w:after="12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Podpora bude poskytována na uznané náklady projektu vymezené v souladu s § 2 odst. 2 písm. m) zákona o podpoře výzkumu, experimentálního vývoje a inovací a </w:t>
      </w:r>
      <w:r w:rsidR="006A5D04" w:rsidRPr="001C280C">
        <w:rPr>
          <w:rFonts w:ascii="Arial" w:hAnsi="Arial" w:cs="Arial"/>
          <w:color w:val="000000"/>
          <w:sz w:val="22"/>
          <w:szCs w:val="22"/>
        </w:rPr>
        <w:t>v souladu s čl. 7 a</w:t>
      </w:r>
      <w:r w:rsidR="00946777" w:rsidRPr="001C280C">
        <w:rPr>
          <w:rFonts w:ascii="Arial" w:hAnsi="Arial" w:cs="Arial"/>
          <w:color w:val="000000"/>
          <w:sz w:val="22"/>
          <w:szCs w:val="22"/>
        </w:rPr>
        <w:t> </w:t>
      </w:r>
      <w:r w:rsidR="00946777" w:rsidRPr="001C280C" w:rsidDel="00946777">
        <w:rPr>
          <w:rFonts w:ascii="Arial" w:hAnsi="Arial" w:cs="Arial"/>
          <w:color w:val="000000"/>
          <w:sz w:val="22"/>
          <w:szCs w:val="22"/>
        </w:rPr>
        <w:t xml:space="preserve"> </w:t>
      </w:r>
      <w:r w:rsidR="006A5D04" w:rsidRPr="001C280C">
        <w:rPr>
          <w:rFonts w:ascii="Arial" w:hAnsi="Arial" w:cs="Arial"/>
          <w:color w:val="000000"/>
          <w:sz w:val="22"/>
          <w:szCs w:val="22"/>
        </w:rPr>
        <w:t>25 n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ařízení. Uznanými náklady jsou </w:t>
      </w:r>
      <w:r w:rsidR="006A5D04" w:rsidRPr="001C280C">
        <w:rPr>
          <w:rFonts w:ascii="Arial" w:hAnsi="Arial" w:cs="Arial"/>
          <w:color w:val="000000"/>
          <w:sz w:val="22"/>
          <w:szCs w:val="22"/>
        </w:rPr>
        <w:t xml:space="preserve">způsobilé </w:t>
      </w:r>
      <w:r w:rsidRPr="001C280C">
        <w:rPr>
          <w:rFonts w:ascii="Arial" w:hAnsi="Arial" w:cs="Arial"/>
          <w:color w:val="000000"/>
          <w:sz w:val="22"/>
          <w:szCs w:val="22"/>
        </w:rPr>
        <w:t>náklady</w:t>
      </w:r>
      <w:r w:rsidR="006A5D04" w:rsidRPr="001C280C">
        <w:rPr>
          <w:rFonts w:ascii="Arial" w:hAnsi="Arial" w:cs="Arial"/>
          <w:color w:val="000000"/>
          <w:sz w:val="22"/>
          <w:szCs w:val="22"/>
        </w:rPr>
        <w:t xml:space="preserve"> a výdaje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zdůvodněné, účetně prokazatelné a z návrhu musí vyplývat jejich nezbytnost pro řešení grantového projektu.</w:t>
      </w:r>
    </w:p>
    <w:p w14:paraId="6FB64488" w14:textId="014B9FDE" w:rsidR="00592508" w:rsidRPr="001C280C" w:rsidRDefault="001A687F" w:rsidP="00B6392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Způsobilými, resp. uznanými náklady ve</w:t>
      </w:r>
      <w:r w:rsidR="00AE2AF9" w:rsidRPr="001C280C">
        <w:rPr>
          <w:rFonts w:ascii="Arial" w:hAnsi="Arial" w:cs="Arial"/>
          <w:color w:val="000000"/>
          <w:sz w:val="22"/>
          <w:szCs w:val="22"/>
        </w:rPr>
        <w:t xml:space="preserve"> skupině grantových projektů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AE2AF9" w:rsidRPr="001C280C">
        <w:rPr>
          <w:rFonts w:ascii="Arial" w:hAnsi="Arial" w:cs="Arial"/>
          <w:color w:val="000000"/>
          <w:sz w:val="22"/>
          <w:szCs w:val="22"/>
        </w:rPr>
        <w:t xml:space="preserve">„Podpora </w:t>
      </w:r>
      <w:r w:rsidR="00D21064" w:rsidRPr="001C280C">
        <w:rPr>
          <w:rFonts w:ascii="Arial" w:hAnsi="Arial" w:cs="Arial"/>
          <w:color w:val="000000"/>
          <w:sz w:val="22"/>
          <w:szCs w:val="22"/>
        </w:rPr>
        <w:t>ERC žadatel</w:t>
      </w:r>
      <w:r w:rsidR="00AE2AF9" w:rsidRPr="001C280C">
        <w:rPr>
          <w:rFonts w:ascii="Arial" w:hAnsi="Arial" w:cs="Arial"/>
          <w:color w:val="000000"/>
          <w:sz w:val="22"/>
          <w:szCs w:val="22"/>
        </w:rPr>
        <w:t>ů“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jsou</w:t>
      </w:r>
      <w:r w:rsidR="00B63928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D31E95" w:rsidRPr="001C280C">
        <w:rPr>
          <w:rFonts w:ascii="Arial" w:hAnsi="Arial" w:cs="Arial"/>
          <w:color w:val="000000"/>
          <w:sz w:val="22"/>
          <w:szCs w:val="22"/>
        </w:rPr>
        <w:t xml:space="preserve">náklady 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 xml:space="preserve">a </w:t>
      </w:r>
      <w:r w:rsidR="00D31E95" w:rsidRPr="001C280C">
        <w:rPr>
          <w:rFonts w:ascii="Arial" w:hAnsi="Arial" w:cs="Arial"/>
          <w:color w:val="000000"/>
          <w:sz w:val="22"/>
          <w:szCs w:val="22"/>
        </w:rPr>
        <w:t xml:space="preserve">výdaje 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 xml:space="preserve">řešitele grantového projektu </w:t>
      </w:r>
      <w:r w:rsidR="00023AD1" w:rsidRPr="001C280C">
        <w:rPr>
          <w:rFonts w:ascii="Arial" w:hAnsi="Arial" w:cs="Arial"/>
          <w:color w:val="000000"/>
          <w:sz w:val="22"/>
          <w:szCs w:val="22"/>
        </w:rPr>
        <w:t xml:space="preserve">podle §172 zákona 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 xml:space="preserve">č. </w:t>
      </w:r>
      <w:r w:rsidR="00023AD1" w:rsidRPr="001C280C">
        <w:rPr>
          <w:rFonts w:ascii="Arial" w:hAnsi="Arial" w:cs="Arial"/>
          <w:color w:val="000000"/>
          <w:sz w:val="22"/>
          <w:szCs w:val="22"/>
        </w:rPr>
        <w:t xml:space="preserve">262/2006 Sb., 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>z</w:t>
      </w:r>
      <w:r w:rsidR="00023AD1" w:rsidRPr="001C280C">
        <w:rPr>
          <w:rFonts w:ascii="Arial" w:hAnsi="Arial" w:cs="Arial"/>
          <w:color w:val="000000"/>
          <w:sz w:val="22"/>
          <w:szCs w:val="22"/>
        </w:rPr>
        <w:t xml:space="preserve">ákoník práce, 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 xml:space="preserve">v platném znění </w:t>
      </w:r>
      <w:r w:rsidR="003C6B49" w:rsidRPr="001C280C">
        <w:rPr>
          <w:rFonts w:ascii="Arial" w:hAnsi="Arial" w:cs="Arial"/>
          <w:sz w:val="22"/>
          <w:szCs w:val="22"/>
        </w:rPr>
        <w:t xml:space="preserve">a </w:t>
      </w:r>
      <w:r w:rsidR="00573278" w:rsidRPr="001C280C">
        <w:rPr>
          <w:rFonts w:ascii="Arial" w:hAnsi="Arial" w:cs="Arial"/>
          <w:sz w:val="22"/>
          <w:szCs w:val="22"/>
        </w:rPr>
        <w:t xml:space="preserve">na </w:t>
      </w:r>
      <w:r w:rsidR="003C6B49" w:rsidRPr="001C280C">
        <w:rPr>
          <w:rFonts w:ascii="Arial" w:hAnsi="Arial" w:cs="Arial"/>
          <w:sz w:val="22"/>
          <w:szCs w:val="22"/>
        </w:rPr>
        <w:t>zvýšen</w:t>
      </w:r>
      <w:r w:rsidR="00573278" w:rsidRPr="001C280C">
        <w:rPr>
          <w:rFonts w:ascii="Arial" w:hAnsi="Arial" w:cs="Arial"/>
          <w:sz w:val="22"/>
          <w:szCs w:val="22"/>
        </w:rPr>
        <w:t>í</w:t>
      </w:r>
      <w:r w:rsidR="003C6B49" w:rsidRPr="001C280C">
        <w:rPr>
          <w:rFonts w:ascii="Arial" w:hAnsi="Arial" w:cs="Arial"/>
          <w:sz w:val="22"/>
          <w:szCs w:val="22"/>
        </w:rPr>
        <w:t xml:space="preserve"> životních nákladů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 xml:space="preserve"> podle § 3 nařízení vlády </w:t>
      </w:r>
      <w:r w:rsidR="00400539" w:rsidRPr="001C280C">
        <w:rPr>
          <w:rFonts w:ascii="Arial" w:hAnsi="Arial" w:cs="Arial"/>
          <w:color w:val="000000"/>
          <w:sz w:val="22"/>
          <w:szCs w:val="22"/>
        </w:rPr>
        <w:t> </w:t>
      </w:r>
      <w:r w:rsidR="003C6B49" w:rsidRPr="001C280C">
        <w:rPr>
          <w:rFonts w:ascii="Arial" w:hAnsi="Arial" w:cs="Arial"/>
          <w:color w:val="000000"/>
          <w:sz w:val="22"/>
          <w:szCs w:val="22"/>
        </w:rPr>
        <w:t>č. 62/1994 Sb., v platném znění ve spojení s § 181 zákona č. 262/2006 Sb., zákoník práce, v platném znění.</w:t>
      </w:r>
      <w:r w:rsidR="00B63928" w:rsidRPr="001C280C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E700EF1" w14:textId="77777777" w:rsidR="00B63928" w:rsidRPr="001C280C" w:rsidRDefault="00B63928" w:rsidP="00B63928">
      <w:pPr>
        <w:autoSpaceDE w:val="0"/>
        <w:autoSpaceDN w:val="0"/>
        <w:adjustRightInd w:val="0"/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6BFA15EE" w14:textId="77777777" w:rsidR="001A687F" w:rsidRPr="001C280C" w:rsidRDefault="001A687F" w:rsidP="001A687F">
      <w:pPr>
        <w:keepNext/>
        <w:spacing w:after="60"/>
        <w:ind w:left="482" w:hanging="482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12.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Zaměření a cíle skupiny grantových projektů</w:t>
      </w:r>
    </w:p>
    <w:p w14:paraId="74283841" w14:textId="56D58E4C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Návrh skupiny grantových projektů 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vychází z výzvy Evropské výzkumné rady (ERC). Tato organizace je zaměřena na financování projektů základního výzkumu, které mají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ve všech vědních disciplínách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za cíl dosáhnout zásadních posunů v poznání. Ve spolupráci s organizacemi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>zajišťujícími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financování základního výzkumu v</w:t>
      </w:r>
      <w:r w:rsidR="00400539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národním měřítku také usiluje o </w:t>
      </w:r>
      <w:r w:rsidRPr="001C280C" w:rsidDel="009467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podporu výzkumného potenciálu napříč členskými zeměmi Evropské unie. </w:t>
      </w:r>
    </w:p>
    <w:p w14:paraId="46030BED" w14:textId="07A55759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Na počátku roku 2016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konstatovala </w:t>
      </w:r>
      <w:r w:rsidRPr="001C280C">
        <w:rPr>
          <w:rFonts w:ascii="Arial" w:hAnsi="Arial" w:cs="Arial"/>
          <w:color w:val="000000"/>
          <w:sz w:val="22"/>
          <w:szCs w:val="22"/>
        </w:rPr>
        <w:t>ERC ve své zprávě, že určité země Evropské unie vykazují významně nižší zastoupení vědců v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 soutěžích ERC</w:t>
      </w:r>
      <w:r w:rsidRPr="001C280C">
        <w:rPr>
          <w:rFonts w:ascii="Arial" w:hAnsi="Arial" w:cs="Arial"/>
          <w:color w:val="000000"/>
          <w:sz w:val="22"/>
          <w:szCs w:val="22"/>
        </w:rPr>
        <w:t>, což kromě jiného vede k</w:t>
      </w:r>
      <w:r w:rsidR="00E12076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tomu, že zůstává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nevyužit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jejich vědecko-výzkumný potenciál. ERC proto přímo vyzvala odpovědné národní agentury k založení programů studijních stáží, jejichž prostřednictvím by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byly financovány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návštěvy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budoucích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žadatelů o ERC granty u stáv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ajících řešitelů projektů ERC a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jejich týmů. Takovýto program má podle ERC pomoci vybraným kandidátům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zkvalitnit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jejich výzkumný profil a rozhled v konkurenčním prostředí mezinárodního výzkumu a</w:t>
      </w:r>
      <w:r w:rsidR="00E12076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v</w:t>
      </w:r>
      <w:r w:rsidR="00E12076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konečném důsledku jim pomoci v následných aktivitách směřujících k tomu, že se sami budou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úspěšně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ucházet o granty ERC. </w:t>
      </w:r>
    </w:p>
    <w:p w14:paraId="7DED55BD" w14:textId="33050ECD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lastRenderedPageBreak/>
        <w:t xml:space="preserve">GA ČR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je připravena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tomuto doporučení ERC vyjít vstříc prostřednictvím nové skupiny grantových projektů 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s 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cílem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zlepšit úspěšnost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mladých </w:t>
      </w:r>
      <w:r w:rsidRPr="001C280C">
        <w:rPr>
          <w:rFonts w:ascii="Arial" w:hAnsi="Arial" w:cs="Arial"/>
          <w:color w:val="000000"/>
          <w:sz w:val="22"/>
          <w:szCs w:val="22"/>
        </w:rPr>
        <w:t>českých vědců v soutěžích ERC a zvýšit počet jejich žádostí o granty v těchto soutěžích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 a jejich úspěšnost</w:t>
      </w:r>
      <w:r w:rsidRPr="001C280C">
        <w:rPr>
          <w:rFonts w:ascii="Arial" w:hAnsi="Arial" w:cs="Arial"/>
          <w:color w:val="000000"/>
          <w:sz w:val="22"/>
          <w:szCs w:val="22"/>
        </w:rPr>
        <w:t>. Navrhovaná skupina grantových projektů má napomoci v nabytí zkušeností pro získávání finančních prostředků ze struktur Evropské unie a také v dalším posílení excelence v základním výzkumu v ČR stejně jako konkurenceschopnosti země ve svém konečném důsledku. Vedlejším cílem je zvýšení další přeshraniční mobility českých vědců spojené s</w:t>
      </w:r>
      <w:r w:rsidR="00E12076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pobytem na špičkových vědeckých pracovištích, získávání kontaktů na etablované vědecké kapacity a jejich týmy, 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>zvýšení</w:t>
      </w:r>
      <w:r w:rsidR="00167A4A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kvality žádostí o ERC granty a zlepšení schopností samostatně vést takto financované projekty. </w:t>
      </w:r>
    </w:p>
    <w:p w14:paraId="14FF4147" w14:textId="10B614AB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GA ČR v souladu s výzvou ERC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oznámí ERC vznik nového programu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>“</w:t>
      </w:r>
      <w:r w:rsidR="000A5695" w:rsidRPr="001C280C">
        <w:rPr>
          <w:rFonts w:ascii="Arial" w:hAnsi="Arial" w:cs="Arial"/>
          <w:color w:val="000000"/>
          <w:sz w:val="22"/>
          <w:szCs w:val="22"/>
        </w:rPr>
        <w:t>.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>Rovněž v souladu s výzvou ERC pak od ERC očekává, že bude GA</w:t>
      </w:r>
      <w:r w:rsidR="00AB581B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>ČR pravidelně a průběžně poskytovat seznam nositelů ERC grantů, kteří potvrdili ochotu ujmout se role hostitelů</w:t>
      </w:r>
      <w:r w:rsidR="005F00F5" w:rsidRPr="001C280C">
        <w:rPr>
          <w:rFonts w:ascii="Arial" w:hAnsi="Arial" w:cs="Arial"/>
          <w:color w:val="000000"/>
          <w:sz w:val="22"/>
          <w:szCs w:val="22"/>
        </w:rPr>
        <w:t>. Podpora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5F00F5" w:rsidRPr="001C280C">
        <w:rPr>
          <w:rFonts w:ascii="Arial" w:hAnsi="Arial" w:cs="Arial"/>
          <w:color w:val="000000"/>
          <w:sz w:val="22"/>
          <w:szCs w:val="22"/>
        </w:rPr>
        <w:t xml:space="preserve">ERC žadatelů 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>b</w:t>
      </w:r>
      <w:r w:rsidRPr="001C280C">
        <w:rPr>
          <w:rFonts w:ascii="Arial" w:hAnsi="Arial" w:cs="Arial"/>
          <w:color w:val="000000"/>
          <w:sz w:val="22"/>
          <w:szCs w:val="22"/>
        </w:rPr>
        <w:t>ude otevřena vědcům ze všech vědních disciplín</w:t>
      </w:r>
      <w:r w:rsidR="000A5695" w:rsidRPr="001C280C">
        <w:rPr>
          <w:rFonts w:ascii="Arial" w:hAnsi="Arial" w:cs="Arial"/>
          <w:color w:val="000000"/>
          <w:sz w:val="22"/>
          <w:szCs w:val="22"/>
        </w:rPr>
        <w:t>.</w:t>
      </w:r>
      <w:r w:rsidR="00334CD5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0A5695" w:rsidRPr="001C280C">
        <w:rPr>
          <w:rFonts w:ascii="Arial" w:hAnsi="Arial" w:cs="Arial"/>
          <w:color w:val="000000"/>
          <w:sz w:val="22"/>
          <w:szCs w:val="22"/>
        </w:rPr>
        <w:t>B</w:t>
      </w:r>
      <w:r w:rsidRPr="001C280C">
        <w:rPr>
          <w:rFonts w:ascii="Arial" w:hAnsi="Arial" w:cs="Arial"/>
          <w:color w:val="000000"/>
          <w:sz w:val="22"/>
          <w:szCs w:val="22"/>
        </w:rPr>
        <w:t>ude založena na otevřeném a transparentním hodnocení, s vědeckou excelencí jako hlavním kritériem, s využitím externích hodnotitelů a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výběrem založeným na hodnocení potenciálu žadatelů pro udělení ERC grantu. Žadatelé budou mít 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 xml:space="preserve">za povinnost připravit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nástin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>návrhu zamýšleného ERC projektu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ještě před podáním grantového projektu 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>“.</w:t>
      </w:r>
    </w:p>
    <w:p w14:paraId="1F77FFF6" w14:textId="77777777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Granty ERC, na rozdíl od jiných projektů založených na mezinárodní spolupráci, podporují individuální hlavní řešitele a jejich výzkumné týmy. Při podávání žádosti o grant ERC je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přitom jediným kritériem hodnocení projektu vědecká excelence, a to nejenom návrhu projektu, ale i samotného řešitele. Od výzkumných pracovníků se v této soutěži očekává, že kromě předchozích výsledků v oboru předloží zcela nové fundamentální myšlenky, které 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 xml:space="preserve">nemají charakter pouhého pokračování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předchozího výzkumu. Jejich projekt musí mít vždy ambici výrazně ovlivnit daný obor, posunout stávající hranice znalostí a otevřít nové výzkumné perspektivy. </w:t>
      </w:r>
    </w:p>
    <w:p w14:paraId="59A33890" w14:textId="77777777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Skupina grantových projektů „Podpora ERC </w:t>
      </w:r>
      <w:r w:rsidR="002730E1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bude otevřena pro všechny vědní obory podle Statutu GA ČR: </w:t>
      </w:r>
    </w:p>
    <w:p w14:paraId="65BDCEFE" w14:textId="77777777" w:rsidR="00F02A07" w:rsidRPr="001C280C" w:rsidRDefault="00F02A07" w:rsidP="00F02A07">
      <w:pPr>
        <w:pStyle w:val="Odstavecseseznamem"/>
        <w:numPr>
          <w:ilvl w:val="0"/>
          <w:numId w:val="15"/>
        </w:numPr>
        <w:spacing w:after="100" w:afterAutospacing="1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technické vědy;</w:t>
      </w:r>
    </w:p>
    <w:p w14:paraId="3DBAC894" w14:textId="77777777" w:rsidR="00F02A07" w:rsidRPr="001C280C" w:rsidRDefault="00F02A07" w:rsidP="00F02A07">
      <w:pPr>
        <w:pStyle w:val="Odstavecseseznamem"/>
        <w:numPr>
          <w:ilvl w:val="0"/>
          <w:numId w:val="15"/>
        </w:numPr>
        <w:spacing w:after="100" w:afterAutospacing="1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vědy o neživé přírodě;</w:t>
      </w:r>
    </w:p>
    <w:p w14:paraId="41ADBB98" w14:textId="77777777" w:rsidR="00F02A07" w:rsidRPr="001C280C" w:rsidRDefault="00F02A07" w:rsidP="00F02A07">
      <w:pPr>
        <w:pStyle w:val="Odstavecseseznamem"/>
        <w:numPr>
          <w:ilvl w:val="0"/>
          <w:numId w:val="15"/>
        </w:numPr>
        <w:spacing w:after="100" w:afterAutospacing="1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lékařské a biologické vědy;</w:t>
      </w:r>
    </w:p>
    <w:p w14:paraId="41028A4A" w14:textId="77777777" w:rsidR="00F02A07" w:rsidRPr="001C280C" w:rsidRDefault="00F02A07" w:rsidP="00F02A07">
      <w:pPr>
        <w:pStyle w:val="Odstavecseseznamem"/>
        <w:numPr>
          <w:ilvl w:val="0"/>
          <w:numId w:val="15"/>
        </w:numPr>
        <w:spacing w:after="100" w:afterAutospacing="1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společenské a humanitní vědy;</w:t>
      </w:r>
    </w:p>
    <w:p w14:paraId="19800B15" w14:textId="77777777" w:rsidR="00F02A07" w:rsidRPr="001C280C" w:rsidRDefault="00F02A07" w:rsidP="00F02A07">
      <w:pPr>
        <w:numPr>
          <w:ilvl w:val="0"/>
          <w:numId w:val="15"/>
        </w:numPr>
        <w:spacing w:after="100" w:afterAutospacing="1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zemědělské a biologicko-environmentální vědy.</w:t>
      </w:r>
    </w:p>
    <w:p w14:paraId="6035E212" w14:textId="77777777" w:rsidR="00F02A07" w:rsidRPr="001C280C" w:rsidRDefault="00F02A07" w:rsidP="00F02A07">
      <w:pPr>
        <w:spacing w:after="60"/>
        <w:ind w:left="480" w:hanging="48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t>13.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Srovnání současného stavu v České republice a v zahraničí</w:t>
      </w:r>
    </w:p>
    <w:p w14:paraId="32EDCAC2" w14:textId="40F51420" w:rsidR="00184524" w:rsidRPr="001C280C" w:rsidRDefault="00F02A07" w:rsidP="00184524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Česká vědecká veřejnost se o ERC granty ucházela již od samého vzniku Evropské výzkumné rady. </w:t>
      </w:r>
      <w:r w:rsidRPr="001C280C">
        <w:rPr>
          <w:rFonts w:ascii="Arial" w:hAnsi="Arial" w:cs="Arial"/>
          <w:sz w:val="22"/>
          <w:szCs w:val="22"/>
        </w:rPr>
        <w:t xml:space="preserve">Z následujících grafů a tabulek uvedených v této kapitole je patrné, že Česká republika, ve srovnání s ostatními zeměmi, zaujímá jedno z posledních míst v počtu podávaných i financovaných ERC projektů. </w:t>
      </w:r>
      <w:r w:rsidR="00BE39C5" w:rsidRPr="001C280C">
        <w:rPr>
          <w:rFonts w:ascii="Arial" w:hAnsi="Arial" w:cs="Arial"/>
          <w:sz w:val="22"/>
          <w:szCs w:val="22"/>
        </w:rPr>
        <w:t xml:space="preserve">Údaje </w:t>
      </w:r>
      <w:r w:rsidR="00184524" w:rsidRPr="001C280C">
        <w:rPr>
          <w:rFonts w:ascii="Arial" w:hAnsi="Arial" w:cs="Arial"/>
          <w:sz w:val="22"/>
          <w:szCs w:val="22"/>
        </w:rPr>
        <w:t xml:space="preserve">v této kapitole </w:t>
      </w:r>
      <w:r w:rsidR="00BE39C5" w:rsidRPr="001C280C">
        <w:rPr>
          <w:rFonts w:ascii="Arial" w:hAnsi="Arial" w:cs="Arial"/>
          <w:sz w:val="22"/>
          <w:szCs w:val="22"/>
        </w:rPr>
        <w:t xml:space="preserve">vycházejí z dat zveřejněných </w:t>
      </w:r>
      <w:r w:rsidR="00184524" w:rsidRPr="001C280C">
        <w:rPr>
          <w:rFonts w:ascii="Arial" w:hAnsi="Arial" w:cs="Arial"/>
          <w:sz w:val="22"/>
          <w:szCs w:val="22"/>
        </w:rPr>
        <w:t>z ERC a Statistick</w:t>
      </w:r>
      <w:r w:rsidR="00BE39C5" w:rsidRPr="001C280C">
        <w:rPr>
          <w:rFonts w:ascii="Arial" w:hAnsi="Arial" w:cs="Arial"/>
          <w:sz w:val="22"/>
          <w:szCs w:val="22"/>
        </w:rPr>
        <w:t>ým</w:t>
      </w:r>
      <w:r w:rsidR="00184524" w:rsidRPr="001C280C">
        <w:rPr>
          <w:rFonts w:ascii="Arial" w:hAnsi="Arial" w:cs="Arial"/>
          <w:sz w:val="22"/>
          <w:szCs w:val="22"/>
        </w:rPr>
        <w:t xml:space="preserve"> úřad</w:t>
      </w:r>
      <w:r w:rsidR="00BE39C5" w:rsidRPr="001C280C">
        <w:rPr>
          <w:rFonts w:ascii="Arial" w:hAnsi="Arial" w:cs="Arial"/>
          <w:sz w:val="22"/>
          <w:szCs w:val="22"/>
        </w:rPr>
        <w:t>em</w:t>
      </w:r>
      <w:r w:rsidR="00184524" w:rsidRPr="001C280C">
        <w:rPr>
          <w:rFonts w:ascii="Arial" w:hAnsi="Arial" w:cs="Arial"/>
          <w:sz w:val="22"/>
          <w:szCs w:val="22"/>
        </w:rPr>
        <w:t xml:space="preserve"> Evropské unie (dále jen Eurostat)</w:t>
      </w:r>
      <w:r w:rsidR="0029039B" w:rsidRPr="001C280C">
        <w:rPr>
          <w:rFonts w:ascii="Arial" w:hAnsi="Arial" w:cs="Arial"/>
          <w:sz w:val="22"/>
          <w:szCs w:val="22"/>
        </w:rPr>
        <w:t xml:space="preserve"> </w:t>
      </w:r>
      <w:r w:rsidR="00184524" w:rsidRPr="001C280C">
        <w:rPr>
          <w:rFonts w:ascii="Arial" w:hAnsi="Arial" w:cs="Arial"/>
          <w:sz w:val="22"/>
          <w:szCs w:val="22"/>
        </w:rPr>
        <w:t xml:space="preserve">a </w:t>
      </w:r>
      <w:r w:rsidR="00BE39C5" w:rsidRPr="001C280C">
        <w:rPr>
          <w:rFonts w:ascii="Arial" w:hAnsi="Arial" w:cs="Arial"/>
          <w:sz w:val="22"/>
          <w:szCs w:val="22"/>
        </w:rPr>
        <w:t>jsou aktualizovány</w:t>
      </w:r>
      <w:r w:rsidR="00184524" w:rsidRPr="001C280C">
        <w:rPr>
          <w:rFonts w:ascii="Arial" w:hAnsi="Arial" w:cs="Arial"/>
          <w:sz w:val="22"/>
          <w:szCs w:val="22"/>
        </w:rPr>
        <w:t xml:space="preserve"> k 9. únoru 2016.</w:t>
      </w:r>
    </w:p>
    <w:p w14:paraId="0E2EA449" w14:textId="77777777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9C8971E" w14:textId="6B4191EA" w:rsidR="00184524" w:rsidRPr="001C280C" w:rsidRDefault="00184524" w:rsidP="00462418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Graf č. 1: Počty podaných ERC projektů - Starting Grants v letech 2007 až 2015</w:t>
      </w:r>
      <w:r w:rsidR="00BE39C5" w:rsidRPr="001C280C">
        <w:rPr>
          <w:rStyle w:val="Znakapoznpodarou"/>
          <w:rFonts w:ascii="Arial" w:hAnsi="Arial" w:cs="Arial"/>
          <w:color w:val="000000"/>
          <w:sz w:val="22"/>
          <w:szCs w:val="22"/>
        </w:rPr>
        <w:footnoteReference w:id="2"/>
      </w:r>
    </w:p>
    <w:p w14:paraId="4F5A5887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4CE14806" wp14:editId="58A52F9E">
            <wp:extent cx="5400000" cy="345079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030BD5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t>Zdroj: ERC</w:t>
      </w:r>
    </w:p>
    <w:p w14:paraId="608E13A9" w14:textId="77777777" w:rsidR="00BE39C5" w:rsidRPr="001C280C" w:rsidRDefault="00BE39C5" w:rsidP="00184524">
      <w:pPr>
        <w:rPr>
          <w:rFonts w:ascii="Arial" w:hAnsi="Arial" w:cs="Arial"/>
          <w:color w:val="000000"/>
        </w:rPr>
      </w:pPr>
    </w:p>
    <w:p w14:paraId="7866A92C" w14:textId="459521F2" w:rsidR="00184524" w:rsidRPr="001C280C" w:rsidRDefault="00184524" w:rsidP="00462418">
      <w:pPr>
        <w:spacing w:before="160" w:after="120"/>
        <w:rPr>
          <w:rFonts w:ascii="Arial" w:hAnsi="Arial" w:cs="Arial"/>
          <w:noProof/>
        </w:rPr>
      </w:pPr>
      <w:r w:rsidRPr="001C280C">
        <w:rPr>
          <w:rFonts w:ascii="Arial" w:hAnsi="Arial" w:cs="Arial"/>
          <w:color w:val="000000"/>
        </w:rPr>
        <w:t>Graf č. 2: Počty podaných ERC projektů – Starting Grants podle oborů</w:t>
      </w:r>
    </w:p>
    <w:p w14:paraId="1574FA0B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noProof/>
          <w:color w:val="000000"/>
        </w:rPr>
        <w:drawing>
          <wp:inline distT="0" distB="0" distL="0" distR="0" wp14:anchorId="619E4D97" wp14:editId="16FF7090">
            <wp:extent cx="5400000" cy="3450792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A9319E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t>Zdroj: ERC</w:t>
      </w:r>
    </w:p>
    <w:p w14:paraId="4CB0BF52" w14:textId="5D463E77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Od roku 2007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podali ve výzvě </w:t>
      </w:r>
      <w:r w:rsidR="00C35FB2" w:rsidRPr="001C280C">
        <w:rPr>
          <w:rFonts w:ascii="Arial" w:hAnsi="Arial" w:cs="Arial"/>
          <w:b/>
          <w:color w:val="000000"/>
          <w:sz w:val="22"/>
          <w:szCs w:val="22"/>
        </w:rPr>
        <w:t>Starting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C35FB2" w:rsidRPr="001C280C">
        <w:rPr>
          <w:rFonts w:ascii="Arial" w:hAnsi="Arial" w:cs="Arial"/>
          <w:b/>
          <w:color w:val="000000"/>
          <w:sz w:val="22"/>
          <w:szCs w:val="22"/>
        </w:rPr>
        <w:t>Grants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 vědci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>z České republiky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283 návrhů projektů do</w:t>
      </w:r>
      <w:r w:rsidRPr="001C280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ERC, z toho 39 v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e 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>společenských</w:t>
      </w:r>
      <w:r w:rsidRPr="001C280C">
        <w:rPr>
          <w:rFonts w:ascii="Arial" w:hAnsi="Arial" w:cs="Arial"/>
          <w:color w:val="000000"/>
          <w:sz w:val="22"/>
          <w:szCs w:val="22"/>
        </w:rPr>
        <w:t>  a humanitních vědách, 99</w:t>
      </w:r>
      <w:r w:rsidR="00462418" w:rsidRPr="001C280C">
        <w:rPr>
          <w:rFonts w:ascii="Arial" w:hAnsi="Arial" w:cs="Arial"/>
          <w:color w:val="000000"/>
          <w:sz w:val="22"/>
          <w:szCs w:val="22"/>
        </w:rPr>
        <w:t xml:space="preserve"> v oblasti věd o živé přírodě a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145 v oblasti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věd o </w:t>
      </w:r>
      <w:r w:rsidRPr="001C280C">
        <w:rPr>
          <w:rFonts w:ascii="Arial" w:hAnsi="Arial" w:cs="Arial"/>
          <w:color w:val="000000"/>
          <w:sz w:val="22"/>
          <w:szCs w:val="22"/>
        </w:rPr>
        <w:t>neživ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é přírodě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a 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v oblasti technických věd</w:t>
      </w:r>
      <w:r w:rsidRPr="001C280C">
        <w:rPr>
          <w:rFonts w:ascii="Arial" w:hAnsi="Arial" w:cs="Arial"/>
          <w:color w:val="000000"/>
          <w:sz w:val="22"/>
          <w:szCs w:val="22"/>
        </w:rPr>
        <w:t>. V rámci států EU pat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ří Česká republika mezi státy s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nejnižším počtem návrhů projektů. Rakousko předkládá více než dvojnásobek 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návrhů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projektů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v porovnání s Českou republikou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– konkrétně 129 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návrhů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v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e 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>společenských</w:t>
      </w:r>
      <w:r w:rsidR="00BE39C5" w:rsidRPr="001C280C">
        <w:rPr>
          <w:rFonts w:ascii="Arial" w:hAnsi="Arial" w:cs="Arial"/>
          <w:color w:val="000000"/>
          <w:sz w:val="22"/>
          <w:szCs w:val="22"/>
        </w:rPr>
        <w:t>  a </w:t>
      </w:r>
      <w:r w:rsidRPr="001C280C">
        <w:rPr>
          <w:rFonts w:ascii="Arial" w:hAnsi="Arial" w:cs="Arial"/>
          <w:color w:val="000000"/>
          <w:sz w:val="22"/>
          <w:szCs w:val="22"/>
        </w:rPr>
        <w:t>humanitních vědách, 205 v</w:t>
      </w:r>
      <w:r w:rsidR="007F0D10" w:rsidRPr="001C280C">
        <w:rPr>
          <w:rFonts w:ascii="Arial" w:hAnsi="Arial" w:cs="Arial"/>
          <w:color w:val="000000"/>
          <w:sz w:val="22"/>
          <w:szCs w:val="22"/>
        </w:rPr>
        <w:t>e vědách o živé přírodě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 xml:space="preserve">  a 330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lastRenderedPageBreak/>
        <w:t>ve </w:t>
      </w:r>
      <w:r w:rsidR="00462418" w:rsidRPr="001C280C">
        <w:rPr>
          <w:rFonts w:ascii="Arial" w:hAnsi="Arial" w:cs="Arial"/>
          <w:color w:val="000000"/>
          <w:sz w:val="22"/>
          <w:szCs w:val="22"/>
        </w:rPr>
        <w:t>vědách o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neživé přírodě a </w:t>
      </w:r>
      <w:r w:rsidR="002A5019" w:rsidRPr="001C280C">
        <w:rPr>
          <w:rFonts w:ascii="Arial" w:hAnsi="Arial" w:cs="Arial"/>
          <w:color w:val="000000"/>
          <w:sz w:val="22"/>
          <w:szCs w:val="22"/>
        </w:rPr>
        <w:t>technických vědách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. Počet českých návrhů projektů je výrazně nižší </w:t>
      </w:r>
      <w:r w:rsidR="00C35FB2" w:rsidRPr="001C280C">
        <w:rPr>
          <w:rFonts w:ascii="Arial" w:hAnsi="Arial" w:cs="Arial"/>
          <w:color w:val="000000"/>
          <w:sz w:val="22"/>
          <w:szCs w:val="22"/>
        </w:rPr>
        <w:t xml:space="preserve">i v porovnání </w:t>
      </w:r>
      <w:r w:rsidRPr="001C280C">
        <w:rPr>
          <w:rFonts w:ascii="Arial" w:hAnsi="Arial" w:cs="Arial"/>
          <w:color w:val="000000"/>
          <w:sz w:val="22"/>
          <w:szCs w:val="22"/>
        </w:rPr>
        <w:t>s dalšími EU státy, jako jsou například Maďarsko či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Nizozemsko, které se s celkovým počtem 2 102 návrhů projektů řadí na šesté místo.</w:t>
      </w:r>
    </w:p>
    <w:p w14:paraId="33A88761" w14:textId="77777777" w:rsidR="00F02A07" w:rsidRPr="009D6A33" w:rsidRDefault="00F02A07" w:rsidP="00F02A07">
      <w:pPr>
        <w:rPr>
          <w:rFonts w:ascii="Arial" w:hAnsi="Arial" w:cs="Arial"/>
          <w:color w:val="000000"/>
        </w:rPr>
      </w:pPr>
    </w:p>
    <w:p w14:paraId="502D32E5" w14:textId="77777777" w:rsidR="00184524" w:rsidRPr="009D6A33" w:rsidRDefault="00184524" w:rsidP="00462418">
      <w:pPr>
        <w:spacing w:after="120"/>
        <w:rPr>
          <w:rFonts w:ascii="Arial" w:hAnsi="Arial" w:cs="Arial"/>
          <w:color w:val="000000"/>
        </w:rPr>
      </w:pPr>
      <w:r w:rsidRPr="009D6A33">
        <w:rPr>
          <w:rFonts w:ascii="Arial" w:hAnsi="Arial" w:cs="Arial"/>
          <w:color w:val="000000"/>
        </w:rPr>
        <w:t>Graf č. 3: Počty udělených ERC grantů – Starting Grants v letech 2007 až 2015</w:t>
      </w:r>
    </w:p>
    <w:p w14:paraId="71065195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noProof/>
          <w:color w:val="000000"/>
        </w:rPr>
        <w:drawing>
          <wp:inline distT="0" distB="0" distL="0" distR="0" wp14:anchorId="62E18CAC" wp14:editId="5BCC14D7">
            <wp:extent cx="5400000" cy="345079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74AB88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t>Zdroj: ERC</w:t>
      </w:r>
    </w:p>
    <w:p w14:paraId="08E53130" w14:textId="77777777" w:rsidR="00184524" w:rsidRPr="001C280C" w:rsidRDefault="00184524" w:rsidP="00184524">
      <w:pPr>
        <w:rPr>
          <w:rFonts w:ascii="Arial" w:hAnsi="Arial" w:cs="Arial"/>
          <w:b/>
          <w:color w:val="000000"/>
        </w:rPr>
      </w:pPr>
    </w:p>
    <w:p w14:paraId="5B9CBB6E" w14:textId="77777777" w:rsidR="00184524" w:rsidRPr="001C280C" w:rsidRDefault="00184524" w:rsidP="00184524">
      <w:pPr>
        <w:rPr>
          <w:rFonts w:ascii="Arial" w:hAnsi="Arial" w:cs="Arial"/>
          <w:b/>
          <w:color w:val="000000"/>
        </w:rPr>
      </w:pPr>
    </w:p>
    <w:p w14:paraId="57A838F8" w14:textId="77777777" w:rsidR="00BE39C5" w:rsidRPr="001C280C" w:rsidRDefault="00BE39C5">
      <w:pPr>
        <w:spacing w:after="200" w:line="276" w:lineRule="auto"/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br w:type="page"/>
      </w:r>
    </w:p>
    <w:p w14:paraId="26CF3F42" w14:textId="26485A24" w:rsidR="00184524" w:rsidRPr="001C280C" w:rsidRDefault="00184524" w:rsidP="00462418">
      <w:pPr>
        <w:spacing w:after="120"/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lastRenderedPageBreak/>
        <w:t>Graf č. 4: Počty udělených ERC grantů – Starting Grants podle oborů</w:t>
      </w:r>
    </w:p>
    <w:p w14:paraId="77BA87B6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noProof/>
          <w:color w:val="000000"/>
        </w:rPr>
        <w:drawing>
          <wp:inline distT="0" distB="0" distL="0" distR="0" wp14:anchorId="52D2459A" wp14:editId="3269F77E">
            <wp:extent cx="5400000" cy="3450791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F54EEC" w14:textId="77777777" w:rsidR="00184524" w:rsidRPr="001C280C" w:rsidRDefault="00184524" w:rsidP="00184524">
      <w:pPr>
        <w:rPr>
          <w:rFonts w:ascii="Arial" w:hAnsi="Arial" w:cs="Arial"/>
          <w:color w:val="000000"/>
        </w:rPr>
      </w:pPr>
      <w:r w:rsidRPr="001C280C">
        <w:rPr>
          <w:rFonts w:ascii="Arial" w:hAnsi="Arial" w:cs="Arial"/>
          <w:color w:val="000000"/>
        </w:rPr>
        <w:t>Zdroj: ERC</w:t>
      </w:r>
    </w:p>
    <w:p w14:paraId="7845FA8D" w14:textId="77777777" w:rsidR="00F02A07" w:rsidRPr="001C280C" w:rsidRDefault="00F02A07" w:rsidP="00F02A07">
      <w:pPr>
        <w:rPr>
          <w:rFonts w:ascii="Arial" w:hAnsi="Arial" w:cs="Arial"/>
          <w:color w:val="000000"/>
        </w:rPr>
      </w:pPr>
    </w:p>
    <w:p w14:paraId="2FA9FE24" w14:textId="4A67C260" w:rsidR="00F02A07" w:rsidRPr="001C280C" w:rsidRDefault="00F02A07" w:rsidP="00F02A07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Za sledované období získala Česká republika celkem 9 grantů</w:t>
      </w:r>
      <w:r w:rsidR="007F0D10" w:rsidRPr="001C280C">
        <w:rPr>
          <w:rFonts w:ascii="Arial" w:hAnsi="Arial" w:cs="Arial"/>
          <w:sz w:val="22"/>
          <w:szCs w:val="22"/>
        </w:rPr>
        <w:t xml:space="preserve"> </w:t>
      </w:r>
      <w:r w:rsidR="005119F7" w:rsidRPr="001C280C">
        <w:rPr>
          <w:rFonts w:ascii="Arial" w:hAnsi="Arial" w:cs="Arial"/>
          <w:sz w:val="22"/>
          <w:szCs w:val="22"/>
        </w:rPr>
        <w:t xml:space="preserve">v kategorii Starting Grants </w:t>
      </w:r>
      <w:r w:rsidR="007F0D10" w:rsidRPr="001C280C">
        <w:rPr>
          <w:rFonts w:ascii="Arial" w:hAnsi="Arial" w:cs="Arial"/>
          <w:sz w:val="22"/>
          <w:szCs w:val="22"/>
        </w:rPr>
        <w:t>z celkového počtu 283 návrhů</w:t>
      </w:r>
      <w:r w:rsidRPr="001C280C">
        <w:rPr>
          <w:rFonts w:ascii="Arial" w:hAnsi="Arial" w:cs="Arial"/>
          <w:sz w:val="22"/>
          <w:szCs w:val="22"/>
        </w:rPr>
        <w:t xml:space="preserve"> (2 z oblasti věd o živé přírodě,  2  z  oblasti </w:t>
      </w:r>
      <w:r w:rsidR="007F0D10" w:rsidRPr="001C280C">
        <w:rPr>
          <w:rFonts w:ascii="Arial" w:hAnsi="Arial" w:cs="Arial"/>
          <w:sz w:val="22"/>
          <w:szCs w:val="22"/>
        </w:rPr>
        <w:t xml:space="preserve">společenských </w:t>
      </w:r>
      <w:r w:rsidR="005119F7" w:rsidRPr="001C280C">
        <w:rPr>
          <w:rFonts w:ascii="Arial" w:hAnsi="Arial" w:cs="Arial"/>
          <w:sz w:val="22"/>
          <w:szCs w:val="22"/>
        </w:rPr>
        <w:t>a </w:t>
      </w:r>
      <w:r w:rsidRPr="001C280C">
        <w:rPr>
          <w:rFonts w:ascii="Arial" w:hAnsi="Arial" w:cs="Arial"/>
          <w:sz w:val="22"/>
          <w:szCs w:val="22"/>
        </w:rPr>
        <w:t>humanitních a 5 z oblasti věd o neživé přírodě a</w:t>
      </w:r>
      <w:r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 w:rsidDel="002C24EB">
        <w:rPr>
          <w:rFonts w:ascii="Arial" w:hAnsi="Arial" w:cs="Arial"/>
          <w:sz w:val="22"/>
          <w:szCs w:val="22"/>
        </w:rPr>
        <w:t xml:space="preserve"> </w:t>
      </w:r>
      <w:r w:rsidR="002A5019" w:rsidRPr="001C280C">
        <w:rPr>
          <w:rFonts w:ascii="Arial" w:hAnsi="Arial" w:cs="Arial"/>
          <w:sz w:val="22"/>
          <w:szCs w:val="22"/>
        </w:rPr>
        <w:t>oblasti technických věd</w:t>
      </w:r>
      <w:r w:rsidRPr="001C280C">
        <w:rPr>
          <w:rFonts w:ascii="Arial" w:hAnsi="Arial" w:cs="Arial"/>
          <w:sz w:val="22"/>
          <w:szCs w:val="22"/>
        </w:rPr>
        <w:t>), což p</w:t>
      </w:r>
      <w:r w:rsidR="005119F7" w:rsidRPr="001C280C">
        <w:rPr>
          <w:rFonts w:ascii="Arial" w:hAnsi="Arial" w:cs="Arial"/>
          <w:sz w:val="22"/>
          <w:szCs w:val="22"/>
        </w:rPr>
        <w:t>ředstavuje úspěšnost 3,2</w:t>
      </w:r>
      <w:r w:rsidRPr="001C280C">
        <w:rPr>
          <w:rFonts w:ascii="Arial" w:hAnsi="Arial" w:cs="Arial"/>
          <w:sz w:val="22"/>
          <w:szCs w:val="22"/>
        </w:rPr>
        <w:t xml:space="preserve"> %. Pro další </w:t>
      </w:r>
      <w:r w:rsidR="007F0D10" w:rsidRPr="001C280C">
        <w:rPr>
          <w:rFonts w:ascii="Arial" w:hAnsi="Arial" w:cs="Arial"/>
          <w:sz w:val="22"/>
          <w:szCs w:val="22"/>
        </w:rPr>
        <w:t xml:space="preserve">srovnání </w:t>
      </w:r>
      <w:r w:rsidRPr="001C280C">
        <w:rPr>
          <w:rFonts w:ascii="Arial" w:hAnsi="Arial" w:cs="Arial"/>
          <w:sz w:val="22"/>
          <w:szCs w:val="22"/>
        </w:rPr>
        <w:t>bylo vybráno 5</w:t>
      </w:r>
      <w:r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 w:rsidDel="002C24EB">
        <w:rPr>
          <w:rFonts w:ascii="Arial" w:hAnsi="Arial" w:cs="Arial"/>
          <w:sz w:val="22"/>
          <w:szCs w:val="22"/>
        </w:rPr>
        <w:t xml:space="preserve"> </w:t>
      </w:r>
      <w:r w:rsidRPr="001C280C">
        <w:rPr>
          <w:rFonts w:ascii="Arial" w:hAnsi="Arial" w:cs="Arial"/>
          <w:sz w:val="22"/>
          <w:szCs w:val="22"/>
        </w:rPr>
        <w:t xml:space="preserve">států Evropské unie, které jsou počtem obyvatelstva srovnatelné s Českou republikou. Konkrétně se jedná o Nizozemsko, Belgii, Rakousko, Portugalsko a Maďarsko. </w:t>
      </w:r>
      <w:r w:rsidR="00C35FB2" w:rsidRPr="001C280C">
        <w:rPr>
          <w:rFonts w:ascii="Arial" w:hAnsi="Arial" w:cs="Arial"/>
          <w:sz w:val="22"/>
          <w:szCs w:val="22"/>
        </w:rPr>
        <w:t xml:space="preserve">Např. </w:t>
      </w:r>
      <w:r w:rsidRPr="001C280C">
        <w:rPr>
          <w:rFonts w:ascii="Arial" w:hAnsi="Arial" w:cs="Arial"/>
          <w:sz w:val="22"/>
          <w:szCs w:val="22"/>
        </w:rPr>
        <w:t>Belgie a Nizozemsko</w:t>
      </w:r>
      <w:r w:rsidR="005119F7" w:rsidRPr="001C280C">
        <w:rPr>
          <w:rFonts w:ascii="Arial" w:hAnsi="Arial" w:cs="Arial"/>
          <w:sz w:val="22"/>
          <w:szCs w:val="22"/>
        </w:rPr>
        <w:t xml:space="preserve"> </w:t>
      </w:r>
      <w:r w:rsidRPr="001C280C">
        <w:rPr>
          <w:rFonts w:ascii="Arial" w:hAnsi="Arial" w:cs="Arial"/>
          <w:sz w:val="22"/>
          <w:szCs w:val="22"/>
        </w:rPr>
        <w:t>byly v získávání ERC grantů</w:t>
      </w:r>
      <w:r w:rsidR="007F0D10" w:rsidRPr="001C280C">
        <w:rPr>
          <w:rFonts w:ascii="Arial" w:hAnsi="Arial" w:cs="Arial"/>
          <w:sz w:val="22"/>
          <w:szCs w:val="22"/>
        </w:rPr>
        <w:t xml:space="preserve"> mnohem úspěšnější</w:t>
      </w:r>
      <w:r w:rsidRPr="001C280C">
        <w:rPr>
          <w:rFonts w:ascii="Arial" w:hAnsi="Arial" w:cs="Arial"/>
          <w:sz w:val="22"/>
          <w:szCs w:val="22"/>
        </w:rPr>
        <w:t>. Konkrétně Belgie získala 117 a Nizozemsko dokonce 264 ERC grantů. Mezi nejlépe hodnocené patřilo Rakousko s 86 získanými granty</w:t>
      </w:r>
      <w:r w:rsidR="007F0D10" w:rsidRPr="001C280C">
        <w:rPr>
          <w:rFonts w:ascii="Arial" w:hAnsi="Arial" w:cs="Arial"/>
          <w:sz w:val="22"/>
          <w:szCs w:val="22"/>
        </w:rPr>
        <w:t xml:space="preserve"> z celkového počtu 664</w:t>
      </w:r>
      <w:r w:rsidR="00E12076" w:rsidRPr="001C280C">
        <w:rPr>
          <w:rFonts w:ascii="Arial" w:hAnsi="Arial" w:cs="Arial"/>
          <w:sz w:val="22"/>
          <w:szCs w:val="22"/>
        </w:rPr>
        <w:t> </w:t>
      </w:r>
      <w:r w:rsidR="007F0D10" w:rsidRPr="001C280C">
        <w:rPr>
          <w:rFonts w:ascii="Arial" w:hAnsi="Arial" w:cs="Arial"/>
          <w:sz w:val="22"/>
          <w:szCs w:val="22"/>
        </w:rPr>
        <w:t xml:space="preserve"> návrhů</w:t>
      </w:r>
      <w:r w:rsidR="00B61396" w:rsidRPr="001C280C">
        <w:rPr>
          <w:rFonts w:ascii="Arial" w:hAnsi="Arial" w:cs="Arial"/>
          <w:sz w:val="22"/>
          <w:szCs w:val="22"/>
        </w:rPr>
        <w:t>, což představuje úspěšnost 13,0 %.</w:t>
      </w:r>
      <w:r w:rsidRPr="001C280C">
        <w:rPr>
          <w:rFonts w:ascii="Arial" w:hAnsi="Arial" w:cs="Arial"/>
          <w:sz w:val="22"/>
          <w:szCs w:val="22"/>
        </w:rPr>
        <w:t xml:space="preserve">  </w:t>
      </w:r>
      <w:r w:rsidR="00D654FD" w:rsidRPr="001C280C">
        <w:rPr>
          <w:rFonts w:ascii="Arial" w:hAnsi="Arial" w:cs="Arial"/>
          <w:sz w:val="22"/>
          <w:szCs w:val="22"/>
        </w:rPr>
        <w:t xml:space="preserve">Z  tabulky č. 1 je patrné, že </w:t>
      </w:r>
      <w:r w:rsidRPr="001C280C">
        <w:rPr>
          <w:rFonts w:ascii="Arial" w:hAnsi="Arial" w:cs="Arial"/>
          <w:sz w:val="22"/>
          <w:szCs w:val="22"/>
        </w:rPr>
        <w:t>sousední Maďarsko, které patří mezi postkomunistické země, získalo více než dvojnásobný počet ERC grantů v porovnání s</w:t>
      </w:r>
      <w:r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 w:rsidDel="002C24EB">
        <w:rPr>
          <w:rFonts w:ascii="Arial" w:hAnsi="Arial" w:cs="Arial"/>
          <w:sz w:val="22"/>
          <w:szCs w:val="22"/>
        </w:rPr>
        <w:t xml:space="preserve"> </w:t>
      </w:r>
      <w:r w:rsidRPr="001C280C">
        <w:rPr>
          <w:rFonts w:ascii="Arial" w:hAnsi="Arial" w:cs="Arial"/>
          <w:sz w:val="22"/>
          <w:szCs w:val="22"/>
        </w:rPr>
        <w:t>Českou republikou.</w:t>
      </w:r>
    </w:p>
    <w:p w14:paraId="27877BED" w14:textId="77777777" w:rsidR="00F02A07" w:rsidRPr="009D6A33" w:rsidRDefault="00F02A07" w:rsidP="00F02A07">
      <w:pPr>
        <w:ind w:firstLine="284"/>
        <w:jc w:val="both"/>
        <w:rPr>
          <w:rFonts w:ascii="Arial" w:hAnsi="Arial" w:cs="Arial"/>
        </w:rPr>
      </w:pPr>
    </w:p>
    <w:p w14:paraId="13AA0C91" w14:textId="35DA4755" w:rsidR="00F02A07" w:rsidRPr="009D6A33" w:rsidRDefault="00F02A07" w:rsidP="00462418">
      <w:pPr>
        <w:spacing w:after="120"/>
        <w:rPr>
          <w:rFonts w:ascii="Arial" w:hAnsi="Arial" w:cs="Arial"/>
          <w:color w:val="000000"/>
        </w:rPr>
      </w:pPr>
      <w:r w:rsidRPr="009D6A33">
        <w:rPr>
          <w:rFonts w:ascii="Arial" w:hAnsi="Arial" w:cs="Arial"/>
          <w:color w:val="000000"/>
        </w:rPr>
        <w:t xml:space="preserve">Tabulka </w:t>
      </w:r>
      <w:r w:rsidR="00E15DAE" w:rsidRPr="009D6A33">
        <w:rPr>
          <w:rFonts w:ascii="Arial" w:hAnsi="Arial" w:cs="Arial"/>
          <w:color w:val="000000"/>
        </w:rPr>
        <w:t>č. 1: Počty udělených ERC grantů – Starting Grants</w:t>
      </w:r>
    </w:p>
    <w:tbl>
      <w:tblPr>
        <w:tblW w:w="908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1"/>
        <w:gridCol w:w="747"/>
        <w:gridCol w:w="747"/>
        <w:gridCol w:w="747"/>
        <w:gridCol w:w="747"/>
        <w:gridCol w:w="747"/>
        <w:gridCol w:w="747"/>
        <w:gridCol w:w="747"/>
        <w:gridCol w:w="747"/>
        <w:gridCol w:w="1156"/>
      </w:tblGrid>
      <w:tr w:rsidR="00F02A07" w:rsidRPr="009D6A33" w14:paraId="2E3D433D" w14:textId="77777777" w:rsidTr="002730E1">
        <w:trPr>
          <w:trHeight w:val="30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C581" w14:textId="77777777" w:rsidR="00F02A07" w:rsidRPr="009D6A33" w:rsidRDefault="00F02A07" w:rsidP="00F02A07">
            <w:pPr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Země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D3DD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2007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6B4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2009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39CB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EC33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36FE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9FA4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2999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B650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EBD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celkem</w:t>
            </w:r>
          </w:p>
        </w:tc>
      </w:tr>
      <w:tr w:rsidR="00F02A07" w:rsidRPr="009D6A33" w14:paraId="2D14DAB4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5479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Nizozemsko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9394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64B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930E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3A01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1D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EB8A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AEDA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B0FF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F6C6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264</w:t>
            </w:r>
          </w:p>
        </w:tc>
      </w:tr>
      <w:tr w:rsidR="00F02A07" w:rsidRPr="009D6A33" w14:paraId="3097BE9D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FDE4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Belgie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C6C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ADE9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B9E3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DED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438A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BFA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3E2F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8D1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29C8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117</w:t>
            </w:r>
          </w:p>
        </w:tc>
      </w:tr>
      <w:tr w:rsidR="00F02A07" w:rsidRPr="009D6A33" w14:paraId="7315C2D8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6886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Rakousko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EAE33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CC58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226F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EDB2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7252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978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9A1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36DB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2283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86</w:t>
            </w:r>
          </w:p>
        </w:tc>
      </w:tr>
      <w:tr w:rsidR="00F02A07" w:rsidRPr="009D6A33" w14:paraId="2D22C51A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CEB5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Portugalsko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C181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643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FFC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2373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C86D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A250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B10E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365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4952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F02A07" w:rsidRPr="009D6A33" w14:paraId="49A1B1E6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4905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Maďarsko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FEBD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5BC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715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B582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02F5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75CD4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F31A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0E3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B97B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22</w:t>
            </w:r>
          </w:p>
        </w:tc>
      </w:tr>
      <w:tr w:rsidR="00F02A07" w:rsidRPr="009D6A33" w14:paraId="12DBE473" w14:textId="77777777" w:rsidTr="002730E1">
        <w:trPr>
          <w:trHeight w:val="303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B32951A" w14:textId="77777777" w:rsidR="00F02A07" w:rsidRPr="009D6A33" w:rsidRDefault="00F02A07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Česká republika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E8EEA66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0BC330B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A31626E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99F067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33A85C1C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5CE27CF4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7E09439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DA34B02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7C81991D" w14:textId="77777777" w:rsidR="00F02A07" w:rsidRPr="009D6A33" w:rsidRDefault="00F02A07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9</w:t>
            </w:r>
          </w:p>
        </w:tc>
      </w:tr>
    </w:tbl>
    <w:p w14:paraId="18D7CD72" w14:textId="75EBF0CA" w:rsidR="00F02A07" w:rsidRPr="009D6A33" w:rsidRDefault="00F02A07" w:rsidP="00F02A07">
      <w:pPr>
        <w:rPr>
          <w:rFonts w:ascii="Arial" w:hAnsi="Arial" w:cs="Arial"/>
          <w:color w:val="000000"/>
        </w:rPr>
      </w:pPr>
      <w:r w:rsidRPr="009D6A33">
        <w:rPr>
          <w:rFonts w:ascii="Arial" w:hAnsi="Arial" w:cs="Arial"/>
          <w:color w:val="000000"/>
        </w:rPr>
        <w:t xml:space="preserve">Zdroj: </w:t>
      </w:r>
      <w:r w:rsidR="00E15DAE" w:rsidRPr="009D6A33">
        <w:rPr>
          <w:rFonts w:ascii="Arial" w:hAnsi="Arial" w:cs="Arial"/>
          <w:color w:val="000000"/>
        </w:rPr>
        <w:t>Eurostat</w:t>
      </w:r>
    </w:p>
    <w:p w14:paraId="29F154B3" w14:textId="77777777" w:rsidR="00F02A07" w:rsidRPr="009D6A33" w:rsidRDefault="00F02A07" w:rsidP="00F02A07">
      <w:pPr>
        <w:rPr>
          <w:rFonts w:ascii="Arial" w:hAnsi="Arial" w:cs="Arial"/>
          <w:color w:val="000000"/>
        </w:rPr>
      </w:pPr>
    </w:p>
    <w:p w14:paraId="2A4B190A" w14:textId="0998AE2D" w:rsidR="00F02A07" w:rsidRPr="001C280C" w:rsidRDefault="00F02A07" w:rsidP="00F02A07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Ze všech níže uvedených tabulek vyplývá, že se Česká republika řadí mezi vybranými zeměmi na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poslední místo  v  úspěšnosti získávání ERC grantů a podobně je tomu také při přepočtu na 100 000 obyvatel. Z níže uvedené tabulky vyplývá, že 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 xml:space="preserve">např.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Portugalsko bylo třikrát úspěšnější než Česká republika. </w:t>
      </w:r>
    </w:p>
    <w:p w14:paraId="7E00FF74" w14:textId="245FC5BB" w:rsidR="00F02A07" w:rsidRPr="009D6A33" w:rsidRDefault="00413A24" w:rsidP="00462418">
      <w:pPr>
        <w:spacing w:after="120"/>
        <w:rPr>
          <w:rFonts w:ascii="Arial" w:hAnsi="Arial" w:cs="Arial"/>
          <w:color w:val="000000"/>
        </w:rPr>
      </w:pPr>
      <w:r w:rsidRPr="009D6A33">
        <w:rPr>
          <w:rFonts w:ascii="Arial" w:hAnsi="Arial" w:cs="Arial"/>
          <w:color w:val="000000"/>
        </w:rPr>
        <w:br w:type="page"/>
      </w:r>
      <w:r w:rsidR="00F02A07" w:rsidRPr="009D6A33">
        <w:rPr>
          <w:rFonts w:ascii="Arial" w:hAnsi="Arial" w:cs="Arial"/>
          <w:color w:val="000000"/>
        </w:rPr>
        <w:lastRenderedPageBreak/>
        <w:t xml:space="preserve">Tabulka </w:t>
      </w:r>
      <w:r w:rsidR="00E15DAE" w:rsidRPr="009D6A33">
        <w:rPr>
          <w:rFonts w:ascii="Arial" w:hAnsi="Arial" w:cs="Arial"/>
          <w:color w:val="000000"/>
        </w:rPr>
        <w:t xml:space="preserve">č. </w:t>
      </w:r>
      <w:r w:rsidR="00F02A07" w:rsidRPr="009D6A33">
        <w:rPr>
          <w:rFonts w:ascii="Arial" w:hAnsi="Arial" w:cs="Arial"/>
          <w:color w:val="000000"/>
        </w:rPr>
        <w:t>2</w:t>
      </w:r>
      <w:r w:rsidR="00E15DAE" w:rsidRPr="009D6A33">
        <w:rPr>
          <w:rFonts w:ascii="Arial" w:hAnsi="Arial" w:cs="Arial"/>
          <w:color w:val="000000"/>
        </w:rPr>
        <w:t>: Počty udělených ERC grantů – Starting Grants na 100 000 obyvatel</w:t>
      </w:r>
      <w:r w:rsidR="00F02A07" w:rsidRPr="009D6A33">
        <w:rPr>
          <w:rFonts w:ascii="Arial" w:hAnsi="Arial" w:cs="Arial"/>
          <w:color w:val="000000"/>
        </w:rPr>
        <w:t xml:space="preserve"> </w:t>
      </w:r>
    </w:p>
    <w:tbl>
      <w:tblPr>
        <w:tblW w:w="46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"/>
        <w:gridCol w:w="703"/>
        <w:gridCol w:w="706"/>
        <w:gridCol w:w="706"/>
        <w:gridCol w:w="706"/>
        <w:gridCol w:w="706"/>
        <w:gridCol w:w="706"/>
        <w:gridCol w:w="706"/>
        <w:gridCol w:w="706"/>
        <w:gridCol w:w="1440"/>
      </w:tblGrid>
      <w:tr w:rsidR="00D21064" w:rsidRPr="009D6A33" w14:paraId="02A385DB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center"/>
            <w:hideMark/>
          </w:tcPr>
          <w:p w14:paraId="0754FE9A" w14:textId="77777777" w:rsidR="00D21064" w:rsidRPr="009D6A33" w:rsidRDefault="00D21064" w:rsidP="00F02A07">
            <w:pPr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Země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14:paraId="62B81E5A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2007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4C715CAE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2009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33FD4DF6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2010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17A4AC8A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237BD94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614AC2D8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C21BAB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415" w:type="pct"/>
            <w:shd w:val="clear" w:color="auto" w:fill="auto"/>
            <w:noWrap/>
            <w:vAlign w:val="center"/>
            <w:hideMark/>
          </w:tcPr>
          <w:p w14:paraId="050443E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9D6A33">
              <w:rPr>
                <w:rFonts w:ascii="Arial" w:hAnsi="Arial" w:cs="Arial"/>
                <w:b/>
                <w:color w:val="000000"/>
              </w:rPr>
              <w:t>2015</w:t>
            </w:r>
          </w:p>
        </w:tc>
        <w:tc>
          <w:tcPr>
            <w:tcW w:w="848" w:type="pct"/>
            <w:shd w:val="clear" w:color="000000" w:fill="EBF1DE"/>
            <w:noWrap/>
            <w:vAlign w:val="center"/>
            <w:hideMark/>
          </w:tcPr>
          <w:p w14:paraId="0FAD33A9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D6A33">
              <w:rPr>
                <w:rFonts w:ascii="Arial" w:hAnsi="Arial" w:cs="Arial"/>
                <w:b/>
                <w:color w:val="000000"/>
                <w:sz w:val="20"/>
                <w:szCs w:val="20"/>
              </w:rPr>
              <w:t>celkem 2007, 2009-2015</w:t>
            </w:r>
          </w:p>
        </w:tc>
      </w:tr>
      <w:tr w:rsidR="00D21064" w:rsidRPr="009D6A33" w14:paraId="38429FF0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5652E385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Nizozemsko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14:paraId="44EF51AA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0,17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2C1CCA4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0,10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67884E92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0,15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733B15E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0,29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3CC3F0BF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0,27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43F7A149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0,17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DF3357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0,24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46566501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0,19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7B6DA43D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1,58</w:t>
            </w:r>
          </w:p>
        </w:tc>
      </w:tr>
      <w:tr w:rsidR="00D21064" w:rsidRPr="009D6A33" w14:paraId="55651E46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6EFE83B1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Belgie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14:paraId="350EFE69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0,09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1B42C53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6B944B88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332292F9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0,19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506D29F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0,21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6EF6B22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29EDA3A3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0,10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1CAB651B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0,09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76527BD2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1,06</w:t>
            </w:r>
          </w:p>
        </w:tc>
      </w:tr>
      <w:tr w:rsidR="00D21064" w:rsidRPr="009D6A33" w14:paraId="27B6A894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23474E5B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Rakousko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14:paraId="0195B442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6730E81E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0,08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5A45C42E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0,18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4183F2A0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0,20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7DFFBCC3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0,12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56F98078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3CC270B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0,14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A6AA5ED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0,10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386C243A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1,02</w:t>
            </w:r>
          </w:p>
        </w:tc>
      </w:tr>
      <w:tr w:rsidR="00D21064" w:rsidRPr="009D6A33" w14:paraId="0064C01C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256DF1A3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Portugalsko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14:paraId="05DBB2B7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5863C84E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7085086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6505E5A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2E47B0ED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0,07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F5B409A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3ACA18E1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76294DC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29997D32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0,29</w:t>
            </w:r>
          </w:p>
        </w:tc>
      </w:tr>
      <w:tr w:rsidR="00D21064" w:rsidRPr="009D6A33" w14:paraId="46EA1C3D" w14:textId="77777777" w:rsidTr="00D21064">
        <w:trPr>
          <w:trHeight w:val="300"/>
        </w:trPr>
        <w:tc>
          <w:tcPr>
            <w:tcW w:w="836" w:type="pct"/>
            <w:shd w:val="clear" w:color="auto" w:fill="auto"/>
            <w:noWrap/>
            <w:vAlign w:val="bottom"/>
            <w:hideMark/>
          </w:tcPr>
          <w:p w14:paraId="342A9697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Maďarsko</w:t>
            </w:r>
          </w:p>
        </w:tc>
        <w:tc>
          <w:tcPr>
            <w:tcW w:w="413" w:type="pct"/>
            <w:shd w:val="clear" w:color="auto" w:fill="auto"/>
            <w:noWrap/>
            <w:vAlign w:val="bottom"/>
            <w:hideMark/>
          </w:tcPr>
          <w:p w14:paraId="60DFDCF9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72D149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677B1641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7811A70F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5842D66B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1728BD56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10F44664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15" w:type="pct"/>
            <w:shd w:val="clear" w:color="auto" w:fill="auto"/>
            <w:noWrap/>
            <w:vAlign w:val="bottom"/>
            <w:hideMark/>
          </w:tcPr>
          <w:p w14:paraId="063D1C02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71683C9C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0,22</w:t>
            </w:r>
          </w:p>
        </w:tc>
      </w:tr>
      <w:tr w:rsidR="00D21064" w:rsidRPr="009D6A33" w14:paraId="10A94FC4" w14:textId="77777777" w:rsidTr="00D21064">
        <w:trPr>
          <w:trHeight w:val="300"/>
        </w:trPr>
        <w:tc>
          <w:tcPr>
            <w:tcW w:w="836" w:type="pct"/>
            <w:shd w:val="clear" w:color="auto" w:fill="DBE5F1" w:themeFill="accent1" w:themeFillTint="33"/>
            <w:noWrap/>
            <w:vAlign w:val="bottom"/>
            <w:hideMark/>
          </w:tcPr>
          <w:p w14:paraId="1E4A3BD6" w14:textId="77777777" w:rsidR="00D21064" w:rsidRPr="009D6A33" w:rsidRDefault="00D21064" w:rsidP="00F02A07">
            <w:pPr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Česká republika</w:t>
            </w:r>
          </w:p>
        </w:tc>
        <w:tc>
          <w:tcPr>
            <w:tcW w:w="413" w:type="pct"/>
            <w:shd w:val="clear" w:color="auto" w:fill="DBE5F1" w:themeFill="accent1" w:themeFillTint="33"/>
            <w:noWrap/>
            <w:vAlign w:val="bottom"/>
            <w:hideMark/>
          </w:tcPr>
          <w:p w14:paraId="20E634E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3A87F8DA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0D629DDD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1B4ED285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39EF0ABD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227BC702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018E631C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15" w:type="pct"/>
            <w:shd w:val="clear" w:color="auto" w:fill="DBE5F1" w:themeFill="accent1" w:themeFillTint="33"/>
            <w:noWrap/>
            <w:vAlign w:val="bottom"/>
            <w:hideMark/>
          </w:tcPr>
          <w:p w14:paraId="4E7CD24F" w14:textId="77777777" w:rsidR="00D21064" w:rsidRPr="009D6A33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848" w:type="pct"/>
            <w:shd w:val="clear" w:color="000000" w:fill="EBF1DE"/>
            <w:noWrap/>
            <w:vAlign w:val="bottom"/>
            <w:hideMark/>
          </w:tcPr>
          <w:p w14:paraId="259CEFD4" w14:textId="77777777" w:rsidR="00D21064" w:rsidRPr="009D6A33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9D6A33">
              <w:rPr>
                <w:rFonts w:ascii="Arial" w:hAnsi="Arial" w:cs="Arial"/>
                <w:color w:val="000000"/>
              </w:rPr>
              <w:t>0,09</w:t>
            </w:r>
          </w:p>
        </w:tc>
      </w:tr>
    </w:tbl>
    <w:p w14:paraId="4A65CB13" w14:textId="6FA13026" w:rsidR="00F02A07" w:rsidRPr="009D6A33" w:rsidRDefault="00F02A07" w:rsidP="00F02A07">
      <w:pPr>
        <w:rPr>
          <w:rFonts w:ascii="Arial" w:hAnsi="Arial" w:cs="Arial"/>
          <w:color w:val="000000"/>
        </w:rPr>
      </w:pPr>
      <w:r w:rsidRPr="009D6A33">
        <w:rPr>
          <w:rFonts w:ascii="Arial" w:hAnsi="Arial" w:cs="Arial"/>
          <w:color w:val="000000"/>
        </w:rPr>
        <w:t xml:space="preserve">Zdroj: </w:t>
      </w:r>
      <w:r w:rsidR="00E15DAE" w:rsidRPr="009D6A33">
        <w:rPr>
          <w:rFonts w:ascii="Arial" w:hAnsi="Arial" w:cs="Arial"/>
          <w:color w:val="000000"/>
        </w:rPr>
        <w:t>Eurostat</w:t>
      </w:r>
    </w:p>
    <w:p w14:paraId="3E2C6C92" w14:textId="77777777" w:rsidR="00F02A07" w:rsidRPr="009D6A33" w:rsidRDefault="00F02A07" w:rsidP="00F02A07">
      <w:pPr>
        <w:rPr>
          <w:rFonts w:ascii="Arial" w:hAnsi="Arial" w:cs="Arial"/>
          <w:color w:val="000000"/>
        </w:rPr>
      </w:pPr>
    </w:p>
    <w:p w14:paraId="494E009E" w14:textId="2DC72772" w:rsidR="00F02A07" w:rsidRPr="001C280C" w:rsidRDefault="00F02A07" w:rsidP="00F02A07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Na 100 českých vědeckých pracovníků zaměstnaných na plný úvazek připadlo 0,03</w:t>
      </w:r>
      <w:r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 w:rsidDel="002C24EB">
        <w:rPr>
          <w:rFonts w:ascii="Arial" w:hAnsi="Arial" w:cs="Arial"/>
          <w:sz w:val="22"/>
          <w:szCs w:val="22"/>
        </w:rPr>
        <w:t xml:space="preserve"> </w:t>
      </w:r>
      <w:r w:rsidRPr="001C280C">
        <w:rPr>
          <w:rFonts w:ascii="Arial" w:hAnsi="Arial" w:cs="Arial"/>
          <w:sz w:val="22"/>
          <w:szCs w:val="22"/>
        </w:rPr>
        <w:t xml:space="preserve">pracovního úvazku ERC grantu, což </w:t>
      </w:r>
      <w:r w:rsidR="005119F7" w:rsidRPr="001C280C">
        <w:rPr>
          <w:rFonts w:ascii="Arial" w:hAnsi="Arial" w:cs="Arial"/>
          <w:sz w:val="22"/>
          <w:szCs w:val="22"/>
        </w:rPr>
        <w:t>kontrastuje se situací v Nizozemsku, kde připadl</w:t>
      </w:r>
      <w:r w:rsidRPr="001C280C">
        <w:rPr>
          <w:rFonts w:ascii="Arial" w:hAnsi="Arial" w:cs="Arial"/>
          <w:sz w:val="22"/>
          <w:szCs w:val="22"/>
        </w:rPr>
        <w:t xml:space="preserve"> na stejný počet </w:t>
      </w:r>
      <w:r w:rsidR="005119F7" w:rsidRPr="001C280C">
        <w:rPr>
          <w:rFonts w:ascii="Arial" w:hAnsi="Arial" w:cs="Arial"/>
          <w:sz w:val="22"/>
          <w:szCs w:val="22"/>
        </w:rPr>
        <w:t>vědeckých pracovníků</w:t>
      </w:r>
      <w:r w:rsidRPr="001C280C">
        <w:rPr>
          <w:rFonts w:ascii="Arial" w:hAnsi="Arial" w:cs="Arial"/>
          <w:sz w:val="22"/>
          <w:szCs w:val="22"/>
        </w:rPr>
        <w:t xml:space="preserve"> 0,42 úvazku ERC grantu.  </w:t>
      </w:r>
    </w:p>
    <w:p w14:paraId="507A9699" w14:textId="77777777" w:rsidR="00F02A07" w:rsidRPr="001C280C" w:rsidRDefault="00F02A07" w:rsidP="00F02A07">
      <w:pPr>
        <w:ind w:firstLine="284"/>
        <w:jc w:val="both"/>
        <w:rPr>
          <w:rFonts w:ascii="Arial" w:hAnsi="Arial" w:cs="Arial"/>
          <w:sz w:val="22"/>
          <w:szCs w:val="22"/>
        </w:rPr>
      </w:pPr>
    </w:p>
    <w:p w14:paraId="09F04653" w14:textId="09314CF6" w:rsidR="00F02A07" w:rsidRPr="001C280C" w:rsidRDefault="00F02A07" w:rsidP="00462418">
      <w:pPr>
        <w:spacing w:after="120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>Tabulka</w:t>
      </w:r>
      <w:r w:rsidR="00E15DAE" w:rsidRPr="001C280C">
        <w:rPr>
          <w:rFonts w:ascii="Arial" w:hAnsi="Arial" w:cs="Arial"/>
          <w:sz w:val="22"/>
          <w:szCs w:val="22"/>
        </w:rPr>
        <w:t xml:space="preserve"> č. 3: </w:t>
      </w:r>
      <w:r w:rsidR="00E15DAE" w:rsidRPr="001C280C">
        <w:rPr>
          <w:rFonts w:ascii="Arial" w:hAnsi="Arial" w:cs="Arial"/>
          <w:color w:val="000000"/>
          <w:sz w:val="22"/>
          <w:szCs w:val="22"/>
        </w:rPr>
        <w:t xml:space="preserve">Počty udělených ERC grantů – Starting Grants na </w:t>
      </w:r>
      <w:r w:rsidR="00E15DAE" w:rsidRPr="001C280C">
        <w:rPr>
          <w:rFonts w:ascii="Arial" w:hAnsi="Arial" w:cs="Arial"/>
          <w:sz w:val="22"/>
          <w:szCs w:val="22"/>
        </w:rPr>
        <w:t>100 vědeckých pracovníků při plném pracovním úvazku</w:t>
      </w:r>
    </w:p>
    <w:tbl>
      <w:tblPr>
        <w:tblW w:w="45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741"/>
        <w:gridCol w:w="741"/>
        <w:gridCol w:w="741"/>
        <w:gridCol w:w="741"/>
        <w:gridCol w:w="741"/>
        <w:gridCol w:w="741"/>
        <w:gridCol w:w="741"/>
        <w:gridCol w:w="1531"/>
      </w:tblGrid>
      <w:tr w:rsidR="00D21064" w:rsidRPr="00CC5D77" w14:paraId="449D7435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center"/>
            <w:hideMark/>
          </w:tcPr>
          <w:p w14:paraId="61C6905A" w14:textId="77777777" w:rsidR="00D21064" w:rsidRPr="00CC5D77" w:rsidRDefault="00D21064" w:rsidP="00F02A0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C5D77">
              <w:rPr>
                <w:rFonts w:ascii="Arial" w:hAnsi="Arial" w:cs="Arial"/>
                <w:b/>
                <w:color w:val="000000"/>
                <w:sz w:val="22"/>
                <w:szCs w:val="22"/>
              </w:rPr>
              <w:t>Země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199CC15D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2007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2DB2B925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2009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3C75884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2010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03FAACD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2011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42C691A5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2012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56CE4E57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2013</w:t>
            </w:r>
          </w:p>
        </w:tc>
        <w:tc>
          <w:tcPr>
            <w:tcW w:w="441" w:type="pct"/>
            <w:shd w:val="clear" w:color="auto" w:fill="auto"/>
            <w:noWrap/>
            <w:vAlign w:val="center"/>
            <w:hideMark/>
          </w:tcPr>
          <w:p w14:paraId="43A052E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2014</w:t>
            </w:r>
          </w:p>
        </w:tc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7899F01D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D77">
              <w:rPr>
                <w:rFonts w:ascii="Arial" w:hAnsi="Arial" w:cs="Arial"/>
                <w:b/>
                <w:color w:val="000000"/>
              </w:rPr>
              <w:t>celkem 2007, 2009-2014</w:t>
            </w:r>
          </w:p>
        </w:tc>
      </w:tr>
      <w:tr w:rsidR="00D21064" w:rsidRPr="00CC5D77" w14:paraId="042A5027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bottom"/>
            <w:hideMark/>
          </w:tcPr>
          <w:p w14:paraId="677FEFD7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Nizozemsko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3220FC19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367421A0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203AC919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0A4192F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0,08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0B08B4A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0,06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5FDC6322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24D3F39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72355C7E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0,42</w:t>
            </w:r>
          </w:p>
        </w:tc>
      </w:tr>
      <w:tr w:rsidR="00D21064" w:rsidRPr="00CC5D77" w14:paraId="372FD120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bottom"/>
            <w:hideMark/>
          </w:tcPr>
          <w:p w14:paraId="66519DBD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Belgie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641D56FE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549F275D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78B5F37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774B51B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F8B8A37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47422FA1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512A108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55C9BBA0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0,28</w:t>
            </w:r>
          </w:p>
        </w:tc>
      </w:tr>
      <w:tr w:rsidR="00D21064" w:rsidRPr="00CC5D77" w14:paraId="19DB6D4F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bottom"/>
            <w:hideMark/>
          </w:tcPr>
          <w:p w14:paraId="407696F6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Rakousko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208A2925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6F5938B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4CE2DC17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0,04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36223CFE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0,05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5A8A9F8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3180F23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D09718E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0E562523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0,23</w:t>
            </w:r>
          </w:p>
        </w:tc>
      </w:tr>
      <w:tr w:rsidR="00D21064" w:rsidRPr="00CC5D77" w14:paraId="3D38D6A8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bottom"/>
            <w:hideMark/>
          </w:tcPr>
          <w:p w14:paraId="11FD2F04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Portugalsko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39017296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0795BEE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6CA9385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748A0DB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6F3DDCE1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334FA00C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10BBAD07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0AE98FA8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0,08</w:t>
            </w:r>
          </w:p>
        </w:tc>
      </w:tr>
      <w:tr w:rsidR="00D21064" w:rsidRPr="00CC5D77" w14:paraId="4CE5C582" w14:textId="77777777" w:rsidTr="00D21064">
        <w:trPr>
          <w:trHeight w:val="309"/>
        </w:trPr>
        <w:tc>
          <w:tcPr>
            <w:tcW w:w="1002" w:type="pct"/>
            <w:shd w:val="clear" w:color="auto" w:fill="auto"/>
            <w:noWrap/>
            <w:vAlign w:val="bottom"/>
            <w:hideMark/>
          </w:tcPr>
          <w:p w14:paraId="488FAE77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Maďarsko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4B24F75A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643215A7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70759F53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0,02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6B6E366D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7E2AD66D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4C7103EA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auto"/>
            <w:noWrap/>
            <w:vAlign w:val="bottom"/>
            <w:hideMark/>
          </w:tcPr>
          <w:p w14:paraId="26B00CA3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0,01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4AE1A0E1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0,10</w:t>
            </w:r>
          </w:p>
        </w:tc>
      </w:tr>
      <w:tr w:rsidR="00D21064" w:rsidRPr="00CC5D77" w14:paraId="65A3182C" w14:textId="77777777" w:rsidTr="00D21064">
        <w:trPr>
          <w:trHeight w:val="309"/>
        </w:trPr>
        <w:tc>
          <w:tcPr>
            <w:tcW w:w="1002" w:type="pct"/>
            <w:shd w:val="clear" w:color="auto" w:fill="DBE5F1" w:themeFill="accent1" w:themeFillTint="33"/>
            <w:noWrap/>
            <w:vAlign w:val="bottom"/>
            <w:hideMark/>
          </w:tcPr>
          <w:p w14:paraId="25D6EA0A" w14:textId="77777777" w:rsidR="00D21064" w:rsidRPr="00CC5D77" w:rsidRDefault="00D21064" w:rsidP="00F02A07">
            <w:pPr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Česká republika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40DD44FE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03ACA96E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11EC9CAF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3D439022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63FD48C8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06DE1819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441" w:type="pct"/>
            <w:shd w:val="clear" w:color="auto" w:fill="DBE5F1" w:themeFill="accent1" w:themeFillTint="33"/>
            <w:noWrap/>
            <w:vAlign w:val="bottom"/>
            <w:hideMark/>
          </w:tcPr>
          <w:p w14:paraId="114F18BA" w14:textId="77777777" w:rsidR="00D21064" w:rsidRPr="00CC5D77" w:rsidRDefault="00D21064" w:rsidP="00F02A07">
            <w:pPr>
              <w:jc w:val="right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12" w:type="pct"/>
            <w:shd w:val="clear" w:color="000000" w:fill="EBF1DE"/>
            <w:noWrap/>
            <w:vAlign w:val="bottom"/>
            <w:hideMark/>
          </w:tcPr>
          <w:p w14:paraId="22746067" w14:textId="77777777" w:rsidR="00D21064" w:rsidRPr="00CC5D77" w:rsidRDefault="00D21064" w:rsidP="00F02A07">
            <w:pPr>
              <w:jc w:val="center"/>
              <w:rPr>
                <w:rFonts w:ascii="Arial" w:hAnsi="Arial" w:cs="Arial"/>
                <w:color w:val="000000"/>
              </w:rPr>
            </w:pPr>
            <w:r w:rsidRPr="00CC5D77">
              <w:rPr>
                <w:rFonts w:ascii="Arial" w:hAnsi="Arial" w:cs="Arial"/>
                <w:color w:val="000000"/>
              </w:rPr>
              <w:t>0,03</w:t>
            </w:r>
          </w:p>
        </w:tc>
      </w:tr>
    </w:tbl>
    <w:p w14:paraId="3CE33823" w14:textId="28288E99" w:rsidR="00F02A07" w:rsidRPr="00CC5D77" w:rsidRDefault="00F02A07" w:rsidP="00F02A07">
      <w:pPr>
        <w:rPr>
          <w:rFonts w:ascii="Arial" w:hAnsi="Arial" w:cs="Arial"/>
        </w:rPr>
      </w:pPr>
      <w:r w:rsidRPr="00CC5D77">
        <w:rPr>
          <w:rFonts w:ascii="Arial" w:hAnsi="Arial" w:cs="Arial"/>
        </w:rPr>
        <w:t>Zdroj: E</w:t>
      </w:r>
      <w:r w:rsidR="005119F7" w:rsidRPr="00CC5D77">
        <w:rPr>
          <w:rFonts w:ascii="Arial" w:hAnsi="Arial" w:cs="Arial"/>
        </w:rPr>
        <w:t>urostat</w:t>
      </w:r>
    </w:p>
    <w:p w14:paraId="73ED5C9F" w14:textId="77777777" w:rsidR="00F02A07" w:rsidRPr="00CC5D77" w:rsidRDefault="00F02A07" w:rsidP="00F02A07">
      <w:pPr>
        <w:ind w:firstLine="284"/>
        <w:jc w:val="both"/>
        <w:rPr>
          <w:rFonts w:ascii="Arial" w:hAnsi="Arial" w:cs="Arial"/>
          <w:color w:val="000000"/>
        </w:rPr>
      </w:pPr>
    </w:p>
    <w:p w14:paraId="74072BA8" w14:textId="415EAAE5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Plným úvazkem se 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>rozumí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jeden rok pracovního úvazku jednoho pracovníka a vědeckým pracovníkem se pak 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>rozumí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pracovníci, kteří se zabývají vědeckou prací 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>či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řízením vědeckých projektů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>. Da</w:t>
      </w:r>
      <w:r w:rsidRPr="001C280C">
        <w:rPr>
          <w:rFonts w:ascii="Arial" w:hAnsi="Arial" w:cs="Arial"/>
          <w:color w:val="000000"/>
          <w:sz w:val="22"/>
          <w:szCs w:val="22"/>
        </w:rPr>
        <w:t>tab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>áze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 xml:space="preserve"> ERC</w:t>
      </w:r>
      <w:r w:rsidR="005119F7" w:rsidRPr="001C280C">
        <w:rPr>
          <w:rFonts w:ascii="Arial" w:hAnsi="Arial" w:cs="Arial"/>
          <w:color w:val="000000"/>
          <w:sz w:val="22"/>
          <w:szCs w:val="22"/>
        </w:rPr>
        <w:t xml:space="preserve"> neobsahuje údaje za rok 2015</w:t>
      </w:r>
      <w:r w:rsidR="007D2679" w:rsidRPr="001C280C">
        <w:rPr>
          <w:rFonts w:ascii="Arial" w:hAnsi="Arial" w:cs="Arial"/>
          <w:color w:val="000000"/>
          <w:sz w:val="22"/>
          <w:szCs w:val="22"/>
        </w:rPr>
        <w:t>.</w:t>
      </w:r>
    </w:p>
    <w:p w14:paraId="016E613B" w14:textId="77777777" w:rsidR="00E15DAE" w:rsidRPr="001C280C" w:rsidRDefault="00E15DAE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F89D58C" w14:textId="402C751E" w:rsidR="00E15DAE" w:rsidRPr="001C280C" w:rsidRDefault="00E15DAE" w:rsidP="00E15DAE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 xml:space="preserve">V rámci hlavních ERC výzev - </w:t>
      </w:r>
      <w:r w:rsidRPr="001C280C">
        <w:rPr>
          <w:rFonts w:ascii="Arial" w:hAnsi="Arial" w:cs="Arial"/>
          <w:b/>
          <w:sz w:val="22"/>
          <w:szCs w:val="22"/>
        </w:rPr>
        <w:t>Starting Grants, Advanced Grants a Consolidated Grants</w:t>
      </w:r>
      <w:r w:rsidRPr="001C280C">
        <w:rPr>
          <w:rFonts w:ascii="Arial" w:hAnsi="Arial" w:cs="Arial"/>
          <w:sz w:val="22"/>
          <w:szCs w:val="22"/>
        </w:rPr>
        <w:t xml:space="preserve"> v letech 2007 až 2015 přijala ERC téměř 57 tis. návr</w:t>
      </w:r>
      <w:r w:rsidR="00462418" w:rsidRPr="001C280C">
        <w:rPr>
          <w:rFonts w:ascii="Arial" w:hAnsi="Arial" w:cs="Arial"/>
          <w:sz w:val="22"/>
          <w:szCs w:val="22"/>
        </w:rPr>
        <w:t>hů projektů, z</w:t>
      </w:r>
      <w:r w:rsidR="00655977" w:rsidRPr="001C280C">
        <w:rPr>
          <w:rFonts w:ascii="Arial" w:hAnsi="Arial" w:cs="Arial"/>
          <w:sz w:val="22"/>
          <w:szCs w:val="22"/>
        </w:rPr>
        <w:t> toho z České republiky</w:t>
      </w:r>
      <w:r w:rsidR="00462418" w:rsidRPr="001C280C">
        <w:rPr>
          <w:rFonts w:ascii="Arial" w:hAnsi="Arial" w:cs="Arial"/>
          <w:sz w:val="22"/>
          <w:szCs w:val="22"/>
        </w:rPr>
        <w:t xml:space="preserve"> 473</w:t>
      </w:r>
      <w:r w:rsidRPr="001C280C">
        <w:rPr>
          <w:rFonts w:ascii="Arial" w:hAnsi="Arial" w:cs="Arial"/>
          <w:sz w:val="22"/>
          <w:szCs w:val="22"/>
        </w:rPr>
        <w:t xml:space="preserve">. </w:t>
      </w:r>
      <w:r w:rsidR="00655977" w:rsidRPr="001C280C">
        <w:rPr>
          <w:rFonts w:ascii="Arial" w:hAnsi="Arial" w:cs="Arial"/>
          <w:sz w:val="22"/>
          <w:szCs w:val="22"/>
        </w:rPr>
        <w:t>Česká republika n</w:t>
      </w:r>
      <w:r w:rsidR="00462418" w:rsidRPr="001C280C">
        <w:rPr>
          <w:rFonts w:ascii="Arial" w:hAnsi="Arial" w:cs="Arial"/>
          <w:sz w:val="22"/>
          <w:szCs w:val="22"/>
        </w:rPr>
        <w:t xml:space="preserve">ení tedy </w:t>
      </w:r>
      <w:r w:rsidRPr="001C280C">
        <w:rPr>
          <w:rFonts w:ascii="Arial" w:hAnsi="Arial" w:cs="Arial"/>
          <w:sz w:val="22"/>
          <w:szCs w:val="22"/>
        </w:rPr>
        <w:t xml:space="preserve">mezi 20 státy s nejvyšším počtem </w:t>
      </w:r>
      <w:r w:rsidR="005119F7" w:rsidRPr="001C280C">
        <w:rPr>
          <w:rFonts w:ascii="Arial" w:hAnsi="Arial" w:cs="Arial"/>
          <w:sz w:val="22"/>
          <w:szCs w:val="22"/>
        </w:rPr>
        <w:t xml:space="preserve">podávaných ERC </w:t>
      </w:r>
      <w:r w:rsidR="00655977" w:rsidRPr="001C280C">
        <w:rPr>
          <w:rFonts w:ascii="Arial" w:hAnsi="Arial" w:cs="Arial"/>
          <w:sz w:val="22"/>
          <w:szCs w:val="22"/>
        </w:rPr>
        <w:t>návrhů projektů</w:t>
      </w:r>
      <w:r w:rsidR="005119F7" w:rsidRPr="001C280C">
        <w:rPr>
          <w:rFonts w:ascii="Arial" w:hAnsi="Arial" w:cs="Arial"/>
          <w:sz w:val="22"/>
          <w:szCs w:val="22"/>
        </w:rPr>
        <w:t>.</w:t>
      </w:r>
    </w:p>
    <w:p w14:paraId="05D21358" w14:textId="77777777" w:rsidR="00E15DAE" w:rsidRPr="001C280C" w:rsidRDefault="00E15DAE" w:rsidP="00E15DAE">
      <w:pPr>
        <w:ind w:firstLine="284"/>
        <w:jc w:val="both"/>
        <w:rPr>
          <w:rFonts w:ascii="Arial" w:hAnsi="Arial" w:cs="Arial"/>
          <w:sz w:val="22"/>
          <w:szCs w:val="22"/>
        </w:rPr>
      </w:pPr>
    </w:p>
    <w:p w14:paraId="0EF7D591" w14:textId="2680C090" w:rsidR="00462418" w:rsidRPr="001C280C" w:rsidRDefault="00462418" w:rsidP="00462418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t xml:space="preserve">Česká republika </w:t>
      </w:r>
      <w:r w:rsidR="00CC360E" w:rsidRPr="001C280C">
        <w:rPr>
          <w:rFonts w:ascii="Arial" w:hAnsi="Arial" w:cs="Arial"/>
          <w:sz w:val="22"/>
          <w:szCs w:val="22"/>
        </w:rPr>
        <w:t>se umístila</w:t>
      </w:r>
      <w:r w:rsidRPr="001C280C">
        <w:rPr>
          <w:rFonts w:ascii="Arial" w:hAnsi="Arial" w:cs="Arial"/>
          <w:sz w:val="22"/>
          <w:szCs w:val="22"/>
        </w:rPr>
        <w:t xml:space="preserve"> za období 2007 až 2014 </w:t>
      </w:r>
      <w:r w:rsidR="00CC360E" w:rsidRPr="001C280C">
        <w:rPr>
          <w:rFonts w:ascii="Arial" w:hAnsi="Arial" w:cs="Arial"/>
          <w:sz w:val="22"/>
          <w:szCs w:val="22"/>
        </w:rPr>
        <w:t>na</w:t>
      </w:r>
      <w:r w:rsidRPr="001C280C">
        <w:rPr>
          <w:rFonts w:ascii="Arial" w:hAnsi="Arial" w:cs="Arial"/>
          <w:sz w:val="22"/>
          <w:szCs w:val="22"/>
        </w:rPr>
        <w:t xml:space="preserve"> </w:t>
      </w:r>
      <w:r w:rsidR="00CC360E" w:rsidRPr="001C280C">
        <w:rPr>
          <w:rFonts w:ascii="Arial" w:hAnsi="Arial" w:cs="Arial"/>
          <w:sz w:val="22"/>
          <w:szCs w:val="22"/>
        </w:rPr>
        <w:t>19. místě</w:t>
      </w:r>
      <w:r w:rsidRPr="001C280C">
        <w:rPr>
          <w:rFonts w:ascii="Arial" w:hAnsi="Arial" w:cs="Arial"/>
          <w:sz w:val="22"/>
          <w:szCs w:val="22"/>
        </w:rPr>
        <w:t xml:space="preserve"> v pořadí států</w:t>
      </w:r>
      <w:r w:rsidR="00CC360E" w:rsidRPr="001C280C">
        <w:rPr>
          <w:rFonts w:ascii="Arial" w:hAnsi="Arial" w:cs="Arial"/>
          <w:sz w:val="22"/>
          <w:szCs w:val="22"/>
        </w:rPr>
        <w:t xml:space="preserve"> podle</w:t>
      </w:r>
      <w:r w:rsidRPr="001C280C">
        <w:rPr>
          <w:rFonts w:ascii="Arial" w:hAnsi="Arial" w:cs="Arial"/>
          <w:sz w:val="22"/>
          <w:szCs w:val="22"/>
        </w:rPr>
        <w:t xml:space="preserve"> počtu udělených ERC grantů. Za sledované období </w:t>
      </w:r>
      <w:r w:rsidR="00655977" w:rsidRPr="001C280C">
        <w:rPr>
          <w:rFonts w:ascii="Arial" w:hAnsi="Arial" w:cs="Arial"/>
          <w:sz w:val="22"/>
          <w:szCs w:val="22"/>
        </w:rPr>
        <w:t>čeští vědci</w:t>
      </w:r>
      <w:r w:rsidRPr="001C280C">
        <w:rPr>
          <w:rFonts w:ascii="Arial" w:hAnsi="Arial" w:cs="Arial"/>
          <w:sz w:val="22"/>
          <w:szCs w:val="22"/>
        </w:rPr>
        <w:t xml:space="preserve"> </w:t>
      </w:r>
      <w:r w:rsidR="00655977" w:rsidRPr="001C280C">
        <w:rPr>
          <w:rFonts w:ascii="Arial" w:hAnsi="Arial" w:cs="Arial"/>
          <w:sz w:val="22"/>
          <w:szCs w:val="22"/>
        </w:rPr>
        <w:t>získali</w:t>
      </w:r>
      <w:r w:rsidRPr="001C280C">
        <w:rPr>
          <w:rFonts w:ascii="Arial" w:hAnsi="Arial" w:cs="Arial"/>
          <w:sz w:val="22"/>
          <w:szCs w:val="22"/>
        </w:rPr>
        <w:t xml:space="preserve"> </w:t>
      </w:r>
      <w:r w:rsidR="00CC360E" w:rsidRPr="001C280C">
        <w:rPr>
          <w:rFonts w:ascii="Arial" w:hAnsi="Arial" w:cs="Arial"/>
          <w:sz w:val="22"/>
          <w:szCs w:val="22"/>
        </w:rPr>
        <w:t>17</w:t>
      </w:r>
      <w:r w:rsidRPr="001C280C">
        <w:rPr>
          <w:rFonts w:ascii="Arial" w:hAnsi="Arial" w:cs="Arial"/>
          <w:sz w:val="22"/>
          <w:szCs w:val="22"/>
        </w:rPr>
        <w:t xml:space="preserve"> ERC grantů v hlavních ERC soutěžích. Například Maďarsko za sledovanou dobu získalo 43 ERC grantů a Rakousko 138.</w:t>
      </w:r>
      <w:r w:rsidR="00CC360E" w:rsidRPr="001C280C">
        <w:rPr>
          <w:rFonts w:ascii="Arial" w:hAnsi="Arial" w:cs="Arial"/>
          <w:sz w:val="22"/>
          <w:szCs w:val="22"/>
        </w:rPr>
        <w:t xml:space="preserve"> Na prvním místě je </w:t>
      </w:r>
      <w:r w:rsidRPr="001C280C">
        <w:rPr>
          <w:rFonts w:ascii="Arial" w:hAnsi="Arial" w:cs="Arial"/>
          <w:sz w:val="22"/>
          <w:szCs w:val="22"/>
        </w:rPr>
        <w:t xml:space="preserve">Velká Británie s celkovým počtem </w:t>
      </w:r>
      <w:r w:rsidR="00CC360E" w:rsidRPr="001C280C">
        <w:rPr>
          <w:rFonts w:ascii="Arial" w:hAnsi="Arial" w:cs="Arial"/>
          <w:sz w:val="22"/>
          <w:szCs w:val="22"/>
        </w:rPr>
        <w:t xml:space="preserve">1 215 </w:t>
      </w:r>
      <w:r w:rsidRPr="001C280C">
        <w:rPr>
          <w:rFonts w:ascii="Arial" w:hAnsi="Arial" w:cs="Arial"/>
          <w:sz w:val="22"/>
          <w:szCs w:val="22"/>
        </w:rPr>
        <w:t>získaných ERC grantů.</w:t>
      </w:r>
      <w:r w:rsidR="00CC360E" w:rsidRPr="001C280C">
        <w:rPr>
          <w:rFonts w:ascii="Arial" w:hAnsi="Arial" w:cs="Arial"/>
          <w:sz w:val="22"/>
          <w:szCs w:val="22"/>
        </w:rPr>
        <w:t xml:space="preserve"> Podle aktuálních informací </w:t>
      </w:r>
      <w:r w:rsidR="00D654FD" w:rsidRPr="001C280C">
        <w:rPr>
          <w:rFonts w:ascii="Arial" w:hAnsi="Arial" w:cs="Arial"/>
          <w:sz w:val="22"/>
          <w:szCs w:val="22"/>
        </w:rPr>
        <w:t xml:space="preserve">získala </w:t>
      </w:r>
      <w:r w:rsidR="00CC360E" w:rsidRPr="001C280C">
        <w:rPr>
          <w:rFonts w:ascii="Arial" w:hAnsi="Arial" w:cs="Arial"/>
          <w:sz w:val="22"/>
          <w:szCs w:val="22"/>
        </w:rPr>
        <w:t xml:space="preserve">Česká republika v roce 2015 celkem 6 ERC grantů, z toho 4 v rámci výzvy Starting Grants a 2 v rámci výzvy Consolidated Grants. V letech 2007 až 2015 </w:t>
      </w:r>
      <w:r w:rsidR="00655977" w:rsidRPr="001C280C">
        <w:rPr>
          <w:rFonts w:ascii="Arial" w:hAnsi="Arial" w:cs="Arial"/>
          <w:sz w:val="22"/>
          <w:szCs w:val="22"/>
        </w:rPr>
        <w:t>je to</w:t>
      </w:r>
      <w:r w:rsidR="00CC360E" w:rsidRPr="001C280C">
        <w:rPr>
          <w:rFonts w:ascii="Arial" w:hAnsi="Arial" w:cs="Arial"/>
          <w:sz w:val="22"/>
          <w:szCs w:val="22"/>
        </w:rPr>
        <w:t xml:space="preserve"> celkem 22 grantů </w:t>
      </w:r>
      <w:r w:rsidR="00D654FD" w:rsidRPr="001C280C">
        <w:rPr>
          <w:rFonts w:ascii="Arial" w:hAnsi="Arial" w:cs="Arial"/>
          <w:sz w:val="22"/>
          <w:szCs w:val="22"/>
        </w:rPr>
        <w:t>s hostitelskou organizací</w:t>
      </w:r>
      <w:r w:rsidR="00655977" w:rsidRPr="001C280C">
        <w:rPr>
          <w:rFonts w:ascii="Arial" w:hAnsi="Arial" w:cs="Arial"/>
          <w:sz w:val="22"/>
          <w:szCs w:val="22"/>
        </w:rPr>
        <w:t xml:space="preserve"> v České republice, což představuje úspěšnost 4,7 %.</w:t>
      </w:r>
    </w:p>
    <w:p w14:paraId="3281F2C4" w14:textId="77777777" w:rsidR="005119F7" w:rsidRPr="001C280C" w:rsidRDefault="005119F7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br w:type="page"/>
      </w:r>
    </w:p>
    <w:p w14:paraId="346825D6" w14:textId="77777777" w:rsidR="00D654FD" w:rsidRPr="001C280C" w:rsidRDefault="00E15DAE" w:rsidP="00D654FD">
      <w:pPr>
        <w:jc w:val="both"/>
        <w:rPr>
          <w:rFonts w:ascii="Arial" w:hAnsi="Arial" w:cs="Arial"/>
          <w:sz w:val="22"/>
          <w:szCs w:val="22"/>
        </w:rPr>
      </w:pPr>
      <w:r w:rsidRPr="001C280C">
        <w:rPr>
          <w:rFonts w:ascii="Arial" w:hAnsi="Arial" w:cs="Arial"/>
          <w:sz w:val="22"/>
          <w:szCs w:val="22"/>
        </w:rPr>
        <w:lastRenderedPageBreak/>
        <w:t xml:space="preserve">Graf č. 5: Počty podaných ERC grantů - Starting Grants, Advanced Grants, </w:t>
      </w:r>
    </w:p>
    <w:p w14:paraId="3ABFCBA3" w14:textId="1A8059B3" w:rsidR="00E15DAE" w:rsidRPr="001C280C" w:rsidRDefault="00E15DAE" w:rsidP="00462418">
      <w:pPr>
        <w:spacing w:after="120"/>
        <w:jc w:val="both"/>
        <w:rPr>
          <w:rFonts w:ascii="Arial" w:hAnsi="Arial" w:cs="Arial"/>
        </w:rPr>
      </w:pPr>
      <w:r w:rsidRPr="001C280C">
        <w:rPr>
          <w:rFonts w:ascii="Arial" w:hAnsi="Arial" w:cs="Arial"/>
          <w:sz w:val="22"/>
          <w:szCs w:val="22"/>
        </w:rPr>
        <w:t>Consolidated Grants v letech 2007 až 2015</w:t>
      </w:r>
      <w:r w:rsidR="00462418" w:rsidRPr="001C280C">
        <w:rPr>
          <w:rStyle w:val="Znakapoznpodarou"/>
          <w:rFonts w:ascii="Arial" w:hAnsi="Arial" w:cs="Arial"/>
        </w:rPr>
        <w:footnoteReference w:id="3"/>
      </w:r>
    </w:p>
    <w:p w14:paraId="6AF4084D" w14:textId="77777777" w:rsidR="00E15DAE" w:rsidRPr="001C280C" w:rsidRDefault="00E15DAE" w:rsidP="00E15DAE">
      <w:pPr>
        <w:rPr>
          <w:rFonts w:ascii="Arial" w:hAnsi="Arial" w:cs="Arial"/>
        </w:rPr>
      </w:pPr>
      <w:r w:rsidRPr="001C280C">
        <w:rPr>
          <w:rFonts w:ascii="Arial" w:hAnsi="Arial" w:cs="Arial"/>
          <w:noProof/>
        </w:rPr>
        <w:drawing>
          <wp:inline distT="0" distB="0" distL="0" distR="0" wp14:anchorId="7EA9423E" wp14:editId="45BBFDE0">
            <wp:extent cx="5400000" cy="3450791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EF54E1" w14:textId="58074E38" w:rsidR="00E15DAE" w:rsidRPr="001C280C" w:rsidRDefault="00E15DAE" w:rsidP="00E15DAE">
      <w:pPr>
        <w:rPr>
          <w:rFonts w:ascii="Arial" w:hAnsi="Arial" w:cs="Arial"/>
        </w:rPr>
      </w:pPr>
      <w:r w:rsidRPr="001C280C">
        <w:rPr>
          <w:rFonts w:ascii="Arial" w:hAnsi="Arial" w:cs="Arial"/>
        </w:rPr>
        <w:t>Zdroj: ERC</w:t>
      </w:r>
    </w:p>
    <w:p w14:paraId="2E980C96" w14:textId="77777777" w:rsidR="00E15DAE" w:rsidRPr="001C280C" w:rsidRDefault="00E15DAE" w:rsidP="00E15DAE">
      <w:pPr>
        <w:rPr>
          <w:rFonts w:ascii="Arial" w:hAnsi="Arial" w:cs="Arial"/>
        </w:rPr>
      </w:pPr>
    </w:p>
    <w:p w14:paraId="1BD2EC12" w14:textId="77777777" w:rsidR="0029039B" w:rsidRPr="001C280C" w:rsidRDefault="0029039B" w:rsidP="00E15DAE">
      <w:pPr>
        <w:rPr>
          <w:rFonts w:ascii="Arial" w:hAnsi="Arial" w:cs="Arial"/>
        </w:rPr>
      </w:pPr>
    </w:p>
    <w:p w14:paraId="40373BFE" w14:textId="77777777" w:rsidR="00D654FD" w:rsidRPr="001C280C" w:rsidRDefault="00E15DAE" w:rsidP="00D654FD">
      <w:pPr>
        <w:jc w:val="both"/>
        <w:rPr>
          <w:rFonts w:ascii="Arial" w:hAnsi="Arial" w:cs="Arial"/>
        </w:rPr>
      </w:pPr>
      <w:r w:rsidRPr="001C280C">
        <w:rPr>
          <w:rFonts w:ascii="Arial" w:hAnsi="Arial" w:cs="Arial"/>
        </w:rPr>
        <w:t xml:space="preserve">Graf č. 6: Počty udělených ERC grantů - Starting Grants, Advanced Grants, </w:t>
      </w:r>
    </w:p>
    <w:p w14:paraId="1A27AFF6" w14:textId="220564F4" w:rsidR="00E15DAE" w:rsidRPr="001C280C" w:rsidRDefault="00E15DAE" w:rsidP="00462418">
      <w:pPr>
        <w:spacing w:after="120"/>
        <w:jc w:val="both"/>
        <w:rPr>
          <w:rFonts w:ascii="Arial" w:hAnsi="Arial" w:cs="Arial"/>
        </w:rPr>
      </w:pPr>
      <w:r w:rsidRPr="001C280C">
        <w:rPr>
          <w:rFonts w:ascii="Arial" w:hAnsi="Arial" w:cs="Arial"/>
        </w:rPr>
        <w:t>Consolidated Grants v letech 2007 až 2014</w:t>
      </w:r>
    </w:p>
    <w:p w14:paraId="7F961F32" w14:textId="77777777" w:rsidR="00E15DAE" w:rsidRPr="001C280C" w:rsidRDefault="00E15DAE" w:rsidP="00E15DAE">
      <w:pPr>
        <w:rPr>
          <w:rFonts w:ascii="Arial" w:hAnsi="Arial" w:cs="Arial"/>
        </w:rPr>
      </w:pPr>
      <w:r w:rsidRPr="001C280C">
        <w:rPr>
          <w:rFonts w:ascii="Arial" w:hAnsi="Arial" w:cs="Arial"/>
          <w:noProof/>
        </w:rPr>
        <w:drawing>
          <wp:inline distT="0" distB="0" distL="0" distR="0" wp14:anchorId="69B98FD9" wp14:editId="38D83341">
            <wp:extent cx="5400000" cy="3450791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4507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37AF29" w14:textId="2B509E00" w:rsidR="00E15DAE" w:rsidRPr="001C280C" w:rsidRDefault="00E15DAE" w:rsidP="00E15DAE">
      <w:pPr>
        <w:rPr>
          <w:rFonts w:ascii="Arial" w:hAnsi="Arial" w:cs="Arial"/>
        </w:rPr>
      </w:pPr>
      <w:r w:rsidRPr="001C280C">
        <w:rPr>
          <w:rFonts w:ascii="Arial" w:hAnsi="Arial" w:cs="Arial"/>
        </w:rPr>
        <w:t>Zdroj: ERC</w:t>
      </w:r>
    </w:p>
    <w:p w14:paraId="197E0884" w14:textId="77777777" w:rsidR="001A687F" w:rsidRPr="001C280C" w:rsidRDefault="001A687F" w:rsidP="001A687F">
      <w:pPr>
        <w:keepNext/>
        <w:spacing w:after="60"/>
        <w:ind w:left="480" w:hanging="48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lastRenderedPageBreak/>
        <w:t>14.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</w:p>
    <w:p w14:paraId="13196C59" w14:textId="5B6D81AF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Granty ERC jsou v současné době v</w:t>
      </w:r>
      <w:r w:rsidR="00090496" w:rsidRPr="001C280C">
        <w:rPr>
          <w:rFonts w:ascii="Arial" w:hAnsi="Arial" w:cs="Arial"/>
          <w:color w:val="000000"/>
          <w:sz w:val="22"/>
          <w:szCs w:val="22"/>
        </w:rPr>
        <w:t xml:space="preserve"> evropských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vědeckých strukturách považovány za nejprestižnější potvrzení excelence, a to nejenom samotných ře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>šitelů a jejich projektů, ale i </w:t>
      </w:r>
      <w:r w:rsidRPr="001C280C">
        <w:rPr>
          <w:rFonts w:ascii="Arial" w:hAnsi="Arial" w:cs="Arial"/>
          <w:color w:val="000000"/>
          <w:sz w:val="22"/>
          <w:szCs w:val="22"/>
        </w:rPr>
        <w:t>vědeckých a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výzkumných institucí, na kterých tito vědci pracují.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>Z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ískání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 xml:space="preserve">ERC grantů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je významné pro posílení reputace řešitele, jeho týmu i pracoviště v mezinárodním vědecko-výzkumném prostoru. </w:t>
      </w:r>
    </w:p>
    <w:p w14:paraId="515E553E" w14:textId="7DE5BF2E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Navrhovaná </w:t>
      </w:r>
      <w:r w:rsidR="00413A24" w:rsidRPr="001C280C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„Podpora ERC </w:t>
      </w:r>
      <w:r w:rsidR="00524A3B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má řešitelům umožnit získání takových kompetencí a zkušeností, které jim napomohou </w:t>
      </w:r>
      <w:r w:rsidR="00C96976" w:rsidRPr="001C280C">
        <w:rPr>
          <w:rFonts w:ascii="Arial" w:hAnsi="Arial" w:cs="Arial"/>
          <w:color w:val="000000"/>
          <w:sz w:val="22"/>
          <w:szCs w:val="22"/>
        </w:rPr>
        <w:t xml:space="preserve">žádat </w:t>
      </w:r>
      <w:r w:rsidRPr="001C280C">
        <w:rPr>
          <w:rFonts w:ascii="Arial" w:hAnsi="Arial" w:cs="Arial"/>
          <w:color w:val="000000"/>
          <w:sz w:val="22"/>
          <w:szCs w:val="22"/>
        </w:rPr>
        <w:t>o grant ERC a</w:t>
      </w:r>
      <w:r w:rsidR="006A63CD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následně také takový projekt samostatně vést. Z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hlediska konkurenceschopnosti České republiky je nesporné, že výzkumníci z prostředí excelentních týmů a institucí mají větší potenciál uspět v náročném mezinárodním prostředí</w:t>
      </w:r>
      <w:r w:rsidR="00C96976" w:rsidRPr="001C280C">
        <w:rPr>
          <w:rFonts w:ascii="Arial" w:hAnsi="Arial" w:cs="Arial"/>
          <w:color w:val="000000"/>
          <w:sz w:val="22"/>
          <w:szCs w:val="22"/>
        </w:rPr>
        <w:t>. S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tejně tak </w:t>
      </w:r>
      <w:r w:rsidR="002712F0" w:rsidRPr="001C280C">
        <w:rPr>
          <w:rFonts w:ascii="Arial" w:hAnsi="Arial" w:cs="Arial"/>
          <w:color w:val="000000"/>
          <w:sz w:val="22"/>
          <w:szCs w:val="22"/>
        </w:rPr>
        <w:t xml:space="preserve">je </w:t>
      </w:r>
      <w:r w:rsidRPr="001C280C">
        <w:rPr>
          <w:rFonts w:ascii="Arial" w:hAnsi="Arial" w:cs="Arial"/>
          <w:color w:val="000000"/>
          <w:sz w:val="22"/>
          <w:szCs w:val="22"/>
        </w:rPr>
        <w:t>i pro instituce, kde tito výzkumníci působí, snazší spolupráce s dalšími renomovanými výzkumnými organizacemi působícími po celém světě.</w:t>
      </w:r>
    </w:p>
    <w:p w14:paraId="2AF90D3B" w14:textId="384B42F4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V rámci České republiky je dlouhodobě diskutována schopnost dostatečně využívat zdroje Evropské unie. Granty ERC přinášejí nejenom významné a dlouhodobé příjmy, ale jsou zejména </w:t>
      </w:r>
      <w:r w:rsidR="002712F0" w:rsidRPr="001C280C">
        <w:rPr>
          <w:rFonts w:ascii="Arial" w:hAnsi="Arial" w:cs="Arial"/>
          <w:color w:val="000000"/>
          <w:sz w:val="22"/>
          <w:szCs w:val="22"/>
        </w:rPr>
        <w:t xml:space="preserve">klíčové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pro vytvoření kvalitního badatelského pracovního prostředí. Přínos těchto grantů vědcům, jejich týmům i institucím, kterým kromě jiného zajišťují také rozšíření a další rozvoj výzkumných možností, je nepopiratelný. Z hlediska České republiky je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 xml:space="preserve">vysoce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žádoucí, aby byly učiněny všechny kroky, které posílí možnosti pro jejich získání.  </w:t>
      </w:r>
    </w:p>
    <w:p w14:paraId="2F7D64E1" w14:textId="7BC107DE" w:rsidR="00F02A07" w:rsidRPr="001C280C" w:rsidRDefault="00F02A07" w:rsidP="00F02A0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Navrhovaná skupina grantových projektů „Podpora ERC </w:t>
      </w:r>
      <w:r w:rsidR="00985AD2" w:rsidRPr="001C280C">
        <w:rPr>
          <w:rFonts w:ascii="Arial" w:hAnsi="Arial" w:cs="Arial"/>
          <w:color w:val="000000"/>
          <w:sz w:val="22"/>
          <w:szCs w:val="22"/>
        </w:rPr>
        <w:t>žada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počítá kromě posílení kompetencí pro získávání těchto grantů také se zabudováním účinných mechanismů, které budou významným motivujícím faktorem pro přípravu návrhu vědeckého projektu pro soutěže ERC. Především jde o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>povinnost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podat vypracovanou verzi projektu do jedné z</w:t>
      </w:r>
      <w:r w:rsidR="006A63CD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hlavních ERC výzev (StG, CoG, AdG)</w:t>
      </w:r>
      <w:r w:rsidR="00FC026C" w:rsidRPr="001C280C">
        <w:rPr>
          <w:rFonts w:ascii="Arial" w:hAnsi="Arial" w:cs="Arial"/>
          <w:color w:val="000000"/>
          <w:sz w:val="22"/>
          <w:szCs w:val="22"/>
        </w:rPr>
        <w:t xml:space="preserve"> s hostitelskou organizací v ČR</w:t>
      </w:r>
      <w:r w:rsidRPr="001C280C">
        <w:rPr>
          <w:rFonts w:ascii="Arial" w:hAnsi="Arial" w:cs="Arial"/>
          <w:color w:val="000000"/>
          <w:sz w:val="22"/>
          <w:szCs w:val="22"/>
        </w:rPr>
        <w:t>, a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to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ve </w:t>
      </w:r>
      <w:r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stanovené lhůtě po ukončení grantového projektu a pod hrozbou sankcí spočívajících v případné dočasné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>diskvalifikaci ze soutěží GA ČR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893DA69" w14:textId="77777777" w:rsidR="00F02A07" w:rsidRPr="001C280C" w:rsidRDefault="00F02A07" w:rsidP="00F02A0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GA ČR zároveň očekává, že stanovená podmínka předchozího úspěchu ve skupině grantových projektů - juniorské granty, kterou GA ČR vyhlásila poprvé v roce 2014, bude stimulovat další zájem talentovaných navrhovatelů také o juniorské granty. Obě skupiny grantových projektů vykazují jako jeden ze svých cílů shodně právě zvýšení úspěšnosti v soutěžích ERC. </w:t>
      </w:r>
    </w:p>
    <w:p w14:paraId="5B2EE3B5" w14:textId="77777777" w:rsidR="002A02BF" w:rsidRPr="001C280C" w:rsidRDefault="002A02B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30E27072" w14:textId="77777777" w:rsidR="001A687F" w:rsidRPr="001C280C" w:rsidRDefault="001A687F" w:rsidP="001A687F">
      <w:pPr>
        <w:keepNext/>
        <w:spacing w:after="60"/>
        <w:ind w:left="482" w:hanging="482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t>15.</w:t>
      </w:r>
      <w:r w:rsidRPr="001C280C">
        <w:rPr>
          <w:rFonts w:ascii="Arial" w:hAnsi="Arial" w:cs="Arial"/>
          <w:color w:val="000000"/>
          <w:sz w:val="22"/>
          <w:szCs w:val="22"/>
        </w:rPr>
        <w:tab/>
      </w:r>
      <w:r w:rsidRPr="001C280C">
        <w:rPr>
          <w:rFonts w:ascii="Arial" w:hAnsi="Arial" w:cs="Arial"/>
          <w:color w:val="000000"/>
          <w:sz w:val="22"/>
          <w:szCs w:val="22"/>
          <w:u w:val="single"/>
        </w:rPr>
        <w:t>Druhy výsledků</w:t>
      </w:r>
    </w:p>
    <w:p w14:paraId="7A008925" w14:textId="162E375E" w:rsidR="00C93B28" w:rsidRPr="001C280C" w:rsidRDefault="00C93B28" w:rsidP="001823BA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bookmarkStart w:id="3" w:name="OLE_LINK4"/>
      <w:bookmarkStart w:id="4" w:name="OLE_LINK5"/>
      <w:r w:rsidRPr="001C280C">
        <w:rPr>
          <w:rFonts w:ascii="Arial" w:hAnsi="Arial" w:cs="Arial"/>
          <w:color w:val="000000"/>
          <w:sz w:val="22"/>
          <w:szCs w:val="22"/>
        </w:rPr>
        <w:t xml:space="preserve">V této skupině grantových projektů </w:t>
      </w:r>
      <w:r w:rsidR="00FC026C" w:rsidRPr="001C280C">
        <w:rPr>
          <w:rFonts w:ascii="Arial" w:hAnsi="Arial" w:cs="Arial"/>
          <w:color w:val="000000"/>
          <w:sz w:val="22"/>
          <w:szCs w:val="22"/>
        </w:rPr>
        <w:t xml:space="preserve">„Podpora ERC žadatelů“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mohou být podporovány pouze projekty, které odůvodněně předpokládají, </w:t>
      </w:r>
      <w:r w:rsidR="00BA0F44" w:rsidRPr="001C280C">
        <w:rPr>
          <w:rFonts w:ascii="Arial" w:hAnsi="Arial" w:cs="Arial"/>
          <w:color w:val="000000"/>
          <w:sz w:val="22"/>
          <w:szCs w:val="22"/>
        </w:rPr>
        <w:t xml:space="preserve">že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 xml:space="preserve"> v návaznosti na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ukončení </w:t>
      </w:r>
      <w:r w:rsidR="00904018" w:rsidRPr="001C280C">
        <w:rPr>
          <w:rFonts w:ascii="Arial" w:hAnsi="Arial" w:cs="Arial"/>
          <w:color w:val="000000"/>
          <w:sz w:val="22"/>
          <w:szCs w:val="22"/>
        </w:rPr>
        <w:t xml:space="preserve">řešení </w:t>
      </w:r>
      <w:r w:rsidRPr="001C280C">
        <w:rPr>
          <w:rFonts w:ascii="Arial" w:hAnsi="Arial" w:cs="Arial"/>
          <w:color w:val="000000"/>
          <w:sz w:val="22"/>
          <w:szCs w:val="22"/>
        </w:rPr>
        <w:t>projektu</w:t>
      </w:r>
      <w:r w:rsidR="00BA0F44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 xml:space="preserve">bude vypracována </w:t>
      </w:r>
      <w:r w:rsidRPr="001C280C">
        <w:rPr>
          <w:rFonts w:ascii="Arial" w:hAnsi="Arial" w:cs="Arial"/>
          <w:color w:val="000000"/>
          <w:sz w:val="22"/>
          <w:szCs w:val="22"/>
        </w:rPr>
        <w:t>a podán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a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žádost o grant na podporu projektu 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ERC (v</w:t>
      </w:r>
      <w:r w:rsidR="001C280C">
        <w:rPr>
          <w:rFonts w:ascii="Arial" w:hAnsi="Arial" w:cs="Arial"/>
          <w:color w:val="000000"/>
          <w:sz w:val="22"/>
          <w:szCs w:val="22"/>
        </w:rPr>
        <w:t> 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>programech StG, CoG, AdG), a to v nejbližší výzvě vyhlášené po ukončení řešení projektu nebo ve výzvě bezprostředně následující</w:t>
      </w:r>
      <w:r w:rsidR="00854C49" w:rsidRPr="001C280C">
        <w:rPr>
          <w:rFonts w:ascii="Arial" w:hAnsi="Arial" w:cs="Arial"/>
          <w:color w:val="000000"/>
          <w:sz w:val="22"/>
          <w:szCs w:val="22"/>
        </w:rPr>
        <w:t xml:space="preserve">, nejpozději však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>do 700 dní po ukončení řešení tohoto projektu</w:t>
      </w:r>
      <w:r w:rsidR="006C09DE" w:rsidRPr="001C280C">
        <w:rPr>
          <w:rFonts w:ascii="Arial" w:hAnsi="Arial" w:cs="Arial"/>
          <w:color w:val="000000"/>
          <w:sz w:val="22"/>
          <w:szCs w:val="22"/>
        </w:rPr>
        <w:t xml:space="preserve">.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7D2679" w:rsidRPr="001C280C">
        <w:rPr>
          <w:rFonts w:ascii="Arial" w:hAnsi="Arial" w:cs="Arial"/>
          <w:color w:val="000000"/>
          <w:sz w:val="22"/>
          <w:szCs w:val="22"/>
        </w:rPr>
        <w:t xml:space="preserve">Očekává se </w:t>
      </w:r>
      <w:r w:rsidR="0039084C" w:rsidRPr="001C280C">
        <w:rPr>
          <w:rFonts w:ascii="Arial" w:hAnsi="Arial" w:cs="Arial"/>
          <w:color w:val="000000"/>
          <w:sz w:val="22"/>
          <w:szCs w:val="22"/>
        </w:rPr>
        <w:t xml:space="preserve">rovněž </w:t>
      </w:r>
      <w:r w:rsidRPr="001C280C">
        <w:rPr>
          <w:rFonts w:ascii="Arial" w:hAnsi="Arial" w:cs="Arial"/>
          <w:color w:val="000000"/>
          <w:sz w:val="22"/>
          <w:szCs w:val="22"/>
        </w:rPr>
        <w:t>dosažení výsledků</w:t>
      </w:r>
      <w:r w:rsidR="008E5043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výzkumu definovaných v Metodice hodnocení výsledků výzkumných organizací a hodnocení výsledků ukončených programů platné pro</w:t>
      </w:r>
      <w:r w:rsidR="002C24EB" w:rsidRPr="001C280C">
        <w:rPr>
          <w:rFonts w:ascii="Arial" w:hAnsi="Arial" w:cs="Arial"/>
          <w:color w:val="000000"/>
          <w:sz w:val="22"/>
          <w:szCs w:val="22"/>
        </w:rPr>
        <w:t> </w:t>
      </w:r>
      <w:r w:rsidR="002C24EB"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příslušné období (dále jen Metodika):</w:t>
      </w:r>
    </w:p>
    <w:p w14:paraId="019A5871" w14:textId="77777777" w:rsidR="00C93B28" w:rsidRPr="001C280C" w:rsidRDefault="00C93B28" w:rsidP="00C93B28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 xml:space="preserve">J – článek v odborném periodiku (časopisu) </w:t>
      </w:r>
    </w:p>
    <w:p w14:paraId="193F8E3E" w14:textId="77777777" w:rsidR="00C93B28" w:rsidRPr="001C280C" w:rsidRDefault="00C93B28" w:rsidP="00C93B28">
      <w:pPr>
        <w:numPr>
          <w:ilvl w:val="1"/>
          <w:numId w:val="2"/>
        </w:numPr>
        <w:spacing w:after="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Jimp – původní / přehledový článek v odborném periodiku, který je obsažen v</w:t>
      </w:r>
      <w:r w:rsidR="002C24EB" w:rsidRPr="001C280C">
        <w:rPr>
          <w:rFonts w:ascii="Arial" w:hAnsi="Arial" w:cs="Arial"/>
          <w:color w:val="000000"/>
          <w:sz w:val="22"/>
          <w:szCs w:val="22"/>
        </w:rPr>
        <w:t> </w:t>
      </w:r>
      <w:r w:rsidR="002C24EB" w:rsidRPr="001C280C" w:rsidDel="002C24E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>databázi Web of Science společností Thomson Reuters s příznakem „Article“, „Review“, nebo „Letter“,</w:t>
      </w:r>
    </w:p>
    <w:p w14:paraId="364093ED" w14:textId="1B49B198" w:rsidR="00C93B28" w:rsidRPr="001C280C" w:rsidRDefault="00C93B28" w:rsidP="00C93B28">
      <w:pPr>
        <w:numPr>
          <w:ilvl w:val="1"/>
          <w:numId w:val="2"/>
        </w:numPr>
        <w:spacing w:after="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J</w:t>
      </w:r>
      <w:r w:rsidRPr="001C280C">
        <w:rPr>
          <w:rFonts w:ascii="Arial" w:hAnsi="Arial" w:cs="Arial"/>
          <w:bCs/>
          <w:color w:val="000000"/>
          <w:sz w:val="22"/>
          <w:szCs w:val="22"/>
          <w:vertAlign w:val="subscript"/>
        </w:rPr>
        <w:t>SC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 xml:space="preserve"> – původní/přehledový článek v odborném periodiku, který je obsažen v</w:t>
      </w:r>
      <w:r w:rsidR="002C24EB" w:rsidRPr="001C280C">
        <w:rPr>
          <w:rFonts w:ascii="Arial" w:hAnsi="Arial" w:cs="Arial"/>
          <w:color w:val="000000"/>
          <w:sz w:val="22"/>
          <w:szCs w:val="22"/>
        </w:rPr>
        <w:t> </w:t>
      </w:r>
      <w:r w:rsidR="002C24EB" w:rsidRPr="001C280C" w:rsidDel="002C24E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>databázi SCOPUS společnosti Elsevier s příznakem „Article“, „Review“, nebo „Letter</w:t>
      </w:r>
      <w:r w:rsidR="007C7861" w:rsidRPr="001C280C">
        <w:rPr>
          <w:rFonts w:ascii="Arial" w:hAnsi="Arial" w:cs="Arial"/>
          <w:bCs/>
          <w:color w:val="000000"/>
          <w:sz w:val="22"/>
          <w:szCs w:val="22"/>
        </w:rPr>
        <w:t>“,</w:t>
      </w:r>
    </w:p>
    <w:p w14:paraId="6677C14D" w14:textId="14E584A5" w:rsidR="00C93B28" w:rsidRPr="001C280C" w:rsidRDefault="00C93B28" w:rsidP="007C7861">
      <w:pPr>
        <w:numPr>
          <w:ilvl w:val="1"/>
          <w:numId w:val="2"/>
        </w:numPr>
        <w:spacing w:after="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Jrec – původní / přehledový článek v odborném periodiku, které je zařazeno</w:t>
      </w:r>
    </w:p>
    <w:p w14:paraId="1B3F932C" w14:textId="77777777" w:rsidR="00C93B28" w:rsidRPr="001C280C" w:rsidRDefault="00C93B28" w:rsidP="007C7861">
      <w:pPr>
        <w:spacing w:after="60"/>
        <w:ind w:left="141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v aktuálním Seznamu neimpaktovaných recenzovaných periodik vydávaných v</w:t>
      </w:r>
      <w:r w:rsidR="002C24EB" w:rsidRPr="001C280C">
        <w:rPr>
          <w:rFonts w:ascii="Arial" w:hAnsi="Arial" w:cs="Arial"/>
          <w:color w:val="000000"/>
          <w:sz w:val="22"/>
          <w:szCs w:val="22"/>
        </w:rPr>
        <w:t> </w:t>
      </w:r>
      <w:r w:rsidR="002C24EB" w:rsidRPr="001C280C" w:rsidDel="002C24EB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>České republice (zveřejněno na www.vyzkum.cz),</w:t>
      </w:r>
    </w:p>
    <w:p w14:paraId="70FDBD8C" w14:textId="752EDAF3" w:rsidR="00C93B28" w:rsidRPr="001C280C" w:rsidRDefault="00C93B28" w:rsidP="00C93B28">
      <w:pPr>
        <w:numPr>
          <w:ilvl w:val="1"/>
          <w:numId w:val="2"/>
        </w:numPr>
        <w:spacing w:after="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Jneimp – původní / přehledový článek v odborném periodiku, který je obsažen v databázi ERIH</w:t>
      </w:r>
      <w:r w:rsidR="001A7F65" w:rsidRPr="001C280C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515D9766" w14:textId="77777777" w:rsidR="00C93B28" w:rsidRPr="001C280C" w:rsidRDefault="00C93B28" w:rsidP="00C93B28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lastRenderedPageBreak/>
        <w:t>B – odborná kniha (ISBN, ISMN)</w:t>
      </w:r>
    </w:p>
    <w:p w14:paraId="0E86017E" w14:textId="77777777" w:rsidR="00C93B28" w:rsidRPr="001C280C" w:rsidRDefault="00C93B28" w:rsidP="00C93B28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  <w:lang w:val="en-US"/>
        </w:rPr>
        <w:t xml:space="preserve">C – kapitola v odborné knize </w:t>
      </w:r>
    </w:p>
    <w:p w14:paraId="45F405A8" w14:textId="69CA6A8A" w:rsidR="00C93B28" w:rsidRPr="001C280C" w:rsidRDefault="00C93B28" w:rsidP="00C35FB2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1C280C">
        <w:rPr>
          <w:rFonts w:ascii="Arial" w:hAnsi="Arial" w:cs="Arial"/>
          <w:bCs/>
          <w:color w:val="000000"/>
          <w:sz w:val="22"/>
          <w:szCs w:val="22"/>
        </w:rPr>
        <w:t>D – článek ve sborníku (evidovaném v databázi SCOPUS</w:t>
      </w:r>
      <w:r w:rsidR="00EC4E13" w:rsidRPr="001C280C">
        <w:rPr>
          <w:rFonts w:ascii="Arial" w:hAnsi="Arial" w:cs="Arial"/>
          <w:bCs/>
          <w:color w:val="000000"/>
          <w:sz w:val="22"/>
          <w:szCs w:val="22"/>
        </w:rPr>
        <w:t xml:space="preserve"> ve zdrojích („Sources“) typu Book Series nebo Conference Proceedings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 xml:space="preserve"> či v databázi Conference Proceedings Citation Index společnosti Thomson Reuters</w:t>
      </w:r>
      <w:r w:rsidR="00FD5C32" w:rsidRPr="001C280C">
        <w:rPr>
          <w:rFonts w:ascii="Arial" w:hAnsi="Arial" w:cs="Arial"/>
          <w:bCs/>
          <w:color w:val="000000"/>
          <w:sz w:val="22"/>
          <w:szCs w:val="22"/>
        </w:rPr>
        <w:t xml:space="preserve">, má přidělen ISBN, případně ISSN i ISBN kód </w:t>
      </w:r>
      <w:r w:rsidR="00D654FD" w:rsidRPr="001C280C">
        <w:rPr>
          <w:rFonts w:ascii="Arial" w:hAnsi="Arial" w:cs="Arial"/>
          <w:bCs/>
          <w:color w:val="000000"/>
          <w:sz w:val="22"/>
          <w:szCs w:val="22"/>
        </w:rPr>
        <w:t>a </w:t>
      </w:r>
      <w:r w:rsidR="00FD5C32" w:rsidRPr="001C280C">
        <w:rPr>
          <w:rFonts w:ascii="Arial" w:hAnsi="Arial" w:cs="Arial"/>
          <w:bCs/>
          <w:color w:val="000000"/>
          <w:sz w:val="22"/>
          <w:szCs w:val="22"/>
        </w:rPr>
        <w:t>který má celkový rozsah minimálně 2 strany</w:t>
      </w:r>
      <w:r w:rsidRPr="001C280C">
        <w:rPr>
          <w:rFonts w:ascii="Arial" w:hAnsi="Arial" w:cs="Arial"/>
          <w:bCs/>
          <w:color w:val="000000"/>
          <w:sz w:val="22"/>
          <w:szCs w:val="22"/>
        </w:rPr>
        <w:t>).</w:t>
      </w:r>
    </w:p>
    <w:p w14:paraId="3D89D16D" w14:textId="77777777" w:rsidR="001A687F" w:rsidRPr="001C280C" w:rsidRDefault="00774FF9" w:rsidP="003A5D06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O – ostatní výsledky</w:t>
      </w:r>
    </w:p>
    <w:bookmarkEnd w:id="3"/>
    <w:bookmarkEnd w:id="4"/>
    <w:p w14:paraId="6B3422CE" w14:textId="77777777" w:rsidR="001A687F" w:rsidRPr="001C280C" w:rsidRDefault="001A687F" w:rsidP="001A687F">
      <w:pPr>
        <w:spacing w:after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4A281B5E" w14:textId="77777777" w:rsidR="001A687F" w:rsidRPr="001C280C" w:rsidRDefault="001A687F" w:rsidP="004E41EE">
      <w:pPr>
        <w:pStyle w:val="Zkladntext"/>
        <w:keepNext/>
        <w:spacing w:after="60"/>
        <w:outlineLvl w:val="0"/>
        <w:rPr>
          <w:color w:val="000000"/>
          <w:sz w:val="22"/>
          <w:szCs w:val="22"/>
          <w:u w:val="single"/>
        </w:rPr>
      </w:pPr>
      <w:r w:rsidRPr="001C280C">
        <w:rPr>
          <w:color w:val="000000"/>
          <w:sz w:val="22"/>
          <w:szCs w:val="22"/>
        </w:rPr>
        <w:t>1</w:t>
      </w:r>
      <w:r w:rsidR="00A863C9" w:rsidRPr="001C280C">
        <w:rPr>
          <w:color w:val="000000"/>
          <w:sz w:val="22"/>
          <w:szCs w:val="22"/>
        </w:rPr>
        <w:t>6</w:t>
      </w:r>
      <w:r w:rsidRPr="001C280C">
        <w:rPr>
          <w:color w:val="000000"/>
          <w:sz w:val="22"/>
          <w:szCs w:val="22"/>
        </w:rPr>
        <w:t>.</w:t>
      </w:r>
      <w:r w:rsidR="00DF14A2" w:rsidRPr="001C280C">
        <w:rPr>
          <w:color w:val="000000"/>
          <w:sz w:val="22"/>
          <w:szCs w:val="22"/>
        </w:rPr>
        <w:tab/>
      </w:r>
      <w:r w:rsidRPr="001C280C">
        <w:rPr>
          <w:color w:val="000000"/>
          <w:sz w:val="22"/>
          <w:szCs w:val="22"/>
          <w:u w:val="single"/>
        </w:rPr>
        <w:t>Proces hodnocení návrhů projektů:</w:t>
      </w:r>
    </w:p>
    <w:p w14:paraId="7FAEB997" w14:textId="2192881A" w:rsidR="009D7FB7" w:rsidRPr="001C280C" w:rsidRDefault="0051654E" w:rsidP="006874C8">
      <w:pPr>
        <w:pStyle w:val="Zkladntext"/>
        <w:keepNext/>
        <w:ind w:firstLine="284"/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>Hodnocení</w:t>
      </w:r>
      <w:r w:rsidR="001823BA" w:rsidRPr="001C280C">
        <w:rPr>
          <w:color w:val="000000"/>
          <w:sz w:val="22"/>
          <w:szCs w:val="22"/>
        </w:rPr>
        <w:t xml:space="preserve"> projektů </w:t>
      </w:r>
      <w:r w:rsidR="00BA0F44" w:rsidRPr="001C280C">
        <w:rPr>
          <w:color w:val="000000"/>
          <w:sz w:val="22"/>
          <w:szCs w:val="22"/>
        </w:rPr>
        <w:t xml:space="preserve">ze skupiny grantových projektů </w:t>
      </w:r>
      <w:r w:rsidR="001823BA" w:rsidRPr="001C280C">
        <w:rPr>
          <w:color w:val="000000"/>
          <w:sz w:val="22"/>
          <w:szCs w:val="22"/>
        </w:rPr>
        <w:t xml:space="preserve">„Podpora ERC </w:t>
      </w:r>
      <w:r w:rsidR="00524A3B" w:rsidRPr="001C280C">
        <w:rPr>
          <w:color w:val="000000"/>
          <w:sz w:val="22"/>
          <w:szCs w:val="22"/>
        </w:rPr>
        <w:t>žadatelů</w:t>
      </w:r>
      <w:r w:rsidR="001823BA" w:rsidRPr="001C280C">
        <w:rPr>
          <w:color w:val="000000"/>
          <w:sz w:val="22"/>
          <w:szCs w:val="22"/>
        </w:rPr>
        <w:t xml:space="preserve">“ </w:t>
      </w:r>
      <w:r w:rsidRPr="001C280C">
        <w:rPr>
          <w:color w:val="000000"/>
          <w:sz w:val="22"/>
          <w:szCs w:val="22"/>
        </w:rPr>
        <w:t>budou provádět</w:t>
      </w:r>
      <w:r w:rsidR="001823BA" w:rsidRPr="001C280C">
        <w:rPr>
          <w:color w:val="000000"/>
          <w:sz w:val="22"/>
          <w:szCs w:val="22"/>
        </w:rPr>
        <w:t xml:space="preserve"> </w:t>
      </w:r>
      <w:r w:rsidR="007D2679" w:rsidRPr="001C280C">
        <w:rPr>
          <w:color w:val="000000"/>
          <w:sz w:val="22"/>
          <w:szCs w:val="22"/>
        </w:rPr>
        <w:t xml:space="preserve">tříčlenné </w:t>
      </w:r>
      <w:r w:rsidR="001823BA" w:rsidRPr="001C280C">
        <w:rPr>
          <w:color w:val="000000"/>
          <w:sz w:val="22"/>
          <w:szCs w:val="22"/>
        </w:rPr>
        <w:t xml:space="preserve">odborné komise. </w:t>
      </w:r>
      <w:r w:rsidRPr="001C280C">
        <w:rPr>
          <w:color w:val="000000"/>
          <w:sz w:val="22"/>
          <w:szCs w:val="22"/>
        </w:rPr>
        <w:t xml:space="preserve">Členem odborné komise bude </w:t>
      </w:r>
      <w:r w:rsidR="00BA0F44" w:rsidRPr="001C280C">
        <w:rPr>
          <w:color w:val="000000"/>
          <w:sz w:val="22"/>
          <w:szCs w:val="22"/>
        </w:rPr>
        <w:t xml:space="preserve">hostitel - řešitel </w:t>
      </w:r>
      <w:r w:rsidR="007D2679" w:rsidRPr="001C280C">
        <w:rPr>
          <w:color w:val="000000"/>
          <w:sz w:val="22"/>
          <w:szCs w:val="22"/>
        </w:rPr>
        <w:t xml:space="preserve">běžícího </w:t>
      </w:r>
      <w:r w:rsidR="009D7FB7" w:rsidRPr="001C280C">
        <w:rPr>
          <w:color w:val="000000"/>
          <w:sz w:val="22"/>
          <w:szCs w:val="22"/>
        </w:rPr>
        <w:t>ERC grantového projektu</w:t>
      </w:r>
      <w:r w:rsidR="00F9746B" w:rsidRPr="001C280C">
        <w:rPr>
          <w:color w:val="000000"/>
          <w:sz w:val="22"/>
          <w:szCs w:val="22"/>
        </w:rPr>
        <w:t xml:space="preserve"> („Principal </w:t>
      </w:r>
      <w:r w:rsidR="007C7861" w:rsidRPr="001C280C">
        <w:rPr>
          <w:color w:val="000000"/>
          <w:sz w:val="22"/>
          <w:szCs w:val="22"/>
        </w:rPr>
        <w:t>Investigator</w:t>
      </w:r>
      <w:r w:rsidR="00F9746B" w:rsidRPr="001C280C">
        <w:rPr>
          <w:color w:val="000000"/>
          <w:sz w:val="22"/>
          <w:szCs w:val="22"/>
        </w:rPr>
        <w:t>“)</w:t>
      </w:r>
      <w:r w:rsidR="00BA0F44" w:rsidRPr="001C280C">
        <w:rPr>
          <w:color w:val="000000"/>
          <w:sz w:val="22"/>
          <w:szCs w:val="22"/>
        </w:rPr>
        <w:t>, na jehož pracovišti navrhovatel zamýšlí ře</w:t>
      </w:r>
      <w:r w:rsidR="00F9746B" w:rsidRPr="001C280C">
        <w:rPr>
          <w:color w:val="000000"/>
          <w:sz w:val="22"/>
          <w:szCs w:val="22"/>
        </w:rPr>
        <w:t>š</w:t>
      </w:r>
      <w:r w:rsidR="00BA0F44" w:rsidRPr="001C280C">
        <w:rPr>
          <w:color w:val="000000"/>
          <w:sz w:val="22"/>
          <w:szCs w:val="22"/>
        </w:rPr>
        <w:t xml:space="preserve">it svůj projekt ze skupiny grantových projektů „Podpora ERC </w:t>
      </w:r>
      <w:r w:rsidR="00524A3B" w:rsidRPr="001C280C">
        <w:rPr>
          <w:color w:val="000000"/>
          <w:sz w:val="22"/>
          <w:szCs w:val="22"/>
        </w:rPr>
        <w:t>žadatelů</w:t>
      </w:r>
      <w:r w:rsidR="00BA0F44" w:rsidRPr="001C280C">
        <w:rPr>
          <w:color w:val="000000"/>
          <w:sz w:val="22"/>
          <w:szCs w:val="22"/>
        </w:rPr>
        <w:t>“</w:t>
      </w:r>
      <w:r w:rsidR="00F9746B" w:rsidRPr="001C280C">
        <w:rPr>
          <w:color w:val="000000"/>
          <w:sz w:val="22"/>
          <w:szCs w:val="22"/>
        </w:rPr>
        <w:t>,</w:t>
      </w:r>
      <w:r w:rsidR="00BA0F44" w:rsidRPr="001C280C">
        <w:rPr>
          <w:color w:val="000000"/>
          <w:sz w:val="22"/>
          <w:szCs w:val="22"/>
        </w:rPr>
        <w:t xml:space="preserve"> </w:t>
      </w:r>
      <w:r w:rsidR="009D7FB7" w:rsidRPr="001C280C">
        <w:rPr>
          <w:color w:val="000000"/>
          <w:sz w:val="22"/>
          <w:szCs w:val="22"/>
        </w:rPr>
        <w:t>a další dva hodnotitelé se zkušenostmi s</w:t>
      </w:r>
      <w:r w:rsidR="002C24EB" w:rsidRPr="001C280C">
        <w:rPr>
          <w:color w:val="000000"/>
          <w:sz w:val="22"/>
          <w:szCs w:val="22"/>
        </w:rPr>
        <w:t> </w:t>
      </w:r>
      <w:r w:rsidR="009D7FB7" w:rsidRPr="001C280C">
        <w:rPr>
          <w:color w:val="000000"/>
          <w:sz w:val="22"/>
          <w:szCs w:val="22"/>
        </w:rPr>
        <w:t xml:space="preserve">řešením ERC projektů, z nichž alespoň jeden je zahraniční. Rozhodujícím orgánem je předsednictvo GA ČR. </w:t>
      </w:r>
    </w:p>
    <w:p w14:paraId="6D12CAE4" w14:textId="77777777" w:rsidR="001823BA" w:rsidRPr="001C280C" w:rsidRDefault="009D7FB7" w:rsidP="006874C8">
      <w:pPr>
        <w:pStyle w:val="Zkladntext"/>
        <w:keepNext/>
        <w:ind w:firstLine="284"/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>Hodnocení návrhů projektů bude probíhat podle následujících kritérií:</w:t>
      </w:r>
    </w:p>
    <w:p w14:paraId="04FE828B" w14:textId="40829C49" w:rsidR="009D7FB7" w:rsidRPr="001C280C" w:rsidRDefault="009D7FB7" w:rsidP="006874C8">
      <w:pPr>
        <w:pStyle w:val="Zkladntext"/>
        <w:keepNext/>
        <w:numPr>
          <w:ilvl w:val="0"/>
          <w:numId w:val="18"/>
        </w:numPr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>hodnocení pravdivosti, úplnosti a správnosti údajů v návrzích projektů z hlediska splnění všech náležitostí stanovených zákonnou právní úpravou a zadávací dokumentací pro návrhy projektů, které zahrnuje i kontrolu vzájemné nerozpornosti údajů obsažených v návrzích projektů</w:t>
      </w:r>
      <w:r w:rsidR="00D654FD" w:rsidRPr="001C280C">
        <w:rPr>
          <w:color w:val="000000"/>
          <w:sz w:val="22"/>
          <w:szCs w:val="22"/>
        </w:rPr>
        <w:t>,</w:t>
      </w:r>
    </w:p>
    <w:p w14:paraId="32E2CFC2" w14:textId="431153F3" w:rsidR="009D7FB7" w:rsidRPr="001C280C" w:rsidRDefault="009D7FB7" w:rsidP="006874C8">
      <w:pPr>
        <w:pStyle w:val="Zkladntext"/>
        <w:keepNext/>
        <w:numPr>
          <w:ilvl w:val="0"/>
          <w:numId w:val="18"/>
        </w:numPr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>hodnocení odborné úrovně návrhů projektu, které zahrnuje posouzení originality, kvality a úrovně navrhovaného grantového projektu, schopnost uchazeče podat v budoucnosti žádost o grant na podporu projektu do jedné z hlavních ERC výzev (StG, CoG, AdG);</w:t>
      </w:r>
      <w:r w:rsidRPr="001C280C">
        <w:rPr>
          <w:sz w:val="22"/>
          <w:szCs w:val="22"/>
        </w:rPr>
        <w:t xml:space="preserve"> </w:t>
      </w:r>
      <w:r w:rsidR="00D654FD" w:rsidRPr="001C280C">
        <w:rPr>
          <w:color w:val="000000"/>
          <w:sz w:val="22"/>
          <w:szCs w:val="22"/>
        </w:rPr>
        <w:t>přitom</w:t>
      </w:r>
      <w:r w:rsidRPr="001C280C">
        <w:rPr>
          <w:color w:val="000000"/>
          <w:sz w:val="22"/>
          <w:szCs w:val="22"/>
        </w:rPr>
        <w:t xml:space="preserve"> se posuzují odborné schopnosti, jejich tvůrčí přínos ve</w:t>
      </w:r>
      <w:r w:rsidR="002C24EB" w:rsidRPr="001C280C">
        <w:rPr>
          <w:color w:val="000000"/>
          <w:sz w:val="22"/>
          <w:szCs w:val="22"/>
        </w:rPr>
        <w:t> </w:t>
      </w:r>
      <w:r w:rsidR="002C24EB" w:rsidRPr="001C280C" w:rsidDel="002C24EB">
        <w:rPr>
          <w:color w:val="000000"/>
          <w:sz w:val="22"/>
          <w:szCs w:val="22"/>
        </w:rPr>
        <w:t xml:space="preserve"> </w:t>
      </w:r>
      <w:r w:rsidRPr="001C280C">
        <w:rPr>
          <w:color w:val="000000"/>
          <w:sz w:val="22"/>
          <w:szCs w:val="22"/>
        </w:rPr>
        <w:t>vědní oblasti podle zaměření návrhu projektu, a to s ohledem na jejich dosavadní výsledky ve výzkumu a experimentálním vývoji</w:t>
      </w:r>
      <w:r w:rsidR="00D654FD" w:rsidRPr="001C280C">
        <w:rPr>
          <w:color w:val="000000"/>
          <w:sz w:val="22"/>
          <w:szCs w:val="22"/>
        </w:rPr>
        <w:t>,</w:t>
      </w:r>
    </w:p>
    <w:p w14:paraId="42492755" w14:textId="39D2EAEB" w:rsidR="009D7FB7" w:rsidRPr="001C280C" w:rsidRDefault="009D7FB7" w:rsidP="006874C8">
      <w:pPr>
        <w:pStyle w:val="Zkladntext"/>
        <w:keepNext/>
        <w:numPr>
          <w:ilvl w:val="0"/>
          <w:numId w:val="18"/>
        </w:numPr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>hodnocení navržených nákladů; zejména posouzení přiměřenosti navržených nákladů ve vztahu k návrhu projektu</w:t>
      </w:r>
      <w:r w:rsidR="00D654FD" w:rsidRPr="001C280C">
        <w:rPr>
          <w:color w:val="000000"/>
          <w:sz w:val="22"/>
          <w:szCs w:val="22"/>
        </w:rPr>
        <w:t>,</w:t>
      </w:r>
    </w:p>
    <w:p w14:paraId="0B76CA43" w14:textId="762DDC8D" w:rsidR="00EE3200" w:rsidRPr="001C280C" w:rsidRDefault="00EE3200" w:rsidP="006874C8">
      <w:pPr>
        <w:pStyle w:val="Zkladntext"/>
        <w:keepNext/>
        <w:numPr>
          <w:ilvl w:val="0"/>
          <w:numId w:val="18"/>
        </w:numPr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 xml:space="preserve">hodnocení </w:t>
      </w:r>
      <w:r w:rsidR="007D2679" w:rsidRPr="001C280C">
        <w:rPr>
          <w:color w:val="000000"/>
          <w:sz w:val="22"/>
          <w:szCs w:val="22"/>
        </w:rPr>
        <w:t xml:space="preserve">nástinu návrhu </w:t>
      </w:r>
      <w:r w:rsidRPr="001C280C">
        <w:rPr>
          <w:color w:val="000000"/>
          <w:sz w:val="22"/>
          <w:szCs w:val="22"/>
        </w:rPr>
        <w:t>zamýšleného ERC projektu</w:t>
      </w:r>
      <w:r w:rsidR="004D0FC8" w:rsidRPr="001C280C">
        <w:rPr>
          <w:color w:val="000000"/>
          <w:sz w:val="22"/>
          <w:szCs w:val="22"/>
        </w:rPr>
        <w:t xml:space="preserve"> v rozsahu max</w:t>
      </w:r>
      <w:r w:rsidR="00E83EC3" w:rsidRPr="001C280C">
        <w:rPr>
          <w:color w:val="000000"/>
          <w:sz w:val="22"/>
          <w:szCs w:val="22"/>
        </w:rPr>
        <w:t>imálně</w:t>
      </w:r>
      <w:r w:rsidR="004D0FC8" w:rsidRPr="001C280C">
        <w:rPr>
          <w:color w:val="000000"/>
          <w:sz w:val="22"/>
          <w:szCs w:val="22"/>
        </w:rPr>
        <w:t xml:space="preserve"> 5 stran </w:t>
      </w:r>
      <w:r w:rsidR="00E83EC3" w:rsidRPr="001C280C">
        <w:rPr>
          <w:color w:val="000000"/>
          <w:sz w:val="22"/>
          <w:szCs w:val="22"/>
        </w:rPr>
        <w:t xml:space="preserve">formátu </w:t>
      </w:r>
      <w:r w:rsidR="004D0FC8" w:rsidRPr="001C280C">
        <w:rPr>
          <w:color w:val="000000"/>
          <w:sz w:val="22"/>
          <w:szCs w:val="22"/>
        </w:rPr>
        <w:t>A4</w:t>
      </w:r>
      <w:r w:rsidR="007C7861" w:rsidRPr="001C280C">
        <w:rPr>
          <w:color w:val="000000"/>
          <w:sz w:val="22"/>
          <w:szCs w:val="22"/>
        </w:rPr>
        <w:t>.</w:t>
      </w:r>
    </w:p>
    <w:p w14:paraId="673A32C5" w14:textId="050E3E54" w:rsidR="009D7FB7" w:rsidRPr="001C280C" w:rsidRDefault="009D3DB3" w:rsidP="006874C8">
      <w:pPr>
        <w:pStyle w:val="Zkladntext"/>
        <w:keepNext/>
        <w:ind w:firstLine="284"/>
        <w:rPr>
          <w:color w:val="000000"/>
          <w:sz w:val="22"/>
          <w:szCs w:val="22"/>
        </w:rPr>
      </w:pPr>
      <w:r w:rsidRPr="001C280C">
        <w:rPr>
          <w:color w:val="000000"/>
          <w:sz w:val="22"/>
          <w:szCs w:val="22"/>
        </w:rPr>
        <w:t xml:space="preserve">Systém posuzování návrhu projektu </w:t>
      </w:r>
      <w:r w:rsidR="006874C8" w:rsidRPr="001C280C">
        <w:rPr>
          <w:color w:val="000000"/>
          <w:sz w:val="22"/>
          <w:szCs w:val="22"/>
        </w:rPr>
        <w:t>bude</w:t>
      </w:r>
      <w:r w:rsidR="00D654FD" w:rsidRPr="001C280C">
        <w:rPr>
          <w:color w:val="000000"/>
          <w:sz w:val="22"/>
          <w:szCs w:val="22"/>
        </w:rPr>
        <w:t xml:space="preserve"> koncipován tak, aby byl eliminován či omezen </w:t>
      </w:r>
      <w:r w:rsidRPr="001C280C">
        <w:rPr>
          <w:color w:val="000000"/>
          <w:sz w:val="22"/>
          <w:szCs w:val="22"/>
        </w:rPr>
        <w:t>prostor pro zájmové vlivy a předešlo se konfliktu zájmů.</w:t>
      </w:r>
    </w:p>
    <w:p w14:paraId="3EBAA5E1" w14:textId="77777777" w:rsidR="001A687F" w:rsidRPr="001C280C" w:rsidRDefault="00B744DF" w:rsidP="009D3DB3">
      <w:pPr>
        <w:pStyle w:val="normalodsazene"/>
        <w:tabs>
          <w:tab w:val="clear" w:pos="709"/>
        </w:tabs>
        <w:ind w:left="0" w:firstLine="284"/>
        <w:rPr>
          <w:rFonts w:cs="Arial"/>
          <w:color w:val="000000"/>
          <w:szCs w:val="22"/>
        </w:rPr>
      </w:pPr>
      <w:r w:rsidRPr="001C280C">
        <w:rPr>
          <w:rFonts w:cs="Arial"/>
          <w:color w:val="000000"/>
          <w:szCs w:val="22"/>
        </w:rPr>
        <w:t xml:space="preserve">Podrobnější </w:t>
      </w:r>
      <w:r w:rsidR="00B07A88" w:rsidRPr="001C280C">
        <w:rPr>
          <w:rFonts w:cs="Arial"/>
          <w:color w:val="000000"/>
          <w:szCs w:val="22"/>
        </w:rPr>
        <w:t xml:space="preserve">kritéria </w:t>
      </w:r>
      <w:r w:rsidR="001A687F" w:rsidRPr="001C280C">
        <w:rPr>
          <w:rFonts w:cs="Arial"/>
          <w:color w:val="000000"/>
          <w:szCs w:val="22"/>
        </w:rPr>
        <w:t>hodnocení návrhů bud</w:t>
      </w:r>
      <w:r w:rsidR="00B07A88" w:rsidRPr="001C280C">
        <w:rPr>
          <w:rFonts w:cs="Arial"/>
          <w:color w:val="000000"/>
          <w:szCs w:val="22"/>
        </w:rPr>
        <w:t>ou</w:t>
      </w:r>
      <w:r w:rsidR="001A687F" w:rsidRPr="001C280C">
        <w:rPr>
          <w:rFonts w:cs="Arial"/>
          <w:color w:val="000000"/>
          <w:szCs w:val="22"/>
        </w:rPr>
        <w:t xml:space="preserve"> stanoven</w:t>
      </w:r>
      <w:r w:rsidRPr="001C280C">
        <w:rPr>
          <w:rFonts w:cs="Arial"/>
          <w:color w:val="000000"/>
          <w:szCs w:val="22"/>
        </w:rPr>
        <w:t>a</w:t>
      </w:r>
      <w:r w:rsidR="001A687F" w:rsidRPr="001C280C">
        <w:rPr>
          <w:rFonts w:cs="Arial"/>
          <w:color w:val="000000"/>
          <w:szCs w:val="22"/>
        </w:rPr>
        <w:t xml:space="preserve"> </w:t>
      </w:r>
      <w:r w:rsidR="000E3184" w:rsidRPr="001C280C">
        <w:rPr>
          <w:rFonts w:cs="Arial"/>
          <w:color w:val="000000"/>
          <w:szCs w:val="22"/>
        </w:rPr>
        <w:t xml:space="preserve">v textu výzvy </w:t>
      </w:r>
      <w:r w:rsidR="001A687F" w:rsidRPr="001C280C">
        <w:rPr>
          <w:rFonts w:cs="Arial"/>
          <w:color w:val="000000"/>
          <w:szCs w:val="22"/>
        </w:rPr>
        <w:t xml:space="preserve">pro </w:t>
      </w:r>
      <w:r w:rsidR="00D13EE8" w:rsidRPr="001C280C">
        <w:rPr>
          <w:rFonts w:cs="Arial"/>
          <w:color w:val="000000"/>
          <w:szCs w:val="22"/>
        </w:rPr>
        <w:t xml:space="preserve">skupinu grantových projektů </w:t>
      </w:r>
      <w:r w:rsidR="001A687F" w:rsidRPr="001C280C">
        <w:rPr>
          <w:rFonts w:cs="Arial"/>
          <w:color w:val="000000"/>
          <w:szCs w:val="22"/>
        </w:rPr>
        <w:t>„</w:t>
      </w:r>
      <w:r w:rsidR="009D3DB3" w:rsidRPr="001C280C">
        <w:rPr>
          <w:rFonts w:cs="Arial"/>
          <w:color w:val="000000"/>
          <w:szCs w:val="22"/>
        </w:rPr>
        <w:t xml:space="preserve">Podpora ERC </w:t>
      </w:r>
      <w:r w:rsidR="00524A3B" w:rsidRPr="001C280C">
        <w:rPr>
          <w:rFonts w:cs="Arial"/>
          <w:color w:val="000000"/>
          <w:szCs w:val="22"/>
        </w:rPr>
        <w:t>žadatelů</w:t>
      </w:r>
      <w:r w:rsidR="001A687F" w:rsidRPr="001C280C">
        <w:rPr>
          <w:rFonts w:cs="Arial"/>
          <w:color w:val="000000"/>
          <w:szCs w:val="22"/>
        </w:rPr>
        <w:t>“</w:t>
      </w:r>
      <w:r w:rsidR="00413A24" w:rsidRPr="001C280C">
        <w:rPr>
          <w:rFonts w:cs="Arial"/>
          <w:color w:val="000000"/>
          <w:szCs w:val="22"/>
        </w:rPr>
        <w:t>.</w:t>
      </w:r>
    </w:p>
    <w:p w14:paraId="197A7B50" w14:textId="77777777" w:rsidR="009D3DB3" w:rsidRPr="001C280C" w:rsidRDefault="009D3DB3" w:rsidP="009D3DB3">
      <w:pPr>
        <w:pStyle w:val="normalodsazene"/>
        <w:tabs>
          <w:tab w:val="clear" w:pos="709"/>
        </w:tabs>
        <w:ind w:left="0" w:firstLine="284"/>
        <w:rPr>
          <w:rFonts w:cs="Arial"/>
          <w:bCs/>
          <w:color w:val="000000"/>
          <w:szCs w:val="22"/>
        </w:rPr>
      </w:pPr>
    </w:p>
    <w:p w14:paraId="0AD965FC" w14:textId="77777777" w:rsidR="001A687F" w:rsidRPr="001C280C" w:rsidRDefault="001A687F" w:rsidP="004E41EE">
      <w:pPr>
        <w:pStyle w:val="Zkladntext"/>
        <w:keepNext/>
        <w:spacing w:after="60"/>
        <w:outlineLvl w:val="0"/>
        <w:rPr>
          <w:color w:val="000000"/>
          <w:sz w:val="22"/>
          <w:szCs w:val="22"/>
          <w:u w:val="single"/>
        </w:rPr>
      </w:pPr>
      <w:r w:rsidRPr="001C280C">
        <w:rPr>
          <w:color w:val="000000"/>
          <w:sz w:val="22"/>
          <w:szCs w:val="22"/>
        </w:rPr>
        <w:t>1</w:t>
      </w:r>
      <w:r w:rsidR="006874C8" w:rsidRPr="001C280C">
        <w:rPr>
          <w:color w:val="000000"/>
          <w:sz w:val="22"/>
          <w:szCs w:val="22"/>
        </w:rPr>
        <w:t>7</w:t>
      </w:r>
      <w:r w:rsidRPr="001C280C">
        <w:rPr>
          <w:color w:val="000000"/>
          <w:sz w:val="22"/>
          <w:szCs w:val="22"/>
        </w:rPr>
        <w:t>.</w:t>
      </w:r>
      <w:r w:rsidRPr="001C280C">
        <w:rPr>
          <w:color w:val="000000"/>
          <w:sz w:val="22"/>
          <w:szCs w:val="22"/>
        </w:rPr>
        <w:tab/>
      </w:r>
      <w:r w:rsidRPr="001C280C">
        <w:rPr>
          <w:color w:val="000000"/>
          <w:sz w:val="22"/>
          <w:szCs w:val="22"/>
          <w:u w:val="single"/>
        </w:rPr>
        <w:t>Hodnocení výsledků projektů (ex post):</w:t>
      </w:r>
    </w:p>
    <w:p w14:paraId="512A37AF" w14:textId="77777777" w:rsidR="001A687F" w:rsidRPr="001C280C" w:rsidRDefault="001A687F" w:rsidP="004D5CC2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Hodnocení ukončeného grantového projektu</w:t>
      </w:r>
      <w:r w:rsidR="004D5CC2" w:rsidRPr="001C280C">
        <w:rPr>
          <w:rFonts w:ascii="Arial" w:hAnsi="Arial" w:cs="Arial"/>
          <w:color w:val="000000"/>
          <w:sz w:val="22"/>
          <w:szCs w:val="22"/>
        </w:rPr>
        <w:t xml:space="preserve"> budou provádět odborné komise</w:t>
      </w:r>
      <w:r w:rsidR="00854C49" w:rsidRPr="001C280C">
        <w:rPr>
          <w:rFonts w:ascii="Arial" w:hAnsi="Arial" w:cs="Arial"/>
          <w:color w:val="000000"/>
          <w:sz w:val="22"/>
          <w:szCs w:val="22"/>
        </w:rPr>
        <w:t xml:space="preserve"> (viz bod 16.)</w:t>
      </w:r>
      <w:r w:rsidRPr="001C280C">
        <w:rPr>
          <w:rFonts w:ascii="Arial" w:hAnsi="Arial" w:cs="Arial"/>
          <w:color w:val="000000"/>
          <w:sz w:val="22"/>
          <w:szCs w:val="22"/>
        </w:rPr>
        <w:t>, a to na</w:t>
      </w:r>
      <w:r w:rsidR="002C24EB" w:rsidRPr="001C280C">
        <w:rPr>
          <w:rFonts w:ascii="Arial" w:hAnsi="Arial" w:cs="Arial"/>
          <w:color w:val="000000"/>
          <w:sz w:val="22"/>
          <w:szCs w:val="22"/>
        </w:rPr>
        <w:t> </w:t>
      </w:r>
      <w:r w:rsidR="002C24EB" w:rsidRPr="001C280C" w:rsidDel="002C24EB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základě závěrečné zprávy a výsledku kontrolní činnosti o hospodaření s prostředky. </w:t>
      </w:r>
    </w:p>
    <w:p w14:paraId="5BA704D2" w14:textId="77777777" w:rsidR="001A687F" w:rsidRPr="001C280C" w:rsidRDefault="001A687F" w:rsidP="004D5CC2">
      <w:pPr>
        <w:pStyle w:val="normalodsazene"/>
        <w:tabs>
          <w:tab w:val="clear" w:pos="709"/>
          <w:tab w:val="left" w:pos="1673"/>
        </w:tabs>
        <w:ind w:left="0" w:firstLine="284"/>
        <w:rPr>
          <w:rFonts w:cs="Arial"/>
          <w:color w:val="000000"/>
          <w:szCs w:val="22"/>
        </w:rPr>
      </w:pPr>
      <w:r w:rsidRPr="001C280C">
        <w:rPr>
          <w:rFonts w:cs="Arial"/>
          <w:color w:val="000000"/>
          <w:szCs w:val="22"/>
        </w:rPr>
        <w:t xml:space="preserve">GA ČR </w:t>
      </w:r>
      <w:r w:rsidR="004D5CC2" w:rsidRPr="001C280C">
        <w:rPr>
          <w:rFonts w:cs="Arial"/>
          <w:color w:val="000000"/>
          <w:szCs w:val="22"/>
        </w:rPr>
        <w:t xml:space="preserve">bude </w:t>
      </w:r>
      <w:r w:rsidRPr="001C280C">
        <w:rPr>
          <w:rFonts w:cs="Arial"/>
          <w:color w:val="000000"/>
          <w:szCs w:val="22"/>
        </w:rPr>
        <w:t>hodnot</w:t>
      </w:r>
      <w:r w:rsidR="004D5CC2" w:rsidRPr="001C280C">
        <w:rPr>
          <w:rFonts w:cs="Arial"/>
          <w:color w:val="000000"/>
          <w:szCs w:val="22"/>
        </w:rPr>
        <w:t>it</w:t>
      </w:r>
      <w:r w:rsidRPr="001C280C">
        <w:rPr>
          <w:rFonts w:cs="Arial"/>
          <w:color w:val="000000"/>
          <w:szCs w:val="22"/>
        </w:rPr>
        <w:t xml:space="preserve"> závěrečnou zprávu a postup při řešení grantového projektu podle těchto hlavních kritérií:</w:t>
      </w:r>
    </w:p>
    <w:p w14:paraId="3170DABC" w14:textId="524186B8" w:rsidR="001A687F" w:rsidRPr="001C280C" w:rsidRDefault="001A687F" w:rsidP="004D5CC2">
      <w:pPr>
        <w:pStyle w:val="normalodsazene"/>
        <w:numPr>
          <w:ilvl w:val="0"/>
          <w:numId w:val="19"/>
        </w:numPr>
        <w:tabs>
          <w:tab w:val="clear" w:pos="360"/>
          <w:tab w:val="clear" w:pos="709"/>
        </w:tabs>
        <w:ind w:left="709"/>
        <w:rPr>
          <w:rFonts w:cs="Arial"/>
          <w:color w:val="000000"/>
          <w:szCs w:val="22"/>
        </w:rPr>
      </w:pPr>
      <w:r w:rsidRPr="001C280C">
        <w:rPr>
          <w:rFonts w:cs="Arial"/>
          <w:color w:val="000000"/>
          <w:szCs w:val="22"/>
        </w:rPr>
        <w:t>splnění</w:t>
      </w:r>
      <w:r w:rsidR="0004363A" w:rsidRPr="001C280C">
        <w:rPr>
          <w:rFonts w:cs="Arial"/>
          <w:color w:val="000000"/>
          <w:szCs w:val="22"/>
        </w:rPr>
        <w:t xml:space="preserve"> deklarovaného</w:t>
      </w:r>
      <w:r w:rsidRPr="001C280C">
        <w:rPr>
          <w:rFonts w:cs="Arial"/>
          <w:color w:val="000000"/>
          <w:szCs w:val="22"/>
        </w:rPr>
        <w:t xml:space="preserve"> </w:t>
      </w:r>
      <w:r w:rsidR="00595E5A" w:rsidRPr="001C280C">
        <w:rPr>
          <w:rFonts w:cs="Arial"/>
          <w:color w:val="000000"/>
          <w:szCs w:val="22"/>
        </w:rPr>
        <w:t>účelu</w:t>
      </w:r>
      <w:r w:rsidR="00CE4346" w:rsidRPr="001C280C">
        <w:rPr>
          <w:rFonts w:cs="Arial"/>
          <w:color w:val="000000"/>
          <w:szCs w:val="22"/>
        </w:rPr>
        <w:t xml:space="preserve"> </w:t>
      </w:r>
      <w:r w:rsidR="00D04CCF" w:rsidRPr="001C280C">
        <w:rPr>
          <w:rFonts w:cs="Arial"/>
          <w:color w:val="000000"/>
          <w:szCs w:val="22"/>
        </w:rPr>
        <w:t xml:space="preserve">projektu </w:t>
      </w:r>
      <w:r w:rsidR="004D5CC2" w:rsidRPr="001C280C">
        <w:rPr>
          <w:rFonts w:cs="Arial"/>
          <w:color w:val="000000"/>
          <w:szCs w:val="22"/>
        </w:rPr>
        <w:t xml:space="preserve">„Podpora ERC </w:t>
      </w:r>
      <w:r w:rsidR="00524A3B" w:rsidRPr="001C280C">
        <w:rPr>
          <w:rFonts w:cs="Arial"/>
          <w:color w:val="000000"/>
          <w:szCs w:val="22"/>
        </w:rPr>
        <w:t>žadatelů</w:t>
      </w:r>
      <w:r w:rsidR="004D5CC2" w:rsidRPr="001C280C">
        <w:rPr>
          <w:rFonts w:cs="Arial"/>
          <w:color w:val="000000"/>
          <w:szCs w:val="22"/>
        </w:rPr>
        <w:t>“ popsaných v části 12 tohoto materiálu</w:t>
      </w:r>
      <w:r w:rsidR="00D654FD" w:rsidRPr="001C280C">
        <w:rPr>
          <w:rFonts w:cs="Arial"/>
          <w:color w:val="000000"/>
          <w:szCs w:val="22"/>
        </w:rPr>
        <w:t>,</w:t>
      </w:r>
    </w:p>
    <w:p w14:paraId="51842E18" w14:textId="5DD7F917" w:rsidR="001A687F" w:rsidRPr="001C280C" w:rsidRDefault="001A687F" w:rsidP="004D5CC2">
      <w:pPr>
        <w:pStyle w:val="normalodsazene"/>
        <w:numPr>
          <w:ilvl w:val="0"/>
          <w:numId w:val="19"/>
        </w:numPr>
        <w:tabs>
          <w:tab w:val="clear" w:pos="360"/>
          <w:tab w:val="clear" w:pos="709"/>
        </w:tabs>
        <w:ind w:left="709"/>
        <w:rPr>
          <w:rFonts w:cs="Arial"/>
          <w:color w:val="000000"/>
          <w:szCs w:val="22"/>
        </w:rPr>
      </w:pPr>
      <w:r w:rsidRPr="001C280C">
        <w:rPr>
          <w:rFonts w:cs="Arial"/>
          <w:color w:val="000000"/>
          <w:szCs w:val="22"/>
        </w:rPr>
        <w:t xml:space="preserve">vyhodnocení hospodaření s přidělenými prostředky (kontroluje se čerpání přidělených prostředků, účelnost jejich vynaložení </w:t>
      </w:r>
      <w:r w:rsidR="00D654FD" w:rsidRPr="001C280C">
        <w:rPr>
          <w:rFonts w:cs="Arial"/>
          <w:color w:val="000000"/>
          <w:szCs w:val="22"/>
        </w:rPr>
        <w:t>a dodržení jejich skladby),</w:t>
      </w:r>
    </w:p>
    <w:p w14:paraId="56E939B7" w14:textId="77777777" w:rsidR="001A687F" w:rsidRPr="001C280C" w:rsidRDefault="001A687F" w:rsidP="004D5CC2">
      <w:pPr>
        <w:numPr>
          <w:ilvl w:val="0"/>
          <w:numId w:val="19"/>
        </w:numPr>
        <w:tabs>
          <w:tab w:val="clear" w:pos="360"/>
        </w:tabs>
        <w:spacing w:before="6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posouzení výsledků v členění podle druhů definovaných v části 15</w:t>
      </w:r>
      <w:r w:rsidR="00D72369" w:rsidRPr="001C280C">
        <w:rPr>
          <w:rFonts w:ascii="Arial" w:hAnsi="Arial" w:cs="Arial"/>
          <w:color w:val="000000"/>
          <w:sz w:val="22"/>
          <w:szCs w:val="22"/>
        </w:rPr>
        <w:t xml:space="preserve"> tohoto </w:t>
      </w:r>
      <w:r w:rsidR="00787C26" w:rsidRPr="001C280C">
        <w:rPr>
          <w:rFonts w:ascii="Arial" w:hAnsi="Arial" w:cs="Arial"/>
          <w:color w:val="000000"/>
          <w:sz w:val="22"/>
          <w:szCs w:val="22"/>
        </w:rPr>
        <w:t>materiálu</w:t>
      </w:r>
      <w:r w:rsidRPr="001C280C">
        <w:rPr>
          <w:rFonts w:ascii="Arial" w:hAnsi="Arial" w:cs="Arial"/>
          <w:color w:val="000000"/>
          <w:sz w:val="22"/>
          <w:szCs w:val="22"/>
        </w:rPr>
        <w:t>.</w:t>
      </w:r>
    </w:p>
    <w:p w14:paraId="4C580A01" w14:textId="77777777" w:rsidR="001A687F" w:rsidRPr="001C280C" w:rsidRDefault="001A687F" w:rsidP="00F02A07">
      <w:pPr>
        <w:pStyle w:val="Odstavecseseznamem"/>
        <w:ind w:left="709"/>
        <w:jc w:val="both"/>
        <w:rPr>
          <w:rFonts w:ascii="Arial" w:hAnsi="Arial" w:cs="Arial"/>
          <w:color w:val="000000"/>
          <w:sz w:val="22"/>
          <w:szCs w:val="22"/>
        </w:rPr>
      </w:pPr>
    </w:p>
    <w:p w14:paraId="6884B11C" w14:textId="77777777" w:rsidR="001A687F" w:rsidRPr="001C280C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cs="Arial"/>
          <w:color w:val="000000"/>
          <w:szCs w:val="22"/>
        </w:rPr>
      </w:pPr>
      <w:r w:rsidRPr="001C280C">
        <w:rPr>
          <w:rFonts w:cs="Arial"/>
          <w:color w:val="000000"/>
          <w:szCs w:val="22"/>
        </w:rPr>
        <w:t xml:space="preserve">O hodnocení ukončeného grantového projektu </w:t>
      </w:r>
      <w:r w:rsidR="004D5CC2" w:rsidRPr="001C280C">
        <w:rPr>
          <w:rFonts w:cs="Arial"/>
          <w:color w:val="000000"/>
          <w:szCs w:val="22"/>
        </w:rPr>
        <w:t xml:space="preserve">bude </w:t>
      </w:r>
      <w:r w:rsidR="00DD54C2" w:rsidRPr="001C280C">
        <w:rPr>
          <w:rFonts w:cs="Arial"/>
          <w:color w:val="000000"/>
          <w:szCs w:val="22"/>
        </w:rPr>
        <w:t>vypracován písemný</w:t>
      </w:r>
      <w:r w:rsidRPr="001C280C">
        <w:rPr>
          <w:rFonts w:cs="Arial"/>
          <w:color w:val="000000"/>
          <w:szCs w:val="22"/>
        </w:rPr>
        <w:t xml:space="preserve"> protokol</w:t>
      </w:r>
      <w:r w:rsidR="00DD54C2" w:rsidRPr="001C280C">
        <w:rPr>
          <w:rFonts w:cs="Arial"/>
          <w:color w:val="000000"/>
          <w:szCs w:val="22"/>
        </w:rPr>
        <w:t>.</w:t>
      </w:r>
      <w:r w:rsidRPr="001C280C">
        <w:rPr>
          <w:rFonts w:cs="Arial"/>
          <w:color w:val="000000"/>
          <w:szCs w:val="22"/>
        </w:rPr>
        <w:t xml:space="preserve"> </w:t>
      </w:r>
    </w:p>
    <w:p w14:paraId="458B7CD4" w14:textId="77777777" w:rsidR="001A687F" w:rsidRPr="001C280C" w:rsidRDefault="007D2679" w:rsidP="00946777">
      <w:pPr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Výsledky řešení jsou hodnoceny buď </w:t>
      </w:r>
      <w:r w:rsidRPr="001C280C">
        <w:rPr>
          <w:rFonts w:ascii="Arial" w:hAnsi="Arial" w:cs="Arial"/>
          <w:i/>
          <w:color w:val="000000"/>
          <w:sz w:val="22"/>
          <w:szCs w:val="22"/>
        </w:rPr>
        <w:t>splněno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nebo </w:t>
      </w:r>
      <w:r w:rsidRPr="001C280C">
        <w:rPr>
          <w:rFonts w:ascii="Arial" w:hAnsi="Arial" w:cs="Arial"/>
          <w:i/>
          <w:color w:val="000000"/>
          <w:sz w:val="22"/>
          <w:szCs w:val="22"/>
        </w:rPr>
        <w:t>nesplněno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3409BF2" w14:textId="77777777" w:rsidR="001A687F" w:rsidRPr="001C280C" w:rsidRDefault="001A687F" w:rsidP="001A687F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0AB5EF8" w14:textId="77777777" w:rsidR="001A687F" w:rsidRPr="001C280C" w:rsidRDefault="006874C8" w:rsidP="004E41EE">
      <w:pPr>
        <w:keepNext/>
        <w:spacing w:after="60"/>
        <w:ind w:left="482" w:hanging="482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1C280C">
        <w:rPr>
          <w:rFonts w:ascii="Arial" w:hAnsi="Arial" w:cs="Arial"/>
          <w:color w:val="000000"/>
          <w:sz w:val="22"/>
          <w:szCs w:val="22"/>
        </w:rPr>
        <w:lastRenderedPageBreak/>
        <w:t>18</w:t>
      </w:r>
      <w:r w:rsidR="0025292E" w:rsidRPr="001C280C">
        <w:rPr>
          <w:rFonts w:ascii="Arial" w:hAnsi="Arial" w:cs="Arial"/>
          <w:color w:val="000000"/>
          <w:sz w:val="22"/>
          <w:szCs w:val="22"/>
        </w:rPr>
        <w:t>.</w:t>
      </w:r>
      <w:r w:rsidR="00CA5F66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="0025292E" w:rsidRPr="001C280C">
        <w:rPr>
          <w:rFonts w:ascii="Arial" w:hAnsi="Arial" w:cs="Arial"/>
          <w:color w:val="000000"/>
          <w:sz w:val="22"/>
          <w:szCs w:val="22"/>
          <w:u w:val="single"/>
        </w:rPr>
        <w:t>S</w:t>
      </w:r>
      <w:r w:rsidR="001A687F" w:rsidRPr="001C280C">
        <w:rPr>
          <w:rFonts w:ascii="Arial" w:hAnsi="Arial" w:cs="Arial"/>
          <w:color w:val="000000"/>
          <w:sz w:val="22"/>
          <w:szCs w:val="22"/>
          <w:u w:val="single"/>
        </w:rPr>
        <w:t>plnění cílů skupiny grantových projektů:</w:t>
      </w:r>
    </w:p>
    <w:p w14:paraId="39671195" w14:textId="4812EE0C" w:rsidR="00CD4C56" w:rsidRPr="001C280C" w:rsidRDefault="00CD4C56" w:rsidP="00946777">
      <w:pPr>
        <w:spacing w:after="6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 xml:space="preserve">Navrhovaná skupina grantových projektů „Podpora ERC </w:t>
      </w:r>
      <w:r w:rsidR="00985AD2" w:rsidRPr="001C280C">
        <w:rPr>
          <w:rFonts w:ascii="Arial" w:hAnsi="Arial" w:cs="Arial"/>
          <w:color w:val="000000"/>
          <w:sz w:val="22"/>
          <w:szCs w:val="22"/>
        </w:rPr>
        <w:t>žada</w:t>
      </w:r>
      <w:r w:rsidR="007A50B9" w:rsidRPr="001C280C">
        <w:rPr>
          <w:rFonts w:ascii="Arial" w:hAnsi="Arial" w:cs="Arial"/>
          <w:color w:val="000000"/>
          <w:sz w:val="22"/>
          <w:szCs w:val="22"/>
        </w:rPr>
        <w:t>telů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“ splní svůj primární cíl tím, že dojde ke zvýšení </w:t>
      </w:r>
      <w:r w:rsidR="00D04CCF" w:rsidRPr="001C280C">
        <w:rPr>
          <w:rFonts w:ascii="Arial" w:hAnsi="Arial" w:cs="Arial"/>
          <w:color w:val="000000"/>
          <w:sz w:val="22"/>
          <w:szCs w:val="22"/>
        </w:rPr>
        <w:t xml:space="preserve">počtu podaných žádostí 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českých vědců v soutěžích ERC. </w:t>
      </w:r>
      <w:r w:rsidR="007D2679" w:rsidRPr="001C280C">
        <w:rPr>
          <w:rFonts w:ascii="Arial" w:hAnsi="Arial" w:cs="Arial"/>
          <w:color w:val="000000"/>
          <w:sz w:val="22"/>
          <w:szCs w:val="22"/>
        </w:rPr>
        <w:t xml:space="preserve">Předpokládá se, že dojde k </w:t>
      </w:r>
      <w:r w:rsidR="00D654FD" w:rsidRPr="001C280C">
        <w:rPr>
          <w:rFonts w:ascii="Arial" w:hAnsi="Arial" w:cs="Arial"/>
          <w:color w:val="000000"/>
          <w:sz w:val="22"/>
          <w:szCs w:val="22"/>
        </w:rPr>
        <w:t>nárůstu</w:t>
      </w:r>
      <w:r w:rsidR="007D2679" w:rsidRPr="001C280C">
        <w:rPr>
          <w:rFonts w:ascii="Arial" w:hAnsi="Arial" w:cs="Arial"/>
          <w:color w:val="000000"/>
          <w:sz w:val="22"/>
          <w:szCs w:val="22"/>
        </w:rPr>
        <w:t xml:space="preserve"> úspěšnosti českých vědců při získávání grantu ERC. </w:t>
      </w:r>
      <w:r w:rsidRPr="001C280C">
        <w:rPr>
          <w:rFonts w:ascii="Arial" w:hAnsi="Arial" w:cs="Arial"/>
          <w:color w:val="000000"/>
          <w:sz w:val="22"/>
          <w:szCs w:val="22"/>
        </w:rPr>
        <w:t>V</w:t>
      </w:r>
      <w:r w:rsidR="007C7861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obou případech jde o ukazatele, které jsou v současné době stále výrazně pod úrovní srovnatelných evropských zemí. Splnění těchto cílů je přitom v dlouhodobějším časovém horizontu měřitelné. </w:t>
      </w:r>
    </w:p>
    <w:p w14:paraId="421A5187" w14:textId="769F8B3E" w:rsidR="00CD4C56" w:rsidRPr="001C280C" w:rsidRDefault="00CD4C56" w:rsidP="00946777">
      <w:pPr>
        <w:keepNext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V dopadu na samotnou vědeckou komunitu budou cíle skupiny grantových projektů naplněny především v posílení excelence v</w:t>
      </w:r>
      <w:r w:rsidR="004D0FC8" w:rsidRPr="001C280C">
        <w:rPr>
          <w:rFonts w:ascii="Arial" w:hAnsi="Arial" w:cs="Arial"/>
          <w:color w:val="000000"/>
          <w:sz w:val="22"/>
          <w:szCs w:val="22"/>
        </w:rPr>
        <w:t>e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výzkumu v České republice. Očekává se etablování výrazných vědeckých osobností a sdílením zkušeností se stávající evropskou vědeckou špičkou také posílení jejich rozhledu v konkurenčním prostředí mezinárodního výzkumu. </w:t>
      </w:r>
    </w:p>
    <w:p w14:paraId="06B67E11" w14:textId="2B5EEC68" w:rsidR="00AE620B" w:rsidRPr="001C280C" w:rsidRDefault="00CD4C56" w:rsidP="00946777">
      <w:pPr>
        <w:ind w:firstLine="284"/>
        <w:jc w:val="both"/>
        <w:rPr>
          <w:rFonts w:ascii="Arial" w:hAnsi="Arial" w:cs="Arial"/>
          <w:bCs/>
          <w:sz w:val="22"/>
          <w:szCs w:val="22"/>
        </w:rPr>
      </w:pPr>
      <w:r w:rsidRPr="001C280C">
        <w:rPr>
          <w:rFonts w:ascii="Arial" w:hAnsi="Arial" w:cs="Arial"/>
          <w:color w:val="000000"/>
          <w:sz w:val="22"/>
          <w:szCs w:val="22"/>
        </w:rPr>
        <w:t>Nutnost posílit národní zdroje o prostředky získané ze struktur Evropské unie je dlouhodobě postulována na úrovni vlád, ministerstev i odpovědných úřadů. Žádoucí posílení financování projektů</w:t>
      </w:r>
      <w:r w:rsidR="004D0FC8" w:rsidRPr="001C280C">
        <w:rPr>
          <w:rFonts w:ascii="Arial" w:hAnsi="Arial" w:cs="Arial"/>
          <w:color w:val="000000"/>
          <w:sz w:val="22"/>
          <w:szCs w:val="22"/>
        </w:rPr>
        <w:t xml:space="preserve"> </w:t>
      </w:r>
      <w:r w:rsidRPr="001C280C">
        <w:rPr>
          <w:rFonts w:ascii="Arial" w:hAnsi="Arial" w:cs="Arial"/>
          <w:color w:val="000000"/>
          <w:sz w:val="22"/>
          <w:szCs w:val="22"/>
        </w:rPr>
        <w:t>výzkumu z těchto zdrojů je jedním z neméně významných dopadů navrhované skupiny grantových projektů. Z Analýzy stavu výzkumu, vývoje a inovací v ČR a</w:t>
      </w:r>
      <w:r w:rsidR="007C7861" w:rsidRPr="001C280C">
        <w:rPr>
          <w:rFonts w:ascii="Arial" w:hAnsi="Arial" w:cs="Arial"/>
          <w:color w:val="000000"/>
          <w:sz w:val="22"/>
          <w:szCs w:val="22"/>
        </w:rPr>
        <w:t> </w:t>
      </w:r>
      <w:r w:rsidRPr="001C280C">
        <w:rPr>
          <w:rFonts w:ascii="Arial" w:hAnsi="Arial" w:cs="Arial"/>
          <w:color w:val="000000"/>
          <w:sz w:val="22"/>
          <w:szCs w:val="22"/>
        </w:rPr>
        <w:t xml:space="preserve"> jejich srovnání se zahraničím v roce 2014 zveřejněné Úřadem vlády ČR v druhé polovině roku 2015 vyplynul i požadavek vicepremiéra pro vědu, výzkum a inovace Pavla Bělobrádka opřít se o vysoký objem finančních prostředků na vědu z fondů EU. Navrhovaná skupina grantových projektů „Podpora ERC </w:t>
      </w:r>
      <w:r w:rsidR="00524A3B" w:rsidRPr="001C280C">
        <w:rPr>
          <w:rFonts w:ascii="Arial" w:hAnsi="Arial" w:cs="Arial"/>
          <w:color w:val="000000"/>
          <w:sz w:val="22"/>
          <w:szCs w:val="22"/>
        </w:rPr>
        <w:t>žadatelů</w:t>
      </w:r>
      <w:r w:rsidRPr="001C280C">
        <w:rPr>
          <w:rFonts w:ascii="Arial" w:hAnsi="Arial" w:cs="Arial"/>
          <w:color w:val="000000"/>
          <w:sz w:val="22"/>
          <w:szCs w:val="22"/>
        </w:rPr>
        <w:t>“ odpovídá také tomuto zadání.</w:t>
      </w:r>
    </w:p>
    <w:sectPr w:rsidR="00AE620B" w:rsidRPr="001C280C" w:rsidSect="009E5F4A">
      <w:footerReference w:type="defaul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9313C62" w15:done="0"/>
  <w15:commentEx w15:paraId="60E6342C" w15:done="0"/>
  <w15:commentEx w15:paraId="7A6C5B2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2DE4E" w14:textId="77777777" w:rsidR="00E11347" w:rsidRDefault="00E11347" w:rsidP="00242386">
      <w:r>
        <w:separator/>
      </w:r>
    </w:p>
  </w:endnote>
  <w:endnote w:type="continuationSeparator" w:id="0">
    <w:p w14:paraId="7FFB2EA1" w14:textId="77777777" w:rsidR="00E11347" w:rsidRDefault="00E11347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F0C05" w14:textId="77777777" w:rsidR="004D0FC8" w:rsidRPr="00242386" w:rsidRDefault="004D0FC8" w:rsidP="0024238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70266">
      <w:rPr>
        <w:rFonts w:ascii="Arial" w:hAnsi="Arial" w:cs="Arial"/>
        <w:noProof/>
        <w:sz w:val="22"/>
        <w:szCs w:val="22"/>
      </w:rPr>
      <w:t>12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970266">
      <w:rPr>
        <w:rFonts w:ascii="Arial" w:hAnsi="Arial" w:cs="Arial"/>
        <w:noProof/>
        <w:sz w:val="22"/>
        <w:szCs w:val="22"/>
      </w:rPr>
      <w:t>12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EFF16" w14:textId="77777777" w:rsidR="00E11347" w:rsidRDefault="00E11347" w:rsidP="00242386">
      <w:r>
        <w:separator/>
      </w:r>
    </w:p>
  </w:footnote>
  <w:footnote w:type="continuationSeparator" w:id="0">
    <w:p w14:paraId="20171A64" w14:textId="77777777" w:rsidR="00E11347" w:rsidRDefault="00E11347" w:rsidP="00242386">
      <w:r>
        <w:continuationSeparator/>
      </w:r>
    </w:p>
  </w:footnote>
  <w:footnote w:id="1">
    <w:p w14:paraId="753DA905" w14:textId="77777777" w:rsidR="004D0FC8" w:rsidRDefault="004D0FC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>
          <w:rPr>
            <w:rStyle w:val="Hypertextovodkaz"/>
          </w:rPr>
          <w:t>https://erc.europa.eu/sites/default/files/press_release/files/ERC_Highlight_Fellowship_Viiting_Guidelines.pdf</w:t>
        </w:r>
      </w:hyperlink>
    </w:p>
  </w:footnote>
  <w:footnote w:id="2">
    <w:p w14:paraId="4D87A110" w14:textId="1197B811" w:rsidR="00BE39C5" w:rsidRDefault="00BE39C5">
      <w:pPr>
        <w:pStyle w:val="Textpoznpodarou"/>
      </w:pPr>
      <w:r>
        <w:rPr>
          <w:rStyle w:val="Znakapoznpodarou"/>
        </w:rPr>
        <w:footnoteRef/>
      </w:r>
      <w:r>
        <w:t xml:space="preserve"> ČR je uvedena v kategorii „jiné“</w:t>
      </w:r>
    </w:p>
  </w:footnote>
  <w:footnote w:id="3">
    <w:p w14:paraId="4483FFD6" w14:textId="03DAAEB1" w:rsidR="00462418" w:rsidRDefault="00462418">
      <w:pPr>
        <w:pStyle w:val="Textpoznpodarou"/>
      </w:pPr>
      <w:r>
        <w:rPr>
          <w:rStyle w:val="Znakapoznpodarou"/>
        </w:rPr>
        <w:footnoteRef/>
      </w:r>
      <w:r>
        <w:t xml:space="preserve"> ČR je uvedena v kategorii „jiné“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20BC"/>
    <w:multiLevelType w:val="hybridMultilevel"/>
    <w:tmpl w:val="1B04CDC4"/>
    <w:lvl w:ilvl="0" w:tplc="DC2ADEF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5709CD"/>
    <w:multiLevelType w:val="hybridMultilevel"/>
    <w:tmpl w:val="4D24EBA8"/>
    <w:lvl w:ilvl="0" w:tplc="1D885C0C">
      <w:start w:val="18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2">
    <w:nsid w:val="11DF5A65"/>
    <w:multiLevelType w:val="hybridMultilevel"/>
    <w:tmpl w:val="61020E56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>
    <w:nsid w:val="175B3A6A"/>
    <w:multiLevelType w:val="hybridMultilevel"/>
    <w:tmpl w:val="4784EEDE"/>
    <w:lvl w:ilvl="0" w:tplc="5B6A6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885C0C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D6E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08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01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D09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D6C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E26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D51F5D"/>
    <w:multiLevelType w:val="hybridMultilevel"/>
    <w:tmpl w:val="C4C8BE4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5">
    <w:nsid w:val="1BC048E0"/>
    <w:multiLevelType w:val="hybridMultilevel"/>
    <w:tmpl w:val="8FAC1F78"/>
    <w:lvl w:ilvl="0" w:tplc="E3ACC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22300"/>
    <w:multiLevelType w:val="hybridMultilevel"/>
    <w:tmpl w:val="B1769880"/>
    <w:lvl w:ilvl="0" w:tplc="D18C6798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952F4D"/>
    <w:multiLevelType w:val="hybridMultilevel"/>
    <w:tmpl w:val="AF0273C4"/>
    <w:lvl w:ilvl="0" w:tplc="33A0CFA6">
      <w:numFmt w:val="bullet"/>
      <w:lvlText w:val="-"/>
      <w:lvlJc w:val="left"/>
      <w:pPr>
        <w:ind w:left="1004" w:hanging="360"/>
      </w:pPr>
      <w:rPr>
        <w:rFonts w:ascii="Times-Roman" w:eastAsia="Times New Roman" w:hAnsi="Times-Roman" w:cs="Times-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20A5FE7"/>
    <w:multiLevelType w:val="hybridMultilevel"/>
    <w:tmpl w:val="CF9072E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9">
    <w:nsid w:val="3A852F9A"/>
    <w:multiLevelType w:val="hybridMultilevel"/>
    <w:tmpl w:val="DE70F524"/>
    <w:lvl w:ilvl="0" w:tplc="1D885C0C">
      <w:start w:val="180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>
    <w:nsid w:val="43862787"/>
    <w:multiLevelType w:val="hybridMultilevel"/>
    <w:tmpl w:val="A07419CE"/>
    <w:lvl w:ilvl="0" w:tplc="079ADFB2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1527198"/>
    <w:multiLevelType w:val="hybridMultilevel"/>
    <w:tmpl w:val="C07CD2E2"/>
    <w:lvl w:ilvl="0" w:tplc="DF2C28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72B46"/>
    <w:multiLevelType w:val="hybridMultilevel"/>
    <w:tmpl w:val="C2DE49F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3">
    <w:nsid w:val="5AE24709"/>
    <w:multiLevelType w:val="hybridMultilevel"/>
    <w:tmpl w:val="2624B0BE"/>
    <w:lvl w:ilvl="0" w:tplc="6034355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>
    <w:nsid w:val="66E65772"/>
    <w:multiLevelType w:val="hybridMultilevel"/>
    <w:tmpl w:val="DFC87C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5">
    <w:nsid w:val="6E1318D1"/>
    <w:multiLevelType w:val="hybridMultilevel"/>
    <w:tmpl w:val="73F299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F429DD"/>
    <w:multiLevelType w:val="hybridMultilevel"/>
    <w:tmpl w:val="5DBC7B78"/>
    <w:lvl w:ilvl="0" w:tplc="079ADFB2">
      <w:start w:val="17"/>
      <w:numFmt w:val="bullet"/>
      <w:lvlText w:val="-"/>
      <w:lvlJc w:val="left"/>
      <w:pPr>
        <w:ind w:left="20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</w:abstractNum>
  <w:abstractNum w:abstractNumId="17">
    <w:nsid w:val="7CB2091A"/>
    <w:multiLevelType w:val="hybridMultilevel"/>
    <w:tmpl w:val="C16A7F52"/>
    <w:lvl w:ilvl="0" w:tplc="6034355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8">
    <w:nsid w:val="7D464B00"/>
    <w:multiLevelType w:val="hybridMultilevel"/>
    <w:tmpl w:val="182EE830"/>
    <w:lvl w:ilvl="0" w:tplc="1D885C0C">
      <w:start w:val="180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E6406CC"/>
    <w:multiLevelType w:val="hybridMultilevel"/>
    <w:tmpl w:val="F104D1DE"/>
    <w:lvl w:ilvl="0" w:tplc="B4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8"/>
  </w:num>
  <w:num w:numId="5">
    <w:abstractNumId w:val="12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11"/>
  </w:num>
  <w:num w:numId="11">
    <w:abstractNumId w:val="10"/>
  </w:num>
  <w:num w:numId="12">
    <w:abstractNumId w:val="17"/>
  </w:num>
  <w:num w:numId="13">
    <w:abstractNumId w:val="16"/>
  </w:num>
  <w:num w:numId="14">
    <w:abstractNumId w:val="2"/>
  </w:num>
  <w:num w:numId="15">
    <w:abstractNumId w:val="15"/>
  </w:num>
  <w:num w:numId="16">
    <w:abstractNumId w:val="6"/>
  </w:num>
  <w:num w:numId="17">
    <w:abstractNumId w:val="18"/>
  </w:num>
  <w:num w:numId="18">
    <w:abstractNumId w:val="7"/>
  </w:num>
  <w:num w:numId="19">
    <w:abstractNumId w:val="9"/>
  </w:num>
  <w:num w:numId="2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abriela Bechynská">
    <w15:presenceInfo w15:providerId="Windows Live" w15:userId="35748037e50dce00"/>
  </w15:person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C4"/>
    <w:rsid w:val="0000742F"/>
    <w:rsid w:val="000106EE"/>
    <w:rsid w:val="00011ADE"/>
    <w:rsid w:val="0001200E"/>
    <w:rsid w:val="000154B0"/>
    <w:rsid w:val="000167F6"/>
    <w:rsid w:val="000236A5"/>
    <w:rsid w:val="00023AD1"/>
    <w:rsid w:val="0004363A"/>
    <w:rsid w:val="00053AB8"/>
    <w:rsid w:val="000543E8"/>
    <w:rsid w:val="00055F01"/>
    <w:rsid w:val="00071AA8"/>
    <w:rsid w:val="00082665"/>
    <w:rsid w:val="00082D02"/>
    <w:rsid w:val="0008746A"/>
    <w:rsid w:val="00090496"/>
    <w:rsid w:val="000A5695"/>
    <w:rsid w:val="000A7685"/>
    <w:rsid w:val="000B6433"/>
    <w:rsid w:val="000B6F25"/>
    <w:rsid w:val="000C45E5"/>
    <w:rsid w:val="000D1F07"/>
    <w:rsid w:val="000D4123"/>
    <w:rsid w:val="000E3184"/>
    <w:rsid w:val="000E7D97"/>
    <w:rsid w:val="000F2EDC"/>
    <w:rsid w:val="000F7903"/>
    <w:rsid w:val="0011157E"/>
    <w:rsid w:val="00115479"/>
    <w:rsid w:val="00122B95"/>
    <w:rsid w:val="00141BDF"/>
    <w:rsid w:val="001469F9"/>
    <w:rsid w:val="00154B77"/>
    <w:rsid w:val="00156402"/>
    <w:rsid w:val="001571C5"/>
    <w:rsid w:val="00167A4A"/>
    <w:rsid w:val="00170ADF"/>
    <w:rsid w:val="001715A6"/>
    <w:rsid w:val="00175A70"/>
    <w:rsid w:val="00177556"/>
    <w:rsid w:val="001823BA"/>
    <w:rsid w:val="00184524"/>
    <w:rsid w:val="0018519A"/>
    <w:rsid w:val="001861EF"/>
    <w:rsid w:val="00187764"/>
    <w:rsid w:val="001951CD"/>
    <w:rsid w:val="001A15B9"/>
    <w:rsid w:val="001A21CF"/>
    <w:rsid w:val="001A265E"/>
    <w:rsid w:val="001A3138"/>
    <w:rsid w:val="001A3B28"/>
    <w:rsid w:val="001A687F"/>
    <w:rsid w:val="001A7F65"/>
    <w:rsid w:val="001B0685"/>
    <w:rsid w:val="001B3E43"/>
    <w:rsid w:val="001C280C"/>
    <w:rsid w:val="001C28C7"/>
    <w:rsid w:val="001C6CC4"/>
    <w:rsid w:val="001C77DD"/>
    <w:rsid w:val="001D519E"/>
    <w:rsid w:val="001D7F99"/>
    <w:rsid w:val="001E1779"/>
    <w:rsid w:val="001F4C1C"/>
    <w:rsid w:val="001F7673"/>
    <w:rsid w:val="001F7FCB"/>
    <w:rsid w:val="00213B41"/>
    <w:rsid w:val="0022724A"/>
    <w:rsid w:val="00242386"/>
    <w:rsid w:val="0025292E"/>
    <w:rsid w:val="00253E49"/>
    <w:rsid w:val="00257233"/>
    <w:rsid w:val="002574B0"/>
    <w:rsid w:val="00264016"/>
    <w:rsid w:val="00265333"/>
    <w:rsid w:val="0026681C"/>
    <w:rsid w:val="002712F0"/>
    <w:rsid w:val="002730E1"/>
    <w:rsid w:val="00274380"/>
    <w:rsid w:val="00283F52"/>
    <w:rsid w:val="0029039B"/>
    <w:rsid w:val="0029257D"/>
    <w:rsid w:val="00292885"/>
    <w:rsid w:val="002A02BF"/>
    <w:rsid w:val="002A40B2"/>
    <w:rsid w:val="002A5019"/>
    <w:rsid w:val="002B02C1"/>
    <w:rsid w:val="002C1727"/>
    <w:rsid w:val="002C24EB"/>
    <w:rsid w:val="002C7DCF"/>
    <w:rsid w:val="002E33DC"/>
    <w:rsid w:val="002E4EEA"/>
    <w:rsid w:val="002E6598"/>
    <w:rsid w:val="00302BF1"/>
    <w:rsid w:val="0032674A"/>
    <w:rsid w:val="00332345"/>
    <w:rsid w:val="00334CD5"/>
    <w:rsid w:val="003503E3"/>
    <w:rsid w:val="00356F08"/>
    <w:rsid w:val="00370D5C"/>
    <w:rsid w:val="00385D63"/>
    <w:rsid w:val="00385E6D"/>
    <w:rsid w:val="0039084C"/>
    <w:rsid w:val="003A5D06"/>
    <w:rsid w:val="003C0474"/>
    <w:rsid w:val="003C6B49"/>
    <w:rsid w:val="003C7937"/>
    <w:rsid w:val="003E4BF7"/>
    <w:rsid w:val="003F4B20"/>
    <w:rsid w:val="003F7CE5"/>
    <w:rsid w:val="00400539"/>
    <w:rsid w:val="004024AB"/>
    <w:rsid w:val="004047FF"/>
    <w:rsid w:val="00412C68"/>
    <w:rsid w:val="00413A24"/>
    <w:rsid w:val="00415334"/>
    <w:rsid w:val="00416BBF"/>
    <w:rsid w:val="00433AE6"/>
    <w:rsid w:val="00443DD9"/>
    <w:rsid w:val="00447A56"/>
    <w:rsid w:val="00447A71"/>
    <w:rsid w:val="00461F12"/>
    <w:rsid w:val="00462418"/>
    <w:rsid w:val="00467378"/>
    <w:rsid w:val="00473097"/>
    <w:rsid w:val="0047432F"/>
    <w:rsid w:val="00480D24"/>
    <w:rsid w:val="00494648"/>
    <w:rsid w:val="004A27EA"/>
    <w:rsid w:val="004B161B"/>
    <w:rsid w:val="004D0FC8"/>
    <w:rsid w:val="004D2F8C"/>
    <w:rsid w:val="004D5CC2"/>
    <w:rsid w:val="004D5D6F"/>
    <w:rsid w:val="004E41EE"/>
    <w:rsid w:val="0050190E"/>
    <w:rsid w:val="005058D7"/>
    <w:rsid w:val="005119F7"/>
    <w:rsid w:val="0051654E"/>
    <w:rsid w:val="00516BF3"/>
    <w:rsid w:val="00520712"/>
    <w:rsid w:val="00523002"/>
    <w:rsid w:val="00524597"/>
    <w:rsid w:val="00524A3B"/>
    <w:rsid w:val="005359B9"/>
    <w:rsid w:val="0054087C"/>
    <w:rsid w:val="005501F6"/>
    <w:rsid w:val="005527A2"/>
    <w:rsid w:val="0056308E"/>
    <w:rsid w:val="00564A99"/>
    <w:rsid w:val="00573278"/>
    <w:rsid w:val="005839A8"/>
    <w:rsid w:val="00592508"/>
    <w:rsid w:val="00595E5A"/>
    <w:rsid w:val="005A0655"/>
    <w:rsid w:val="005A7B40"/>
    <w:rsid w:val="005B41F7"/>
    <w:rsid w:val="005D4D7D"/>
    <w:rsid w:val="005F00F5"/>
    <w:rsid w:val="005F029C"/>
    <w:rsid w:val="005F432C"/>
    <w:rsid w:val="00611EDD"/>
    <w:rsid w:val="006307E8"/>
    <w:rsid w:val="00647C91"/>
    <w:rsid w:val="00652832"/>
    <w:rsid w:val="00655977"/>
    <w:rsid w:val="00655C2F"/>
    <w:rsid w:val="00663BCA"/>
    <w:rsid w:val="006874C8"/>
    <w:rsid w:val="0069132C"/>
    <w:rsid w:val="00691E2D"/>
    <w:rsid w:val="00693C3B"/>
    <w:rsid w:val="00695BDB"/>
    <w:rsid w:val="006964B8"/>
    <w:rsid w:val="006A5D04"/>
    <w:rsid w:val="006A63CD"/>
    <w:rsid w:val="006A7B15"/>
    <w:rsid w:val="006C03A5"/>
    <w:rsid w:val="006C09DE"/>
    <w:rsid w:val="006E12C6"/>
    <w:rsid w:val="006F6485"/>
    <w:rsid w:val="0070440C"/>
    <w:rsid w:val="00704C0D"/>
    <w:rsid w:val="0070678D"/>
    <w:rsid w:val="0073521F"/>
    <w:rsid w:val="007417A0"/>
    <w:rsid w:val="00751102"/>
    <w:rsid w:val="00751E41"/>
    <w:rsid w:val="00762A21"/>
    <w:rsid w:val="00770D19"/>
    <w:rsid w:val="00774FF9"/>
    <w:rsid w:val="00780CD3"/>
    <w:rsid w:val="00787C26"/>
    <w:rsid w:val="00793788"/>
    <w:rsid w:val="00797C69"/>
    <w:rsid w:val="007A50B9"/>
    <w:rsid w:val="007B5031"/>
    <w:rsid w:val="007C1376"/>
    <w:rsid w:val="007C4316"/>
    <w:rsid w:val="007C7861"/>
    <w:rsid w:val="007D2679"/>
    <w:rsid w:val="007D7540"/>
    <w:rsid w:val="007E32C9"/>
    <w:rsid w:val="007F0D10"/>
    <w:rsid w:val="007F1071"/>
    <w:rsid w:val="007F30B8"/>
    <w:rsid w:val="00820482"/>
    <w:rsid w:val="0082185C"/>
    <w:rsid w:val="0083021E"/>
    <w:rsid w:val="008319D6"/>
    <w:rsid w:val="008340FB"/>
    <w:rsid w:val="00834B95"/>
    <w:rsid w:val="00854C49"/>
    <w:rsid w:val="00875028"/>
    <w:rsid w:val="00883A93"/>
    <w:rsid w:val="008960C1"/>
    <w:rsid w:val="008B0EA1"/>
    <w:rsid w:val="008D79A8"/>
    <w:rsid w:val="008E1011"/>
    <w:rsid w:val="008E5043"/>
    <w:rsid w:val="00904018"/>
    <w:rsid w:val="009068C9"/>
    <w:rsid w:val="00943A6A"/>
    <w:rsid w:val="009444D7"/>
    <w:rsid w:val="0094586B"/>
    <w:rsid w:val="00946777"/>
    <w:rsid w:val="00946E7D"/>
    <w:rsid w:val="00970266"/>
    <w:rsid w:val="009727E3"/>
    <w:rsid w:val="00977910"/>
    <w:rsid w:val="00984388"/>
    <w:rsid w:val="00984DB2"/>
    <w:rsid w:val="00985AD2"/>
    <w:rsid w:val="00993480"/>
    <w:rsid w:val="00996E64"/>
    <w:rsid w:val="009A0831"/>
    <w:rsid w:val="009A5662"/>
    <w:rsid w:val="009B2509"/>
    <w:rsid w:val="009B2744"/>
    <w:rsid w:val="009C5638"/>
    <w:rsid w:val="009D02A1"/>
    <w:rsid w:val="009D3DB3"/>
    <w:rsid w:val="009D6A33"/>
    <w:rsid w:val="009D7FB7"/>
    <w:rsid w:val="009E5F4A"/>
    <w:rsid w:val="009F2BE4"/>
    <w:rsid w:val="009F2F79"/>
    <w:rsid w:val="009F3746"/>
    <w:rsid w:val="009F6739"/>
    <w:rsid w:val="00A01EDA"/>
    <w:rsid w:val="00A04A4C"/>
    <w:rsid w:val="00A2277A"/>
    <w:rsid w:val="00A23091"/>
    <w:rsid w:val="00A47C4A"/>
    <w:rsid w:val="00A51033"/>
    <w:rsid w:val="00A55C33"/>
    <w:rsid w:val="00A775FB"/>
    <w:rsid w:val="00A863C9"/>
    <w:rsid w:val="00A8686B"/>
    <w:rsid w:val="00AB26F1"/>
    <w:rsid w:val="00AB2E8E"/>
    <w:rsid w:val="00AB581B"/>
    <w:rsid w:val="00AC05FE"/>
    <w:rsid w:val="00AC20C2"/>
    <w:rsid w:val="00AC4A7B"/>
    <w:rsid w:val="00AD0701"/>
    <w:rsid w:val="00AD2EB8"/>
    <w:rsid w:val="00AE2AF9"/>
    <w:rsid w:val="00AE4F1A"/>
    <w:rsid w:val="00AE620B"/>
    <w:rsid w:val="00AF2153"/>
    <w:rsid w:val="00AF5713"/>
    <w:rsid w:val="00B070A6"/>
    <w:rsid w:val="00B07A88"/>
    <w:rsid w:val="00B22E20"/>
    <w:rsid w:val="00B22FD0"/>
    <w:rsid w:val="00B61396"/>
    <w:rsid w:val="00B633B0"/>
    <w:rsid w:val="00B63928"/>
    <w:rsid w:val="00B6681C"/>
    <w:rsid w:val="00B72D1A"/>
    <w:rsid w:val="00B744DF"/>
    <w:rsid w:val="00B75128"/>
    <w:rsid w:val="00B835DA"/>
    <w:rsid w:val="00B86D8E"/>
    <w:rsid w:val="00BA0F44"/>
    <w:rsid w:val="00BB1F3B"/>
    <w:rsid w:val="00BB4F26"/>
    <w:rsid w:val="00BC27E9"/>
    <w:rsid w:val="00BD211D"/>
    <w:rsid w:val="00BE1DBC"/>
    <w:rsid w:val="00BE39C5"/>
    <w:rsid w:val="00BE3F98"/>
    <w:rsid w:val="00BE527D"/>
    <w:rsid w:val="00BF3066"/>
    <w:rsid w:val="00C1690E"/>
    <w:rsid w:val="00C35FB2"/>
    <w:rsid w:val="00C45024"/>
    <w:rsid w:val="00C47164"/>
    <w:rsid w:val="00C537A6"/>
    <w:rsid w:val="00C55A3C"/>
    <w:rsid w:val="00C639A9"/>
    <w:rsid w:val="00C75933"/>
    <w:rsid w:val="00C8701D"/>
    <w:rsid w:val="00C93B28"/>
    <w:rsid w:val="00C96976"/>
    <w:rsid w:val="00CA29C0"/>
    <w:rsid w:val="00CA5F66"/>
    <w:rsid w:val="00CC360E"/>
    <w:rsid w:val="00CC5D77"/>
    <w:rsid w:val="00CD4C56"/>
    <w:rsid w:val="00CD58F8"/>
    <w:rsid w:val="00CE2C24"/>
    <w:rsid w:val="00CE4346"/>
    <w:rsid w:val="00D01014"/>
    <w:rsid w:val="00D0440A"/>
    <w:rsid w:val="00D04CCF"/>
    <w:rsid w:val="00D13EE8"/>
    <w:rsid w:val="00D21064"/>
    <w:rsid w:val="00D2617F"/>
    <w:rsid w:val="00D31131"/>
    <w:rsid w:val="00D31E95"/>
    <w:rsid w:val="00D34325"/>
    <w:rsid w:val="00D40392"/>
    <w:rsid w:val="00D46838"/>
    <w:rsid w:val="00D47F29"/>
    <w:rsid w:val="00D629DF"/>
    <w:rsid w:val="00D64014"/>
    <w:rsid w:val="00D654FD"/>
    <w:rsid w:val="00D71FC7"/>
    <w:rsid w:val="00D72369"/>
    <w:rsid w:val="00D762A4"/>
    <w:rsid w:val="00D83079"/>
    <w:rsid w:val="00D90D46"/>
    <w:rsid w:val="00D93C3E"/>
    <w:rsid w:val="00D95CAA"/>
    <w:rsid w:val="00DA0396"/>
    <w:rsid w:val="00DB3033"/>
    <w:rsid w:val="00DB400D"/>
    <w:rsid w:val="00DD0926"/>
    <w:rsid w:val="00DD27B9"/>
    <w:rsid w:val="00DD54C2"/>
    <w:rsid w:val="00DF14A2"/>
    <w:rsid w:val="00DF58AB"/>
    <w:rsid w:val="00E06421"/>
    <w:rsid w:val="00E11347"/>
    <w:rsid w:val="00E12076"/>
    <w:rsid w:val="00E15274"/>
    <w:rsid w:val="00E15DAE"/>
    <w:rsid w:val="00E213F9"/>
    <w:rsid w:val="00E34137"/>
    <w:rsid w:val="00E3733E"/>
    <w:rsid w:val="00E44B2C"/>
    <w:rsid w:val="00E60F28"/>
    <w:rsid w:val="00E71D4D"/>
    <w:rsid w:val="00E7661E"/>
    <w:rsid w:val="00E771F5"/>
    <w:rsid w:val="00E83EC3"/>
    <w:rsid w:val="00E85CB8"/>
    <w:rsid w:val="00E90508"/>
    <w:rsid w:val="00E91C1F"/>
    <w:rsid w:val="00E94B0B"/>
    <w:rsid w:val="00EA410F"/>
    <w:rsid w:val="00EC4E13"/>
    <w:rsid w:val="00ED6828"/>
    <w:rsid w:val="00EE1334"/>
    <w:rsid w:val="00EE3200"/>
    <w:rsid w:val="00F02032"/>
    <w:rsid w:val="00F02A07"/>
    <w:rsid w:val="00F112DB"/>
    <w:rsid w:val="00F147BD"/>
    <w:rsid w:val="00F364B4"/>
    <w:rsid w:val="00F85B96"/>
    <w:rsid w:val="00F87BA3"/>
    <w:rsid w:val="00F935AA"/>
    <w:rsid w:val="00F9746B"/>
    <w:rsid w:val="00FA10D3"/>
    <w:rsid w:val="00FA1302"/>
    <w:rsid w:val="00FA26B7"/>
    <w:rsid w:val="00FA4EFC"/>
    <w:rsid w:val="00FA57F3"/>
    <w:rsid w:val="00FA5B1B"/>
    <w:rsid w:val="00FB6158"/>
    <w:rsid w:val="00FC026C"/>
    <w:rsid w:val="00FC229C"/>
    <w:rsid w:val="00FD5C32"/>
    <w:rsid w:val="00FE3153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855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A687F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1A687F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alodsazene">
    <w:name w:val="normalodsazene"/>
    <w:basedOn w:val="Normln"/>
    <w:link w:val="normalodsazeneChar2"/>
    <w:rsid w:val="001A687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87F"/>
    <w:rPr>
      <w:rFonts w:ascii="Arial" w:eastAsia="Times New Roman" w:hAnsi="Arial" w:cs="Times New Roman"/>
      <w:szCs w:val="24"/>
      <w:lang w:eastAsia="cs-CZ"/>
    </w:rPr>
  </w:style>
  <w:style w:type="paragraph" w:customStyle="1" w:styleId="CharChar6">
    <w:name w:val="Char Char6"/>
    <w:basedOn w:val="Normln"/>
    <w:rsid w:val="001A687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0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1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1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1E9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40392"/>
    <w:rPr>
      <w:color w:val="0000FF"/>
      <w:u w:val="single"/>
    </w:rPr>
  </w:style>
  <w:style w:type="paragraph" w:styleId="Revize">
    <w:name w:val="Revision"/>
    <w:hidden/>
    <w:uiPriority w:val="99"/>
    <w:semiHidden/>
    <w:rsid w:val="00257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2A0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2A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02A0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AC20C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A687F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1A687F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alodsazene">
    <w:name w:val="normalodsazene"/>
    <w:basedOn w:val="Normln"/>
    <w:link w:val="normalodsazeneChar2"/>
    <w:rsid w:val="001A687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87F"/>
    <w:rPr>
      <w:rFonts w:ascii="Arial" w:eastAsia="Times New Roman" w:hAnsi="Arial" w:cs="Times New Roman"/>
      <w:szCs w:val="24"/>
      <w:lang w:eastAsia="cs-CZ"/>
    </w:rPr>
  </w:style>
  <w:style w:type="paragraph" w:customStyle="1" w:styleId="CharChar6">
    <w:name w:val="Char Char6"/>
    <w:basedOn w:val="Normln"/>
    <w:rsid w:val="001A687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0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1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1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1E9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40392"/>
    <w:rPr>
      <w:color w:val="0000FF"/>
      <w:u w:val="single"/>
    </w:rPr>
  </w:style>
  <w:style w:type="paragraph" w:styleId="Revize">
    <w:name w:val="Revision"/>
    <w:hidden/>
    <w:uiPriority w:val="99"/>
    <w:semiHidden/>
    <w:rsid w:val="00257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2A0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2A0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02A07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AC20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microsoft.com/office/2011/relationships/commentsExtended" Target="commentsExtended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rc.europa.eu/sites/default/files/press_release/files/ERC_Highlight_Fellowship_Viiting_Guidelines.pdf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D7CE-97C3-44C8-808F-C2490007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3671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 Knetlova</dc:creator>
  <cp:lastModifiedBy>Bártová Milada</cp:lastModifiedBy>
  <cp:revision>2</cp:revision>
  <cp:lastPrinted>2016-02-18T12:39:00Z</cp:lastPrinted>
  <dcterms:created xsi:type="dcterms:W3CDTF">2016-03-14T09:54:00Z</dcterms:created>
  <dcterms:modified xsi:type="dcterms:W3CDTF">2016-03-14T09:54:00Z</dcterms:modified>
</cp:coreProperties>
</file>