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369" w:rsidRPr="00367340" w:rsidRDefault="0067059C" w:rsidP="00B426FA">
      <w:pPr>
        <w:pStyle w:val="Nadpis1"/>
        <w:jc w:val="center"/>
        <w:rPr>
          <w:rFonts w:ascii="Arial" w:hAnsi="Arial" w:cs="Arial"/>
        </w:rPr>
      </w:pPr>
      <w:r w:rsidRPr="00367340">
        <w:rPr>
          <w:rFonts w:ascii="Arial" w:hAnsi="Arial" w:cs="Arial"/>
        </w:rPr>
        <w:t xml:space="preserve">Záměr realizovat nadlimitní veřejnou zakázku na pořízení licence k analytickému nástroji </w:t>
      </w:r>
      <w:proofErr w:type="spellStart"/>
      <w:r w:rsidRPr="00367340">
        <w:rPr>
          <w:rFonts w:ascii="Arial" w:hAnsi="Arial" w:cs="Arial"/>
        </w:rPr>
        <w:t>InCites</w:t>
      </w:r>
      <w:proofErr w:type="spellEnd"/>
    </w:p>
    <w:p w:rsidR="00B426FA" w:rsidRDefault="00B426FA" w:rsidP="00C41A90">
      <w:pPr>
        <w:jc w:val="both"/>
        <w:rPr>
          <w:rFonts w:ascii="Arial" w:hAnsi="Arial" w:cs="Arial"/>
          <w:color w:val="000000" w:themeColor="text1"/>
        </w:rPr>
      </w:pPr>
    </w:p>
    <w:p w:rsidR="0067059C" w:rsidRDefault="0067059C" w:rsidP="00367340">
      <w:pPr>
        <w:spacing w:after="1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Národní technická knihovna (NTK) realizuje Individuální projekt systémový </w:t>
      </w:r>
      <w:r w:rsidRPr="00196345">
        <w:rPr>
          <w:rFonts w:ascii="Arial" w:hAnsi="Arial" w:cs="Arial"/>
          <w:b/>
          <w:bCs/>
          <w:szCs w:val="24"/>
        </w:rPr>
        <w:t xml:space="preserve">„Národní centrum pro elektronické informační zdroje – </w:t>
      </w:r>
      <w:proofErr w:type="spellStart"/>
      <w:r w:rsidRPr="00196345">
        <w:rPr>
          <w:rFonts w:ascii="Arial" w:hAnsi="Arial" w:cs="Arial"/>
          <w:b/>
          <w:bCs/>
          <w:szCs w:val="24"/>
        </w:rPr>
        <w:t>CzechElib</w:t>
      </w:r>
      <w:proofErr w:type="spellEnd"/>
      <w:r w:rsidRPr="00196345">
        <w:rPr>
          <w:rFonts w:ascii="Arial" w:hAnsi="Arial" w:cs="Arial"/>
          <w:b/>
          <w:bCs/>
          <w:szCs w:val="24"/>
        </w:rPr>
        <w:t>“</w:t>
      </w:r>
      <w:r>
        <w:rPr>
          <w:rFonts w:ascii="Arial" w:hAnsi="Arial" w:cs="Arial"/>
          <w:bCs/>
          <w:szCs w:val="24"/>
        </w:rPr>
        <w:t xml:space="preserve"> (dále jen „projekt“), který je spolufinancován z Operačního programu Výzkum, vývoj a vzdělávání (dále jen „OP VVV“). V rámci projektu je vytvořeno národní centrum </w:t>
      </w:r>
      <w:proofErr w:type="spellStart"/>
      <w:r>
        <w:rPr>
          <w:rFonts w:ascii="Arial" w:hAnsi="Arial" w:cs="Arial"/>
          <w:bCs/>
          <w:szCs w:val="24"/>
        </w:rPr>
        <w:t>CzechElib</w:t>
      </w:r>
      <w:proofErr w:type="spellEnd"/>
      <w:r>
        <w:rPr>
          <w:rFonts w:ascii="Arial" w:hAnsi="Arial" w:cs="Arial"/>
          <w:bCs/>
          <w:szCs w:val="24"/>
        </w:rPr>
        <w:t>, kt</w:t>
      </w:r>
      <w:r w:rsidR="000E4C77">
        <w:rPr>
          <w:rFonts w:ascii="Arial" w:hAnsi="Arial" w:cs="Arial"/>
          <w:bCs/>
          <w:szCs w:val="24"/>
        </w:rPr>
        <w:t>eré zajišťuje centrální nákup a </w:t>
      </w:r>
      <w:r>
        <w:rPr>
          <w:rFonts w:ascii="Arial" w:hAnsi="Arial" w:cs="Arial"/>
          <w:bCs/>
          <w:szCs w:val="24"/>
        </w:rPr>
        <w:t xml:space="preserve">zpřístupnění klíčových elektronických informačních zdrojů (dále jen „EIZ“) pro celou výzkumnou a vzdělávací sféru v ČR. NTK plní roli centrálního zadavatele ve smyslu </w:t>
      </w:r>
      <w:r w:rsidR="006B6B46">
        <w:rPr>
          <w:rFonts w:ascii="Arial" w:hAnsi="Arial" w:cs="Arial"/>
          <w:bCs/>
          <w:szCs w:val="24"/>
        </w:rPr>
        <w:t>§ 9 odst. </w:t>
      </w:r>
      <w:r w:rsidRPr="0046193A">
        <w:rPr>
          <w:rFonts w:ascii="Arial" w:hAnsi="Arial" w:cs="Arial"/>
          <w:bCs/>
          <w:szCs w:val="24"/>
        </w:rPr>
        <w:t>1 písm. a) zákona č. 134/2016 Sb.,</w:t>
      </w:r>
      <w:r>
        <w:rPr>
          <w:rFonts w:ascii="Arial" w:hAnsi="Arial" w:cs="Arial"/>
          <w:bCs/>
          <w:szCs w:val="24"/>
        </w:rPr>
        <w:t xml:space="preserve"> </w:t>
      </w:r>
      <w:r w:rsidRPr="0046193A">
        <w:rPr>
          <w:rFonts w:ascii="Arial" w:hAnsi="Arial" w:cs="Arial"/>
          <w:bCs/>
          <w:szCs w:val="24"/>
        </w:rPr>
        <w:t>o zadávání veřejných zakázek</w:t>
      </w:r>
      <w:r>
        <w:rPr>
          <w:rFonts w:ascii="Arial" w:hAnsi="Arial" w:cs="Arial"/>
          <w:bCs/>
          <w:szCs w:val="24"/>
        </w:rPr>
        <w:t xml:space="preserve">. </w:t>
      </w:r>
      <w:r w:rsidRPr="002F70B9">
        <w:rPr>
          <w:rFonts w:ascii="Arial" w:hAnsi="Arial" w:cs="Arial"/>
          <w:b/>
          <w:bCs/>
          <w:szCs w:val="24"/>
        </w:rPr>
        <w:t>Výhodou projektu je přenos administrace veřejných zakázek na NTK</w:t>
      </w:r>
      <w:r>
        <w:rPr>
          <w:rFonts w:ascii="Arial" w:hAnsi="Arial" w:cs="Arial"/>
          <w:b/>
          <w:bCs/>
          <w:szCs w:val="24"/>
        </w:rPr>
        <w:t xml:space="preserve"> a </w:t>
      </w:r>
      <w:r w:rsidRPr="002F70B9">
        <w:rPr>
          <w:rFonts w:ascii="Arial" w:hAnsi="Arial" w:cs="Arial"/>
          <w:b/>
          <w:bCs/>
          <w:szCs w:val="24"/>
        </w:rPr>
        <w:t xml:space="preserve">finanční podpora z projektu </w:t>
      </w:r>
      <w:r w:rsidR="000E4C77">
        <w:rPr>
          <w:rFonts w:ascii="Arial" w:hAnsi="Arial" w:cs="Arial"/>
          <w:b/>
          <w:bCs/>
          <w:szCs w:val="24"/>
        </w:rPr>
        <w:t>na </w:t>
      </w:r>
      <w:r w:rsidRPr="002F70B9">
        <w:rPr>
          <w:rFonts w:ascii="Arial" w:hAnsi="Arial" w:cs="Arial"/>
          <w:b/>
          <w:bCs/>
          <w:szCs w:val="24"/>
        </w:rPr>
        <w:t>pořizované EIZ.</w:t>
      </w:r>
    </w:p>
    <w:p w:rsidR="0067059C" w:rsidRDefault="0067059C" w:rsidP="00367340">
      <w:pPr>
        <w:spacing w:after="120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Úřad vlády ČR se do projektu zapojil na základě referátníku čj. 32203/2017-RVV a návazné Smlouvy o centralizovaném zadávání č. 17/340-0. Následně byla s NTK podepsána </w:t>
      </w:r>
      <w:r w:rsidRPr="00C5341D">
        <w:rPr>
          <w:rFonts w:ascii="Arial" w:hAnsi="Arial" w:cs="Arial"/>
          <w:bCs/>
          <w:szCs w:val="24"/>
        </w:rPr>
        <w:t>Smlouva o zajištění a zpřístupnění elektronických informačních zdrojů</w:t>
      </w:r>
      <w:r>
        <w:rPr>
          <w:rFonts w:ascii="Arial" w:hAnsi="Arial" w:cs="Arial"/>
          <w:bCs/>
          <w:szCs w:val="24"/>
        </w:rPr>
        <w:t xml:space="preserve"> č. 18/088-0, na jejímž základě </w:t>
      </w:r>
      <w:r w:rsidRPr="00E442D2">
        <w:rPr>
          <w:rFonts w:ascii="Arial" w:hAnsi="Arial" w:cs="Arial"/>
          <w:b/>
          <w:bCs/>
          <w:szCs w:val="24"/>
        </w:rPr>
        <w:t>získal Úřad vlády ČR zdarma</w:t>
      </w:r>
      <w:r>
        <w:rPr>
          <w:rFonts w:ascii="Arial" w:hAnsi="Arial" w:cs="Arial"/>
          <w:bCs/>
          <w:szCs w:val="24"/>
        </w:rPr>
        <w:t xml:space="preserve"> přístup k vědeckým cita</w:t>
      </w:r>
      <w:r w:rsidR="000E4C77">
        <w:rPr>
          <w:rFonts w:ascii="Arial" w:hAnsi="Arial" w:cs="Arial"/>
          <w:bCs/>
          <w:szCs w:val="24"/>
        </w:rPr>
        <w:t xml:space="preserve">čním databázím Web </w:t>
      </w:r>
      <w:proofErr w:type="spellStart"/>
      <w:r w:rsidR="000E4C77">
        <w:rPr>
          <w:rFonts w:ascii="Arial" w:hAnsi="Arial" w:cs="Arial"/>
          <w:bCs/>
          <w:szCs w:val="24"/>
        </w:rPr>
        <w:t>of</w:t>
      </w:r>
      <w:proofErr w:type="spellEnd"/>
      <w:r w:rsidR="000E4C77">
        <w:rPr>
          <w:rFonts w:ascii="Arial" w:hAnsi="Arial" w:cs="Arial"/>
          <w:bCs/>
          <w:szCs w:val="24"/>
        </w:rPr>
        <w:t xml:space="preserve"> Science a </w:t>
      </w:r>
      <w:proofErr w:type="spellStart"/>
      <w:r>
        <w:rPr>
          <w:rFonts w:ascii="Arial" w:hAnsi="Arial" w:cs="Arial"/>
          <w:bCs/>
          <w:szCs w:val="24"/>
        </w:rPr>
        <w:t>Scopus</w:t>
      </w:r>
      <w:proofErr w:type="spellEnd"/>
      <w:r>
        <w:rPr>
          <w:rFonts w:ascii="Arial" w:hAnsi="Arial" w:cs="Arial"/>
          <w:bCs/>
          <w:szCs w:val="24"/>
        </w:rPr>
        <w:t>.</w:t>
      </w:r>
    </w:p>
    <w:p w:rsidR="0067059C" w:rsidRPr="00196345" w:rsidRDefault="0067059C" w:rsidP="00367340">
      <w:pPr>
        <w:spacing w:after="120"/>
        <w:jc w:val="both"/>
        <w:rPr>
          <w:rFonts w:ascii="Arial" w:hAnsi="Arial" w:cs="Arial"/>
          <w:b/>
          <w:bCs/>
          <w:szCs w:val="24"/>
        </w:rPr>
      </w:pPr>
      <w:r w:rsidRPr="00196345">
        <w:rPr>
          <w:rFonts w:ascii="Arial" w:hAnsi="Arial" w:cs="Arial"/>
          <w:b/>
          <w:bCs/>
          <w:szCs w:val="24"/>
        </w:rPr>
        <w:t>Nyní se navrhuje pořízení dalšího EIZ v rámci projektu</w:t>
      </w:r>
      <w:r>
        <w:rPr>
          <w:rFonts w:ascii="Arial" w:hAnsi="Arial" w:cs="Arial"/>
          <w:b/>
          <w:bCs/>
          <w:szCs w:val="24"/>
        </w:rPr>
        <w:t xml:space="preserve"> a</w:t>
      </w:r>
      <w:r w:rsidRPr="00196345">
        <w:rPr>
          <w:rFonts w:ascii="Arial" w:hAnsi="Arial" w:cs="Arial"/>
          <w:b/>
          <w:bCs/>
          <w:szCs w:val="24"/>
        </w:rPr>
        <w:t xml:space="preserve"> s NTK jako centrálním zadavatelem.</w:t>
      </w:r>
    </w:p>
    <w:p w:rsidR="0067059C" w:rsidRPr="00B95CC2" w:rsidRDefault="0067059C" w:rsidP="00367340">
      <w:pPr>
        <w:spacing w:after="120"/>
        <w:jc w:val="both"/>
        <w:rPr>
          <w:rFonts w:ascii="Arial" w:hAnsi="Arial" w:cs="Arial"/>
          <w:bCs/>
          <w:szCs w:val="24"/>
        </w:rPr>
      </w:pPr>
      <w:r w:rsidRPr="00B95CC2">
        <w:rPr>
          <w:rFonts w:ascii="Arial" w:hAnsi="Arial" w:cs="Arial"/>
          <w:b/>
          <w:bCs/>
          <w:szCs w:val="24"/>
        </w:rPr>
        <w:t>Předmětem veřejné zakázky</w:t>
      </w:r>
      <w:r w:rsidRPr="00B95CC2">
        <w:rPr>
          <w:rFonts w:ascii="Arial" w:hAnsi="Arial" w:cs="Arial"/>
          <w:bCs/>
          <w:szCs w:val="24"/>
        </w:rPr>
        <w:t xml:space="preserve"> je </w:t>
      </w:r>
      <w:r>
        <w:rPr>
          <w:rFonts w:ascii="Arial" w:hAnsi="Arial" w:cs="Arial"/>
          <w:bCs/>
          <w:szCs w:val="24"/>
        </w:rPr>
        <w:t xml:space="preserve">nákup licence na aplikaci </w:t>
      </w:r>
      <w:proofErr w:type="spellStart"/>
      <w:r>
        <w:rPr>
          <w:rFonts w:ascii="Arial" w:hAnsi="Arial" w:cs="Arial"/>
          <w:bCs/>
          <w:szCs w:val="24"/>
        </w:rPr>
        <w:t>InCites</w:t>
      </w:r>
      <w:proofErr w:type="spellEnd"/>
      <w:r>
        <w:rPr>
          <w:rFonts w:ascii="Arial" w:hAnsi="Arial" w:cs="Arial"/>
          <w:bCs/>
          <w:szCs w:val="24"/>
        </w:rPr>
        <w:t xml:space="preserve"> společnosti </w:t>
      </w:r>
      <w:proofErr w:type="spellStart"/>
      <w:r>
        <w:rPr>
          <w:rFonts w:ascii="Arial" w:hAnsi="Arial" w:cs="Arial"/>
          <w:bCs/>
          <w:szCs w:val="24"/>
        </w:rPr>
        <w:t>Clarivate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Analytics</w:t>
      </w:r>
      <w:proofErr w:type="spellEnd"/>
      <w:r>
        <w:rPr>
          <w:rFonts w:ascii="Arial" w:hAnsi="Arial" w:cs="Arial"/>
          <w:bCs/>
          <w:szCs w:val="24"/>
        </w:rPr>
        <w:t xml:space="preserve"> (US) LLC. </w:t>
      </w:r>
      <w:r w:rsidRPr="00364873">
        <w:rPr>
          <w:rFonts w:ascii="Arial" w:hAnsi="Arial" w:cs="Arial"/>
          <w:bCs/>
          <w:szCs w:val="24"/>
        </w:rPr>
        <w:t xml:space="preserve">Aplikace </w:t>
      </w:r>
      <w:proofErr w:type="spellStart"/>
      <w:r w:rsidRPr="00364873">
        <w:rPr>
          <w:rFonts w:ascii="Arial" w:hAnsi="Arial" w:cs="Arial"/>
          <w:bCs/>
          <w:szCs w:val="24"/>
        </w:rPr>
        <w:t>InCites</w:t>
      </w:r>
      <w:proofErr w:type="spellEnd"/>
      <w:r w:rsidRPr="00364873">
        <w:rPr>
          <w:rFonts w:ascii="Arial" w:hAnsi="Arial" w:cs="Arial"/>
          <w:bCs/>
          <w:szCs w:val="24"/>
        </w:rPr>
        <w:t xml:space="preserve"> je analytický nástroj, který na základě citací publikací indexovaných na Web </w:t>
      </w:r>
      <w:proofErr w:type="spellStart"/>
      <w:r w:rsidRPr="00364873">
        <w:rPr>
          <w:rFonts w:ascii="Arial" w:hAnsi="Arial" w:cs="Arial"/>
          <w:bCs/>
          <w:szCs w:val="24"/>
        </w:rPr>
        <w:t>of</w:t>
      </w:r>
      <w:proofErr w:type="spellEnd"/>
      <w:r w:rsidRPr="00364873">
        <w:rPr>
          <w:rFonts w:ascii="Arial" w:hAnsi="Arial" w:cs="Arial"/>
          <w:bCs/>
          <w:szCs w:val="24"/>
        </w:rPr>
        <w:t xml:space="preserve"> Science provádí analýzy produktivity, dopadu vědeckých vý</w:t>
      </w:r>
      <w:r w:rsidR="000E4C77">
        <w:rPr>
          <w:rFonts w:ascii="Arial" w:hAnsi="Arial" w:cs="Arial"/>
          <w:bCs/>
          <w:szCs w:val="24"/>
        </w:rPr>
        <w:t>stupů a </w:t>
      </w:r>
      <w:proofErr w:type="spellStart"/>
      <w:r w:rsidRPr="00364873">
        <w:rPr>
          <w:rFonts w:ascii="Arial" w:hAnsi="Arial" w:cs="Arial"/>
          <w:bCs/>
          <w:szCs w:val="24"/>
        </w:rPr>
        <w:t>benchmarking</w:t>
      </w:r>
      <w:proofErr w:type="spellEnd"/>
      <w:r w:rsidRPr="00364873">
        <w:rPr>
          <w:rFonts w:ascii="Arial" w:hAnsi="Arial" w:cs="Arial"/>
          <w:bCs/>
          <w:szCs w:val="24"/>
        </w:rPr>
        <w:t xml:space="preserve"> pomocí kvantitativních ukazatelů. </w:t>
      </w:r>
    </w:p>
    <w:p w:rsidR="0067059C" w:rsidRDefault="0067059C" w:rsidP="00367340">
      <w:pPr>
        <w:spacing w:after="120"/>
        <w:jc w:val="both"/>
        <w:rPr>
          <w:rFonts w:ascii="Arial" w:hAnsi="Arial" w:cs="Arial"/>
          <w:bCs/>
          <w:szCs w:val="24"/>
        </w:rPr>
      </w:pPr>
      <w:r w:rsidRPr="00B95CC2">
        <w:rPr>
          <w:rFonts w:ascii="Arial" w:hAnsi="Arial" w:cs="Arial"/>
          <w:b/>
          <w:bCs/>
          <w:szCs w:val="24"/>
        </w:rPr>
        <w:t>Důvodem realizace</w:t>
      </w:r>
      <w:r w:rsidRPr="00B95CC2">
        <w:rPr>
          <w:rFonts w:ascii="Arial" w:hAnsi="Arial" w:cs="Arial"/>
          <w:bCs/>
          <w:szCs w:val="24"/>
        </w:rPr>
        <w:t xml:space="preserve"> je </w:t>
      </w:r>
      <w:r>
        <w:rPr>
          <w:rFonts w:ascii="Arial" w:hAnsi="Arial" w:cs="Arial"/>
          <w:bCs/>
          <w:szCs w:val="24"/>
        </w:rPr>
        <w:t xml:space="preserve">skutečnost, že Rada pro výzkum, vývoj a inovace resp. </w:t>
      </w:r>
      <w:r w:rsidRPr="009D6148">
        <w:rPr>
          <w:rFonts w:ascii="Arial" w:hAnsi="Arial" w:cs="Arial"/>
          <w:bCs/>
          <w:szCs w:val="24"/>
        </w:rPr>
        <w:t>Odbor Rady pro výzkum, vývoj a inovace</w:t>
      </w:r>
      <w:r>
        <w:rPr>
          <w:rFonts w:ascii="Arial" w:hAnsi="Arial" w:cs="Arial"/>
          <w:bCs/>
          <w:szCs w:val="24"/>
        </w:rPr>
        <w:t xml:space="preserve"> každoročně zpracovává analýzu</w:t>
      </w:r>
      <w:r w:rsidRPr="009D6148">
        <w:t xml:space="preserve"> </w:t>
      </w:r>
      <w:r w:rsidRPr="009D6148">
        <w:rPr>
          <w:rFonts w:ascii="Arial" w:hAnsi="Arial" w:cs="Arial"/>
          <w:bCs/>
          <w:szCs w:val="24"/>
        </w:rPr>
        <w:t>a hodnocení stavu výzkumu, vývoje a inovací v České republice a</w:t>
      </w:r>
      <w:r>
        <w:rPr>
          <w:rFonts w:ascii="Arial" w:hAnsi="Arial" w:cs="Arial"/>
          <w:bCs/>
          <w:szCs w:val="24"/>
        </w:rPr>
        <w:t> </w:t>
      </w:r>
      <w:r w:rsidRPr="009D6148">
        <w:rPr>
          <w:rFonts w:ascii="Arial" w:hAnsi="Arial" w:cs="Arial"/>
          <w:bCs/>
          <w:szCs w:val="24"/>
        </w:rPr>
        <w:t>jejich srovnání se zahraničím</w:t>
      </w:r>
      <w:r>
        <w:rPr>
          <w:rFonts w:ascii="Arial" w:hAnsi="Arial" w:cs="Arial"/>
          <w:bCs/>
          <w:szCs w:val="24"/>
        </w:rPr>
        <w:t xml:space="preserve"> a provádí hodnocení </w:t>
      </w:r>
      <w:r w:rsidRPr="009D6148">
        <w:rPr>
          <w:rFonts w:ascii="Arial" w:hAnsi="Arial" w:cs="Arial"/>
          <w:bCs/>
          <w:szCs w:val="24"/>
        </w:rPr>
        <w:t>výsledků výzkumných organizací a výsledků ukončených programů podle Metodiky hodnocení výsledků výzkumných organizací a výsledků ukončenýc</w:t>
      </w:r>
      <w:r>
        <w:rPr>
          <w:rFonts w:ascii="Arial" w:hAnsi="Arial" w:cs="Arial"/>
          <w:bCs/>
          <w:szCs w:val="24"/>
        </w:rPr>
        <w:t>h programů schvále</w:t>
      </w:r>
      <w:r w:rsidRPr="009D6148">
        <w:rPr>
          <w:rFonts w:ascii="Arial" w:hAnsi="Arial" w:cs="Arial"/>
          <w:bCs/>
          <w:szCs w:val="24"/>
        </w:rPr>
        <w:t>né vládou</w:t>
      </w:r>
      <w:r>
        <w:rPr>
          <w:rFonts w:ascii="Arial" w:hAnsi="Arial" w:cs="Arial"/>
          <w:bCs/>
          <w:szCs w:val="24"/>
        </w:rPr>
        <w:t xml:space="preserve"> (§ 35 odst. 2 písm. d) a g) zákona o podpoře výz</w:t>
      </w:r>
      <w:r w:rsidR="000E4C77">
        <w:rPr>
          <w:rFonts w:ascii="Arial" w:hAnsi="Arial" w:cs="Arial"/>
          <w:bCs/>
          <w:szCs w:val="24"/>
        </w:rPr>
        <w:t>kumu, experimentálního vývoje a </w:t>
      </w:r>
      <w:r>
        <w:rPr>
          <w:rFonts w:ascii="Arial" w:hAnsi="Arial" w:cs="Arial"/>
          <w:bCs/>
          <w:szCs w:val="24"/>
        </w:rPr>
        <w:t xml:space="preserve">inovací). Pro plnění uvedených zákonných povinností je aplikace </w:t>
      </w:r>
      <w:proofErr w:type="spellStart"/>
      <w:r>
        <w:rPr>
          <w:rFonts w:ascii="Arial" w:hAnsi="Arial" w:cs="Arial"/>
          <w:bCs/>
          <w:szCs w:val="24"/>
        </w:rPr>
        <w:t>InCites</w:t>
      </w:r>
      <w:proofErr w:type="spellEnd"/>
      <w:r>
        <w:rPr>
          <w:rFonts w:ascii="Arial" w:hAnsi="Arial" w:cs="Arial"/>
          <w:bCs/>
          <w:szCs w:val="24"/>
        </w:rPr>
        <w:t xml:space="preserve"> klíčovým nástrojem, neboť umožňuje</w:t>
      </w:r>
      <w:r w:rsidRPr="00364873">
        <w:rPr>
          <w:rFonts w:ascii="Arial" w:hAnsi="Arial" w:cs="Arial"/>
          <w:bCs/>
          <w:szCs w:val="24"/>
        </w:rPr>
        <w:t xml:space="preserve"> analýzy vědeckého výkonu na úrovni jedno</w:t>
      </w:r>
      <w:r>
        <w:rPr>
          <w:rFonts w:ascii="Arial" w:hAnsi="Arial" w:cs="Arial"/>
          <w:bCs/>
          <w:szCs w:val="24"/>
        </w:rPr>
        <w:t>tlivců, pracovišť, fakult, výzkumných organizací i celých států.</w:t>
      </w:r>
    </w:p>
    <w:p w:rsidR="0067059C" w:rsidRDefault="0067059C" w:rsidP="00367340">
      <w:pPr>
        <w:spacing w:after="120"/>
        <w:jc w:val="both"/>
        <w:rPr>
          <w:rFonts w:ascii="Arial" w:hAnsi="Arial" w:cs="Arial"/>
          <w:b/>
          <w:bCs/>
          <w:szCs w:val="24"/>
        </w:rPr>
      </w:pPr>
      <w:r w:rsidRPr="00650618">
        <w:rPr>
          <w:rFonts w:ascii="Arial" w:hAnsi="Arial" w:cs="Arial"/>
          <w:b/>
          <w:bCs/>
          <w:szCs w:val="24"/>
        </w:rPr>
        <w:t>Předpokládaná hodnota</w:t>
      </w:r>
      <w:r>
        <w:rPr>
          <w:rFonts w:ascii="Arial" w:hAnsi="Arial" w:cs="Arial"/>
          <w:b/>
          <w:bCs/>
          <w:szCs w:val="24"/>
        </w:rPr>
        <w:t xml:space="preserve"> veřejné zakázky </w:t>
      </w:r>
      <w:r>
        <w:rPr>
          <w:rFonts w:ascii="Arial" w:hAnsi="Arial" w:cs="Arial"/>
          <w:bCs/>
          <w:szCs w:val="24"/>
        </w:rPr>
        <w:t>z</w:t>
      </w:r>
      <w:r w:rsidRPr="00650618">
        <w:rPr>
          <w:rFonts w:ascii="Arial" w:hAnsi="Arial" w:cs="Arial"/>
          <w:bCs/>
          <w:szCs w:val="24"/>
        </w:rPr>
        <w:t xml:space="preserve">atím </w:t>
      </w:r>
      <w:r>
        <w:rPr>
          <w:rFonts w:ascii="Arial" w:hAnsi="Arial" w:cs="Arial"/>
          <w:bCs/>
          <w:szCs w:val="24"/>
        </w:rPr>
        <w:t xml:space="preserve">nebyla centrálním zadavatelem </w:t>
      </w:r>
      <w:r w:rsidRPr="00650618">
        <w:rPr>
          <w:rFonts w:ascii="Arial" w:hAnsi="Arial" w:cs="Arial"/>
          <w:bCs/>
          <w:szCs w:val="24"/>
        </w:rPr>
        <w:t>stanovena</w:t>
      </w:r>
      <w:r>
        <w:rPr>
          <w:rFonts w:ascii="Arial" w:hAnsi="Arial" w:cs="Arial"/>
          <w:bCs/>
          <w:szCs w:val="24"/>
        </w:rPr>
        <w:t xml:space="preserve">. Aktuálně NTK oslovuje členské instituce a zjišťuje jejich zájem o vybraný EIZ. </w:t>
      </w:r>
      <w:r w:rsidRPr="00650618">
        <w:rPr>
          <w:rFonts w:ascii="Arial" w:hAnsi="Arial" w:cs="Arial"/>
          <w:bCs/>
          <w:szCs w:val="24"/>
        </w:rPr>
        <w:t xml:space="preserve">Dle zpětné vazby institucí </w:t>
      </w:r>
      <w:r>
        <w:rPr>
          <w:rFonts w:ascii="Arial" w:hAnsi="Arial" w:cs="Arial"/>
          <w:bCs/>
          <w:szCs w:val="24"/>
        </w:rPr>
        <w:t>NTK</w:t>
      </w:r>
      <w:r w:rsidRPr="00650618">
        <w:rPr>
          <w:rFonts w:ascii="Arial" w:hAnsi="Arial" w:cs="Arial"/>
          <w:bCs/>
          <w:szCs w:val="24"/>
        </w:rPr>
        <w:t xml:space="preserve"> osloví vydavatel</w:t>
      </w:r>
      <w:r>
        <w:rPr>
          <w:rFonts w:ascii="Arial" w:hAnsi="Arial" w:cs="Arial"/>
          <w:bCs/>
          <w:szCs w:val="24"/>
        </w:rPr>
        <w:t>e</w:t>
      </w:r>
      <w:r w:rsidRPr="00650618">
        <w:rPr>
          <w:rFonts w:ascii="Arial" w:hAnsi="Arial" w:cs="Arial"/>
          <w:bCs/>
          <w:szCs w:val="24"/>
        </w:rPr>
        <w:t>, zda on či jiný subjekt bude dodávat daný pr</w:t>
      </w:r>
      <w:r>
        <w:rPr>
          <w:rFonts w:ascii="Arial" w:hAnsi="Arial" w:cs="Arial"/>
          <w:bCs/>
          <w:szCs w:val="24"/>
        </w:rPr>
        <w:t xml:space="preserve">odukt. Po vyjasnění exkluzivity </w:t>
      </w:r>
      <w:r w:rsidRPr="00650618">
        <w:rPr>
          <w:rFonts w:ascii="Arial" w:hAnsi="Arial" w:cs="Arial"/>
          <w:bCs/>
          <w:szCs w:val="24"/>
        </w:rPr>
        <w:t>začne NTK vést tržní ko</w:t>
      </w:r>
      <w:r w:rsidR="000E4C77">
        <w:rPr>
          <w:rFonts w:ascii="Arial" w:hAnsi="Arial" w:cs="Arial"/>
          <w:bCs/>
          <w:szCs w:val="24"/>
        </w:rPr>
        <w:t>nzultace s určeným subjektem. Z </w:t>
      </w:r>
      <w:r w:rsidRPr="00650618">
        <w:rPr>
          <w:rFonts w:ascii="Arial" w:hAnsi="Arial" w:cs="Arial"/>
          <w:bCs/>
          <w:szCs w:val="24"/>
        </w:rPr>
        <w:t>tržních konzultací bude odvozena očekávaná cena.</w:t>
      </w:r>
    </w:p>
    <w:p w:rsidR="0067059C" w:rsidRDefault="0067059C" w:rsidP="0067059C">
      <w:pPr>
        <w:spacing w:after="240"/>
        <w:jc w:val="both"/>
        <w:rPr>
          <w:rFonts w:ascii="Arial" w:hAnsi="Arial" w:cs="Arial"/>
          <w:bCs/>
          <w:szCs w:val="24"/>
        </w:rPr>
      </w:pPr>
      <w:r w:rsidRPr="00E13D61">
        <w:rPr>
          <w:rFonts w:ascii="Arial" w:hAnsi="Arial" w:cs="Arial"/>
          <w:b/>
          <w:bCs/>
          <w:szCs w:val="24"/>
        </w:rPr>
        <w:t>Předpokládaná hodnota části veřejné zakázky</w:t>
      </w:r>
      <w:r>
        <w:rPr>
          <w:rFonts w:ascii="Arial" w:hAnsi="Arial" w:cs="Arial"/>
          <w:bCs/>
          <w:szCs w:val="24"/>
        </w:rPr>
        <w:t xml:space="preserve">, kterou hodlá Úřad vlády ČR realizovat prostřednictvím NTK na základě smlouvy o centralizovaném zadávání činí 285.159 USD, tj. </w:t>
      </w:r>
      <w:r>
        <w:rPr>
          <w:rFonts w:ascii="Arial" w:hAnsi="Arial" w:cs="Arial"/>
          <w:bCs/>
          <w:szCs w:val="24"/>
        </w:rPr>
        <w:lastRenderedPageBreak/>
        <w:t>6.364.179 CZK (dle kurzu CZK/USD k </w:t>
      </w:r>
      <w:proofErr w:type="gramStart"/>
      <w:r>
        <w:rPr>
          <w:rFonts w:ascii="Arial" w:hAnsi="Arial" w:cs="Arial"/>
          <w:bCs/>
          <w:szCs w:val="24"/>
        </w:rPr>
        <w:t>29.6.2018</w:t>
      </w:r>
      <w:proofErr w:type="gramEnd"/>
      <w:r>
        <w:rPr>
          <w:rFonts w:ascii="Arial" w:hAnsi="Arial" w:cs="Arial"/>
          <w:bCs/>
          <w:szCs w:val="24"/>
        </w:rPr>
        <w:t>). Je</w:t>
      </w:r>
      <w:r w:rsidR="003F3C2C">
        <w:rPr>
          <w:rFonts w:ascii="Arial" w:hAnsi="Arial" w:cs="Arial"/>
          <w:bCs/>
          <w:szCs w:val="24"/>
        </w:rPr>
        <w:t>dná se o poplatky za licence na </w:t>
      </w:r>
      <w:r>
        <w:rPr>
          <w:rFonts w:ascii="Arial" w:hAnsi="Arial" w:cs="Arial"/>
          <w:bCs/>
          <w:szCs w:val="24"/>
        </w:rPr>
        <w:t xml:space="preserve">používání aplikace </w:t>
      </w:r>
      <w:proofErr w:type="spellStart"/>
      <w:r>
        <w:rPr>
          <w:rFonts w:ascii="Arial" w:hAnsi="Arial" w:cs="Arial"/>
          <w:bCs/>
          <w:szCs w:val="24"/>
        </w:rPr>
        <w:t>InCites</w:t>
      </w:r>
      <w:proofErr w:type="spellEnd"/>
      <w:r>
        <w:rPr>
          <w:rFonts w:ascii="Arial" w:hAnsi="Arial" w:cs="Arial"/>
          <w:bCs/>
          <w:szCs w:val="24"/>
        </w:rPr>
        <w:t xml:space="preserve"> v letech 2019-2022. V</w:t>
      </w:r>
      <w:r w:rsidR="003F3C2C">
        <w:rPr>
          <w:rFonts w:ascii="Arial" w:hAnsi="Arial" w:cs="Arial"/>
          <w:bCs/>
          <w:szCs w:val="24"/>
        </w:rPr>
        <w:t> </w:t>
      </w:r>
      <w:r>
        <w:rPr>
          <w:rFonts w:ascii="Arial" w:hAnsi="Arial" w:cs="Arial"/>
          <w:bCs/>
          <w:szCs w:val="24"/>
        </w:rPr>
        <w:t>tabulce</w:t>
      </w:r>
      <w:r w:rsidR="003F3C2C">
        <w:rPr>
          <w:rFonts w:ascii="Arial" w:hAnsi="Arial" w:cs="Arial"/>
          <w:bCs/>
          <w:szCs w:val="24"/>
        </w:rPr>
        <w:t xml:space="preserve"> níže</w:t>
      </w:r>
      <w:r>
        <w:rPr>
          <w:rFonts w:ascii="Arial" w:hAnsi="Arial" w:cs="Arial"/>
          <w:bCs/>
          <w:szCs w:val="24"/>
        </w:rPr>
        <w:t xml:space="preserve"> jsou rozepsány předpokládané výše poplatků v jednotlivých letech dle informace NTK</w:t>
      </w:r>
      <w:r w:rsidR="003F3C2C">
        <w:rPr>
          <w:rFonts w:ascii="Arial" w:hAnsi="Arial" w:cs="Arial"/>
          <w:bCs/>
          <w:szCs w:val="24"/>
        </w:rPr>
        <w:t xml:space="preserve"> a výše poplatků hrazené Úřadem vlády ČR v předchozích letech</w:t>
      </w:r>
      <w:r>
        <w:rPr>
          <w:rFonts w:ascii="Arial" w:hAnsi="Arial" w:cs="Arial"/>
          <w:bCs/>
          <w:szCs w:val="24"/>
        </w:rPr>
        <w:t xml:space="preserve">. </w:t>
      </w:r>
      <w:r w:rsidR="003F3C2C">
        <w:rPr>
          <w:rFonts w:ascii="Arial" w:hAnsi="Arial" w:cs="Arial"/>
          <w:bCs/>
          <w:szCs w:val="24"/>
        </w:rPr>
        <w:t>V letech 2019 a </w:t>
      </w:r>
      <w:r>
        <w:rPr>
          <w:rFonts w:ascii="Arial" w:hAnsi="Arial" w:cs="Arial"/>
          <w:bCs/>
          <w:szCs w:val="24"/>
        </w:rPr>
        <w:t xml:space="preserve">2020 je zajištěna finanční podpora z projektu </w:t>
      </w:r>
      <w:proofErr w:type="spellStart"/>
      <w:r>
        <w:rPr>
          <w:rFonts w:ascii="Arial" w:hAnsi="Arial" w:cs="Arial"/>
          <w:bCs/>
          <w:szCs w:val="24"/>
        </w:rPr>
        <w:t>CzechElib</w:t>
      </w:r>
      <w:proofErr w:type="spellEnd"/>
      <w:r>
        <w:rPr>
          <w:rFonts w:ascii="Arial" w:hAnsi="Arial" w:cs="Arial"/>
          <w:bCs/>
          <w:szCs w:val="24"/>
        </w:rPr>
        <w:t xml:space="preserve"> ve výši 70 % poplatku. Úřad vlády ČR tak bude hradit pouze 30 % poplatku. Po roce 2020 skončí dotování nákupu EIZ z OP VVV v rámci projektu. Realizátor projektu NTK se snaží zajistit prostředky ze státního rozpočtu na pokračování dotovaného nákupu EIZ i v následujícím období. Aktuálně ale není možné určit, s jakou finanční podporou může Úřad vlády ČR počítat v letech 2021 a 2022, tj. jaká bude jeho spoluúčast na úhradě poplatku za EIZ, proto bude mít na toto období opci.</w:t>
      </w:r>
    </w:p>
    <w:tbl>
      <w:tblPr>
        <w:tblW w:w="907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1417"/>
        <w:gridCol w:w="2988"/>
        <w:gridCol w:w="2398"/>
      </w:tblGrid>
      <w:tr w:rsidR="003F3C2C" w:rsidRPr="00367D57" w:rsidTr="003D190A">
        <w:trPr>
          <w:trHeight w:val="400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F3C2C">
              <w:rPr>
                <w:rFonts w:ascii="Arial" w:hAnsi="Arial" w:cs="Arial"/>
                <w:b/>
                <w:bCs/>
                <w:color w:val="000000"/>
                <w:sz w:val="20"/>
              </w:rPr>
              <w:t>Smlouva/objednávka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F3C2C">
              <w:rPr>
                <w:rFonts w:ascii="Arial" w:hAnsi="Arial" w:cs="Arial"/>
                <w:b/>
                <w:bCs/>
                <w:color w:val="000000"/>
                <w:sz w:val="20"/>
              </w:rPr>
              <w:t>Období</w:t>
            </w:r>
          </w:p>
        </w:tc>
        <w:tc>
          <w:tcPr>
            <w:tcW w:w="2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F3C2C">
              <w:rPr>
                <w:rFonts w:ascii="Arial" w:hAnsi="Arial" w:cs="Arial"/>
                <w:b/>
                <w:bCs/>
                <w:color w:val="000000"/>
                <w:sz w:val="20"/>
              </w:rPr>
              <w:t>Poplatek celkem za licen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ce pro Úřad vlády ČR (v USD bez </w:t>
            </w:r>
            <w:r w:rsidRPr="003F3C2C">
              <w:rPr>
                <w:rFonts w:ascii="Arial" w:hAnsi="Arial" w:cs="Arial"/>
                <w:b/>
                <w:bCs/>
                <w:color w:val="000000"/>
                <w:sz w:val="20"/>
              </w:rPr>
              <w:t>DPH)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F3C2C">
              <w:rPr>
                <w:rFonts w:ascii="Arial" w:hAnsi="Arial" w:cs="Arial"/>
                <w:b/>
                <w:bCs/>
                <w:color w:val="000000"/>
                <w:sz w:val="20"/>
              </w:rPr>
              <w:t>Část popl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atku hrazená Úřadem vlády ČR (v </w:t>
            </w:r>
            <w:r w:rsidRPr="003F3C2C">
              <w:rPr>
                <w:rFonts w:ascii="Arial" w:hAnsi="Arial" w:cs="Arial"/>
                <w:b/>
                <w:bCs/>
                <w:color w:val="000000"/>
                <w:sz w:val="20"/>
              </w:rPr>
              <w:t>USD bez DPH)</w:t>
            </w:r>
          </w:p>
        </w:tc>
      </w:tr>
      <w:tr w:rsidR="003F3C2C" w:rsidRPr="00367D57" w:rsidTr="003D190A">
        <w:trPr>
          <w:trHeight w:val="400"/>
        </w:trPr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13/125-0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2013/2014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48 140,00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48 140,00</w:t>
            </w:r>
          </w:p>
        </w:tc>
      </w:tr>
      <w:tr w:rsidR="003F3C2C" w:rsidRPr="00367D57" w:rsidTr="003D190A">
        <w:trPr>
          <w:trHeight w:val="400"/>
        </w:trPr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2014/2015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50 938,00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50 938,00</w:t>
            </w:r>
          </w:p>
        </w:tc>
      </w:tr>
      <w:tr w:rsidR="003F3C2C" w:rsidRPr="00367D57" w:rsidTr="003D190A">
        <w:trPr>
          <w:trHeight w:val="400"/>
        </w:trPr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2015/2016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53 905,00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53 905,00</w:t>
            </w:r>
          </w:p>
        </w:tc>
      </w:tr>
      <w:tr w:rsidR="003F3C2C" w:rsidRPr="00367D57" w:rsidTr="003D190A">
        <w:trPr>
          <w:trHeight w:val="40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4500025286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2016/2017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57 139,00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57 139,00</w:t>
            </w:r>
          </w:p>
        </w:tc>
      </w:tr>
      <w:tr w:rsidR="003F3C2C" w:rsidRPr="00367D57" w:rsidTr="003D190A">
        <w:trPr>
          <w:trHeight w:val="400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4500029083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2017/2018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60 567,34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60 567,34</w:t>
            </w:r>
          </w:p>
        </w:tc>
      </w:tr>
      <w:tr w:rsidR="003F3C2C" w:rsidRPr="00367D57" w:rsidTr="003D190A">
        <w:trPr>
          <w:trHeight w:val="400"/>
        </w:trPr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3F3C2C">
              <w:rPr>
                <w:rFonts w:ascii="Arial" w:hAnsi="Arial" w:cs="Arial"/>
                <w:color w:val="000000"/>
                <w:sz w:val="20"/>
              </w:rPr>
              <w:t>CzechElib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2019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66 160,00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19 848,00</w:t>
            </w:r>
          </w:p>
        </w:tc>
      </w:tr>
      <w:tr w:rsidR="003F3C2C" w:rsidRPr="00367D57" w:rsidTr="003D190A">
        <w:trPr>
          <w:trHeight w:val="400"/>
        </w:trPr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2020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69 468,00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20 840,40</w:t>
            </w:r>
          </w:p>
        </w:tc>
      </w:tr>
      <w:tr w:rsidR="003F3C2C" w:rsidRPr="00367D57" w:rsidTr="003D190A">
        <w:trPr>
          <w:trHeight w:val="400"/>
        </w:trPr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2021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72 942,00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?</w:t>
            </w:r>
          </w:p>
        </w:tc>
      </w:tr>
      <w:tr w:rsidR="003F3C2C" w:rsidRPr="00367D57" w:rsidTr="003D190A">
        <w:trPr>
          <w:trHeight w:val="400"/>
        </w:trPr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2022</w:t>
            </w: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76 589,00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3F3C2C" w:rsidRPr="003F3C2C" w:rsidRDefault="003F3C2C" w:rsidP="003D190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3F3C2C">
              <w:rPr>
                <w:rFonts w:ascii="Arial" w:hAnsi="Arial" w:cs="Arial"/>
                <w:color w:val="000000"/>
                <w:sz w:val="20"/>
              </w:rPr>
              <w:t>?</w:t>
            </w:r>
          </w:p>
        </w:tc>
      </w:tr>
    </w:tbl>
    <w:p w:rsidR="0067059C" w:rsidRDefault="0067059C" w:rsidP="00367340">
      <w:pPr>
        <w:spacing w:before="240" w:after="120"/>
        <w:jc w:val="both"/>
        <w:rPr>
          <w:rFonts w:ascii="Arial" w:hAnsi="Arial" w:cs="Arial"/>
          <w:bCs/>
          <w:szCs w:val="24"/>
        </w:rPr>
      </w:pPr>
      <w:r w:rsidRPr="00086013">
        <w:rPr>
          <w:rFonts w:ascii="Arial" w:hAnsi="Arial" w:cs="Arial"/>
          <w:b/>
          <w:bCs/>
          <w:szCs w:val="24"/>
        </w:rPr>
        <w:t>Dodavatel bude vybrán</w:t>
      </w:r>
      <w:r w:rsidRPr="00086013">
        <w:rPr>
          <w:rFonts w:ascii="Arial" w:hAnsi="Arial" w:cs="Arial"/>
          <w:bCs/>
          <w:szCs w:val="24"/>
        </w:rPr>
        <w:t xml:space="preserve"> formou jednacího řízení bez uveřejnění (dále „JŘBU“) dle § 63 odst. 3 písm. c) a § 9 (centrální zadávání) zákona o zadávání veřejných zakázek.</w:t>
      </w:r>
      <w:r>
        <w:rPr>
          <w:rFonts w:ascii="Arial" w:hAnsi="Arial" w:cs="Arial"/>
          <w:bCs/>
          <w:szCs w:val="24"/>
        </w:rPr>
        <w:t xml:space="preserve"> P</w:t>
      </w:r>
      <w:r w:rsidRPr="00086013">
        <w:rPr>
          <w:rFonts w:ascii="Arial" w:hAnsi="Arial" w:cs="Arial"/>
          <w:bCs/>
          <w:szCs w:val="24"/>
        </w:rPr>
        <w:t xml:space="preserve">ředmět nákupu podléhá z podstaty věci ochraně práv duševního vlastnictví jeho vlastníků – práva duševního vlastnictví k </w:t>
      </w:r>
      <w:r>
        <w:rPr>
          <w:rFonts w:ascii="Arial" w:hAnsi="Arial" w:cs="Arial"/>
          <w:bCs/>
          <w:szCs w:val="24"/>
        </w:rPr>
        <w:t>EIZ</w:t>
      </w:r>
      <w:r w:rsidRPr="00086013">
        <w:rPr>
          <w:rFonts w:ascii="Arial" w:hAnsi="Arial" w:cs="Arial"/>
          <w:bCs/>
          <w:szCs w:val="24"/>
        </w:rPr>
        <w:t xml:space="preserve"> jsou na poli vědy vlastněna výhradně jejich vydavateli. </w:t>
      </w:r>
      <w:proofErr w:type="spellStart"/>
      <w:r w:rsidRPr="00086013">
        <w:rPr>
          <w:rFonts w:ascii="Arial" w:hAnsi="Arial" w:cs="Arial"/>
          <w:bCs/>
          <w:szCs w:val="24"/>
        </w:rPr>
        <w:t>Clarivate</w:t>
      </w:r>
      <w:proofErr w:type="spellEnd"/>
      <w:r>
        <w:rPr>
          <w:rFonts w:ascii="Arial" w:hAnsi="Arial" w:cs="Arial"/>
          <w:bCs/>
          <w:szCs w:val="24"/>
        </w:rPr>
        <w:t xml:space="preserve"> </w:t>
      </w:r>
      <w:proofErr w:type="spellStart"/>
      <w:r>
        <w:rPr>
          <w:rFonts w:ascii="Arial" w:hAnsi="Arial" w:cs="Arial"/>
          <w:bCs/>
          <w:szCs w:val="24"/>
        </w:rPr>
        <w:t>Analytics</w:t>
      </w:r>
      <w:proofErr w:type="spellEnd"/>
      <w:r w:rsidRPr="00086013">
        <w:rPr>
          <w:rFonts w:ascii="Arial" w:hAnsi="Arial" w:cs="Arial"/>
          <w:bCs/>
          <w:szCs w:val="24"/>
        </w:rPr>
        <w:t xml:space="preserve"> má na trhu s konkrétním plněním monopolní post</w:t>
      </w:r>
      <w:r w:rsidR="003F3C2C">
        <w:rPr>
          <w:rFonts w:ascii="Arial" w:hAnsi="Arial" w:cs="Arial"/>
          <w:bCs/>
          <w:szCs w:val="24"/>
        </w:rPr>
        <w:t>avení zejména z toho důvodu, že </w:t>
      </w:r>
      <w:r w:rsidRPr="00086013">
        <w:rPr>
          <w:rFonts w:ascii="Arial" w:hAnsi="Arial" w:cs="Arial"/>
          <w:bCs/>
          <w:szCs w:val="24"/>
        </w:rPr>
        <w:t>na trhu neexist</w:t>
      </w:r>
      <w:r>
        <w:rPr>
          <w:rFonts w:ascii="Arial" w:hAnsi="Arial" w:cs="Arial"/>
          <w:bCs/>
          <w:szCs w:val="24"/>
        </w:rPr>
        <w:t>uje žádný substitut plnění</w:t>
      </w:r>
      <w:r w:rsidRPr="00086013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</w:t>
      </w:r>
    </w:p>
    <w:p w:rsidR="0067059C" w:rsidRDefault="0067059C" w:rsidP="00367340">
      <w:pPr>
        <w:spacing w:after="120"/>
        <w:jc w:val="both"/>
        <w:rPr>
          <w:rFonts w:ascii="Arial" w:hAnsi="Arial" w:cs="Arial"/>
          <w:bCs/>
          <w:szCs w:val="24"/>
        </w:rPr>
      </w:pPr>
      <w:r w:rsidRPr="00086013">
        <w:rPr>
          <w:rFonts w:ascii="Arial" w:hAnsi="Arial" w:cs="Arial"/>
          <w:bCs/>
          <w:szCs w:val="24"/>
        </w:rPr>
        <w:t>Zadavatel VZ</w:t>
      </w:r>
      <w:r>
        <w:rPr>
          <w:rFonts w:ascii="Arial" w:hAnsi="Arial" w:cs="Arial"/>
          <w:bCs/>
          <w:szCs w:val="24"/>
        </w:rPr>
        <w:t xml:space="preserve"> - NTK</w:t>
      </w:r>
      <w:r w:rsidRPr="00086013">
        <w:rPr>
          <w:rFonts w:ascii="Arial" w:hAnsi="Arial" w:cs="Arial"/>
          <w:bCs/>
          <w:szCs w:val="24"/>
        </w:rPr>
        <w:t xml:space="preserve"> prohlašuje, že není v daném případě možné využít jiného postupu, neboť je povinen respektovat práva duševního vlastnictví, kterými </w:t>
      </w:r>
      <w:r>
        <w:rPr>
          <w:rFonts w:ascii="Arial" w:hAnsi="Arial" w:cs="Arial"/>
          <w:bCs/>
          <w:szCs w:val="24"/>
        </w:rPr>
        <w:t>je</w:t>
      </w:r>
      <w:r w:rsidRPr="00086013">
        <w:rPr>
          <w:rFonts w:ascii="Arial" w:hAnsi="Arial" w:cs="Arial"/>
          <w:bCs/>
          <w:szCs w:val="24"/>
        </w:rPr>
        <w:t xml:space="preserve"> EIZ c</w:t>
      </w:r>
      <w:r>
        <w:rPr>
          <w:rFonts w:ascii="Arial" w:hAnsi="Arial" w:cs="Arial"/>
          <w:bCs/>
          <w:szCs w:val="24"/>
        </w:rPr>
        <w:t>hráněn</w:t>
      </w:r>
      <w:r w:rsidRPr="00086013">
        <w:rPr>
          <w:rFonts w:ascii="Arial" w:hAnsi="Arial" w:cs="Arial"/>
          <w:bCs/>
          <w:szCs w:val="24"/>
        </w:rPr>
        <w:t xml:space="preserve"> a také konstatuje, že v daném případě neexistuje hosp</w:t>
      </w:r>
      <w:r>
        <w:rPr>
          <w:rFonts w:ascii="Arial" w:hAnsi="Arial" w:cs="Arial"/>
          <w:bCs/>
          <w:szCs w:val="24"/>
        </w:rPr>
        <w:t>odářská soutěž, neboť</w:t>
      </w:r>
      <w:r w:rsidRPr="00086013">
        <w:rPr>
          <w:rFonts w:ascii="Arial" w:hAnsi="Arial" w:cs="Arial"/>
          <w:bCs/>
          <w:szCs w:val="24"/>
        </w:rPr>
        <w:t xml:space="preserve"> EIZ j</w:t>
      </w:r>
      <w:r>
        <w:rPr>
          <w:rFonts w:ascii="Arial" w:hAnsi="Arial" w:cs="Arial"/>
          <w:bCs/>
          <w:szCs w:val="24"/>
        </w:rPr>
        <w:t>e</w:t>
      </w:r>
      <w:r w:rsidR="003D190A">
        <w:rPr>
          <w:rFonts w:ascii="Arial" w:hAnsi="Arial" w:cs="Arial"/>
          <w:bCs/>
          <w:szCs w:val="24"/>
        </w:rPr>
        <w:t xml:space="preserve"> s ohledem na </w:t>
      </w:r>
      <w:r w:rsidRPr="00086013">
        <w:rPr>
          <w:rFonts w:ascii="Arial" w:hAnsi="Arial" w:cs="Arial"/>
          <w:bCs/>
          <w:szCs w:val="24"/>
        </w:rPr>
        <w:t>svoji povahu i s ohledem na zajiš</w:t>
      </w:r>
      <w:r>
        <w:rPr>
          <w:rFonts w:ascii="Arial" w:hAnsi="Arial" w:cs="Arial"/>
          <w:bCs/>
          <w:szCs w:val="24"/>
        </w:rPr>
        <w:t>tění účelu plnění nenahraditelný a vlastněný pouze konkrétním subjektem</w:t>
      </w:r>
      <w:r w:rsidRPr="00086013">
        <w:rPr>
          <w:rFonts w:ascii="Arial" w:hAnsi="Arial" w:cs="Arial"/>
          <w:bCs/>
          <w:szCs w:val="24"/>
        </w:rPr>
        <w:t xml:space="preserve">. </w:t>
      </w:r>
      <w:bookmarkStart w:id="0" w:name="_GoBack"/>
      <w:bookmarkEnd w:id="0"/>
    </w:p>
    <w:p w:rsidR="00BA6F04" w:rsidRPr="00C21731" w:rsidRDefault="0067059C" w:rsidP="003D190A">
      <w:pPr>
        <w:spacing w:after="240"/>
        <w:jc w:val="both"/>
        <w:rPr>
          <w:rFonts w:ascii="Arial" w:hAnsi="Arial" w:cs="Arial"/>
          <w:color w:val="000000" w:themeColor="text1"/>
        </w:rPr>
      </w:pPr>
      <w:r w:rsidRPr="00B95CC2">
        <w:rPr>
          <w:rFonts w:ascii="Arial" w:hAnsi="Arial" w:cs="Arial"/>
          <w:bCs/>
          <w:szCs w:val="24"/>
        </w:rPr>
        <w:t>Předpokládaný</w:t>
      </w:r>
      <w:r w:rsidRPr="00B95CC2">
        <w:rPr>
          <w:rFonts w:ascii="Arial" w:hAnsi="Arial" w:cs="Arial"/>
          <w:b/>
          <w:bCs/>
          <w:szCs w:val="24"/>
        </w:rPr>
        <w:t xml:space="preserve"> termín plnění</w:t>
      </w:r>
      <w:r w:rsidRPr="00B95CC2">
        <w:rPr>
          <w:rFonts w:ascii="Arial" w:hAnsi="Arial" w:cs="Arial"/>
          <w:bCs/>
          <w:szCs w:val="24"/>
        </w:rPr>
        <w:t xml:space="preserve"> </w:t>
      </w:r>
      <w:r>
        <w:rPr>
          <w:rFonts w:ascii="Arial" w:hAnsi="Arial" w:cs="Arial"/>
          <w:bCs/>
          <w:szCs w:val="24"/>
        </w:rPr>
        <w:t xml:space="preserve">předmětu veřejné zakázky </w:t>
      </w:r>
      <w:r w:rsidRPr="00B95CC2">
        <w:rPr>
          <w:rFonts w:ascii="Arial" w:hAnsi="Arial" w:cs="Arial"/>
          <w:bCs/>
          <w:szCs w:val="24"/>
        </w:rPr>
        <w:t xml:space="preserve">je od </w:t>
      </w:r>
      <w:r>
        <w:rPr>
          <w:rFonts w:ascii="Arial" w:hAnsi="Arial" w:cs="Arial"/>
          <w:bCs/>
          <w:szCs w:val="24"/>
        </w:rPr>
        <w:t>1</w:t>
      </w:r>
      <w:r w:rsidRPr="00B95CC2">
        <w:rPr>
          <w:rFonts w:ascii="Arial" w:hAnsi="Arial" w:cs="Arial"/>
          <w:bCs/>
          <w:szCs w:val="24"/>
        </w:rPr>
        <w:t>.</w:t>
      </w:r>
      <w:r>
        <w:rPr>
          <w:rFonts w:ascii="Arial" w:hAnsi="Arial" w:cs="Arial"/>
          <w:bCs/>
          <w:szCs w:val="24"/>
        </w:rPr>
        <w:t xml:space="preserve"> ledna 2019</w:t>
      </w:r>
      <w:r w:rsidRPr="00B95CC2">
        <w:rPr>
          <w:rFonts w:ascii="Arial" w:hAnsi="Arial" w:cs="Arial"/>
          <w:bCs/>
          <w:szCs w:val="24"/>
        </w:rPr>
        <w:t xml:space="preserve"> na dobu </w:t>
      </w:r>
      <w:r w:rsidRPr="00E37E66">
        <w:rPr>
          <w:rFonts w:ascii="Arial" w:hAnsi="Arial" w:cs="Arial"/>
          <w:bCs/>
          <w:szCs w:val="24"/>
        </w:rPr>
        <w:t>2 let +</w:t>
      </w:r>
      <w:r w:rsidR="000E4C77">
        <w:rPr>
          <w:rFonts w:ascii="Arial" w:hAnsi="Arial" w:cs="Arial"/>
          <w:bCs/>
          <w:szCs w:val="24"/>
        </w:rPr>
        <w:t> </w:t>
      </w:r>
      <w:r w:rsidRPr="00E37E66">
        <w:rPr>
          <w:rFonts w:ascii="Arial" w:hAnsi="Arial" w:cs="Arial"/>
          <w:bCs/>
          <w:szCs w:val="24"/>
        </w:rPr>
        <w:t>2 roky opce, tj. do roku 2022.</w:t>
      </w:r>
      <w:r>
        <w:rPr>
          <w:rFonts w:ascii="Arial" w:hAnsi="Arial" w:cs="Arial"/>
          <w:bCs/>
          <w:szCs w:val="24"/>
        </w:rPr>
        <w:t xml:space="preserve"> </w:t>
      </w:r>
      <w:r w:rsidRPr="00F97E3B">
        <w:rPr>
          <w:rFonts w:ascii="Arial" w:hAnsi="Arial" w:cs="Arial"/>
          <w:bCs/>
          <w:szCs w:val="24"/>
        </w:rPr>
        <w:t>Předpokládaný</w:t>
      </w:r>
      <w:r w:rsidRPr="00F97E3B">
        <w:rPr>
          <w:rFonts w:ascii="Arial" w:hAnsi="Arial" w:cs="Arial"/>
          <w:b/>
          <w:bCs/>
          <w:szCs w:val="24"/>
        </w:rPr>
        <w:t xml:space="preserve"> termín zahájení zadávacího řízení</w:t>
      </w:r>
      <w:r w:rsidRPr="00F97E3B">
        <w:rPr>
          <w:rFonts w:ascii="Arial" w:hAnsi="Arial" w:cs="Arial"/>
          <w:bCs/>
          <w:szCs w:val="24"/>
        </w:rPr>
        <w:t xml:space="preserve"> je září/říjen 2018. NTK aktuálně získává mandát od členských institucí k zahájení centralizovaného zadávání.</w:t>
      </w:r>
    </w:p>
    <w:sectPr w:rsidR="00BA6F04" w:rsidRPr="00C217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D0" w:rsidRDefault="007507D0" w:rsidP="00EF2156">
      <w:pPr>
        <w:spacing w:after="0" w:line="240" w:lineRule="auto"/>
      </w:pPr>
      <w:r>
        <w:separator/>
      </w:r>
    </w:p>
  </w:endnote>
  <w:endnote w:type="continuationSeparator" w:id="0">
    <w:p w:rsidR="007507D0" w:rsidRDefault="007507D0" w:rsidP="00EF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27519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45418" w:rsidRDefault="00B4541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77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77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6567" w:rsidRDefault="00666567" w:rsidP="00666567">
    <w:pPr>
      <w:pStyle w:val="Zhlav"/>
      <w:jc w:val="right"/>
      <w:rPr>
        <w:i/>
      </w:rPr>
    </w:pPr>
  </w:p>
  <w:p w:rsidR="0067059C" w:rsidRDefault="0067059C" w:rsidP="00666567">
    <w:pPr>
      <w:pStyle w:val="Zhlav"/>
      <w:rPr>
        <w:i/>
        <w:sz w:val="18"/>
        <w:szCs w:val="18"/>
      </w:rPr>
    </w:pPr>
    <w:r w:rsidRPr="0067059C">
      <w:rPr>
        <w:i/>
        <w:sz w:val="18"/>
        <w:szCs w:val="18"/>
      </w:rPr>
      <w:t xml:space="preserve">Záměr realizovat nadlimitní veřejnou zakázku na pořízení licence k analytickému nástroji </w:t>
    </w:r>
    <w:proofErr w:type="spellStart"/>
    <w:r w:rsidRPr="0067059C">
      <w:rPr>
        <w:i/>
        <w:sz w:val="18"/>
        <w:szCs w:val="18"/>
      </w:rPr>
      <w:t>InCites</w:t>
    </w:r>
    <w:proofErr w:type="spellEnd"/>
  </w:p>
  <w:p w:rsidR="00E052C0" w:rsidRPr="00666567" w:rsidRDefault="00E052C0" w:rsidP="00666567">
    <w:pPr>
      <w:pStyle w:val="Zhlav"/>
      <w:rPr>
        <w:i/>
        <w:sz w:val="18"/>
        <w:szCs w:val="18"/>
      </w:rPr>
    </w:pPr>
    <w:r w:rsidRPr="00E052C0">
      <w:rPr>
        <w:bCs/>
        <w:i/>
        <w:sz w:val="18"/>
        <w:szCs w:val="18"/>
      </w:rPr>
      <w:t xml:space="preserve">Zpracoval: </w:t>
    </w:r>
    <w:r w:rsidR="0067059C">
      <w:rPr>
        <w:bCs/>
        <w:i/>
        <w:sz w:val="18"/>
        <w:szCs w:val="18"/>
      </w:rPr>
      <w:t>Ing. P. Jaroš</w:t>
    </w:r>
    <w:r w:rsidR="0067059C">
      <w:rPr>
        <w:bCs/>
        <w:i/>
        <w:sz w:val="18"/>
        <w:szCs w:val="18"/>
      </w:rPr>
      <w:tab/>
    </w:r>
    <w:r w:rsidR="0067059C">
      <w:rPr>
        <w:bCs/>
        <w:i/>
        <w:sz w:val="18"/>
        <w:szCs w:val="18"/>
      </w:rPr>
      <w:tab/>
      <w:t xml:space="preserve">datum: </w:t>
    </w:r>
    <w:proofErr w:type="gramStart"/>
    <w:r w:rsidR="0067059C">
      <w:rPr>
        <w:bCs/>
        <w:i/>
        <w:sz w:val="18"/>
        <w:szCs w:val="18"/>
      </w:rPr>
      <w:t>4</w:t>
    </w:r>
    <w:r w:rsidRPr="00E052C0">
      <w:rPr>
        <w:bCs/>
        <w:i/>
        <w:sz w:val="18"/>
        <w:szCs w:val="18"/>
      </w:rPr>
      <w:t>.</w:t>
    </w:r>
    <w:r w:rsidR="0067059C">
      <w:rPr>
        <w:bCs/>
        <w:i/>
        <w:sz w:val="18"/>
        <w:szCs w:val="18"/>
      </w:rPr>
      <w:t>9</w:t>
    </w:r>
    <w:r w:rsidRPr="00E052C0">
      <w:rPr>
        <w:bCs/>
        <w:i/>
        <w:sz w:val="18"/>
        <w:szCs w:val="18"/>
      </w:rPr>
      <w:t>.</w:t>
    </w:r>
    <w:r>
      <w:rPr>
        <w:bCs/>
        <w:i/>
        <w:sz w:val="18"/>
        <w:szCs w:val="18"/>
      </w:rPr>
      <w:t>2018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D0" w:rsidRDefault="007507D0" w:rsidP="00EF2156">
      <w:pPr>
        <w:spacing w:after="0" w:line="240" w:lineRule="auto"/>
      </w:pPr>
      <w:r>
        <w:separator/>
      </w:r>
    </w:p>
  </w:footnote>
  <w:footnote w:type="continuationSeparator" w:id="0">
    <w:p w:rsidR="007507D0" w:rsidRDefault="007507D0" w:rsidP="00EF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5B6A45" w:rsidTr="00703BAD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  <w:hideMark/>
        </w:tcPr>
        <w:p w:rsidR="005B6A45" w:rsidRDefault="005B6A45">
          <w:pPr>
            <w:pStyle w:val="Zhlav"/>
            <w:rPr>
              <w:rFonts w:ascii="Arial" w:eastAsia="Times New Roman" w:hAnsi="Arial" w:cs="Arial"/>
              <w:b/>
              <w:color w:val="0B38B5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248E6CD4" wp14:editId="06F1D89C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 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8DB3E2" w:themeFill="text2" w:themeFillTint="66"/>
          <w:vAlign w:val="center"/>
          <w:hideMark/>
        </w:tcPr>
        <w:p w:rsidR="005B6A45" w:rsidRDefault="0067059C">
          <w:pPr>
            <w:pStyle w:val="Zhlav"/>
            <w:jc w:val="center"/>
            <w:rPr>
              <w:rFonts w:ascii="Arial" w:eastAsia="Times New Roman" w:hAnsi="Arial" w:cs="Arial"/>
              <w:b/>
              <w:color w:val="0070C0"/>
            </w:rPr>
          </w:pPr>
          <w:r>
            <w:rPr>
              <w:rFonts w:ascii="Arial" w:hAnsi="Arial" w:cs="Arial"/>
              <w:b/>
              <w:color w:val="0070C0"/>
            </w:rPr>
            <w:t>Mimořádné zasedání RVVI</w:t>
          </w:r>
          <w:r w:rsidR="00367340">
            <w:rPr>
              <w:rFonts w:ascii="Arial" w:hAnsi="Arial" w:cs="Arial"/>
              <w:b/>
              <w:color w:val="0070C0"/>
            </w:rPr>
            <w:t xml:space="preserve"> 7. 9. 2018</w:t>
          </w:r>
          <w:r>
            <w:rPr>
              <w:rFonts w:ascii="Arial" w:hAnsi="Arial" w:cs="Arial"/>
              <w:b/>
              <w:color w:val="0070C0"/>
            </w:rPr>
            <w:t>/B5</w:t>
          </w:r>
        </w:p>
      </w:tc>
    </w:tr>
  </w:tbl>
  <w:p w:rsidR="00EF2156" w:rsidRPr="00EF2156" w:rsidRDefault="00EF2156" w:rsidP="00666567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31C5C"/>
    <w:multiLevelType w:val="hybridMultilevel"/>
    <w:tmpl w:val="7944C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F2DDB"/>
    <w:multiLevelType w:val="hybridMultilevel"/>
    <w:tmpl w:val="D7B0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A3994"/>
    <w:multiLevelType w:val="hybridMultilevel"/>
    <w:tmpl w:val="5EE04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622E1"/>
    <w:multiLevelType w:val="hybridMultilevel"/>
    <w:tmpl w:val="9F180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92"/>
    <w:rsid w:val="00065858"/>
    <w:rsid w:val="000832AB"/>
    <w:rsid w:val="000E4C77"/>
    <w:rsid w:val="00100236"/>
    <w:rsid w:val="001C772A"/>
    <w:rsid w:val="0021623D"/>
    <w:rsid w:val="0025292F"/>
    <w:rsid w:val="00276329"/>
    <w:rsid w:val="0032060E"/>
    <w:rsid w:val="00347D59"/>
    <w:rsid w:val="0035598D"/>
    <w:rsid w:val="00367340"/>
    <w:rsid w:val="003A5904"/>
    <w:rsid w:val="003D190A"/>
    <w:rsid w:val="003E7352"/>
    <w:rsid w:val="003F2521"/>
    <w:rsid w:val="003F3C2C"/>
    <w:rsid w:val="004116E3"/>
    <w:rsid w:val="00417BED"/>
    <w:rsid w:val="004838EA"/>
    <w:rsid w:val="0050560C"/>
    <w:rsid w:val="00515F3B"/>
    <w:rsid w:val="005221B1"/>
    <w:rsid w:val="005257AA"/>
    <w:rsid w:val="00542819"/>
    <w:rsid w:val="00547751"/>
    <w:rsid w:val="00553E8A"/>
    <w:rsid w:val="00572642"/>
    <w:rsid w:val="005B6A45"/>
    <w:rsid w:val="00655F75"/>
    <w:rsid w:val="00666567"/>
    <w:rsid w:val="0067059C"/>
    <w:rsid w:val="006A4BE7"/>
    <w:rsid w:val="006B6B46"/>
    <w:rsid w:val="006C081C"/>
    <w:rsid w:val="006C2201"/>
    <w:rsid w:val="006E34D6"/>
    <w:rsid w:val="00703BAD"/>
    <w:rsid w:val="007131D9"/>
    <w:rsid w:val="007507D0"/>
    <w:rsid w:val="0079580C"/>
    <w:rsid w:val="007C5F34"/>
    <w:rsid w:val="00817585"/>
    <w:rsid w:val="00827C15"/>
    <w:rsid w:val="008659A5"/>
    <w:rsid w:val="00870B0C"/>
    <w:rsid w:val="008D2370"/>
    <w:rsid w:val="009534E9"/>
    <w:rsid w:val="00A855EE"/>
    <w:rsid w:val="00A97B40"/>
    <w:rsid w:val="00AE17F1"/>
    <w:rsid w:val="00AE7575"/>
    <w:rsid w:val="00B34A7D"/>
    <w:rsid w:val="00B426FA"/>
    <w:rsid w:val="00B45418"/>
    <w:rsid w:val="00B45934"/>
    <w:rsid w:val="00BA6F04"/>
    <w:rsid w:val="00BE1514"/>
    <w:rsid w:val="00BE6369"/>
    <w:rsid w:val="00C04192"/>
    <w:rsid w:val="00C21731"/>
    <w:rsid w:val="00C41A90"/>
    <w:rsid w:val="00C73D62"/>
    <w:rsid w:val="00CA4BCE"/>
    <w:rsid w:val="00CB4E71"/>
    <w:rsid w:val="00CD7A12"/>
    <w:rsid w:val="00CE3661"/>
    <w:rsid w:val="00CE57DD"/>
    <w:rsid w:val="00CF0F00"/>
    <w:rsid w:val="00D50AB1"/>
    <w:rsid w:val="00D77DF7"/>
    <w:rsid w:val="00D853D5"/>
    <w:rsid w:val="00E052C0"/>
    <w:rsid w:val="00E17734"/>
    <w:rsid w:val="00E76610"/>
    <w:rsid w:val="00EA25C0"/>
    <w:rsid w:val="00EA5F46"/>
    <w:rsid w:val="00EB1FB0"/>
    <w:rsid w:val="00EF2156"/>
    <w:rsid w:val="00EF4721"/>
    <w:rsid w:val="00F1738A"/>
    <w:rsid w:val="00F82316"/>
    <w:rsid w:val="00F955EB"/>
    <w:rsid w:val="00F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E15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156"/>
  </w:style>
  <w:style w:type="paragraph" w:styleId="Zpat">
    <w:name w:val="footer"/>
    <w:basedOn w:val="Normln"/>
    <w:link w:val="Zpat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156"/>
  </w:style>
  <w:style w:type="paragraph" w:styleId="Textbubliny">
    <w:name w:val="Balloon Text"/>
    <w:basedOn w:val="Normln"/>
    <w:link w:val="TextbublinyChar"/>
    <w:uiPriority w:val="99"/>
    <w:semiHidden/>
    <w:unhideWhenUsed/>
    <w:rsid w:val="003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E15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156"/>
  </w:style>
  <w:style w:type="paragraph" w:styleId="Zpat">
    <w:name w:val="footer"/>
    <w:basedOn w:val="Normln"/>
    <w:link w:val="Zpat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156"/>
  </w:style>
  <w:style w:type="paragraph" w:styleId="Textbubliny">
    <w:name w:val="Balloon Text"/>
    <w:basedOn w:val="Normln"/>
    <w:link w:val="TextbublinyChar"/>
    <w:uiPriority w:val="99"/>
    <w:semiHidden/>
    <w:unhideWhenUsed/>
    <w:rsid w:val="003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CF8E-EABB-40BD-9866-C4C39CB8A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760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Bártová Milada</cp:lastModifiedBy>
  <cp:revision>43</cp:revision>
  <cp:lastPrinted>2018-09-04T12:21:00Z</cp:lastPrinted>
  <dcterms:created xsi:type="dcterms:W3CDTF">2018-08-14T07:31:00Z</dcterms:created>
  <dcterms:modified xsi:type="dcterms:W3CDTF">2018-09-04T12:21:00Z</dcterms:modified>
</cp:coreProperties>
</file>