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5C351" w14:textId="77777777" w:rsidR="00DD2080" w:rsidRPr="00DD2080" w:rsidRDefault="00DD2080" w:rsidP="00DD208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II.</w:t>
      </w:r>
    </w:p>
    <w:p w14:paraId="2172B506" w14:textId="77777777" w:rsidR="00DD2080" w:rsidRDefault="00DD2080" w:rsidP="00B47816">
      <w:pPr>
        <w:jc w:val="center"/>
        <w:rPr>
          <w:rFonts w:ascii="Arial" w:hAnsi="Arial" w:cs="Arial"/>
          <w:b/>
        </w:rPr>
      </w:pPr>
    </w:p>
    <w:p w14:paraId="48975C4E" w14:textId="77777777" w:rsidR="00713948" w:rsidRDefault="00B47816" w:rsidP="00B47816">
      <w:pPr>
        <w:jc w:val="center"/>
      </w:pPr>
      <w:r w:rsidRPr="0010178C">
        <w:rPr>
          <w:rFonts w:ascii="Arial" w:hAnsi="Arial" w:cs="Arial"/>
          <w:b/>
        </w:rPr>
        <w:t>PŘEDKLÁDACÍ ZPRÁVA</w:t>
      </w:r>
    </w:p>
    <w:p w14:paraId="71BCEDDB" w14:textId="77777777" w:rsidR="00FA4420" w:rsidRDefault="00DD2080" w:rsidP="00DD2080">
      <w:pPr>
        <w:spacing w:before="480"/>
        <w:jc w:val="both"/>
        <w:rPr>
          <w:rFonts w:ascii="Arial" w:hAnsi="Arial" w:cs="Arial"/>
        </w:rPr>
      </w:pPr>
      <w:r w:rsidRPr="00DD2080">
        <w:rPr>
          <w:rFonts w:ascii="Arial" w:hAnsi="Arial" w:cs="Arial"/>
        </w:rPr>
        <w:t xml:space="preserve">Ministerstvo průmyslu a obchodu předkládá materiál </w:t>
      </w:r>
      <w:r w:rsidR="006F0814">
        <w:rPr>
          <w:rFonts w:ascii="Arial" w:hAnsi="Arial" w:cs="Arial"/>
        </w:rPr>
        <w:t>„</w:t>
      </w:r>
      <w:r w:rsidR="006F0814">
        <w:rPr>
          <w:rFonts w:ascii="Arial" w:hAnsi="Arial" w:cs="Arial"/>
          <w:bCs/>
        </w:rPr>
        <w:t>S</w:t>
      </w:r>
      <w:r w:rsidR="006F0814" w:rsidRPr="006F0814">
        <w:rPr>
          <w:rFonts w:ascii="Arial" w:hAnsi="Arial" w:cs="Arial"/>
          <w:bCs/>
        </w:rPr>
        <w:t>ystém řízení a</w:t>
      </w:r>
      <w:r w:rsidR="006F0814">
        <w:rPr>
          <w:rFonts w:ascii="Arial" w:hAnsi="Arial" w:cs="Arial"/>
          <w:bCs/>
        </w:rPr>
        <w:t xml:space="preserve"> koordinace </w:t>
      </w:r>
      <w:r w:rsidR="000C5FB6">
        <w:rPr>
          <w:rFonts w:ascii="Arial" w:hAnsi="Arial" w:cs="Arial"/>
          <w:bCs/>
        </w:rPr>
        <w:t>I</w:t>
      </w:r>
      <w:r w:rsidR="006F0814">
        <w:rPr>
          <w:rFonts w:ascii="Arial" w:hAnsi="Arial" w:cs="Arial"/>
          <w:bCs/>
        </w:rPr>
        <w:t>novační strategie ČR</w:t>
      </w:r>
      <w:r w:rsidR="006F0814" w:rsidRPr="006F0814">
        <w:rPr>
          <w:rFonts w:ascii="Arial" w:hAnsi="Arial" w:cs="Arial"/>
          <w:bCs/>
        </w:rPr>
        <w:t xml:space="preserve"> 2019 </w:t>
      </w:r>
      <w:r w:rsidR="006F0814">
        <w:rPr>
          <w:rFonts w:ascii="Arial" w:hAnsi="Arial" w:cs="Arial"/>
          <w:bCs/>
        </w:rPr>
        <w:t>–</w:t>
      </w:r>
      <w:r w:rsidR="006F0814" w:rsidRPr="006F0814">
        <w:rPr>
          <w:rFonts w:ascii="Arial" w:hAnsi="Arial" w:cs="Arial"/>
          <w:bCs/>
        </w:rPr>
        <w:t xml:space="preserve"> 2030</w:t>
      </w:r>
      <w:r w:rsidR="006F0814">
        <w:rPr>
          <w:rFonts w:ascii="Arial" w:hAnsi="Arial" w:cs="Arial"/>
          <w:bCs/>
        </w:rPr>
        <w:t>“</w:t>
      </w:r>
      <w:r w:rsidRPr="006F0814">
        <w:rPr>
          <w:rFonts w:ascii="Arial" w:hAnsi="Arial" w:cs="Arial"/>
        </w:rPr>
        <w:t>.</w:t>
      </w:r>
    </w:p>
    <w:p w14:paraId="77FDDC5F" w14:textId="77777777" w:rsidR="008E000D" w:rsidRPr="00DD2080" w:rsidRDefault="00FA4420" w:rsidP="00FA4420">
      <w:pPr>
        <w:jc w:val="both"/>
        <w:rPr>
          <w:rFonts w:ascii="Arial" w:hAnsi="Arial" w:cs="Arial"/>
        </w:rPr>
      </w:pPr>
      <w:r w:rsidRPr="006F0814">
        <w:rPr>
          <w:rFonts w:ascii="Arial" w:hAnsi="Arial" w:cs="Arial"/>
        </w:rPr>
        <w:t xml:space="preserve">Tento dokument </w:t>
      </w:r>
      <w:r w:rsidR="000C5FB6">
        <w:rPr>
          <w:rFonts w:ascii="Arial" w:hAnsi="Arial" w:cs="Arial"/>
        </w:rPr>
        <w:t xml:space="preserve">vymezuje role a </w:t>
      </w:r>
      <w:r w:rsidRPr="006F0814">
        <w:rPr>
          <w:rFonts w:ascii="Arial" w:hAnsi="Arial" w:cs="Arial"/>
        </w:rPr>
        <w:t xml:space="preserve">stanovuje principy a řídicí a koordinační </w:t>
      </w:r>
      <w:r w:rsidR="000C5FB6" w:rsidRPr="006F0814">
        <w:rPr>
          <w:rFonts w:ascii="Arial" w:hAnsi="Arial" w:cs="Arial"/>
        </w:rPr>
        <w:t>mecha</w:t>
      </w:r>
      <w:r w:rsidR="000C5FB6">
        <w:rPr>
          <w:rFonts w:ascii="Arial" w:hAnsi="Arial" w:cs="Arial"/>
        </w:rPr>
        <w:t>nismy mezisektorové spolupráce, které jsou nezbytné</w:t>
      </w:r>
      <w:r>
        <w:rPr>
          <w:rFonts w:ascii="Arial" w:hAnsi="Arial" w:cs="Arial"/>
        </w:rPr>
        <w:t xml:space="preserve"> </w:t>
      </w:r>
      <w:r w:rsidR="000C5FB6">
        <w:rPr>
          <w:rFonts w:ascii="Arial" w:hAnsi="Arial" w:cs="Arial"/>
        </w:rPr>
        <w:t>pro realizaci Inovační strategie</w:t>
      </w:r>
      <w:r w:rsidR="000C5FB6" w:rsidRPr="006F0814">
        <w:rPr>
          <w:rFonts w:ascii="Arial" w:hAnsi="Arial" w:cs="Arial"/>
        </w:rPr>
        <w:t xml:space="preserve"> ČR 2019-2030</w:t>
      </w:r>
      <w:r w:rsidR="000C5FB6">
        <w:rPr>
          <w:rFonts w:ascii="Arial" w:hAnsi="Arial" w:cs="Arial"/>
        </w:rPr>
        <w:t xml:space="preserve"> (dále Strategie)</w:t>
      </w:r>
      <w:r>
        <w:rPr>
          <w:rFonts w:ascii="Arial" w:hAnsi="Arial" w:cs="Arial"/>
        </w:rPr>
        <w:t>.</w:t>
      </w:r>
    </w:p>
    <w:p w14:paraId="60FC256A" w14:textId="25FDB2C3" w:rsidR="006F0814" w:rsidRPr="006F0814" w:rsidRDefault="006F0814" w:rsidP="006F0814">
      <w:pPr>
        <w:jc w:val="both"/>
        <w:rPr>
          <w:rFonts w:ascii="Arial" w:hAnsi="Arial" w:cs="Arial"/>
        </w:rPr>
      </w:pPr>
      <w:r w:rsidRPr="006F0814">
        <w:rPr>
          <w:rFonts w:ascii="Arial" w:hAnsi="Arial" w:cs="Arial"/>
        </w:rPr>
        <w:t xml:space="preserve">Usnesením Vlády ČR ze dne 4. února 2019 č. 104 o Inovační strategii ČR 2019-2030 bylo uloženo předsedovi RVVI zajistit koordinaci naplňování obsahu Strategie a její </w:t>
      </w:r>
      <w:r w:rsidR="00A00F52">
        <w:rPr>
          <w:rFonts w:ascii="Arial" w:hAnsi="Arial" w:cs="Arial"/>
        </w:rPr>
        <w:t xml:space="preserve">pravidelné </w:t>
      </w:r>
      <w:r w:rsidRPr="006F0814">
        <w:rPr>
          <w:rFonts w:ascii="Arial" w:hAnsi="Arial" w:cs="Arial"/>
        </w:rPr>
        <w:t>vyhodnocování.</w:t>
      </w:r>
    </w:p>
    <w:p w14:paraId="44344BEB" w14:textId="77777777" w:rsidR="006859D8" w:rsidRDefault="000C5FB6" w:rsidP="000C5FB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Bezprostředně po schválení Strategie Vládou ČR byla ustavena Přípravná pracovní skupina Inovační strategie 2030 (PS IS2030) složená z</w:t>
      </w:r>
      <w:r w:rsidR="006859D8">
        <w:rPr>
          <w:rFonts w:ascii="Arial" w:hAnsi="Arial" w:cs="Arial"/>
        </w:rPr>
        <w:t xml:space="preserve"> příslušných orgánů státní správy a agentur, jejichž součinnost je nezbytn</w:t>
      </w:r>
      <w:r w:rsidR="00A23502">
        <w:rPr>
          <w:rFonts w:ascii="Arial" w:hAnsi="Arial" w:cs="Arial"/>
        </w:rPr>
        <w:t xml:space="preserve">á. </w:t>
      </w:r>
    </w:p>
    <w:p w14:paraId="25514C3E" w14:textId="77777777" w:rsidR="00A23502" w:rsidRDefault="00A23502" w:rsidP="000C5FB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Předkládaný materiál představuje konsensuální výstup Přípravné pracovní skupiny, přičemž vymezené role, principy a mechanismy spolupráce budou, v případě schválení, zohledněny v řídící a organizační struktuře dotčených orgánů a agentur.</w:t>
      </w:r>
    </w:p>
    <w:p w14:paraId="3AE6A025" w14:textId="77777777" w:rsidR="00A23502" w:rsidRDefault="00A23502" w:rsidP="000C5FB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Materiál stanovuje roli Garanta Strategie a vymezuje institucionální odpovědnost za řízení obsahu a cílů Strategie. Dále stanovuje roli Garanta Pilíře strategie,</w:t>
      </w:r>
      <w:r w:rsidR="00264067">
        <w:rPr>
          <w:rFonts w:ascii="Arial" w:hAnsi="Arial" w:cs="Arial"/>
        </w:rPr>
        <w:t xml:space="preserve"> a vymezuje institucionální odpovědnost za řízení obsahu a cílů</w:t>
      </w:r>
      <w:r>
        <w:rPr>
          <w:rFonts w:ascii="Arial" w:hAnsi="Arial" w:cs="Arial"/>
        </w:rPr>
        <w:t xml:space="preserve"> jednotlivých Pilířů Strategie</w:t>
      </w:r>
      <w:r w:rsidR="00264067">
        <w:rPr>
          <w:rFonts w:ascii="Arial" w:hAnsi="Arial" w:cs="Arial"/>
        </w:rPr>
        <w:t xml:space="preserve">. Roli Garanta Strategie a Garanta Pilíře Strategie přiřazuje konkrétní Instituci. Dále stanovuje koordinační role a platformy spolupráce. </w:t>
      </w:r>
    </w:p>
    <w:p w14:paraId="3C9A7911" w14:textId="77777777" w:rsidR="00EA6533" w:rsidRDefault="00EA6533" w:rsidP="00EA65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Nastavení systému meziresortní </w:t>
      </w:r>
      <w:r w:rsidR="00D9617D">
        <w:rPr>
          <w:rFonts w:ascii="Arial" w:hAnsi="Arial" w:cs="Arial"/>
        </w:rPr>
        <w:t>spolupráce a samotná</w:t>
      </w:r>
      <w:r>
        <w:rPr>
          <w:rFonts w:ascii="Arial" w:hAnsi="Arial" w:cs="Arial"/>
        </w:rPr>
        <w:t xml:space="preserve"> realizace Strategie zohledňuje dva základní principy: </w:t>
      </w:r>
    </w:p>
    <w:p w14:paraId="0D2361E9" w14:textId="77777777" w:rsidR="0087096E" w:rsidRPr="0087096E" w:rsidRDefault="0087096E" w:rsidP="0087096E">
      <w:pPr>
        <w:pStyle w:val="Odstavecseseznamem"/>
        <w:numPr>
          <w:ilvl w:val="0"/>
          <w:numId w:val="39"/>
        </w:numPr>
        <w:spacing w:after="120" w:line="264" w:lineRule="auto"/>
        <w:jc w:val="both"/>
        <w:rPr>
          <w:rFonts w:ascii="Arial" w:hAnsi="Arial" w:cs="Arial"/>
        </w:rPr>
      </w:pPr>
      <w:r w:rsidRPr="0087096E">
        <w:rPr>
          <w:rFonts w:ascii="Arial" w:hAnsi="Arial" w:cs="Arial"/>
        </w:rPr>
        <w:t>Diverzifikace finančních zdrojů pro realizaci Strategie. Pakliže existují, nebo vznikají zdroje financování na úrovni EU, budou zakomponovány do finanční strategie, včetně souvisejících zdrojů. V tomto ohledu bude sestaven pracovní tým financování, jehož kontinuální činností bude propojení cílů a nástrojů Strategie v programech financovaných z ESI fondů, komunitárních programů a fondů EU, stejně jako v národních finančních programech podpor.</w:t>
      </w:r>
    </w:p>
    <w:p w14:paraId="216FEE3B" w14:textId="747DBFDD" w:rsidR="0087096E" w:rsidRDefault="0087096E" w:rsidP="0087096E">
      <w:pPr>
        <w:pStyle w:val="Odstavecseseznamem"/>
        <w:numPr>
          <w:ilvl w:val="0"/>
          <w:numId w:val="39"/>
        </w:numPr>
        <w:spacing w:after="120" w:line="264" w:lineRule="auto"/>
        <w:jc w:val="both"/>
        <w:rPr>
          <w:rFonts w:ascii="Arial" w:hAnsi="Arial" w:cs="Arial"/>
        </w:rPr>
      </w:pPr>
      <w:r w:rsidRPr="0087096E">
        <w:rPr>
          <w:rFonts w:ascii="Arial" w:hAnsi="Arial" w:cs="Arial"/>
        </w:rPr>
        <w:t>Minimalizace administrativního zatížení samotným řízením Strategie. Systém je v tomto ohledu řízen jednou pracovní skupinou složenou z garantů, koordinátorů a případných host</w:t>
      </w:r>
      <w:r w:rsidR="00A00F52">
        <w:rPr>
          <w:rFonts w:ascii="Arial" w:hAnsi="Arial" w:cs="Arial"/>
        </w:rPr>
        <w:t>ů</w:t>
      </w:r>
      <w:r w:rsidRPr="0087096E">
        <w:rPr>
          <w:rFonts w:ascii="Arial" w:hAnsi="Arial" w:cs="Arial"/>
        </w:rPr>
        <w:t xml:space="preserve">. Pracovní skupina dále zřizuje tři specializované pracovní týmy zaměřené na </w:t>
      </w:r>
      <w:r w:rsidR="00A00F52">
        <w:rPr>
          <w:rFonts w:ascii="Arial" w:hAnsi="Arial" w:cs="Arial"/>
        </w:rPr>
        <w:t xml:space="preserve">národní </w:t>
      </w:r>
      <w:r w:rsidRPr="0087096E">
        <w:rPr>
          <w:rFonts w:ascii="Arial" w:hAnsi="Arial" w:cs="Arial"/>
        </w:rPr>
        <w:t>analytiku, finanční zdroje</w:t>
      </w:r>
      <w:r w:rsidR="00A00F52">
        <w:rPr>
          <w:rFonts w:ascii="Arial" w:hAnsi="Arial" w:cs="Arial"/>
        </w:rPr>
        <w:t>,</w:t>
      </w:r>
      <w:r w:rsidRPr="0087096E">
        <w:rPr>
          <w:rFonts w:ascii="Arial" w:hAnsi="Arial" w:cs="Arial"/>
        </w:rPr>
        <w:t xml:space="preserve"> </w:t>
      </w:r>
      <w:r w:rsidR="00A00F52">
        <w:rPr>
          <w:rFonts w:ascii="Arial" w:hAnsi="Arial" w:cs="Arial"/>
        </w:rPr>
        <w:t xml:space="preserve">produkty a </w:t>
      </w:r>
      <w:r w:rsidRPr="0087096E">
        <w:rPr>
          <w:rFonts w:ascii="Arial" w:hAnsi="Arial" w:cs="Arial"/>
        </w:rPr>
        <w:t>marketing.</w:t>
      </w:r>
    </w:p>
    <w:p w14:paraId="07CAE7A5" w14:textId="77777777" w:rsidR="00A4140E" w:rsidRPr="00A4140E" w:rsidRDefault="00A4140E" w:rsidP="00A4140E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</w:rPr>
      </w:pPr>
      <w:r w:rsidRPr="00A4140E">
        <w:rPr>
          <w:rFonts w:ascii="Arial" w:hAnsi="Arial" w:cs="Arial"/>
        </w:rPr>
        <w:t xml:space="preserve">Koncentrované spolupráce datových analytiků a stratégů napříč státními organizacemi. Cílem je koordinace pro zpracování dat, vyhodnocení srovnávacích žebříčků, vypracování základních analýz, detailnějších rozborů mezinárodních indexů </w:t>
      </w:r>
      <w:proofErr w:type="spellStart"/>
      <w:r w:rsidRPr="00A4140E">
        <w:rPr>
          <w:rFonts w:ascii="Arial" w:hAnsi="Arial" w:cs="Arial"/>
        </w:rPr>
        <w:t>European</w:t>
      </w:r>
      <w:proofErr w:type="spellEnd"/>
      <w:r w:rsidRPr="00A4140E">
        <w:rPr>
          <w:rFonts w:ascii="Arial" w:hAnsi="Arial" w:cs="Arial"/>
        </w:rPr>
        <w:t xml:space="preserve"> </w:t>
      </w:r>
      <w:proofErr w:type="spellStart"/>
      <w:r w:rsidRPr="00A4140E">
        <w:rPr>
          <w:rFonts w:ascii="Arial" w:hAnsi="Arial" w:cs="Arial"/>
        </w:rPr>
        <w:t>Innovation</w:t>
      </w:r>
      <w:proofErr w:type="spellEnd"/>
      <w:r w:rsidRPr="00A4140E">
        <w:rPr>
          <w:rFonts w:ascii="Arial" w:hAnsi="Arial" w:cs="Arial"/>
        </w:rPr>
        <w:t xml:space="preserve"> </w:t>
      </w:r>
      <w:proofErr w:type="spellStart"/>
      <w:r w:rsidRPr="00A4140E">
        <w:rPr>
          <w:rFonts w:ascii="Arial" w:hAnsi="Arial" w:cs="Arial"/>
        </w:rPr>
        <w:t>Scoreboard</w:t>
      </w:r>
      <w:proofErr w:type="spellEnd"/>
      <w:r w:rsidRPr="00A4140E">
        <w:rPr>
          <w:rFonts w:ascii="Arial" w:hAnsi="Arial" w:cs="Arial"/>
        </w:rPr>
        <w:t xml:space="preserve"> (EIS), </w:t>
      </w:r>
      <w:proofErr w:type="spellStart"/>
      <w:r w:rsidRPr="00A4140E">
        <w:rPr>
          <w:rFonts w:ascii="Arial" w:hAnsi="Arial" w:cs="Arial"/>
        </w:rPr>
        <w:t>Global</w:t>
      </w:r>
      <w:proofErr w:type="spellEnd"/>
      <w:r w:rsidRPr="00A4140E">
        <w:rPr>
          <w:rFonts w:ascii="Arial" w:hAnsi="Arial" w:cs="Arial"/>
        </w:rPr>
        <w:t xml:space="preserve"> </w:t>
      </w:r>
      <w:proofErr w:type="spellStart"/>
      <w:r w:rsidRPr="00A4140E">
        <w:rPr>
          <w:rFonts w:ascii="Arial" w:hAnsi="Arial" w:cs="Arial"/>
        </w:rPr>
        <w:t>Innovation</w:t>
      </w:r>
      <w:proofErr w:type="spellEnd"/>
      <w:r w:rsidRPr="00A4140E">
        <w:rPr>
          <w:rFonts w:ascii="Arial" w:hAnsi="Arial" w:cs="Arial"/>
        </w:rPr>
        <w:t xml:space="preserve"> Index (GII), které jsou nutné pro další rozhodnutí, ale zejména nastavení národních indikátorů pro měření Inovační strategie ČR. Koordinace aktivit s připravovaným Národním analytickým týmem ČR, který je složený ze zástupců klíčových státních organizací.</w:t>
      </w:r>
    </w:p>
    <w:p w14:paraId="2F526A75" w14:textId="77777777" w:rsidR="00A4140E" w:rsidRPr="0087096E" w:rsidRDefault="00A4140E" w:rsidP="00A4140E">
      <w:pPr>
        <w:pStyle w:val="Odstavecseseznamem"/>
        <w:spacing w:after="120" w:line="264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5E1304F4" w14:textId="77777777" w:rsidR="00DD2080" w:rsidRPr="00DD2080" w:rsidRDefault="001D770D" w:rsidP="008709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9617D">
        <w:rPr>
          <w:rFonts w:ascii="Arial" w:hAnsi="Arial" w:cs="Arial"/>
        </w:rPr>
        <w:t>ředpokladem úspěšné realizace je schválení předloženého dokumentu Vládou ČR a důsledné uplatnění mechanismů jejich zohlednění v organizační struktuře každého orgánu a každé agentury, či instituce, na které leží institucionální odpovědnost.</w:t>
      </w:r>
    </w:p>
    <w:sectPr w:rsidR="00DD2080" w:rsidRPr="00DD2080" w:rsidSect="00CC5E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F05A8" w14:textId="77777777" w:rsidR="008E000D" w:rsidRDefault="008E000D" w:rsidP="00677FE0">
      <w:pPr>
        <w:spacing w:after="0" w:line="240" w:lineRule="auto"/>
      </w:pPr>
      <w:r>
        <w:separator/>
      </w:r>
    </w:p>
  </w:endnote>
  <w:endnote w:type="continuationSeparator" w:id="0">
    <w:p w14:paraId="0995A172" w14:textId="77777777" w:rsidR="008E000D" w:rsidRDefault="008E000D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4278F" w14:textId="77777777"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98208" w14:textId="77777777"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7ECDF" w14:textId="77777777"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1F556" w14:textId="77777777" w:rsidR="008E000D" w:rsidRDefault="008E000D" w:rsidP="00677FE0">
      <w:pPr>
        <w:spacing w:after="0" w:line="240" w:lineRule="auto"/>
      </w:pPr>
      <w:r>
        <w:separator/>
      </w:r>
    </w:p>
  </w:footnote>
  <w:footnote w:type="continuationSeparator" w:id="0">
    <w:p w14:paraId="63663319" w14:textId="77777777" w:rsidR="008E000D" w:rsidRDefault="008E000D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6AA01" w14:textId="77777777"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C2E87" w14:textId="77777777"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D65D8" w14:textId="77777777"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A706FF2"/>
    <w:multiLevelType w:val="hybridMultilevel"/>
    <w:tmpl w:val="E6D409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068A6"/>
    <w:multiLevelType w:val="multilevel"/>
    <w:tmpl w:val="3320A8B2"/>
    <w:numStyleLink w:val="VariantaB-odrky"/>
  </w:abstractNum>
  <w:abstractNum w:abstractNumId="21" w15:restartNumberingAfterBreak="0">
    <w:nsid w:val="1D464EC2"/>
    <w:multiLevelType w:val="multilevel"/>
    <w:tmpl w:val="E8BAE50A"/>
    <w:numStyleLink w:val="VariantaA-odrky"/>
  </w:abstractNum>
  <w:abstractNum w:abstractNumId="22" w15:restartNumberingAfterBreak="0">
    <w:nsid w:val="1EAB39CE"/>
    <w:multiLevelType w:val="multilevel"/>
    <w:tmpl w:val="E8BAE50A"/>
    <w:numStyleLink w:val="VariantaA-odrky"/>
  </w:abstractNum>
  <w:abstractNum w:abstractNumId="23" w15:restartNumberingAfterBreak="0">
    <w:nsid w:val="289A5EA2"/>
    <w:multiLevelType w:val="multilevel"/>
    <w:tmpl w:val="E8BAE50A"/>
    <w:numStyleLink w:val="VariantaA-odrky"/>
  </w:abstractNum>
  <w:abstractNum w:abstractNumId="24" w15:restartNumberingAfterBreak="0">
    <w:nsid w:val="28AB573E"/>
    <w:multiLevelType w:val="multilevel"/>
    <w:tmpl w:val="3320A8B2"/>
    <w:numStyleLink w:val="VariantaB-odrky"/>
  </w:abstractNum>
  <w:abstractNum w:abstractNumId="25" w15:restartNumberingAfterBreak="0">
    <w:nsid w:val="2A5F2D39"/>
    <w:multiLevelType w:val="multilevel"/>
    <w:tmpl w:val="E8BAE50A"/>
    <w:numStyleLink w:val="VariantaA-odrky"/>
  </w:abstractNum>
  <w:abstractNum w:abstractNumId="26" w15:restartNumberingAfterBreak="0">
    <w:nsid w:val="2DBB2CE6"/>
    <w:multiLevelType w:val="multilevel"/>
    <w:tmpl w:val="E8BAE50A"/>
    <w:numStyleLink w:val="VariantaA-odrky"/>
  </w:abstractNum>
  <w:abstractNum w:abstractNumId="27" w15:restartNumberingAfterBreak="0">
    <w:nsid w:val="355131EF"/>
    <w:multiLevelType w:val="multilevel"/>
    <w:tmpl w:val="E8A48D7C"/>
    <w:numStyleLink w:val="VariantaA-sla"/>
  </w:abstractNum>
  <w:abstractNum w:abstractNumId="28" w15:restartNumberingAfterBreak="0">
    <w:nsid w:val="4A306389"/>
    <w:multiLevelType w:val="multilevel"/>
    <w:tmpl w:val="E8BAE50A"/>
    <w:numStyleLink w:val="VariantaA-odrky"/>
  </w:abstractNum>
  <w:abstractNum w:abstractNumId="2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3290926"/>
    <w:multiLevelType w:val="multilevel"/>
    <w:tmpl w:val="E8BAE50A"/>
    <w:numStyleLink w:val="VariantaA-odrky"/>
  </w:abstractNum>
  <w:abstractNum w:abstractNumId="31" w15:restartNumberingAfterBreak="0">
    <w:nsid w:val="533902EA"/>
    <w:multiLevelType w:val="multilevel"/>
    <w:tmpl w:val="E8BAE50A"/>
    <w:numStyleLink w:val="VariantaA-odrky"/>
  </w:abstractNum>
  <w:abstractNum w:abstractNumId="32" w15:restartNumberingAfterBreak="0">
    <w:nsid w:val="566E736D"/>
    <w:multiLevelType w:val="hybridMultilevel"/>
    <w:tmpl w:val="BE1A90B6"/>
    <w:lvl w:ilvl="0" w:tplc="70D89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C11E2"/>
    <w:multiLevelType w:val="multilevel"/>
    <w:tmpl w:val="E8A48D7C"/>
    <w:numStyleLink w:val="VariantaA-sla"/>
  </w:abstractNum>
  <w:abstractNum w:abstractNumId="34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5" w15:restartNumberingAfterBreak="0">
    <w:nsid w:val="5AF35F43"/>
    <w:multiLevelType w:val="multilevel"/>
    <w:tmpl w:val="0D8ABE32"/>
    <w:numStyleLink w:val="VariantaB-sla"/>
  </w:abstractNum>
  <w:abstractNum w:abstractNumId="36" w15:restartNumberingAfterBreak="0">
    <w:nsid w:val="64BC54DB"/>
    <w:multiLevelType w:val="hybridMultilevel"/>
    <w:tmpl w:val="A2BEBC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4"/>
  </w:num>
  <w:num w:numId="3">
    <w:abstractNumId w:val="20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9"/>
  </w:num>
  <w:num w:numId="7">
    <w:abstractNumId w:val="7"/>
  </w:num>
  <w:num w:numId="8">
    <w:abstractNumId w:val="33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1"/>
  </w:num>
  <w:num w:numId="14">
    <w:abstractNumId w:val="4"/>
  </w:num>
  <w:num w:numId="15">
    <w:abstractNumId w:val="3"/>
  </w:num>
  <w:num w:numId="16">
    <w:abstractNumId w:val="29"/>
  </w:num>
  <w:num w:numId="17">
    <w:abstractNumId w:val="21"/>
  </w:num>
  <w:num w:numId="18">
    <w:abstractNumId w:val="6"/>
  </w:num>
  <w:num w:numId="19">
    <w:abstractNumId w:val="12"/>
  </w:num>
  <w:num w:numId="20">
    <w:abstractNumId w:val="8"/>
  </w:num>
  <w:num w:numId="21">
    <w:abstractNumId w:val="27"/>
  </w:num>
  <w:num w:numId="22">
    <w:abstractNumId w:val="10"/>
  </w:num>
  <w:num w:numId="23">
    <w:abstractNumId w:val="22"/>
  </w:num>
  <w:num w:numId="24">
    <w:abstractNumId w:val="11"/>
  </w:num>
  <w:num w:numId="25">
    <w:abstractNumId w:val="15"/>
  </w:num>
  <w:num w:numId="26">
    <w:abstractNumId w:val="28"/>
  </w:num>
  <w:num w:numId="27">
    <w:abstractNumId w:val="26"/>
  </w:num>
  <w:num w:numId="28">
    <w:abstractNumId w:val="25"/>
  </w:num>
  <w:num w:numId="29">
    <w:abstractNumId w:val="18"/>
  </w:num>
  <w:num w:numId="30">
    <w:abstractNumId w:val="30"/>
  </w:num>
  <w:num w:numId="31">
    <w:abstractNumId w:val="35"/>
  </w:num>
  <w:num w:numId="32">
    <w:abstractNumId w:val="23"/>
  </w:num>
  <w:num w:numId="33">
    <w:abstractNumId w:val="17"/>
  </w:num>
  <w:num w:numId="34">
    <w:abstractNumId w:val="9"/>
  </w:num>
  <w:num w:numId="35">
    <w:abstractNumId w:val="24"/>
  </w:num>
  <w:num w:numId="36">
    <w:abstractNumId w:val="13"/>
  </w:num>
  <w:num w:numId="37">
    <w:abstractNumId w:val="32"/>
  </w:num>
  <w:num w:numId="38">
    <w:abstractNumId w:val="19"/>
  </w:num>
  <w:num w:numId="39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00D"/>
    <w:rsid w:val="00015306"/>
    <w:rsid w:val="0002674B"/>
    <w:rsid w:val="0004162E"/>
    <w:rsid w:val="0004786B"/>
    <w:rsid w:val="0006234D"/>
    <w:rsid w:val="00063405"/>
    <w:rsid w:val="000634BB"/>
    <w:rsid w:val="000809B9"/>
    <w:rsid w:val="00090B40"/>
    <w:rsid w:val="00095A0A"/>
    <w:rsid w:val="000B1B3D"/>
    <w:rsid w:val="000C4CAF"/>
    <w:rsid w:val="000C5FB6"/>
    <w:rsid w:val="00121485"/>
    <w:rsid w:val="0018051B"/>
    <w:rsid w:val="001B1E4A"/>
    <w:rsid w:val="001D27C0"/>
    <w:rsid w:val="001D770D"/>
    <w:rsid w:val="001E646D"/>
    <w:rsid w:val="001E74C3"/>
    <w:rsid w:val="001F6937"/>
    <w:rsid w:val="00220DE3"/>
    <w:rsid w:val="0025290D"/>
    <w:rsid w:val="00260372"/>
    <w:rsid w:val="00262DAF"/>
    <w:rsid w:val="00264067"/>
    <w:rsid w:val="00285AED"/>
    <w:rsid w:val="002E2442"/>
    <w:rsid w:val="002F0E8C"/>
    <w:rsid w:val="002F5689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3E6A62"/>
    <w:rsid w:val="0041427F"/>
    <w:rsid w:val="004509E5"/>
    <w:rsid w:val="00486FB9"/>
    <w:rsid w:val="004C212A"/>
    <w:rsid w:val="00500232"/>
    <w:rsid w:val="00504668"/>
    <w:rsid w:val="005455E1"/>
    <w:rsid w:val="005502BD"/>
    <w:rsid w:val="00556787"/>
    <w:rsid w:val="005C2560"/>
    <w:rsid w:val="005F7585"/>
    <w:rsid w:val="00605759"/>
    <w:rsid w:val="00650C6C"/>
    <w:rsid w:val="00652FE6"/>
    <w:rsid w:val="00667898"/>
    <w:rsid w:val="00677FE0"/>
    <w:rsid w:val="006859D8"/>
    <w:rsid w:val="006D04EF"/>
    <w:rsid w:val="006E2FB0"/>
    <w:rsid w:val="006F0814"/>
    <w:rsid w:val="007102D2"/>
    <w:rsid w:val="00713948"/>
    <w:rsid w:val="00753A27"/>
    <w:rsid w:val="0079342A"/>
    <w:rsid w:val="007B4949"/>
    <w:rsid w:val="007F0BC6"/>
    <w:rsid w:val="00831374"/>
    <w:rsid w:val="00857580"/>
    <w:rsid w:val="00865238"/>
    <w:rsid w:val="008667BF"/>
    <w:rsid w:val="0087096E"/>
    <w:rsid w:val="00895645"/>
    <w:rsid w:val="008C3782"/>
    <w:rsid w:val="008D4A32"/>
    <w:rsid w:val="008D593A"/>
    <w:rsid w:val="008E000D"/>
    <w:rsid w:val="008E7760"/>
    <w:rsid w:val="00922001"/>
    <w:rsid w:val="00922C17"/>
    <w:rsid w:val="00942DDD"/>
    <w:rsid w:val="009516A8"/>
    <w:rsid w:val="0097705C"/>
    <w:rsid w:val="009B1072"/>
    <w:rsid w:val="009F393D"/>
    <w:rsid w:val="009F7F46"/>
    <w:rsid w:val="00A000BF"/>
    <w:rsid w:val="00A00F52"/>
    <w:rsid w:val="00A0587E"/>
    <w:rsid w:val="00A23502"/>
    <w:rsid w:val="00A275BC"/>
    <w:rsid w:val="00A4140E"/>
    <w:rsid w:val="00A464B4"/>
    <w:rsid w:val="00A63D6B"/>
    <w:rsid w:val="00A84B52"/>
    <w:rsid w:val="00A8660F"/>
    <w:rsid w:val="00A95C48"/>
    <w:rsid w:val="00AA7056"/>
    <w:rsid w:val="00AB31C6"/>
    <w:rsid w:val="00AB523B"/>
    <w:rsid w:val="00AD7E40"/>
    <w:rsid w:val="00B1477A"/>
    <w:rsid w:val="00B20993"/>
    <w:rsid w:val="00B42E96"/>
    <w:rsid w:val="00B47816"/>
    <w:rsid w:val="00B50EE6"/>
    <w:rsid w:val="00B52185"/>
    <w:rsid w:val="00B9753A"/>
    <w:rsid w:val="00BB479C"/>
    <w:rsid w:val="00BC4720"/>
    <w:rsid w:val="00BD75A2"/>
    <w:rsid w:val="00BE7CEA"/>
    <w:rsid w:val="00C2017A"/>
    <w:rsid w:val="00C2026B"/>
    <w:rsid w:val="00C20470"/>
    <w:rsid w:val="00C34B2F"/>
    <w:rsid w:val="00C4641B"/>
    <w:rsid w:val="00C531A1"/>
    <w:rsid w:val="00C6690E"/>
    <w:rsid w:val="00C703C5"/>
    <w:rsid w:val="00C805F2"/>
    <w:rsid w:val="00C96EFE"/>
    <w:rsid w:val="00CC1C7A"/>
    <w:rsid w:val="00CC5E40"/>
    <w:rsid w:val="00D1569F"/>
    <w:rsid w:val="00D20B1E"/>
    <w:rsid w:val="00D22462"/>
    <w:rsid w:val="00D230AC"/>
    <w:rsid w:val="00D32489"/>
    <w:rsid w:val="00D3349E"/>
    <w:rsid w:val="00D73CB8"/>
    <w:rsid w:val="00D9617D"/>
    <w:rsid w:val="00DA7591"/>
    <w:rsid w:val="00DD2080"/>
    <w:rsid w:val="00E32798"/>
    <w:rsid w:val="00E51C91"/>
    <w:rsid w:val="00E667C1"/>
    <w:rsid w:val="00EA6533"/>
    <w:rsid w:val="00EC3F88"/>
    <w:rsid w:val="00ED36D8"/>
    <w:rsid w:val="00EE3BE0"/>
    <w:rsid w:val="00EE6BD7"/>
    <w:rsid w:val="00F0689D"/>
    <w:rsid w:val="00F41553"/>
    <w:rsid w:val="00FA4420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895D2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8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extpoznpodarou">
    <w:name w:val="footnote text"/>
    <w:basedOn w:val="Normln"/>
    <w:link w:val="TextpoznpodarouChar"/>
    <w:uiPriority w:val="99"/>
    <w:unhideWhenUsed/>
    <w:rsid w:val="008E000D"/>
    <w:pPr>
      <w:spacing w:after="0" w:line="240" w:lineRule="auto"/>
      <w:jc w:val="both"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E000D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E000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0F52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0F52"/>
    <w:rPr>
      <w:rFonts w:ascii="Lucida Grande CE" w:hAnsi="Lucida Grande CE" w:cs="Lucida Grande CE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F7CD460F.dotm</Template>
  <TotalTime>0</TotalTime>
  <Pages>2</Pages>
  <Words>437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2019-09-30T12:14:00Z</dcterms:created>
  <dcterms:modified xsi:type="dcterms:W3CDTF">2019-10-15T09:34:00Z</dcterms:modified>
</cp:coreProperties>
</file>