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C5" w:rsidRPr="00D213C5" w:rsidRDefault="00BF1715" w:rsidP="00D213C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365F91" w:themeColor="accent1" w:themeShade="BF"/>
          <w:sz w:val="28"/>
          <w:szCs w:val="28"/>
        </w:rPr>
      </w:pPr>
      <w:r w:rsidRPr="00BA29B0">
        <w:rPr>
          <w:rFonts w:ascii="Arial" w:hAnsi="Arial" w:cs="Arial"/>
          <w:b/>
          <w:color w:val="365F91" w:themeColor="accent1" w:themeShade="BF"/>
          <w:sz w:val="28"/>
          <w:szCs w:val="28"/>
        </w:rPr>
        <w:t>Stanovisko Rady pro výzkum, vývoj a inovace k</w:t>
      </w:r>
      <w:r w:rsidR="00D213C5">
        <w:rPr>
          <w:rFonts w:ascii="Arial" w:hAnsi="Arial" w:cs="Arial"/>
          <w:b/>
          <w:color w:val="365F91" w:themeColor="accent1" w:themeShade="BF"/>
          <w:sz w:val="28"/>
          <w:szCs w:val="28"/>
        </w:rPr>
        <w:t> </w:t>
      </w:r>
      <w:r w:rsidR="001A05DD">
        <w:rPr>
          <w:rFonts w:ascii="Arial" w:hAnsi="Arial" w:cs="Arial"/>
          <w:b/>
          <w:color w:val="365F91" w:themeColor="accent1" w:themeShade="BF"/>
          <w:sz w:val="28"/>
          <w:szCs w:val="28"/>
        </w:rPr>
        <w:t>materiálu „Popis</w:t>
      </w:r>
      <w:r w:rsidR="00D213C5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způsobu zakládání spin-</w:t>
      </w:r>
      <w:proofErr w:type="spellStart"/>
      <w:r w:rsidR="00D213C5">
        <w:rPr>
          <w:rFonts w:ascii="Arial" w:hAnsi="Arial" w:cs="Arial"/>
          <w:b/>
          <w:color w:val="365F91" w:themeColor="accent1" w:themeShade="BF"/>
          <w:sz w:val="28"/>
          <w:szCs w:val="28"/>
        </w:rPr>
        <w:t>off</w:t>
      </w:r>
      <w:proofErr w:type="spellEnd"/>
      <w:r w:rsidR="00D213C5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společností</w:t>
      </w:r>
      <w:r w:rsidR="001A05DD">
        <w:rPr>
          <w:rFonts w:ascii="Arial" w:hAnsi="Arial" w:cs="Arial"/>
          <w:b/>
          <w:color w:val="365F91" w:themeColor="accent1" w:themeShade="BF"/>
          <w:sz w:val="28"/>
          <w:szCs w:val="28"/>
        </w:rPr>
        <w:t>“</w:t>
      </w:r>
      <w:r w:rsidR="00D213C5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</w:t>
      </w:r>
    </w:p>
    <w:p w:rsidR="001C761F" w:rsidRPr="00A15AB9" w:rsidRDefault="001C761F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t xml:space="preserve">Způsob předložení a projednání dokumentu: </w:t>
      </w:r>
    </w:p>
    <w:p w:rsidR="008317FC" w:rsidRDefault="006B0785" w:rsidP="00A15AB9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iCs/>
          <w:color w:val="000000"/>
          <w:lang w:eastAsia="en-US"/>
        </w:rPr>
      </w:pPr>
      <w:r w:rsidRPr="00D213C5">
        <w:rPr>
          <w:rFonts w:ascii="Arial" w:eastAsiaTheme="minorHAnsi" w:hAnsi="Arial" w:cs="Arial"/>
          <w:iCs/>
          <w:color w:val="000000"/>
          <w:lang w:eastAsia="en-US"/>
        </w:rPr>
        <w:t>Materiál "Popis způsobu zakládání spin-</w:t>
      </w:r>
      <w:proofErr w:type="spellStart"/>
      <w:r w:rsidRPr="00D213C5">
        <w:rPr>
          <w:rFonts w:ascii="Arial" w:eastAsiaTheme="minorHAnsi" w:hAnsi="Arial" w:cs="Arial"/>
          <w:iCs/>
          <w:color w:val="000000"/>
          <w:lang w:eastAsia="en-US"/>
        </w:rPr>
        <w:t>off</w:t>
      </w:r>
      <w:proofErr w:type="spellEnd"/>
      <w:r w:rsidRPr="00D213C5">
        <w:rPr>
          <w:rFonts w:ascii="Arial" w:eastAsiaTheme="minorHAnsi" w:hAnsi="Arial" w:cs="Arial"/>
          <w:iCs/>
          <w:color w:val="000000"/>
          <w:lang w:eastAsia="en-US"/>
        </w:rPr>
        <w:t xml:space="preserve"> společností</w:t>
      </w:r>
      <w:r>
        <w:rPr>
          <w:rFonts w:ascii="Arial" w:eastAsiaTheme="minorHAnsi" w:hAnsi="Arial" w:cs="Arial"/>
          <w:iCs/>
          <w:color w:val="000000"/>
          <w:lang w:eastAsia="en-US"/>
        </w:rPr>
        <w:t>“</w:t>
      </w:r>
      <w:r w:rsidR="000F4186">
        <w:rPr>
          <w:rFonts w:ascii="Arial" w:eastAsiaTheme="minorHAnsi" w:hAnsi="Arial" w:cs="Arial"/>
          <w:iCs/>
          <w:color w:val="000000"/>
          <w:lang w:eastAsia="en-US"/>
        </w:rPr>
        <w:t xml:space="preserve"> </w:t>
      </w:r>
      <w:r w:rsidR="0088550B">
        <w:rPr>
          <w:rFonts w:ascii="Arial" w:eastAsiaTheme="minorHAnsi" w:hAnsi="Arial" w:cs="Arial"/>
          <w:iCs/>
          <w:color w:val="000000"/>
          <w:lang w:eastAsia="en-US"/>
        </w:rPr>
        <w:t>(dále jen „</w:t>
      </w:r>
      <w:r w:rsidR="004F4915">
        <w:rPr>
          <w:rFonts w:ascii="Arial" w:eastAsiaTheme="minorHAnsi" w:hAnsi="Arial" w:cs="Arial"/>
          <w:iCs/>
          <w:color w:val="000000"/>
          <w:lang w:eastAsia="en-US"/>
        </w:rPr>
        <w:t>M</w:t>
      </w:r>
      <w:r w:rsidR="0088550B">
        <w:rPr>
          <w:rFonts w:ascii="Arial" w:eastAsiaTheme="minorHAnsi" w:hAnsi="Arial" w:cs="Arial"/>
          <w:iCs/>
          <w:color w:val="000000"/>
          <w:lang w:eastAsia="en-US"/>
        </w:rPr>
        <w:t xml:space="preserve">ateriál“) </w:t>
      </w:r>
      <w:r w:rsidR="008C61D3">
        <w:rPr>
          <w:rFonts w:ascii="Arial" w:eastAsiaTheme="minorHAnsi" w:hAnsi="Arial" w:cs="Arial"/>
          <w:iCs/>
          <w:color w:val="000000"/>
          <w:lang w:eastAsia="en-US"/>
        </w:rPr>
        <w:t>zasl</w:t>
      </w:r>
      <w:r w:rsidR="00EF5110">
        <w:rPr>
          <w:rFonts w:ascii="Arial" w:eastAsiaTheme="minorHAnsi" w:hAnsi="Arial" w:cs="Arial"/>
          <w:iCs/>
          <w:color w:val="000000"/>
          <w:lang w:eastAsia="en-US"/>
        </w:rPr>
        <w:t>alo Ministerstvo průmyslu a obchodu</w:t>
      </w:r>
      <w:r w:rsidR="008C61D3">
        <w:rPr>
          <w:rFonts w:ascii="Arial" w:eastAsiaTheme="minorHAnsi" w:hAnsi="Arial" w:cs="Arial"/>
          <w:iCs/>
          <w:color w:val="000000"/>
          <w:lang w:eastAsia="en-US"/>
        </w:rPr>
        <w:t xml:space="preserve"> 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>Radě pro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>výzkum, vývoj a</w:t>
      </w:r>
      <w:r w:rsidR="00811ACE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 xml:space="preserve">inovace 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 xml:space="preserve">(dále jen „Rada“) 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>ke</w:t>
      </w:r>
      <w:r w:rsidR="008317FC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 xml:space="preserve">stanovisku </w:t>
      </w:r>
      <w:r w:rsidR="008C61D3">
        <w:rPr>
          <w:rFonts w:ascii="Arial" w:eastAsiaTheme="minorHAnsi" w:hAnsi="Arial" w:cs="Arial"/>
          <w:iCs/>
          <w:color w:val="000000"/>
          <w:lang w:eastAsia="en-US"/>
        </w:rPr>
        <w:t>prostřednictvím emailu dne 15. října 2019</w:t>
      </w:r>
      <w:r w:rsidR="00866E3B">
        <w:rPr>
          <w:rFonts w:ascii="Arial" w:eastAsiaTheme="minorHAnsi" w:hAnsi="Arial" w:cs="Arial"/>
          <w:iCs/>
          <w:color w:val="000000"/>
          <w:lang w:eastAsia="en-US"/>
        </w:rPr>
        <w:t>.</w:t>
      </w:r>
    </w:p>
    <w:p w:rsidR="00866E3B" w:rsidRPr="00CC3F2B" w:rsidRDefault="00866E3B" w:rsidP="00866E3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byl 18. října 2019 </w:t>
      </w:r>
      <w:r w:rsidRPr="00CC3F2B">
        <w:rPr>
          <w:rFonts w:ascii="Arial" w:hAnsi="Arial" w:cs="Arial"/>
        </w:rPr>
        <w:t>zaslán prostřednictvím elektronické knihovny Úřadu vlády ČR (</w:t>
      </w:r>
      <w:proofErr w:type="spellStart"/>
      <w:r w:rsidRPr="00CC3F2B">
        <w:rPr>
          <w:rFonts w:ascii="Arial" w:hAnsi="Arial" w:cs="Arial"/>
        </w:rPr>
        <w:t>e</w:t>
      </w:r>
      <w:r>
        <w:rPr>
          <w:rFonts w:ascii="Arial" w:hAnsi="Arial" w:cs="Arial"/>
        </w:rPr>
        <w:t>K</w:t>
      </w:r>
      <w:r w:rsidRPr="00CC3F2B">
        <w:rPr>
          <w:rFonts w:ascii="Arial" w:hAnsi="Arial" w:cs="Arial"/>
        </w:rPr>
        <w:t>lep</w:t>
      </w:r>
      <w:proofErr w:type="spellEnd"/>
      <w:r w:rsidRPr="00CC3F2B">
        <w:rPr>
          <w:rFonts w:ascii="Arial" w:hAnsi="Arial" w:cs="Arial"/>
        </w:rPr>
        <w:t xml:space="preserve">) do meziresortního připomínkového řízení. </w:t>
      </w:r>
    </w:p>
    <w:p w:rsidR="008317FC" w:rsidRPr="00A15AB9" w:rsidRDefault="008317FC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t>Důvod předložení</w:t>
      </w:r>
    </w:p>
    <w:p w:rsidR="000F4186" w:rsidRDefault="00D213C5" w:rsidP="00A15AB9">
      <w:pPr>
        <w:spacing w:after="120"/>
        <w:jc w:val="both"/>
        <w:rPr>
          <w:rFonts w:ascii="Arial" w:eastAsiaTheme="minorHAnsi" w:hAnsi="Arial" w:cs="Arial"/>
          <w:iCs/>
          <w:color w:val="000000"/>
          <w:lang w:eastAsia="en-US"/>
        </w:rPr>
      </w:pPr>
      <w:r w:rsidRPr="00D213C5">
        <w:rPr>
          <w:rFonts w:ascii="Arial" w:eastAsiaTheme="minorHAnsi" w:hAnsi="Arial" w:cs="Arial"/>
          <w:iCs/>
          <w:color w:val="000000"/>
          <w:lang w:eastAsia="en-US"/>
        </w:rPr>
        <w:t>Materiál je předkládán na základě opatření Inovační strategie České republiky 2019-2030 schválené usnesením vlády ČR ze dne 4. února 2019 č. 104 (dále jen "Inovační strategie 2030"). Účelem materiálu je prostřednictvím zvýšení právní jistoty a posílení orientace v dané problematice usnadnit vznik a zvyšovat počet nově založených spin-</w:t>
      </w:r>
      <w:proofErr w:type="spellStart"/>
      <w:r w:rsidRPr="00D213C5">
        <w:rPr>
          <w:rFonts w:ascii="Arial" w:eastAsiaTheme="minorHAnsi" w:hAnsi="Arial" w:cs="Arial"/>
          <w:iCs/>
          <w:color w:val="000000"/>
          <w:lang w:eastAsia="en-US"/>
        </w:rPr>
        <w:t>off</w:t>
      </w:r>
      <w:proofErr w:type="spellEnd"/>
      <w:r w:rsidRPr="00D213C5">
        <w:rPr>
          <w:rFonts w:ascii="Arial" w:eastAsiaTheme="minorHAnsi" w:hAnsi="Arial" w:cs="Arial"/>
          <w:iCs/>
          <w:color w:val="000000"/>
          <w:lang w:eastAsia="en-US"/>
        </w:rPr>
        <w:t xml:space="preserve"> společností</w:t>
      </w:r>
      <w:r w:rsidR="006B0785">
        <w:rPr>
          <w:rFonts w:ascii="Arial" w:eastAsiaTheme="minorHAnsi" w:hAnsi="Arial" w:cs="Arial"/>
          <w:iCs/>
          <w:color w:val="000000"/>
          <w:lang w:eastAsia="en-US"/>
        </w:rPr>
        <w:t>.</w:t>
      </w:r>
    </w:p>
    <w:p w:rsidR="009656A7" w:rsidRPr="00A15AB9" w:rsidRDefault="006B0785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>Projednání materiálu Radou</w:t>
      </w:r>
    </w:p>
    <w:p w:rsidR="009656A7" w:rsidRDefault="0088550B" w:rsidP="009656A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</w:t>
      </w:r>
      <w:r w:rsidR="006B0785">
        <w:rPr>
          <w:rFonts w:ascii="Arial" w:hAnsi="Arial" w:cs="Arial"/>
        </w:rPr>
        <w:t xml:space="preserve"> </w:t>
      </w:r>
      <w:r w:rsidR="006B0785">
        <w:rPr>
          <w:rFonts w:ascii="Arial" w:eastAsiaTheme="minorHAnsi" w:hAnsi="Arial" w:cs="Arial"/>
          <w:iCs/>
          <w:color w:val="000000"/>
          <w:lang w:eastAsia="en-US"/>
        </w:rPr>
        <w:t>byl</w:t>
      </w:r>
      <w:r w:rsidR="00F2469E">
        <w:rPr>
          <w:rFonts w:ascii="Arial" w:eastAsiaTheme="minorHAnsi" w:hAnsi="Arial" w:cs="Arial"/>
          <w:iCs/>
          <w:color w:val="000000"/>
          <w:lang w:eastAsia="en-US"/>
        </w:rPr>
        <w:t xml:space="preserve"> </w:t>
      </w:r>
      <w:r w:rsidR="00F2469E" w:rsidRPr="00F2469E">
        <w:rPr>
          <w:rFonts w:ascii="Arial" w:eastAsiaTheme="minorHAnsi" w:hAnsi="Arial" w:cs="Arial"/>
          <w:iCs/>
          <w:color w:val="000000"/>
          <w:lang w:eastAsia="en-US"/>
        </w:rPr>
        <w:t>podle ustanovení § 35 odst. 2 písm. i) zákona o podpoře výzkumu, experimentálního vývoje a inovací</w:t>
      </w:r>
      <w:r w:rsidR="006B0785">
        <w:rPr>
          <w:rFonts w:ascii="Arial" w:eastAsiaTheme="minorHAnsi" w:hAnsi="Arial" w:cs="Arial"/>
          <w:iCs/>
          <w:color w:val="000000"/>
          <w:lang w:eastAsia="en-US"/>
        </w:rPr>
        <w:t xml:space="preserve"> předložen na 350. zasedání Rady, které se konalo 25. </w:t>
      </w:r>
      <w:r w:rsidR="008C61D3">
        <w:rPr>
          <w:rFonts w:ascii="Arial" w:eastAsiaTheme="minorHAnsi" w:hAnsi="Arial" w:cs="Arial"/>
          <w:iCs/>
          <w:color w:val="000000"/>
          <w:lang w:eastAsia="en-US"/>
        </w:rPr>
        <w:t>října</w:t>
      </w:r>
      <w:r w:rsidR="006B0785">
        <w:rPr>
          <w:rFonts w:ascii="Arial" w:eastAsiaTheme="minorHAnsi" w:hAnsi="Arial" w:cs="Arial"/>
          <w:iCs/>
          <w:color w:val="000000"/>
          <w:lang w:eastAsia="en-US"/>
        </w:rPr>
        <w:t xml:space="preserve"> 2019.</w:t>
      </w:r>
      <w:r w:rsidR="00F2469E" w:rsidRPr="00F2469E">
        <w:rPr>
          <w:rFonts w:ascii="Arial" w:hAnsi="Arial" w:cs="Arial"/>
          <w:bCs/>
          <w:sz w:val="22"/>
          <w:szCs w:val="22"/>
        </w:rPr>
        <w:t xml:space="preserve"> </w:t>
      </w:r>
    </w:p>
    <w:p w:rsidR="00604657" w:rsidRPr="00A15AB9" w:rsidRDefault="00E1143D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>K předloženému materiálu</w:t>
      </w:r>
    </w:p>
    <w:p w:rsidR="0088550B" w:rsidRDefault="00E1143D" w:rsidP="0088550B">
      <w:pPr>
        <w:spacing w:after="120"/>
        <w:jc w:val="both"/>
        <w:rPr>
          <w:rFonts w:ascii="Arial" w:hAnsi="Arial" w:cs="Arial"/>
        </w:rPr>
      </w:pPr>
      <w:r w:rsidRPr="00B03AD2">
        <w:rPr>
          <w:rFonts w:ascii="Arial" w:hAnsi="Arial" w:cs="Arial"/>
        </w:rPr>
        <w:t>V Inovační strategii 2030 je popsán výchozí stav uvedené oblasti</w:t>
      </w:r>
      <w:r w:rsidR="0088550B">
        <w:rPr>
          <w:rFonts w:ascii="Arial" w:hAnsi="Arial" w:cs="Arial"/>
        </w:rPr>
        <w:t xml:space="preserve"> včetně identifikace</w:t>
      </w:r>
      <w:r w:rsidR="0088550B" w:rsidRPr="0088550B">
        <w:rPr>
          <w:rFonts w:ascii="Arial" w:hAnsi="Arial" w:cs="Arial"/>
        </w:rPr>
        <w:t xml:space="preserve"> </w:t>
      </w:r>
      <w:r w:rsidR="0088550B">
        <w:rPr>
          <w:rFonts w:ascii="Arial" w:hAnsi="Arial" w:cs="Arial"/>
        </w:rPr>
        <w:t>řady</w:t>
      </w:r>
      <w:r w:rsidR="0088550B" w:rsidRPr="00F2469E">
        <w:rPr>
          <w:rFonts w:ascii="Arial" w:hAnsi="Arial" w:cs="Arial"/>
        </w:rPr>
        <w:t xml:space="preserve"> slabin v oblasti transferu znalostí výzkumných organizací a komercializace výsledků ji</w:t>
      </w:r>
      <w:r w:rsidR="0088550B">
        <w:rPr>
          <w:rFonts w:ascii="Arial" w:hAnsi="Arial" w:cs="Arial"/>
        </w:rPr>
        <w:t xml:space="preserve">mi prováděného výzkumu a vývoje. </w:t>
      </w:r>
    </w:p>
    <w:p w:rsidR="00E1143D" w:rsidRPr="00B03AD2" w:rsidRDefault="00C31ACD" w:rsidP="00B03AD2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 obsahuje</w:t>
      </w:r>
      <w:r>
        <w:rPr>
          <w:rFonts w:ascii="Calibri" w:eastAsiaTheme="minorHAnsi" w:hAnsi="Calibri" w:cs="Calibri"/>
          <w:i/>
          <w:iCs/>
          <w:color w:val="000000"/>
          <w:lang w:eastAsia="en-US"/>
        </w:rPr>
        <w:t xml:space="preserve"> </w:t>
      </w:r>
      <w:r w:rsidRPr="00C31ACD">
        <w:rPr>
          <w:rFonts w:ascii="Arial" w:hAnsi="Arial" w:cs="Arial"/>
        </w:rPr>
        <w:t>popis způsobu zakládání spin-</w:t>
      </w:r>
      <w:proofErr w:type="spellStart"/>
      <w:r w:rsidRPr="00C31ACD">
        <w:rPr>
          <w:rFonts w:ascii="Arial" w:hAnsi="Arial" w:cs="Arial"/>
        </w:rPr>
        <w:t>off</w:t>
      </w:r>
      <w:proofErr w:type="spellEnd"/>
      <w:r w:rsidRPr="00C31ACD">
        <w:rPr>
          <w:rFonts w:ascii="Arial" w:hAnsi="Arial" w:cs="Arial"/>
        </w:rPr>
        <w:t xml:space="preserve"> společnost</w:t>
      </w:r>
      <w:r>
        <w:rPr>
          <w:rFonts w:ascii="Arial" w:hAnsi="Arial" w:cs="Arial"/>
        </w:rPr>
        <w:t>í</w:t>
      </w:r>
      <w:r w:rsidR="0088550B" w:rsidRPr="00F2469E">
        <w:rPr>
          <w:rFonts w:ascii="Arial" w:hAnsi="Arial" w:cs="Arial"/>
        </w:rPr>
        <w:t xml:space="preserve">, </w:t>
      </w:r>
      <w:r w:rsidR="0088550B">
        <w:rPr>
          <w:rFonts w:ascii="Arial" w:hAnsi="Arial" w:cs="Arial"/>
        </w:rPr>
        <w:t>včetně odpovědí</w:t>
      </w:r>
      <w:r w:rsidR="0088550B" w:rsidRPr="00F2469E">
        <w:rPr>
          <w:rFonts w:ascii="Arial" w:hAnsi="Arial" w:cs="Arial"/>
        </w:rPr>
        <w:t xml:space="preserve"> na</w:t>
      </w:r>
      <w:r w:rsidR="00747B62">
        <w:rPr>
          <w:rFonts w:ascii="Arial" w:hAnsi="Arial" w:cs="Arial"/>
        </w:rPr>
        <w:t> </w:t>
      </w:r>
      <w:r w:rsidR="0088550B" w:rsidRPr="00F2469E">
        <w:rPr>
          <w:rFonts w:ascii="Arial" w:hAnsi="Arial" w:cs="Arial"/>
        </w:rPr>
        <w:t xml:space="preserve">vybrané často kladené otázky. </w:t>
      </w:r>
      <w:r w:rsidR="0088550B">
        <w:rPr>
          <w:rFonts w:ascii="Arial" w:hAnsi="Arial" w:cs="Arial"/>
        </w:rPr>
        <w:t xml:space="preserve">Přílohou materiálu </w:t>
      </w:r>
      <w:r w:rsidR="0088550B" w:rsidRPr="00F2469E">
        <w:rPr>
          <w:rFonts w:ascii="Arial" w:hAnsi="Arial" w:cs="Arial"/>
        </w:rPr>
        <w:t>je právní rozbor problematiky zakládání spin-</w:t>
      </w:r>
      <w:proofErr w:type="spellStart"/>
      <w:r w:rsidR="0088550B" w:rsidRPr="00F2469E">
        <w:rPr>
          <w:rFonts w:ascii="Arial" w:hAnsi="Arial" w:cs="Arial"/>
        </w:rPr>
        <w:t>off</w:t>
      </w:r>
      <w:proofErr w:type="spellEnd"/>
      <w:r w:rsidR="0088550B" w:rsidRPr="00F2469E">
        <w:rPr>
          <w:rFonts w:ascii="Arial" w:hAnsi="Arial" w:cs="Arial"/>
        </w:rPr>
        <w:t xml:space="preserve"> společností z hlediska evropských i národních předpisů</w:t>
      </w:r>
      <w:r w:rsidR="00E1143D" w:rsidRPr="00B03AD2">
        <w:rPr>
          <w:rFonts w:ascii="Arial" w:hAnsi="Arial" w:cs="Arial"/>
        </w:rPr>
        <w:t xml:space="preserve">. </w:t>
      </w:r>
      <w:r w:rsidR="004F4915">
        <w:rPr>
          <w:rFonts w:ascii="Arial" w:hAnsi="Arial" w:cs="Arial"/>
        </w:rPr>
        <w:t>Materiál</w:t>
      </w:r>
      <w:r w:rsidR="00E1143D" w:rsidRPr="00B03AD2">
        <w:rPr>
          <w:rFonts w:ascii="Arial" w:hAnsi="Arial" w:cs="Arial"/>
        </w:rPr>
        <w:t xml:space="preserve"> primárně oslovuje akademickou obec</w:t>
      </w:r>
      <w:r w:rsidR="00B03AD2">
        <w:rPr>
          <w:rFonts w:ascii="Arial" w:hAnsi="Arial" w:cs="Arial"/>
        </w:rPr>
        <w:t xml:space="preserve">, </w:t>
      </w:r>
      <w:r w:rsidR="00E1143D" w:rsidRPr="00B03AD2">
        <w:rPr>
          <w:rFonts w:ascii="Arial" w:hAnsi="Arial" w:cs="Arial"/>
        </w:rPr>
        <w:t>výzkumné</w:t>
      </w:r>
      <w:r w:rsidR="00B03AD2">
        <w:rPr>
          <w:rFonts w:ascii="Arial" w:hAnsi="Arial" w:cs="Arial"/>
        </w:rPr>
        <w:t xml:space="preserve"> organizace</w:t>
      </w:r>
      <w:r w:rsidR="00E1143D" w:rsidRPr="00B03AD2">
        <w:rPr>
          <w:rFonts w:ascii="Arial" w:hAnsi="Arial" w:cs="Arial"/>
        </w:rPr>
        <w:t xml:space="preserve"> </w:t>
      </w:r>
      <w:r w:rsidR="00B03AD2">
        <w:rPr>
          <w:rFonts w:ascii="Arial" w:hAnsi="Arial" w:cs="Arial"/>
        </w:rPr>
        <w:t>a</w:t>
      </w:r>
      <w:r w:rsidR="001A05DD">
        <w:rPr>
          <w:rFonts w:ascii="Arial" w:hAnsi="Arial" w:cs="Arial"/>
        </w:rPr>
        <w:t> </w:t>
      </w:r>
      <w:r w:rsidR="00B03AD2" w:rsidRPr="00F2469E">
        <w:rPr>
          <w:rFonts w:ascii="Arial" w:hAnsi="Arial" w:cs="Arial"/>
        </w:rPr>
        <w:t>vedoucí orgánů státní správy, kteří jsou zřizovateli veřejných výzkumných institucí nebo kteří mají v</w:t>
      </w:r>
      <w:r w:rsidR="00747B62">
        <w:rPr>
          <w:rFonts w:ascii="Arial" w:hAnsi="Arial" w:cs="Arial"/>
        </w:rPr>
        <w:t> </w:t>
      </w:r>
      <w:r w:rsidR="00B03AD2" w:rsidRPr="00F2469E">
        <w:rPr>
          <w:rFonts w:ascii="Arial" w:hAnsi="Arial" w:cs="Arial"/>
        </w:rPr>
        <w:t>kompetenci vysoké školy a další výzkumné organizace</w:t>
      </w:r>
      <w:r w:rsidR="00B03AD2">
        <w:rPr>
          <w:rFonts w:ascii="Arial" w:hAnsi="Arial" w:cs="Arial"/>
        </w:rPr>
        <w:t>.</w:t>
      </w:r>
      <w:r w:rsidR="00E1143D" w:rsidRPr="00B03AD2">
        <w:rPr>
          <w:rFonts w:ascii="Arial" w:hAnsi="Arial" w:cs="Arial"/>
        </w:rPr>
        <w:t xml:space="preserve"> </w:t>
      </w:r>
    </w:p>
    <w:p w:rsidR="00106888" w:rsidRPr="00A15AB9" w:rsidRDefault="00B745AF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>Hodnocení předloženého materiálu Radou</w:t>
      </w:r>
      <w:r w:rsidR="00FF7293" w:rsidRPr="00A15AB9">
        <w:rPr>
          <w:rFonts w:ascii="Arial" w:hAnsi="Arial" w:cs="Arial"/>
          <w:b/>
          <w:color w:val="365F91" w:themeColor="accent1" w:themeShade="BF"/>
        </w:rPr>
        <w:t xml:space="preserve"> </w:t>
      </w:r>
    </w:p>
    <w:p w:rsidR="00B745AF" w:rsidRPr="00742B92" w:rsidRDefault="00B745AF" w:rsidP="00B03AD2">
      <w:pPr>
        <w:spacing w:after="120"/>
        <w:jc w:val="both"/>
        <w:rPr>
          <w:rFonts w:ascii="Arial" w:hAnsi="Arial" w:cs="Arial"/>
        </w:rPr>
      </w:pPr>
      <w:r w:rsidRPr="00B03AD2">
        <w:rPr>
          <w:rFonts w:ascii="Arial" w:hAnsi="Arial" w:cs="Arial"/>
        </w:rPr>
        <w:t>Obě části</w:t>
      </w:r>
      <w:r w:rsidR="004F4915">
        <w:rPr>
          <w:rFonts w:ascii="Arial" w:hAnsi="Arial" w:cs="Arial"/>
        </w:rPr>
        <w:t xml:space="preserve"> M</w:t>
      </w:r>
      <w:r w:rsidR="00B03AD2" w:rsidRPr="00B03AD2">
        <w:rPr>
          <w:rFonts w:ascii="Arial" w:hAnsi="Arial" w:cs="Arial"/>
        </w:rPr>
        <w:t>ateriálu</w:t>
      </w:r>
      <w:r w:rsidRPr="00B03AD2">
        <w:rPr>
          <w:rFonts w:ascii="Arial" w:hAnsi="Arial" w:cs="Arial"/>
        </w:rPr>
        <w:t xml:space="preserve"> jsou vhodným východiskem k naplnění cílů pilíře „Národní </w:t>
      </w:r>
      <w:proofErr w:type="spellStart"/>
      <w:r w:rsidRPr="00B03AD2">
        <w:rPr>
          <w:rFonts w:ascii="Arial" w:hAnsi="Arial" w:cs="Arial"/>
        </w:rPr>
        <w:t>startup</w:t>
      </w:r>
      <w:proofErr w:type="spellEnd"/>
      <w:r w:rsidRPr="00B03AD2">
        <w:rPr>
          <w:rFonts w:ascii="Arial" w:hAnsi="Arial" w:cs="Arial"/>
        </w:rPr>
        <w:t xml:space="preserve"> a spin-</w:t>
      </w:r>
      <w:proofErr w:type="spellStart"/>
      <w:r w:rsidRPr="00B03AD2">
        <w:rPr>
          <w:rFonts w:ascii="Arial" w:hAnsi="Arial" w:cs="Arial"/>
        </w:rPr>
        <w:t>off</w:t>
      </w:r>
      <w:proofErr w:type="spellEnd"/>
      <w:r w:rsidRPr="00B03AD2">
        <w:rPr>
          <w:rFonts w:ascii="Arial" w:hAnsi="Arial" w:cs="Arial"/>
        </w:rPr>
        <w:t xml:space="preserve"> infrastruktura“,</w:t>
      </w:r>
      <w:r w:rsidR="00742B92">
        <w:rPr>
          <w:rFonts w:ascii="Arial" w:hAnsi="Arial" w:cs="Arial"/>
        </w:rPr>
        <w:t xml:space="preserve"> </w:t>
      </w:r>
      <w:r w:rsidRPr="00B03AD2">
        <w:rPr>
          <w:rFonts w:ascii="Arial" w:hAnsi="Arial" w:cs="Arial"/>
        </w:rPr>
        <w:t xml:space="preserve">jako jsou vytvořit konkrétní prvky podpory pro vznik </w:t>
      </w:r>
      <w:proofErr w:type="spellStart"/>
      <w:r w:rsidRPr="00B03AD2">
        <w:rPr>
          <w:rFonts w:ascii="Arial" w:hAnsi="Arial" w:cs="Arial"/>
        </w:rPr>
        <w:t>startups</w:t>
      </w:r>
      <w:proofErr w:type="spellEnd"/>
      <w:r w:rsidRPr="00B03AD2">
        <w:rPr>
          <w:rFonts w:ascii="Arial" w:hAnsi="Arial" w:cs="Arial"/>
        </w:rPr>
        <w:t xml:space="preserve"> a</w:t>
      </w:r>
      <w:r w:rsidR="00742B92">
        <w:rPr>
          <w:rFonts w:ascii="Arial" w:hAnsi="Arial" w:cs="Arial"/>
        </w:rPr>
        <w:t xml:space="preserve"> </w:t>
      </w:r>
      <w:r w:rsidRPr="00B03AD2">
        <w:rPr>
          <w:rFonts w:ascii="Arial" w:hAnsi="Arial" w:cs="Arial"/>
        </w:rPr>
        <w:t>spin-</w:t>
      </w:r>
      <w:proofErr w:type="spellStart"/>
      <w:r w:rsidRPr="00B03AD2">
        <w:rPr>
          <w:rFonts w:ascii="Arial" w:hAnsi="Arial" w:cs="Arial"/>
        </w:rPr>
        <w:t>offs</w:t>
      </w:r>
      <w:proofErr w:type="spellEnd"/>
      <w:r w:rsidRPr="00B03AD2">
        <w:rPr>
          <w:rFonts w:ascii="Arial" w:hAnsi="Arial" w:cs="Arial"/>
        </w:rPr>
        <w:t xml:space="preserve"> na národní úrovni a následně provázat tyto prvky s regionální a</w:t>
      </w:r>
      <w:r w:rsidR="00742B92">
        <w:rPr>
          <w:rFonts w:ascii="Arial" w:hAnsi="Arial" w:cs="Arial"/>
        </w:rPr>
        <w:t> </w:t>
      </w:r>
      <w:r w:rsidRPr="00B03AD2">
        <w:rPr>
          <w:rFonts w:ascii="Arial" w:hAnsi="Arial" w:cs="Arial"/>
        </w:rPr>
        <w:t>mezinárodní</w:t>
      </w:r>
      <w:r w:rsidR="00742B92">
        <w:rPr>
          <w:rFonts w:ascii="Arial" w:hAnsi="Arial" w:cs="Arial"/>
        </w:rPr>
        <w:t xml:space="preserve"> podporou a </w:t>
      </w:r>
      <w:r w:rsidRPr="00742B92">
        <w:rPr>
          <w:rFonts w:ascii="Arial" w:hAnsi="Arial" w:cs="Arial"/>
        </w:rPr>
        <w:t xml:space="preserve">vytvořit ucelený program financování s národní podporou pro segment </w:t>
      </w:r>
      <w:proofErr w:type="spellStart"/>
      <w:r w:rsidRPr="00742B92">
        <w:rPr>
          <w:rFonts w:ascii="Arial" w:hAnsi="Arial" w:cs="Arial"/>
        </w:rPr>
        <w:t>startups</w:t>
      </w:r>
      <w:proofErr w:type="spellEnd"/>
      <w:r w:rsidRPr="00742B92">
        <w:rPr>
          <w:rFonts w:ascii="Arial" w:hAnsi="Arial" w:cs="Arial"/>
        </w:rPr>
        <w:t xml:space="preserve">. </w:t>
      </w:r>
    </w:p>
    <w:p w:rsidR="00B745AF" w:rsidRPr="00B03AD2" w:rsidRDefault="00B745AF" w:rsidP="00B745AF">
      <w:pPr>
        <w:spacing w:after="120"/>
        <w:jc w:val="both"/>
        <w:rPr>
          <w:rFonts w:ascii="Arial" w:hAnsi="Arial" w:cs="Arial"/>
        </w:rPr>
      </w:pPr>
      <w:r w:rsidRPr="00B03AD2">
        <w:rPr>
          <w:rFonts w:ascii="Arial" w:hAnsi="Arial" w:cs="Arial"/>
        </w:rPr>
        <w:t>Realizace tě</w:t>
      </w:r>
      <w:r w:rsidR="004F4915">
        <w:rPr>
          <w:rFonts w:ascii="Arial" w:hAnsi="Arial" w:cs="Arial"/>
        </w:rPr>
        <w:t>chto kroků</w:t>
      </w:r>
      <w:r w:rsidRPr="00B03AD2">
        <w:rPr>
          <w:rFonts w:ascii="Arial" w:hAnsi="Arial" w:cs="Arial"/>
        </w:rPr>
        <w:t xml:space="preserve"> povede k</w:t>
      </w:r>
      <w:r w:rsidR="004F4915">
        <w:rPr>
          <w:rFonts w:ascii="Arial" w:hAnsi="Arial" w:cs="Arial"/>
        </w:rPr>
        <w:t>e</w:t>
      </w:r>
      <w:r w:rsidRPr="00B03AD2">
        <w:rPr>
          <w:rFonts w:ascii="Arial" w:hAnsi="Arial" w:cs="Arial"/>
        </w:rPr>
        <w:t xml:space="preserve"> zvýšení uplatnění výsledků </w:t>
      </w:r>
      <w:r w:rsidR="004F4915">
        <w:rPr>
          <w:rFonts w:ascii="Arial" w:hAnsi="Arial" w:cs="Arial"/>
        </w:rPr>
        <w:t>výzkumu a vývoje</w:t>
      </w:r>
      <w:r w:rsidRPr="00B03AD2">
        <w:rPr>
          <w:rFonts w:ascii="Arial" w:hAnsi="Arial" w:cs="Arial"/>
        </w:rPr>
        <w:t xml:space="preserve"> v</w:t>
      </w:r>
      <w:r w:rsidR="004F4915">
        <w:rPr>
          <w:rFonts w:ascii="Arial" w:hAnsi="Arial" w:cs="Arial"/>
        </w:rPr>
        <w:t> </w:t>
      </w:r>
      <w:r w:rsidRPr="00B03AD2">
        <w:rPr>
          <w:rFonts w:ascii="Arial" w:hAnsi="Arial" w:cs="Arial"/>
        </w:rPr>
        <w:t>praxi. V</w:t>
      </w:r>
      <w:r w:rsidR="0088550B">
        <w:rPr>
          <w:rFonts w:ascii="Arial" w:hAnsi="Arial" w:cs="Arial"/>
        </w:rPr>
        <w:t> </w:t>
      </w:r>
      <w:r w:rsidRPr="00B03AD2">
        <w:rPr>
          <w:rFonts w:ascii="Arial" w:hAnsi="Arial" w:cs="Arial"/>
        </w:rPr>
        <w:t xml:space="preserve">mezinárodním srovnání v této oblasti ČR doposud zaostává. Na předložený </w:t>
      </w:r>
      <w:r w:rsidR="004F4915">
        <w:rPr>
          <w:rFonts w:ascii="Arial" w:hAnsi="Arial" w:cs="Arial"/>
        </w:rPr>
        <w:t>M</w:t>
      </w:r>
      <w:r w:rsidRPr="00B03AD2">
        <w:rPr>
          <w:rFonts w:ascii="Arial" w:hAnsi="Arial" w:cs="Arial"/>
        </w:rPr>
        <w:t xml:space="preserve">ateriál by měly vhodně navázat další aktivity uvedené v Inovační strategii, jako jsou: vytvoření nástrojů účelové </w:t>
      </w:r>
      <w:r w:rsidRPr="00742B92">
        <w:rPr>
          <w:rFonts w:ascii="Arial" w:hAnsi="Arial" w:cs="Arial"/>
        </w:rPr>
        <w:t xml:space="preserve">podpory </w:t>
      </w:r>
      <w:r w:rsidR="004F4915" w:rsidRPr="00742B92">
        <w:rPr>
          <w:rFonts w:ascii="Arial" w:hAnsi="Arial" w:cs="Arial"/>
        </w:rPr>
        <w:t>výzkumu, vývoje a inovací</w:t>
      </w:r>
      <w:r w:rsidRPr="00742B92">
        <w:rPr>
          <w:rFonts w:ascii="Arial" w:hAnsi="Arial" w:cs="Arial"/>
        </w:rPr>
        <w:t xml:space="preserve"> </w:t>
      </w:r>
      <w:r w:rsidRPr="00B03AD2">
        <w:rPr>
          <w:rFonts w:ascii="Arial" w:hAnsi="Arial" w:cs="Arial"/>
        </w:rPr>
        <w:t>v</w:t>
      </w:r>
      <w:r w:rsidR="00742B92">
        <w:rPr>
          <w:rFonts w:ascii="Arial" w:hAnsi="Arial" w:cs="Arial"/>
        </w:rPr>
        <w:t> </w:t>
      </w:r>
      <w:r w:rsidRPr="00B03AD2">
        <w:rPr>
          <w:rFonts w:ascii="Arial" w:hAnsi="Arial" w:cs="Arial"/>
        </w:rPr>
        <w:t xml:space="preserve">rámci </w:t>
      </w:r>
      <w:r w:rsidR="00742B92">
        <w:rPr>
          <w:rFonts w:ascii="Arial" w:hAnsi="Arial" w:cs="Arial"/>
        </w:rPr>
        <w:t>Technologické</w:t>
      </w:r>
      <w:r w:rsidR="004F4915">
        <w:rPr>
          <w:rFonts w:ascii="Arial" w:hAnsi="Arial" w:cs="Arial"/>
        </w:rPr>
        <w:t xml:space="preserve"> agentury ČR</w:t>
      </w:r>
      <w:r w:rsidRPr="00B03AD2">
        <w:rPr>
          <w:rFonts w:ascii="Arial" w:hAnsi="Arial" w:cs="Arial"/>
        </w:rPr>
        <w:t xml:space="preserve"> pro </w:t>
      </w:r>
      <w:proofErr w:type="spellStart"/>
      <w:r w:rsidRPr="00B03AD2">
        <w:rPr>
          <w:rFonts w:ascii="Arial" w:hAnsi="Arial" w:cs="Arial"/>
        </w:rPr>
        <w:t>startups</w:t>
      </w:r>
      <w:proofErr w:type="spellEnd"/>
      <w:r w:rsidRPr="00B03AD2">
        <w:rPr>
          <w:rFonts w:ascii="Arial" w:hAnsi="Arial" w:cs="Arial"/>
        </w:rPr>
        <w:t xml:space="preserve"> a spin-</w:t>
      </w:r>
      <w:proofErr w:type="spellStart"/>
      <w:r w:rsidRPr="00B03AD2">
        <w:rPr>
          <w:rFonts w:ascii="Arial" w:hAnsi="Arial" w:cs="Arial"/>
        </w:rPr>
        <w:t>offs</w:t>
      </w:r>
      <w:proofErr w:type="spellEnd"/>
      <w:r w:rsidRPr="00B03AD2">
        <w:rPr>
          <w:rFonts w:ascii="Arial" w:hAnsi="Arial" w:cs="Arial"/>
        </w:rPr>
        <w:t xml:space="preserve">, vč. systému vyhodnocování, vytvoření výzev operačních programů 2020+ pro oblast </w:t>
      </w:r>
      <w:proofErr w:type="spellStart"/>
      <w:r w:rsidRPr="00B03AD2">
        <w:rPr>
          <w:rFonts w:ascii="Arial" w:hAnsi="Arial" w:cs="Arial"/>
        </w:rPr>
        <w:t>startups</w:t>
      </w:r>
      <w:proofErr w:type="spellEnd"/>
      <w:r w:rsidRPr="00B03AD2">
        <w:rPr>
          <w:rFonts w:ascii="Arial" w:hAnsi="Arial" w:cs="Arial"/>
        </w:rPr>
        <w:t xml:space="preserve"> </w:t>
      </w:r>
      <w:r w:rsidRPr="00B03AD2">
        <w:rPr>
          <w:rFonts w:ascii="Arial" w:hAnsi="Arial" w:cs="Arial"/>
        </w:rPr>
        <w:lastRenderedPageBreak/>
        <w:t>a</w:t>
      </w:r>
      <w:r w:rsidR="00742B92">
        <w:rPr>
          <w:rFonts w:ascii="Arial" w:hAnsi="Arial" w:cs="Arial"/>
        </w:rPr>
        <w:t> </w:t>
      </w:r>
      <w:r w:rsidRPr="00B03AD2">
        <w:rPr>
          <w:rFonts w:ascii="Arial" w:hAnsi="Arial" w:cs="Arial"/>
        </w:rPr>
        <w:t xml:space="preserve"> spin-</w:t>
      </w:r>
      <w:proofErr w:type="spellStart"/>
      <w:r w:rsidRPr="00B03AD2">
        <w:rPr>
          <w:rFonts w:ascii="Arial" w:hAnsi="Arial" w:cs="Arial"/>
        </w:rPr>
        <w:t>offs</w:t>
      </w:r>
      <w:proofErr w:type="spellEnd"/>
      <w:r w:rsidRPr="00B03AD2">
        <w:rPr>
          <w:rFonts w:ascii="Arial" w:hAnsi="Arial" w:cs="Arial"/>
        </w:rPr>
        <w:t>, apod. Výsledným cílem je posílit význam inovací a využívání špičkových technologií jako zdroje konkurenceschopnosti ČR a zvyšování jejich přínosů pro dlouhodobý hospodářský růst.</w:t>
      </w:r>
    </w:p>
    <w:p w:rsidR="00017DD9" w:rsidRDefault="004F4915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 xml:space="preserve">     </w:t>
      </w:r>
      <w:r w:rsidR="00B03AD2">
        <w:rPr>
          <w:rFonts w:ascii="Arial" w:hAnsi="Arial" w:cs="Arial"/>
          <w:b/>
          <w:color w:val="365F91" w:themeColor="accent1" w:themeShade="BF"/>
        </w:rPr>
        <w:t>Připomínky Rady</w:t>
      </w:r>
    </w:p>
    <w:p w:rsidR="00C31ACD" w:rsidRDefault="00C31ACD" w:rsidP="00C31ACD">
      <w:pPr>
        <w:pStyle w:val="Odstavecseseznamem"/>
        <w:numPr>
          <w:ilvl w:val="0"/>
          <w:numId w:val="35"/>
        </w:numPr>
        <w:tabs>
          <w:tab w:val="left" w:pos="709"/>
        </w:tabs>
        <w:spacing w:after="120"/>
        <w:jc w:val="both"/>
        <w:rPr>
          <w:rFonts w:ascii="Arial" w:hAnsi="Arial" w:cs="Arial"/>
        </w:rPr>
      </w:pPr>
      <w:r w:rsidRPr="00C31ACD">
        <w:rPr>
          <w:rFonts w:ascii="Arial" w:hAnsi="Arial" w:cs="Arial"/>
        </w:rPr>
        <w:t xml:space="preserve">Rada doporučuje doplnit </w:t>
      </w:r>
      <w:r w:rsidR="00747B62">
        <w:rPr>
          <w:rFonts w:ascii="Arial" w:hAnsi="Arial" w:cs="Arial"/>
        </w:rPr>
        <w:t>do</w:t>
      </w:r>
      <w:r w:rsidRPr="00C31ACD">
        <w:rPr>
          <w:rFonts w:ascii="Arial" w:hAnsi="Arial" w:cs="Arial"/>
        </w:rPr>
        <w:t xml:space="preserve"> předkládací zprávy Materiálu informaci o</w:t>
      </w:r>
      <w:r>
        <w:rPr>
          <w:rFonts w:ascii="Arial" w:hAnsi="Arial" w:cs="Arial"/>
        </w:rPr>
        <w:t> </w:t>
      </w:r>
      <w:r w:rsidRPr="00C31ACD">
        <w:rPr>
          <w:rFonts w:ascii="Arial" w:hAnsi="Arial" w:cs="Arial"/>
        </w:rPr>
        <w:t>projednání materiálu s Ministerstvem školství, mládeže a tělovýchovy</w:t>
      </w:r>
      <w:r>
        <w:rPr>
          <w:rFonts w:ascii="Arial" w:hAnsi="Arial" w:cs="Arial"/>
        </w:rPr>
        <w:t>.</w:t>
      </w:r>
    </w:p>
    <w:p w:rsidR="00C31ACD" w:rsidRPr="00C31ACD" w:rsidRDefault="00C31ACD" w:rsidP="00C31ACD">
      <w:pPr>
        <w:pStyle w:val="Odstavecseseznamem"/>
        <w:numPr>
          <w:ilvl w:val="0"/>
          <w:numId w:val="35"/>
        </w:numPr>
        <w:tabs>
          <w:tab w:val="left" w:pos="709"/>
        </w:tabs>
        <w:spacing w:after="120"/>
        <w:jc w:val="both"/>
        <w:rPr>
          <w:rFonts w:ascii="Arial" w:hAnsi="Arial" w:cs="Arial"/>
        </w:rPr>
      </w:pPr>
      <w:r w:rsidRPr="00C31ACD">
        <w:rPr>
          <w:rFonts w:ascii="Arial" w:hAnsi="Arial" w:cs="Arial"/>
        </w:rPr>
        <w:t>Materiál je překládán Radě ke stanovisku, nebyl tedy zpracován ve s</w:t>
      </w:r>
      <w:r>
        <w:rPr>
          <w:rFonts w:ascii="Arial" w:hAnsi="Arial" w:cs="Arial"/>
        </w:rPr>
        <w:t>polupráci</w:t>
      </w:r>
      <w:r w:rsidRPr="00C31ACD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 </w:t>
      </w:r>
      <w:r w:rsidRPr="00C31ACD">
        <w:rPr>
          <w:rFonts w:ascii="Arial" w:hAnsi="Arial" w:cs="Arial"/>
        </w:rPr>
        <w:t>Radou</w:t>
      </w:r>
      <w:r>
        <w:rPr>
          <w:rFonts w:ascii="Arial" w:hAnsi="Arial" w:cs="Arial"/>
        </w:rPr>
        <w:t xml:space="preserve">. Rada žádá v tomto smyslu upravit znění </w:t>
      </w:r>
      <w:r w:rsidR="00747B62">
        <w:rPr>
          <w:rFonts w:ascii="Arial" w:hAnsi="Arial" w:cs="Arial"/>
        </w:rPr>
        <w:t>M</w:t>
      </w:r>
      <w:r w:rsidRPr="00C31ACD">
        <w:rPr>
          <w:rFonts w:ascii="Arial" w:hAnsi="Arial" w:cs="Arial"/>
        </w:rPr>
        <w:t>ateriál</w:t>
      </w:r>
      <w:r>
        <w:rPr>
          <w:rFonts w:ascii="Arial" w:hAnsi="Arial" w:cs="Arial"/>
        </w:rPr>
        <w:t>u</w:t>
      </w:r>
      <w:r w:rsidRPr="00C31ACD">
        <w:rPr>
          <w:rFonts w:ascii="Arial" w:hAnsi="Arial" w:cs="Arial"/>
        </w:rPr>
        <w:t>.</w:t>
      </w:r>
    </w:p>
    <w:p w:rsidR="00C31ACD" w:rsidRPr="00C31ACD" w:rsidRDefault="00C31ACD" w:rsidP="00C31ACD">
      <w:pPr>
        <w:tabs>
          <w:tab w:val="left" w:pos="709"/>
        </w:tabs>
        <w:spacing w:after="120"/>
        <w:jc w:val="both"/>
        <w:rPr>
          <w:rFonts w:ascii="Arial" w:hAnsi="Arial" w:cs="Arial"/>
          <w:b/>
          <w:color w:val="365F91" w:themeColor="accent1" w:themeShade="BF"/>
        </w:rPr>
      </w:pPr>
    </w:p>
    <w:p w:rsidR="004F4915" w:rsidRDefault="004F4915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>Závěr</w:t>
      </w:r>
    </w:p>
    <w:p w:rsidR="00B03AD2" w:rsidRDefault="00B03AD2" w:rsidP="00B03AD2">
      <w:pPr>
        <w:pStyle w:val="Text"/>
      </w:pPr>
      <w:r>
        <w:t>Rada:</w:t>
      </w:r>
    </w:p>
    <w:p w:rsidR="004F4915" w:rsidRPr="00747B62" w:rsidRDefault="004F4915" w:rsidP="004F4915">
      <w:pPr>
        <w:pStyle w:val="Text"/>
        <w:numPr>
          <w:ilvl w:val="0"/>
          <w:numId w:val="24"/>
        </w:numPr>
      </w:pPr>
      <w:r w:rsidRPr="00747B62">
        <w:t>schvaluje Stanovisko</w:t>
      </w:r>
      <w:r w:rsidR="001A05DD" w:rsidRPr="00747B62">
        <w:t xml:space="preserve"> </w:t>
      </w:r>
      <w:r w:rsidRPr="00747B62">
        <w:t>k </w:t>
      </w:r>
      <w:r w:rsidR="00EF5110">
        <w:t>M</w:t>
      </w:r>
      <w:r w:rsidRPr="00747B62">
        <w:t>ateriálu „</w:t>
      </w:r>
      <w:r w:rsidRPr="00747B62">
        <w:rPr>
          <w:iCs/>
        </w:rPr>
        <w:t>Popis způsobu zakládání spin-</w:t>
      </w:r>
      <w:proofErr w:type="spellStart"/>
      <w:r w:rsidRPr="00747B62">
        <w:rPr>
          <w:iCs/>
        </w:rPr>
        <w:t>off</w:t>
      </w:r>
      <w:proofErr w:type="spellEnd"/>
      <w:r w:rsidRPr="00747B62">
        <w:rPr>
          <w:iCs/>
        </w:rPr>
        <w:t xml:space="preserve"> společností</w:t>
      </w:r>
      <w:r w:rsidRPr="00747B62">
        <w:t xml:space="preserve">“,  </w:t>
      </w:r>
    </w:p>
    <w:p w:rsidR="001A05DD" w:rsidRPr="00747B62" w:rsidRDefault="001A05DD" w:rsidP="001A05DD">
      <w:pPr>
        <w:pStyle w:val="Zkladntext2"/>
        <w:numPr>
          <w:ilvl w:val="0"/>
          <w:numId w:val="24"/>
        </w:numPr>
        <w:spacing w:after="120"/>
        <w:jc w:val="both"/>
        <w:rPr>
          <w:rFonts w:ascii="Arial" w:hAnsi="Arial" w:cs="Arial"/>
          <w:b/>
          <w:szCs w:val="24"/>
        </w:rPr>
      </w:pPr>
      <w:r w:rsidRPr="00747B62">
        <w:rPr>
          <w:rFonts w:ascii="Arial" w:hAnsi="Arial" w:cs="Arial"/>
          <w:szCs w:val="24"/>
        </w:rPr>
        <w:t>po zapracování připomínek</w:t>
      </w:r>
      <w:r w:rsidR="00C31ACD" w:rsidRPr="00747B62">
        <w:rPr>
          <w:rFonts w:ascii="Arial" w:hAnsi="Arial" w:cs="Arial"/>
          <w:szCs w:val="24"/>
        </w:rPr>
        <w:t xml:space="preserve"> Rady a připomínek</w:t>
      </w:r>
      <w:r w:rsidRPr="00747B62">
        <w:rPr>
          <w:rFonts w:ascii="Arial" w:hAnsi="Arial" w:cs="Arial"/>
          <w:szCs w:val="24"/>
        </w:rPr>
        <w:t xml:space="preserve"> vzešlých z meziresortního připomínkového řízení doporučuje návrh </w:t>
      </w:r>
      <w:r w:rsidR="00EF5110">
        <w:rPr>
          <w:rFonts w:ascii="Arial" w:hAnsi="Arial" w:cs="Arial"/>
          <w:szCs w:val="24"/>
        </w:rPr>
        <w:t>M</w:t>
      </w:r>
      <w:r w:rsidRPr="00747B62">
        <w:rPr>
          <w:rFonts w:ascii="Arial" w:hAnsi="Arial" w:cs="Arial"/>
          <w:szCs w:val="24"/>
        </w:rPr>
        <w:t>ateriálu předložit ke schválení na</w:t>
      </w:r>
      <w:r w:rsidR="00747B62">
        <w:rPr>
          <w:rFonts w:ascii="Arial" w:hAnsi="Arial" w:cs="Arial"/>
          <w:szCs w:val="24"/>
        </w:rPr>
        <w:t> </w:t>
      </w:r>
      <w:r w:rsidRPr="00747B62">
        <w:rPr>
          <w:rFonts w:ascii="Arial" w:hAnsi="Arial" w:cs="Arial"/>
          <w:szCs w:val="24"/>
        </w:rPr>
        <w:t>jednání vlády.</w:t>
      </w:r>
    </w:p>
    <w:p w:rsidR="004F4915" w:rsidRPr="00A15AB9" w:rsidRDefault="004F4915" w:rsidP="001A05DD">
      <w:pPr>
        <w:pStyle w:val="Text"/>
        <w:ind w:left="720"/>
      </w:pPr>
    </w:p>
    <w:p w:rsidR="00B745AF" w:rsidRPr="00A15AB9" w:rsidRDefault="00B745AF" w:rsidP="00B745AF">
      <w:pPr>
        <w:pStyle w:val="Text"/>
      </w:pPr>
    </w:p>
    <w:p w:rsidR="00017DD9" w:rsidRPr="00BA29B0" w:rsidRDefault="00017DD9" w:rsidP="00A15AB9">
      <w:pPr>
        <w:pStyle w:val="Text"/>
      </w:pPr>
    </w:p>
    <w:p w:rsidR="00017DD9" w:rsidRPr="00BA29B0" w:rsidRDefault="00017DD9" w:rsidP="00A15AB9">
      <w:pPr>
        <w:pStyle w:val="Text"/>
      </w:pPr>
    </w:p>
    <w:p w:rsidR="00017DD9" w:rsidRDefault="00017DD9" w:rsidP="00EA5BEF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A29B0">
        <w:rPr>
          <w:rFonts w:ascii="Arial" w:hAnsi="Arial" w:cs="Arial"/>
          <w:sz w:val="24"/>
          <w:szCs w:val="24"/>
        </w:rPr>
        <w:t xml:space="preserve">Praha, </w:t>
      </w:r>
      <w:r w:rsidR="00B03AD2">
        <w:rPr>
          <w:rFonts w:ascii="Arial" w:hAnsi="Arial" w:cs="Arial"/>
          <w:sz w:val="24"/>
          <w:szCs w:val="24"/>
        </w:rPr>
        <w:t>22</w:t>
      </w:r>
      <w:r w:rsidR="00363121" w:rsidRPr="00BA29B0">
        <w:rPr>
          <w:rFonts w:ascii="Arial" w:hAnsi="Arial" w:cs="Arial"/>
          <w:sz w:val="24"/>
          <w:szCs w:val="24"/>
        </w:rPr>
        <w:t xml:space="preserve">. </w:t>
      </w:r>
      <w:r w:rsidR="00DA61D7" w:rsidRPr="00BA29B0">
        <w:rPr>
          <w:rFonts w:ascii="Arial" w:hAnsi="Arial" w:cs="Arial"/>
          <w:sz w:val="24"/>
          <w:szCs w:val="24"/>
        </w:rPr>
        <w:t>října</w:t>
      </w:r>
      <w:r w:rsidR="00363121" w:rsidRPr="00BA29B0">
        <w:rPr>
          <w:rFonts w:ascii="Arial" w:hAnsi="Arial" w:cs="Arial"/>
          <w:sz w:val="24"/>
          <w:szCs w:val="24"/>
        </w:rPr>
        <w:t xml:space="preserve"> 2019</w:t>
      </w:r>
    </w:p>
    <w:p w:rsidR="00075906" w:rsidRDefault="00075906" w:rsidP="00EA5BEF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07590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6A" w:rsidRDefault="0066486A" w:rsidP="008F77F6">
      <w:r>
        <w:separator/>
      </w:r>
    </w:p>
  </w:endnote>
  <w:endnote w:type="continuationSeparator" w:id="0">
    <w:p w:rsidR="0066486A" w:rsidRDefault="0066486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D2" w:rsidRDefault="000201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C1BCA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B50F6D">
      <w:rPr>
        <w:rFonts w:ascii="Arial" w:hAnsi="Arial" w:cs="Arial"/>
        <w:sz w:val="18"/>
        <w:szCs w:val="18"/>
      </w:rPr>
      <w:t> </w:t>
    </w:r>
    <w:r w:rsidR="009C5C1F">
      <w:rPr>
        <w:rFonts w:ascii="Arial" w:hAnsi="Arial" w:cs="Arial"/>
        <w:sz w:val="18"/>
        <w:szCs w:val="18"/>
      </w:rPr>
      <w:t>Z</w:t>
    </w:r>
    <w:r w:rsidR="00B50F6D">
      <w:rPr>
        <w:rFonts w:ascii="Arial" w:hAnsi="Arial" w:cs="Arial"/>
        <w:sz w:val="18"/>
        <w:szCs w:val="18"/>
      </w:rPr>
      <w:t xml:space="preserve">právě </w:t>
    </w:r>
    <w:r w:rsidR="009C5C1F">
      <w:rPr>
        <w:rFonts w:ascii="Arial" w:hAnsi="Arial" w:cs="Arial"/>
        <w:sz w:val="18"/>
        <w:szCs w:val="18"/>
      </w:rPr>
      <w:t>o plnění Koncepce</w:t>
    </w:r>
    <w:r w:rsidR="00F425B7" w:rsidRPr="00F425B7">
      <w:rPr>
        <w:rFonts w:ascii="Arial" w:hAnsi="Arial" w:cs="Arial"/>
        <w:sz w:val="18"/>
        <w:szCs w:val="18"/>
      </w:rPr>
      <w:t xml:space="preserve"> výzkumu, vývoje a inovací Minister</w:t>
    </w:r>
    <w:r w:rsidR="00F425B7">
      <w:rPr>
        <w:rFonts w:ascii="Arial" w:hAnsi="Arial" w:cs="Arial"/>
        <w:sz w:val="18"/>
        <w:szCs w:val="18"/>
      </w:rPr>
      <w:t>stva zemědělství na léta 2016–</w:t>
    </w:r>
    <w:r w:rsidR="00F425B7" w:rsidRPr="00F425B7">
      <w:rPr>
        <w:rFonts w:ascii="Arial" w:hAnsi="Arial" w:cs="Arial"/>
        <w:sz w:val="18"/>
        <w:szCs w:val="18"/>
      </w:rPr>
      <w:t>2022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1D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1D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1D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01D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6A" w:rsidRDefault="0066486A" w:rsidP="008F77F6">
      <w:r>
        <w:separator/>
      </w:r>
    </w:p>
  </w:footnote>
  <w:footnote w:type="continuationSeparator" w:id="0">
    <w:p w:rsidR="0066486A" w:rsidRDefault="0066486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D2" w:rsidRDefault="000201D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F859D39" wp14:editId="53ED660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811AC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5DF88DC" wp14:editId="3B922E5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3C2A8E" w:rsidRDefault="00482602" w:rsidP="008E24F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E24F2">
            <w:rPr>
              <w:rFonts w:ascii="Arial" w:hAnsi="Arial" w:cs="Arial"/>
              <w:b/>
              <w:color w:val="0070C0"/>
              <w:sz w:val="28"/>
              <w:szCs w:val="28"/>
            </w:rPr>
            <w:t>50/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567E9C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0201D2">
            <w:rPr>
              <w:rFonts w:ascii="Arial" w:hAnsi="Arial" w:cs="Arial"/>
              <w:b/>
              <w:color w:val="0070C0"/>
              <w:sz w:val="28"/>
              <w:szCs w:val="28"/>
            </w:rPr>
            <w:t>-</w:t>
          </w:r>
          <w:bookmarkStart w:id="0" w:name="_GoBack"/>
          <w:bookmarkEnd w:id="0"/>
          <w:r w:rsidR="009F0DB6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</w:p>
      </w:tc>
    </w:tr>
  </w:tbl>
  <w:p w:rsidR="00CC370F" w:rsidRDefault="00CC370F">
    <w:pPr>
      <w:pStyle w:val="Zhlav"/>
    </w:pPr>
  </w:p>
  <w:p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44943"/>
    <w:multiLevelType w:val="hybridMultilevel"/>
    <w:tmpl w:val="8468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271FE"/>
    <w:multiLevelType w:val="hybridMultilevel"/>
    <w:tmpl w:val="BE44DA24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25D13"/>
    <w:multiLevelType w:val="hybridMultilevel"/>
    <w:tmpl w:val="CBB67DA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53D3A"/>
    <w:multiLevelType w:val="hybridMultilevel"/>
    <w:tmpl w:val="4AB431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6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10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2456B"/>
    <w:multiLevelType w:val="hybridMultilevel"/>
    <w:tmpl w:val="9D3C94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66EF8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522FD"/>
    <w:multiLevelType w:val="hybridMultilevel"/>
    <w:tmpl w:val="17FC7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4119D"/>
    <w:multiLevelType w:val="hybridMultilevel"/>
    <w:tmpl w:val="87B21DB8"/>
    <w:lvl w:ilvl="0" w:tplc="5C7C9478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57014"/>
    <w:multiLevelType w:val="hybridMultilevel"/>
    <w:tmpl w:val="6A3C0B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45BF70AC"/>
    <w:multiLevelType w:val="hybridMultilevel"/>
    <w:tmpl w:val="F3BE5C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FD3FA7"/>
    <w:multiLevelType w:val="hybridMultilevel"/>
    <w:tmpl w:val="D976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5C4D4EF0"/>
    <w:multiLevelType w:val="hybridMultilevel"/>
    <w:tmpl w:val="26805BA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DC33D6"/>
    <w:multiLevelType w:val="hybridMultilevel"/>
    <w:tmpl w:val="7088A4E4"/>
    <w:lvl w:ilvl="0" w:tplc="2FA4271A">
      <w:start w:val="1"/>
      <w:numFmt w:val="upperRoman"/>
      <w:pStyle w:val="Nadpis3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A2DAD"/>
    <w:multiLevelType w:val="hybridMultilevel"/>
    <w:tmpl w:val="9B2C76B8"/>
    <w:lvl w:ilvl="0" w:tplc="D29C56A0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A85C43"/>
    <w:multiLevelType w:val="hybridMultilevel"/>
    <w:tmpl w:val="DA102356"/>
    <w:lvl w:ilvl="0" w:tplc="0E60E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5016A8"/>
    <w:multiLevelType w:val="hybridMultilevel"/>
    <w:tmpl w:val="E124A6BE"/>
    <w:lvl w:ilvl="0" w:tplc="8E945F7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AC1C90"/>
    <w:multiLevelType w:val="hybridMultilevel"/>
    <w:tmpl w:val="E38E6E00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8505D06"/>
    <w:multiLevelType w:val="hybridMultilevel"/>
    <w:tmpl w:val="1286FCB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8236A6"/>
    <w:multiLevelType w:val="hybridMultilevel"/>
    <w:tmpl w:val="0DC6B56A"/>
    <w:lvl w:ilvl="0" w:tplc="07220DA0">
      <w:start w:val="1"/>
      <w:numFmt w:val="upperRoman"/>
      <w:lvlText w:val="%1."/>
      <w:lvlJc w:val="left"/>
      <w:pPr>
        <w:ind w:left="1287" w:hanging="1003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7"/>
  </w:num>
  <w:num w:numId="7">
    <w:abstractNumId w:val="7"/>
  </w:num>
  <w:num w:numId="8">
    <w:abstractNumId w:val="16"/>
  </w:num>
  <w:num w:numId="9">
    <w:abstractNumId w:val="26"/>
  </w:num>
  <w:num w:numId="10">
    <w:abstractNumId w:val="25"/>
  </w:num>
  <w:num w:numId="11">
    <w:abstractNumId w:val="31"/>
  </w:num>
  <w:num w:numId="12">
    <w:abstractNumId w:val="8"/>
  </w:num>
  <w:num w:numId="13">
    <w:abstractNumId w:val="6"/>
  </w:num>
  <w:num w:numId="14">
    <w:abstractNumId w:val="5"/>
  </w:num>
  <w:num w:numId="15">
    <w:abstractNumId w:val="18"/>
  </w:num>
  <w:num w:numId="16">
    <w:abstractNumId w:val="14"/>
  </w:num>
  <w:num w:numId="17">
    <w:abstractNumId w:val="10"/>
  </w:num>
  <w:num w:numId="18">
    <w:abstractNumId w:val="4"/>
  </w:num>
  <w:num w:numId="19">
    <w:abstractNumId w:val="13"/>
  </w:num>
  <w:num w:numId="20">
    <w:abstractNumId w:val="19"/>
  </w:num>
  <w:num w:numId="21">
    <w:abstractNumId w:val="12"/>
  </w:num>
  <w:num w:numId="22">
    <w:abstractNumId w:val="29"/>
  </w:num>
  <w:num w:numId="23">
    <w:abstractNumId w:val="2"/>
  </w:num>
  <w:num w:numId="24">
    <w:abstractNumId w:val="1"/>
  </w:num>
  <w:num w:numId="25">
    <w:abstractNumId w:val="30"/>
  </w:num>
  <w:num w:numId="26">
    <w:abstractNumId w:val="33"/>
  </w:num>
  <w:num w:numId="27">
    <w:abstractNumId w:val="28"/>
  </w:num>
  <w:num w:numId="28">
    <w:abstractNumId w:val="21"/>
  </w:num>
  <w:num w:numId="29">
    <w:abstractNumId w:val="32"/>
  </w:num>
  <w:num w:numId="30">
    <w:abstractNumId w:val="3"/>
  </w:num>
  <w:num w:numId="31">
    <w:abstractNumId w:val="23"/>
  </w:num>
  <w:num w:numId="32">
    <w:abstractNumId w:val="11"/>
  </w:num>
  <w:num w:numId="33">
    <w:abstractNumId w:val="15"/>
  </w:num>
  <w:num w:numId="34">
    <w:abstractNumId w:val="2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55A"/>
    <w:rsid w:val="00017DD9"/>
    <w:rsid w:val="000201D2"/>
    <w:rsid w:val="00027A0F"/>
    <w:rsid w:val="000536DD"/>
    <w:rsid w:val="00057A10"/>
    <w:rsid w:val="00064903"/>
    <w:rsid w:val="00073612"/>
    <w:rsid w:val="000743F7"/>
    <w:rsid w:val="00074602"/>
    <w:rsid w:val="00075906"/>
    <w:rsid w:val="000C4A33"/>
    <w:rsid w:val="000C7100"/>
    <w:rsid w:val="000E33B8"/>
    <w:rsid w:val="000F1A68"/>
    <w:rsid w:val="000F23FD"/>
    <w:rsid w:val="000F4186"/>
    <w:rsid w:val="00106888"/>
    <w:rsid w:val="00116145"/>
    <w:rsid w:val="0011630D"/>
    <w:rsid w:val="001235C6"/>
    <w:rsid w:val="00135A08"/>
    <w:rsid w:val="00154A10"/>
    <w:rsid w:val="0016183E"/>
    <w:rsid w:val="00164360"/>
    <w:rsid w:val="00183A39"/>
    <w:rsid w:val="001A05DD"/>
    <w:rsid w:val="001A571C"/>
    <w:rsid w:val="001A7212"/>
    <w:rsid w:val="001B0562"/>
    <w:rsid w:val="001B3B23"/>
    <w:rsid w:val="001B7E43"/>
    <w:rsid w:val="001C1BCA"/>
    <w:rsid w:val="001C761F"/>
    <w:rsid w:val="001D278E"/>
    <w:rsid w:val="001E42B7"/>
    <w:rsid w:val="001E518C"/>
    <w:rsid w:val="00201426"/>
    <w:rsid w:val="00204358"/>
    <w:rsid w:val="0020501A"/>
    <w:rsid w:val="002109AB"/>
    <w:rsid w:val="00221B0A"/>
    <w:rsid w:val="002271D1"/>
    <w:rsid w:val="00232F21"/>
    <w:rsid w:val="00234738"/>
    <w:rsid w:val="00237006"/>
    <w:rsid w:val="0023719A"/>
    <w:rsid w:val="002516F1"/>
    <w:rsid w:val="00265A36"/>
    <w:rsid w:val="00271B38"/>
    <w:rsid w:val="00296CCF"/>
    <w:rsid w:val="002A1361"/>
    <w:rsid w:val="002D045A"/>
    <w:rsid w:val="002E2591"/>
    <w:rsid w:val="002E5E00"/>
    <w:rsid w:val="00303892"/>
    <w:rsid w:val="00317309"/>
    <w:rsid w:val="00317CFF"/>
    <w:rsid w:val="00324CD0"/>
    <w:rsid w:val="003348CA"/>
    <w:rsid w:val="003510B1"/>
    <w:rsid w:val="00360293"/>
    <w:rsid w:val="00363121"/>
    <w:rsid w:val="00367FC4"/>
    <w:rsid w:val="00386056"/>
    <w:rsid w:val="00387B05"/>
    <w:rsid w:val="0039761C"/>
    <w:rsid w:val="003C0CF7"/>
    <w:rsid w:val="003C2A8E"/>
    <w:rsid w:val="003C40FE"/>
    <w:rsid w:val="003E2680"/>
    <w:rsid w:val="003F2EE0"/>
    <w:rsid w:val="0040167B"/>
    <w:rsid w:val="004039E8"/>
    <w:rsid w:val="0040468E"/>
    <w:rsid w:val="00406C78"/>
    <w:rsid w:val="00410BDF"/>
    <w:rsid w:val="00426530"/>
    <w:rsid w:val="0043770E"/>
    <w:rsid w:val="00474C59"/>
    <w:rsid w:val="00482602"/>
    <w:rsid w:val="00492346"/>
    <w:rsid w:val="004C6BBF"/>
    <w:rsid w:val="004D2D6C"/>
    <w:rsid w:val="004E30A0"/>
    <w:rsid w:val="004F4915"/>
    <w:rsid w:val="0050397C"/>
    <w:rsid w:val="00503FF7"/>
    <w:rsid w:val="00504E2F"/>
    <w:rsid w:val="00505092"/>
    <w:rsid w:val="005120A6"/>
    <w:rsid w:val="00521FC3"/>
    <w:rsid w:val="0053276E"/>
    <w:rsid w:val="00567E9C"/>
    <w:rsid w:val="00571676"/>
    <w:rsid w:val="00582E7B"/>
    <w:rsid w:val="005E43C2"/>
    <w:rsid w:val="005F4CD5"/>
    <w:rsid w:val="00604657"/>
    <w:rsid w:val="00606092"/>
    <w:rsid w:val="00610729"/>
    <w:rsid w:val="00616978"/>
    <w:rsid w:val="00623698"/>
    <w:rsid w:val="0062447C"/>
    <w:rsid w:val="00633674"/>
    <w:rsid w:val="00637852"/>
    <w:rsid w:val="00645780"/>
    <w:rsid w:val="0066486A"/>
    <w:rsid w:val="00670BF1"/>
    <w:rsid w:val="006768CD"/>
    <w:rsid w:val="006814F0"/>
    <w:rsid w:val="00690377"/>
    <w:rsid w:val="006B0785"/>
    <w:rsid w:val="006B31DD"/>
    <w:rsid w:val="006D08A3"/>
    <w:rsid w:val="006D3311"/>
    <w:rsid w:val="006D7A09"/>
    <w:rsid w:val="006E19C5"/>
    <w:rsid w:val="006E40D8"/>
    <w:rsid w:val="006E4D73"/>
    <w:rsid w:val="006F43DD"/>
    <w:rsid w:val="00715F0F"/>
    <w:rsid w:val="00720790"/>
    <w:rsid w:val="00726E5C"/>
    <w:rsid w:val="00731E6D"/>
    <w:rsid w:val="007372BE"/>
    <w:rsid w:val="00742B92"/>
    <w:rsid w:val="00745DDD"/>
    <w:rsid w:val="00747B62"/>
    <w:rsid w:val="007639F4"/>
    <w:rsid w:val="00764701"/>
    <w:rsid w:val="007A1C5A"/>
    <w:rsid w:val="007A4AA7"/>
    <w:rsid w:val="007B0156"/>
    <w:rsid w:val="007B0895"/>
    <w:rsid w:val="007B3550"/>
    <w:rsid w:val="007B4FAD"/>
    <w:rsid w:val="007D583F"/>
    <w:rsid w:val="007D64A5"/>
    <w:rsid w:val="007E65F4"/>
    <w:rsid w:val="0080402F"/>
    <w:rsid w:val="00805B7B"/>
    <w:rsid w:val="00810AA0"/>
    <w:rsid w:val="00811ACE"/>
    <w:rsid w:val="00822E4B"/>
    <w:rsid w:val="00822F5B"/>
    <w:rsid w:val="008317FC"/>
    <w:rsid w:val="008349FB"/>
    <w:rsid w:val="0084795D"/>
    <w:rsid w:val="0086041D"/>
    <w:rsid w:val="00866E3B"/>
    <w:rsid w:val="00876F98"/>
    <w:rsid w:val="0088550B"/>
    <w:rsid w:val="008C59DD"/>
    <w:rsid w:val="008C61D3"/>
    <w:rsid w:val="008D0383"/>
    <w:rsid w:val="008D3C22"/>
    <w:rsid w:val="008E24F2"/>
    <w:rsid w:val="008F2B28"/>
    <w:rsid w:val="008F72AA"/>
    <w:rsid w:val="008F77F6"/>
    <w:rsid w:val="009035D5"/>
    <w:rsid w:val="009104E7"/>
    <w:rsid w:val="009252CC"/>
    <w:rsid w:val="00940A91"/>
    <w:rsid w:val="0095777C"/>
    <w:rsid w:val="00957B2D"/>
    <w:rsid w:val="009656A7"/>
    <w:rsid w:val="009758E5"/>
    <w:rsid w:val="009A7A10"/>
    <w:rsid w:val="009C5C1F"/>
    <w:rsid w:val="009F0DB6"/>
    <w:rsid w:val="00A15AB9"/>
    <w:rsid w:val="00A325D1"/>
    <w:rsid w:val="00A33ED6"/>
    <w:rsid w:val="00A3472F"/>
    <w:rsid w:val="00A478E2"/>
    <w:rsid w:val="00A52008"/>
    <w:rsid w:val="00A53BEC"/>
    <w:rsid w:val="00A905DC"/>
    <w:rsid w:val="00A92BF6"/>
    <w:rsid w:val="00A97A8C"/>
    <w:rsid w:val="00AA51AB"/>
    <w:rsid w:val="00AA6A69"/>
    <w:rsid w:val="00AD5458"/>
    <w:rsid w:val="00AD68D5"/>
    <w:rsid w:val="00AE479F"/>
    <w:rsid w:val="00AE772A"/>
    <w:rsid w:val="00AF2B87"/>
    <w:rsid w:val="00AF3B9F"/>
    <w:rsid w:val="00B03AD2"/>
    <w:rsid w:val="00B13D2C"/>
    <w:rsid w:val="00B16526"/>
    <w:rsid w:val="00B26656"/>
    <w:rsid w:val="00B36870"/>
    <w:rsid w:val="00B50F6D"/>
    <w:rsid w:val="00B71359"/>
    <w:rsid w:val="00B71BC8"/>
    <w:rsid w:val="00B745AF"/>
    <w:rsid w:val="00B761B1"/>
    <w:rsid w:val="00B84CD4"/>
    <w:rsid w:val="00B96973"/>
    <w:rsid w:val="00BA29B0"/>
    <w:rsid w:val="00BA6EE3"/>
    <w:rsid w:val="00BB5454"/>
    <w:rsid w:val="00BD4813"/>
    <w:rsid w:val="00BD70D7"/>
    <w:rsid w:val="00BF1715"/>
    <w:rsid w:val="00C31ACD"/>
    <w:rsid w:val="00C50430"/>
    <w:rsid w:val="00CA361D"/>
    <w:rsid w:val="00CA61A2"/>
    <w:rsid w:val="00CA7480"/>
    <w:rsid w:val="00CB3603"/>
    <w:rsid w:val="00CC1C39"/>
    <w:rsid w:val="00CC370F"/>
    <w:rsid w:val="00CD72F6"/>
    <w:rsid w:val="00CE3E3D"/>
    <w:rsid w:val="00CF0116"/>
    <w:rsid w:val="00CF4C80"/>
    <w:rsid w:val="00D14902"/>
    <w:rsid w:val="00D213C5"/>
    <w:rsid w:val="00D268E2"/>
    <w:rsid w:val="00D34C62"/>
    <w:rsid w:val="00D41A7D"/>
    <w:rsid w:val="00D6000B"/>
    <w:rsid w:val="00D92876"/>
    <w:rsid w:val="00DA61D7"/>
    <w:rsid w:val="00DB1404"/>
    <w:rsid w:val="00DB6827"/>
    <w:rsid w:val="00DC0512"/>
    <w:rsid w:val="00DC51D2"/>
    <w:rsid w:val="00DC5FE9"/>
    <w:rsid w:val="00DE2FDA"/>
    <w:rsid w:val="00DE77E9"/>
    <w:rsid w:val="00DF1A60"/>
    <w:rsid w:val="00DF63AA"/>
    <w:rsid w:val="00DF7234"/>
    <w:rsid w:val="00E1143D"/>
    <w:rsid w:val="00E312EE"/>
    <w:rsid w:val="00E35758"/>
    <w:rsid w:val="00E7659E"/>
    <w:rsid w:val="00E82C93"/>
    <w:rsid w:val="00E90863"/>
    <w:rsid w:val="00EA59F0"/>
    <w:rsid w:val="00EA5BEF"/>
    <w:rsid w:val="00EB47D9"/>
    <w:rsid w:val="00EC73B9"/>
    <w:rsid w:val="00ED17C5"/>
    <w:rsid w:val="00EE4843"/>
    <w:rsid w:val="00EE6075"/>
    <w:rsid w:val="00EF5110"/>
    <w:rsid w:val="00F2469E"/>
    <w:rsid w:val="00F250BE"/>
    <w:rsid w:val="00F4222F"/>
    <w:rsid w:val="00F425B7"/>
    <w:rsid w:val="00F56C61"/>
    <w:rsid w:val="00F61526"/>
    <w:rsid w:val="00F643B7"/>
    <w:rsid w:val="00F85F64"/>
    <w:rsid w:val="00F87E48"/>
    <w:rsid w:val="00F96CDB"/>
    <w:rsid w:val="00FB3015"/>
    <w:rsid w:val="00FB4178"/>
    <w:rsid w:val="00FC2608"/>
    <w:rsid w:val="00FD0ADF"/>
    <w:rsid w:val="00FD3F99"/>
    <w:rsid w:val="00FE67C5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A61D7"/>
    <w:pPr>
      <w:keepNext/>
      <w:keepLines/>
      <w:spacing w:before="240" w:after="120"/>
      <w:jc w:val="both"/>
      <w:outlineLvl w:val="0"/>
    </w:pPr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  <w:lang w:eastAsia="en-US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1C761F"/>
    <w:pPr>
      <w:keepNext/>
      <w:keepLines/>
      <w:numPr>
        <w:numId w:val="2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1C761F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A61D7"/>
    <w:pPr>
      <w:spacing w:after="100"/>
    </w:pPr>
  </w:style>
  <w:style w:type="paragraph" w:customStyle="1" w:styleId="Text">
    <w:name w:val="_Text"/>
    <w:basedOn w:val="Normln"/>
    <w:autoRedefine/>
    <w:qFormat/>
    <w:rsid w:val="002E5E00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A61D7"/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56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56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656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6B07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78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78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7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78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A61D7"/>
    <w:pPr>
      <w:keepNext/>
      <w:keepLines/>
      <w:spacing w:before="240" w:after="120"/>
      <w:jc w:val="both"/>
      <w:outlineLvl w:val="0"/>
    </w:pPr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  <w:lang w:eastAsia="en-US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1C761F"/>
    <w:pPr>
      <w:keepNext/>
      <w:keepLines/>
      <w:numPr>
        <w:numId w:val="2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1C761F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A61D7"/>
    <w:pPr>
      <w:spacing w:after="100"/>
    </w:pPr>
  </w:style>
  <w:style w:type="paragraph" w:customStyle="1" w:styleId="Text">
    <w:name w:val="_Text"/>
    <w:basedOn w:val="Normln"/>
    <w:autoRedefine/>
    <w:qFormat/>
    <w:rsid w:val="002E5E00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A61D7"/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56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56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656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6B07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78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78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7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78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26412-6186-4F4A-ACEC-2D3F11B8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</cp:revision>
  <cp:lastPrinted>2019-10-22T06:41:00Z</cp:lastPrinted>
  <dcterms:created xsi:type="dcterms:W3CDTF">2019-10-22T11:56:00Z</dcterms:created>
  <dcterms:modified xsi:type="dcterms:W3CDTF">2019-10-22T12:46:00Z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