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A94EB" w14:textId="105D2836" w:rsidR="00E13CB3" w:rsidRDefault="005F5400" w:rsidP="00E13CB3">
      <w:pPr>
        <w:spacing w:after="0" w:line="240" w:lineRule="auto"/>
        <w:jc w:val="left"/>
      </w:pPr>
      <w:r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 wp14:anchorId="2B99C112" wp14:editId="4E19D7BD">
            <wp:simplePos x="0" y="0"/>
            <wp:positionH relativeFrom="margin">
              <wp:posOffset>3103880</wp:posOffset>
            </wp:positionH>
            <wp:positionV relativeFrom="margin">
              <wp:posOffset>125095</wp:posOffset>
            </wp:positionV>
            <wp:extent cx="3016250" cy="1208405"/>
            <wp:effectExtent l="0" t="0" r="0" b="0"/>
            <wp:wrapTopAndBottom/>
            <wp:docPr id="4" name="Obrázek 4" descr="D:\Users\Obrázky\cf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Obrázky\cff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3F1DABA7" wp14:editId="20036DB0">
            <wp:extent cx="6985" cy="6985"/>
            <wp:effectExtent l="0" t="0" r="0" b="0"/>
            <wp:docPr id="10" name="Obrázek 10" descr="https://d.adroll.com/cm/r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.adroll.com/cm/r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229E650A" wp14:editId="3196E2E9">
            <wp:extent cx="6985" cy="6985"/>
            <wp:effectExtent l="0" t="0" r="0" b="0"/>
            <wp:docPr id="6" name="Obrázek 6" descr="https://d.adroll.com/cm/b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.adroll.com/cm/b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w:drawing>
          <wp:inline distT="0" distB="0" distL="0" distR="0" wp14:anchorId="048BD9EB" wp14:editId="0433B49D">
            <wp:extent cx="6985" cy="6985"/>
            <wp:effectExtent l="0" t="0" r="0" b="0"/>
            <wp:docPr id="2" name="Obrázek 2" descr="https://d.adroll.com/cm/x/out?advertisable=N72QH347HBCTRGBPOMS3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.adroll.com/cm/x/out?advertisable=N72QH347HBCTRGBPOMS34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CB3" w:rsidRPr="00E13CB3">
        <w:rPr>
          <w:rFonts w:ascii="Helvetica" w:eastAsia="Times New Roman" w:hAnsi="Helvetica" w:cs="Helvetica"/>
          <w:noProof/>
          <w:color w:val="000000"/>
          <w:sz w:val="18"/>
          <w:szCs w:val="18"/>
          <w:lang w:eastAsia="cs-CZ"/>
        </w:rPr>
        <mc:AlternateContent>
          <mc:Choice Requires="wps">
            <w:drawing>
              <wp:inline distT="0" distB="0" distL="0" distR="0" wp14:anchorId="4EA48CE7" wp14:editId="19BE57A8">
                <wp:extent cx="6985" cy="6985"/>
                <wp:effectExtent l="0" t="0" r="0" b="0"/>
                <wp:docPr id="1" name="Obdélník 1" descr="https://d.adroll.com/cm/l/out?advertisable=N72QH347HBCTRGBPOMS34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85" cy="6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436BBC" id="Obdélník 1" o:spid="_x0000_s1026" alt="https://d.adroll.com/cm/l/out?advertisable=N72QH347HBCTRGBPOMS34T" style="width:.55pt;height: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" filled="f" stroked="f">
                <o:lock v:ext="edit" aspectratio="t"/>
                <w10:anchorlock/>
              </v:rect>
            </w:pict>
          </mc:Fallback>
        </mc:AlternateContent>
      </w:r>
    </w:p>
    <w:p w14:paraId="255FDD87" w14:textId="1A17712A" w:rsidR="0083236B" w:rsidRDefault="0083236B" w:rsidP="00E13CB3">
      <w:pPr>
        <w:jc w:val="left"/>
      </w:pPr>
    </w:p>
    <w:p w14:paraId="69C25BEE" w14:textId="798D1B98" w:rsidR="0083236B" w:rsidRDefault="0083236B" w:rsidP="00E13CB3">
      <w:pPr>
        <w:jc w:val="left"/>
      </w:pPr>
    </w:p>
    <w:p w14:paraId="604DBC22" w14:textId="77777777" w:rsidR="0083236B" w:rsidRDefault="0083236B" w:rsidP="00827544"/>
    <w:p w14:paraId="3E52AEF9" w14:textId="77777777" w:rsidR="00A5043B" w:rsidRDefault="00A5043B" w:rsidP="00F809DB">
      <w:pPr>
        <w:pStyle w:val="Styl1"/>
      </w:pPr>
    </w:p>
    <w:p w14:paraId="6F431EE3" w14:textId="2A7D1D33" w:rsidR="00A5043B" w:rsidRPr="00A5043B" w:rsidRDefault="00A5043B" w:rsidP="00F809DB">
      <w:pPr>
        <w:pStyle w:val="Styl1"/>
        <w:rPr>
          <w:sz w:val="56"/>
          <w:szCs w:val="56"/>
        </w:rPr>
      </w:pPr>
      <w:r w:rsidRPr="00A5043B">
        <w:rPr>
          <w:sz w:val="56"/>
          <w:szCs w:val="56"/>
        </w:rPr>
        <w:t xml:space="preserve">SYstém </w:t>
      </w:r>
      <w:r w:rsidR="00F21F39" w:rsidRPr="00A5043B">
        <w:rPr>
          <w:sz w:val="56"/>
          <w:szCs w:val="56"/>
        </w:rPr>
        <w:t>ŘÍZENÍ A</w:t>
      </w:r>
      <w:r w:rsidR="00340E02">
        <w:rPr>
          <w:sz w:val="56"/>
          <w:szCs w:val="56"/>
        </w:rPr>
        <w:t> </w:t>
      </w:r>
      <w:r w:rsidR="00F21F39" w:rsidRPr="00A5043B">
        <w:rPr>
          <w:sz w:val="56"/>
          <w:szCs w:val="56"/>
        </w:rPr>
        <w:t>KOO</w:t>
      </w:r>
      <w:r w:rsidR="00F809DB" w:rsidRPr="00A5043B">
        <w:rPr>
          <w:sz w:val="56"/>
          <w:szCs w:val="56"/>
        </w:rPr>
        <w:t xml:space="preserve">RDINACE </w:t>
      </w:r>
    </w:p>
    <w:p w14:paraId="21375C2A" w14:textId="7D04DB01" w:rsidR="00F21F39" w:rsidRPr="00A5043B" w:rsidRDefault="00F809DB" w:rsidP="00F809DB">
      <w:pPr>
        <w:pStyle w:val="Styl1"/>
        <w:rPr>
          <w:sz w:val="56"/>
          <w:szCs w:val="56"/>
        </w:rPr>
      </w:pPr>
      <w:r w:rsidRPr="00A5043B">
        <w:rPr>
          <w:sz w:val="56"/>
          <w:szCs w:val="56"/>
        </w:rPr>
        <w:t>INOVAČNÍ STRATEGIE ČR 2019-</w:t>
      </w:r>
      <w:r w:rsidR="00F21F39" w:rsidRPr="00A5043B">
        <w:rPr>
          <w:sz w:val="56"/>
          <w:szCs w:val="56"/>
        </w:rPr>
        <w:t>2030</w:t>
      </w:r>
    </w:p>
    <w:p w14:paraId="63D77BBE" w14:textId="74EC2BDE" w:rsidR="0083236B" w:rsidRDefault="00F21F39" w:rsidP="00F21F39">
      <w:pPr>
        <w:spacing w:after="200" w:line="276" w:lineRule="auto"/>
        <w:jc w:val="left"/>
      </w:pPr>
      <w:r>
        <w:br w:type="page"/>
      </w:r>
    </w:p>
    <w:bookmarkStart w:id="0" w:name="_Toc20226260" w:displacedByCustomXml="next"/>
    <w:sdt>
      <w:sdtPr>
        <w:rPr>
          <w:rFonts w:asciiTheme="minorHAnsi" w:eastAsia="Times New Roman" w:hAnsiTheme="minorHAnsi"/>
          <w:b w:val="0"/>
          <w:color w:val="auto"/>
          <w:sz w:val="22"/>
          <w:szCs w:val="24"/>
          <w:lang w:eastAsia="cs-CZ"/>
        </w:rPr>
        <w:id w:val="259257290"/>
        <w:docPartObj>
          <w:docPartGallery w:val="Table of Contents"/>
          <w:docPartUnique/>
        </w:docPartObj>
      </w:sdtPr>
      <w:sdtEndPr>
        <w:rPr>
          <w:rFonts w:ascii="Calibri" w:eastAsia="Calibri" w:hAnsi="Calibri"/>
          <w:bCs/>
          <w:szCs w:val="22"/>
          <w:lang w:eastAsia="en-US"/>
        </w:rPr>
      </w:sdtEndPr>
      <w:sdtContent>
        <w:p w14:paraId="5CB3029C" w14:textId="7B52BE52" w:rsidR="00F21F39" w:rsidRDefault="00F21F39" w:rsidP="00F21F39">
          <w:pPr>
            <w:pStyle w:val="Nadpisobsahu"/>
          </w:pPr>
          <w:r>
            <w:t>Obsah</w:t>
          </w:r>
        </w:p>
        <w:p w14:paraId="60AFE119" w14:textId="77777777" w:rsidR="00FA0587" w:rsidRDefault="008F58CB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fldChar w:fldCharType="begin"/>
          </w: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instrText xml:space="preserve"> TOC \o "1-3" </w:instrText>
          </w:r>
          <w:r>
            <w:rPr>
              <w:rFonts w:asciiTheme="minorHAnsi" w:eastAsiaTheme="minorHAnsi" w:hAnsiTheme="minorHAnsi" w:cstheme="minorBidi"/>
              <w:bCs/>
              <w:color w:val="000000" w:themeColor="text1"/>
            </w:rPr>
            <w:fldChar w:fldCharType="separate"/>
          </w:r>
          <w:bookmarkStart w:id="1" w:name="_GoBack"/>
          <w:bookmarkEnd w:id="1"/>
          <w:r w:rsidR="00FA0587">
            <w:t>ÚVOD</w:t>
          </w:r>
          <w:r w:rsidR="00FA0587">
            <w:tab/>
          </w:r>
          <w:r w:rsidR="00FA0587">
            <w:fldChar w:fldCharType="begin"/>
          </w:r>
          <w:r w:rsidR="00FA0587">
            <w:instrText xml:space="preserve"> PAGEREF _Toc26975908 \h </w:instrText>
          </w:r>
          <w:r w:rsidR="00FA0587">
            <w:fldChar w:fldCharType="separate"/>
          </w:r>
          <w:r w:rsidR="00FA0587">
            <w:t>3</w:t>
          </w:r>
          <w:r w:rsidR="00FA0587">
            <w:fldChar w:fldCharType="end"/>
          </w:r>
        </w:p>
        <w:p w14:paraId="565B62CF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t>VAZBA NA národní HOSPODÁŘSKOU STRATEGII 2030</w:t>
          </w:r>
          <w:r>
            <w:tab/>
          </w:r>
          <w:r>
            <w:fldChar w:fldCharType="begin"/>
          </w:r>
          <w:r>
            <w:instrText xml:space="preserve"> PAGEREF _Toc26975909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0AEA7A2A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t>VÝCHODISKA</w:t>
          </w:r>
          <w:r>
            <w:tab/>
          </w:r>
          <w:r>
            <w:fldChar w:fldCharType="begin"/>
          </w:r>
          <w:r>
            <w:instrText xml:space="preserve"> PAGEREF _Toc26975910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605D645D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t>ROLE A INSTITUCIONÁLNÍ ODPOVĚDNOST</w:t>
          </w:r>
          <w:r>
            <w:tab/>
          </w:r>
          <w:r>
            <w:fldChar w:fldCharType="begin"/>
          </w:r>
          <w:r>
            <w:instrText xml:space="preserve"> PAGEREF _Toc26975911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79E02C15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GARANT STRATEGIE</w:t>
          </w:r>
          <w:r>
            <w:tab/>
          </w:r>
          <w:r>
            <w:fldChar w:fldCharType="begin"/>
          </w:r>
          <w:r>
            <w:instrText xml:space="preserve"> PAGEREF _Toc26975912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28081BD7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NÁRODNÍ KOORDINÁTOR INOVAČNÍ STRATEGIE ČR 2030</w:t>
          </w:r>
          <w:r>
            <w:tab/>
          </w:r>
          <w:r>
            <w:fldChar w:fldCharType="begin"/>
          </w:r>
          <w:r>
            <w:instrText xml:space="preserve"> PAGEREF _Toc26975913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5A20C478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GARANT PILÍŘE STRATEGIE</w:t>
          </w:r>
          <w:r>
            <w:tab/>
          </w:r>
          <w:r>
            <w:fldChar w:fldCharType="begin"/>
          </w:r>
          <w:r>
            <w:instrText xml:space="preserve"> PAGEREF _Toc26975914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361E26BB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t>PRACOVNÍ TÝM</w:t>
          </w:r>
          <w:r>
            <w:tab/>
          </w:r>
          <w:r>
            <w:fldChar w:fldCharType="begin"/>
          </w:r>
          <w:r>
            <w:instrText xml:space="preserve"> PAGEREF _Toc26975915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3DC0A66E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PRACOVNÍ SKUPINA INOVAČNÍ STRATEGIE 2030</w:t>
          </w:r>
          <w:r>
            <w:tab/>
          </w:r>
          <w:r>
            <w:fldChar w:fldCharType="begin"/>
          </w:r>
          <w:r>
            <w:instrText xml:space="preserve"> PAGEREF _Toc26975916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22BDA347" w14:textId="77777777" w:rsidR="00FA0587" w:rsidRDefault="00FA0587">
          <w:pPr>
            <w:pStyle w:val="Obsah3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rPr>
              <w:noProof/>
            </w:rPr>
            <w:t>TÝM ANALYTIKŮ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_Toc26975917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602DA20C" w14:textId="77777777" w:rsidR="00FA0587" w:rsidRDefault="00FA0587">
          <w:pPr>
            <w:pStyle w:val="Obsah3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rPr>
              <w:noProof/>
            </w:rPr>
            <w:t>TÝM PRO FINANCOVÁNÍ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_Toc26975918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51AE9C98" w14:textId="77777777" w:rsidR="00FA0587" w:rsidRDefault="00FA0587">
          <w:pPr>
            <w:pStyle w:val="Obsah3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rPr>
              <w:noProof/>
            </w:rPr>
            <w:t>TÝM PRO MARKETING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_Toc26975919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32BA6530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>
            <w:t>NÁSTROJE ŘÍZENÍ</w:t>
          </w:r>
          <w:r>
            <w:tab/>
          </w:r>
          <w:r>
            <w:fldChar w:fldCharType="begin"/>
          </w:r>
          <w:r>
            <w:instrText xml:space="preserve"> PAGEREF _Toc26975920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33C8A07B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Zpráva o realizaci Inovační strategie 2030</w:t>
          </w:r>
          <w:r>
            <w:tab/>
          </w:r>
          <w:r>
            <w:fldChar w:fldCharType="begin"/>
          </w:r>
          <w:r>
            <w:instrText xml:space="preserve"> PAGEREF _Toc26975921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32C15172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Akční plán Inovační strategie ČR 2030</w:t>
          </w:r>
          <w:r>
            <w:tab/>
          </w:r>
          <w:r>
            <w:fldChar w:fldCharType="begin"/>
          </w:r>
          <w:r>
            <w:instrText xml:space="preserve"> PAGEREF _Toc26975922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3D5E562F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 w:rsidRPr="00B95689">
            <w:t>PROJEKTY AKČNÍHO PLÁNU INOVAČNÍ STRATEGIE 2030</w:t>
          </w:r>
          <w:r>
            <w:tab/>
          </w:r>
          <w:r>
            <w:fldChar w:fldCharType="begin"/>
          </w:r>
          <w:r>
            <w:instrText xml:space="preserve"> PAGEREF _Toc26975923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671D25C2" w14:textId="77777777" w:rsidR="00FA0587" w:rsidRDefault="00FA0587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 w:rsidRPr="00B95689">
            <w:t>MĚŘITELNÉ CÍLE INOVAČNÍ STRATEGIE 2030</w:t>
          </w:r>
          <w:r>
            <w:tab/>
          </w:r>
          <w:r>
            <w:fldChar w:fldCharType="begin"/>
          </w:r>
          <w:r>
            <w:instrText xml:space="preserve"> PAGEREF _Toc26975924 \h </w:instrText>
          </w:r>
          <w:r>
            <w:fldChar w:fldCharType="separate"/>
          </w:r>
          <w:r>
            <w:t>10</w:t>
          </w:r>
          <w:r>
            <w:fldChar w:fldCharType="end"/>
          </w:r>
        </w:p>
        <w:p w14:paraId="643E77C3" w14:textId="77777777" w:rsidR="00FA0587" w:rsidRDefault="00FA0587">
          <w:pPr>
            <w:pStyle w:val="Obsah2"/>
            <w:rPr>
              <w:rFonts w:asciiTheme="minorHAnsi" w:eastAsiaTheme="minorEastAsia" w:hAnsiTheme="minorHAnsi" w:cstheme="minorBidi"/>
              <w:i w:val="0"/>
              <w:lang w:eastAsia="cs-CZ"/>
            </w:rPr>
          </w:pPr>
          <w:r>
            <w:t>PŘÍLOHA: Přehled realizovaných projektů a aktivit (ke dni 11. prosince 2019)</w:t>
          </w:r>
          <w:r>
            <w:tab/>
          </w:r>
          <w:r>
            <w:fldChar w:fldCharType="begin"/>
          </w:r>
          <w:r>
            <w:instrText xml:space="preserve"> PAGEREF _Toc26975925 \h </w:instrText>
          </w:r>
          <w:r>
            <w:fldChar w:fldCharType="separate"/>
          </w:r>
          <w:r>
            <w:t>12</w:t>
          </w:r>
          <w:r>
            <w:fldChar w:fldCharType="end"/>
          </w:r>
        </w:p>
        <w:p w14:paraId="66F7C65A" w14:textId="1C084197" w:rsidR="00F21F39" w:rsidRPr="00237658" w:rsidRDefault="008F58CB" w:rsidP="00F21F39">
          <w:r>
            <w:rPr>
              <w:rFonts w:asciiTheme="minorHAnsi" w:eastAsiaTheme="minorHAnsi" w:hAnsiTheme="minorHAnsi" w:cstheme="minorBidi"/>
              <w:bCs/>
              <w:noProof/>
              <w:color w:val="000000" w:themeColor="text1"/>
            </w:rPr>
            <w:fldChar w:fldCharType="end"/>
          </w:r>
        </w:p>
      </w:sdtContent>
    </w:sdt>
    <w:p w14:paraId="4A816A99" w14:textId="7E516775" w:rsidR="00F21F39" w:rsidRDefault="00F21F39" w:rsidP="00F21F39">
      <w:pPr>
        <w:pStyle w:val="Nadpis1"/>
      </w:pPr>
    </w:p>
    <w:p w14:paraId="719FB40C" w14:textId="13FADF8E" w:rsidR="00886B49" w:rsidRDefault="005F5400" w:rsidP="00886B49">
      <w:pPr>
        <w:pStyle w:val="Zhlav"/>
        <w:jc w:val="right"/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17832CB4" wp14:editId="4992067C">
            <wp:simplePos x="0" y="0"/>
            <wp:positionH relativeFrom="margin">
              <wp:posOffset>2995295</wp:posOffset>
            </wp:positionH>
            <wp:positionV relativeFrom="margin">
              <wp:posOffset>8369300</wp:posOffset>
            </wp:positionV>
            <wp:extent cx="937895" cy="887095"/>
            <wp:effectExtent l="0" t="0" r="0" b="8255"/>
            <wp:wrapSquare wrapText="bothSides"/>
            <wp:docPr id="5" name="Obrázek 5" descr="D:\Users\Obrázky\cfccc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Obrázky\cfcccf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D2922" w14:textId="77777777" w:rsidR="00886B49" w:rsidRPr="00886B49" w:rsidRDefault="00886B49" w:rsidP="00886B49">
      <w:pPr>
        <w:sectPr w:rsidR="00886B49" w:rsidRPr="00886B49" w:rsidSect="005F5400">
          <w:head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E34BBE" w14:textId="77777777" w:rsidR="00F21F39" w:rsidRPr="00BD5F8B" w:rsidRDefault="00F21F39" w:rsidP="00F21F39">
      <w:pPr>
        <w:pStyle w:val="Nadpis1"/>
      </w:pPr>
      <w:bookmarkStart w:id="2" w:name="_Toc26975908"/>
      <w:r>
        <w:lastRenderedPageBreak/>
        <w:t>ÚVOD</w:t>
      </w:r>
      <w:bookmarkEnd w:id="2"/>
    </w:p>
    <w:p w14:paraId="3D3D75E1" w14:textId="08AFD2CF" w:rsidR="00A56FF1" w:rsidRPr="00C835F1" w:rsidRDefault="002649D0" w:rsidP="002649D0">
      <w:r w:rsidRPr="00C835F1">
        <w:t xml:space="preserve">Usnesením Vlády ČR ze dne 4. února 2019 č. 104 </w:t>
      </w:r>
      <w:r w:rsidR="00EE14C4">
        <w:t>o</w:t>
      </w:r>
      <w:r w:rsidR="00340E02">
        <w:t> </w:t>
      </w:r>
      <w:r w:rsidRPr="00C835F1">
        <w:t>Inovační strategii</w:t>
      </w:r>
      <w:r w:rsidR="00EE14C4">
        <w:t xml:space="preserve"> </w:t>
      </w:r>
      <w:r w:rsidR="00EE14C4" w:rsidRPr="004D6186">
        <w:t>České republiky</w:t>
      </w:r>
      <w:r w:rsidRPr="00C835F1">
        <w:t xml:space="preserve"> ČR 2019-2030 </w:t>
      </w:r>
      <w:r w:rsidR="00EE14C4">
        <w:t>bylo uloženo</w:t>
      </w:r>
      <w:r w:rsidRPr="00C835F1">
        <w:t xml:space="preserve"> předsedovi RVVI zajistit koordinaci naplňování obsahu </w:t>
      </w:r>
      <w:r>
        <w:t>Inovační strategie ČR 2019</w:t>
      </w:r>
      <w:r w:rsidR="009366C0">
        <w:t>-</w:t>
      </w:r>
      <w:r>
        <w:t>2030 (dále jako „</w:t>
      </w:r>
      <w:r w:rsidRPr="00C835F1">
        <w:t>Strategie</w:t>
      </w:r>
      <w:r w:rsidR="000240CE">
        <w:t>“, nebo „Inovační strategie ČR</w:t>
      </w:r>
      <w:r w:rsidR="00994AA0">
        <w:t xml:space="preserve"> </w:t>
      </w:r>
      <w:r>
        <w:t>2030“</w:t>
      </w:r>
      <w:r w:rsidR="009366C0">
        <w:t>, nebo „IS 2030“</w:t>
      </w:r>
      <w:r>
        <w:t>)</w:t>
      </w:r>
      <w:r w:rsidRPr="00C835F1">
        <w:t xml:space="preserve"> a</w:t>
      </w:r>
      <w:r w:rsidR="00340E02">
        <w:t> </w:t>
      </w:r>
      <w:r w:rsidRPr="00C835F1">
        <w:t>její vyhodnocování.</w:t>
      </w:r>
    </w:p>
    <w:p w14:paraId="6D6ED031" w14:textId="479EFF4D" w:rsidR="002649D0" w:rsidRPr="00C835F1" w:rsidRDefault="002649D0" w:rsidP="002649D0">
      <w:r w:rsidRPr="00C835F1">
        <w:t xml:space="preserve">Práce na realizaci Strategie byly započaty ihned po jejím schválení. Byl jmenován vrcholový tým garantů </w:t>
      </w:r>
      <w:r w:rsidR="009366C0" w:rsidRPr="00C835F1">
        <w:t xml:space="preserve">jednotlivých pilířů Strategie </w:t>
      </w:r>
      <w:r w:rsidRPr="00C835F1">
        <w:t>a</w:t>
      </w:r>
      <w:r w:rsidR="00340E02">
        <w:t> </w:t>
      </w:r>
      <w:r w:rsidRPr="00C835F1">
        <w:t>sestaveny akční plány</w:t>
      </w:r>
      <w:r w:rsidR="009366C0">
        <w:t xml:space="preserve"> těchto pilířů</w:t>
      </w:r>
      <w:r w:rsidRPr="00C835F1">
        <w:t xml:space="preserve">. </w:t>
      </w:r>
    </w:p>
    <w:p w14:paraId="71D88776" w14:textId="710F8884" w:rsidR="002649D0" w:rsidRDefault="002649D0" w:rsidP="002649D0">
      <w:r>
        <w:t>Nastavení systému meziresortní spolupráce</w:t>
      </w:r>
      <w:r w:rsidR="008B328E">
        <w:t xml:space="preserve"> a</w:t>
      </w:r>
      <w:r w:rsidR="00340E02">
        <w:t> </w:t>
      </w:r>
      <w:r w:rsidR="008B328E">
        <w:t>jeho uplatňování při řízení S</w:t>
      </w:r>
      <w:r>
        <w:t xml:space="preserve">trategie zohledňuje </w:t>
      </w:r>
      <w:r w:rsidR="00A56FF1">
        <w:t xml:space="preserve">následující </w:t>
      </w:r>
      <w:r>
        <w:t xml:space="preserve">principy: </w:t>
      </w:r>
    </w:p>
    <w:p w14:paraId="01985C2C" w14:textId="44ED5321" w:rsidR="009366C0" w:rsidRDefault="008B328E" w:rsidP="002649D0">
      <w:pPr>
        <w:pStyle w:val="Odstavecseseznamem"/>
        <w:numPr>
          <w:ilvl w:val="0"/>
          <w:numId w:val="14"/>
        </w:numPr>
      </w:pPr>
      <w:r>
        <w:t>Diverzifikace finančních zdrojů pro realizaci Strategie</w:t>
      </w:r>
      <w:r w:rsidR="002649D0">
        <w:t xml:space="preserve">. </w:t>
      </w:r>
    </w:p>
    <w:p w14:paraId="1AD1B1AE" w14:textId="3B37E7BD" w:rsidR="002649D0" w:rsidRDefault="009366C0" w:rsidP="00057DC3">
      <w:pPr>
        <w:pStyle w:val="Odstavecseseznamem"/>
      </w:pPr>
      <w:r>
        <w:t>Existující</w:t>
      </w:r>
      <w:r w:rsidR="008B328E">
        <w:t xml:space="preserve"> </w:t>
      </w:r>
      <w:r>
        <w:t>i</w:t>
      </w:r>
      <w:r w:rsidR="00340E02">
        <w:t> </w:t>
      </w:r>
      <w:r>
        <w:t xml:space="preserve">vznikající relevantní </w:t>
      </w:r>
      <w:r w:rsidR="008B328E">
        <w:t>zdroje financování</w:t>
      </w:r>
      <w:r>
        <w:t>,</w:t>
      </w:r>
      <w:r w:rsidR="008B328E">
        <w:t xml:space="preserve"> </w:t>
      </w:r>
      <w:r>
        <w:t>a</w:t>
      </w:r>
      <w:r w:rsidR="00340E02">
        <w:t> </w:t>
      </w:r>
      <w:r>
        <w:t xml:space="preserve">to jak </w:t>
      </w:r>
      <w:r w:rsidR="008B328E">
        <w:t>na úrovni EU</w:t>
      </w:r>
      <w:r>
        <w:t xml:space="preserve">, tak na </w:t>
      </w:r>
      <w:r w:rsidR="00994AA0">
        <w:t xml:space="preserve">mezinárodní či </w:t>
      </w:r>
      <w:r>
        <w:t>národní úrovni jsou</w:t>
      </w:r>
      <w:r w:rsidR="00A12EB2">
        <w:t xml:space="preserve"> zakomponovány do strategie</w:t>
      </w:r>
      <w:r>
        <w:t xml:space="preserve"> financování nástrojů </w:t>
      </w:r>
      <w:r w:rsidR="00253140">
        <w:t>Inovační strategie</w:t>
      </w:r>
      <w:r w:rsidR="00994AA0">
        <w:t xml:space="preserve"> </w:t>
      </w:r>
      <w:r>
        <w:t>2030</w:t>
      </w:r>
      <w:r w:rsidR="00662AB1">
        <w:t>.</w:t>
      </w:r>
      <w:r w:rsidR="00A12EB2">
        <w:t xml:space="preserve"> </w:t>
      </w:r>
      <w:r>
        <w:t>B</w:t>
      </w:r>
      <w:r w:rsidR="002649D0">
        <w:t>ude sestaven pracovní tým</w:t>
      </w:r>
      <w:r w:rsidR="00A12EB2">
        <w:t xml:space="preserve">, jehož kontinuální činností bude propojení </w:t>
      </w:r>
      <w:r w:rsidR="002649D0">
        <w:t xml:space="preserve">cílů </w:t>
      </w:r>
      <w:r w:rsidR="00A12EB2">
        <w:t>a</w:t>
      </w:r>
      <w:r w:rsidR="00340E02">
        <w:t> </w:t>
      </w:r>
      <w:r w:rsidR="00A12EB2">
        <w:t xml:space="preserve">nástrojů </w:t>
      </w:r>
      <w:r w:rsidR="002649D0">
        <w:t xml:space="preserve">Strategie </w:t>
      </w:r>
      <w:r w:rsidR="00994AA0">
        <w:t>s</w:t>
      </w:r>
      <w:r w:rsidR="00340E02">
        <w:t> </w:t>
      </w:r>
      <w:r w:rsidR="00A12EB2">
        <w:t>program</w:t>
      </w:r>
      <w:r w:rsidR="00994AA0">
        <w:t>y</w:t>
      </w:r>
      <w:r w:rsidR="00A12EB2">
        <w:t xml:space="preserve"> financovaný</w:t>
      </w:r>
      <w:r w:rsidR="00994AA0">
        <w:t>mi</w:t>
      </w:r>
      <w:r w:rsidR="00A12EB2">
        <w:t xml:space="preserve"> z</w:t>
      </w:r>
      <w:r w:rsidR="00340E02">
        <w:t> </w:t>
      </w:r>
      <w:r w:rsidR="00A12EB2">
        <w:t>ESI</w:t>
      </w:r>
      <w:r>
        <w:t>F</w:t>
      </w:r>
      <w:r w:rsidR="002649D0">
        <w:t xml:space="preserve"> fondů</w:t>
      </w:r>
      <w:r w:rsidR="00A12EB2">
        <w:t xml:space="preserve">, komunitárních </w:t>
      </w:r>
      <w:r w:rsidR="00994AA0">
        <w:t xml:space="preserve">fondů </w:t>
      </w:r>
      <w:r w:rsidR="00A12EB2">
        <w:t>a</w:t>
      </w:r>
      <w:r w:rsidR="00340E02">
        <w:t> </w:t>
      </w:r>
      <w:r>
        <w:t xml:space="preserve">dalších </w:t>
      </w:r>
      <w:r w:rsidR="00A12EB2">
        <w:t xml:space="preserve">fondů EU, stejně jako </w:t>
      </w:r>
      <w:r w:rsidR="00994AA0">
        <w:t>s</w:t>
      </w:r>
      <w:r w:rsidR="00340E02">
        <w:t> </w:t>
      </w:r>
      <w:r w:rsidR="002649D0">
        <w:t>národní</w:t>
      </w:r>
      <w:r w:rsidR="00994AA0">
        <w:t>mi</w:t>
      </w:r>
      <w:r w:rsidR="002649D0">
        <w:t xml:space="preserve"> program</w:t>
      </w:r>
      <w:r w:rsidR="00994AA0">
        <w:t>y</w:t>
      </w:r>
      <w:r w:rsidR="002649D0">
        <w:t xml:space="preserve"> </w:t>
      </w:r>
      <w:r w:rsidR="00A12EB2">
        <w:t>podpor.</w:t>
      </w:r>
    </w:p>
    <w:p w14:paraId="2C81B60E" w14:textId="77777777" w:rsidR="009366C0" w:rsidRDefault="002649D0" w:rsidP="002649D0">
      <w:pPr>
        <w:pStyle w:val="Odstavecseseznamem"/>
        <w:numPr>
          <w:ilvl w:val="0"/>
          <w:numId w:val="14"/>
        </w:numPr>
      </w:pPr>
      <w:r>
        <w:t xml:space="preserve">Minimalizace administrativního zatížení samotným řízením Strategie. </w:t>
      </w:r>
    </w:p>
    <w:p w14:paraId="799A24C4" w14:textId="70063BC0" w:rsidR="002649D0" w:rsidRPr="00057DC3" w:rsidRDefault="002649D0" w:rsidP="00057DC3">
      <w:pPr>
        <w:pStyle w:val="Odstavecseseznamem"/>
        <w:rPr>
          <w:rFonts w:asciiTheme="majorHAnsi" w:hAnsiTheme="majorHAnsi" w:cstheme="majorHAnsi"/>
        </w:rPr>
      </w:pPr>
      <w:r>
        <w:t xml:space="preserve">Systém je </w:t>
      </w:r>
      <w:r w:rsidRPr="00057DC3">
        <w:rPr>
          <w:rFonts w:asciiTheme="majorHAnsi" w:hAnsiTheme="majorHAnsi" w:cstheme="majorHAnsi"/>
        </w:rPr>
        <w:t xml:space="preserve">řízen </w:t>
      </w:r>
      <w:r w:rsidR="00994AA0">
        <w:rPr>
          <w:rFonts w:asciiTheme="majorHAnsi" w:hAnsiTheme="majorHAnsi" w:cstheme="majorHAnsi"/>
        </w:rPr>
        <w:t>hlavní</w:t>
      </w:r>
      <w:r w:rsidR="00994AA0" w:rsidRPr="00057DC3">
        <w:rPr>
          <w:rFonts w:asciiTheme="majorHAnsi" w:hAnsiTheme="majorHAnsi" w:cstheme="majorHAnsi"/>
        </w:rPr>
        <w:t xml:space="preserve"> </w:t>
      </w:r>
      <w:r w:rsidRPr="00057DC3">
        <w:rPr>
          <w:rFonts w:asciiTheme="majorHAnsi" w:hAnsiTheme="majorHAnsi" w:cstheme="majorHAnsi"/>
        </w:rPr>
        <w:t>pracovní skupinou složenou z</w:t>
      </w:r>
      <w:r w:rsidR="00340E02">
        <w:rPr>
          <w:rFonts w:asciiTheme="majorHAnsi" w:hAnsiTheme="majorHAnsi" w:cstheme="majorHAnsi"/>
        </w:rPr>
        <w:t> </w:t>
      </w:r>
      <w:r w:rsidRPr="00057DC3">
        <w:rPr>
          <w:rFonts w:asciiTheme="majorHAnsi" w:hAnsiTheme="majorHAnsi" w:cstheme="majorHAnsi"/>
        </w:rPr>
        <w:t>garantů</w:t>
      </w:r>
      <w:r w:rsidR="009366C0" w:rsidRPr="00057DC3">
        <w:rPr>
          <w:rFonts w:asciiTheme="majorHAnsi" w:hAnsiTheme="majorHAnsi" w:cstheme="majorHAnsi"/>
        </w:rPr>
        <w:t xml:space="preserve"> pilířů</w:t>
      </w:r>
      <w:r w:rsidRPr="00057DC3">
        <w:rPr>
          <w:rFonts w:asciiTheme="majorHAnsi" w:hAnsiTheme="majorHAnsi" w:cstheme="majorHAnsi"/>
        </w:rPr>
        <w:t xml:space="preserve">, </w:t>
      </w:r>
      <w:r w:rsidR="009366C0" w:rsidRPr="00057DC3">
        <w:rPr>
          <w:rFonts w:asciiTheme="majorHAnsi" w:hAnsiTheme="majorHAnsi" w:cstheme="majorHAnsi"/>
        </w:rPr>
        <w:t>a</w:t>
      </w:r>
      <w:r w:rsidR="00340E02">
        <w:rPr>
          <w:rFonts w:asciiTheme="majorHAnsi" w:hAnsiTheme="majorHAnsi" w:cstheme="majorHAnsi"/>
        </w:rPr>
        <w:t> </w:t>
      </w:r>
      <w:r w:rsidR="009366C0" w:rsidRPr="00057DC3">
        <w:rPr>
          <w:rFonts w:asciiTheme="majorHAnsi" w:hAnsiTheme="majorHAnsi" w:cstheme="majorHAnsi"/>
        </w:rPr>
        <w:t xml:space="preserve">jim podřízených </w:t>
      </w:r>
      <w:r w:rsidRPr="00057DC3">
        <w:rPr>
          <w:rFonts w:asciiTheme="majorHAnsi" w:hAnsiTheme="majorHAnsi" w:cstheme="majorHAnsi"/>
        </w:rPr>
        <w:t xml:space="preserve">koordinátorů. Pracovní skupina dále zřizuje tři specializované pracovní týmy zaměřené na </w:t>
      </w:r>
      <w:r w:rsidR="00E87A2E" w:rsidRPr="00057DC3">
        <w:rPr>
          <w:rFonts w:asciiTheme="majorHAnsi" w:hAnsiTheme="majorHAnsi" w:cstheme="majorHAnsi"/>
        </w:rPr>
        <w:t xml:space="preserve">národní </w:t>
      </w:r>
      <w:r w:rsidRPr="00057DC3">
        <w:rPr>
          <w:rFonts w:asciiTheme="majorHAnsi" w:hAnsiTheme="majorHAnsi" w:cstheme="majorHAnsi"/>
        </w:rPr>
        <w:t>analytiku, finanční zdroje a</w:t>
      </w:r>
      <w:r w:rsidR="00340E02">
        <w:rPr>
          <w:rFonts w:asciiTheme="majorHAnsi" w:hAnsiTheme="majorHAnsi" w:cstheme="majorHAnsi"/>
        </w:rPr>
        <w:t> </w:t>
      </w:r>
      <w:r w:rsidRPr="00057DC3">
        <w:rPr>
          <w:rFonts w:asciiTheme="majorHAnsi" w:hAnsiTheme="majorHAnsi" w:cstheme="majorHAnsi"/>
        </w:rPr>
        <w:t>marketing.</w:t>
      </w:r>
    </w:p>
    <w:p w14:paraId="22C6938E" w14:textId="3BA2B958" w:rsidR="009366C0" w:rsidRPr="00057DC3" w:rsidRDefault="009366C0" w:rsidP="00D067E1">
      <w:pPr>
        <w:pStyle w:val="Odstavecseseznamem"/>
        <w:numPr>
          <w:ilvl w:val="0"/>
          <w:numId w:val="14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="00D067E1" w:rsidRPr="00057DC3">
        <w:rPr>
          <w:rFonts w:asciiTheme="majorHAnsi" w:hAnsiTheme="majorHAnsi" w:cstheme="majorHAnsi"/>
        </w:rPr>
        <w:t>polupráce datových analytiků a</w:t>
      </w:r>
      <w:r w:rsidR="00340E02">
        <w:rPr>
          <w:rFonts w:asciiTheme="majorHAnsi" w:hAnsiTheme="majorHAnsi" w:cstheme="majorHAnsi"/>
        </w:rPr>
        <w:t> </w:t>
      </w:r>
      <w:r w:rsidR="00D067E1" w:rsidRPr="00057DC3">
        <w:rPr>
          <w:rFonts w:asciiTheme="majorHAnsi" w:hAnsiTheme="majorHAnsi" w:cstheme="majorHAnsi"/>
        </w:rPr>
        <w:t xml:space="preserve">stratégů napříč státními organizacemi. </w:t>
      </w:r>
    </w:p>
    <w:p w14:paraId="056E6961" w14:textId="3767BE27" w:rsidR="00D067E1" w:rsidRPr="00D067E1" w:rsidRDefault="009366C0" w:rsidP="00057DC3">
      <w:pPr>
        <w:pStyle w:val="Odstavecseseznamem"/>
        <w:spacing w:after="0" w:line="240" w:lineRule="auto"/>
        <w:rPr>
          <w:rFonts w:asciiTheme="minorHAnsi" w:hAnsiTheme="minorHAnsi"/>
        </w:rPr>
      </w:pPr>
      <w:r>
        <w:rPr>
          <w:rFonts w:asciiTheme="majorHAnsi" w:hAnsiTheme="majorHAnsi" w:cstheme="majorHAnsi"/>
        </w:rPr>
        <w:t xml:space="preserve">V rámci řízení </w:t>
      </w:r>
      <w:r w:rsidR="00253140">
        <w:rPr>
          <w:rFonts w:asciiTheme="majorHAnsi" w:hAnsiTheme="majorHAnsi" w:cstheme="majorHAnsi"/>
        </w:rPr>
        <w:t>Inovační strategie</w:t>
      </w:r>
      <w:r w:rsidR="00994AA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2030 je jedním z</w:t>
      </w:r>
      <w:r w:rsidR="00340E02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 xml:space="preserve">cílů </w:t>
      </w:r>
      <w:r w:rsidR="00D067E1" w:rsidRPr="00057DC3">
        <w:rPr>
          <w:rFonts w:asciiTheme="majorHAnsi" w:hAnsiTheme="majorHAnsi" w:cstheme="majorHAnsi"/>
        </w:rPr>
        <w:t>koordinace</w:t>
      </w:r>
      <w:r w:rsidR="0030370A">
        <w:rPr>
          <w:rFonts w:asciiTheme="majorHAnsi" w:hAnsiTheme="majorHAnsi" w:cstheme="majorHAnsi"/>
        </w:rPr>
        <w:t xml:space="preserve"> pilířů Strategie v</w:t>
      </w:r>
      <w:r w:rsidR="00340E02">
        <w:rPr>
          <w:rFonts w:asciiTheme="majorHAnsi" w:hAnsiTheme="majorHAnsi" w:cstheme="majorHAnsi"/>
        </w:rPr>
        <w:t> </w:t>
      </w:r>
      <w:r w:rsidR="0030370A">
        <w:rPr>
          <w:rFonts w:asciiTheme="majorHAnsi" w:hAnsiTheme="majorHAnsi" w:cstheme="majorHAnsi"/>
        </w:rPr>
        <w:t>oblasti</w:t>
      </w:r>
      <w:r w:rsidR="00D067E1" w:rsidRPr="00057DC3">
        <w:rPr>
          <w:rFonts w:asciiTheme="majorHAnsi" w:hAnsiTheme="majorHAnsi" w:cstheme="majorHAnsi"/>
        </w:rPr>
        <w:t xml:space="preserve"> zpracování dat, vyhodnocení</w:t>
      </w:r>
      <w:r w:rsidR="00D067E1" w:rsidRPr="00D067E1">
        <w:rPr>
          <w:rFonts w:asciiTheme="minorHAnsi" w:hAnsiTheme="minorHAnsi"/>
        </w:rPr>
        <w:t xml:space="preserve"> srovnávacích žebříčků, vypracování základních analýz, detailn</w:t>
      </w:r>
      <w:r w:rsidR="0030370A">
        <w:rPr>
          <w:rFonts w:asciiTheme="minorHAnsi" w:hAnsiTheme="minorHAnsi"/>
        </w:rPr>
        <w:t>í</w:t>
      </w:r>
      <w:r w:rsidR="00D067E1" w:rsidRPr="00D067E1">
        <w:rPr>
          <w:rFonts w:asciiTheme="minorHAnsi" w:hAnsiTheme="minorHAnsi"/>
        </w:rPr>
        <w:t xml:space="preserve"> rozbor mezinárodních indexů </w:t>
      </w:r>
      <w:r w:rsidR="0030370A">
        <w:rPr>
          <w:rFonts w:asciiTheme="minorHAnsi" w:hAnsiTheme="minorHAnsi"/>
        </w:rPr>
        <w:t xml:space="preserve">jako je </w:t>
      </w:r>
      <w:proofErr w:type="spellStart"/>
      <w:r w:rsidR="00D067E1" w:rsidRPr="00D067E1">
        <w:rPr>
          <w:rFonts w:asciiTheme="minorHAnsi" w:hAnsiTheme="minorHAnsi"/>
        </w:rPr>
        <w:t>European</w:t>
      </w:r>
      <w:proofErr w:type="spellEnd"/>
      <w:r w:rsidR="00D067E1" w:rsidRPr="00D067E1">
        <w:rPr>
          <w:rFonts w:asciiTheme="minorHAnsi" w:hAnsiTheme="minorHAnsi"/>
        </w:rPr>
        <w:t xml:space="preserve"> </w:t>
      </w:r>
      <w:proofErr w:type="spellStart"/>
      <w:r w:rsidR="00D067E1" w:rsidRPr="00D067E1">
        <w:rPr>
          <w:rFonts w:asciiTheme="minorHAnsi" w:hAnsiTheme="minorHAnsi"/>
        </w:rPr>
        <w:t>Innovation</w:t>
      </w:r>
      <w:proofErr w:type="spellEnd"/>
      <w:r w:rsidR="00D067E1" w:rsidRPr="00D067E1">
        <w:rPr>
          <w:rFonts w:asciiTheme="minorHAnsi" w:hAnsiTheme="minorHAnsi"/>
        </w:rPr>
        <w:t xml:space="preserve"> </w:t>
      </w:r>
      <w:proofErr w:type="spellStart"/>
      <w:r w:rsidR="00D067E1" w:rsidRPr="00D067E1">
        <w:rPr>
          <w:rFonts w:asciiTheme="minorHAnsi" w:hAnsiTheme="minorHAnsi"/>
        </w:rPr>
        <w:t>Scoreboard</w:t>
      </w:r>
      <w:proofErr w:type="spellEnd"/>
      <w:r w:rsidR="00D067E1" w:rsidRPr="00D067E1">
        <w:rPr>
          <w:rFonts w:asciiTheme="minorHAnsi" w:hAnsiTheme="minorHAnsi"/>
        </w:rPr>
        <w:t xml:space="preserve"> (EIS)</w:t>
      </w:r>
      <w:r w:rsidR="0030370A">
        <w:rPr>
          <w:rFonts w:asciiTheme="minorHAnsi" w:hAnsiTheme="minorHAnsi"/>
        </w:rPr>
        <w:t xml:space="preserve"> nebo</w:t>
      </w:r>
      <w:r w:rsidR="00D067E1" w:rsidRPr="00D067E1">
        <w:rPr>
          <w:rFonts w:asciiTheme="minorHAnsi" w:hAnsiTheme="minorHAnsi"/>
        </w:rPr>
        <w:t xml:space="preserve"> </w:t>
      </w:r>
      <w:proofErr w:type="spellStart"/>
      <w:r w:rsidR="00D067E1" w:rsidRPr="00D067E1">
        <w:rPr>
          <w:rFonts w:asciiTheme="minorHAnsi" w:hAnsiTheme="minorHAnsi"/>
        </w:rPr>
        <w:t>Global</w:t>
      </w:r>
      <w:proofErr w:type="spellEnd"/>
      <w:r w:rsidR="00D067E1" w:rsidRPr="00D067E1">
        <w:rPr>
          <w:rFonts w:asciiTheme="minorHAnsi" w:hAnsiTheme="minorHAnsi"/>
        </w:rPr>
        <w:t xml:space="preserve"> </w:t>
      </w:r>
      <w:proofErr w:type="spellStart"/>
      <w:r w:rsidR="00D067E1" w:rsidRPr="00D067E1">
        <w:rPr>
          <w:rFonts w:asciiTheme="minorHAnsi" w:hAnsiTheme="minorHAnsi"/>
        </w:rPr>
        <w:t>Innovation</w:t>
      </w:r>
      <w:proofErr w:type="spellEnd"/>
      <w:r w:rsidR="00D067E1" w:rsidRPr="00D067E1">
        <w:rPr>
          <w:rFonts w:asciiTheme="minorHAnsi" w:hAnsiTheme="minorHAnsi"/>
        </w:rPr>
        <w:t xml:space="preserve"> Index (GII), které jsou </w:t>
      </w:r>
      <w:r w:rsidR="0030370A">
        <w:rPr>
          <w:rFonts w:asciiTheme="minorHAnsi" w:hAnsiTheme="minorHAnsi"/>
        </w:rPr>
        <w:t>zásadní</w:t>
      </w:r>
      <w:r w:rsidR="0030370A" w:rsidRPr="00D067E1">
        <w:rPr>
          <w:rFonts w:asciiTheme="minorHAnsi" w:hAnsiTheme="minorHAnsi"/>
        </w:rPr>
        <w:t xml:space="preserve"> </w:t>
      </w:r>
      <w:r w:rsidR="00D067E1" w:rsidRPr="00D067E1">
        <w:rPr>
          <w:rFonts w:asciiTheme="minorHAnsi" w:hAnsiTheme="minorHAnsi"/>
        </w:rPr>
        <w:t>pro další rozhod</w:t>
      </w:r>
      <w:r w:rsidR="00057DC3">
        <w:rPr>
          <w:rFonts w:asciiTheme="minorHAnsi" w:hAnsiTheme="minorHAnsi"/>
        </w:rPr>
        <w:t>ování o</w:t>
      </w:r>
      <w:r w:rsidR="00340E02">
        <w:rPr>
          <w:rFonts w:asciiTheme="minorHAnsi" w:hAnsiTheme="minorHAnsi"/>
        </w:rPr>
        <w:t> </w:t>
      </w:r>
      <w:r w:rsidR="00057DC3">
        <w:rPr>
          <w:rFonts w:asciiTheme="minorHAnsi" w:hAnsiTheme="minorHAnsi"/>
        </w:rPr>
        <w:t>volbě opatření</w:t>
      </w:r>
      <w:r w:rsidR="00D067E1" w:rsidRPr="00D067E1">
        <w:rPr>
          <w:rFonts w:asciiTheme="minorHAnsi" w:hAnsiTheme="minorHAnsi"/>
        </w:rPr>
        <w:t>, ale zejména</w:t>
      </w:r>
      <w:r w:rsidR="0030370A">
        <w:rPr>
          <w:rFonts w:asciiTheme="minorHAnsi" w:hAnsiTheme="minorHAnsi"/>
        </w:rPr>
        <w:t xml:space="preserve"> při</w:t>
      </w:r>
      <w:r w:rsidR="00D067E1" w:rsidRPr="00D067E1">
        <w:rPr>
          <w:rFonts w:asciiTheme="minorHAnsi" w:hAnsiTheme="minorHAnsi"/>
        </w:rPr>
        <w:t xml:space="preserve"> </w:t>
      </w:r>
      <w:r w:rsidR="0030370A">
        <w:rPr>
          <w:rFonts w:asciiTheme="minorHAnsi" w:hAnsiTheme="minorHAnsi"/>
        </w:rPr>
        <w:t>nastavení</w:t>
      </w:r>
      <w:r w:rsidR="0030370A" w:rsidRPr="00D067E1">
        <w:rPr>
          <w:rFonts w:asciiTheme="minorHAnsi" w:hAnsiTheme="minorHAnsi"/>
        </w:rPr>
        <w:t xml:space="preserve"> </w:t>
      </w:r>
      <w:r w:rsidR="00D067E1" w:rsidRPr="00D067E1">
        <w:rPr>
          <w:rFonts w:asciiTheme="minorHAnsi" w:hAnsiTheme="minorHAnsi"/>
        </w:rPr>
        <w:t>národních indikátorů pro měření Inovační strategie ČR</w:t>
      </w:r>
      <w:r w:rsidR="0030370A">
        <w:rPr>
          <w:rFonts w:asciiTheme="minorHAnsi" w:hAnsiTheme="minorHAnsi"/>
        </w:rPr>
        <w:t xml:space="preserve"> 2030</w:t>
      </w:r>
      <w:r w:rsidR="00D067E1" w:rsidRPr="00D067E1">
        <w:rPr>
          <w:rFonts w:asciiTheme="minorHAnsi" w:hAnsiTheme="minorHAnsi"/>
        </w:rPr>
        <w:t xml:space="preserve">. </w:t>
      </w:r>
    </w:p>
    <w:p w14:paraId="28D0FBE3" w14:textId="19DCFEAC" w:rsidR="001414A3" w:rsidRDefault="001414A3" w:rsidP="001414A3">
      <w:pPr>
        <w:pStyle w:val="Nadpis1"/>
      </w:pPr>
      <w:bookmarkStart w:id="3" w:name="_Toc26975909"/>
      <w:r>
        <w:t xml:space="preserve">VAZBA NA </w:t>
      </w:r>
      <w:r w:rsidR="00EA5B5E">
        <w:t xml:space="preserve">národní </w:t>
      </w:r>
      <w:r>
        <w:t>HOSPODÁŘSKOU STRATEGII 2030</w:t>
      </w:r>
      <w:bookmarkEnd w:id="3"/>
    </w:p>
    <w:p w14:paraId="36C7C4AD" w14:textId="63538C2E" w:rsidR="001414A3" w:rsidRDefault="00EA5B5E" w:rsidP="001414A3">
      <w:r>
        <w:t>Národní h</w:t>
      </w:r>
      <w:r w:rsidR="001414A3">
        <w:t xml:space="preserve">ospodářská strategie ČR 2030 představí </w:t>
      </w:r>
      <w:r>
        <w:t xml:space="preserve">hospodářskou </w:t>
      </w:r>
      <w:r w:rsidR="001414A3">
        <w:t>vizi ČR</w:t>
      </w:r>
      <w:r>
        <w:t xml:space="preserve"> pro příštích 10 let</w:t>
      </w:r>
      <w:r w:rsidR="00422AB0">
        <w:t xml:space="preserve"> a</w:t>
      </w:r>
      <w:r w:rsidR="00340E02">
        <w:t> </w:t>
      </w:r>
      <w:r w:rsidR="00422AB0">
        <w:t xml:space="preserve">bude </w:t>
      </w:r>
      <w:r w:rsidR="001414A3">
        <w:t>podstatně provázána s</w:t>
      </w:r>
      <w:r w:rsidR="00340E02">
        <w:t> </w:t>
      </w:r>
      <w:r w:rsidR="001414A3">
        <w:t>Inovační strategií</w:t>
      </w:r>
      <w:r w:rsidR="00422AB0">
        <w:t xml:space="preserve"> 2030</w:t>
      </w:r>
      <w:r w:rsidR="001414A3">
        <w:t>. V</w:t>
      </w:r>
      <w:r w:rsidR="00340E02">
        <w:t> </w:t>
      </w:r>
      <w:r w:rsidR="001414A3">
        <w:t xml:space="preserve">rámci přípravy </w:t>
      </w:r>
      <w:r w:rsidR="00422AB0">
        <w:t>Národní h</w:t>
      </w:r>
      <w:r w:rsidR="001414A3">
        <w:t xml:space="preserve">ospodářské strategie </w:t>
      </w:r>
      <w:r w:rsidR="00057DC3">
        <w:t xml:space="preserve">již </w:t>
      </w:r>
      <w:r w:rsidR="001414A3">
        <w:t>probíh</w:t>
      </w:r>
      <w:r w:rsidR="00422AB0">
        <w:t>á</w:t>
      </w:r>
      <w:r w:rsidR="001414A3">
        <w:t xml:space="preserve"> úzká koordinace </w:t>
      </w:r>
      <w:r w:rsidR="00422AB0">
        <w:t>a</w:t>
      </w:r>
      <w:r w:rsidR="00340E02">
        <w:t> </w:t>
      </w:r>
      <w:r w:rsidR="00422AB0">
        <w:t xml:space="preserve">spolupráce garantů řešících </w:t>
      </w:r>
      <w:r w:rsidR="001414A3">
        <w:t>obě</w:t>
      </w:r>
      <w:r w:rsidR="00422AB0">
        <w:t xml:space="preserve"> </w:t>
      </w:r>
      <w:r w:rsidR="001414A3">
        <w:t>strategie.</w:t>
      </w:r>
    </w:p>
    <w:p w14:paraId="7AE5E50B" w14:textId="77777777" w:rsidR="003746E4" w:rsidRDefault="003746E4" w:rsidP="00F21F39">
      <w:pPr>
        <w:pStyle w:val="Nadpis1"/>
        <w:sectPr w:rsidR="003746E4" w:rsidSect="00D067E1">
          <w:headerReference w:type="default" r:id="rId16"/>
          <w:footerReference w:type="default" r:id="rId17"/>
          <w:headerReference w:type="first" r:id="rId18"/>
          <w:pgSz w:w="11906" w:h="16838"/>
          <w:pgMar w:top="1418" w:right="1134" w:bottom="1134" w:left="1134" w:header="567" w:footer="794" w:gutter="0"/>
          <w:cols w:space="708"/>
          <w:titlePg/>
          <w:docGrid w:linePitch="360"/>
        </w:sectPr>
      </w:pPr>
    </w:p>
    <w:p w14:paraId="50582B9F" w14:textId="5058D4BB" w:rsidR="00F21F39" w:rsidRDefault="008F58CB" w:rsidP="00F21F39">
      <w:pPr>
        <w:pStyle w:val="Nadpis1"/>
      </w:pPr>
      <w:bookmarkStart w:id="4" w:name="_Toc26975910"/>
      <w:r>
        <w:lastRenderedPageBreak/>
        <w:t>VÝCHODISKA</w:t>
      </w:r>
      <w:bookmarkEnd w:id="4"/>
    </w:p>
    <w:p w14:paraId="26E138FE" w14:textId="60B031A6" w:rsidR="008B328E" w:rsidRDefault="008B328E" w:rsidP="008B328E">
      <w:r>
        <w:t>Strategie definuje vizi</w:t>
      </w:r>
      <w:r w:rsidR="00422AB0">
        <w:t>,</w:t>
      </w:r>
      <w:r>
        <w:t xml:space="preserve"> stanovuje cíl</w:t>
      </w:r>
      <w:r w:rsidR="00422AB0">
        <w:t>e, kterých chce ČR dosáhnout prostřednictvím</w:t>
      </w:r>
      <w:r w:rsidR="00057DC3">
        <w:t xml:space="preserve"> inovací</w:t>
      </w:r>
      <w:r w:rsidR="00422AB0">
        <w:t xml:space="preserve"> a</w:t>
      </w:r>
      <w:r w:rsidR="00340E02">
        <w:t> </w:t>
      </w:r>
      <w:r w:rsidR="00A12EB2">
        <w:t xml:space="preserve">vymezuje časový rámec pro </w:t>
      </w:r>
      <w:r w:rsidR="00422AB0">
        <w:t xml:space="preserve">jejich </w:t>
      </w:r>
      <w:r w:rsidR="00A12EB2">
        <w:t xml:space="preserve">dosažení </w:t>
      </w:r>
      <w:r>
        <w:t>– období 2019</w:t>
      </w:r>
      <w:r w:rsidR="00422AB0">
        <w:t xml:space="preserve"> </w:t>
      </w:r>
      <w:r>
        <w:t>–</w:t>
      </w:r>
      <w:r w:rsidR="00422AB0">
        <w:t xml:space="preserve"> </w:t>
      </w:r>
      <w:r>
        <w:t xml:space="preserve">2030. Strategie je členěna do 9 </w:t>
      </w:r>
      <w:r w:rsidR="00422AB0">
        <w:t>p</w:t>
      </w:r>
      <w:r>
        <w:t>ilířů, které představují oblasti vyžadující soustředěný, systematický a</w:t>
      </w:r>
      <w:r w:rsidR="00340E02">
        <w:t> </w:t>
      </w:r>
      <w:r>
        <w:t>koordinovaný postup státní správy při přípravě, realizaci a</w:t>
      </w:r>
      <w:r w:rsidR="00340E02">
        <w:t> </w:t>
      </w:r>
      <w:r>
        <w:t>další</w:t>
      </w:r>
      <w:r w:rsidR="00422AB0">
        <w:t>m</w:t>
      </w:r>
      <w:r>
        <w:t xml:space="preserve"> rozvoj</w:t>
      </w:r>
      <w:r w:rsidR="00422AB0">
        <w:t>i</w:t>
      </w:r>
      <w:r>
        <w:t xml:space="preserve"> </w:t>
      </w:r>
      <w:r w:rsidR="00422AB0">
        <w:t>n</w:t>
      </w:r>
      <w:r>
        <w:t>ástrojů, vymezených v</w:t>
      </w:r>
      <w:r w:rsidR="00340E02">
        <w:t> </w:t>
      </w:r>
      <w:r>
        <w:t xml:space="preserve">každém </w:t>
      </w:r>
      <w:r w:rsidR="00422AB0">
        <w:t>p</w:t>
      </w:r>
      <w:r>
        <w:t>ilíři Strategie.</w:t>
      </w:r>
    </w:p>
    <w:p w14:paraId="23A8AFC7" w14:textId="3AC68BD5" w:rsidR="00A56FF1" w:rsidRDefault="008003D7" w:rsidP="008B328E">
      <w:r>
        <w:t>Podstata</w:t>
      </w:r>
      <w:r w:rsidR="00A56FF1">
        <w:t xml:space="preserve"> Inovační strategie ČR 2030 spočívá v</w:t>
      </w:r>
      <w:r w:rsidR="00340E02">
        <w:t> </w:t>
      </w:r>
      <w:r w:rsidR="00A56FF1">
        <w:t xml:space="preserve">průniku </w:t>
      </w:r>
      <w:r>
        <w:t>resortních koncepcí a</w:t>
      </w:r>
      <w:r w:rsidR="00340E02">
        <w:t> </w:t>
      </w:r>
      <w:r>
        <w:t>strategií, kterými stát definuje konkrétní cíle v</w:t>
      </w:r>
      <w:r w:rsidR="00340E02">
        <w:t> </w:t>
      </w:r>
      <w:r>
        <w:t xml:space="preserve">oblastech jako digitalizace, strategie </w:t>
      </w:r>
      <w:r w:rsidR="00422AB0">
        <w:t xml:space="preserve">chytré </w:t>
      </w:r>
      <w:r>
        <w:t>specializace,</w:t>
      </w:r>
      <w:r w:rsidR="00422AB0">
        <w:t xml:space="preserve"> infrastruktura, ochrana duševního vlastnictví</w:t>
      </w:r>
      <w:r>
        <w:t xml:space="preserve"> a</w:t>
      </w:r>
      <w:r w:rsidR="00340E02">
        <w:t> </w:t>
      </w:r>
      <w:r w:rsidR="00422AB0">
        <w:t>dalších</w:t>
      </w:r>
      <w:r>
        <w:t>. Jednotlivé pilíře pak představují soubor opatření v</w:t>
      </w:r>
      <w:r w:rsidR="00340E02">
        <w:t> </w:t>
      </w:r>
      <w:r>
        <w:t>konkrétní problematické oblasti, přičemž skutečně klíčové a</w:t>
      </w:r>
      <w:r w:rsidR="00340E02">
        <w:t> </w:t>
      </w:r>
      <w:r>
        <w:t xml:space="preserve">průřezové nástroje protínají více </w:t>
      </w:r>
      <w:r w:rsidR="00422AB0">
        <w:t>p</w:t>
      </w:r>
      <w:r>
        <w:t>ilířů.</w:t>
      </w:r>
    </w:p>
    <w:p w14:paraId="1B0FA28B" w14:textId="2DCF3B49" w:rsidR="008B328E" w:rsidRDefault="008B328E" w:rsidP="008B328E">
      <w:r>
        <w:t>Ze struktury Strategie</w:t>
      </w:r>
      <w:r w:rsidR="008003D7">
        <w:t>,</w:t>
      </w:r>
      <w:r>
        <w:t xml:space="preserve"> </w:t>
      </w:r>
      <w:r w:rsidR="008003D7">
        <w:t>a</w:t>
      </w:r>
      <w:r w:rsidR="00340E02">
        <w:t> </w:t>
      </w:r>
      <w:r w:rsidR="008003D7">
        <w:t xml:space="preserve">z její podstaty, </w:t>
      </w:r>
      <w:r>
        <w:t>vychází i</w:t>
      </w:r>
      <w:r w:rsidR="00340E02">
        <w:t> </w:t>
      </w:r>
      <w:r>
        <w:t>jednoduchý a</w:t>
      </w:r>
      <w:r w:rsidR="00340E02">
        <w:t> </w:t>
      </w:r>
      <w:r>
        <w:t>komplexní systém řízení a</w:t>
      </w:r>
      <w:r w:rsidR="00340E02">
        <w:t> </w:t>
      </w:r>
      <w:r>
        <w:t xml:space="preserve">koordinace Strategie. </w:t>
      </w:r>
      <w:r w:rsidR="00422AB0">
        <w:t>Ten s</w:t>
      </w:r>
      <w:r>
        <w:t xml:space="preserve">tanovuje </w:t>
      </w:r>
      <w:r w:rsidR="00422AB0">
        <w:rPr>
          <w:b/>
        </w:rPr>
        <w:t>i</w:t>
      </w:r>
      <w:r w:rsidRPr="00A07466">
        <w:rPr>
          <w:b/>
        </w:rPr>
        <w:t>nstitucionální odpovědnost</w:t>
      </w:r>
      <w:r>
        <w:t xml:space="preserve"> konkrétní</w:t>
      </w:r>
      <w:r w:rsidR="00422AB0">
        <w:t>ho</w:t>
      </w:r>
      <w:r>
        <w:t xml:space="preserve"> orgán</w:t>
      </w:r>
      <w:r w:rsidR="00422AB0">
        <w:t>u</w:t>
      </w:r>
      <w:r>
        <w:t xml:space="preserve"> státní správy za plnění Strategie jako celku a</w:t>
      </w:r>
      <w:r w:rsidR="00340E02">
        <w:t> </w:t>
      </w:r>
      <w:r w:rsidR="00422AB0">
        <w:t>jednotlivých p</w:t>
      </w:r>
      <w:r>
        <w:t xml:space="preserve">ilířů </w:t>
      </w:r>
      <w:r w:rsidR="005A30EB">
        <w:t>S</w:t>
      </w:r>
      <w:r>
        <w:t xml:space="preserve">trategie. Na příslušných </w:t>
      </w:r>
      <w:r w:rsidR="00422AB0">
        <w:t xml:space="preserve">rezortech či státních institucích </w:t>
      </w:r>
      <w:r>
        <w:t>bude výkon této role v</w:t>
      </w:r>
      <w:r w:rsidR="00340E02">
        <w:t> </w:t>
      </w:r>
      <w:r>
        <w:t>potřebném rozsahu zohledněn v</w:t>
      </w:r>
      <w:r w:rsidR="00340E02">
        <w:t> </w:t>
      </w:r>
      <w:r>
        <w:t>organizační struktuře, potažmo v</w:t>
      </w:r>
      <w:r w:rsidR="00340E02">
        <w:t> </w:t>
      </w:r>
      <w:r>
        <w:t>konkrétních pracovních náplních služebních</w:t>
      </w:r>
      <w:r w:rsidR="000F36DA">
        <w:t>, nebo pracovních</w:t>
      </w:r>
      <w:r>
        <w:t xml:space="preserve"> míst.</w:t>
      </w:r>
    </w:p>
    <w:p w14:paraId="0A705AFD" w14:textId="748F19CD" w:rsidR="00F54608" w:rsidRDefault="008B328E" w:rsidP="008B328E">
      <w:pPr>
        <w:rPr>
          <w:b/>
        </w:rPr>
      </w:pPr>
      <w:r>
        <w:t xml:space="preserve">Pro výkon </w:t>
      </w:r>
      <w:r w:rsidR="00F54608">
        <w:t>i</w:t>
      </w:r>
      <w:r>
        <w:t xml:space="preserve">nstitucionální odpovědnosti jsou stanoveny </w:t>
      </w:r>
      <w:r w:rsidR="00F54608">
        <w:t xml:space="preserve">tři </w:t>
      </w:r>
      <w:r>
        <w:t>základní role</w:t>
      </w:r>
      <w:r w:rsidR="00F54608">
        <w:t>, které jsou blíže specifikovány níže</w:t>
      </w:r>
      <w:r>
        <w:t>.</w:t>
      </w:r>
      <w:r w:rsidRPr="006F0F0E">
        <w:rPr>
          <w:b/>
        </w:rPr>
        <w:t xml:space="preserve"> </w:t>
      </w:r>
    </w:p>
    <w:p w14:paraId="1F0C34CA" w14:textId="7594F4E0" w:rsidR="006F0F0E" w:rsidRDefault="008F58CB" w:rsidP="008F58CB">
      <w:pPr>
        <w:pStyle w:val="Nadpis1"/>
        <w:spacing w:before="360"/>
      </w:pPr>
      <w:bookmarkStart w:id="5" w:name="_Toc26975911"/>
      <w:r>
        <w:t>ROLE A</w:t>
      </w:r>
      <w:r w:rsidR="00340E02">
        <w:t> </w:t>
      </w:r>
      <w:r>
        <w:t>INSTITUCIONÁLNÍ ODPOVĚDNOST</w:t>
      </w:r>
      <w:bookmarkEnd w:id="5"/>
    </w:p>
    <w:p w14:paraId="3251DC56" w14:textId="27EB6C7B" w:rsidR="00F21F39" w:rsidRDefault="00F21F39" w:rsidP="008F58CB">
      <w:pPr>
        <w:pStyle w:val="Nadpis2"/>
        <w:spacing w:before="120"/>
      </w:pPr>
      <w:bookmarkStart w:id="6" w:name="_Toc26975912"/>
      <w:r>
        <w:t>GARANT STRAT</w:t>
      </w:r>
      <w:r w:rsidR="00E87A2E">
        <w:t>E</w:t>
      </w:r>
      <w:r>
        <w:t>GIE</w:t>
      </w:r>
      <w:bookmarkEnd w:id="6"/>
    </w:p>
    <w:p w14:paraId="647BEEDF" w14:textId="71682E95" w:rsidR="00FB5AE5" w:rsidRDefault="0020045E" w:rsidP="00FB5AE5">
      <w:r>
        <w:t xml:space="preserve">Koncepčním a řídicím </w:t>
      </w:r>
      <w:r w:rsidR="0042045D">
        <w:t>G</w:t>
      </w:r>
      <w:r>
        <w:t xml:space="preserve">arantem Inovační strategie ČR 2030 je Rada pro výzkum, vývoj a inovace. </w:t>
      </w:r>
      <w:r w:rsidR="00340E02">
        <w:t> </w:t>
      </w:r>
      <w:r>
        <w:t xml:space="preserve">Výkonnou a koordinační roli v rámci implementace Strategie má v gesci </w:t>
      </w:r>
      <w:r w:rsidR="00F21F39" w:rsidRPr="00F85752">
        <w:rPr>
          <w:b/>
        </w:rPr>
        <w:t>Ministerstv</w:t>
      </w:r>
      <w:r>
        <w:rPr>
          <w:b/>
        </w:rPr>
        <w:t>o</w:t>
      </w:r>
      <w:r w:rsidR="00F21F39" w:rsidRPr="00F85752">
        <w:rPr>
          <w:b/>
        </w:rPr>
        <w:t xml:space="preserve"> průmyslu a</w:t>
      </w:r>
      <w:r w:rsidR="00340E02">
        <w:rPr>
          <w:b/>
        </w:rPr>
        <w:t> </w:t>
      </w:r>
      <w:r w:rsidR="00F21F39" w:rsidRPr="00F85752">
        <w:rPr>
          <w:b/>
        </w:rPr>
        <w:t>obchodu</w:t>
      </w:r>
      <w:r w:rsidR="00F21F39">
        <w:t>.</w:t>
      </w:r>
    </w:p>
    <w:tbl>
      <w:tblPr>
        <w:tblStyle w:val="Mkatabulky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17"/>
        <w:gridCol w:w="4896"/>
      </w:tblGrid>
      <w:tr w:rsidR="00FB5AE5" w:rsidRPr="00FB5AE5" w14:paraId="4877EF45" w14:textId="77777777" w:rsidTr="00ED7F4F">
        <w:tc>
          <w:tcPr>
            <w:tcW w:w="709" w:type="dxa"/>
            <w:vAlign w:val="bottom"/>
          </w:tcPr>
          <w:p w14:paraId="5C189ACE" w14:textId="35E55B6A" w:rsidR="00FB5AE5" w:rsidRPr="00FB5AE5" w:rsidRDefault="00FB5AE5" w:rsidP="00FB5AE5">
            <w:pPr>
              <w:spacing w:after="0"/>
              <w:jc w:val="righ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KOD</w:t>
            </w:r>
          </w:p>
        </w:tc>
        <w:tc>
          <w:tcPr>
            <w:tcW w:w="2617" w:type="dxa"/>
            <w:vAlign w:val="bottom"/>
          </w:tcPr>
          <w:p w14:paraId="36F7AAFA" w14:textId="2C986689" w:rsidR="00FB5AE5" w:rsidRPr="00FB5AE5" w:rsidRDefault="00FB5AE5" w:rsidP="00FB5AE5">
            <w:pPr>
              <w:spacing w:after="0"/>
              <w:jc w:val="lef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STRATEGIE</w:t>
            </w:r>
          </w:p>
        </w:tc>
        <w:tc>
          <w:tcPr>
            <w:tcW w:w="4896" w:type="dxa"/>
            <w:vAlign w:val="bottom"/>
          </w:tcPr>
          <w:p w14:paraId="56670000" w14:textId="411239E3" w:rsidR="00FB5AE5" w:rsidRPr="00FB5AE5" w:rsidRDefault="00FB5AE5" w:rsidP="00FB5AE5">
            <w:pPr>
              <w:spacing w:after="0"/>
              <w:jc w:val="left"/>
              <w:rPr>
                <w:sz w:val="14"/>
              </w:rPr>
            </w:pPr>
            <w:r w:rsidRPr="00FB5AE5">
              <w:rPr>
                <w:b/>
                <w:color w:val="004B8D" w:themeColor="text2"/>
                <w:sz w:val="14"/>
              </w:rPr>
              <w:t>INSTITUCE</w:t>
            </w:r>
          </w:p>
        </w:tc>
      </w:tr>
      <w:tr w:rsidR="00FB5AE5" w:rsidRPr="00FB5AE5" w14:paraId="07A1C7D5" w14:textId="77777777" w:rsidTr="00ED7F4F">
        <w:tc>
          <w:tcPr>
            <w:tcW w:w="709" w:type="dxa"/>
            <w:tcBorders>
              <w:top w:val="single" w:sz="6" w:space="0" w:color="4DC9FF" w:themeColor="accent3" w:themeTint="99"/>
            </w:tcBorders>
            <w:vAlign w:val="center"/>
          </w:tcPr>
          <w:p w14:paraId="389D73F6" w14:textId="06EBFA07" w:rsidR="00FB5AE5" w:rsidRPr="00FB5AE5" w:rsidRDefault="00FB5AE5" w:rsidP="00FB5AE5">
            <w:pPr>
              <w:spacing w:after="0"/>
              <w:jc w:val="right"/>
              <w:rPr>
                <w:sz w:val="16"/>
              </w:rPr>
            </w:pPr>
            <w:r w:rsidRPr="00ED7F4F">
              <w:rPr>
                <w:color w:val="000000"/>
                <w:sz w:val="12"/>
              </w:rPr>
              <w:t>IS2030</w:t>
            </w:r>
          </w:p>
        </w:tc>
        <w:tc>
          <w:tcPr>
            <w:tcW w:w="2617" w:type="dxa"/>
            <w:tcBorders>
              <w:top w:val="single" w:sz="6" w:space="0" w:color="4DC9FF" w:themeColor="accent3" w:themeTint="99"/>
            </w:tcBorders>
            <w:vAlign w:val="center"/>
          </w:tcPr>
          <w:p w14:paraId="0B7679DD" w14:textId="79A55F11" w:rsidR="00FB5AE5" w:rsidRPr="00FB5AE5" w:rsidRDefault="00FB5AE5" w:rsidP="00FB5AE5">
            <w:pPr>
              <w:spacing w:after="0"/>
              <w:jc w:val="left"/>
              <w:rPr>
                <w:sz w:val="16"/>
              </w:rPr>
            </w:pPr>
            <w:r w:rsidRPr="00FB5AE5">
              <w:rPr>
                <w:sz w:val="16"/>
              </w:rPr>
              <w:t>Inovační strategie ČR 2030</w:t>
            </w:r>
          </w:p>
        </w:tc>
        <w:tc>
          <w:tcPr>
            <w:tcW w:w="4896" w:type="dxa"/>
            <w:tcBorders>
              <w:top w:val="single" w:sz="6" w:space="0" w:color="4DC9FF" w:themeColor="accent3" w:themeTint="99"/>
            </w:tcBorders>
            <w:vAlign w:val="center"/>
          </w:tcPr>
          <w:p w14:paraId="5B2DD06D" w14:textId="6DDF578F" w:rsidR="00FB5AE5" w:rsidRPr="00FB5AE5" w:rsidRDefault="00FB5AE5" w:rsidP="00340E02">
            <w:pPr>
              <w:spacing w:after="0"/>
              <w:jc w:val="left"/>
              <w:rPr>
                <w:sz w:val="16"/>
              </w:rPr>
            </w:pPr>
            <w:r w:rsidRPr="00FB5AE5">
              <w:rPr>
                <w:sz w:val="16"/>
              </w:rPr>
              <w:t>Ministerstvo průmyslu a</w:t>
            </w:r>
            <w:r w:rsidR="00340E02">
              <w:rPr>
                <w:sz w:val="16"/>
              </w:rPr>
              <w:t> </w:t>
            </w:r>
            <w:r w:rsidRPr="00FB5AE5">
              <w:rPr>
                <w:sz w:val="16"/>
              </w:rPr>
              <w:t>obchodu</w:t>
            </w:r>
          </w:p>
        </w:tc>
      </w:tr>
    </w:tbl>
    <w:p w14:paraId="58607C5F" w14:textId="2A2BB796" w:rsidR="006F0F0E" w:rsidRDefault="006F0F0E" w:rsidP="008F58CB">
      <w:pPr>
        <w:pStyle w:val="Nadpis2"/>
      </w:pPr>
      <w:bookmarkStart w:id="7" w:name="_Toc26975913"/>
      <w:r>
        <w:t>NÁRODNÍ KOOR</w:t>
      </w:r>
      <w:r w:rsidR="00F85752">
        <w:t>DINÁTOR INOVAČNÍ STRATEGIE ČR</w:t>
      </w:r>
      <w:r>
        <w:t xml:space="preserve"> 2030</w:t>
      </w:r>
      <w:bookmarkEnd w:id="7"/>
    </w:p>
    <w:p w14:paraId="04BE36FD" w14:textId="05CEB172" w:rsidR="00F85752" w:rsidRPr="00667F6D" w:rsidRDefault="00F85752" w:rsidP="00F8575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Pro účely koordinace </w:t>
      </w:r>
      <w:r w:rsidR="0020045E">
        <w:rPr>
          <w:rFonts w:asciiTheme="minorHAnsi" w:hAnsiTheme="minorHAnsi"/>
        </w:rPr>
        <w:t>implementačního procesu</w:t>
      </w:r>
      <w:r w:rsidR="0020045E" w:rsidRPr="00667F6D">
        <w:rPr>
          <w:rFonts w:asciiTheme="minorHAnsi" w:hAnsiTheme="minorHAnsi"/>
        </w:rPr>
        <w:t xml:space="preserve"> </w:t>
      </w:r>
      <w:r w:rsidRPr="00667F6D">
        <w:rPr>
          <w:rFonts w:asciiTheme="minorHAnsi" w:hAnsiTheme="minorHAnsi"/>
        </w:rPr>
        <w:t xml:space="preserve">Strategie jako celku </w:t>
      </w:r>
      <w:r w:rsidR="005A30EB">
        <w:rPr>
          <w:rFonts w:asciiTheme="minorHAnsi" w:hAnsiTheme="minorHAnsi"/>
        </w:rPr>
        <w:t>a</w:t>
      </w:r>
      <w:r w:rsidR="00340E02">
        <w:rPr>
          <w:rFonts w:asciiTheme="minorHAnsi" w:hAnsiTheme="minorHAnsi"/>
        </w:rPr>
        <w:t> </w:t>
      </w:r>
      <w:r w:rsidR="005A30EB">
        <w:rPr>
          <w:rFonts w:asciiTheme="minorHAnsi" w:hAnsiTheme="minorHAnsi"/>
        </w:rPr>
        <w:t>k zajištění jednotného a</w:t>
      </w:r>
      <w:r w:rsidR="00340E02">
        <w:rPr>
          <w:rFonts w:asciiTheme="minorHAnsi" w:hAnsiTheme="minorHAnsi"/>
        </w:rPr>
        <w:t> </w:t>
      </w:r>
      <w:r w:rsidR="005A30EB">
        <w:rPr>
          <w:rFonts w:asciiTheme="minorHAnsi" w:hAnsiTheme="minorHAnsi"/>
        </w:rPr>
        <w:t>koordinovaného postupu v</w:t>
      </w:r>
      <w:r w:rsidR="00340E02">
        <w:rPr>
          <w:rFonts w:asciiTheme="minorHAnsi" w:hAnsiTheme="minorHAnsi"/>
        </w:rPr>
        <w:t> </w:t>
      </w:r>
      <w:r w:rsidR="005A30EB">
        <w:rPr>
          <w:rFonts w:asciiTheme="minorHAnsi" w:hAnsiTheme="minorHAnsi"/>
        </w:rPr>
        <w:t xml:space="preserve">klíčových oblastech jako je financování, analytická činnost či marketingová komunikace </w:t>
      </w:r>
      <w:r w:rsidRPr="00667F6D">
        <w:rPr>
          <w:rFonts w:asciiTheme="minorHAnsi" w:hAnsiTheme="minorHAnsi"/>
        </w:rPr>
        <w:t xml:space="preserve">je </w:t>
      </w:r>
      <w:r w:rsidR="00DF4D49">
        <w:rPr>
          <w:rFonts w:asciiTheme="minorHAnsi" w:hAnsiTheme="minorHAnsi"/>
        </w:rPr>
        <w:t xml:space="preserve">na úrovni Ministerstva průmyslu a obchodu </w:t>
      </w:r>
      <w:r w:rsidRPr="00667F6D">
        <w:rPr>
          <w:rFonts w:asciiTheme="minorHAnsi" w:hAnsiTheme="minorHAnsi"/>
        </w:rPr>
        <w:t xml:space="preserve">ustaven </w:t>
      </w:r>
      <w:r w:rsidRPr="00667F6D">
        <w:rPr>
          <w:rFonts w:asciiTheme="minorHAnsi" w:hAnsiTheme="minorHAnsi"/>
          <w:b/>
        </w:rPr>
        <w:t>Národní koordinátor inovační strategie</w:t>
      </w:r>
      <w:r w:rsidR="005A30EB">
        <w:rPr>
          <w:rFonts w:asciiTheme="minorHAnsi" w:hAnsiTheme="minorHAnsi"/>
          <w:b/>
        </w:rPr>
        <w:t xml:space="preserve">. </w:t>
      </w:r>
      <w:r w:rsidR="005A30EB">
        <w:rPr>
          <w:rFonts w:asciiTheme="minorHAnsi" w:hAnsiTheme="minorHAnsi"/>
        </w:rPr>
        <w:t xml:space="preserve">Role Národního koordinátora inovační strategie spočívá </w:t>
      </w:r>
      <w:r w:rsidRPr="00667F6D">
        <w:rPr>
          <w:rFonts w:asciiTheme="minorHAnsi" w:hAnsiTheme="minorHAnsi"/>
        </w:rPr>
        <w:t>zejména v</w:t>
      </w:r>
      <w:r w:rsidR="00340E02">
        <w:rPr>
          <w:rFonts w:asciiTheme="minorHAnsi" w:hAnsiTheme="minorHAnsi"/>
        </w:rPr>
        <w:t> </w:t>
      </w:r>
      <w:r w:rsidR="00F54608">
        <w:rPr>
          <w:rFonts w:asciiTheme="minorHAnsi" w:hAnsiTheme="minorHAnsi"/>
        </w:rPr>
        <w:t>následujících činnostech</w:t>
      </w:r>
      <w:r w:rsidRPr="00667F6D">
        <w:rPr>
          <w:rFonts w:asciiTheme="minorHAnsi" w:hAnsiTheme="minorHAnsi"/>
        </w:rPr>
        <w:t>:</w:t>
      </w:r>
    </w:p>
    <w:p w14:paraId="1050329F" w14:textId="7BDF9AD2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svolávání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řízení Pracovní skupiny </w:t>
      </w:r>
      <w:r w:rsidR="00EE14C4" w:rsidRPr="004D40AF">
        <w:rPr>
          <w:rFonts w:asciiTheme="majorHAnsi" w:hAnsiTheme="majorHAnsi" w:cstheme="majorHAnsi"/>
        </w:rPr>
        <w:t>Inovační strategie</w:t>
      </w:r>
      <w:r w:rsidR="005A30EB" w:rsidRPr="004D40AF">
        <w:rPr>
          <w:rFonts w:asciiTheme="majorHAnsi" w:hAnsiTheme="majorHAnsi" w:cstheme="majorHAnsi"/>
        </w:rPr>
        <w:t xml:space="preserve"> ČR</w:t>
      </w:r>
      <w:r w:rsidRPr="00667F6D">
        <w:rPr>
          <w:rFonts w:asciiTheme="minorHAnsi" w:hAnsiTheme="minorHAnsi"/>
        </w:rPr>
        <w:t xml:space="preserve"> 2030,</w:t>
      </w:r>
    </w:p>
    <w:p w14:paraId="6FB2C5C4" w14:textId="77777777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koordinaci činností Týmů pracovní skupiny,</w:t>
      </w:r>
    </w:p>
    <w:p w14:paraId="3859DF66" w14:textId="4EE3B1C4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řízení jednotného marketingu Strategie a</w:t>
      </w:r>
      <w:r w:rsidR="00340E02">
        <w:rPr>
          <w:rFonts w:asciiTheme="minorHAnsi" w:hAnsiTheme="minorHAnsi"/>
        </w:rPr>
        <w:t> </w:t>
      </w:r>
      <w:r w:rsidR="005A30EB">
        <w:rPr>
          <w:rFonts w:asciiTheme="minorHAnsi" w:hAnsiTheme="minorHAnsi"/>
        </w:rPr>
        <w:t xml:space="preserve">implementace </w:t>
      </w:r>
      <w:r w:rsidRPr="00667F6D">
        <w:rPr>
          <w:rFonts w:asciiTheme="minorHAnsi" w:hAnsiTheme="minorHAnsi"/>
        </w:rPr>
        <w:t>značky</w:t>
      </w:r>
      <w:r w:rsidR="00A5043B">
        <w:rPr>
          <w:rFonts w:asciiTheme="minorHAnsi" w:hAnsiTheme="minorHAnsi"/>
        </w:rPr>
        <w:t xml:space="preserve"> </w:t>
      </w:r>
      <w:r w:rsidR="00116BFB">
        <w:rPr>
          <w:rFonts w:asciiTheme="minorHAnsi" w:hAnsiTheme="minorHAnsi"/>
        </w:rPr>
        <w:t>„</w:t>
      </w:r>
      <w:r w:rsidR="00A5043B">
        <w:rPr>
          <w:rFonts w:asciiTheme="minorHAnsi" w:hAnsiTheme="minorHAnsi"/>
        </w:rPr>
        <w:t>Czech R</w:t>
      </w:r>
      <w:r w:rsidR="00EE14C4" w:rsidRPr="004D6186">
        <w:rPr>
          <w:rFonts w:asciiTheme="minorHAnsi" w:hAnsiTheme="minorHAnsi"/>
        </w:rPr>
        <w:t>epublic:</w:t>
      </w:r>
      <w:r w:rsidRPr="00667F6D">
        <w:rPr>
          <w:rFonts w:asciiTheme="minorHAnsi" w:hAnsiTheme="minorHAnsi"/>
        </w:rPr>
        <w:t xml:space="preserve"> </w:t>
      </w:r>
      <w:proofErr w:type="spellStart"/>
      <w:r w:rsidR="00F54608">
        <w:rPr>
          <w:rFonts w:asciiTheme="minorHAnsi" w:hAnsiTheme="minorHAnsi"/>
        </w:rPr>
        <w:t>The</w:t>
      </w:r>
      <w:proofErr w:type="spellEnd"/>
      <w:r w:rsidR="00F54608">
        <w:rPr>
          <w:rFonts w:asciiTheme="minorHAnsi" w:hAnsiTheme="minorHAnsi"/>
        </w:rPr>
        <w:t xml:space="preserve"> </w:t>
      </w:r>
      <w:r w:rsidRPr="00667F6D">
        <w:rPr>
          <w:rFonts w:asciiTheme="minorHAnsi" w:hAnsiTheme="minorHAnsi"/>
        </w:rPr>
        <w:t xml:space="preserve">Country </w:t>
      </w:r>
      <w:proofErr w:type="spellStart"/>
      <w:r w:rsidRPr="00667F6D">
        <w:rPr>
          <w:rFonts w:asciiTheme="minorHAnsi" w:hAnsiTheme="minorHAnsi"/>
        </w:rPr>
        <w:t>for</w:t>
      </w:r>
      <w:proofErr w:type="spellEnd"/>
      <w:r w:rsidRPr="00667F6D">
        <w:rPr>
          <w:rFonts w:asciiTheme="minorHAnsi" w:hAnsiTheme="minorHAnsi"/>
        </w:rPr>
        <w:t xml:space="preserve"> </w:t>
      </w:r>
      <w:proofErr w:type="spellStart"/>
      <w:r w:rsidRPr="00667F6D">
        <w:rPr>
          <w:rFonts w:asciiTheme="minorHAnsi" w:hAnsiTheme="minorHAnsi"/>
        </w:rPr>
        <w:t>the</w:t>
      </w:r>
      <w:proofErr w:type="spellEnd"/>
      <w:r w:rsidRPr="00667F6D">
        <w:rPr>
          <w:rFonts w:asciiTheme="minorHAnsi" w:hAnsiTheme="minorHAnsi"/>
        </w:rPr>
        <w:t xml:space="preserve"> </w:t>
      </w:r>
      <w:proofErr w:type="spellStart"/>
      <w:r w:rsidRPr="00667F6D">
        <w:rPr>
          <w:rFonts w:asciiTheme="minorHAnsi" w:hAnsiTheme="minorHAnsi"/>
        </w:rPr>
        <w:t>Future</w:t>
      </w:r>
      <w:proofErr w:type="spellEnd"/>
      <w:r w:rsidR="00116BFB">
        <w:rPr>
          <w:rFonts w:asciiTheme="minorHAnsi" w:hAnsiTheme="minorHAnsi"/>
        </w:rPr>
        <w:t>“</w:t>
      </w:r>
      <w:r w:rsidRPr="00667F6D">
        <w:rPr>
          <w:rFonts w:asciiTheme="minorHAnsi" w:hAnsiTheme="minorHAnsi"/>
        </w:rPr>
        <w:t>,</w:t>
      </w:r>
    </w:p>
    <w:p w14:paraId="6ADC14CF" w14:textId="5A4223A7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koordinaci změn</w:t>
      </w:r>
      <w:r w:rsidR="00E87A2E" w:rsidRPr="00667F6D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="00E87A2E" w:rsidRPr="00667F6D">
        <w:rPr>
          <w:rFonts w:asciiTheme="minorHAnsi" w:hAnsiTheme="minorHAnsi"/>
        </w:rPr>
        <w:t>aktualizací</w:t>
      </w:r>
      <w:r w:rsidRPr="00667F6D">
        <w:rPr>
          <w:rFonts w:asciiTheme="minorHAnsi" w:hAnsiTheme="minorHAnsi"/>
        </w:rPr>
        <w:t xml:space="preserve"> obsahu Strategie,</w:t>
      </w:r>
    </w:p>
    <w:p w14:paraId="1817315A" w14:textId="1D896115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konsolidaci, </w:t>
      </w:r>
      <w:r w:rsidR="00E87A2E" w:rsidRPr="00667F6D">
        <w:rPr>
          <w:rFonts w:asciiTheme="minorHAnsi" w:hAnsiTheme="minorHAnsi"/>
        </w:rPr>
        <w:t>pravidelné aktualizaci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úpravě akčních plánů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jejich předkládání ke schválení Radě vlády pro výzkum, vývoj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inovace (</w:t>
      </w:r>
      <w:r w:rsidR="00EE14C4">
        <w:rPr>
          <w:rFonts w:asciiTheme="minorHAnsi" w:hAnsiTheme="minorHAnsi"/>
        </w:rPr>
        <w:t xml:space="preserve">dále jen </w:t>
      </w:r>
      <w:r w:rsidRPr="00667F6D">
        <w:rPr>
          <w:rFonts w:asciiTheme="minorHAnsi" w:hAnsiTheme="minorHAnsi"/>
        </w:rPr>
        <w:t>RVVI)</w:t>
      </w:r>
      <w:r w:rsidR="005A30EB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="005A30EB">
        <w:rPr>
          <w:rFonts w:asciiTheme="minorHAnsi" w:hAnsiTheme="minorHAnsi"/>
        </w:rPr>
        <w:t>vládě ČR</w:t>
      </w:r>
      <w:r w:rsidRPr="00667F6D">
        <w:rPr>
          <w:rFonts w:asciiTheme="minorHAnsi" w:hAnsiTheme="minorHAnsi"/>
        </w:rPr>
        <w:t>,</w:t>
      </w:r>
    </w:p>
    <w:p w14:paraId="4CCD0FC1" w14:textId="49099E62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návrhu nastavení metodiky kontroly vyhodnocování postupu realizace</w:t>
      </w:r>
      <w:r w:rsidR="00E87A2E" w:rsidRPr="00667F6D">
        <w:rPr>
          <w:rFonts w:asciiTheme="minorHAnsi" w:hAnsiTheme="minorHAnsi"/>
        </w:rPr>
        <w:t xml:space="preserve"> akčních plánů a</w:t>
      </w:r>
      <w:r w:rsidR="00340E02">
        <w:rPr>
          <w:rFonts w:asciiTheme="minorHAnsi" w:hAnsiTheme="minorHAnsi"/>
        </w:rPr>
        <w:t> </w:t>
      </w:r>
      <w:r w:rsidR="00E87A2E" w:rsidRPr="00667F6D">
        <w:rPr>
          <w:rFonts w:asciiTheme="minorHAnsi" w:hAnsiTheme="minorHAnsi"/>
        </w:rPr>
        <w:t>naplňování Strategie</w:t>
      </w:r>
      <w:r w:rsidRPr="00667F6D">
        <w:rPr>
          <w:rFonts w:asciiTheme="minorHAnsi" w:hAnsiTheme="minorHAnsi"/>
        </w:rPr>
        <w:t xml:space="preserve">, </w:t>
      </w:r>
    </w:p>
    <w:p w14:paraId="0DBB654F" w14:textId="01ED0DF4" w:rsidR="00F85752" w:rsidRPr="00667F6D" w:rsidRDefault="00F85752" w:rsidP="00F85752">
      <w:pPr>
        <w:pStyle w:val="Odstavecseseznamem"/>
        <w:numPr>
          <w:ilvl w:val="0"/>
          <w:numId w:val="11"/>
        </w:numPr>
        <w:spacing w:after="160" w:line="293" w:lineRule="auto"/>
        <w:rPr>
          <w:rFonts w:asciiTheme="minorHAnsi" w:hAnsiTheme="minorHAnsi"/>
        </w:rPr>
      </w:pPr>
      <w:r w:rsidRPr="00667F6D">
        <w:rPr>
          <w:rFonts w:asciiTheme="minorHAnsi" w:hAnsiTheme="minorHAnsi"/>
        </w:rPr>
        <w:t>dalších činnost</w:t>
      </w:r>
      <w:r w:rsidR="005A30EB">
        <w:rPr>
          <w:rFonts w:asciiTheme="minorHAnsi" w:hAnsiTheme="minorHAnsi"/>
        </w:rPr>
        <w:t>ech</w:t>
      </w:r>
      <w:r w:rsidRPr="00667F6D">
        <w:rPr>
          <w:rFonts w:asciiTheme="minorHAnsi" w:hAnsiTheme="minorHAnsi"/>
        </w:rPr>
        <w:t xml:space="preserve"> spojených s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průřezovými tématy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koncepcemi.</w:t>
      </w:r>
    </w:p>
    <w:p w14:paraId="09144608" w14:textId="77777777" w:rsidR="00F21F39" w:rsidRDefault="00F21F39" w:rsidP="008F58CB">
      <w:pPr>
        <w:pStyle w:val="Nadpis2"/>
      </w:pPr>
      <w:bookmarkStart w:id="8" w:name="_Toc26975914"/>
      <w:r>
        <w:lastRenderedPageBreak/>
        <w:t>GARANT PILÍŘE STRATEGIE</w:t>
      </w:r>
      <w:bookmarkEnd w:id="8"/>
    </w:p>
    <w:p w14:paraId="69CF5A13" w14:textId="78015B3D" w:rsidR="00E14890" w:rsidRDefault="00F85752" w:rsidP="00E14890">
      <w:r>
        <w:t>K</w:t>
      </w:r>
      <w:r w:rsidR="00E14890">
        <w:t>aždý pilíř Strate</w:t>
      </w:r>
      <w:r w:rsidR="00687424">
        <w:t xml:space="preserve">gie je řízen konkrétní institucí, </w:t>
      </w:r>
      <w:r w:rsidR="005A30EB">
        <w:t>která nominuje svého zástupce do role Garanta pilíře</w:t>
      </w:r>
      <w:r w:rsidR="00BD0F9C">
        <w:t>. Role Garanta pilíře spočívá v</w:t>
      </w:r>
      <w:r w:rsidR="00340E02">
        <w:t> </w:t>
      </w:r>
      <w:r w:rsidR="00BD0F9C">
        <w:t>řízení obsahové stránky Strategie</w:t>
      </w:r>
      <w:r w:rsidR="00B325D3">
        <w:t xml:space="preserve"> </w:t>
      </w:r>
      <w:r w:rsidR="00BD0F9C">
        <w:t>v</w:t>
      </w:r>
      <w:r w:rsidR="00340E02">
        <w:t> </w:t>
      </w:r>
      <w:r w:rsidR="00B325D3">
        <w:t>oblasti vymezené daným pilířem a</w:t>
      </w:r>
      <w:r w:rsidR="00340E02">
        <w:t> </w:t>
      </w:r>
      <w:r w:rsidR="00BD0F9C">
        <w:t>iniciaci a</w:t>
      </w:r>
      <w:r w:rsidR="00340E02">
        <w:t> </w:t>
      </w:r>
      <w:r w:rsidR="00BD0F9C">
        <w:t>koordinaci činností</w:t>
      </w:r>
      <w:r w:rsidR="00B325D3">
        <w:t xml:space="preserve"> při plnění dílčích úkolů Strategie mezi jednotlivými pilíři.</w:t>
      </w:r>
      <w:r w:rsidR="005A30EB">
        <w:t xml:space="preserve"> </w:t>
      </w:r>
      <w:r w:rsidR="00687424">
        <w:t>Pro dosažení udržitelného fungování spolupráce</w:t>
      </w:r>
      <w:r w:rsidR="00B325D3">
        <w:t xml:space="preserve"> na realizaci Strategie</w:t>
      </w:r>
      <w:r w:rsidR="00687424">
        <w:t xml:space="preserve"> je nezbytné promítnout </w:t>
      </w:r>
      <w:r w:rsidR="00B325D3">
        <w:t xml:space="preserve">roli Garantů pilířů </w:t>
      </w:r>
      <w:r w:rsidR="00687424">
        <w:t>v</w:t>
      </w:r>
      <w:r w:rsidR="00340E02">
        <w:t> </w:t>
      </w:r>
      <w:r w:rsidR="00B325D3">
        <w:t xml:space="preserve">potřebném </w:t>
      </w:r>
      <w:r w:rsidR="00687424">
        <w:t>rozsahu do organizační struktury a</w:t>
      </w:r>
      <w:r w:rsidR="00340E02">
        <w:t> </w:t>
      </w:r>
      <w:r w:rsidR="00687424">
        <w:t xml:space="preserve">pracovních náplní </w:t>
      </w:r>
      <w:r w:rsidR="00B325D3">
        <w:t xml:space="preserve">konkrétních </w:t>
      </w:r>
      <w:r w:rsidR="00687424">
        <w:t xml:space="preserve">zaměstnanců </w:t>
      </w:r>
      <w:r w:rsidR="00B325D3">
        <w:t xml:space="preserve">daných </w:t>
      </w:r>
      <w:r w:rsidR="00687424">
        <w:t>institucí.</w:t>
      </w:r>
    </w:p>
    <w:p w14:paraId="52BF7B72" w14:textId="23A0DA9B" w:rsidR="00E14890" w:rsidRDefault="00E14890" w:rsidP="00E14890">
      <w:r>
        <w:t>Instituci</w:t>
      </w:r>
      <w:r w:rsidR="00687424">
        <w:t>on</w:t>
      </w:r>
      <w:r w:rsidR="00C861EA">
        <w:t>ální odpovědnost (</w:t>
      </w:r>
      <w:r w:rsidR="00F54608">
        <w:t xml:space="preserve">a vymezení </w:t>
      </w:r>
      <w:r w:rsidR="00C861EA">
        <w:t>Garant</w:t>
      </w:r>
      <w:r w:rsidR="00F54608">
        <w:t>a</w:t>
      </w:r>
      <w:r w:rsidR="00C861EA">
        <w:t xml:space="preserve"> </w:t>
      </w:r>
      <w:r w:rsidR="00F54608">
        <w:t>p</w:t>
      </w:r>
      <w:r w:rsidR="00C861EA">
        <w:t>ilíře Strategie) za řízení a</w:t>
      </w:r>
      <w:r w:rsidR="00340E02">
        <w:t> </w:t>
      </w:r>
      <w:r w:rsidR="00C861EA">
        <w:t>koordinaci naplňování obsahu a</w:t>
      </w:r>
      <w:r w:rsidR="00340E02">
        <w:t> </w:t>
      </w:r>
      <w:r w:rsidR="00C861EA">
        <w:t xml:space="preserve">cílů </w:t>
      </w:r>
      <w:r w:rsidR="00F54608">
        <w:t>jednotlivých p</w:t>
      </w:r>
      <w:r>
        <w:t>ilíř</w:t>
      </w:r>
      <w:r w:rsidR="00F54608">
        <w:t>ů</w:t>
      </w:r>
      <w:r>
        <w:t xml:space="preserve"> Strategie</w:t>
      </w:r>
      <w:r w:rsidR="00C861EA">
        <w:t xml:space="preserve"> je v</w:t>
      </w:r>
      <w:r w:rsidR="00340E02">
        <w:t> </w:t>
      </w:r>
      <w:r w:rsidR="00C861EA">
        <w:t>gesci</w:t>
      </w:r>
      <w:r w:rsidR="00F54608">
        <w:t xml:space="preserve"> následujících institucí</w:t>
      </w:r>
      <w:r>
        <w:t>:</w:t>
      </w:r>
    </w:p>
    <w:tbl>
      <w:tblPr>
        <w:tblStyle w:val="Prosttabulka41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12"/>
        <w:gridCol w:w="4207"/>
        <w:gridCol w:w="4678"/>
      </w:tblGrid>
      <w:tr w:rsidR="00EE14C4" w:rsidRPr="00D358B2" w14:paraId="25C5788E" w14:textId="77777777" w:rsidTr="004D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</w:tcPr>
          <w:p w14:paraId="5257CE6C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4B8D" w:themeColor="text2"/>
                <w:sz w:val="14"/>
              </w:rPr>
            </w:pPr>
            <w:r w:rsidRPr="00D358B2">
              <w:rPr>
                <w:rFonts w:ascii="Arial" w:hAnsi="Arial" w:cs="Arial"/>
                <w:color w:val="004B8D" w:themeColor="text2"/>
                <w:sz w:val="14"/>
              </w:rPr>
              <w:t>KOD</w:t>
            </w:r>
          </w:p>
        </w:tc>
        <w:tc>
          <w:tcPr>
            <w:tcW w:w="4207" w:type="dxa"/>
            <w:noWrap/>
            <w:vAlign w:val="center"/>
          </w:tcPr>
          <w:p w14:paraId="0D96F5DB" w14:textId="77777777" w:rsidR="00EE14C4" w:rsidRPr="00D358B2" w:rsidRDefault="00EE14C4" w:rsidP="00EE14C4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4B8D" w:themeColor="text2"/>
                <w:sz w:val="14"/>
              </w:rPr>
            </w:pPr>
            <w:r w:rsidRPr="00D358B2">
              <w:rPr>
                <w:rFonts w:ascii="Arial" w:hAnsi="Arial" w:cs="Arial"/>
                <w:color w:val="004B8D" w:themeColor="text2"/>
                <w:sz w:val="14"/>
              </w:rPr>
              <w:t>PÍLÍŘ</w:t>
            </w:r>
          </w:p>
        </w:tc>
        <w:tc>
          <w:tcPr>
            <w:tcW w:w="4678" w:type="dxa"/>
            <w:vAlign w:val="center"/>
          </w:tcPr>
          <w:p w14:paraId="73628642" w14:textId="77777777" w:rsidR="00EE14C4" w:rsidRPr="00D358B2" w:rsidRDefault="00EE14C4" w:rsidP="00EE14C4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4B8D" w:themeColor="text2"/>
                <w:sz w:val="14"/>
              </w:rPr>
            </w:pPr>
            <w:r w:rsidRPr="00D358B2">
              <w:rPr>
                <w:rFonts w:ascii="Arial" w:hAnsi="Arial" w:cs="Arial"/>
                <w:color w:val="004B8D" w:themeColor="text2"/>
                <w:sz w:val="14"/>
              </w:rPr>
              <w:t>INSTITUCE</w:t>
            </w:r>
          </w:p>
        </w:tc>
      </w:tr>
      <w:tr w:rsidR="00EE14C4" w:rsidRPr="00D358B2" w14:paraId="499DC055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23AEACB0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P01</w:t>
            </w:r>
          </w:p>
        </w:tc>
        <w:tc>
          <w:tcPr>
            <w:tcW w:w="4207" w:type="dxa"/>
            <w:noWrap/>
            <w:vAlign w:val="center"/>
            <w:hideMark/>
          </w:tcPr>
          <w:p w14:paraId="7F23B240" w14:textId="1B95C4E3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R</w:t>
            </w:r>
            <w:r w:rsidRPr="00483762">
              <w:rPr>
                <w:rFonts w:ascii="Arial" w:hAnsi="Arial" w:cs="Arial"/>
                <w:b/>
                <w:color w:val="000000"/>
                <w:sz w:val="16"/>
              </w:rPr>
              <w:t>&amp;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>D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: Financování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hodnocení výzkumu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vývoje</w:t>
            </w:r>
          </w:p>
        </w:tc>
        <w:tc>
          <w:tcPr>
            <w:tcW w:w="4678" w:type="dxa"/>
            <w:vAlign w:val="center"/>
          </w:tcPr>
          <w:p w14:paraId="177A4B0C" w14:textId="647561FE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Rada pro výzkum, vývoj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inovace</w:t>
            </w:r>
          </w:p>
        </w:tc>
      </w:tr>
      <w:tr w:rsidR="00EE14C4" w:rsidRPr="00D358B2" w14:paraId="0C3608CB" w14:textId="77777777" w:rsidTr="004D618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43E866D4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P02</w:t>
            </w:r>
          </w:p>
        </w:tc>
        <w:tc>
          <w:tcPr>
            <w:tcW w:w="4207" w:type="dxa"/>
            <w:noWrap/>
            <w:vAlign w:val="center"/>
            <w:hideMark/>
          </w:tcPr>
          <w:p w14:paraId="45BDA6B6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Technology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: Polytechnické vzdělávání</w:t>
            </w:r>
          </w:p>
        </w:tc>
        <w:tc>
          <w:tcPr>
            <w:tcW w:w="4678" w:type="dxa"/>
            <w:vAlign w:val="center"/>
          </w:tcPr>
          <w:p w14:paraId="17B169D7" w14:textId="748244A7" w:rsidR="00EE14C4" w:rsidRPr="00D358B2" w:rsidRDefault="00EE14C4" w:rsidP="00340E0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školství, mládeže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tělovýchovy</w:t>
            </w:r>
          </w:p>
        </w:tc>
      </w:tr>
      <w:tr w:rsidR="00EE14C4" w:rsidRPr="00D358B2" w14:paraId="7CEC4CF7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0FFC0341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P03</w:t>
            </w:r>
          </w:p>
        </w:tc>
        <w:tc>
          <w:tcPr>
            <w:tcW w:w="4207" w:type="dxa"/>
            <w:noWrap/>
            <w:vAlign w:val="center"/>
            <w:hideMark/>
          </w:tcPr>
          <w:p w14:paraId="52158E3B" w14:textId="7AFCC131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Start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-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ups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Národní start-up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 w:rsidR="003230B9">
              <w:rPr>
                <w:rFonts w:ascii="Arial" w:hAnsi="Arial" w:cs="Arial"/>
                <w:b/>
                <w:color w:val="000000"/>
                <w:sz w:val="16"/>
              </w:rPr>
              <w:t>s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pin-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off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infrastruktura</w:t>
            </w:r>
          </w:p>
        </w:tc>
        <w:tc>
          <w:tcPr>
            <w:tcW w:w="4678" w:type="dxa"/>
            <w:vAlign w:val="center"/>
          </w:tcPr>
          <w:p w14:paraId="1FFE616D" w14:textId="20D054C5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 xml:space="preserve">Agentura </w:t>
            </w:r>
            <w:r w:rsidR="003230B9">
              <w:rPr>
                <w:rFonts w:ascii="Arial" w:hAnsi="Arial" w:cs="Arial"/>
                <w:color w:val="000000"/>
                <w:sz w:val="16"/>
              </w:rPr>
              <w:t>pro podporu podnikání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="003230B9">
              <w:rPr>
                <w:rFonts w:ascii="Arial" w:hAnsi="Arial" w:cs="Arial"/>
                <w:color w:val="000000"/>
                <w:sz w:val="16"/>
              </w:rPr>
              <w:t xml:space="preserve">investic </w:t>
            </w:r>
            <w:proofErr w:type="spellStart"/>
            <w:r w:rsidRPr="00D358B2">
              <w:rPr>
                <w:rFonts w:ascii="Arial" w:hAnsi="Arial" w:cs="Arial"/>
                <w:color w:val="000000"/>
                <w:sz w:val="16"/>
              </w:rPr>
              <w:t>CzechInvest</w:t>
            </w:r>
            <w:proofErr w:type="spellEnd"/>
          </w:p>
        </w:tc>
      </w:tr>
      <w:tr w:rsidR="00EE14C4" w:rsidRPr="00D358B2" w14:paraId="7FA562EF" w14:textId="77777777" w:rsidTr="004D618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vMerge w:val="restart"/>
            <w:noWrap/>
            <w:vAlign w:val="center"/>
            <w:hideMark/>
          </w:tcPr>
          <w:p w14:paraId="10518CAE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P04</w:t>
            </w:r>
          </w:p>
        </w:tc>
        <w:tc>
          <w:tcPr>
            <w:tcW w:w="4207" w:type="dxa"/>
            <w:vMerge w:val="restart"/>
            <w:noWrap/>
            <w:vAlign w:val="center"/>
            <w:hideMark/>
          </w:tcPr>
          <w:p w14:paraId="238EA6E2" w14:textId="7DFDA34F" w:rsidR="00EE14C4" w:rsidRPr="00D358B2" w:rsidRDefault="00EE14C4" w:rsidP="00340E0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Digitalization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Digitální stát, výroba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služby</w:t>
            </w:r>
          </w:p>
        </w:tc>
        <w:tc>
          <w:tcPr>
            <w:tcW w:w="4678" w:type="dxa"/>
            <w:vAlign w:val="center"/>
          </w:tcPr>
          <w:p w14:paraId="32A5045E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Úřad vlády ČR</w:t>
            </w:r>
          </w:p>
        </w:tc>
      </w:tr>
      <w:tr w:rsidR="00EE14C4" w:rsidRPr="00D358B2" w14:paraId="3AE9F415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vMerge/>
            <w:noWrap/>
            <w:vAlign w:val="center"/>
          </w:tcPr>
          <w:p w14:paraId="06D17465" w14:textId="77777777" w:rsidR="00EE14C4" w:rsidRPr="00D358B2" w:rsidRDefault="00EE14C4" w:rsidP="004D6186">
            <w:pPr>
              <w:spacing w:after="0"/>
              <w:ind w:firstLineChars="100" w:firstLine="12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</w:p>
        </w:tc>
        <w:tc>
          <w:tcPr>
            <w:tcW w:w="4207" w:type="dxa"/>
            <w:vMerge/>
            <w:noWrap/>
            <w:vAlign w:val="center"/>
          </w:tcPr>
          <w:p w14:paraId="2C6B0D0D" w14:textId="77777777" w:rsidR="00EE14C4" w:rsidRPr="00D358B2" w:rsidRDefault="00EE14C4" w:rsidP="00EE14C4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4678" w:type="dxa"/>
            <w:vAlign w:val="center"/>
          </w:tcPr>
          <w:p w14:paraId="21E074B4" w14:textId="6B3082C9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průmyslu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obchodu</w:t>
            </w:r>
          </w:p>
        </w:tc>
      </w:tr>
      <w:tr w:rsidR="00EE14C4" w:rsidRPr="00D358B2" w14:paraId="524C8D5E" w14:textId="77777777" w:rsidTr="004D618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3C45A98A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P05</w:t>
            </w:r>
          </w:p>
        </w:tc>
        <w:tc>
          <w:tcPr>
            <w:tcW w:w="4207" w:type="dxa"/>
            <w:noWrap/>
            <w:vAlign w:val="center"/>
            <w:hideMark/>
          </w:tcPr>
          <w:p w14:paraId="5785D9CA" w14:textId="56A91A0B" w:rsidR="00EE14C4" w:rsidRPr="00D358B2" w:rsidRDefault="00EE14C4" w:rsidP="00340E0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Excellence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: Inovační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výzkumná centra</w:t>
            </w:r>
          </w:p>
        </w:tc>
        <w:tc>
          <w:tcPr>
            <w:tcW w:w="4678" w:type="dxa"/>
            <w:vAlign w:val="center"/>
          </w:tcPr>
          <w:p w14:paraId="4500FF3C" w14:textId="60538420" w:rsidR="00EE14C4" w:rsidRPr="00D358B2" w:rsidRDefault="00EE14C4" w:rsidP="00340E0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školství, mládeže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tělovýchovy</w:t>
            </w:r>
          </w:p>
        </w:tc>
      </w:tr>
      <w:tr w:rsidR="00EE14C4" w:rsidRPr="00D358B2" w14:paraId="7D0E5504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5DD8308E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P06</w:t>
            </w:r>
          </w:p>
        </w:tc>
        <w:tc>
          <w:tcPr>
            <w:tcW w:w="4207" w:type="dxa"/>
            <w:noWrap/>
            <w:vAlign w:val="center"/>
            <w:hideMark/>
          </w:tcPr>
          <w:p w14:paraId="49CB9685" w14:textId="77777777" w:rsidR="00EE14C4" w:rsidRPr="00D358B2" w:rsidRDefault="00EE14C4" w:rsidP="00EE14C4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Investment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Chytré investice</w:t>
            </w:r>
          </w:p>
        </w:tc>
        <w:tc>
          <w:tcPr>
            <w:tcW w:w="4678" w:type="dxa"/>
            <w:vAlign w:val="center"/>
          </w:tcPr>
          <w:p w14:paraId="225A4B7A" w14:textId="598CE80B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průmyslu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obchodu</w:t>
            </w:r>
          </w:p>
        </w:tc>
      </w:tr>
      <w:tr w:rsidR="00EE14C4" w:rsidRPr="00D358B2" w14:paraId="6200D664" w14:textId="77777777" w:rsidTr="004D618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29E08885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P07</w:t>
            </w:r>
          </w:p>
        </w:tc>
        <w:tc>
          <w:tcPr>
            <w:tcW w:w="4207" w:type="dxa"/>
            <w:noWrap/>
            <w:vAlign w:val="center"/>
            <w:hideMark/>
          </w:tcPr>
          <w:p w14:paraId="25E218C8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Patents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Ochrana duševního vlastnictví</w:t>
            </w:r>
          </w:p>
        </w:tc>
        <w:tc>
          <w:tcPr>
            <w:tcW w:w="4678" w:type="dxa"/>
            <w:vAlign w:val="center"/>
          </w:tcPr>
          <w:p w14:paraId="6DDD688D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Úřad průmyslového vlastnictví</w:t>
            </w:r>
          </w:p>
        </w:tc>
      </w:tr>
      <w:tr w:rsidR="00EE14C4" w:rsidRPr="00D358B2" w14:paraId="0CD45C2B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vMerge w:val="restart"/>
            <w:noWrap/>
            <w:vAlign w:val="center"/>
            <w:hideMark/>
          </w:tcPr>
          <w:p w14:paraId="552DAD31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P08</w:t>
            </w:r>
          </w:p>
        </w:tc>
        <w:tc>
          <w:tcPr>
            <w:tcW w:w="4207" w:type="dxa"/>
            <w:vMerge w:val="restart"/>
            <w:noWrap/>
            <w:vAlign w:val="center"/>
            <w:hideMark/>
          </w:tcPr>
          <w:p w14:paraId="545A1C19" w14:textId="04B6B41C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Smart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Infrastructure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Mobilita a</w:t>
            </w:r>
            <w:r w:rsidR="00340E02">
              <w:rPr>
                <w:rFonts w:ascii="Arial" w:hAnsi="Arial" w:cs="Arial"/>
                <w:b/>
                <w:color w:val="000000"/>
                <w:sz w:val="16"/>
              </w:rPr>
              <w:t> </w:t>
            </w:r>
            <w:r>
              <w:rPr>
                <w:rFonts w:ascii="Arial" w:hAnsi="Arial" w:cs="Arial"/>
                <w:b/>
                <w:color w:val="000000"/>
                <w:sz w:val="16"/>
              </w:rPr>
              <w:t>stavební prostředí</w:t>
            </w:r>
          </w:p>
        </w:tc>
        <w:tc>
          <w:tcPr>
            <w:tcW w:w="4678" w:type="dxa"/>
            <w:vAlign w:val="center"/>
          </w:tcPr>
          <w:p w14:paraId="1FF4C91F" w14:textId="77777777" w:rsidR="00EE14C4" w:rsidRPr="00D358B2" w:rsidRDefault="00EE14C4" w:rsidP="00EE14C4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pro místní rozvoj</w:t>
            </w:r>
          </w:p>
        </w:tc>
      </w:tr>
      <w:tr w:rsidR="00EE14C4" w:rsidRPr="00D358B2" w14:paraId="4E5A3640" w14:textId="77777777" w:rsidTr="004D6186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vMerge/>
            <w:vAlign w:val="center"/>
            <w:hideMark/>
          </w:tcPr>
          <w:p w14:paraId="49E0900C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</w:p>
        </w:tc>
        <w:tc>
          <w:tcPr>
            <w:tcW w:w="4207" w:type="dxa"/>
            <w:vMerge/>
            <w:vAlign w:val="center"/>
            <w:hideMark/>
          </w:tcPr>
          <w:p w14:paraId="4702FF90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4678" w:type="dxa"/>
            <w:vAlign w:val="center"/>
          </w:tcPr>
          <w:p w14:paraId="59132408" w14:textId="77777777" w:rsidR="00EE14C4" w:rsidRPr="00D358B2" w:rsidRDefault="00EE14C4" w:rsidP="00EE14C4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dopravy</w:t>
            </w:r>
          </w:p>
        </w:tc>
      </w:tr>
      <w:tr w:rsidR="00EE14C4" w:rsidRPr="00D358B2" w14:paraId="28C75689" w14:textId="77777777" w:rsidTr="004D61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noWrap/>
            <w:vAlign w:val="center"/>
            <w:hideMark/>
          </w:tcPr>
          <w:p w14:paraId="75E00BF0" w14:textId="77777777" w:rsidR="00EE14C4" w:rsidRPr="00D358B2" w:rsidRDefault="00EE14C4" w:rsidP="004D6186">
            <w:pPr>
              <w:spacing w:after="0"/>
              <w:jc w:val="left"/>
              <w:rPr>
                <w:rFonts w:ascii="Arial" w:hAnsi="Arial" w:cs="Arial"/>
                <w:b w:val="0"/>
                <w:bCs w:val="0"/>
                <w:color w:val="006FA0" w:themeColor="accent3" w:themeShade="BF"/>
                <w:sz w:val="12"/>
              </w:rPr>
            </w:pPr>
            <w:r w:rsidRPr="00D358B2">
              <w:rPr>
                <w:rFonts w:ascii="Arial" w:hAnsi="Arial" w:cs="Arial"/>
                <w:color w:val="006FA0" w:themeColor="accent3" w:themeShade="BF"/>
                <w:sz w:val="12"/>
              </w:rPr>
              <w:t>P09</w:t>
            </w:r>
          </w:p>
        </w:tc>
        <w:tc>
          <w:tcPr>
            <w:tcW w:w="4207" w:type="dxa"/>
            <w:noWrap/>
            <w:vAlign w:val="center"/>
            <w:hideMark/>
          </w:tcPr>
          <w:p w14:paraId="2F36FC76" w14:textId="77777777" w:rsidR="00EE14C4" w:rsidRPr="00D358B2" w:rsidRDefault="00EE14C4" w:rsidP="00EE14C4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Country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for</w:t>
            </w:r>
            <w:proofErr w:type="spellEnd"/>
            <w:r w:rsidRPr="00D358B2">
              <w:rPr>
                <w:rFonts w:ascii="Arial" w:hAnsi="Arial" w:cs="Arial"/>
                <w:b/>
                <w:color w:val="000000"/>
                <w:sz w:val="16"/>
              </w:rPr>
              <w:t xml:space="preserve"> Smart </w:t>
            </w:r>
            <w:proofErr w:type="spellStart"/>
            <w:r w:rsidRPr="00D358B2">
              <w:rPr>
                <w:rFonts w:ascii="Arial" w:hAnsi="Arial" w:cs="Arial"/>
                <w:b/>
                <w:color w:val="000000"/>
                <w:sz w:val="16"/>
              </w:rPr>
              <w:t>People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</w:rPr>
              <w:t>: Chytrý marketing</w:t>
            </w:r>
          </w:p>
        </w:tc>
        <w:tc>
          <w:tcPr>
            <w:tcW w:w="4678" w:type="dxa"/>
            <w:vAlign w:val="center"/>
          </w:tcPr>
          <w:p w14:paraId="6B800186" w14:textId="52FA89DB" w:rsidR="00EE14C4" w:rsidRPr="00D358B2" w:rsidRDefault="00EE14C4" w:rsidP="00340E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</w:rPr>
            </w:pPr>
            <w:r w:rsidRPr="00D358B2">
              <w:rPr>
                <w:rFonts w:ascii="Arial" w:hAnsi="Arial" w:cs="Arial"/>
                <w:color w:val="000000"/>
                <w:sz w:val="16"/>
              </w:rPr>
              <w:t>Ministerstvo průmyslu a</w:t>
            </w:r>
            <w:r w:rsidR="00340E02">
              <w:rPr>
                <w:rFonts w:ascii="Arial" w:hAnsi="Arial" w:cs="Arial"/>
                <w:color w:val="000000"/>
                <w:sz w:val="16"/>
              </w:rPr>
              <w:t> </w:t>
            </w:r>
            <w:r w:rsidRPr="00D358B2">
              <w:rPr>
                <w:rFonts w:ascii="Arial" w:hAnsi="Arial" w:cs="Arial"/>
                <w:color w:val="000000"/>
                <w:sz w:val="16"/>
              </w:rPr>
              <w:t>obchodu</w:t>
            </w:r>
          </w:p>
        </w:tc>
      </w:tr>
    </w:tbl>
    <w:p w14:paraId="522C7ED5" w14:textId="7DCD8945" w:rsidR="00F21F39" w:rsidRDefault="00F21F39" w:rsidP="00EE14C4">
      <w:pPr>
        <w:pStyle w:val="Nadpis1"/>
      </w:pPr>
      <w:bookmarkStart w:id="9" w:name="_Toc26975915"/>
      <w:r>
        <w:t>PRACOVNÍ TÝM</w:t>
      </w:r>
      <w:bookmarkEnd w:id="9"/>
    </w:p>
    <w:p w14:paraId="6EFF8986" w14:textId="13CA495E" w:rsidR="00F90535" w:rsidRPr="00F90535" w:rsidRDefault="00AE2A78" w:rsidP="00F90535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V souladu s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principem m</w:t>
      </w:r>
      <w:r w:rsidR="00055D06" w:rsidRPr="00667F6D">
        <w:rPr>
          <w:rFonts w:asciiTheme="minorHAnsi" w:hAnsiTheme="minorHAnsi"/>
        </w:rPr>
        <w:t>inimalizace administrativního zatížení samotným řízením Strategie</w:t>
      </w:r>
      <w:r w:rsidR="008B5713" w:rsidRPr="00667F6D">
        <w:rPr>
          <w:rFonts w:asciiTheme="minorHAnsi" w:hAnsiTheme="minorHAnsi"/>
        </w:rPr>
        <w:t xml:space="preserve"> je s</w:t>
      </w:r>
      <w:r w:rsidR="00055D06" w:rsidRPr="00667F6D">
        <w:rPr>
          <w:rFonts w:asciiTheme="minorHAnsi" w:hAnsiTheme="minorHAnsi"/>
        </w:rPr>
        <w:t xml:space="preserve">ystém řízen jednou </w:t>
      </w:r>
      <w:r w:rsidR="007C0725">
        <w:rPr>
          <w:rFonts w:asciiTheme="minorHAnsi" w:hAnsiTheme="minorHAnsi"/>
        </w:rPr>
        <w:t>P</w:t>
      </w:r>
      <w:r w:rsidR="00055D06" w:rsidRPr="00667F6D">
        <w:rPr>
          <w:rFonts w:asciiTheme="minorHAnsi" w:hAnsiTheme="minorHAnsi"/>
        </w:rPr>
        <w:t xml:space="preserve">racovní skupinou </w:t>
      </w:r>
      <w:r w:rsidR="007C0725">
        <w:rPr>
          <w:rFonts w:asciiTheme="minorHAnsi" w:hAnsiTheme="minorHAnsi"/>
        </w:rPr>
        <w:t xml:space="preserve">IS 2030 </w:t>
      </w:r>
      <w:r w:rsidR="00055D06" w:rsidRPr="00667F6D">
        <w:rPr>
          <w:rFonts w:asciiTheme="minorHAnsi" w:hAnsiTheme="minorHAnsi"/>
        </w:rPr>
        <w:t>složenou z</w:t>
      </w:r>
      <w:r w:rsidR="00340E02">
        <w:rPr>
          <w:rFonts w:asciiTheme="minorHAnsi" w:hAnsiTheme="minorHAnsi"/>
        </w:rPr>
        <w:t> </w:t>
      </w:r>
      <w:r w:rsidR="00B8503B" w:rsidRPr="00667F6D">
        <w:rPr>
          <w:rFonts w:asciiTheme="minorHAnsi" w:hAnsiTheme="minorHAnsi"/>
        </w:rPr>
        <w:t>řádných členů (</w:t>
      </w:r>
      <w:r w:rsidR="007C0725">
        <w:rPr>
          <w:rFonts w:asciiTheme="minorHAnsi" w:hAnsiTheme="minorHAnsi"/>
        </w:rPr>
        <w:t>Garantů</w:t>
      </w:r>
      <w:r w:rsidR="005A599D">
        <w:rPr>
          <w:rFonts w:asciiTheme="minorHAnsi" w:hAnsiTheme="minorHAnsi"/>
        </w:rPr>
        <w:t xml:space="preserve"> pilířů</w:t>
      </w:r>
      <w:r w:rsidR="007C0725">
        <w:rPr>
          <w:rFonts w:asciiTheme="minorHAnsi" w:hAnsiTheme="minorHAnsi"/>
        </w:rPr>
        <w:t>, případně jejich spolupracovníků</w:t>
      </w:r>
      <w:r w:rsidR="00B8503B" w:rsidRPr="00667F6D">
        <w:rPr>
          <w:rFonts w:asciiTheme="minorHAnsi" w:hAnsiTheme="minorHAnsi"/>
        </w:rPr>
        <w:t>) a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host</w:t>
      </w:r>
      <w:r w:rsidR="00AC0B01" w:rsidRPr="00667F6D">
        <w:rPr>
          <w:rFonts w:asciiTheme="minorHAnsi" w:hAnsiTheme="minorHAnsi"/>
        </w:rPr>
        <w:t>ů</w:t>
      </w:r>
      <w:r w:rsidR="00055D06" w:rsidRPr="00667F6D">
        <w:rPr>
          <w:rFonts w:asciiTheme="minorHAnsi" w:hAnsiTheme="minorHAnsi"/>
        </w:rPr>
        <w:t xml:space="preserve">. Pracovní skupina dále zřizuje tři specializované pracovní týmy zaměřené na </w:t>
      </w:r>
      <w:r w:rsidRPr="00667F6D">
        <w:rPr>
          <w:rFonts w:asciiTheme="minorHAnsi" w:hAnsiTheme="minorHAnsi"/>
        </w:rPr>
        <w:t>analytiku</w:t>
      </w:r>
      <w:r w:rsidR="00055D06" w:rsidRPr="00667F6D">
        <w:rPr>
          <w:rFonts w:asciiTheme="minorHAnsi" w:hAnsiTheme="minorHAnsi"/>
        </w:rPr>
        <w:t>, finanční zdroje a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marketing</w:t>
      </w:r>
      <w:r w:rsidR="003230B9">
        <w:rPr>
          <w:rFonts w:asciiTheme="minorHAnsi" w:hAnsiTheme="minorHAnsi"/>
        </w:rPr>
        <w:t>.</w:t>
      </w:r>
    </w:p>
    <w:tbl>
      <w:tblPr>
        <w:tblStyle w:val="Prosttabulka41"/>
        <w:tblW w:w="8222" w:type="dxa"/>
        <w:tblInd w:w="250" w:type="dxa"/>
        <w:tblBorders>
          <w:insideH w:val="single" w:sz="2" w:space="0" w:color="auto"/>
        </w:tblBorders>
        <w:tblLayout w:type="fixed"/>
        <w:tblLook w:val="0620" w:firstRow="1" w:lastRow="0" w:firstColumn="0" w:lastColumn="0" w:noHBand="1" w:noVBand="1"/>
      </w:tblPr>
      <w:tblGrid>
        <w:gridCol w:w="709"/>
        <w:gridCol w:w="3118"/>
        <w:gridCol w:w="4395"/>
      </w:tblGrid>
      <w:tr w:rsidR="00F90535" w:rsidRPr="008E224D" w14:paraId="34429DCC" w14:textId="77777777" w:rsidTr="004D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tcW w:w="709" w:type="dxa"/>
            <w:tcBorders>
              <w:bottom w:val="single" w:sz="6" w:space="0" w:color="4DC9FF" w:themeColor="accent3" w:themeTint="99"/>
            </w:tcBorders>
            <w:noWrap/>
            <w:vAlign w:val="bottom"/>
          </w:tcPr>
          <w:p w14:paraId="26B13348" w14:textId="77777777" w:rsidR="00F90535" w:rsidRPr="00B8503B" w:rsidRDefault="00F90535" w:rsidP="00F90535">
            <w:pPr>
              <w:spacing w:after="0"/>
              <w:jc w:val="right"/>
              <w:rPr>
                <w:color w:val="004B8D" w:themeColor="text2"/>
                <w:sz w:val="14"/>
              </w:rPr>
            </w:pPr>
            <w:r w:rsidRPr="00B8503B">
              <w:rPr>
                <w:color w:val="004B8D" w:themeColor="text2"/>
                <w:sz w:val="14"/>
              </w:rPr>
              <w:t>KOD</w:t>
            </w:r>
          </w:p>
        </w:tc>
        <w:tc>
          <w:tcPr>
            <w:tcW w:w="3118" w:type="dxa"/>
            <w:tcBorders>
              <w:bottom w:val="single" w:sz="2" w:space="0" w:color="4DC9FF" w:themeColor="accent3" w:themeTint="99"/>
            </w:tcBorders>
            <w:noWrap/>
            <w:vAlign w:val="bottom"/>
          </w:tcPr>
          <w:p w14:paraId="77091543" w14:textId="5F947469" w:rsidR="00F90535" w:rsidRPr="00B8503B" w:rsidRDefault="00F90535" w:rsidP="00F90535">
            <w:pPr>
              <w:spacing w:after="0"/>
              <w:jc w:val="left"/>
              <w:rPr>
                <w:color w:val="004B8D" w:themeColor="text2"/>
                <w:sz w:val="14"/>
              </w:rPr>
            </w:pPr>
            <w:r>
              <w:rPr>
                <w:color w:val="004B8D" w:themeColor="text2"/>
                <w:sz w:val="14"/>
              </w:rPr>
              <w:t>NÁZEV</w:t>
            </w:r>
          </w:p>
        </w:tc>
        <w:tc>
          <w:tcPr>
            <w:tcW w:w="4395" w:type="dxa"/>
            <w:tcBorders>
              <w:bottom w:val="single" w:sz="2" w:space="0" w:color="4DC9FF" w:themeColor="accent3" w:themeTint="99"/>
            </w:tcBorders>
            <w:vAlign w:val="bottom"/>
          </w:tcPr>
          <w:p w14:paraId="3281AFD0" w14:textId="66586E06" w:rsidR="00F90535" w:rsidRPr="00B8503B" w:rsidRDefault="00F90535" w:rsidP="00F90535">
            <w:pPr>
              <w:spacing w:after="0"/>
              <w:jc w:val="left"/>
              <w:rPr>
                <w:color w:val="004B8D" w:themeColor="text2"/>
                <w:sz w:val="14"/>
              </w:rPr>
            </w:pPr>
            <w:r>
              <w:rPr>
                <w:color w:val="004B8D" w:themeColor="text2"/>
                <w:sz w:val="14"/>
              </w:rPr>
              <w:t>ČINNOST</w:t>
            </w:r>
          </w:p>
        </w:tc>
      </w:tr>
      <w:tr w:rsidR="00F90535" w:rsidRPr="00C5451A" w14:paraId="5BA39E3A" w14:textId="77777777" w:rsidTr="004D6186">
        <w:trPr>
          <w:trHeight w:val="301"/>
        </w:trPr>
        <w:tc>
          <w:tcPr>
            <w:tcW w:w="709" w:type="dxa"/>
            <w:tcBorders>
              <w:top w:val="single" w:sz="6" w:space="0" w:color="4DC9FF" w:themeColor="accent3" w:themeTint="99"/>
              <w:bottom w:val="nil"/>
            </w:tcBorders>
            <w:noWrap/>
            <w:vAlign w:val="center"/>
            <w:hideMark/>
          </w:tcPr>
          <w:p w14:paraId="7AAC6FC6" w14:textId="50B39C28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  <w:r w:rsidRPr="00ED7F4F">
              <w:rPr>
                <w:color w:val="006FA0" w:themeColor="accent3" w:themeShade="BF"/>
                <w:sz w:val="12"/>
              </w:rPr>
              <w:t>PS IS2030</w:t>
            </w:r>
          </w:p>
        </w:tc>
        <w:tc>
          <w:tcPr>
            <w:tcW w:w="3118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  <w:hideMark/>
          </w:tcPr>
          <w:p w14:paraId="444908DF" w14:textId="286A5351" w:rsidR="00F90535" w:rsidRPr="00FB5AE5" w:rsidRDefault="00F90535" w:rsidP="00F90535">
            <w:pPr>
              <w:spacing w:after="0"/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Pracovní skupina I</w:t>
            </w:r>
            <w:r w:rsidR="00EE14C4">
              <w:rPr>
                <w:b/>
                <w:color w:val="000000"/>
                <w:sz w:val="16"/>
              </w:rPr>
              <w:t>novační strategie</w:t>
            </w:r>
            <w:r>
              <w:rPr>
                <w:b/>
                <w:color w:val="000000"/>
                <w:sz w:val="16"/>
              </w:rPr>
              <w:t xml:space="preserve"> 2030</w:t>
            </w:r>
          </w:p>
        </w:tc>
        <w:tc>
          <w:tcPr>
            <w:tcW w:w="4395" w:type="dxa"/>
            <w:tcBorders>
              <w:top w:val="single" w:sz="6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40E63C49" w14:textId="7F8DF3C6" w:rsidR="00F90535" w:rsidRPr="002E71F7" w:rsidRDefault="000B48E0" w:rsidP="005A599D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I</w:t>
            </w:r>
            <w:r w:rsidR="005A599D">
              <w:rPr>
                <w:color w:val="000000"/>
                <w:sz w:val="16"/>
              </w:rPr>
              <w:t xml:space="preserve">mplementace </w:t>
            </w:r>
            <w:r w:rsidR="00F90535">
              <w:rPr>
                <w:color w:val="000000"/>
                <w:sz w:val="16"/>
              </w:rPr>
              <w:t xml:space="preserve">Strategie. </w:t>
            </w:r>
          </w:p>
        </w:tc>
      </w:tr>
      <w:tr w:rsidR="00F90535" w:rsidRPr="00C5451A" w14:paraId="13D9698E" w14:textId="77777777" w:rsidTr="004D6186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2EF9EB84" w14:textId="4AA5E4FE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311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</w:tcPr>
          <w:p w14:paraId="44CCF5A1" w14:textId="3CF3FFB3" w:rsidR="00F90535" w:rsidRPr="00053117" w:rsidRDefault="00F90535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>Národní tým analytiků</w:t>
            </w:r>
          </w:p>
        </w:tc>
        <w:tc>
          <w:tcPr>
            <w:tcW w:w="4395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05F7F0B1" w14:textId="35BE222F" w:rsidR="00F90535" w:rsidRPr="00FB5AE5" w:rsidRDefault="00053117" w:rsidP="00340E02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Podpora v</w:t>
            </w:r>
            <w:r w:rsidR="00340E02">
              <w:rPr>
                <w:color w:val="000000"/>
                <w:sz w:val="16"/>
              </w:rPr>
              <w:t> </w:t>
            </w:r>
            <w:r>
              <w:rPr>
                <w:color w:val="000000"/>
                <w:sz w:val="16"/>
              </w:rPr>
              <w:t>oblasti analýzy dat, prostředí a</w:t>
            </w:r>
            <w:r w:rsidR="00340E02">
              <w:rPr>
                <w:color w:val="000000"/>
                <w:sz w:val="16"/>
              </w:rPr>
              <w:t> </w:t>
            </w:r>
            <w:r>
              <w:rPr>
                <w:color w:val="000000"/>
                <w:sz w:val="16"/>
              </w:rPr>
              <w:t>jevů dle zadání Pracovní skupiny</w:t>
            </w:r>
          </w:p>
        </w:tc>
      </w:tr>
      <w:tr w:rsidR="00F90535" w:rsidRPr="00C5451A" w14:paraId="7EE03521" w14:textId="77777777" w:rsidTr="004D6186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16B3295B" w14:textId="5D277450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3118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noWrap/>
            <w:vAlign w:val="center"/>
          </w:tcPr>
          <w:p w14:paraId="72464772" w14:textId="3866764A" w:rsidR="00F90535" w:rsidRPr="00053117" w:rsidRDefault="00F90535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 xml:space="preserve">Národní tým pro </w:t>
            </w:r>
            <w:r w:rsidR="00ED7F4F" w:rsidRPr="00053117">
              <w:rPr>
                <w:b/>
                <w:color w:val="000000"/>
                <w:sz w:val="16"/>
              </w:rPr>
              <w:t>financování</w:t>
            </w:r>
          </w:p>
        </w:tc>
        <w:tc>
          <w:tcPr>
            <w:tcW w:w="4395" w:type="dxa"/>
            <w:tcBorders>
              <w:top w:val="dotted" w:sz="4" w:space="0" w:color="4DC9FF" w:themeColor="accent3" w:themeTint="99"/>
              <w:bottom w:val="dotted" w:sz="4" w:space="0" w:color="4DC9FF" w:themeColor="accent3" w:themeTint="99"/>
            </w:tcBorders>
            <w:vAlign w:val="center"/>
          </w:tcPr>
          <w:p w14:paraId="0D2FD3E2" w14:textId="553FA1B2" w:rsidR="00F90535" w:rsidRPr="00FB5AE5" w:rsidRDefault="00053117" w:rsidP="00340E02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Strategie financování - Systematická alokace zdrojů, </w:t>
            </w:r>
            <w:proofErr w:type="spellStart"/>
            <w:r>
              <w:rPr>
                <w:color w:val="000000"/>
                <w:sz w:val="16"/>
              </w:rPr>
              <w:t>prioritizace</w:t>
            </w:r>
            <w:proofErr w:type="spellEnd"/>
            <w:r>
              <w:rPr>
                <w:color w:val="000000"/>
                <w:sz w:val="16"/>
              </w:rPr>
              <w:t xml:space="preserve"> cílů</w:t>
            </w:r>
            <w:r w:rsidR="007C0725">
              <w:rPr>
                <w:color w:val="000000"/>
                <w:sz w:val="16"/>
              </w:rPr>
              <w:t>,</w:t>
            </w:r>
            <w:r>
              <w:rPr>
                <w:color w:val="000000"/>
                <w:sz w:val="16"/>
              </w:rPr>
              <w:t xml:space="preserve"> Strategie v</w:t>
            </w:r>
            <w:r w:rsidR="00340E02">
              <w:rPr>
                <w:color w:val="000000"/>
                <w:sz w:val="16"/>
              </w:rPr>
              <w:t> </w:t>
            </w:r>
            <w:r>
              <w:rPr>
                <w:color w:val="000000"/>
                <w:sz w:val="16"/>
              </w:rPr>
              <w:t>intervenční logice</w:t>
            </w:r>
          </w:p>
        </w:tc>
      </w:tr>
      <w:tr w:rsidR="00F90535" w:rsidRPr="00C5451A" w14:paraId="6BB79DDB" w14:textId="77777777" w:rsidTr="004D6186">
        <w:trPr>
          <w:trHeight w:val="301"/>
        </w:trPr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14:paraId="1CFB1FEE" w14:textId="36852BEA" w:rsidR="00F90535" w:rsidRPr="00ED7F4F" w:rsidRDefault="00F90535" w:rsidP="00ED7F4F">
            <w:pPr>
              <w:spacing w:after="0"/>
              <w:jc w:val="right"/>
              <w:rPr>
                <w:color w:val="006FA0" w:themeColor="accent3" w:themeShade="BF"/>
                <w:sz w:val="12"/>
              </w:rPr>
            </w:pPr>
          </w:p>
        </w:tc>
        <w:tc>
          <w:tcPr>
            <w:tcW w:w="3118" w:type="dxa"/>
            <w:tcBorders>
              <w:top w:val="dotted" w:sz="4" w:space="0" w:color="4DC9FF" w:themeColor="accent3" w:themeTint="99"/>
              <w:bottom w:val="nil"/>
            </w:tcBorders>
            <w:noWrap/>
            <w:vAlign w:val="center"/>
          </w:tcPr>
          <w:p w14:paraId="6904C174" w14:textId="6870A87D" w:rsidR="00F90535" w:rsidRPr="00053117" w:rsidRDefault="00ED7F4F" w:rsidP="00053117">
            <w:pPr>
              <w:spacing w:after="0"/>
              <w:jc w:val="left"/>
              <w:rPr>
                <w:b/>
                <w:color w:val="000000"/>
                <w:sz w:val="16"/>
              </w:rPr>
            </w:pPr>
            <w:r w:rsidRPr="00053117">
              <w:rPr>
                <w:b/>
                <w:color w:val="000000"/>
                <w:sz w:val="16"/>
              </w:rPr>
              <w:t>Marketingový tým</w:t>
            </w:r>
          </w:p>
        </w:tc>
        <w:tc>
          <w:tcPr>
            <w:tcW w:w="4395" w:type="dxa"/>
            <w:tcBorders>
              <w:top w:val="dotted" w:sz="4" w:space="0" w:color="4DC9FF" w:themeColor="accent3" w:themeTint="99"/>
              <w:bottom w:val="nil"/>
            </w:tcBorders>
            <w:vAlign w:val="center"/>
          </w:tcPr>
          <w:p w14:paraId="767E70BB" w14:textId="03CE0259" w:rsidR="00F90535" w:rsidRPr="00FB5AE5" w:rsidRDefault="00053117" w:rsidP="00F90535">
            <w:pPr>
              <w:spacing w:after="0"/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Marketingová strategie – </w:t>
            </w:r>
            <w:proofErr w:type="gramStart"/>
            <w:r>
              <w:rPr>
                <w:color w:val="000000"/>
                <w:sz w:val="16"/>
              </w:rPr>
              <w:t xml:space="preserve">jednotná </w:t>
            </w:r>
            <w:r w:rsidR="00DF4D49">
              <w:rPr>
                <w:color w:val="000000"/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t>marketingová</w:t>
            </w:r>
            <w:proofErr w:type="gramEnd"/>
            <w:r>
              <w:rPr>
                <w:color w:val="000000"/>
                <w:sz w:val="16"/>
              </w:rPr>
              <w:t xml:space="preserve"> komunikace</w:t>
            </w:r>
          </w:p>
        </w:tc>
      </w:tr>
    </w:tbl>
    <w:p w14:paraId="6829CD2D" w14:textId="77777777" w:rsidR="00F90535" w:rsidRPr="00667F6D" w:rsidRDefault="00F90535" w:rsidP="00AE2A78">
      <w:pPr>
        <w:rPr>
          <w:rFonts w:asciiTheme="minorHAnsi" w:hAnsiTheme="minorHAnsi"/>
        </w:rPr>
      </w:pPr>
    </w:p>
    <w:p w14:paraId="7EB13ED7" w14:textId="120B0A1E" w:rsidR="00F21F39" w:rsidRDefault="00F21F39" w:rsidP="008F58CB">
      <w:pPr>
        <w:pStyle w:val="Nadpis2"/>
      </w:pPr>
      <w:bookmarkStart w:id="10" w:name="_Toc26975916"/>
      <w:r>
        <w:t>PRACOVNÍ SKUPINA I</w:t>
      </w:r>
      <w:r w:rsidR="00253140">
        <w:t>NOVAČNÍ STRATEGIE</w:t>
      </w:r>
      <w:r>
        <w:t xml:space="preserve"> 2030</w:t>
      </w:r>
      <w:bookmarkEnd w:id="10"/>
    </w:p>
    <w:p w14:paraId="47A5E45C" w14:textId="62F34DA7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</w:t>
      </w:r>
      <w:r w:rsidR="00055D06" w:rsidRPr="00667F6D">
        <w:rPr>
          <w:rFonts w:asciiTheme="minorHAnsi" w:hAnsiTheme="minorHAnsi"/>
        </w:rPr>
        <w:t xml:space="preserve"> </w:t>
      </w:r>
      <w:r w:rsidR="005A599D">
        <w:rPr>
          <w:rFonts w:asciiTheme="minorHAnsi" w:hAnsiTheme="minorHAnsi"/>
        </w:rPr>
        <w:t>zajišťuje</w:t>
      </w:r>
      <w:r w:rsidR="00B8503B" w:rsidRPr="00667F6D">
        <w:rPr>
          <w:rFonts w:asciiTheme="minorHAnsi" w:hAnsiTheme="minorHAnsi"/>
        </w:rPr>
        <w:t xml:space="preserve"> </w:t>
      </w:r>
      <w:r w:rsidR="005A599D">
        <w:rPr>
          <w:rFonts w:asciiTheme="minorHAnsi" w:hAnsiTheme="minorHAnsi"/>
        </w:rPr>
        <w:t>implementaci</w:t>
      </w:r>
      <w:r w:rsidR="005A599D" w:rsidRPr="00667F6D">
        <w:rPr>
          <w:rFonts w:asciiTheme="minorHAnsi" w:hAnsiTheme="minorHAnsi"/>
        </w:rPr>
        <w:t xml:space="preserve"> </w:t>
      </w:r>
      <w:r w:rsidR="00B8503B" w:rsidRPr="00667F6D">
        <w:rPr>
          <w:rFonts w:asciiTheme="minorHAnsi" w:hAnsiTheme="minorHAnsi"/>
        </w:rPr>
        <w:t>Strategie. S</w:t>
      </w:r>
      <w:r w:rsidRPr="00667F6D">
        <w:rPr>
          <w:rFonts w:asciiTheme="minorHAnsi" w:hAnsiTheme="minorHAnsi"/>
        </w:rPr>
        <w:t xml:space="preserve">chází </w:t>
      </w:r>
      <w:r w:rsidR="003230B9">
        <w:rPr>
          <w:rFonts w:asciiTheme="minorHAnsi" w:hAnsiTheme="minorHAnsi"/>
        </w:rPr>
        <w:t xml:space="preserve">se </w:t>
      </w:r>
      <w:r w:rsidRPr="00667F6D">
        <w:rPr>
          <w:rFonts w:asciiTheme="minorHAnsi" w:hAnsiTheme="minorHAnsi"/>
        </w:rPr>
        <w:t xml:space="preserve">podle potřeby, minimálně však šestkrát do roka. </w:t>
      </w:r>
      <w:r w:rsidR="007C0725">
        <w:rPr>
          <w:rFonts w:asciiTheme="minorHAnsi" w:hAnsiTheme="minorHAnsi"/>
        </w:rPr>
        <w:t>S</w:t>
      </w:r>
      <w:r w:rsidRPr="00667F6D">
        <w:rPr>
          <w:rFonts w:asciiTheme="minorHAnsi" w:hAnsiTheme="minorHAnsi"/>
        </w:rPr>
        <w:t>volává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řídí </w:t>
      </w:r>
      <w:r w:rsidR="007C0725">
        <w:rPr>
          <w:rFonts w:asciiTheme="minorHAnsi" w:hAnsiTheme="minorHAnsi"/>
        </w:rPr>
        <w:t xml:space="preserve">ji </w:t>
      </w:r>
      <w:r w:rsidR="00B8503B" w:rsidRPr="00667F6D">
        <w:rPr>
          <w:rFonts w:asciiTheme="minorHAnsi" w:hAnsiTheme="minorHAnsi"/>
        </w:rPr>
        <w:t>Národní koordinátor</w:t>
      </w:r>
      <w:r w:rsidRPr="00667F6D">
        <w:rPr>
          <w:rFonts w:asciiTheme="minorHAnsi" w:hAnsiTheme="minorHAnsi"/>
        </w:rPr>
        <w:t xml:space="preserve"> </w:t>
      </w:r>
      <w:r w:rsidR="003230B9">
        <w:rPr>
          <w:rFonts w:asciiTheme="minorHAnsi" w:hAnsiTheme="minorHAnsi"/>
        </w:rPr>
        <w:t>inovační s</w:t>
      </w:r>
      <w:r w:rsidRPr="00667F6D">
        <w:rPr>
          <w:rFonts w:asciiTheme="minorHAnsi" w:hAnsiTheme="minorHAnsi"/>
        </w:rPr>
        <w:t xml:space="preserve">trategie. </w:t>
      </w:r>
    </w:p>
    <w:p w14:paraId="715AA6B9" w14:textId="05C80674" w:rsidR="00EE14C4" w:rsidRPr="004D6186" w:rsidRDefault="00EE14C4" w:rsidP="00EE14C4">
      <w:pPr>
        <w:rPr>
          <w:rFonts w:asciiTheme="minorHAnsi" w:hAnsiTheme="minorHAnsi"/>
        </w:rPr>
      </w:pPr>
      <w:r w:rsidRPr="004D6186">
        <w:rPr>
          <w:rFonts w:asciiTheme="minorHAnsi" w:hAnsiTheme="minorHAnsi"/>
        </w:rPr>
        <w:t xml:space="preserve">Základními nástroji Pracovní skupiny je Akční plán Inovační strategie </w:t>
      </w:r>
      <w:r w:rsidR="003230B9">
        <w:rPr>
          <w:rFonts w:asciiTheme="minorHAnsi" w:hAnsiTheme="minorHAnsi"/>
        </w:rPr>
        <w:t xml:space="preserve">ČR </w:t>
      </w:r>
      <w:r w:rsidRPr="004D6186">
        <w:rPr>
          <w:rFonts w:asciiTheme="minorHAnsi" w:hAnsiTheme="minorHAnsi"/>
        </w:rPr>
        <w:t>2030 a</w:t>
      </w:r>
      <w:r w:rsidR="00340E02">
        <w:rPr>
          <w:rFonts w:asciiTheme="minorHAnsi" w:hAnsiTheme="minorHAnsi"/>
        </w:rPr>
        <w:t> </w:t>
      </w:r>
      <w:r w:rsidRPr="004D6186">
        <w:rPr>
          <w:rFonts w:asciiTheme="minorHAnsi" w:hAnsiTheme="minorHAnsi"/>
        </w:rPr>
        <w:t>Zpráva o</w:t>
      </w:r>
      <w:r w:rsidR="00340E02">
        <w:rPr>
          <w:rFonts w:asciiTheme="minorHAnsi" w:hAnsiTheme="minorHAnsi"/>
        </w:rPr>
        <w:t> </w:t>
      </w:r>
      <w:r w:rsidRPr="004D6186">
        <w:rPr>
          <w:rFonts w:asciiTheme="minorHAnsi" w:hAnsiTheme="minorHAnsi"/>
        </w:rPr>
        <w:t xml:space="preserve">realizaci Inovační strategie </w:t>
      </w:r>
      <w:r w:rsidR="003230B9">
        <w:rPr>
          <w:rFonts w:asciiTheme="minorHAnsi" w:hAnsiTheme="minorHAnsi"/>
        </w:rPr>
        <w:t xml:space="preserve">ČR </w:t>
      </w:r>
      <w:r w:rsidRPr="004D6186">
        <w:rPr>
          <w:rFonts w:asciiTheme="minorHAnsi" w:hAnsiTheme="minorHAnsi"/>
        </w:rPr>
        <w:t xml:space="preserve">2030. </w:t>
      </w:r>
    </w:p>
    <w:p w14:paraId="42366F52" w14:textId="5EFE7449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lastRenderedPageBreak/>
        <w:t xml:space="preserve">Pracovní skupina </w:t>
      </w:r>
      <w:r w:rsidR="000F0085" w:rsidRPr="00667F6D">
        <w:rPr>
          <w:rFonts w:asciiTheme="minorHAnsi" w:hAnsiTheme="minorHAnsi"/>
        </w:rPr>
        <w:t>připravuje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projednává </w:t>
      </w:r>
      <w:r w:rsidR="000F0085" w:rsidRPr="00667F6D">
        <w:rPr>
          <w:rFonts w:asciiTheme="minorHAnsi" w:hAnsiTheme="minorHAnsi"/>
          <w:i/>
        </w:rPr>
        <w:t>Zprávu o</w:t>
      </w:r>
      <w:r w:rsidR="00340E02">
        <w:rPr>
          <w:rFonts w:asciiTheme="minorHAnsi" w:hAnsiTheme="minorHAnsi"/>
          <w:i/>
        </w:rPr>
        <w:t> </w:t>
      </w:r>
      <w:r w:rsidR="000F0085" w:rsidRPr="00667F6D">
        <w:rPr>
          <w:rFonts w:asciiTheme="minorHAnsi" w:hAnsiTheme="minorHAnsi"/>
          <w:i/>
        </w:rPr>
        <w:t>realizaci I</w:t>
      </w:r>
      <w:r w:rsidR="00EE14C4">
        <w:rPr>
          <w:rFonts w:asciiTheme="minorHAnsi" w:hAnsiTheme="minorHAnsi"/>
          <w:i/>
        </w:rPr>
        <w:t>novační strategie</w:t>
      </w:r>
      <w:r w:rsidR="000F0085" w:rsidRPr="00667F6D">
        <w:rPr>
          <w:rFonts w:asciiTheme="minorHAnsi" w:hAnsiTheme="minorHAnsi"/>
          <w:i/>
        </w:rPr>
        <w:t xml:space="preserve"> </w:t>
      </w:r>
      <w:r w:rsidR="003230B9">
        <w:rPr>
          <w:rFonts w:asciiTheme="minorHAnsi" w:hAnsiTheme="minorHAnsi"/>
          <w:i/>
        </w:rPr>
        <w:t xml:space="preserve">ČR </w:t>
      </w:r>
      <w:r w:rsidR="000F0085" w:rsidRPr="00667F6D">
        <w:rPr>
          <w:rFonts w:asciiTheme="minorHAnsi" w:hAnsiTheme="minorHAnsi"/>
          <w:i/>
        </w:rPr>
        <w:t>2030</w:t>
      </w:r>
      <w:r w:rsidRPr="00667F6D">
        <w:rPr>
          <w:rFonts w:asciiTheme="minorHAnsi" w:hAnsiTheme="minorHAnsi"/>
        </w:rPr>
        <w:t>, včetně navrhovaných opatření, změn, či rizik realizace Strategie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doporučuje Garantovi Strategie její předložení </w:t>
      </w:r>
      <w:r w:rsidR="000F0085" w:rsidRPr="00667F6D">
        <w:rPr>
          <w:rFonts w:asciiTheme="minorHAnsi" w:hAnsiTheme="minorHAnsi"/>
        </w:rPr>
        <w:t>RVVI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Vládě ČR k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projednání.</w:t>
      </w:r>
    </w:p>
    <w:p w14:paraId="3D5964B9" w14:textId="589B4FA8" w:rsidR="008B5713" w:rsidRPr="00667F6D" w:rsidRDefault="000F0085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Pracovní skupina projednává aktualizaci </w:t>
      </w:r>
      <w:r w:rsidRPr="00667F6D">
        <w:rPr>
          <w:rFonts w:asciiTheme="minorHAnsi" w:hAnsiTheme="minorHAnsi"/>
          <w:i/>
        </w:rPr>
        <w:t xml:space="preserve">Akčního plánu </w:t>
      </w:r>
      <w:r w:rsidR="00253140" w:rsidRPr="00667F6D">
        <w:rPr>
          <w:rFonts w:asciiTheme="minorHAnsi" w:hAnsiTheme="minorHAnsi"/>
          <w:i/>
        </w:rPr>
        <w:t>I</w:t>
      </w:r>
      <w:r w:rsidR="00253140">
        <w:rPr>
          <w:rFonts w:asciiTheme="minorHAnsi" w:hAnsiTheme="minorHAnsi"/>
          <w:i/>
        </w:rPr>
        <w:t>novační strategie</w:t>
      </w:r>
      <w:r w:rsidRPr="00667F6D">
        <w:rPr>
          <w:rFonts w:asciiTheme="minorHAnsi" w:hAnsiTheme="minorHAnsi"/>
          <w:i/>
        </w:rPr>
        <w:t xml:space="preserve"> </w:t>
      </w:r>
      <w:r w:rsidR="003230B9">
        <w:rPr>
          <w:rFonts w:asciiTheme="minorHAnsi" w:hAnsiTheme="minorHAnsi"/>
          <w:i/>
        </w:rPr>
        <w:t xml:space="preserve">ČR </w:t>
      </w:r>
      <w:r w:rsidRPr="00667F6D">
        <w:rPr>
          <w:rFonts w:asciiTheme="minorHAnsi" w:hAnsiTheme="minorHAnsi"/>
          <w:i/>
        </w:rPr>
        <w:t>2030</w:t>
      </w:r>
      <w:r w:rsidR="0022533E" w:rsidRPr="00667F6D">
        <w:rPr>
          <w:rFonts w:asciiTheme="minorHAnsi" w:hAnsiTheme="minorHAnsi"/>
        </w:rPr>
        <w:t>.</w:t>
      </w:r>
      <w:r w:rsidRPr="00667F6D">
        <w:rPr>
          <w:rFonts w:asciiTheme="minorHAnsi" w:hAnsiTheme="minorHAnsi"/>
        </w:rPr>
        <w:t xml:space="preserve"> Návrhy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doporučení pro sestavení aktualizace Akčního plánu </w:t>
      </w:r>
      <w:r w:rsidR="00253140" w:rsidRPr="00667F6D">
        <w:rPr>
          <w:rFonts w:asciiTheme="minorHAnsi" w:hAnsiTheme="minorHAnsi"/>
          <w:i/>
        </w:rPr>
        <w:t>I</w:t>
      </w:r>
      <w:r w:rsidR="00253140">
        <w:rPr>
          <w:rFonts w:asciiTheme="minorHAnsi" w:hAnsiTheme="minorHAnsi"/>
          <w:i/>
        </w:rPr>
        <w:t>novační strategie</w:t>
      </w:r>
      <w:r w:rsidRPr="00667F6D">
        <w:rPr>
          <w:rFonts w:asciiTheme="minorHAnsi" w:hAnsiTheme="minorHAnsi"/>
        </w:rPr>
        <w:t xml:space="preserve"> 2030 </w:t>
      </w:r>
      <w:r w:rsidR="005A1D06" w:rsidRPr="00667F6D">
        <w:rPr>
          <w:rFonts w:asciiTheme="minorHAnsi" w:hAnsiTheme="minorHAnsi"/>
        </w:rPr>
        <w:t>předkládají</w:t>
      </w:r>
      <w:r w:rsidRPr="00667F6D">
        <w:rPr>
          <w:rFonts w:asciiTheme="minorHAnsi" w:hAnsiTheme="minorHAnsi"/>
        </w:rPr>
        <w:t xml:space="preserve"> </w:t>
      </w:r>
      <w:r w:rsidR="007C0725">
        <w:rPr>
          <w:rFonts w:asciiTheme="minorHAnsi" w:hAnsiTheme="minorHAnsi"/>
        </w:rPr>
        <w:t>G</w:t>
      </w:r>
      <w:r w:rsidR="005A1D06" w:rsidRPr="00667F6D">
        <w:rPr>
          <w:rFonts w:asciiTheme="minorHAnsi" w:hAnsiTheme="minorHAnsi"/>
        </w:rPr>
        <w:t>aranti</w:t>
      </w:r>
      <w:r w:rsidR="0022533E" w:rsidRPr="00667F6D">
        <w:rPr>
          <w:rFonts w:asciiTheme="minorHAnsi" w:hAnsiTheme="minorHAnsi"/>
        </w:rPr>
        <w:t xml:space="preserve"> </w:t>
      </w:r>
      <w:r w:rsidR="00AC0B01" w:rsidRPr="00667F6D">
        <w:rPr>
          <w:rFonts w:asciiTheme="minorHAnsi" w:hAnsiTheme="minorHAnsi"/>
        </w:rPr>
        <w:t xml:space="preserve">pilířů </w:t>
      </w:r>
      <w:r w:rsidR="00057DC3">
        <w:rPr>
          <w:rFonts w:asciiTheme="minorHAnsi" w:hAnsiTheme="minorHAnsi"/>
        </w:rPr>
        <w:t>a</w:t>
      </w:r>
      <w:r w:rsidR="00340E02">
        <w:rPr>
          <w:rFonts w:asciiTheme="minorHAnsi" w:hAnsiTheme="minorHAnsi"/>
        </w:rPr>
        <w:t> </w:t>
      </w:r>
      <w:r w:rsidR="0022533E" w:rsidRPr="00667F6D">
        <w:rPr>
          <w:rFonts w:asciiTheme="minorHAnsi" w:hAnsiTheme="minorHAnsi"/>
        </w:rPr>
        <w:t xml:space="preserve">pracovních týmů </w:t>
      </w:r>
    </w:p>
    <w:p w14:paraId="2979CF12" w14:textId="2456AF6E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Pracovní skupina je složena z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řádných členů. T</w:t>
      </w:r>
      <w:r w:rsidR="00B8503B" w:rsidRPr="00667F6D">
        <w:rPr>
          <w:rFonts w:asciiTheme="minorHAnsi" w:hAnsiTheme="minorHAnsi"/>
        </w:rPr>
        <w:t>ěmi jsou konkrétní představitelé</w:t>
      </w:r>
      <w:r w:rsidRPr="00667F6D">
        <w:rPr>
          <w:rFonts w:asciiTheme="minorHAnsi" w:hAnsiTheme="minorHAnsi"/>
        </w:rPr>
        <w:t xml:space="preserve"> i</w:t>
      </w:r>
      <w:r w:rsidR="00B8503B" w:rsidRPr="00667F6D">
        <w:rPr>
          <w:rFonts w:asciiTheme="minorHAnsi" w:hAnsiTheme="minorHAnsi"/>
        </w:rPr>
        <w:t>nstitucí pověřen</w:t>
      </w:r>
      <w:r w:rsidR="005A599D">
        <w:rPr>
          <w:rFonts w:asciiTheme="minorHAnsi" w:hAnsiTheme="minorHAnsi"/>
        </w:rPr>
        <w:t>ých</w:t>
      </w:r>
      <w:r w:rsidR="00B8503B" w:rsidRPr="00667F6D">
        <w:rPr>
          <w:rFonts w:asciiTheme="minorHAnsi" w:hAnsiTheme="minorHAnsi"/>
        </w:rPr>
        <w:t xml:space="preserve"> výkonem role G</w:t>
      </w:r>
      <w:r w:rsidRPr="00667F6D">
        <w:rPr>
          <w:rFonts w:asciiTheme="minorHAnsi" w:hAnsiTheme="minorHAnsi"/>
        </w:rPr>
        <w:t xml:space="preserve">aranta Strategie, </w:t>
      </w:r>
      <w:r w:rsidR="005A1D06" w:rsidRPr="00667F6D">
        <w:rPr>
          <w:rFonts w:asciiTheme="minorHAnsi" w:hAnsiTheme="minorHAnsi"/>
        </w:rPr>
        <w:t xml:space="preserve">Garanta </w:t>
      </w:r>
      <w:r w:rsidR="007C0725">
        <w:rPr>
          <w:rFonts w:asciiTheme="minorHAnsi" w:hAnsiTheme="minorHAnsi"/>
        </w:rPr>
        <w:t>p</w:t>
      </w:r>
      <w:r w:rsidRPr="00667F6D">
        <w:rPr>
          <w:rFonts w:asciiTheme="minorHAnsi" w:hAnsiTheme="minorHAnsi"/>
        </w:rPr>
        <w:t>ilíře Strategie</w:t>
      </w:r>
      <w:r w:rsidR="005A1D06" w:rsidRPr="00667F6D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="005A1D06" w:rsidRPr="00667F6D">
        <w:rPr>
          <w:rFonts w:asciiTheme="minorHAnsi" w:hAnsiTheme="minorHAnsi"/>
        </w:rPr>
        <w:t>N</w:t>
      </w:r>
      <w:r w:rsidRPr="00667F6D">
        <w:rPr>
          <w:rFonts w:asciiTheme="minorHAnsi" w:hAnsiTheme="minorHAnsi"/>
        </w:rPr>
        <w:t>árodního koordinátora Strategie.</w:t>
      </w:r>
    </w:p>
    <w:p w14:paraId="4109B26A" w14:textId="17A750DC" w:rsidR="008B5713" w:rsidRPr="00667F6D" w:rsidRDefault="008B5713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Jednání se mohou účastnit hosté</w:t>
      </w:r>
      <w:r w:rsidR="00055D06" w:rsidRPr="00667F6D">
        <w:rPr>
          <w:rFonts w:asciiTheme="minorHAnsi" w:hAnsiTheme="minorHAnsi"/>
        </w:rPr>
        <w:t xml:space="preserve">. Hosty navrhují </w:t>
      </w:r>
      <w:r w:rsidR="007C0725">
        <w:rPr>
          <w:rFonts w:asciiTheme="minorHAnsi" w:hAnsiTheme="minorHAnsi"/>
        </w:rPr>
        <w:t>G</w:t>
      </w:r>
      <w:r w:rsidR="00055D06" w:rsidRPr="00667F6D">
        <w:rPr>
          <w:rFonts w:asciiTheme="minorHAnsi" w:hAnsiTheme="minorHAnsi"/>
        </w:rPr>
        <w:t xml:space="preserve">aranti </w:t>
      </w:r>
      <w:r w:rsidR="007C0725">
        <w:rPr>
          <w:rFonts w:asciiTheme="minorHAnsi" w:hAnsiTheme="minorHAnsi"/>
        </w:rPr>
        <w:t xml:space="preserve">pilířů </w:t>
      </w:r>
      <w:r w:rsidR="00055D06" w:rsidRPr="00667F6D">
        <w:rPr>
          <w:rFonts w:asciiTheme="minorHAnsi" w:hAnsiTheme="minorHAnsi"/>
        </w:rPr>
        <w:t>dostatečně dopředu s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určením oblasti, nebo bodu jednání a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důvodu k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jejich přizvání.</w:t>
      </w:r>
      <w:r w:rsidR="00B8503B" w:rsidRPr="00667F6D">
        <w:rPr>
          <w:rFonts w:asciiTheme="minorHAnsi" w:hAnsiTheme="minorHAnsi"/>
        </w:rPr>
        <w:t xml:space="preserve"> </w:t>
      </w:r>
    </w:p>
    <w:p w14:paraId="37A89231" w14:textId="2C94E009" w:rsidR="0022533E" w:rsidRPr="00667F6D" w:rsidRDefault="005A599D" w:rsidP="008B5713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Na návrh Garanta Strategie</w:t>
      </w:r>
      <w:r>
        <w:rPr>
          <w:rFonts w:asciiTheme="minorHAnsi" w:hAnsiTheme="minorHAnsi"/>
        </w:rPr>
        <w:t>, Garantů pilířů a Národního koordinátora Strategie</w:t>
      </w:r>
      <w:r w:rsidRPr="00667F6D">
        <w:rPr>
          <w:rFonts w:asciiTheme="minorHAnsi" w:hAnsiTheme="minorHAnsi"/>
        </w:rPr>
        <w:t xml:space="preserve"> </w:t>
      </w:r>
      <w:r w:rsidR="0022533E" w:rsidRPr="00667F6D">
        <w:rPr>
          <w:rFonts w:asciiTheme="minorHAnsi" w:hAnsiTheme="minorHAnsi"/>
        </w:rPr>
        <w:t xml:space="preserve">Pracovní skupina </w:t>
      </w:r>
      <w:r>
        <w:rPr>
          <w:rFonts w:asciiTheme="minorHAnsi" w:hAnsiTheme="minorHAnsi"/>
        </w:rPr>
        <w:t xml:space="preserve">projedná a </w:t>
      </w:r>
      <w:r w:rsidR="0022533E" w:rsidRPr="00667F6D">
        <w:rPr>
          <w:rFonts w:asciiTheme="minorHAnsi" w:hAnsiTheme="minorHAnsi"/>
        </w:rPr>
        <w:t>usta</w:t>
      </w:r>
      <w:r>
        <w:rPr>
          <w:rFonts w:asciiTheme="minorHAnsi" w:hAnsiTheme="minorHAnsi"/>
        </w:rPr>
        <w:t>noví</w:t>
      </w:r>
      <w:r w:rsidR="0022533E" w:rsidRPr="00667F6D">
        <w:rPr>
          <w:rFonts w:asciiTheme="minorHAnsi" w:hAnsiTheme="minorHAnsi"/>
        </w:rPr>
        <w:t xml:space="preserve"> specializované pracovní týmy pro podporu vlastní či</w:t>
      </w:r>
      <w:r w:rsidR="00AC0B01" w:rsidRPr="00667F6D">
        <w:rPr>
          <w:rFonts w:asciiTheme="minorHAnsi" w:hAnsiTheme="minorHAnsi"/>
        </w:rPr>
        <w:t>n</w:t>
      </w:r>
      <w:r w:rsidR="0022533E" w:rsidRPr="00667F6D">
        <w:rPr>
          <w:rFonts w:asciiTheme="minorHAnsi" w:hAnsiTheme="minorHAnsi"/>
        </w:rPr>
        <w:t>nosti a</w:t>
      </w:r>
      <w:r w:rsidR="00340E02">
        <w:rPr>
          <w:rFonts w:asciiTheme="minorHAnsi" w:hAnsiTheme="minorHAnsi"/>
        </w:rPr>
        <w:t> </w:t>
      </w:r>
      <w:r w:rsidR="0022533E" w:rsidRPr="00667F6D">
        <w:rPr>
          <w:rFonts w:asciiTheme="minorHAnsi" w:hAnsiTheme="minorHAnsi"/>
        </w:rPr>
        <w:t>přípravu Akčního plánu v</w:t>
      </w:r>
      <w:r w:rsidR="00340E02">
        <w:rPr>
          <w:rFonts w:asciiTheme="minorHAnsi" w:hAnsiTheme="minorHAnsi"/>
        </w:rPr>
        <w:t> </w:t>
      </w:r>
      <w:r w:rsidR="0022533E" w:rsidRPr="00667F6D">
        <w:rPr>
          <w:rFonts w:asciiTheme="minorHAnsi" w:hAnsiTheme="minorHAnsi"/>
        </w:rPr>
        <w:t>oblasti analytické, finanční a</w:t>
      </w:r>
      <w:r w:rsidR="00340E02">
        <w:rPr>
          <w:rFonts w:asciiTheme="minorHAnsi" w:hAnsiTheme="minorHAnsi"/>
        </w:rPr>
        <w:t> </w:t>
      </w:r>
      <w:r w:rsidR="0022533E" w:rsidRPr="00667F6D">
        <w:rPr>
          <w:rFonts w:asciiTheme="minorHAnsi" w:hAnsiTheme="minorHAnsi"/>
        </w:rPr>
        <w:t>marketingu.</w:t>
      </w:r>
    </w:p>
    <w:p w14:paraId="2C0E7449" w14:textId="77777777" w:rsidR="00F21F39" w:rsidRPr="0022533E" w:rsidRDefault="00F21F39" w:rsidP="008F58CB">
      <w:pPr>
        <w:pStyle w:val="Nadpis3"/>
      </w:pPr>
      <w:bookmarkStart w:id="11" w:name="_Toc26975917"/>
      <w:r>
        <w:t>TÝM ANALYTIKŮ</w:t>
      </w:r>
      <w:bookmarkEnd w:id="11"/>
    </w:p>
    <w:p w14:paraId="47428D6A" w14:textId="11898232" w:rsidR="00055D06" w:rsidRPr="00667F6D" w:rsidRDefault="00055D06" w:rsidP="00057DC3">
      <w:pPr>
        <w:spacing w:after="0"/>
        <w:rPr>
          <w:rFonts w:asciiTheme="minorHAnsi" w:hAnsiTheme="minorHAnsi"/>
        </w:rPr>
      </w:pPr>
      <w:r w:rsidRPr="00667F6D">
        <w:rPr>
          <w:rFonts w:asciiTheme="minorHAnsi" w:hAnsiTheme="minorHAnsi"/>
        </w:rPr>
        <w:t>Tým bude složen z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odborníků v</w:t>
      </w:r>
      <w:r w:rsidR="00340E02">
        <w:rPr>
          <w:rFonts w:asciiTheme="minorHAnsi" w:hAnsiTheme="minorHAnsi"/>
        </w:rPr>
        <w:t> </w:t>
      </w:r>
      <w:r w:rsidR="00C15E86">
        <w:rPr>
          <w:rFonts w:asciiTheme="minorHAnsi" w:hAnsiTheme="minorHAnsi"/>
        </w:rPr>
        <w:t xml:space="preserve">dané </w:t>
      </w:r>
      <w:r w:rsidR="00B8503B" w:rsidRPr="00667F6D">
        <w:rPr>
          <w:rFonts w:asciiTheme="minorHAnsi" w:hAnsiTheme="minorHAnsi"/>
        </w:rPr>
        <w:t>oblasti a</w:t>
      </w:r>
      <w:r w:rsidR="00340E02">
        <w:rPr>
          <w:rFonts w:asciiTheme="minorHAnsi" w:hAnsiTheme="minorHAnsi"/>
        </w:rPr>
        <w:t> </w:t>
      </w:r>
      <w:r w:rsidR="00B8503B" w:rsidRPr="00667F6D">
        <w:rPr>
          <w:rFonts w:asciiTheme="minorHAnsi" w:hAnsiTheme="minorHAnsi"/>
        </w:rPr>
        <w:t>výstupem budou analýzy</w:t>
      </w:r>
      <w:r w:rsidRPr="00667F6D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rozbory, predikce a</w:t>
      </w:r>
      <w:r w:rsidR="00340E02">
        <w:rPr>
          <w:rFonts w:asciiTheme="minorHAnsi" w:hAnsiTheme="minorHAnsi"/>
        </w:rPr>
        <w:t> </w:t>
      </w:r>
      <w:proofErr w:type="spellStart"/>
      <w:r w:rsidRPr="00667F6D">
        <w:rPr>
          <w:rFonts w:asciiTheme="minorHAnsi" w:hAnsiTheme="minorHAnsi"/>
        </w:rPr>
        <w:t>infografiky</w:t>
      </w:r>
      <w:proofErr w:type="spellEnd"/>
      <w:r w:rsidRPr="00667F6D">
        <w:rPr>
          <w:rFonts w:asciiTheme="minorHAnsi" w:hAnsiTheme="minorHAnsi"/>
        </w:rPr>
        <w:t xml:space="preserve"> vyplývající z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potřeb </w:t>
      </w:r>
      <w:r w:rsidR="003230B9">
        <w:rPr>
          <w:rFonts w:asciiTheme="minorHAnsi" w:hAnsiTheme="minorHAnsi"/>
        </w:rPr>
        <w:t>řízení a</w:t>
      </w:r>
      <w:r w:rsidR="00340E02">
        <w:rPr>
          <w:rFonts w:asciiTheme="minorHAnsi" w:hAnsiTheme="minorHAnsi"/>
        </w:rPr>
        <w:t> </w:t>
      </w:r>
      <w:r w:rsidR="003230B9">
        <w:rPr>
          <w:rFonts w:asciiTheme="minorHAnsi" w:hAnsiTheme="minorHAnsi"/>
        </w:rPr>
        <w:t>realizace Strategie</w:t>
      </w:r>
      <w:r w:rsidRPr="00667F6D">
        <w:rPr>
          <w:rFonts w:asciiTheme="minorHAnsi" w:hAnsiTheme="minorHAnsi"/>
        </w:rPr>
        <w:t>. Pracovní tým může být rozšířen o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externí spolupr</w:t>
      </w:r>
      <w:r w:rsidR="00C15E86">
        <w:rPr>
          <w:rFonts w:asciiTheme="minorHAnsi" w:hAnsiTheme="minorHAnsi"/>
        </w:rPr>
        <w:t>acovníky</w:t>
      </w:r>
      <w:r w:rsidRPr="00667F6D">
        <w:rPr>
          <w:rFonts w:asciiTheme="minorHAnsi" w:hAnsiTheme="minorHAnsi"/>
        </w:rPr>
        <w:t>.</w:t>
      </w:r>
    </w:p>
    <w:p w14:paraId="5F38090D" w14:textId="77777777" w:rsidR="00F21F39" w:rsidRDefault="00F21F39" w:rsidP="008F58CB">
      <w:pPr>
        <w:pStyle w:val="Nadpis3"/>
      </w:pPr>
      <w:bookmarkStart w:id="12" w:name="_Toc26975918"/>
      <w:r>
        <w:t>TÝM PRO FINANCOVÁNÍ</w:t>
      </w:r>
      <w:bookmarkEnd w:id="12"/>
    </w:p>
    <w:p w14:paraId="7DA4ADFE" w14:textId="04924CAD" w:rsidR="00D352F2" w:rsidRPr="00667F6D" w:rsidRDefault="00C15E86" w:rsidP="00667F6D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Tento</w:t>
      </w:r>
      <w:r w:rsidR="00240FF6" w:rsidRPr="00667F6D">
        <w:rPr>
          <w:rFonts w:asciiTheme="minorHAnsi" w:hAnsiTheme="minorHAnsi"/>
        </w:rPr>
        <w:t xml:space="preserve"> </w:t>
      </w:r>
      <w:r w:rsidR="00055D06" w:rsidRPr="00667F6D">
        <w:rPr>
          <w:rFonts w:asciiTheme="minorHAnsi" w:hAnsiTheme="minorHAnsi"/>
        </w:rPr>
        <w:t>tým bude složen z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vedoucích pracovníků</w:t>
      </w:r>
      <w:r w:rsidR="00D352F2" w:rsidRPr="00667F6D">
        <w:rPr>
          <w:rFonts w:asciiTheme="minorHAnsi" w:hAnsiTheme="minorHAnsi"/>
        </w:rPr>
        <w:t>, odpovědných za řízení operačních programů ESI fond</w:t>
      </w:r>
      <w:r w:rsidR="005A1D06" w:rsidRPr="00667F6D">
        <w:rPr>
          <w:rFonts w:asciiTheme="minorHAnsi" w:hAnsiTheme="minorHAnsi"/>
        </w:rPr>
        <w:t>ů, n</w:t>
      </w:r>
      <w:r w:rsidR="00D352F2" w:rsidRPr="00667F6D">
        <w:rPr>
          <w:rFonts w:asciiTheme="minorHAnsi" w:hAnsiTheme="minorHAnsi"/>
        </w:rPr>
        <w:t>árodních programů podpory, komunitárních a</w:t>
      </w:r>
      <w:r w:rsidR="00340E02">
        <w:rPr>
          <w:rFonts w:asciiTheme="minorHAnsi" w:hAnsiTheme="minorHAnsi"/>
        </w:rPr>
        <w:t> </w:t>
      </w:r>
      <w:r w:rsidR="00D352F2" w:rsidRPr="00667F6D">
        <w:rPr>
          <w:rFonts w:asciiTheme="minorHAnsi" w:hAnsiTheme="minorHAnsi"/>
        </w:rPr>
        <w:t>dalších program</w:t>
      </w:r>
      <w:r>
        <w:rPr>
          <w:rFonts w:asciiTheme="minorHAnsi" w:hAnsiTheme="minorHAnsi"/>
        </w:rPr>
        <w:t>ů, případně z</w:t>
      </w:r>
      <w:r w:rsidR="00340E02">
        <w:rPr>
          <w:rFonts w:asciiTheme="minorHAnsi" w:hAnsiTheme="minorHAnsi"/>
        </w:rPr>
        <w:t> </w:t>
      </w:r>
      <w:r>
        <w:rPr>
          <w:rFonts w:asciiTheme="minorHAnsi" w:hAnsiTheme="minorHAnsi"/>
        </w:rPr>
        <w:t>dalších</w:t>
      </w:r>
      <w:r w:rsidR="00055D06" w:rsidRPr="00667F6D">
        <w:rPr>
          <w:rFonts w:asciiTheme="minorHAnsi" w:hAnsiTheme="minorHAnsi"/>
        </w:rPr>
        <w:t xml:space="preserve"> odborníků v</w:t>
      </w:r>
      <w:r w:rsidR="00340E02">
        <w:rPr>
          <w:rFonts w:asciiTheme="minorHAnsi" w:hAnsiTheme="minorHAnsi"/>
        </w:rPr>
        <w:t> </w:t>
      </w:r>
      <w:r w:rsidR="00055D06" w:rsidRPr="00667F6D">
        <w:rPr>
          <w:rFonts w:asciiTheme="minorHAnsi" w:hAnsiTheme="minorHAnsi"/>
        </w:rPr>
        <w:t>oblasti finan</w:t>
      </w:r>
      <w:r w:rsidR="00D352F2" w:rsidRPr="00667F6D">
        <w:rPr>
          <w:rFonts w:asciiTheme="minorHAnsi" w:hAnsiTheme="minorHAnsi"/>
        </w:rPr>
        <w:t xml:space="preserve">cování. </w:t>
      </w:r>
    </w:p>
    <w:p w14:paraId="7111118E" w14:textId="74C8B551" w:rsidR="005A1D06" w:rsidRPr="004552C8" w:rsidRDefault="005A1D06" w:rsidP="005A1D06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Základním výstupe</w:t>
      </w:r>
      <w:r w:rsidR="0022533E" w:rsidRPr="00667F6D">
        <w:rPr>
          <w:rFonts w:asciiTheme="minorHAnsi" w:hAnsiTheme="minorHAnsi"/>
        </w:rPr>
        <w:t xml:space="preserve">m Pracovního týmu Financování </w:t>
      </w:r>
      <w:r w:rsidRPr="00667F6D">
        <w:rPr>
          <w:rFonts w:asciiTheme="minorHAnsi" w:hAnsiTheme="minorHAnsi"/>
        </w:rPr>
        <w:t xml:space="preserve">je </w:t>
      </w:r>
      <w:r w:rsidRPr="00667F6D">
        <w:rPr>
          <w:rFonts w:asciiTheme="minorHAnsi" w:hAnsiTheme="minorHAnsi"/>
          <w:i/>
        </w:rPr>
        <w:t xml:space="preserve">Strategie financování </w:t>
      </w:r>
      <w:r w:rsidR="00253140" w:rsidRPr="00667F6D">
        <w:rPr>
          <w:rFonts w:asciiTheme="minorHAnsi" w:hAnsiTheme="minorHAnsi"/>
          <w:i/>
        </w:rPr>
        <w:t>I</w:t>
      </w:r>
      <w:r w:rsidR="00253140">
        <w:rPr>
          <w:rFonts w:asciiTheme="minorHAnsi" w:hAnsiTheme="minorHAnsi"/>
          <w:i/>
        </w:rPr>
        <w:t>novační strategie</w:t>
      </w:r>
      <w:r w:rsidRPr="00667F6D">
        <w:rPr>
          <w:rFonts w:asciiTheme="minorHAnsi" w:hAnsiTheme="minorHAnsi"/>
          <w:i/>
        </w:rPr>
        <w:t xml:space="preserve"> </w:t>
      </w:r>
      <w:r w:rsidR="003230B9">
        <w:rPr>
          <w:rFonts w:asciiTheme="minorHAnsi" w:hAnsiTheme="minorHAnsi"/>
          <w:i/>
        </w:rPr>
        <w:t xml:space="preserve">ČR </w:t>
      </w:r>
      <w:r w:rsidRPr="00667F6D">
        <w:rPr>
          <w:rFonts w:asciiTheme="minorHAnsi" w:hAnsiTheme="minorHAnsi"/>
          <w:i/>
        </w:rPr>
        <w:t>2030</w:t>
      </w:r>
      <w:r w:rsidR="004552C8">
        <w:rPr>
          <w:rFonts w:asciiTheme="minorHAnsi" w:hAnsiTheme="minorHAnsi"/>
          <w:i/>
        </w:rPr>
        <w:t xml:space="preserve"> </w:t>
      </w:r>
      <w:r w:rsidR="004552C8" w:rsidRPr="004552C8">
        <w:rPr>
          <w:rFonts w:asciiTheme="minorHAnsi" w:hAnsiTheme="minorHAnsi"/>
        </w:rPr>
        <w:t>včetně realizace akčních plánů jako nástroje řízení.</w:t>
      </w:r>
    </w:p>
    <w:p w14:paraId="31B3F3AB" w14:textId="1F228FCA" w:rsidR="00055D06" w:rsidRPr="00667F6D" w:rsidRDefault="00D352F2" w:rsidP="005A1D06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Kontinuální činností týmu </w:t>
      </w:r>
      <w:r w:rsidR="003230B9">
        <w:rPr>
          <w:rFonts w:asciiTheme="minorHAnsi" w:hAnsiTheme="minorHAnsi"/>
        </w:rPr>
        <w:t>bude</w:t>
      </w:r>
      <w:r w:rsidRPr="00667F6D">
        <w:rPr>
          <w:rFonts w:asciiTheme="minorHAnsi" w:hAnsiTheme="minorHAnsi"/>
        </w:rPr>
        <w:t xml:space="preserve"> systematické promítnutí cílů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potřeb </w:t>
      </w:r>
      <w:r w:rsidR="00C15E86">
        <w:rPr>
          <w:rFonts w:asciiTheme="minorHAnsi" w:hAnsiTheme="minorHAnsi"/>
        </w:rPr>
        <w:t>S</w:t>
      </w:r>
      <w:r w:rsidRPr="00667F6D">
        <w:rPr>
          <w:rFonts w:asciiTheme="minorHAnsi" w:hAnsiTheme="minorHAnsi"/>
        </w:rPr>
        <w:t>trategie do jednotlivých finančních programů s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ohledem na maximalizaci využití finančních zdroj</w:t>
      </w:r>
      <w:r w:rsidR="00240FF6" w:rsidRPr="00667F6D">
        <w:rPr>
          <w:rFonts w:asciiTheme="minorHAnsi" w:hAnsiTheme="minorHAnsi"/>
        </w:rPr>
        <w:t>ů</w:t>
      </w:r>
      <w:r w:rsidRPr="00667F6D">
        <w:rPr>
          <w:rFonts w:asciiTheme="minorHAnsi" w:hAnsiTheme="minorHAnsi"/>
        </w:rPr>
        <w:t xml:space="preserve"> dle principu minimalizace zatížení státního rozpočtu.</w:t>
      </w:r>
    </w:p>
    <w:p w14:paraId="5F97AD7A" w14:textId="77777777" w:rsidR="00F21F39" w:rsidRDefault="00F21F39" w:rsidP="008F58CB">
      <w:pPr>
        <w:pStyle w:val="Nadpis3"/>
      </w:pPr>
      <w:bookmarkStart w:id="13" w:name="_Toc26975919"/>
      <w:r>
        <w:t>TÝM PRO MARKETING</w:t>
      </w:r>
      <w:bookmarkEnd w:id="13"/>
    </w:p>
    <w:p w14:paraId="3C9C0C4C" w14:textId="36F66C84" w:rsidR="00240FF6" w:rsidRPr="00F55C09" w:rsidRDefault="005A599D" w:rsidP="00F21F39">
      <w:pPr>
        <w:rPr>
          <w:rFonts w:asciiTheme="minorHAnsi" w:hAnsiTheme="minorHAnsi"/>
        </w:rPr>
      </w:pPr>
      <w:r>
        <w:rPr>
          <w:rFonts w:asciiTheme="minorHAnsi" w:hAnsiTheme="minorHAnsi"/>
        </w:rPr>
        <w:t>Úkolem Týmu bude</w:t>
      </w:r>
      <w:r w:rsidR="0022533E" w:rsidRPr="00F55C09">
        <w:rPr>
          <w:rFonts w:asciiTheme="minorHAnsi" w:hAnsiTheme="minorHAnsi"/>
        </w:rPr>
        <w:t xml:space="preserve"> ucelen</w:t>
      </w:r>
      <w:r>
        <w:rPr>
          <w:rFonts w:asciiTheme="minorHAnsi" w:hAnsiTheme="minorHAnsi"/>
        </w:rPr>
        <w:t>á</w:t>
      </w:r>
      <w:r w:rsidR="0022533E" w:rsidRPr="00F55C09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="0022533E" w:rsidRPr="00F55C09">
        <w:rPr>
          <w:rFonts w:asciiTheme="minorHAnsi" w:hAnsiTheme="minorHAnsi"/>
        </w:rPr>
        <w:t>jednotn</w:t>
      </w:r>
      <w:r>
        <w:rPr>
          <w:rFonts w:asciiTheme="minorHAnsi" w:hAnsiTheme="minorHAnsi"/>
        </w:rPr>
        <w:t>á</w:t>
      </w:r>
      <w:r w:rsidR="0022533E" w:rsidRPr="00F55C09">
        <w:rPr>
          <w:rFonts w:asciiTheme="minorHAnsi" w:hAnsiTheme="minorHAnsi"/>
        </w:rPr>
        <w:t xml:space="preserve"> komunikace</w:t>
      </w:r>
      <w:r w:rsidR="00C15E86">
        <w:rPr>
          <w:rFonts w:asciiTheme="minorHAnsi" w:hAnsiTheme="minorHAnsi"/>
        </w:rPr>
        <w:t xml:space="preserve"> výstupů</w:t>
      </w:r>
      <w:r w:rsidR="00253140">
        <w:rPr>
          <w:rFonts w:asciiTheme="minorHAnsi" w:hAnsiTheme="minorHAnsi"/>
        </w:rPr>
        <w:t xml:space="preserve"> Inovační strategie</w:t>
      </w:r>
      <w:r w:rsidR="00C15E86">
        <w:rPr>
          <w:rFonts w:asciiTheme="minorHAnsi" w:hAnsiTheme="minorHAnsi"/>
        </w:rPr>
        <w:t xml:space="preserve"> 2030</w:t>
      </w:r>
      <w:r w:rsidR="0022533E" w:rsidRPr="00F55C09">
        <w:rPr>
          <w:rFonts w:asciiTheme="minorHAnsi" w:hAnsiTheme="minorHAnsi"/>
        </w:rPr>
        <w:t>.</w:t>
      </w:r>
      <w:r w:rsidR="00240FF6" w:rsidRPr="00F55C09">
        <w:rPr>
          <w:rFonts w:asciiTheme="minorHAnsi" w:hAnsiTheme="minorHAnsi"/>
        </w:rPr>
        <w:t xml:space="preserve"> Marketingový tým na základě spolupráce a</w:t>
      </w:r>
      <w:r w:rsidR="00340E02">
        <w:rPr>
          <w:rFonts w:asciiTheme="minorHAnsi" w:hAnsiTheme="minorHAnsi"/>
        </w:rPr>
        <w:t> </w:t>
      </w:r>
      <w:r w:rsidR="00240FF6" w:rsidRPr="00F55C09">
        <w:rPr>
          <w:rFonts w:asciiTheme="minorHAnsi" w:hAnsiTheme="minorHAnsi"/>
        </w:rPr>
        <w:t>výstupů z</w:t>
      </w:r>
      <w:r w:rsidR="00340E02">
        <w:rPr>
          <w:rFonts w:asciiTheme="minorHAnsi" w:hAnsiTheme="minorHAnsi"/>
        </w:rPr>
        <w:t> </w:t>
      </w:r>
      <w:r w:rsidR="00240FF6" w:rsidRPr="00F55C09">
        <w:rPr>
          <w:rFonts w:asciiTheme="minorHAnsi" w:hAnsiTheme="minorHAnsi"/>
        </w:rPr>
        <w:t>činnosti analytického týmu navrhne strategické produkty, nové nástroje</w:t>
      </w:r>
      <w:r w:rsidR="00C15E86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="00240FF6" w:rsidRPr="00F55C09">
        <w:rPr>
          <w:rFonts w:asciiTheme="minorHAnsi" w:hAnsiTheme="minorHAnsi"/>
        </w:rPr>
        <w:t>klíčové projekty k</w:t>
      </w:r>
      <w:r w:rsidR="00340E02">
        <w:rPr>
          <w:rFonts w:asciiTheme="minorHAnsi" w:hAnsiTheme="minorHAnsi"/>
        </w:rPr>
        <w:t> </w:t>
      </w:r>
      <w:r w:rsidR="00240FF6" w:rsidRPr="00F55C09">
        <w:rPr>
          <w:rFonts w:asciiTheme="minorHAnsi" w:hAnsiTheme="minorHAnsi"/>
        </w:rPr>
        <w:t xml:space="preserve">realizaci </w:t>
      </w:r>
      <w:r w:rsidR="00C15E86">
        <w:rPr>
          <w:rFonts w:asciiTheme="minorHAnsi" w:hAnsiTheme="minorHAnsi"/>
        </w:rPr>
        <w:t xml:space="preserve">prezentace </w:t>
      </w:r>
      <w:r w:rsidR="003230B9">
        <w:rPr>
          <w:rFonts w:asciiTheme="minorHAnsi" w:hAnsiTheme="minorHAnsi"/>
        </w:rPr>
        <w:t>Strategie</w:t>
      </w:r>
      <w:r w:rsidR="00975732">
        <w:rPr>
          <w:rFonts w:asciiTheme="minorHAnsi" w:hAnsiTheme="minorHAnsi"/>
        </w:rPr>
        <w:t xml:space="preserve"> v</w:t>
      </w:r>
      <w:r w:rsidR="00340E02">
        <w:rPr>
          <w:rFonts w:asciiTheme="minorHAnsi" w:hAnsiTheme="minorHAnsi"/>
        </w:rPr>
        <w:t> </w:t>
      </w:r>
      <w:r w:rsidR="00975732">
        <w:rPr>
          <w:rFonts w:asciiTheme="minorHAnsi" w:hAnsiTheme="minorHAnsi"/>
        </w:rPr>
        <w:t>součinnosti s</w:t>
      </w:r>
      <w:r w:rsidR="00340E02">
        <w:rPr>
          <w:rFonts w:asciiTheme="minorHAnsi" w:hAnsiTheme="minorHAnsi"/>
        </w:rPr>
        <w:t> </w:t>
      </w:r>
      <w:r w:rsidR="00975732">
        <w:rPr>
          <w:rFonts w:asciiTheme="minorHAnsi" w:hAnsiTheme="minorHAnsi"/>
        </w:rPr>
        <w:t>Národním marketingovým týmem České republiky (</w:t>
      </w:r>
      <w:r w:rsidR="00C576DB">
        <w:rPr>
          <w:rFonts w:asciiTheme="minorHAnsi" w:hAnsiTheme="minorHAnsi"/>
        </w:rPr>
        <w:t>Usnesení V</w:t>
      </w:r>
      <w:r w:rsidR="00975732">
        <w:rPr>
          <w:rFonts w:asciiTheme="minorHAnsi" w:hAnsiTheme="minorHAnsi"/>
        </w:rPr>
        <w:t>lády ČR č. 588 ze dne 26. 8. 2019).</w:t>
      </w:r>
    </w:p>
    <w:p w14:paraId="7C24BBAF" w14:textId="57F3495C" w:rsidR="00F21F39" w:rsidRPr="00F55C09" w:rsidRDefault="00240FF6" w:rsidP="00F21F39">
      <w:pPr>
        <w:rPr>
          <w:rFonts w:asciiTheme="minorHAnsi" w:hAnsiTheme="minorHAnsi"/>
        </w:rPr>
      </w:pPr>
      <w:r w:rsidRPr="00F55C09">
        <w:rPr>
          <w:rFonts w:asciiTheme="minorHAnsi" w:hAnsiTheme="minorHAnsi"/>
        </w:rPr>
        <w:t xml:space="preserve">Kontinuální činností </w:t>
      </w:r>
      <w:r w:rsidR="00C15E86">
        <w:rPr>
          <w:rFonts w:asciiTheme="minorHAnsi" w:hAnsiTheme="minorHAnsi"/>
        </w:rPr>
        <w:t xml:space="preserve">marketingového </w:t>
      </w:r>
      <w:r w:rsidRPr="00F55C09">
        <w:rPr>
          <w:rFonts w:asciiTheme="minorHAnsi" w:hAnsiTheme="minorHAnsi"/>
        </w:rPr>
        <w:t xml:space="preserve">týmu je zavádění výkonnostního marketingu pro jednotlivé segmenty </w:t>
      </w:r>
      <w:r w:rsidR="00C15E86">
        <w:rPr>
          <w:rFonts w:asciiTheme="minorHAnsi" w:hAnsiTheme="minorHAnsi"/>
        </w:rPr>
        <w:t xml:space="preserve">českého hospodářství </w:t>
      </w:r>
      <w:r w:rsidR="004049E7" w:rsidRPr="00F55C09">
        <w:rPr>
          <w:rFonts w:asciiTheme="minorHAnsi" w:hAnsiTheme="minorHAnsi"/>
        </w:rPr>
        <w:t>např. v</w:t>
      </w:r>
      <w:r w:rsidR="00340E02">
        <w:rPr>
          <w:rFonts w:asciiTheme="minorHAnsi" w:hAnsiTheme="minorHAnsi"/>
        </w:rPr>
        <w:t> </w:t>
      </w:r>
      <w:r w:rsidR="004049E7" w:rsidRPr="00F55C09">
        <w:rPr>
          <w:rFonts w:asciiTheme="minorHAnsi" w:hAnsiTheme="minorHAnsi"/>
        </w:rPr>
        <w:t>oblastech</w:t>
      </w:r>
      <w:r w:rsidRPr="00F55C09">
        <w:rPr>
          <w:rFonts w:asciiTheme="minorHAnsi" w:hAnsiTheme="minorHAnsi"/>
        </w:rPr>
        <w:t xml:space="preserve"> průmyslu, vnitřního obchodu státu, </w:t>
      </w:r>
      <w:r w:rsidR="004049E7" w:rsidRPr="00F55C09">
        <w:rPr>
          <w:rFonts w:asciiTheme="minorHAnsi" w:hAnsiTheme="minorHAnsi"/>
        </w:rPr>
        <w:t>podpory B2G, podpory cestovního ruchu, strategických kulturních a</w:t>
      </w:r>
      <w:r w:rsidR="00340E02">
        <w:rPr>
          <w:rFonts w:asciiTheme="minorHAnsi" w:hAnsiTheme="minorHAnsi"/>
        </w:rPr>
        <w:t> </w:t>
      </w:r>
      <w:r w:rsidR="004049E7" w:rsidRPr="00F55C09">
        <w:rPr>
          <w:rFonts w:asciiTheme="minorHAnsi" w:hAnsiTheme="minorHAnsi"/>
        </w:rPr>
        <w:t>sportovních událostí a</w:t>
      </w:r>
      <w:r w:rsidR="00340E02">
        <w:rPr>
          <w:rFonts w:asciiTheme="minorHAnsi" w:hAnsiTheme="minorHAnsi"/>
        </w:rPr>
        <w:t> </w:t>
      </w:r>
      <w:r w:rsidR="00C15E86">
        <w:rPr>
          <w:rFonts w:asciiTheme="minorHAnsi" w:hAnsiTheme="minorHAnsi"/>
        </w:rPr>
        <w:t xml:space="preserve">v </w:t>
      </w:r>
      <w:r w:rsidR="004049E7" w:rsidRPr="00F55C09">
        <w:rPr>
          <w:rFonts w:asciiTheme="minorHAnsi" w:hAnsiTheme="minorHAnsi"/>
        </w:rPr>
        <w:t>další</w:t>
      </w:r>
      <w:r w:rsidR="00C15E86">
        <w:rPr>
          <w:rFonts w:asciiTheme="minorHAnsi" w:hAnsiTheme="minorHAnsi"/>
        </w:rPr>
        <w:t>ch</w:t>
      </w:r>
      <w:r w:rsidR="004049E7" w:rsidRPr="00F55C09">
        <w:rPr>
          <w:rFonts w:asciiTheme="minorHAnsi" w:hAnsiTheme="minorHAnsi"/>
        </w:rPr>
        <w:t>.</w:t>
      </w:r>
      <w:r w:rsidR="00814A4E" w:rsidRPr="00F55C09">
        <w:rPr>
          <w:rFonts w:asciiTheme="minorHAnsi" w:hAnsiTheme="minorHAnsi"/>
        </w:rPr>
        <w:t xml:space="preserve"> Svou činnost bude</w:t>
      </w:r>
      <w:r w:rsidR="00C15E86">
        <w:rPr>
          <w:rFonts w:asciiTheme="minorHAnsi" w:hAnsiTheme="minorHAnsi"/>
        </w:rPr>
        <w:t xml:space="preserve"> marketingový tým</w:t>
      </w:r>
      <w:r w:rsidR="00814A4E" w:rsidRPr="00F55C09">
        <w:rPr>
          <w:rFonts w:asciiTheme="minorHAnsi" w:hAnsiTheme="minorHAnsi"/>
        </w:rPr>
        <w:t xml:space="preserve"> kromě Garantů pilířů koordinovat a</w:t>
      </w:r>
      <w:r w:rsidR="00340E02">
        <w:rPr>
          <w:rFonts w:asciiTheme="minorHAnsi" w:hAnsiTheme="minorHAnsi"/>
        </w:rPr>
        <w:t> </w:t>
      </w:r>
      <w:r w:rsidR="00814A4E" w:rsidRPr="00F55C09">
        <w:rPr>
          <w:rFonts w:asciiTheme="minorHAnsi" w:hAnsiTheme="minorHAnsi"/>
        </w:rPr>
        <w:t>úzce spolupracovat s</w:t>
      </w:r>
      <w:r w:rsidR="00340E02">
        <w:rPr>
          <w:rFonts w:asciiTheme="minorHAnsi" w:hAnsiTheme="minorHAnsi"/>
        </w:rPr>
        <w:t> </w:t>
      </w:r>
      <w:r w:rsidR="00814A4E" w:rsidRPr="00F55C09">
        <w:rPr>
          <w:rFonts w:asciiTheme="minorHAnsi" w:hAnsiTheme="minorHAnsi"/>
        </w:rPr>
        <w:t xml:space="preserve">Ministerstvem financí České republiky. </w:t>
      </w:r>
    </w:p>
    <w:p w14:paraId="7671B60E" w14:textId="28F80F98" w:rsidR="0022533E" w:rsidRPr="00F55C09" w:rsidRDefault="0022533E" w:rsidP="00326870">
      <w:pPr>
        <w:tabs>
          <w:tab w:val="left" w:pos="5594"/>
        </w:tabs>
        <w:rPr>
          <w:rFonts w:asciiTheme="minorHAnsi" w:hAnsiTheme="minorHAnsi"/>
        </w:rPr>
      </w:pPr>
      <w:r w:rsidRPr="00F55C09">
        <w:rPr>
          <w:rFonts w:asciiTheme="minorHAnsi" w:hAnsiTheme="minorHAnsi"/>
        </w:rPr>
        <w:t xml:space="preserve">Výstupem činnosti bude </w:t>
      </w:r>
      <w:r w:rsidRPr="00F55C09">
        <w:rPr>
          <w:rFonts w:asciiTheme="minorHAnsi" w:hAnsiTheme="minorHAnsi"/>
          <w:i/>
        </w:rPr>
        <w:t xml:space="preserve">Marketingová strategie </w:t>
      </w:r>
      <w:r w:rsidR="00253140" w:rsidRPr="00667F6D">
        <w:rPr>
          <w:rFonts w:asciiTheme="minorHAnsi" w:hAnsiTheme="minorHAnsi"/>
          <w:i/>
        </w:rPr>
        <w:t>I</w:t>
      </w:r>
      <w:r w:rsidR="00253140">
        <w:rPr>
          <w:rFonts w:asciiTheme="minorHAnsi" w:hAnsiTheme="minorHAnsi"/>
          <w:i/>
        </w:rPr>
        <w:t>novační strategie</w:t>
      </w:r>
      <w:r w:rsidRPr="00F55C09">
        <w:rPr>
          <w:rFonts w:asciiTheme="minorHAnsi" w:hAnsiTheme="minorHAnsi"/>
          <w:i/>
        </w:rPr>
        <w:t xml:space="preserve"> 2030</w:t>
      </w:r>
      <w:r w:rsidRPr="00F55C09">
        <w:rPr>
          <w:rFonts w:asciiTheme="minorHAnsi" w:hAnsiTheme="minorHAnsi"/>
        </w:rPr>
        <w:t>.</w:t>
      </w:r>
    </w:p>
    <w:p w14:paraId="4755C3EE" w14:textId="30FF376F" w:rsidR="00326870" w:rsidRDefault="00326870" w:rsidP="008F58CB">
      <w:pPr>
        <w:pStyle w:val="Nadpis1"/>
      </w:pPr>
      <w:bookmarkStart w:id="14" w:name="_Toc26975920"/>
      <w:r>
        <w:lastRenderedPageBreak/>
        <w:t>NÁSTROJE ŘÍZENÍ</w:t>
      </w:r>
      <w:bookmarkEnd w:id="14"/>
    </w:p>
    <w:p w14:paraId="1421D352" w14:textId="0921AC8D" w:rsidR="00BD5862" w:rsidRPr="004D6186" w:rsidRDefault="00BD5862" w:rsidP="004D6186">
      <w:pPr>
        <w:pStyle w:val="Nadpis2"/>
      </w:pPr>
      <w:bookmarkStart w:id="15" w:name="_Toc26975921"/>
      <w:r w:rsidRPr="00253140">
        <w:t>Zpráva o</w:t>
      </w:r>
      <w:r w:rsidR="00340E02">
        <w:t> </w:t>
      </w:r>
      <w:r w:rsidRPr="00253140">
        <w:t xml:space="preserve">realizaci </w:t>
      </w:r>
      <w:r w:rsidR="00253140">
        <w:t>I</w:t>
      </w:r>
      <w:r w:rsidR="00253140" w:rsidRPr="00483762">
        <w:t>novační strategie</w:t>
      </w:r>
      <w:r w:rsidRPr="00253140">
        <w:t xml:space="preserve"> 2030</w:t>
      </w:r>
      <w:bookmarkEnd w:id="15"/>
    </w:p>
    <w:p w14:paraId="49821528" w14:textId="44F9EF44" w:rsidR="00BD5862" w:rsidRPr="00667F6D" w:rsidRDefault="00BD5862" w:rsidP="008F58CB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Zpráva o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realizaci </w:t>
      </w:r>
      <w:r w:rsidR="00253140">
        <w:rPr>
          <w:rFonts w:asciiTheme="minorHAnsi" w:hAnsiTheme="minorHAnsi"/>
        </w:rPr>
        <w:t>Inovační strategie</w:t>
      </w:r>
      <w:r w:rsidRPr="00667F6D">
        <w:rPr>
          <w:rFonts w:asciiTheme="minorHAnsi" w:hAnsiTheme="minorHAnsi"/>
        </w:rPr>
        <w:t xml:space="preserve"> </w:t>
      </w:r>
      <w:r w:rsidR="003230B9">
        <w:rPr>
          <w:rFonts w:asciiTheme="minorHAnsi" w:hAnsiTheme="minorHAnsi"/>
        </w:rPr>
        <w:t xml:space="preserve">ČR </w:t>
      </w:r>
      <w:r w:rsidRPr="00667F6D">
        <w:rPr>
          <w:rFonts w:asciiTheme="minorHAnsi" w:hAnsiTheme="minorHAnsi"/>
        </w:rPr>
        <w:t xml:space="preserve">2030 </w:t>
      </w:r>
      <w:r w:rsidR="003230B9">
        <w:rPr>
          <w:rFonts w:asciiTheme="minorHAnsi" w:hAnsiTheme="minorHAnsi"/>
        </w:rPr>
        <w:t>p</w:t>
      </w:r>
      <w:r w:rsidR="003230B9" w:rsidRPr="00667F6D">
        <w:rPr>
          <w:rFonts w:asciiTheme="minorHAnsi" w:hAnsiTheme="minorHAnsi"/>
        </w:rPr>
        <w:t xml:space="preserve">ředstavuje </w:t>
      </w:r>
      <w:r w:rsidR="003230B9">
        <w:rPr>
          <w:rFonts w:asciiTheme="minorHAnsi" w:hAnsiTheme="minorHAnsi"/>
        </w:rPr>
        <w:t>roční</w:t>
      </w:r>
      <w:r w:rsidR="003230B9" w:rsidRPr="00667F6D">
        <w:rPr>
          <w:rFonts w:asciiTheme="minorHAnsi" w:hAnsiTheme="minorHAnsi"/>
        </w:rPr>
        <w:t xml:space="preserve"> zprávu o</w:t>
      </w:r>
      <w:r w:rsidR="00340E02">
        <w:rPr>
          <w:rFonts w:asciiTheme="minorHAnsi" w:hAnsiTheme="minorHAnsi"/>
        </w:rPr>
        <w:t> </w:t>
      </w:r>
      <w:r w:rsidR="003230B9" w:rsidRPr="00667F6D">
        <w:rPr>
          <w:rFonts w:asciiTheme="minorHAnsi" w:hAnsiTheme="minorHAnsi"/>
        </w:rPr>
        <w:t>pokroku, rizicích a</w:t>
      </w:r>
      <w:r w:rsidR="00340E02">
        <w:rPr>
          <w:rFonts w:asciiTheme="minorHAnsi" w:hAnsiTheme="minorHAnsi"/>
        </w:rPr>
        <w:t> </w:t>
      </w:r>
      <w:r w:rsidR="003230B9" w:rsidRPr="00667F6D">
        <w:rPr>
          <w:rFonts w:asciiTheme="minorHAnsi" w:hAnsiTheme="minorHAnsi"/>
        </w:rPr>
        <w:t>návrzích změn Strategie</w:t>
      </w:r>
      <w:r w:rsidR="003230B9">
        <w:rPr>
          <w:rFonts w:asciiTheme="minorHAnsi" w:hAnsiTheme="minorHAnsi"/>
        </w:rPr>
        <w:t xml:space="preserve"> 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 xml:space="preserve">je </w:t>
      </w:r>
      <w:r w:rsidR="003230B9">
        <w:rPr>
          <w:rFonts w:asciiTheme="minorHAnsi" w:hAnsiTheme="minorHAnsi"/>
        </w:rPr>
        <w:t>v</w:t>
      </w:r>
      <w:r w:rsidR="00340E02">
        <w:rPr>
          <w:rFonts w:asciiTheme="minorHAnsi" w:hAnsiTheme="minorHAnsi"/>
        </w:rPr>
        <w:t> </w:t>
      </w:r>
      <w:r w:rsidR="003230B9">
        <w:rPr>
          <w:rFonts w:asciiTheme="minorHAnsi" w:hAnsiTheme="minorHAnsi"/>
        </w:rPr>
        <w:t xml:space="preserve">ročních intervalech </w:t>
      </w:r>
      <w:r w:rsidRPr="00667F6D">
        <w:rPr>
          <w:rFonts w:asciiTheme="minorHAnsi" w:hAnsiTheme="minorHAnsi"/>
        </w:rPr>
        <w:t>předkládána</w:t>
      </w:r>
      <w:r w:rsidR="00C576DB">
        <w:rPr>
          <w:rFonts w:asciiTheme="minorHAnsi" w:hAnsiTheme="minorHAnsi"/>
        </w:rPr>
        <w:t xml:space="preserve"> RVVI a</w:t>
      </w:r>
      <w:r w:rsidR="00340E02">
        <w:rPr>
          <w:rFonts w:asciiTheme="minorHAnsi" w:hAnsiTheme="minorHAnsi"/>
        </w:rPr>
        <w:t> </w:t>
      </w:r>
      <w:r w:rsidR="00C576DB">
        <w:rPr>
          <w:rFonts w:asciiTheme="minorHAnsi" w:hAnsiTheme="minorHAnsi"/>
        </w:rPr>
        <w:t>Vládě ČR k</w:t>
      </w:r>
      <w:r w:rsidR="00340E02">
        <w:rPr>
          <w:rFonts w:asciiTheme="minorHAnsi" w:hAnsiTheme="minorHAnsi"/>
        </w:rPr>
        <w:t> </w:t>
      </w:r>
      <w:r w:rsidR="00C576DB">
        <w:rPr>
          <w:rFonts w:asciiTheme="minorHAnsi" w:hAnsiTheme="minorHAnsi"/>
        </w:rPr>
        <w:t>projednání.</w:t>
      </w:r>
    </w:p>
    <w:p w14:paraId="70B4B306" w14:textId="1A75D6A3" w:rsidR="00BD5862" w:rsidRPr="00667F6D" w:rsidRDefault="00BD5862" w:rsidP="008F58CB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Součástí zprávy je Akční plán IS 2030.</w:t>
      </w:r>
    </w:p>
    <w:p w14:paraId="6D4499BE" w14:textId="0DB36FFC" w:rsidR="00BD5862" w:rsidRPr="00253140" w:rsidRDefault="00BD5862" w:rsidP="00253140">
      <w:pPr>
        <w:pStyle w:val="Nadpis2"/>
      </w:pPr>
      <w:bookmarkStart w:id="16" w:name="_Toc26975922"/>
      <w:r w:rsidRPr="00253140">
        <w:t>Akční plán</w:t>
      </w:r>
      <w:r w:rsidR="00253140" w:rsidRPr="00253140">
        <w:t xml:space="preserve"> </w:t>
      </w:r>
      <w:r w:rsidR="00253140">
        <w:t>I</w:t>
      </w:r>
      <w:r w:rsidR="00253140" w:rsidRPr="004D6186">
        <w:t xml:space="preserve">novační strategie </w:t>
      </w:r>
      <w:r w:rsidR="003230B9">
        <w:t xml:space="preserve">ČR </w:t>
      </w:r>
      <w:r w:rsidRPr="00253140">
        <w:t>2030</w:t>
      </w:r>
      <w:bookmarkEnd w:id="16"/>
    </w:p>
    <w:p w14:paraId="7BCB084E" w14:textId="26ADD541" w:rsidR="00BD5862" w:rsidRPr="00667F6D" w:rsidRDefault="00BD5862" w:rsidP="00BD586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 xml:space="preserve">Akční plán IS 2030 je základní </w:t>
      </w:r>
      <w:r w:rsidR="00D81B33">
        <w:rPr>
          <w:rFonts w:asciiTheme="minorHAnsi" w:hAnsiTheme="minorHAnsi"/>
        </w:rPr>
        <w:t>implementační</w:t>
      </w:r>
      <w:r w:rsidR="00D81B33" w:rsidRPr="00667F6D">
        <w:rPr>
          <w:rFonts w:asciiTheme="minorHAnsi" w:hAnsiTheme="minorHAnsi"/>
        </w:rPr>
        <w:t xml:space="preserve"> </w:t>
      </w:r>
      <w:r w:rsidRPr="00667F6D">
        <w:rPr>
          <w:rFonts w:asciiTheme="minorHAnsi" w:hAnsiTheme="minorHAnsi"/>
        </w:rPr>
        <w:t xml:space="preserve">nástroj Strategie. Je pravidelně aktualizován na základě výstupů </w:t>
      </w:r>
      <w:r w:rsidR="00C15E86">
        <w:rPr>
          <w:rFonts w:asciiTheme="minorHAnsi" w:hAnsiTheme="minorHAnsi"/>
        </w:rPr>
        <w:t>G</w:t>
      </w:r>
      <w:r w:rsidR="00C576DB">
        <w:rPr>
          <w:rFonts w:asciiTheme="minorHAnsi" w:hAnsiTheme="minorHAnsi"/>
        </w:rPr>
        <w:t xml:space="preserve">arantů </w:t>
      </w:r>
      <w:r w:rsidR="00C15E86">
        <w:rPr>
          <w:rFonts w:asciiTheme="minorHAnsi" w:hAnsiTheme="minorHAnsi"/>
        </w:rPr>
        <w:t xml:space="preserve">pilířů </w:t>
      </w:r>
      <w:r w:rsidRPr="00667F6D">
        <w:rPr>
          <w:rFonts w:asciiTheme="minorHAnsi" w:hAnsiTheme="minorHAnsi"/>
        </w:rPr>
        <w:t>a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pracovních týmů.</w:t>
      </w:r>
    </w:p>
    <w:p w14:paraId="370A82F6" w14:textId="17DEAC6B" w:rsidR="00BD5862" w:rsidRPr="00667F6D" w:rsidRDefault="00BD5862" w:rsidP="00BD5862">
      <w:pPr>
        <w:rPr>
          <w:rFonts w:asciiTheme="minorHAnsi" w:hAnsiTheme="minorHAnsi"/>
        </w:rPr>
      </w:pPr>
      <w:r w:rsidRPr="00667F6D">
        <w:rPr>
          <w:rFonts w:asciiTheme="minorHAnsi" w:hAnsiTheme="minorHAnsi"/>
        </w:rPr>
        <w:t>Akční plán</w:t>
      </w:r>
      <w:r w:rsidR="00253140">
        <w:rPr>
          <w:rFonts w:asciiTheme="minorHAnsi" w:hAnsiTheme="minorHAnsi"/>
        </w:rPr>
        <w:t xml:space="preserve"> Inovační strategie</w:t>
      </w:r>
      <w:r w:rsidR="00C15E86">
        <w:rPr>
          <w:rFonts w:asciiTheme="minorHAnsi" w:hAnsiTheme="minorHAnsi"/>
        </w:rPr>
        <w:t xml:space="preserve"> </w:t>
      </w:r>
      <w:r w:rsidR="003230B9">
        <w:rPr>
          <w:rFonts w:asciiTheme="minorHAnsi" w:hAnsiTheme="minorHAnsi"/>
        </w:rPr>
        <w:t xml:space="preserve">ČR </w:t>
      </w:r>
      <w:r w:rsidR="00C15E86">
        <w:rPr>
          <w:rFonts w:asciiTheme="minorHAnsi" w:hAnsiTheme="minorHAnsi"/>
        </w:rPr>
        <w:t xml:space="preserve">2030 </w:t>
      </w:r>
      <w:r w:rsidRPr="00667F6D">
        <w:rPr>
          <w:rFonts w:asciiTheme="minorHAnsi" w:hAnsiTheme="minorHAnsi"/>
        </w:rPr>
        <w:t xml:space="preserve">je soubor prioritních projektů (aktivit) jednotlivých pilířů </w:t>
      </w:r>
      <w:r w:rsidR="00C15E86">
        <w:rPr>
          <w:rFonts w:asciiTheme="minorHAnsi" w:hAnsiTheme="minorHAnsi"/>
        </w:rPr>
        <w:t>S</w:t>
      </w:r>
      <w:r w:rsidRPr="00667F6D">
        <w:rPr>
          <w:rFonts w:asciiTheme="minorHAnsi" w:hAnsiTheme="minorHAnsi"/>
        </w:rPr>
        <w:t>trategie. Je sestaven z</w:t>
      </w:r>
      <w:r w:rsidR="00340E02">
        <w:rPr>
          <w:rFonts w:asciiTheme="minorHAnsi" w:hAnsiTheme="minorHAnsi"/>
        </w:rPr>
        <w:t> </w:t>
      </w:r>
      <w:r w:rsidRPr="00667F6D">
        <w:rPr>
          <w:rFonts w:asciiTheme="minorHAnsi" w:hAnsiTheme="minorHAnsi"/>
        </w:rPr>
        <w:t>dílčích projektových karet</w:t>
      </w:r>
      <w:r w:rsidR="00460573" w:rsidRPr="00667F6D">
        <w:rPr>
          <w:rFonts w:asciiTheme="minorHAnsi" w:hAnsiTheme="minorHAnsi"/>
        </w:rPr>
        <w:t>, které popisují jednotlivá legislativní opatření, finanční opatření a</w:t>
      </w:r>
      <w:r w:rsidR="00340E02">
        <w:rPr>
          <w:rFonts w:asciiTheme="minorHAnsi" w:hAnsiTheme="minorHAnsi"/>
        </w:rPr>
        <w:t> </w:t>
      </w:r>
      <w:r w:rsidR="00460573" w:rsidRPr="00667F6D">
        <w:rPr>
          <w:rFonts w:asciiTheme="minorHAnsi" w:hAnsiTheme="minorHAnsi"/>
        </w:rPr>
        <w:t xml:space="preserve">fyzické projekty / produkty </w:t>
      </w:r>
      <w:r w:rsidR="003230B9">
        <w:rPr>
          <w:rFonts w:asciiTheme="minorHAnsi" w:hAnsiTheme="minorHAnsi"/>
        </w:rPr>
        <w:t>realizované v</w:t>
      </w:r>
      <w:r w:rsidR="00340E02">
        <w:rPr>
          <w:rFonts w:asciiTheme="minorHAnsi" w:hAnsiTheme="minorHAnsi"/>
        </w:rPr>
        <w:t> </w:t>
      </w:r>
      <w:r w:rsidR="003230B9">
        <w:rPr>
          <w:rFonts w:asciiTheme="minorHAnsi" w:hAnsiTheme="minorHAnsi"/>
        </w:rPr>
        <w:t>rámci Strategie</w:t>
      </w:r>
      <w:r w:rsidR="00460573" w:rsidRPr="00667F6D">
        <w:rPr>
          <w:rFonts w:asciiTheme="minorHAnsi" w:hAnsiTheme="minorHAnsi"/>
        </w:rPr>
        <w:t>.</w:t>
      </w:r>
      <w:r w:rsidRPr="00667F6D">
        <w:rPr>
          <w:rFonts w:asciiTheme="minorHAnsi" w:hAnsiTheme="minorHAnsi"/>
        </w:rPr>
        <w:t xml:space="preserve"> </w:t>
      </w:r>
    </w:p>
    <w:p w14:paraId="294EDD21" w14:textId="0D7383B6" w:rsidR="00BD5862" w:rsidRPr="00667F6D" w:rsidRDefault="00C15E86" w:rsidP="00BD5862">
      <w:pPr>
        <w:rPr>
          <w:rFonts w:asciiTheme="minorHAnsi" w:hAnsiTheme="minorHAnsi"/>
        </w:rPr>
      </w:pPr>
      <w:r>
        <w:rPr>
          <w:rFonts w:asciiTheme="minorHAnsi" w:hAnsiTheme="minorHAnsi"/>
        </w:rPr>
        <w:t>Akční plán IS 2030</w:t>
      </w:r>
      <w:r w:rsidRPr="00667F6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</w:t>
      </w:r>
      <w:r w:rsidRPr="00667F6D">
        <w:rPr>
          <w:rFonts w:asciiTheme="minorHAnsi" w:hAnsiTheme="minorHAnsi"/>
        </w:rPr>
        <w:t xml:space="preserve"> </w:t>
      </w:r>
      <w:r w:rsidR="003230B9">
        <w:rPr>
          <w:rFonts w:asciiTheme="minorHAnsi" w:hAnsiTheme="minorHAnsi"/>
        </w:rPr>
        <w:t>spolu se Zprávou o</w:t>
      </w:r>
      <w:r w:rsidR="00340E02">
        <w:rPr>
          <w:rFonts w:asciiTheme="minorHAnsi" w:hAnsiTheme="minorHAnsi"/>
        </w:rPr>
        <w:t> </w:t>
      </w:r>
      <w:r w:rsidR="003230B9">
        <w:rPr>
          <w:rFonts w:asciiTheme="minorHAnsi" w:hAnsiTheme="minorHAnsi"/>
        </w:rPr>
        <w:t xml:space="preserve">realizaci </w:t>
      </w:r>
      <w:r>
        <w:rPr>
          <w:rFonts w:asciiTheme="minorHAnsi" w:hAnsiTheme="minorHAnsi"/>
        </w:rPr>
        <w:t xml:space="preserve">pravidelně jednou za rok </w:t>
      </w:r>
      <w:r w:rsidR="00BD5862" w:rsidRPr="00667F6D">
        <w:rPr>
          <w:rFonts w:asciiTheme="minorHAnsi" w:hAnsiTheme="minorHAnsi"/>
        </w:rPr>
        <w:t>aktualizován a</w:t>
      </w:r>
      <w:r w:rsidR="00340E02">
        <w:rPr>
          <w:rFonts w:asciiTheme="minorHAnsi" w:hAnsiTheme="minorHAnsi"/>
        </w:rPr>
        <w:t> </w:t>
      </w:r>
      <w:r w:rsidR="00BD5862" w:rsidRPr="00667F6D">
        <w:rPr>
          <w:rFonts w:asciiTheme="minorHAnsi" w:hAnsiTheme="minorHAnsi"/>
        </w:rPr>
        <w:t>předkládán RVVI a</w:t>
      </w:r>
      <w:r w:rsidR="00340E02">
        <w:rPr>
          <w:rFonts w:asciiTheme="minorHAnsi" w:hAnsiTheme="minorHAnsi"/>
        </w:rPr>
        <w:t> </w:t>
      </w:r>
      <w:r w:rsidR="00BD5862" w:rsidRPr="00667F6D">
        <w:rPr>
          <w:rFonts w:asciiTheme="minorHAnsi" w:hAnsiTheme="minorHAnsi"/>
        </w:rPr>
        <w:t>Vládě ČR k</w:t>
      </w:r>
      <w:r w:rsidR="00340E02">
        <w:rPr>
          <w:rFonts w:asciiTheme="minorHAnsi" w:hAnsiTheme="minorHAnsi"/>
        </w:rPr>
        <w:t> </w:t>
      </w:r>
      <w:r w:rsidR="00BD5862" w:rsidRPr="00667F6D">
        <w:rPr>
          <w:rFonts w:asciiTheme="minorHAnsi" w:hAnsiTheme="minorHAnsi"/>
        </w:rPr>
        <w:t>projednání.</w:t>
      </w:r>
    </w:p>
    <w:bookmarkEnd w:id="0"/>
    <w:p w14:paraId="04922798" w14:textId="7BA2B037" w:rsidR="00820FBF" w:rsidRDefault="00820FBF">
      <w:pPr>
        <w:spacing w:after="200" w:line="276" w:lineRule="auto"/>
        <w:jc w:val="left"/>
        <w:rPr>
          <w:rFonts w:ascii="Calibri Light" w:eastAsia="Times New Roman" w:hAnsi="Calibri Light"/>
          <w:b/>
          <w:caps/>
          <w:color w:val="006FA0" w:themeColor="accent3" w:themeShade="BF"/>
          <w:spacing w:val="30"/>
          <w:sz w:val="36"/>
          <w:szCs w:val="32"/>
        </w:rPr>
      </w:pPr>
      <w:r>
        <w:br w:type="page"/>
      </w:r>
    </w:p>
    <w:p w14:paraId="4807C63A" w14:textId="156B5438" w:rsidR="00820FBF" w:rsidRDefault="007E4324" w:rsidP="00820FBF">
      <w:pPr>
        <w:pStyle w:val="Nadpis1"/>
      </w:pPr>
      <w:bookmarkStart w:id="17" w:name="_Toc26975923"/>
      <w:r>
        <w:rPr>
          <w:caps w:val="0"/>
        </w:rPr>
        <w:lastRenderedPageBreak/>
        <w:t xml:space="preserve">PROJEKTY AKČNÍHO PLÁNU </w:t>
      </w:r>
      <w:r w:rsidR="00253140">
        <w:rPr>
          <w:caps w:val="0"/>
        </w:rPr>
        <w:t>INOVAČNÍ STRATEGIE</w:t>
      </w:r>
      <w:r w:rsidR="00820FBF">
        <w:rPr>
          <w:caps w:val="0"/>
        </w:rPr>
        <w:t xml:space="preserve"> 2030</w:t>
      </w:r>
      <w:bookmarkEnd w:id="17"/>
    </w:p>
    <w:tbl>
      <w:tblPr>
        <w:tblStyle w:val="Prosttabulka31"/>
        <w:tblW w:w="9072" w:type="dxa"/>
        <w:tblLook w:val="06A0" w:firstRow="1" w:lastRow="0" w:firstColumn="1" w:lastColumn="0" w:noHBand="1" w:noVBand="1"/>
      </w:tblPr>
      <w:tblGrid>
        <w:gridCol w:w="871"/>
        <w:gridCol w:w="8261"/>
      </w:tblGrid>
      <w:tr w:rsidR="00820FBF" w:rsidRPr="00D03AD5" w14:paraId="1657DAA4" w14:textId="77777777" w:rsidTr="003746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1" w:type="dxa"/>
            <w:noWrap/>
            <w:vAlign w:val="center"/>
            <w:hideMark/>
          </w:tcPr>
          <w:p w14:paraId="1EF0530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i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i/>
                <w:sz w:val="18"/>
                <w:lang w:eastAsia="cs-CZ"/>
              </w:rPr>
              <w:t> </w:t>
            </w:r>
          </w:p>
        </w:tc>
        <w:tc>
          <w:tcPr>
            <w:tcW w:w="8261" w:type="dxa"/>
            <w:noWrap/>
            <w:vAlign w:val="center"/>
            <w:hideMark/>
          </w:tcPr>
          <w:p w14:paraId="04ADB07A" w14:textId="77777777" w:rsidR="00820FBF" w:rsidRPr="00216A9E" w:rsidRDefault="00820FBF" w:rsidP="004D6186">
            <w:pPr>
              <w:spacing w:after="0" w:line="240" w:lineRule="auto"/>
              <w:ind w:firstLineChars="100" w:firstLine="181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i/>
                <w:sz w:val="18"/>
                <w:lang w:eastAsia="cs-CZ"/>
              </w:rPr>
              <w:t>Projektová karta (zkrácený název)</w:t>
            </w:r>
          </w:p>
        </w:tc>
      </w:tr>
      <w:tr w:rsidR="00820FBF" w:rsidRPr="00D03AD5" w14:paraId="6BFC782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436B806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0E299316" w14:textId="30DE0C49" w:rsidR="00820FBF" w:rsidRPr="00A5043B" w:rsidRDefault="00A5043B" w:rsidP="00340E02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A5043B">
              <w:rPr>
                <w:rFonts w:asciiTheme="minorHAnsi" w:eastAsia="Times New Roman" w:hAnsiTheme="minorHAnsi"/>
                <w:b/>
                <w:sz w:val="18"/>
                <w:lang w:eastAsia="cs-CZ"/>
              </w:rPr>
              <w:t>Financování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A5043B">
              <w:rPr>
                <w:rFonts w:asciiTheme="minorHAnsi" w:eastAsia="Times New Roman" w:hAnsiTheme="minorHAnsi"/>
                <w:b/>
                <w:sz w:val="18"/>
                <w:lang w:eastAsia="cs-CZ"/>
              </w:rPr>
              <w:t>hodnocení výzkumu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A5043B">
              <w:rPr>
                <w:rFonts w:asciiTheme="minorHAnsi" w:eastAsia="Times New Roman" w:hAnsiTheme="minorHAnsi"/>
                <w:b/>
                <w:sz w:val="18"/>
                <w:lang w:eastAsia="cs-CZ"/>
              </w:rPr>
              <w:t>vývoje</w:t>
            </w:r>
          </w:p>
        </w:tc>
      </w:tr>
      <w:tr w:rsidR="00820FBF" w:rsidRPr="00D03AD5" w14:paraId="4170AB8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F9A3CB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P01PK01</w:t>
            </w:r>
          </w:p>
        </w:tc>
        <w:tc>
          <w:tcPr>
            <w:tcW w:w="8261" w:type="dxa"/>
            <w:noWrap/>
            <w:vAlign w:val="center"/>
            <w:hideMark/>
          </w:tcPr>
          <w:p w14:paraId="6B19377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Rozpočet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VaVaI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2021+</w:t>
            </w:r>
          </w:p>
        </w:tc>
      </w:tr>
      <w:tr w:rsidR="00820FBF" w:rsidRPr="00D03AD5" w14:paraId="080230F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A719DA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P01PK02</w:t>
            </w:r>
          </w:p>
        </w:tc>
        <w:tc>
          <w:tcPr>
            <w:tcW w:w="8261" w:type="dxa"/>
            <w:noWrap/>
            <w:vAlign w:val="center"/>
            <w:hideMark/>
          </w:tcPr>
          <w:p w14:paraId="13BB002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Metodika M17</w:t>
            </w:r>
          </w:p>
        </w:tc>
      </w:tr>
      <w:tr w:rsidR="00820FBF" w:rsidRPr="00D03AD5" w14:paraId="73E7FD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71C2D5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P01PK03</w:t>
            </w:r>
          </w:p>
        </w:tc>
        <w:tc>
          <w:tcPr>
            <w:tcW w:w="8261" w:type="dxa"/>
            <w:noWrap/>
            <w:vAlign w:val="center"/>
            <w:hideMark/>
          </w:tcPr>
          <w:p w14:paraId="6F037D3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Novela 130/2002 Sb.</w:t>
            </w:r>
          </w:p>
        </w:tc>
      </w:tr>
      <w:tr w:rsidR="00820FBF" w:rsidRPr="00D03AD5" w14:paraId="378843B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5E6939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P01PK04</w:t>
            </w:r>
          </w:p>
        </w:tc>
        <w:tc>
          <w:tcPr>
            <w:tcW w:w="8261" w:type="dxa"/>
            <w:noWrap/>
            <w:vAlign w:val="center"/>
            <w:hideMark/>
          </w:tcPr>
          <w:p w14:paraId="19B7B43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NP VAVAI</w:t>
            </w:r>
          </w:p>
        </w:tc>
      </w:tr>
      <w:tr w:rsidR="00820FBF" w:rsidRPr="00D03AD5" w14:paraId="1219DA2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19BB39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4D460425" w14:textId="23A0152C" w:rsidR="00820FBF" w:rsidRPr="00A5043B" w:rsidRDefault="00A5043B" w:rsidP="003746E4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A5043B">
              <w:rPr>
                <w:rFonts w:asciiTheme="minorHAnsi" w:eastAsia="Times New Roman" w:hAnsiTheme="minorHAnsi"/>
                <w:b/>
                <w:sz w:val="18"/>
                <w:lang w:eastAsia="cs-CZ"/>
              </w:rPr>
              <w:t>Polytechnické vzdělávání</w:t>
            </w:r>
          </w:p>
        </w:tc>
      </w:tr>
      <w:tr w:rsidR="00820FBF" w:rsidRPr="00D03AD5" w14:paraId="686FC5B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4D3FAB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P02PK01</w:t>
            </w:r>
          </w:p>
        </w:tc>
        <w:tc>
          <w:tcPr>
            <w:tcW w:w="8261" w:type="dxa"/>
            <w:vAlign w:val="center"/>
            <w:hideMark/>
          </w:tcPr>
          <w:p w14:paraId="5347114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Polytechnika na základních školách</w:t>
            </w:r>
          </w:p>
        </w:tc>
      </w:tr>
      <w:tr w:rsidR="00820FBF" w:rsidRPr="00D03AD5" w14:paraId="3D62BED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300B1E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P02PK02</w:t>
            </w:r>
          </w:p>
        </w:tc>
        <w:tc>
          <w:tcPr>
            <w:tcW w:w="8261" w:type="dxa"/>
            <w:vAlign w:val="center"/>
            <w:hideMark/>
          </w:tcPr>
          <w:p w14:paraId="6CB6D6F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Rozvoj kompetencí učitelů </w:t>
            </w:r>
          </w:p>
        </w:tc>
      </w:tr>
      <w:tr w:rsidR="00820FBF" w:rsidRPr="00D03AD5" w14:paraId="4C37ED6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03F2B2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P02PK03</w:t>
            </w:r>
          </w:p>
        </w:tc>
        <w:tc>
          <w:tcPr>
            <w:tcW w:w="8261" w:type="dxa"/>
            <w:vAlign w:val="center"/>
            <w:hideMark/>
          </w:tcPr>
          <w:p w14:paraId="6268094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Digitalizace ve vzdělávání</w:t>
            </w:r>
          </w:p>
        </w:tc>
      </w:tr>
      <w:tr w:rsidR="00820FBF" w:rsidRPr="00D03AD5" w14:paraId="0479F7B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89AC29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P02PK04</w:t>
            </w:r>
          </w:p>
        </w:tc>
        <w:tc>
          <w:tcPr>
            <w:tcW w:w="8261" w:type="dxa"/>
            <w:vAlign w:val="center"/>
            <w:hideMark/>
          </w:tcPr>
          <w:p w14:paraId="0427C33F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Internacionalizace regionálního školství</w:t>
            </w:r>
          </w:p>
        </w:tc>
      </w:tr>
      <w:tr w:rsidR="00820FBF" w:rsidRPr="00D03AD5" w14:paraId="20FB727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62016C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P02PK05</w:t>
            </w:r>
          </w:p>
        </w:tc>
        <w:tc>
          <w:tcPr>
            <w:tcW w:w="8261" w:type="dxa"/>
            <w:vAlign w:val="center"/>
            <w:hideMark/>
          </w:tcPr>
          <w:p w14:paraId="28174D41" w14:textId="3B674F2C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Spolupráce škol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firem</w:t>
            </w:r>
          </w:p>
        </w:tc>
      </w:tr>
      <w:tr w:rsidR="00820FBF" w:rsidRPr="00D03AD5" w14:paraId="5C505CC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6963B78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P02PK06</w:t>
            </w:r>
          </w:p>
        </w:tc>
        <w:tc>
          <w:tcPr>
            <w:tcW w:w="8261" w:type="dxa"/>
            <w:vAlign w:val="center"/>
            <w:hideMark/>
          </w:tcPr>
          <w:p w14:paraId="318527B0" w14:textId="2EA921DE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Podpora technického vzdělávání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rozvoje kompetencí</w:t>
            </w:r>
          </w:p>
        </w:tc>
      </w:tr>
      <w:tr w:rsidR="00820FBF" w:rsidRPr="00D03AD5" w14:paraId="759A25C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20365C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P02PK07</w:t>
            </w:r>
          </w:p>
        </w:tc>
        <w:tc>
          <w:tcPr>
            <w:tcW w:w="8261" w:type="dxa"/>
            <w:vAlign w:val="center"/>
            <w:hideMark/>
          </w:tcPr>
          <w:p w14:paraId="276555D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Mezinárodní prostředí na vysokých školách</w:t>
            </w:r>
          </w:p>
        </w:tc>
      </w:tr>
      <w:tr w:rsidR="00820FBF" w:rsidRPr="00D03AD5" w14:paraId="7F453F2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35A8A1A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</w:t>
            </w:r>
          </w:p>
        </w:tc>
        <w:tc>
          <w:tcPr>
            <w:tcW w:w="8261" w:type="dxa"/>
            <w:shd w:val="clear" w:color="auto" w:fill="B9E0F7" w:themeFill="background2"/>
            <w:noWrap/>
            <w:vAlign w:val="center"/>
            <w:hideMark/>
          </w:tcPr>
          <w:p w14:paraId="214F6E40" w14:textId="722EBF92" w:rsidR="00820FBF" w:rsidRPr="001E7A71" w:rsidRDefault="001E7A71" w:rsidP="00340E02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Národní start-up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Spin-</w:t>
            </w:r>
            <w:proofErr w:type="spellStart"/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off</w:t>
            </w:r>
            <w:proofErr w:type="spellEnd"/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 xml:space="preserve"> prostředí</w:t>
            </w:r>
          </w:p>
        </w:tc>
      </w:tr>
      <w:tr w:rsidR="00820FBF" w:rsidRPr="00D03AD5" w14:paraId="39271AD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E9493F6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P03PK01</w:t>
            </w:r>
          </w:p>
        </w:tc>
        <w:tc>
          <w:tcPr>
            <w:tcW w:w="8261" w:type="dxa"/>
            <w:vAlign w:val="center"/>
            <w:hideMark/>
          </w:tcPr>
          <w:p w14:paraId="44FD014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Koncepce podpory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startups</w:t>
            </w:r>
            <w:proofErr w:type="spellEnd"/>
          </w:p>
        </w:tc>
      </w:tr>
      <w:tr w:rsidR="00820FBF" w:rsidRPr="00D03AD5" w14:paraId="24BC8E8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2C3DBBB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P03PK02</w:t>
            </w:r>
          </w:p>
        </w:tc>
        <w:tc>
          <w:tcPr>
            <w:tcW w:w="8261" w:type="dxa"/>
            <w:vAlign w:val="center"/>
            <w:hideMark/>
          </w:tcPr>
          <w:p w14:paraId="57564C5E" w14:textId="4E3AF7B7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Podpora podnikavosti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regionech</w:t>
            </w:r>
          </w:p>
        </w:tc>
      </w:tr>
      <w:tr w:rsidR="00820FBF" w:rsidRPr="00D03AD5" w14:paraId="08E3468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70B4F62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P03PK03</w:t>
            </w:r>
          </w:p>
        </w:tc>
        <w:tc>
          <w:tcPr>
            <w:tcW w:w="8261" w:type="dxa"/>
            <w:vAlign w:val="center"/>
            <w:hideMark/>
          </w:tcPr>
          <w:p w14:paraId="69554FC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Finanční nástroje -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čmzrb</w:t>
            </w:r>
            <w:proofErr w:type="spellEnd"/>
          </w:p>
        </w:tc>
      </w:tr>
      <w:tr w:rsidR="00820FBF" w:rsidRPr="00D03AD5" w14:paraId="2679196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214DDA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P03PK04</w:t>
            </w:r>
          </w:p>
        </w:tc>
        <w:tc>
          <w:tcPr>
            <w:tcW w:w="8261" w:type="dxa"/>
            <w:vAlign w:val="center"/>
            <w:hideMark/>
          </w:tcPr>
          <w:p w14:paraId="4588A6F0" w14:textId="337FF909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Financování dotačních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grantových projektů</w:t>
            </w:r>
          </w:p>
        </w:tc>
      </w:tr>
      <w:tr w:rsidR="00820FBF" w:rsidRPr="00D03AD5" w14:paraId="2631CF8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ED08AE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P03PK05</w:t>
            </w:r>
          </w:p>
        </w:tc>
        <w:tc>
          <w:tcPr>
            <w:tcW w:w="8261" w:type="dxa"/>
            <w:vAlign w:val="center"/>
            <w:hideMark/>
          </w:tcPr>
          <w:p w14:paraId="716E0E9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Podpora vzniku spin-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off</w:t>
            </w:r>
            <w:proofErr w:type="spellEnd"/>
          </w:p>
        </w:tc>
      </w:tr>
      <w:tr w:rsidR="00820FBF" w:rsidRPr="00D03AD5" w14:paraId="68B1DE3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FF35BD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P03PK06</w:t>
            </w:r>
          </w:p>
        </w:tc>
        <w:tc>
          <w:tcPr>
            <w:tcW w:w="8261" w:type="dxa"/>
            <w:vAlign w:val="center"/>
            <w:hideMark/>
          </w:tcPr>
          <w:p w14:paraId="1616186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INVESTIČNÍ PLAFORMA aneb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czechlink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</w:t>
            </w:r>
            <w:proofErr w:type="spellEnd"/>
          </w:p>
        </w:tc>
      </w:tr>
      <w:tr w:rsidR="00820FBF" w:rsidRPr="00D03AD5" w14:paraId="523CFE5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66BB0E0" w14:textId="77777777" w:rsidR="00820FBF" w:rsidRDefault="00820FBF" w:rsidP="00506A05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P03PK07</w:t>
            </w:r>
          </w:p>
          <w:p w14:paraId="0AA788F4" w14:textId="18678A39" w:rsidR="00506A05" w:rsidRPr="00216A9E" w:rsidRDefault="00506A05" w:rsidP="00506A05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P03PK08</w:t>
            </w:r>
          </w:p>
        </w:tc>
        <w:tc>
          <w:tcPr>
            <w:tcW w:w="8261" w:type="dxa"/>
            <w:vAlign w:val="center"/>
            <w:hideMark/>
          </w:tcPr>
          <w:p w14:paraId="7540EA5C" w14:textId="77777777" w:rsidR="00820FBF" w:rsidRDefault="00820FBF" w:rsidP="00506A05">
            <w:pPr>
              <w:spacing w:after="0" w:line="36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Incommingové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mise zahraničních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startupů</w:t>
            </w:r>
            <w:proofErr w:type="spellEnd"/>
          </w:p>
          <w:p w14:paraId="583DB45B" w14:textId="66DF1CFA" w:rsidR="00506A05" w:rsidRPr="00216A9E" w:rsidRDefault="00506A05" w:rsidP="00506A05">
            <w:pPr>
              <w:spacing w:after="0" w:line="36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Podpora podnikavosti - vzdělávání</w:t>
            </w:r>
          </w:p>
        </w:tc>
      </w:tr>
      <w:tr w:rsidR="00820FBF" w:rsidRPr="00D03AD5" w14:paraId="36CA6FC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8F6566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6D5D7E7D" w14:textId="3B717379" w:rsidR="00820FBF" w:rsidRPr="001E7A71" w:rsidRDefault="001E7A71" w:rsidP="00340E02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Digitální stát, výroba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služby</w:t>
            </w:r>
          </w:p>
        </w:tc>
      </w:tr>
      <w:tr w:rsidR="00820FBF" w:rsidRPr="00D03AD5" w14:paraId="2B1F454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F2F149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P04PK01</w:t>
            </w:r>
          </w:p>
        </w:tc>
        <w:tc>
          <w:tcPr>
            <w:tcW w:w="8261" w:type="dxa"/>
            <w:vAlign w:val="center"/>
            <w:hideMark/>
          </w:tcPr>
          <w:p w14:paraId="1C34A80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Ai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excellence</w:t>
            </w:r>
          </w:p>
        </w:tc>
      </w:tr>
      <w:tr w:rsidR="00820FBF" w:rsidRPr="00D03AD5" w14:paraId="5C95DEB9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9B2614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P04PK02</w:t>
            </w:r>
          </w:p>
        </w:tc>
        <w:tc>
          <w:tcPr>
            <w:tcW w:w="8261" w:type="dxa"/>
            <w:vAlign w:val="center"/>
            <w:hideMark/>
          </w:tcPr>
          <w:p w14:paraId="7B49E2FC" w14:textId="5F4FBB72" w:rsidR="00820FBF" w:rsidRPr="00216A9E" w:rsidRDefault="00820FBF" w:rsidP="00340E02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DEP - podpora českých firem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výzkumný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ch organizací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programu Dep</w:t>
            </w:r>
          </w:p>
        </w:tc>
      </w:tr>
      <w:tr w:rsidR="00820FBF" w:rsidRPr="00D03AD5" w14:paraId="2A78A32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C8E3EB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P04PK03</w:t>
            </w:r>
          </w:p>
        </w:tc>
        <w:tc>
          <w:tcPr>
            <w:tcW w:w="8261" w:type="dxa"/>
            <w:vAlign w:val="center"/>
            <w:hideMark/>
          </w:tcPr>
          <w:p w14:paraId="7809C93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Des - realizace konceptu</w:t>
            </w:r>
          </w:p>
        </w:tc>
      </w:tr>
      <w:tr w:rsidR="00820FBF" w:rsidRPr="00D03AD5" w14:paraId="644E7C7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117480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P04PK04</w:t>
            </w:r>
          </w:p>
        </w:tc>
        <w:tc>
          <w:tcPr>
            <w:tcW w:w="8261" w:type="dxa"/>
            <w:vAlign w:val="center"/>
            <w:hideMark/>
          </w:tcPr>
          <w:p w14:paraId="25345931" w14:textId="42C9EA4C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Dih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budování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rozvoj národní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evropské sítě center pro digitální inovace</w:t>
            </w:r>
          </w:p>
        </w:tc>
      </w:tr>
      <w:tr w:rsidR="00820FBF" w:rsidRPr="00D03AD5" w14:paraId="0D87613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20924D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P04PK05</w:t>
            </w:r>
          </w:p>
        </w:tc>
        <w:tc>
          <w:tcPr>
            <w:tcW w:w="8261" w:type="dxa"/>
            <w:vAlign w:val="center"/>
            <w:hideMark/>
          </w:tcPr>
          <w:p w14:paraId="23D7168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Digi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skills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podpora pro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msp</w:t>
            </w:r>
            <w:proofErr w:type="spellEnd"/>
          </w:p>
        </w:tc>
      </w:tr>
      <w:tr w:rsidR="00820FBF" w:rsidRPr="00D03AD5" w14:paraId="0511594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DA9CC6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P04PK06</w:t>
            </w:r>
          </w:p>
        </w:tc>
        <w:tc>
          <w:tcPr>
            <w:tcW w:w="8261" w:type="dxa"/>
            <w:vAlign w:val="center"/>
            <w:hideMark/>
          </w:tcPr>
          <w:p w14:paraId="16137F8F" w14:textId="77777777" w:rsidR="00820FBF" w:rsidRPr="00216A9E" w:rsidRDefault="00820FBF" w:rsidP="004E07F8">
            <w:pPr>
              <w:spacing w:after="0" w:line="36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Konektivita - infrastruktura pro vysokorychlostní komunikaci </w:t>
            </w:r>
          </w:p>
        </w:tc>
      </w:tr>
      <w:tr w:rsidR="00820FBF" w:rsidRPr="00D03AD5" w14:paraId="03AED21A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F416877" w14:textId="2F196E1B" w:rsidR="00820FBF" w:rsidRDefault="00820FBF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P04PK07</w:t>
            </w:r>
          </w:p>
          <w:p w14:paraId="55F80A8B" w14:textId="27B96671" w:rsidR="00E076AA" w:rsidRDefault="00E076AA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P04PK08</w:t>
            </w:r>
          </w:p>
          <w:p w14:paraId="57FCB3A9" w14:textId="77777777" w:rsidR="00E076AA" w:rsidRDefault="004E07F8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P04PK09</w:t>
            </w:r>
          </w:p>
          <w:p w14:paraId="7A683F42" w14:textId="68E160C1" w:rsidR="004E07F8" w:rsidRDefault="004E07F8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p04PK10</w:t>
            </w:r>
          </w:p>
          <w:p w14:paraId="42A0F528" w14:textId="77777777" w:rsidR="00E076AA" w:rsidRDefault="004E07F8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P04PK11</w:t>
            </w:r>
          </w:p>
          <w:p w14:paraId="33E9E596" w14:textId="77777777" w:rsidR="004E07F8" w:rsidRDefault="004E07F8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P04PK12</w:t>
            </w:r>
          </w:p>
          <w:p w14:paraId="0599F752" w14:textId="7DA1C7A3" w:rsidR="004E07F8" w:rsidRPr="00216A9E" w:rsidRDefault="004E07F8" w:rsidP="004E07F8">
            <w:pPr>
              <w:spacing w:after="0" w:line="36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>P04PK13</w:t>
            </w:r>
          </w:p>
        </w:tc>
        <w:tc>
          <w:tcPr>
            <w:tcW w:w="8261" w:type="dxa"/>
            <w:vAlign w:val="center"/>
            <w:hideMark/>
          </w:tcPr>
          <w:p w14:paraId="753BEC7E" w14:textId="06242AD3" w:rsidR="00E076AA" w:rsidRDefault="00506A05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="00E076AA" w:rsidRPr="00E076AA">
              <w:rPr>
                <w:rFonts w:asciiTheme="minorHAnsi" w:eastAsia="Times New Roman" w:hAnsiTheme="minorHAnsi"/>
                <w:sz w:val="18"/>
                <w:lang w:eastAsia="cs-CZ"/>
              </w:rPr>
              <w:t>U</w:t>
            </w:r>
            <w:r w:rsidR="00E076AA">
              <w:rPr>
                <w:rFonts w:asciiTheme="minorHAnsi" w:eastAsia="Times New Roman" w:hAnsiTheme="minorHAnsi"/>
                <w:sz w:val="18"/>
                <w:lang w:eastAsia="cs-CZ"/>
              </w:rPr>
              <w:t>živatelsky přívětivé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="00E076AA">
              <w:rPr>
                <w:rFonts w:asciiTheme="minorHAnsi" w:eastAsia="Times New Roman" w:hAnsiTheme="minorHAnsi"/>
                <w:sz w:val="18"/>
                <w:lang w:eastAsia="cs-CZ"/>
              </w:rPr>
              <w:t>efektivní on-line služby pro občany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="00E076AA">
              <w:rPr>
                <w:rFonts w:asciiTheme="minorHAnsi" w:eastAsia="Times New Roman" w:hAnsiTheme="minorHAnsi"/>
                <w:sz w:val="18"/>
                <w:lang w:eastAsia="cs-CZ"/>
              </w:rPr>
              <w:t>firmy (HC1)</w:t>
            </w:r>
          </w:p>
          <w:p w14:paraId="0BA26317" w14:textId="7333FEBB" w:rsidR="00E076AA" w:rsidRDefault="00E076AA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Digitálně přívětivá legislativa </w:t>
            </w:r>
            <w:r w:rsidRPr="00E076AA">
              <w:rPr>
                <w:rFonts w:asciiTheme="minorHAnsi" w:eastAsia="Times New Roman" w:hAnsiTheme="minorHAnsi"/>
                <w:sz w:val="18"/>
                <w:lang w:eastAsia="cs-CZ"/>
              </w:rPr>
              <w:t>(HC2)</w:t>
            </w:r>
          </w:p>
          <w:p w14:paraId="14853968" w14:textId="679F401A" w:rsidR="00E076AA" w:rsidRDefault="004E07F8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Rozvoj prostředí podporujícího digitální technologie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oblasti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eGOVERNMENTU</w:t>
            </w:r>
            <w:proofErr w:type="spellEnd"/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 (HC3)</w:t>
            </w:r>
          </w:p>
          <w:p w14:paraId="666FF35F" w14:textId="1C7CB1ED" w:rsidR="004E07F8" w:rsidRDefault="004E07F8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Z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výšení kapacit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kompetencí zaměstnanců ve veřejné správě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 (HC4)</w:t>
            </w:r>
          </w:p>
          <w:p w14:paraId="361D759F" w14:textId="1F4AEE3E" w:rsidR="004E07F8" w:rsidRDefault="004E07F8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E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fektivní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centrálně koordinované 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ICT 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veřejné správy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 (HC5)</w:t>
            </w:r>
          </w:p>
          <w:p w14:paraId="76657CC1" w14:textId="2B09B885" w:rsidR="004E07F8" w:rsidRDefault="004E07F8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D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igitalizace stavebního řízení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územního plánování</w:t>
            </w:r>
          </w:p>
          <w:p w14:paraId="7EB1BD0F" w14:textId="6C8085D8" w:rsidR="00820FBF" w:rsidRPr="00216A9E" w:rsidRDefault="004E07F8" w:rsidP="004E07F8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>
              <w:rPr>
                <w:rFonts w:asciiTheme="minorHAnsi" w:eastAsia="Times New Roman" w:hAnsiTheme="minorHAnsi"/>
                <w:sz w:val="18"/>
                <w:lang w:eastAsia="cs-CZ"/>
              </w:rPr>
              <w:t xml:space="preserve">    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E</w:t>
            </w:r>
            <w:r>
              <w:rPr>
                <w:rFonts w:asciiTheme="minorHAnsi" w:eastAsia="Times New Roman" w:hAnsiTheme="minorHAnsi"/>
                <w:sz w:val="18"/>
                <w:lang w:eastAsia="cs-CZ"/>
              </w:rPr>
              <w:t>lektronizace zdravotnictví</w:t>
            </w:r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 xml:space="preserve"> (</w:t>
            </w:r>
            <w:proofErr w:type="spellStart"/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eHealth</w:t>
            </w:r>
            <w:proofErr w:type="spellEnd"/>
            <w:r w:rsidRPr="004E07F8">
              <w:rPr>
                <w:rFonts w:asciiTheme="minorHAnsi" w:eastAsia="Times New Roman" w:hAnsiTheme="minorHAnsi"/>
                <w:sz w:val="18"/>
                <w:lang w:eastAsia="cs-CZ"/>
              </w:rPr>
              <w:t>)</w:t>
            </w:r>
          </w:p>
        </w:tc>
      </w:tr>
      <w:tr w:rsidR="00820FBF" w:rsidRPr="00D03AD5" w14:paraId="1FD1C59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64BEE76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0AC0C1A6" w14:textId="0F6A9B24" w:rsidR="00820FBF" w:rsidRPr="001E7A71" w:rsidRDefault="001E7A71" w:rsidP="00340E02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Inovační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výzkumná centra</w:t>
            </w:r>
          </w:p>
        </w:tc>
      </w:tr>
      <w:tr w:rsidR="00820FBF" w:rsidRPr="00D03AD5" w14:paraId="711907D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D96D66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P05PK01</w:t>
            </w:r>
          </w:p>
        </w:tc>
        <w:tc>
          <w:tcPr>
            <w:tcW w:w="8261" w:type="dxa"/>
            <w:vAlign w:val="center"/>
            <w:hideMark/>
          </w:tcPr>
          <w:p w14:paraId="2EAAFF83" w14:textId="18279911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Analýza výzkumných center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ČR</w:t>
            </w:r>
          </w:p>
        </w:tc>
      </w:tr>
      <w:tr w:rsidR="00820FBF" w:rsidRPr="00D03AD5" w14:paraId="0763569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684FFA8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lastRenderedPageBreak/>
              <w:t>P05PK02</w:t>
            </w:r>
          </w:p>
        </w:tc>
        <w:tc>
          <w:tcPr>
            <w:tcW w:w="8261" w:type="dxa"/>
            <w:vAlign w:val="center"/>
            <w:hideMark/>
          </w:tcPr>
          <w:p w14:paraId="5F4C263A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Rozvoj institucionálního prostředí ve výzkumných organizacích</w:t>
            </w:r>
          </w:p>
        </w:tc>
      </w:tr>
      <w:tr w:rsidR="00820FBF" w:rsidRPr="00D03AD5" w14:paraId="666149DD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08FD9854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P05PK03</w:t>
            </w:r>
          </w:p>
        </w:tc>
        <w:tc>
          <w:tcPr>
            <w:tcW w:w="8261" w:type="dxa"/>
            <w:vAlign w:val="center"/>
            <w:hideMark/>
          </w:tcPr>
          <w:p w14:paraId="03C98E35" w14:textId="498C16E2" w:rsidR="00820FBF" w:rsidRPr="00216A9E" w:rsidRDefault="009D3AE2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9D3AE2">
              <w:rPr>
                <w:rFonts w:asciiTheme="minorHAnsi" w:eastAsia="Times New Roman" w:hAnsiTheme="minorHAnsi"/>
                <w:sz w:val="18"/>
                <w:lang w:eastAsia="cs-CZ"/>
              </w:rPr>
              <w:t>Vytvoření nástroje projektů sdílených činností</w:t>
            </w:r>
          </w:p>
        </w:tc>
      </w:tr>
      <w:tr w:rsidR="00820FBF" w:rsidRPr="00D03AD5" w14:paraId="124DC23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3D5B8F7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P05PK04</w:t>
            </w:r>
          </w:p>
        </w:tc>
        <w:tc>
          <w:tcPr>
            <w:tcW w:w="8261" w:type="dxa"/>
            <w:vAlign w:val="center"/>
            <w:hideMark/>
          </w:tcPr>
          <w:p w14:paraId="7C9C469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Strategie velkých výzkumných infrastruktur</w:t>
            </w:r>
          </w:p>
        </w:tc>
      </w:tr>
      <w:tr w:rsidR="00820FBF" w:rsidRPr="00D03AD5" w14:paraId="2D1D277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4C206F0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P05PK05</w:t>
            </w:r>
          </w:p>
        </w:tc>
        <w:tc>
          <w:tcPr>
            <w:tcW w:w="8261" w:type="dxa"/>
            <w:vAlign w:val="center"/>
            <w:hideMark/>
          </w:tcPr>
          <w:p w14:paraId="135132F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Program mezinárodní excelence</w:t>
            </w:r>
          </w:p>
        </w:tc>
      </w:tr>
      <w:tr w:rsidR="00820FBF" w:rsidRPr="00D03AD5" w14:paraId="77FBE7D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5280C69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P05PK06</w:t>
            </w:r>
          </w:p>
        </w:tc>
        <w:tc>
          <w:tcPr>
            <w:tcW w:w="8261" w:type="dxa"/>
            <w:vAlign w:val="center"/>
            <w:hideMark/>
          </w:tcPr>
          <w:p w14:paraId="31507DEE" w14:textId="0DB6D51A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Klastry pro spolupráci byznysu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akademické sféry</w:t>
            </w:r>
          </w:p>
        </w:tc>
      </w:tr>
      <w:tr w:rsidR="00820FBF" w:rsidRPr="00D03AD5" w14:paraId="4134072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noWrap/>
            <w:vAlign w:val="center"/>
            <w:hideMark/>
          </w:tcPr>
          <w:p w14:paraId="15F99E1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P05PK07</w:t>
            </w:r>
          </w:p>
        </w:tc>
        <w:tc>
          <w:tcPr>
            <w:tcW w:w="8261" w:type="dxa"/>
            <w:vAlign w:val="center"/>
            <w:hideMark/>
          </w:tcPr>
          <w:p w14:paraId="24328564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Debyrokratizace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výzkumu</w:t>
            </w:r>
          </w:p>
        </w:tc>
      </w:tr>
      <w:tr w:rsidR="00820FBF" w:rsidRPr="00D03AD5" w14:paraId="26F2D0D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0404058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29546D53" w14:textId="19777646" w:rsidR="00820FBF" w:rsidRPr="001E7A71" w:rsidRDefault="001E7A71" w:rsidP="003746E4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Chytré investice</w:t>
            </w:r>
          </w:p>
        </w:tc>
      </w:tr>
      <w:tr w:rsidR="00820FBF" w:rsidRPr="00D03AD5" w14:paraId="3B78497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C435B3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P06PK01</w:t>
            </w:r>
          </w:p>
        </w:tc>
        <w:tc>
          <w:tcPr>
            <w:tcW w:w="8261" w:type="dxa"/>
            <w:vAlign w:val="center"/>
            <w:hideMark/>
          </w:tcPr>
          <w:p w14:paraId="4F1032C3" w14:textId="116D6638" w:rsidR="00820FBF" w:rsidRPr="00216A9E" w:rsidRDefault="00820FBF" w:rsidP="00340E02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Chytré investice - systém alokace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řízení finančních zdrojů pro financování IS</w:t>
            </w:r>
          </w:p>
        </w:tc>
      </w:tr>
      <w:tr w:rsidR="00820FBF" w:rsidRPr="00D03AD5" w14:paraId="4E51EDA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0A83AC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P06PK02</w:t>
            </w:r>
          </w:p>
        </w:tc>
        <w:tc>
          <w:tcPr>
            <w:tcW w:w="8261" w:type="dxa"/>
            <w:vAlign w:val="center"/>
            <w:hideMark/>
          </w:tcPr>
          <w:p w14:paraId="20E362CC" w14:textId="23471A5F" w:rsidR="00820FBF" w:rsidRPr="00216A9E" w:rsidRDefault="00820FBF" w:rsidP="00340E02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INVESTIČNÍ POBÍDKY - Zvýšit objem investic s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vysokou přidanou hodnotou</w:t>
            </w:r>
          </w:p>
        </w:tc>
      </w:tr>
      <w:tr w:rsidR="00820FBF" w:rsidRPr="00D03AD5" w14:paraId="1120AFA7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817B6D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P06PK03</w:t>
            </w:r>
          </w:p>
        </w:tc>
        <w:tc>
          <w:tcPr>
            <w:tcW w:w="8261" w:type="dxa"/>
            <w:vAlign w:val="center"/>
            <w:hideMark/>
          </w:tcPr>
          <w:p w14:paraId="00CE9B1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Adaptační strategie</w:t>
            </w:r>
          </w:p>
        </w:tc>
      </w:tr>
      <w:tr w:rsidR="00820FBF" w:rsidRPr="00D03AD5" w14:paraId="6D60171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2DFF5B8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P06PK04</w:t>
            </w:r>
          </w:p>
        </w:tc>
        <w:tc>
          <w:tcPr>
            <w:tcW w:w="8261" w:type="dxa"/>
            <w:vAlign w:val="center"/>
            <w:hideMark/>
          </w:tcPr>
          <w:p w14:paraId="386748C9" w14:textId="0FC1FBCD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Defence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- podpora specializace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rovoj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vavai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obranného průmyslu</w:t>
            </w:r>
          </w:p>
        </w:tc>
      </w:tr>
      <w:tr w:rsidR="00820FBF" w:rsidRPr="00D03AD5" w14:paraId="40CFD2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A624A8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P06PK05</w:t>
            </w:r>
          </w:p>
        </w:tc>
        <w:tc>
          <w:tcPr>
            <w:tcW w:w="8261" w:type="dxa"/>
            <w:vAlign w:val="center"/>
            <w:hideMark/>
          </w:tcPr>
          <w:p w14:paraId="47D13AF6" w14:textId="49560CD7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Komunitární programy - podpora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msp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vav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při zapojování do projektů </w:t>
            </w:r>
          </w:p>
        </w:tc>
      </w:tr>
      <w:tr w:rsidR="00820FBF" w:rsidRPr="00D03AD5" w14:paraId="4A95D9C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FBCD88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P06PK06</w:t>
            </w:r>
          </w:p>
        </w:tc>
        <w:tc>
          <w:tcPr>
            <w:tcW w:w="8261" w:type="dxa"/>
            <w:vAlign w:val="center"/>
            <w:hideMark/>
          </w:tcPr>
          <w:p w14:paraId="0ACBE17B" w14:textId="3D504E41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Rozvoj ekosystému kosmických aktivit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ČR</w:t>
            </w:r>
          </w:p>
        </w:tc>
      </w:tr>
      <w:tr w:rsidR="00820FBF" w:rsidRPr="00D03AD5" w14:paraId="4EC710E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1D002E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P06PK07</w:t>
            </w:r>
          </w:p>
        </w:tc>
        <w:tc>
          <w:tcPr>
            <w:tcW w:w="8261" w:type="dxa"/>
            <w:vAlign w:val="center"/>
            <w:hideMark/>
          </w:tcPr>
          <w:p w14:paraId="540B40F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RIS3 strategie zvýšit investice do oblastí, které mají vysoký potenciál</w:t>
            </w:r>
          </w:p>
        </w:tc>
      </w:tr>
      <w:tr w:rsidR="00820FBF" w:rsidRPr="00D03AD5" w14:paraId="3B8A685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5DF4B7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P06PK08</w:t>
            </w:r>
          </w:p>
        </w:tc>
        <w:tc>
          <w:tcPr>
            <w:tcW w:w="8261" w:type="dxa"/>
            <w:vAlign w:val="center"/>
            <w:hideMark/>
          </w:tcPr>
          <w:p w14:paraId="225F4297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Věřejné</w:t>
            </w:r>
            <w:proofErr w:type="spellEnd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 zadávání - podpora vyššího podílu zakázek výzkumu </w:t>
            </w:r>
          </w:p>
        </w:tc>
      </w:tr>
      <w:tr w:rsidR="00820FBF" w:rsidRPr="00D03AD5" w14:paraId="1192E1A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7D157AD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P06PK09</w:t>
            </w:r>
          </w:p>
        </w:tc>
        <w:tc>
          <w:tcPr>
            <w:tcW w:w="8261" w:type="dxa"/>
            <w:vAlign w:val="center"/>
            <w:hideMark/>
          </w:tcPr>
          <w:p w14:paraId="451D56AC" w14:textId="6D23C404" w:rsidR="00820FBF" w:rsidRPr="00216A9E" w:rsidRDefault="00820FBF" w:rsidP="00340E02">
            <w:pPr>
              <w:spacing w:after="0" w:line="240" w:lineRule="auto"/>
              <w:ind w:firstLineChars="100" w:firstLin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ZAHRANIČNÍ INVESTICE - Zvýšit objem investic s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vysokou přidanou hodnotou,</w:t>
            </w:r>
          </w:p>
        </w:tc>
      </w:tr>
      <w:tr w:rsidR="00820FBF" w:rsidRPr="00D03AD5" w14:paraId="1F43342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4AE6622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034F963C" w14:textId="210FB026" w:rsidR="00820FBF" w:rsidRPr="001E7A71" w:rsidRDefault="001E7A71" w:rsidP="003746E4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Ochrana duševního vlastnictví</w:t>
            </w:r>
          </w:p>
        </w:tc>
      </w:tr>
      <w:tr w:rsidR="00820FBF" w:rsidRPr="00D03AD5" w14:paraId="07F0AD86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03439B2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P07PK01</w:t>
            </w:r>
          </w:p>
        </w:tc>
        <w:tc>
          <w:tcPr>
            <w:tcW w:w="8261" w:type="dxa"/>
            <w:vAlign w:val="center"/>
            <w:hideMark/>
          </w:tcPr>
          <w:p w14:paraId="1E9652BC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Finanční podpora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5D9CE69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73D9C2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P07PK02</w:t>
            </w:r>
          </w:p>
        </w:tc>
        <w:tc>
          <w:tcPr>
            <w:tcW w:w="8261" w:type="dxa"/>
            <w:vAlign w:val="center"/>
            <w:hideMark/>
          </w:tcPr>
          <w:p w14:paraId="519BB5D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Marketing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0230044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747A3C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P07PK03</w:t>
            </w:r>
          </w:p>
        </w:tc>
        <w:tc>
          <w:tcPr>
            <w:tcW w:w="8261" w:type="dxa"/>
            <w:vAlign w:val="center"/>
            <w:hideMark/>
          </w:tcPr>
          <w:p w14:paraId="42639AA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Koncepce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2A5ED11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721FAC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P07PK04</w:t>
            </w:r>
          </w:p>
        </w:tc>
        <w:tc>
          <w:tcPr>
            <w:tcW w:w="8261" w:type="dxa"/>
            <w:vAlign w:val="center"/>
            <w:hideMark/>
          </w:tcPr>
          <w:p w14:paraId="3D9F7BD8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 xml:space="preserve">Vzdělávání </w:t>
            </w:r>
            <w:proofErr w:type="spellStart"/>
            <w:r w:rsidRPr="00D03AD5">
              <w:rPr>
                <w:rFonts w:asciiTheme="minorHAnsi" w:eastAsia="Times New Roman" w:hAnsiTheme="minorHAnsi"/>
                <w:sz w:val="18"/>
                <w:lang w:eastAsia="cs-CZ"/>
              </w:rPr>
              <w:t>odv</w:t>
            </w:r>
            <w:proofErr w:type="spellEnd"/>
          </w:p>
        </w:tc>
      </w:tr>
      <w:tr w:rsidR="00820FBF" w:rsidRPr="00D03AD5" w14:paraId="5ED9CA6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vAlign w:val="center"/>
            <w:hideMark/>
          </w:tcPr>
          <w:p w14:paraId="12895DA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3ADA2C14" w14:textId="46C3CCBB" w:rsidR="00820FBF" w:rsidRPr="001E7A71" w:rsidRDefault="001E7A71" w:rsidP="00340E02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Mobilita a</w:t>
            </w:r>
            <w:r w:rsidR="00340E02">
              <w:rPr>
                <w:rFonts w:asciiTheme="minorHAnsi" w:eastAsia="Times New Roman" w:hAnsiTheme="minorHAnsi"/>
                <w:b/>
                <w:sz w:val="18"/>
                <w:lang w:eastAsia="cs-CZ"/>
              </w:rPr>
              <w:t> </w:t>
            </w: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stavební prostředí</w:t>
            </w:r>
          </w:p>
        </w:tc>
      </w:tr>
      <w:tr w:rsidR="00820FBF" w:rsidRPr="00D03AD5" w14:paraId="708BB02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43630F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P08PK01</w:t>
            </w:r>
          </w:p>
        </w:tc>
        <w:tc>
          <w:tcPr>
            <w:tcW w:w="8261" w:type="dxa"/>
            <w:vAlign w:val="center"/>
            <w:hideMark/>
          </w:tcPr>
          <w:p w14:paraId="0E01A7B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Autonomní mobilita</w:t>
            </w:r>
          </w:p>
        </w:tc>
      </w:tr>
      <w:tr w:rsidR="00820FBF" w:rsidRPr="00D03AD5" w14:paraId="66AE71CB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9F0D8F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P08PK02</w:t>
            </w:r>
          </w:p>
        </w:tc>
        <w:tc>
          <w:tcPr>
            <w:tcW w:w="8261" w:type="dxa"/>
            <w:vAlign w:val="center"/>
            <w:hideMark/>
          </w:tcPr>
          <w:p w14:paraId="67C0B36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Elektromobilita</w:t>
            </w:r>
            <w:proofErr w:type="spellEnd"/>
          </w:p>
        </w:tc>
      </w:tr>
      <w:tr w:rsidR="00820FBF" w:rsidRPr="00D03AD5" w14:paraId="4CA532E0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D50659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P08PK03</w:t>
            </w:r>
          </w:p>
        </w:tc>
        <w:tc>
          <w:tcPr>
            <w:tcW w:w="8261" w:type="dxa"/>
            <w:vAlign w:val="center"/>
            <w:hideMark/>
          </w:tcPr>
          <w:p w14:paraId="2057355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Integrované dopravní systémy</w:t>
            </w:r>
          </w:p>
        </w:tc>
      </w:tr>
      <w:tr w:rsidR="00820FBF" w:rsidRPr="00D03AD5" w14:paraId="7AC8F42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89D9C0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P08PK04</w:t>
            </w:r>
          </w:p>
        </w:tc>
        <w:tc>
          <w:tcPr>
            <w:tcW w:w="8261" w:type="dxa"/>
            <w:vAlign w:val="center"/>
            <w:hideMark/>
          </w:tcPr>
          <w:p w14:paraId="5177C4E2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Smart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Sky</w:t>
            </w:r>
            <w:proofErr w:type="spellEnd"/>
          </w:p>
        </w:tc>
      </w:tr>
      <w:tr w:rsidR="00820FBF" w:rsidRPr="00D03AD5" w14:paraId="62DB959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A4C800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P08PK05</w:t>
            </w:r>
          </w:p>
        </w:tc>
        <w:tc>
          <w:tcPr>
            <w:tcW w:w="8261" w:type="dxa"/>
            <w:vAlign w:val="center"/>
            <w:hideMark/>
          </w:tcPr>
          <w:p w14:paraId="33D73A12" w14:textId="58FF28EC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Koncepce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VaV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v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dopravě</w:t>
            </w:r>
          </w:p>
        </w:tc>
      </w:tr>
      <w:tr w:rsidR="00820FBF" w:rsidRPr="00D03AD5" w14:paraId="6C4573C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D07700B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P08PK06</w:t>
            </w:r>
          </w:p>
        </w:tc>
        <w:tc>
          <w:tcPr>
            <w:tcW w:w="8261" w:type="dxa"/>
            <w:vAlign w:val="center"/>
            <w:hideMark/>
          </w:tcPr>
          <w:p w14:paraId="41621ED4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Podpora rozvoje konceptu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17E33D6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3F7734B8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P08PK07</w:t>
            </w:r>
          </w:p>
        </w:tc>
        <w:tc>
          <w:tcPr>
            <w:tcW w:w="8261" w:type="dxa"/>
            <w:vAlign w:val="center"/>
            <w:hideMark/>
          </w:tcPr>
          <w:p w14:paraId="5B2E3CE6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Testování 5G pro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331C7D28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03B6E625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P08PK08</w:t>
            </w:r>
          </w:p>
        </w:tc>
        <w:tc>
          <w:tcPr>
            <w:tcW w:w="8261" w:type="dxa"/>
            <w:vAlign w:val="center"/>
            <w:hideMark/>
          </w:tcPr>
          <w:p w14:paraId="1AA7D17E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využití dat pro </w:t>
            </w: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Smartcities</w:t>
            </w:r>
            <w:proofErr w:type="spellEnd"/>
          </w:p>
        </w:tc>
      </w:tr>
      <w:tr w:rsidR="00820FBF" w:rsidRPr="00D03AD5" w14:paraId="15F87911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6FA2BB7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P08PK09</w:t>
            </w:r>
          </w:p>
        </w:tc>
        <w:tc>
          <w:tcPr>
            <w:tcW w:w="8261" w:type="dxa"/>
            <w:vAlign w:val="center"/>
            <w:hideMark/>
          </w:tcPr>
          <w:p w14:paraId="266BF090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Stavební zákon</w:t>
            </w:r>
          </w:p>
        </w:tc>
      </w:tr>
      <w:tr w:rsidR="00820FBF" w:rsidRPr="00D03AD5" w14:paraId="4D2CB624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shd w:val="clear" w:color="auto" w:fill="B9E0F7" w:themeFill="background2"/>
            <w:noWrap/>
            <w:vAlign w:val="center"/>
            <w:hideMark/>
          </w:tcPr>
          <w:p w14:paraId="78492FDA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</w:t>
            </w:r>
          </w:p>
        </w:tc>
        <w:tc>
          <w:tcPr>
            <w:tcW w:w="8261" w:type="dxa"/>
            <w:shd w:val="clear" w:color="auto" w:fill="B9E0F7" w:themeFill="background2"/>
            <w:vAlign w:val="center"/>
            <w:hideMark/>
          </w:tcPr>
          <w:p w14:paraId="2ABDC49E" w14:textId="3245C827" w:rsidR="00820FBF" w:rsidRPr="001E7A71" w:rsidRDefault="001E7A71" w:rsidP="003746E4">
            <w:pPr>
              <w:spacing w:after="0" w:line="240" w:lineRule="auto"/>
              <w:ind w:firstLineChars="100" w:firstLine="18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lang w:eastAsia="cs-CZ"/>
              </w:rPr>
            </w:pPr>
            <w:r w:rsidRPr="001E7A71">
              <w:rPr>
                <w:rFonts w:asciiTheme="minorHAnsi" w:eastAsia="Times New Roman" w:hAnsiTheme="minorHAnsi"/>
                <w:b/>
                <w:sz w:val="18"/>
                <w:lang w:eastAsia="cs-CZ"/>
              </w:rPr>
              <w:t>Chytrý marketing</w:t>
            </w:r>
          </w:p>
        </w:tc>
      </w:tr>
      <w:tr w:rsidR="00820FBF" w:rsidRPr="00D03AD5" w14:paraId="19563E0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47546DA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P09PK01</w:t>
            </w:r>
          </w:p>
        </w:tc>
        <w:tc>
          <w:tcPr>
            <w:tcW w:w="8261" w:type="dxa"/>
            <w:vAlign w:val="center"/>
            <w:hideMark/>
          </w:tcPr>
          <w:p w14:paraId="0CFE7835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Národní inovační centrum</w:t>
            </w:r>
          </w:p>
        </w:tc>
      </w:tr>
      <w:tr w:rsidR="00820FBF" w:rsidRPr="00D03AD5" w14:paraId="3E80D6B3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1C958169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P09PK02</w:t>
            </w:r>
          </w:p>
        </w:tc>
        <w:tc>
          <w:tcPr>
            <w:tcW w:w="8261" w:type="dxa"/>
            <w:vAlign w:val="center"/>
            <w:hideMark/>
          </w:tcPr>
          <w:p w14:paraId="2E9252D7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Koncept Národní expozice</w:t>
            </w:r>
          </w:p>
        </w:tc>
      </w:tr>
      <w:tr w:rsidR="00820FBF" w:rsidRPr="00D03AD5" w14:paraId="741EA935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FB96DA3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P09PK03</w:t>
            </w:r>
          </w:p>
        </w:tc>
        <w:tc>
          <w:tcPr>
            <w:tcW w:w="8261" w:type="dxa"/>
            <w:vAlign w:val="center"/>
            <w:hideMark/>
          </w:tcPr>
          <w:p w14:paraId="37AFF389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Národní komunikační tým</w:t>
            </w:r>
          </w:p>
        </w:tc>
      </w:tr>
      <w:tr w:rsidR="00820FBF" w:rsidRPr="00D03AD5" w14:paraId="717CA802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574E394F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P09PK04</w:t>
            </w:r>
          </w:p>
        </w:tc>
        <w:tc>
          <w:tcPr>
            <w:tcW w:w="8261" w:type="dxa"/>
            <w:vAlign w:val="center"/>
            <w:hideMark/>
          </w:tcPr>
          <w:p w14:paraId="6EF96AA1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proofErr w:type="spellStart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Redesign</w:t>
            </w:r>
            <w:proofErr w:type="spellEnd"/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 xml:space="preserve"> – inventura státního marketingu</w:t>
            </w:r>
          </w:p>
        </w:tc>
      </w:tr>
      <w:tr w:rsidR="00820FBF" w:rsidRPr="00D03AD5" w14:paraId="1753A31C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564648F0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P09PK05</w:t>
            </w:r>
          </w:p>
        </w:tc>
        <w:tc>
          <w:tcPr>
            <w:tcW w:w="8261" w:type="dxa"/>
            <w:vAlign w:val="center"/>
            <w:hideMark/>
          </w:tcPr>
          <w:p w14:paraId="616914E6" w14:textId="3FA33A10" w:rsidR="00820FBF" w:rsidRPr="00216A9E" w:rsidRDefault="00820FBF" w:rsidP="00340E02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Jednotná státní identita a</w:t>
            </w:r>
            <w:r w:rsidR="00340E02">
              <w:rPr>
                <w:rFonts w:asciiTheme="minorHAnsi" w:eastAsia="Times New Roman" w:hAnsiTheme="minorHAnsi"/>
                <w:sz w:val="18"/>
                <w:lang w:eastAsia="cs-CZ"/>
              </w:rPr>
              <w:t> </w:t>
            </w: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jednotný vizuální styl české státní správy</w:t>
            </w:r>
          </w:p>
        </w:tc>
      </w:tr>
      <w:tr w:rsidR="00820FBF" w:rsidRPr="00D03AD5" w14:paraId="515263AE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7EA51DB1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P09PK06</w:t>
            </w:r>
          </w:p>
        </w:tc>
        <w:tc>
          <w:tcPr>
            <w:tcW w:w="8261" w:type="dxa"/>
            <w:vAlign w:val="center"/>
            <w:hideMark/>
          </w:tcPr>
          <w:p w14:paraId="1F711C2B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Strategická profilace České republiky</w:t>
            </w:r>
          </w:p>
        </w:tc>
      </w:tr>
      <w:tr w:rsidR="00820FBF" w:rsidRPr="00D03AD5" w14:paraId="71AD0B5F" w14:textId="77777777" w:rsidTr="003746E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" w:type="dxa"/>
            <w:vAlign w:val="center"/>
            <w:hideMark/>
          </w:tcPr>
          <w:p w14:paraId="60C6DDAE" w14:textId="77777777" w:rsidR="00820FBF" w:rsidRPr="00216A9E" w:rsidRDefault="00820FBF" w:rsidP="003746E4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P09PK07</w:t>
            </w:r>
          </w:p>
        </w:tc>
        <w:tc>
          <w:tcPr>
            <w:tcW w:w="8261" w:type="dxa"/>
            <w:vAlign w:val="center"/>
            <w:hideMark/>
          </w:tcPr>
          <w:p w14:paraId="48334363" w14:textId="77777777" w:rsidR="00820FBF" w:rsidRPr="00216A9E" w:rsidRDefault="00820FBF" w:rsidP="003746E4">
            <w:pPr>
              <w:spacing w:after="0" w:line="240" w:lineRule="auto"/>
              <w:ind w:firstLineChars="100" w:firstLine="1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lang w:eastAsia="cs-CZ"/>
              </w:rPr>
            </w:pPr>
            <w:r w:rsidRPr="00216A9E">
              <w:rPr>
                <w:rFonts w:asciiTheme="minorHAnsi" w:eastAsia="Times New Roman" w:hAnsiTheme="minorHAnsi"/>
                <w:sz w:val="18"/>
                <w:lang w:eastAsia="cs-CZ"/>
              </w:rPr>
              <w:t>Zavádění výkonnostního marketingu</w:t>
            </w:r>
          </w:p>
        </w:tc>
      </w:tr>
    </w:tbl>
    <w:p w14:paraId="250D0300" w14:textId="77777777" w:rsidR="00820FBF" w:rsidRDefault="00820FBF" w:rsidP="00820FBF"/>
    <w:p w14:paraId="7BFD1A45" w14:textId="070B2D88" w:rsidR="0097186F" w:rsidRDefault="0097186F" w:rsidP="0097186F">
      <w:pPr>
        <w:pStyle w:val="Nadpis1"/>
      </w:pPr>
      <w:bookmarkStart w:id="18" w:name="_Toc26975924"/>
      <w:r>
        <w:rPr>
          <w:caps w:val="0"/>
        </w:rPr>
        <w:lastRenderedPageBreak/>
        <w:t xml:space="preserve">MĚŘITELNÉ </w:t>
      </w:r>
      <w:r w:rsidR="003A5D9F">
        <w:rPr>
          <w:caps w:val="0"/>
        </w:rPr>
        <w:t>CÍLE</w:t>
      </w:r>
      <w:r>
        <w:rPr>
          <w:caps w:val="0"/>
        </w:rPr>
        <w:t xml:space="preserve"> INOVAČNÍ STRATEGIE 2030</w:t>
      </w:r>
      <w:bookmarkEnd w:id="18"/>
    </w:p>
    <w:p w14:paraId="6A305DAD" w14:textId="35512A40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</w:rPr>
        <w:t>Pro dosažení konkurenceschopnosti založené na tvůrčích schopnostech lidí, jejich podnikavosti, inovacích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globálních ambicích firem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dosažení cíle zařadit se mezi inovační lídry Evropy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stát se zemí technologické budoucnosti je důležité nastavení měřitelných cílů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indikátorů jejich plnění. Pro tento účel bude připraven set indikátorů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jejich cílových hodnot, který bude provázaný s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dalšími </w:t>
      </w:r>
      <w:r w:rsidR="00D6010E">
        <w:rPr>
          <w:rFonts w:asciiTheme="minorHAnsi" w:hAnsiTheme="minorHAnsi"/>
        </w:rPr>
        <w:t xml:space="preserve">relevantními </w:t>
      </w:r>
      <w:r w:rsidRPr="00340E02">
        <w:rPr>
          <w:rFonts w:asciiTheme="minorHAnsi" w:hAnsiTheme="minorHAnsi"/>
        </w:rPr>
        <w:t>strategiemi</w:t>
      </w:r>
      <w:r w:rsidR="00D81B33">
        <w:rPr>
          <w:rFonts w:asciiTheme="minorHAnsi" w:hAnsiTheme="minorHAnsi"/>
        </w:rPr>
        <w:t xml:space="preserve"> především pak s Hospodářskou strategií ČR</w:t>
      </w:r>
      <w:r w:rsidR="00D6010E">
        <w:rPr>
          <w:rFonts w:asciiTheme="minorHAnsi" w:hAnsiTheme="minorHAnsi"/>
        </w:rPr>
        <w:t xml:space="preserve"> a RIS3 strategií</w:t>
      </w:r>
      <w:r w:rsidRPr="00340E02">
        <w:rPr>
          <w:rFonts w:asciiTheme="minorHAnsi" w:hAnsiTheme="minorHAnsi"/>
        </w:rPr>
        <w:t xml:space="preserve">. </w:t>
      </w:r>
      <w:r w:rsidR="00D6010E">
        <w:rPr>
          <w:rFonts w:asciiTheme="minorHAnsi" w:hAnsiTheme="minorHAnsi"/>
        </w:rPr>
        <w:t>Tyto indikátory budou stanoveny primárně v rámci níže uvedených cílových oblast</w:t>
      </w:r>
      <w:r w:rsidR="002E71F7">
        <w:rPr>
          <w:rFonts w:asciiTheme="minorHAnsi" w:hAnsiTheme="minorHAnsi"/>
        </w:rPr>
        <w:t>í</w:t>
      </w:r>
      <w:r w:rsidR="00D6010E">
        <w:rPr>
          <w:rFonts w:asciiTheme="minorHAnsi" w:hAnsiTheme="minorHAnsi"/>
        </w:rPr>
        <w:t>.</w:t>
      </w:r>
    </w:p>
    <w:p w14:paraId="5C8696BB" w14:textId="228FE04A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  <w:b/>
        </w:rPr>
        <w:t>Zvýšení produktivity</w:t>
      </w:r>
      <w:r w:rsidRPr="00340E02">
        <w:rPr>
          <w:rFonts w:asciiTheme="minorHAnsi" w:hAnsiTheme="minorHAnsi"/>
        </w:rPr>
        <w:t xml:space="preserve"> je jedním ze základních faktorů pro dosažení stanovených cílů na úrovni celého hospodářství. Nejedná se pouze o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produktivitu práce, ale přeneseně rovněž produktivitu veřejné správy. Tradiční makroekonomické indikátory ukazují výraznou stabilitu, ale je třeba nastavit další, které budou reflektovat riziko pasti středního příjmu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ztráty konkurenčních výhod. Nízké tempo růstu produktivity práce spolu s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nedostatkem zaměstnanců s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odpovídající kvalifikací podvazují hospodářský růst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zpomalují konvergenci tuzemské ekonomiky k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vyspělejším ekonomikám ve světě. </w:t>
      </w:r>
    </w:p>
    <w:p w14:paraId="32515874" w14:textId="5BDF25AA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</w:rPr>
        <w:t>Propojení na okolní svět –</w:t>
      </w:r>
      <w:r w:rsidRPr="00340E02">
        <w:rPr>
          <w:rFonts w:asciiTheme="minorHAnsi" w:hAnsiTheme="minorHAnsi"/>
          <w:b/>
        </w:rPr>
        <w:t xml:space="preserve"> internacionalizace</w:t>
      </w:r>
      <w:r w:rsidRPr="00340E02">
        <w:rPr>
          <w:rFonts w:asciiTheme="minorHAnsi" w:hAnsiTheme="minorHAnsi"/>
        </w:rPr>
        <w:t xml:space="preserve"> – je zásadní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má pozitivní efekty ve všech oblastech, ale zejména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oblasti vědy, inovací, tržního uplatnění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podnikatelského prostředí. Důležité je zvyšování zapojení Česka do mezinárodních aktivit ve všech těchto oblastech. Zvyšování přidané hodnoty vzniklé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Česku, stejně jako posun českých firem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mezinárodních hodnotových řetězcích je nezbytnou podmínkou pro posun Česka mezi inovativně výkonné země. </w:t>
      </w:r>
    </w:p>
    <w:p w14:paraId="75BB2FC8" w14:textId="3935F3C4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</w:rPr>
        <w:t>Stejně tak je pro naplnění strategie založené na tvůrčích schopnostech lidí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jejich podnikavosti </w:t>
      </w:r>
      <w:r w:rsidRPr="00340E02">
        <w:rPr>
          <w:rFonts w:asciiTheme="minorHAnsi" w:hAnsiTheme="minorHAnsi"/>
          <w:b/>
        </w:rPr>
        <w:t>konkurenceschopný jedinec</w:t>
      </w:r>
      <w:r w:rsidR="003A5D9F">
        <w:rPr>
          <w:rFonts w:asciiTheme="minorHAnsi" w:hAnsiTheme="minorHAnsi"/>
        </w:rPr>
        <w:t>. Česká republika</w:t>
      </w:r>
      <w:r w:rsidRPr="00340E02">
        <w:rPr>
          <w:rFonts w:asciiTheme="minorHAnsi" w:hAnsiTheme="minorHAnsi"/>
        </w:rPr>
        <w:t xml:space="preserve"> musí stavět na kreativitě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invenci lidí. Kvalitní vzdělávání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kombinaci s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dovednostmi, které jsou relevantní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vyhovují aktuálním potřebám</w:t>
      </w:r>
      <w:r>
        <w:rPr>
          <w:rFonts w:asciiTheme="minorHAnsi" w:hAnsiTheme="minorHAnsi"/>
        </w:rPr>
        <w:t>,</w:t>
      </w:r>
      <w:r w:rsidRPr="00340E02">
        <w:rPr>
          <w:rFonts w:asciiTheme="minorHAnsi" w:hAnsiTheme="minorHAnsi"/>
        </w:rPr>
        <w:t xml:space="preserve"> jsou jedním ze základních parametrů. Současně podnikavost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ochota riskovat je dalším z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parametrů, stejně jako využívání technologií. Kvalitní vzdělání musí obsahovat prvky reflektující rychlý rozvoj společnosti, ale také podmínky pro získání dovedností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souladu se zrychlujícím se technologickým rozvojem.</w:t>
      </w:r>
    </w:p>
    <w:p w14:paraId="2924FD19" w14:textId="36D00371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  <w:b/>
        </w:rPr>
        <w:t>Šťastnou a</w:t>
      </w:r>
      <w:r>
        <w:rPr>
          <w:rFonts w:asciiTheme="minorHAnsi" w:hAnsiTheme="minorHAnsi"/>
          <w:b/>
        </w:rPr>
        <w:t> </w:t>
      </w:r>
      <w:r w:rsidRPr="00340E02">
        <w:rPr>
          <w:rFonts w:asciiTheme="minorHAnsi" w:hAnsiTheme="minorHAnsi"/>
          <w:b/>
        </w:rPr>
        <w:t>zdravou populaci (</w:t>
      </w:r>
      <w:proofErr w:type="spellStart"/>
      <w:r w:rsidRPr="00340E02">
        <w:rPr>
          <w:rFonts w:asciiTheme="minorHAnsi" w:hAnsiTheme="minorHAnsi"/>
          <w:b/>
        </w:rPr>
        <w:t>wellbeing</w:t>
      </w:r>
      <w:proofErr w:type="spellEnd"/>
      <w:r w:rsidRPr="00340E02">
        <w:rPr>
          <w:rFonts w:asciiTheme="minorHAnsi" w:hAnsiTheme="minorHAnsi"/>
          <w:b/>
        </w:rPr>
        <w:t>)</w:t>
      </w:r>
      <w:r w:rsidRPr="00340E02">
        <w:rPr>
          <w:rFonts w:asciiTheme="minorHAnsi" w:hAnsiTheme="minorHAnsi"/>
        </w:rPr>
        <w:t xml:space="preserve"> pak tvoří převážně jedinci dosahující svého naplnění. Nejdůležitější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současně také nejméně objektivně měřitelná je tak spokojenost obyvatel, resp. růst jejich životní úrovně. Součástí je kvalitní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dostupná zdravotní péče včetně využití inovací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nových technologií pro kvalitnější život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zdraví obyvatel.</w:t>
      </w:r>
    </w:p>
    <w:p w14:paraId="0B0E8239" w14:textId="4B4D4FC7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  <w:b/>
        </w:rPr>
        <w:t>Udržitelná a</w:t>
      </w:r>
      <w:r>
        <w:rPr>
          <w:rFonts w:asciiTheme="minorHAnsi" w:hAnsiTheme="minorHAnsi"/>
          <w:b/>
        </w:rPr>
        <w:t> </w:t>
      </w:r>
      <w:r w:rsidRPr="00340E02">
        <w:rPr>
          <w:rFonts w:asciiTheme="minorHAnsi" w:hAnsiTheme="minorHAnsi"/>
          <w:b/>
        </w:rPr>
        <w:t>odolná konektivita</w:t>
      </w:r>
      <w:r w:rsidRPr="00340E02">
        <w:rPr>
          <w:rFonts w:asciiTheme="minorHAnsi" w:hAnsiTheme="minorHAnsi"/>
        </w:rPr>
        <w:t>, jak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oblasti fyz</w:t>
      </w:r>
      <w:r w:rsidR="003A5D9F">
        <w:rPr>
          <w:rFonts w:asciiTheme="minorHAnsi" w:hAnsiTheme="minorHAnsi"/>
        </w:rPr>
        <w:t>ické, tak virtuální je pro Českou republiku</w:t>
      </w:r>
      <w:r w:rsidRPr="00340E02">
        <w:rPr>
          <w:rFonts w:asciiTheme="minorHAnsi" w:hAnsiTheme="minorHAnsi"/>
        </w:rPr>
        <w:t xml:space="preserve"> zásadní. Jedná se zejména o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digitální konektivitu, ale také dopravní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sociální. Nedílnou součástí jsou i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aktivity související s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nejmodernějšími technologiemi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jejich využitím (jako např. tzv. kosmické technologie – jak pozorování Země, tak inteligentní dopravní systémy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další aktivity).</w:t>
      </w:r>
    </w:p>
    <w:p w14:paraId="46A68BE4" w14:textId="75A1702E" w:rsidR="00340E02" w:rsidRPr="00340E02" w:rsidRDefault="003A5D9F" w:rsidP="00340E02">
      <w:pPr>
        <w:rPr>
          <w:rFonts w:asciiTheme="minorHAnsi" w:hAnsiTheme="minorHAnsi"/>
        </w:rPr>
      </w:pPr>
      <w:r>
        <w:rPr>
          <w:rFonts w:asciiTheme="minorHAnsi" w:hAnsiTheme="minorHAnsi"/>
        </w:rPr>
        <w:t>Pro Českou republiku</w:t>
      </w:r>
      <w:r w:rsidR="00340E02" w:rsidRPr="00340E02">
        <w:rPr>
          <w:rFonts w:asciiTheme="minorHAnsi" w:hAnsiTheme="minorHAnsi"/>
        </w:rPr>
        <w:t>, jako zemi v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srdci Evropy, jako zemi průmyslovou a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 xml:space="preserve">využívající moderní technologie je </w:t>
      </w:r>
      <w:r w:rsidR="00340E02" w:rsidRPr="00340E02">
        <w:rPr>
          <w:rFonts w:asciiTheme="minorHAnsi" w:hAnsiTheme="minorHAnsi"/>
          <w:b/>
        </w:rPr>
        <w:t>udržitelná a</w:t>
      </w:r>
      <w:r w:rsidR="00340E02">
        <w:rPr>
          <w:rFonts w:asciiTheme="minorHAnsi" w:hAnsiTheme="minorHAnsi"/>
          <w:b/>
        </w:rPr>
        <w:t> </w:t>
      </w:r>
      <w:r w:rsidR="00340E02" w:rsidRPr="00340E02">
        <w:rPr>
          <w:rFonts w:asciiTheme="minorHAnsi" w:hAnsiTheme="minorHAnsi"/>
          <w:b/>
        </w:rPr>
        <w:t xml:space="preserve">odolná energetika </w:t>
      </w:r>
      <w:r w:rsidR="00340E02" w:rsidRPr="00340E02">
        <w:rPr>
          <w:rFonts w:asciiTheme="minorHAnsi" w:hAnsiTheme="minorHAnsi"/>
        </w:rPr>
        <w:t>zásadní. Udržitelná energetika reflektuje jednak zásadní vnější trend “dekarbonizace” a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boje s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klimatickou změnou, ale také geografická, technologická a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průmyslová specifika Česka. Zejména v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souvislosti s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těmito riziky pak je zásadní odolnost energetiky, a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to nejen z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pohledu přenosové soustavy, ale také z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pohledu technologické závislosti a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rozvoje zcela nových technologií v</w:t>
      </w:r>
      <w:r w:rsidR="00340E02">
        <w:rPr>
          <w:rFonts w:asciiTheme="minorHAnsi" w:hAnsiTheme="minorHAnsi"/>
        </w:rPr>
        <w:t> </w:t>
      </w:r>
      <w:r w:rsidR="00340E02" w:rsidRPr="00340E02">
        <w:rPr>
          <w:rFonts w:asciiTheme="minorHAnsi" w:hAnsiTheme="minorHAnsi"/>
        </w:rPr>
        <w:t>této oblasti.</w:t>
      </w:r>
    </w:p>
    <w:p w14:paraId="7E5172BB" w14:textId="47E15ECF" w:rsidR="00340E02" w:rsidRPr="00340E02" w:rsidRDefault="00340E02" w:rsidP="00340E02">
      <w:pPr>
        <w:rPr>
          <w:rFonts w:asciiTheme="minorHAnsi" w:hAnsiTheme="minorHAnsi"/>
        </w:rPr>
      </w:pPr>
      <w:r w:rsidRPr="00340E02">
        <w:rPr>
          <w:rFonts w:asciiTheme="minorHAnsi" w:hAnsiTheme="minorHAnsi"/>
        </w:rPr>
        <w:t xml:space="preserve">Průřezovým indikátorem je pak </w:t>
      </w:r>
      <w:r w:rsidRPr="00340E02">
        <w:rPr>
          <w:rFonts w:asciiTheme="minorHAnsi" w:hAnsiTheme="minorHAnsi"/>
          <w:b/>
        </w:rPr>
        <w:t>efektivní veřejná služba</w:t>
      </w:r>
      <w:r w:rsidRPr="00340E02">
        <w:rPr>
          <w:rFonts w:asciiTheme="minorHAnsi" w:hAnsiTheme="minorHAnsi"/>
        </w:rPr>
        <w:t>. Patří mezi ně zejména stavební řízení, ochrana investorů, daňový systém či fiskální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monetární politika. </w:t>
      </w:r>
      <w:proofErr w:type="spellStart"/>
      <w:r w:rsidRPr="00340E02">
        <w:rPr>
          <w:rFonts w:asciiTheme="minorHAnsi" w:hAnsiTheme="minorHAnsi"/>
        </w:rPr>
        <w:t>Průřezovost</w:t>
      </w:r>
      <w:proofErr w:type="spellEnd"/>
      <w:r w:rsidRPr="00340E02">
        <w:rPr>
          <w:rFonts w:asciiTheme="minorHAnsi" w:hAnsiTheme="minorHAnsi"/>
        </w:rPr>
        <w:t xml:space="preserve"> pak vystihuje zejména nízká produktivita veřejného sektoru, která se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 xml:space="preserve">oblastech jako např. stavebnictví významně podílí na celkově nízké </w:t>
      </w:r>
      <w:r w:rsidRPr="00340E02">
        <w:rPr>
          <w:rFonts w:asciiTheme="minorHAnsi" w:hAnsiTheme="minorHAnsi"/>
        </w:rPr>
        <w:lastRenderedPageBreak/>
        <w:t>produktivitě. Současně mají například změny podmínek reagujících na rovnováhu mezi prací a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soukromým životem výrazně pozitivní vliv na růst produktivity výrobních firem v</w:t>
      </w:r>
      <w:r>
        <w:rPr>
          <w:rFonts w:asciiTheme="minorHAnsi" w:hAnsiTheme="minorHAnsi"/>
        </w:rPr>
        <w:t> </w:t>
      </w:r>
      <w:r w:rsidRPr="00340E02">
        <w:rPr>
          <w:rFonts w:asciiTheme="minorHAnsi" w:hAnsiTheme="minorHAnsi"/>
        </w:rPr>
        <w:t>důsledku automatizace.</w:t>
      </w:r>
    </w:p>
    <w:p w14:paraId="0BF98F0C" w14:textId="77777777" w:rsidR="00FC5F01" w:rsidRDefault="00FC5F01" w:rsidP="00FC5F01">
      <w:pPr>
        <w:rPr>
          <w:b/>
        </w:rPr>
      </w:pPr>
    </w:p>
    <w:p w14:paraId="7FF16BDD" w14:textId="77777777" w:rsidR="00FC5F01" w:rsidRDefault="00FC5F01" w:rsidP="00FC5F01">
      <w:pPr>
        <w:rPr>
          <w:b/>
        </w:rPr>
      </w:pPr>
    </w:p>
    <w:p w14:paraId="6BC3F970" w14:textId="77777777" w:rsidR="00FC5F01" w:rsidRDefault="00FC5F01" w:rsidP="00FC5F01">
      <w:pPr>
        <w:rPr>
          <w:b/>
        </w:rPr>
      </w:pPr>
    </w:p>
    <w:p w14:paraId="58453D24" w14:textId="77777777" w:rsidR="00FC5F01" w:rsidRDefault="00FC5F01" w:rsidP="00FC5F01">
      <w:pPr>
        <w:rPr>
          <w:b/>
        </w:rPr>
      </w:pPr>
    </w:p>
    <w:p w14:paraId="734766DE" w14:textId="77777777" w:rsidR="00FC5F01" w:rsidRDefault="00FC5F01" w:rsidP="00FC5F01">
      <w:pPr>
        <w:rPr>
          <w:b/>
        </w:rPr>
      </w:pPr>
    </w:p>
    <w:p w14:paraId="154235DB" w14:textId="77777777" w:rsidR="00FC5F01" w:rsidRDefault="00FC5F01" w:rsidP="00FC5F01">
      <w:pPr>
        <w:rPr>
          <w:b/>
        </w:rPr>
      </w:pPr>
    </w:p>
    <w:p w14:paraId="2818D8EB" w14:textId="77777777" w:rsidR="00FC5F01" w:rsidRDefault="00FC5F01" w:rsidP="00FC5F01">
      <w:pPr>
        <w:rPr>
          <w:b/>
        </w:rPr>
      </w:pPr>
    </w:p>
    <w:p w14:paraId="5C46785A" w14:textId="77777777" w:rsidR="00FC5F01" w:rsidRDefault="00FC5F01" w:rsidP="00FC5F01">
      <w:pPr>
        <w:rPr>
          <w:b/>
        </w:rPr>
      </w:pPr>
    </w:p>
    <w:p w14:paraId="1683EB64" w14:textId="77777777" w:rsidR="00FC5F01" w:rsidRDefault="00FC5F01" w:rsidP="00FC5F01">
      <w:pPr>
        <w:rPr>
          <w:b/>
        </w:rPr>
      </w:pPr>
    </w:p>
    <w:p w14:paraId="5DEA14DF" w14:textId="77777777" w:rsidR="00FC5F01" w:rsidRDefault="00FC5F01" w:rsidP="00FC5F01">
      <w:pPr>
        <w:rPr>
          <w:b/>
        </w:rPr>
      </w:pPr>
    </w:p>
    <w:p w14:paraId="782F9C07" w14:textId="77777777" w:rsidR="00FC5F01" w:rsidRDefault="00FC5F01" w:rsidP="00FC5F01">
      <w:pPr>
        <w:rPr>
          <w:b/>
        </w:rPr>
      </w:pPr>
    </w:p>
    <w:p w14:paraId="5581C3C2" w14:textId="77777777" w:rsidR="00FC5F01" w:rsidRDefault="00FC5F01" w:rsidP="00FC5F01">
      <w:pPr>
        <w:rPr>
          <w:b/>
        </w:rPr>
      </w:pPr>
    </w:p>
    <w:p w14:paraId="6E3FD632" w14:textId="77777777" w:rsidR="00FC5F01" w:rsidRDefault="00FC5F01" w:rsidP="00FC5F01">
      <w:pPr>
        <w:rPr>
          <w:b/>
        </w:rPr>
      </w:pPr>
    </w:p>
    <w:p w14:paraId="22092B82" w14:textId="77777777" w:rsidR="00FC5F01" w:rsidRDefault="00FC5F01" w:rsidP="00FC5F01">
      <w:pPr>
        <w:rPr>
          <w:b/>
        </w:rPr>
      </w:pPr>
    </w:p>
    <w:p w14:paraId="54D6F111" w14:textId="77777777" w:rsidR="00FC5F01" w:rsidRDefault="00FC5F01" w:rsidP="00FC5F01">
      <w:pPr>
        <w:rPr>
          <w:b/>
        </w:rPr>
      </w:pPr>
    </w:p>
    <w:p w14:paraId="54EB0705" w14:textId="77777777" w:rsidR="00FC5F01" w:rsidRDefault="00FC5F01" w:rsidP="00FC5F01">
      <w:pPr>
        <w:rPr>
          <w:b/>
        </w:rPr>
      </w:pPr>
    </w:p>
    <w:p w14:paraId="57792F98" w14:textId="77777777" w:rsidR="00FC5F01" w:rsidRDefault="00FC5F01" w:rsidP="00FC5F01">
      <w:pPr>
        <w:rPr>
          <w:b/>
        </w:rPr>
      </w:pPr>
    </w:p>
    <w:p w14:paraId="5F23BFD2" w14:textId="77777777" w:rsidR="00FC5F01" w:rsidRDefault="00FC5F01" w:rsidP="00FC5F01">
      <w:pPr>
        <w:rPr>
          <w:b/>
        </w:rPr>
      </w:pPr>
    </w:p>
    <w:p w14:paraId="7982C0D0" w14:textId="77777777" w:rsidR="00FC5F01" w:rsidRDefault="00FC5F01" w:rsidP="00FC5F01">
      <w:pPr>
        <w:rPr>
          <w:b/>
        </w:rPr>
      </w:pPr>
    </w:p>
    <w:p w14:paraId="282BF07D" w14:textId="77777777" w:rsidR="00FC5F01" w:rsidRDefault="00FC5F01" w:rsidP="00FC5F01">
      <w:pPr>
        <w:rPr>
          <w:b/>
        </w:rPr>
      </w:pPr>
    </w:p>
    <w:p w14:paraId="38B5A7E1" w14:textId="77777777" w:rsidR="00FC5F01" w:rsidRDefault="00FC5F01" w:rsidP="00FC5F01">
      <w:pPr>
        <w:rPr>
          <w:b/>
        </w:rPr>
      </w:pPr>
    </w:p>
    <w:p w14:paraId="2BF62C9E" w14:textId="77777777" w:rsidR="00FC5F01" w:rsidRDefault="00FC5F01" w:rsidP="00FC5F01">
      <w:pPr>
        <w:rPr>
          <w:b/>
        </w:rPr>
      </w:pPr>
    </w:p>
    <w:p w14:paraId="1E1A86FC" w14:textId="77777777" w:rsidR="00FC5F01" w:rsidRDefault="00FC5F01" w:rsidP="00FC5F01">
      <w:pPr>
        <w:rPr>
          <w:b/>
        </w:rPr>
      </w:pPr>
    </w:p>
    <w:p w14:paraId="7AB9465D" w14:textId="77777777" w:rsidR="00FC5F01" w:rsidRDefault="00FC5F01" w:rsidP="00FC5F01">
      <w:pPr>
        <w:rPr>
          <w:b/>
        </w:rPr>
      </w:pPr>
    </w:p>
    <w:p w14:paraId="30CD4F4E" w14:textId="77777777" w:rsidR="00FC5F01" w:rsidRDefault="00FC5F01" w:rsidP="00FC5F01">
      <w:pPr>
        <w:rPr>
          <w:b/>
        </w:rPr>
      </w:pPr>
    </w:p>
    <w:p w14:paraId="4F681E01" w14:textId="77777777" w:rsidR="00FC5F01" w:rsidRDefault="00FC5F01" w:rsidP="00FC5F01">
      <w:pPr>
        <w:rPr>
          <w:b/>
        </w:rPr>
      </w:pPr>
    </w:p>
    <w:p w14:paraId="6853EED1" w14:textId="77777777" w:rsidR="00FC5F01" w:rsidRDefault="00FC5F01" w:rsidP="00FC5F01">
      <w:pPr>
        <w:rPr>
          <w:b/>
        </w:rPr>
      </w:pPr>
    </w:p>
    <w:p w14:paraId="76FDBBB0" w14:textId="77777777" w:rsidR="00FC5F01" w:rsidRDefault="00FC5F01" w:rsidP="00FC5F01">
      <w:pPr>
        <w:rPr>
          <w:b/>
        </w:rPr>
      </w:pPr>
    </w:p>
    <w:p w14:paraId="7F164120" w14:textId="77777777" w:rsidR="00FC5F01" w:rsidRDefault="00FC5F01" w:rsidP="00FC5F01">
      <w:pPr>
        <w:rPr>
          <w:b/>
        </w:rPr>
      </w:pPr>
    </w:p>
    <w:p w14:paraId="13CD61F0" w14:textId="77777777" w:rsidR="00FC5F01" w:rsidRDefault="00FC5F01" w:rsidP="00FC5F01">
      <w:pPr>
        <w:rPr>
          <w:b/>
        </w:rPr>
      </w:pPr>
    </w:p>
    <w:p w14:paraId="4932EAA9" w14:textId="77777777" w:rsidR="00FC5F01" w:rsidRDefault="00FC5F01" w:rsidP="00FC5F01">
      <w:pPr>
        <w:rPr>
          <w:b/>
        </w:rPr>
      </w:pPr>
    </w:p>
    <w:p w14:paraId="5AC94732" w14:textId="25F973E0" w:rsidR="00FC5F01" w:rsidRDefault="008537C3" w:rsidP="00FA0587">
      <w:pPr>
        <w:pStyle w:val="Nadpis2"/>
        <w:rPr>
          <w:szCs w:val="26"/>
        </w:rPr>
      </w:pPr>
      <w:bookmarkStart w:id="19" w:name="_Toc26975925"/>
      <w:r>
        <w:lastRenderedPageBreak/>
        <w:t>PŘÍLOHA</w:t>
      </w:r>
      <w:r w:rsidR="00FA0587">
        <w:t xml:space="preserve">: </w:t>
      </w:r>
      <w:r w:rsidR="00FC5F01" w:rsidRPr="00613C24">
        <w:rPr>
          <w:szCs w:val="26"/>
        </w:rPr>
        <w:t>Přehled realizovaných projektů a aktivit (ke dni 11. prosince 2019)</w:t>
      </w:r>
      <w:bookmarkEnd w:id="19"/>
    </w:p>
    <w:p w14:paraId="6DDF15F7" w14:textId="77777777" w:rsidR="00FA0587" w:rsidRPr="00FA0587" w:rsidRDefault="00FA0587" w:rsidP="00FA0587"/>
    <w:p w14:paraId="76BD26D2" w14:textId="77777777" w:rsidR="00FC5F01" w:rsidRPr="002A3AF0" w:rsidRDefault="00FC5F01" w:rsidP="00FC5F01">
      <w:pPr>
        <w:spacing w:after="300" w:line="300" w:lineRule="atLeast"/>
      </w:pPr>
      <w:r w:rsidRPr="002A3AF0">
        <w:rPr>
          <w:b/>
        </w:rPr>
        <w:t xml:space="preserve">Rekordní investice do českého výzkumu a vývoje. </w:t>
      </w:r>
      <w:r w:rsidRPr="002A3AF0">
        <w:t>Investice v </w:t>
      </w:r>
      <w:r>
        <w:t>této</w:t>
      </w:r>
      <w:r w:rsidRPr="002A3AF0">
        <w:t xml:space="preserve"> oblast</w:t>
      </w:r>
      <w:r>
        <w:t>i</w:t>
      </w:r>
      <w:r w:rsidRPr="002A3AF0">
        <w:t xml:space="preserve"> v loňském roce vzrostly meziročně o 12,3 miliardy korun a celkem bylo </w:t>
      </w:r>
      <w:r>
        <w:t xml:space="preserve">na výzkum a vývoj </w:t>
      </w:r>
      <w:r w:rsidRPr="002A3AF0">
        <w:t>vydáno 102,8 miliardy</w:t>
      </w:r>
      <w:r>
        <w:t xml:space="preserve"> korun</w:t>
      </w:r>
      <w:r w:rsidRPr="002A3AF0">
        <w:t>. Zároveň rostl i počet samotných výzkumníků.</w:t>
      </w:r>
      <w:r w:rsidRPr="002A3AF0">
        <w:rPr>
          <w:b/>
        </w:rPr>
        <w:t xml:space="preserve"> Pro příští rok je schválen</w:t>
      </w:r>
      <w:r>
        <w:rPr>
          <w:b/>
        </w:rPr>
        <w:t>a alokace ze státního rozpočtu</w:t>
      </w:r>
      <w:r w:rsidRPr="002A3AF0">
        <w:rPr>
          <w:b/>
        </w:rPr>
        <w:t xml:space="preserve"> ve výši 37,5 miliardy korun</w:t>
      </w:r>
      <w:r w:rsidRPr="002A3AF0">
        <w:t xml:space="preserve"> – tedy o celé dvě miliardy více než tomu bylo v roce 2018. </w:t>
      </w:r>
    </w:p>
    <w:p w14:paraId="51874870" w14:textId="77777777" w:rsidR="00FC5F01" w:rsidRPr="002A3AF0" w:rsidRDefault="00FC5F01" w:rsidP="00FC5F01">
      <w:r>
        <w:rPr>
          <w:b/>
        </w:rPr>
        <w:t>V</w:t>
      </w:r>
      <w:r w:rsidRPr="002A3AF0">
        <w:rPr>
          <w:b/>
        </w:rPr>
        <w:t>ládní novel</w:t>
      </w:r>
      <w:r>
        <w:rPr>
          <w:b/>
        </w:rPr>
        <w:t>a</w:t>
      </w:r>
      <w:r w:rsidRPr="002A3AF0">
        <w:rPr>
          <w:b/>
        </w:rPr>
        <w:t xml:space="preserve"> </w:t>
      </w:r>
      <w:r w:rsidRPr="002A3AF0">
        <w:rPr>
          <w:b/>
          <w:bCs/>
        </w:rPr>
        <w:t>zákona č. 130 / 2002 Sb. o podpoře výzkumu, experimentálního vývoje a inovací.</w:t>
      </w:r>
      <w:r w:rsidRPr="002A3AF0">
        <w:t xml:space="preserve"> Hodnocení výzkumu a vývoje se nebude odvíjet pouze od dosažených výsledků. Krom</w:t>
      </w:r>
      <w:r>
        <w:t>ě</w:t>
      </w:r>
      <w:r w:rsidRPr="002A3AF0">
        <w:t xml:space="preserve"> jejich kvantitativního počtu se bude zohledňovat i kvalita. </w:t>
      </w:r>
      <w:r w:rsidRPr="002A3AF0">
        <w:fldChar w:fldCharType="begin"/>
      </w:r>
      <w:r w:rsidRPr="002A3AF0">
        <w:instrText xml:space="preserve"> HYPERLINK "https://www.countryforfuture.com/zahajeni-projektu-debyrokratizace-vedy/" </w:instrText>
      </w:r>
      <w:r w:rsidRPr="002A3AF0">
        <w:fldChar w:fldCharType="separate"/>
      </w:r>
    </w:p>
    <w:p w14:paraId="4DF2DE28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 xml:space="preserve">Zahájení projektu </w:t>
      </w:r>
      <w:proofErr w:type="spellStart"/>
      <w:r w:rsidRPr="002A3AF0">
        <w:rPr>
          <w:b/>
        </w:rPr>
        <w:t>debyrokratizace</w:t>
      </w:r>
      <w:proofErr w:type="spellEnd"/>
      <w:r w:rsidRPr="002A3AF0">
        <w:rPr>
          <w:b/>
        </w:rPr>
        <w:t xml:space="preserve"> vědy.</w:t>
      </w:r>
      <w:r w:rsidRPr="002A3AF0">
        <w:t xml:space="preserve"> </w:t>
      </w:r>
      <w:r w:rsidRPr="002A3AF0">
        <w:fldChar w:fldCharType="end"/>
      </w:r>
      <w:r w:rsidRPr="002A3AF0">
        <w:t xml:space="preserve">Vědecká a výzkumná činnost patří k hlavním nositelům budoucích inovací. </w:t>
      </w:r>
      <w:r>
        <w:t>Č</w:t>
      </w:r>
      <w:r w:rsidRPr="002A3AF0">
        <w:t>innost pracovníků v těchto odvětvích musí být co nejvíce osvobozena od zbytečných byrokratických a administrativních úkonů. Díky tomu bude mít věda „volné ruce“ a obecný inovační proces se zjednoduší a zrychlí.</w:t>
      </w:r>
    </w:p>
    <w:p w14:paraId="79418CD4" w14:textId="77777777" w:rsidR="00FC5F01" w:rsidRPr="002A3AF0" w:rsidRDefault="00AF606D" w:rsidP="00FC5F01">
      <w:pPr>
        <w:shd w:val="clear" w:color="auto" w:fill="FFFFFF"/>
        <w:spacing w:before="240" w:line="300" w:lineRule="atLeast"/>
      </w:pPr>
      <w:hyperlink r:id="rId19" w:history="1">
        <w:r w:rsidR="00FC5F01" w:rsidRPr="002A3AF0">
          <w:rPr>
            <w:b/>
          </w:rPr>
          <w:t>Internacionalizace vědy.</w:t>
        </w:r>
      </w:hyperlink>
      <w:r w:rsidR="00FC5F01" w:rsidRPr="002A3AF0">
        <w:rPr>
          <w:b/>
        </w:rPr>
        <w:t xml:space="preserve"> </w:t>
      </w:r>
      <w:r w:rsidR="00FC5F01" w:rsidRPr="002A3AF0">
        <w:t>Česká republika v současnosti pracuje na posílení mezinárodní spolupráce tuzemských výzkumných institucí v návaznosti na strategické oblasti výzkumu, vývoje a inovací např. oblast umělé inteligence či mobility.</w:t>
      </w:r>
    </w:p>
    <w:p w14:paraId="62C49B39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</w:rPr>
        <w:t xml:space="preserve">Zaměstnávání zahraničních expertů a pracovníků v oblasti vědy, výzkum, inovací a průmyslu. </w:t>
      </w:r>
      <w:r w:rsidRPr="002A3AF0">
        <w:t xml:space="preserve">Nedostatek pracovníků na tuzemském trhu práce a stále větší poptávku po expertních zaměstnancích ze strany českých firem řeší </w:t>
      </w:r>
      <w:r w:rsidRPr="00613C24">
        <w:rPr>
          <w:b/>
        </w:rPr>
        <w:t>novela zákona o pobytu cizinců</w:t>
      </w:r>
      <w:r w:rsidRPr="002A3AF0">
        <w:t xml:space="preserve">. </w:t>
      </w:r>
    </w:p>
    <w:p w14:paraId="2B83BD70" w14:textId="77777777" w:rsidR="00FC5F01" w:rsidRPr="002A3AF0" w:rsidRDefault="00AF606D" w:rsidP="00FC5F01">
      <w:pPr>
        <w:shd w:val="clear" w:color="auto" w:fill="FFFFFF"/>
        <w:spacing w:line="300" w:lineRule="atLeast"/>
      </w:pPr>
      <w:hyperlink r:id="rId20" w:history="1">
        <w:r w:rsidR="00FC5F01" w:rsidRPr="002A3AF0">
          <w:rPr>
            <w:b/>
          </w:rPr>
          <w:t xml:space="preserve">Program </w:t>
        </w:r>
        <w:proofErr w:type="spellStart"/>
        <w:r w:rsidR="00FC5F01" w:rsidRPr="002A3AF0">
          <w:rPr>
            <w:b/>
          </w:rPr>
          <w:t>The</w:t>
        </w:r>
        <w:proofErr w:type="spellEnd"/>
        <w:r w:rsidR="00FC5F01" w:rsidRPr="002A3AF0">
          <w:rPr>
            <w:b/>
          </w:rPr>
          <w:t xml:space="preserve"> Country </w:t>
        </w:r>
        <w:proofErr w:type="spellStart"/>
        <w:r w:rsidR="00FC5F01" w:rsidRPr="002A3AF0">
          <w:rPr>
            <w:b/>
          </w:rPr>
          <w:t>For</w:t>
        </w:r>
        <w:proofErr w:type="spellEnd"/>
        <w:r w:rsidR="00FC5F01" w:rsidRPr="002A3AF0">
          <w:rPr>
            <w:b/>
          </w:rPr>
          <w:t xml:space="preserve"> </w:t>
        </w:r>
        <w:proofErr w:type="spellStart"/>
        <w:r w:rsidR="00FC5F01" w:rsidRPr="002A3AF0">
          <w:rPr>
            <w:b/>
          </w:rPr>
          <w:t>The</w:t>
        </w:r>
        <w:proofErr w:type="spellEnd"/>
        <w:r w:rsidR="00FC5F01" w:rsidRPr="002A3AF0">
          <w:rPr>
            <w:b/>
          </w:rPr>
          <w:t xml:space="preserve"> </w:t>
        </w:r>
        <w:proofErr w:type="spellStart"/>
        <w:r w:rsidR="00FC5F01" w:rsidRPr="002A3AF0">
          <w:rPr>
            <w:b/>
          </w:rPr>
          <w:t>Future</w:t>
        </w:r>
        <w:proofErr w:type="spellEnd"/>
        <w:r w:rsidR="00FC5F01" w:rsidRPr="002A3AF0">
          <w:rPr>
            <w:b/>
          </w:rPr>
          <w:t xml:space="preserve"> –  </w:t>
        </w:r>
      </w:hyperlink>
      <w:r w:rsidR="00FC5F01" w:rsidRPr="002A3AF0">
        <w:rPr>
          <w:b/>
        </w:rPr>
        <w:t xml:space="preserve">Ministerstvo průmyslu a obchodu vyhradilo celkem </w:t>
      </w:r>
      <w:r w:rsidR="00FC5F01">
        <w:rPr>
          <w:b/>
        </w:rPr>
        <w:t>6,1 miliardy korun na</w:t>
      </w:r>
      <w:r w:rsidR="00FC5F01" w:rsidRPr="002A3AF0">
        <w:rPr>
          <w:b/>
        </w:rPr>
        <w:t> období let 2020</w:t>
      </w:r>
      <w:r w:rsidR="00FC5F01">
        <w:rPr>
          <w:b/>
        </w:rPr>
        <w:t xml:space="preserve"> </w:t>
      </w:r>
      <w:r w:rsidR="00FC5F01" w:rsidRPr="002A3AF0">
        <w:rPr>
          <w:b/>
        </w:rPr>
        <w:t>-</w:t>
      </w:r>
      <w:r w:rsidR="00FC5F01">
        <w:rPr>
          <w:b/>
        </w:rPr>
        <w:t xml:space="preserve"> </w:t>
      </w:r>
      <w:r w:rsidR="00FC5F01" w:rsidRPr="002A3AF0">
        <w:rPr>
          <w:b/>
        </w:rPr>
        <w:t>2027.</w:t>
      </w:r>
      <w:r w:rsidR="00FC5F01" w:rsidRPr="002A3AF0">
        <w:t xml:space="preserve"> Program cílí na vznik inovativních firem (</w:t>
      </w:r>
      <w:proofErr w:type="spellStart"/>
      <w:r w:rsidR="00FC5F01" w:rsidRPr="002A3AF0">
        <w:t>high-tech</w:t>
      </w:r>
      <w:proofErr w:type="spellEnd"/>
      <w:r w:rsidR="00FC5F01" w:rsidRPr="002A3AF0">
        <w:t xml:space="preserve"> start-</w:t>
      </w:r>
      <w:proofErr w:type="spellStart"/>
      <w:r w:rsidR="00FC5F01" w:rsidRPr="002A3AF0">
        <w:t>upů</w:t>
      </w:r>
      <w:proofErr w:type="spellEnd"/>
      <w:r w:rsidR="00FC5F01" w:rsidRPr="002A3AF0">
        <w:t>), jejich následný rozvoj a internacionalizaci, budování inovační infrastruktury s důrazem na digitální služby a umělou inteligenci a zavádění inovací do praxe (zejména využ</w:t>
      </w:r>
      <w:r w:rsidR="00FC5F01">
        <w:t>íváním existujících výsledků výzkumu a vývoje</w:t>
      </w:r>
      <w:r w:rsidR="00FC5F01" w:rsidRPr="002A3AF0">
        <w:t>).</w:t>
      </w:r>
    </w:p>
    <w:p w14:paraId="78074275" w14:textId="77777777" w:rsidR="00FC5F01" w:rsidRPr="002A3AF0" w:rsidRDefault="00FC5F01" w:rsidP="00FC5F01">
      <w:pPr>
        <w:shd w:val="clear" w:color="auto" w:fill="FFFFFF"/>
        <w:spacing w:before="240" w:after="0" w:line="300" w:lineRule="atLeast"/>
      </w:pPr>
      <w:r>
        <w:rPr>
          <w:b/>
        </w:rPr>
        <w:t>P</w:t>
      </w:r>
      <w:r w:rsidRPr="002A3AF0">
        <w:rPr>
          <w:b/>
        </w:rPr>
        <w:t xml:space="preserve">rogram TREND </w:t>
      </w:r>
      <w:r>
        <w:rPr>
          <w:b/>
        </w:rPr>
        <w:t xml:space="preserve"> - </w:t>
      </w:r>
      <w:r w:rsidRPr="002A3AF0">
        <w:rPr>
          <w:b/>
        </w:rPr>
        <w:t xml:space="preserve">Ministerstvo průmyslu a obchodu v letošním roce odstartovalo </w:t>
      </w:r>
      <w:r w:rsidRPr="000F5CDB">
        <w:rPr>
          <w:b/>
        </w:rPr>
        <w:t>program na podporu průmyslového výzkumu a experimentálního vývoje</w:t>
      </w:r>
      <w:r w:rsidRPr="002A3AF0">
        <w:t>. Tento projekt realizuje Technologická agentura České republiky.</w:t>
      </w:r>
    </w:p>
    <w:p w14:paraId="498D7B5D" w14:textId="77777777" w:rsidR="00FC5F01" w:rsidRPr="002A3AF0" w:rsidRDefault="00AF606D" w:rsidP="00FC5F01">
      <w:pPr>
        <w:shd w:val="clear" w:color="auto" w:fill="FFFFFF"/>
        <w:spacing w:before="240" w:after="0" w:line="300" w:lineRule="atLeast"/>
      </w:pPr>
      <w:hyperlink r:id="rId21" w:history="1">
        <w:r w:rsidR="00FC5F01" w:rsidRPr="002A3AF0">
          <w:rPr>
            <w:b/>
          </w:rPr>
          <w:t xml:space="preserve">Odpočty na vědu a výzkum. </w:t>
        </w:r>
      </w:hyperlink>
      <w:r w:rsidR="00FC5F01" w:rsidRPr="002A3AF0">
        <w:rPr>
          <w:b/>
        </w:rPr>
        <w:t>Letos v březnu vešla v platnost novela pro pravidla daňových odpočtů na výzkum a vývoj</w:t>
      </w:r>
      <w:r w:rsidR="00FC5F01" w:rsidRPr="002A3AF0">
        <w:t>. Změnil se tak celý proces uplatňování odpočtů a důraz byl kladen především na snížení jeho administrativní náročnosti.</w:t>
      </w:r>
    </w:p>
    <w:p w14:paraId="53C2782C" w14:textId="77777777" w:rsidR="00FC5F01" w:rsidRPr="002A3AF0" w:rsidRDefault="00AF606D" w:rsidP="00FC5F01">
      <w:pPr>
        <w:shd w:val="clear" w:color="auto" w:fill="FFFFFF"/>
        <w:spacing w:before="240" w:after="0" w:line="300" w:lineRule="atLeast"/>
      </w:pPr>
      <w:hyperlink r:id="rId22" w:history="1">
        <w:r w:rsidR="00FC5F01" w:rsidRPr="002A3AF0">
          <w:rPr>
            <w:b/>
          </w:rPr>
          <w:t xml:space="preserve">Investiční pobídky </w:t>
        </w:r>
      </w:hyperlink>
      <w:r w:rsidR="00FC5F01">
        <w:rPr>
          <w:b/>
        </w:rPr>
        <w:t xml:space="preserve">- </w:t>
      </w:r>
      <w:r w:rsidR="00FC5F01" w:rsidRPr="002A3AF0">
        <w:rPr>
          <w:b/>
        </w:rPr>
        <w:t>6. září vstoupila v platnost nová úprava zákona č. 72/2000 S</w:t>
      </w:r>
      <w:r w:rsidR="00FC5F01">
        <w:rPr>
          <w:b/>
        </w:rPr>
        <w:t>b</w:t>
      </w:r>
      <w:r w:rsidR="00FC5F01" w:rsidRPr="002A3AF0">
        <w:rPr>
          <w:b/>
        </w:rPr>
        <w:t xml:space="preserve">., o investičních pobídkách. </w:t>
      </w:r>
      <w:r w:rsidR="00FC5F01" w:rsidRPr="002A3AF0">
        <w:t>Změny se týkají zejména zvýhodnění projektů s </w:t>
      </w:r>
      <w:r w:rsidR="00FC5F01">
        <w:t>nadprůměrnou přidanou hodnotou,</w:t>
      </w:r>
      <w:r w:rsidR="00FC5F01" w:rsidRPr="002A3AF0">
        <w:t xml:space="preserve"> například technologických center nebo center strategických služeb.</w:t>
      </w:r>
      <w:r w:rsidR="00FC5F01">
        <w:br/>
      </w:r>
    </w:p>
    <w:p w14:paraId="66892492" w14:textId="77777777" w:rsidR="00FC5F01" w:rsidRPr="002A3AF0" w:rsidRDefault="00AF606D" w:rsidP="00FC5F01">
      <w:pPr>
        <w:shd w:val="clear" w:color="auto" w:fill="FFFFFF"/>
        <w:spacing w:before="240" w:line="300" w:lineRule="atLeast"/>
      </w:pPr>
      <w:hyperlink r:id="rId23" w:history="1">
        <w:r w:rsidR="00FC5F01">
          <w:rPr>
            <w:b/>
          </w:rPr>
          <w:t>Probíhá realizace Národní s</w:t>
        </w:r>
        <w:r w:rsidR="00FC5F01" w:rsidRPr="002A3AF0">
          <w:rPr>
            <w:b/>
          </w:rPr>
          <w:t xml:space="preserve">trategie umělé inteligence jako jedné z národních priorit </w:t>
        </w:r>
        <w:r w:rsidR="00FC5F01" w:rsidRPr="002A3AF0">
          <w:t xml:space="preserve">– celková podpora inovačního ekosystému, jejímž úkolem je podporovat univerzity, vědecko- výzkumné instituce, </w:t>
        </w:r>
        <w:proofErr w:type="spellStart"/>
        <w:r w:rsidR="00FC5F01" w:rsidRPr="002A3AF0">
          <w:t>startup</w:t>
        </w:r>
        <w:proofErr w:type="spellEnd"/>
        <w:r w:rsidR="00FC5F01" w:rsidRPr="002A3AF0">
          <w:t xml:space="preserve"> či </w:t>
        </w:r>
        <w:proofErr w:type="spellStart"/>
        <w:r w:rsidR="00FC5F01" w:rsidRPr="002A3AF0">
          <w:t>spinoff</w:t>
        </w:r>
        <w:proofErr w:type="spellEnd"/>
        <w:r w:rsidR="00FC5F01" w:rsidRPr="002A3AF0">
          <w:t xml:space="preserve"> projekty v oblasti informačních a komunikačních technologií. </w:t>
        </w:r>
      </w:hyperlink>
      <w:r w:rsidR="00FC5F01" w:rsidRPr="002A3AF0">
        <w:t xml:space="preserve"> </w:t>
      </w:r>
      <w:hyperlink r:id="rId24" w:history="1">
        <w:r w:rsidR="00FC5F01">
          <w:rPr>
            <w:b/>
          </w:rPr>
          <w:t>Připraveny</w:t>
        </w:r>
        <w:r w:rsidR="00FC5F01" w:rsidRPr="002A3AF0">
          <w:rPr>
            <w:b/>
          </w:rPr>
          <w:t xml:space="preserve"> a </w:t>
        </w:r>
        <w:r w:rsidR="00FC5F01">
          <w:rPr>
            <w:b/>
          </w:rPr>
          <w:t xml:space="preserve">podány byly </w:t>
        </w:r>
        <w:proofErr w:type="gramStart"/>
        <w:r w:rsidR="00FC5F01">
          <w:rPr>
            <w:b/>
          </w:rPr>
          <w:t>projekty které</w:t>
        </w:r>
        <w:proofErr w:type="gramEnd"/>
        <w:r w:rsidR="00FC5F01">
          <w:rPr>
            <w:b/>
          </w:rPr>
          <w:t xml:space="preserve"> usilují o</w:t>
        </w:r>
        <w:r w:rsidR="00FC5F01" w:rsidRPr="002A3AF0">
          <w:rPr>
            <w:b/>
          </w:rPr>
          <w:t xml:space="preserve"> AI Centrum Excelence s využitím komunitárních programů Evropské komise. </w:t>
        </w:r>
      </w:hyperlink>
    </w:p>
    <w:p w14:paraId="364CE728" w14:textId="77777777" w:rsidR="00FC5F01" w:rsidRPr="002A3AF0" w:rsidRDefault="00FC5F01" w:rsidP="00FC5F01">
      <w:pPr>
        <w:shd w:val="clear" w:color="auto" w:fill="FFFFFF"/>
        <w:spacing w:line="300" w:lineRule="atLeast"/>
      </w:pPr>
    </w:p>
    <w:p w14:paraId="3F4CB582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</w:rPr>
        <w:t xml:space="preserve">Agentura </w:t>
      </w:r>
      <w:proofErr w:type="spellStart"/>
      <w:r w:rsidRPr="002A3AF0">
        <w:rPr>
          <w:b/>
        </w:rPr>
        <w:t>CzechInvest</w:t>
      </w:r>
      <w:proofErr w:type="spellEnd"/>
      <w:r w:rsidRPr="002A3AF0">
        <w:rPr>
          <w:b/>
        </w:rPr>
        <w:t xml:space="preserve"> připravila koncept Inovačního hubu umělé inteligence (IHAI), </w:t>
      </w:r>
      <w:r w:rsidRPr="002A3AF0">
        <w:t>který postoupí do realizační fáze v </w:t>
      </w:r>
      <w:r>
        <w:t>prvním kvartálu příštího roku</w:t>
      </w:r>
      <w:r w:rsidRPr="002A3AF0">
        <w:t xml:space="preserve">. Agentura </w:t>
      </w:r>
      <w:proofErr w:type="spellStart"/>
      <w:r w:rsidRPr="002A3AF0">
        <w:t>CzechInvest</w:t>
      </w:r>
      <w:proofErr w:type="spellEnd"/>
      <w:r w:rsidRPr="002A3AF0">
        <w:t xml:space="preserve"> pracuje na inventuře dostupných souborů veřejných dat, která by byla vhodná pro zpracování pomocí AI. </w:t>
      </w:r>
    </w:p>
    <w:p w14:paraId="7CDC1D1B" w14:textId="77777777" w:rsidR="00FC5F01" w:rsidRPr="002A3AF0" w:rsidRDefault="00AF606D" w:rsidP="00FC5F01">
      <w:pPr>
        <w:shd w:val="clear" w:color="auto" w:fill="FFFFFF"/>
        <w:spacing w:before="240" w:line="300" w:lineRule="atLeast"/>
      </w:pPr>
      <w:hyperlink r:id="rId25" w:history="1">
        <w:r w:rsidR="00FC5F01">
          <w:rPr>
            <w:b/>
          </w:rPr>
          <w:t>Příprava</w:t>
        </w:r>
        <w:r w:rsidR="00FC5F01" w:rsidRPr="002A3AF0">
          <w:rPr>
            <w:b/>
          </w:rPr>
          <w:t xml:space="preserve"> strategických inkubátorů v oblasti mobility, umělé inteligence, cirkulární ekonomiky</w:t>
        </w:r>
        <w:r w:rsidR="00FC5F01">
          <w:rPr>
            <w:b/>
          </w:rPr>
          <w:t xml:space="preserve">, </w:t>
        </w:r>
        <w:proofErr w:type="spellStart"/>
        <w:r w:rsidR="00FC5F01" w:rsidRPr="002A3AF0">
          <w:t>eko</w:t>
        </w:r>
        <w:proofErr w:type="spellEnd"/>
        <w:r w:rsidR="00FC5F01" w:rsidRPr="002A3AF0">
          <w:t>-inovací</w:t>
        </w:r>
        <w:r w:rsidR="00FC5F01">
          <w:t>,</w:t>
        </w:r>
        <w:r w:rsidR="00FC5F01" w:rsidRPr="002A3AF0">
          <w:t xml:space="preserve"> </w:t>
        </w:r>
        <w:proofErr w:type="spellStart"/>
        <w:r w:rsidR="00FC5F01">
          <w:t>kyber</w:t>
        </w:r>
        <w:r w:rsidR="00FC5F01" w:rsidRPr="002A3AF0">
          <w:t>bezpečnosti</w:t>
        </w:r>
        <w:proofErr w:type="spellEnd"/>
        <w:r w:rsidR="00FC5F01" w:rsidRPr="002A3AF0">
          <w:t>, kreativní ekonomiky</w:t>
        </w:r>
        <w:r w:rsidR="00FC5F01">
          <w:t xml:space="preserve"> či</w:t>
        </w:r>
        <w:r w:rsidR="00FC5F01" w:rsidRPr="002A3AF0">
          <w:t xml:space="preserve"> </w:t>
        </w:r>
        <w:r w:rsidR="00FC5F01">
          <w:t xml:space="preserve">v oblasti </w:t>
        </w:r>
        <w:proofErr w:type="spellStart"/>
        <w:r w:rsidR="00FC5F01" w:rsidRPr="002A3AF0">
          <w:t>fintech</w:t>
        </w:r>
        <w:proofErr w:type="spellEnd"/>
        <w:r w:rsidR="00FC5F01" w:rsidRPr="002A3AF0">
          <w:t xml:space="preserve">. </w:t>
        </w:r>
      </w:hyperlink>
      <w:r w:rsidR="00FC5F01">
        <w:t xml:space="preserve"> Mladé </w:t>
      </w:r>
      <w:proofErr w:type="spellStart"/>
      <w:r w:rsidR="00FC5F01">
        <w:t>start</w:t>
      </w:r>
      <w:r w:rsidR="00FC5F01" w:rsidRPr="002A3AF0">
        <w:t>upy</w:t>
      </w:r>
      <w:proofErr w:type="spellEnd"/>
      <w:r w:rsidR="00FC5F01" w:rsidRPr="002A3AF0">
        <w:t xml:space="preserve"> a menší firmy </w:t>
      </w:r>
      <w:r w:rsidR="00FC5F01">
        <w:t xml:space="preserve">tak budou moct </w:t>
      </w:r>
      <w:r w:rsidR="00FC5F01" w:rsidRPr="002A3AF0">
        <w:t>získat podporu formou tematické inkubace, přímou finanční podporu, dostupnější kanceláře, technologickou podporu, laboratoře, zázemí, možnosti spolupráce s českým průmyslem</w:t>
      </w:r>
      <w:r w:rsidR="00FC5F01">
        <w:t xml:space="preserve"> a akademickou sférou</w:t>
      </w:r>
      <w:r w:rsidR="00FC5F01" w:rsidRPr="002A3AF0">
        <w:t>.</w:t>
      </w:r>
    </w:p>
    <w:p w14:paraId="23558FB1" w14:textId="77777777" w:rsidR="00FC5F01" w:rsidRPr="002A3AF0" w:rsidRDefault="00FC5F01" w:rsidP="00FC5F01">
      <w:pPr>
        <w:spacing w:before="240"/>
      </w:pPr>
      <w:r w:rsidRPr="002A3AF0">
        <w:rPr>
          <w:b/>
        </w:rPr>
        <w:t xml:space="preserve">Vytvoření finančního nástroje – programu S-podnik k podpoře sociálního podnikání. </w:t>
      </w:r>
      <w:r>
        <w:t>Program</w:t>
      </w:r>
      <w:r w:rsidRPr="002A3AF0">
        <w:t xml:space="preserve"> Českomoravské záruční a rozvojové banky (národní rozvojové banky České republiky) </w:t>
      </w:r>
      <w:r>
        <w:t xml:space="preserve">fungující </w:t>
      </w:r>
      <w:r w:rsidRPr="002A3AF0">
        <w:t>jako bezúročný úvěr pro nákup strojů, zařízení, technologiích, výrobních programů, licencí i nemovitostí.</w:t>
      </w:r>
    </w:p>
    <w:p w14:paraId="24764EF2" w14:textId="77777777" w:rsidR="00FC5F01" w:rsidRPr="002A3AF0" w:rsidRDefault="00FC5F01" w:rsidP="00FC5F01">
      <w:r w:rsidRPr="002A3AF0">
        <w:rPr>
          <w:b/>
        </w:rPr>
        <w:t>Vytvoření finančního nástroje EXPANZE – program pro podporu zavádění inovací např. v oblasti cirkulární ekonomiky.</w:t>
      </w:r>
      <w:r w:rsidRPr="002A3AF0">
        <w:t xml:space="preserve"> Zvýhodněné úvěry pro malé a střední podniky, ale stejně tak program vhodný pro </w:t>
      </w:r>
      <w:proofErr w:type="spellStart"/>
      <w:r w:rsidRPr="002A3AF0">
        <w:t>startup</w:t>
      </w:r>
      <w:proofErr w:type="spellEnd"/>
      <w:r w:rsidRPr="002A3AF0">
        <w:t xml:space="preserve"> společnosti. Program Českomoravské záruční a rozvojové banky (národní rozvojové banky České republiky).</w:t>
      </w:r>
    </w:p>
    <w:p w14:paraId="69BF64FD" w14:textId="77777777" w:rsidR="00FC5F01" w:rsidRPr="002A3AF0" w:rsidRDefault="00FC5F01" w:rsidP="00FC5F01">
      <w:r w:rsidRPr="002A3AF0">
        <w:rPr>
          <w:b/>
        </w:rPr>
        <w:t>Podpora tradičního podnikání českých rodinných firem – vytvoření jasné definice rodinné firmy</w:t>
      </w:r>
      <w:r>
        <w:t xml:space="preserve"> a jejich podpora</w:t>
      </w:r>
      <w:r w:rsidRPr="002A3AF0">
        <w:t xml:space="preserve"> formou finančních nástrojů pomocí programů Českomoravské záruční a rozvojové a banky (národní rozvojové banky České republiky).</w:t>
      </w:r>
    </w:p>
    <w:p w14:paraId="6E923E43" w14:textId="77777777" w:rsidR="00FC5F01" w:rsidRPr="002A3AF0" w:rsidRDefault="00FC5F01" w:rsidP="00FC5F01">
      <w:r w:rsidRPr="002A3AF0">
        <w:rPr>
          <w:b/>
        </w:rPr>
        <w:t>Vytvoření koncepce České národní expozice - jednotné komunikace České republiky</w:t>
      </w:r>
      <w:r w:rsidRPr="002A3AF0">
        <w:t xml:space="preserve"> na domácích i zahraničních výstavách a veletrzích pod značkou Czech Republic </w:t>
      </w:r>
      <w:proofErr w:type="spellStart"/>
      <w:r w:rsidRPr="002A3AF0">
        <w:t>The</w:t>
      </w:r>
      <w:proofErr w:type="spellEnd"/>
      <w:r w:rsidRPr="002A3AF0">
        <w:t xml:space="preserve"> Country </w:t>
      </w:r>
      <w:proofErr w:type="spellStart"/>
      <w:r w:rsidRPr="002A3AF0">
        <w:t>For</w:t>
      </w:r>
      <w:proofErr w:type="spellEnd"/>
      <w:r w:rsidRPr="002A3AF0">
        <w:t xml:space="preserve"> </w:t>
      </w:r>
      <w:proofErr w:type="spellStart"/>
      <w:r w:rsidRPr="002A3AF0">
        <w:t>The</w:t>
      </w:r>
      <w:proofErr w:type="spellEnd"/>
      <w:r w:rsidRPr="002A3AF0">
        <w:t xml:space="preserve"> </w:t>
      </w:r>
      <w:proofErr w:type="spellStart"/>
      <w:r w:rsidRPr="002A3AF0">
        <w:t>Future</w:t>
      </w:r>
      <w:proofErr w:type="spellEnd"/>
      <w:r w:rsidRPr="002A3AF0">
        <w:t xml:space="preserve">. Expozice na veletrzích v České republice, Číně, Německu a dalších destinacích. </w:t>
      </w:r>
    </w:p>
    <w:p w14:paraId="7B6B6FF2" w14:textId="77777777" w:rsidR="00FC5F01" w:rsidRPr="002A3AF0" w:rsidRDefault="00FC5F01" w:rsidP="00FC5F01">
      <w:pPr>
        <w:spacing w:before="240"/>
      </w:pPr>
      <w:r w:rsidRPr="002A3AF0">
        <w:rPr>
          <w:b/>
        </w:rPr>
        <w:t xml:space="preserve">Zavádění značky Czech Republic </w:t>
      </w:r>
      <w:proofErr w:type="spellStart"/>
      <w:r w:rsidRPr="002A3AF0">
        <w:rPr>
          <w:b/>
        </w:rPr>
        <w:t>The</w:t>
      </w:r>
      <w:proofErr w:type="spellEnd"/>
      <w:r w:rsidRPr="002A3AF0">
        <w:rPr>
          <w:b/>
        </w:rPr>
        <w:t xml:space="preserve"> Country </w:t>
      </w:r>
      <w:proofErr w:type="spellStart"/>
      <w:r w:rsidRPr="002A3AF0">
        <w:rPr>
          <w:b/>
        </w:rPr>
        <w:t>For</w:t>
      </w:r>
      <w:proofErr w:type="spellEnd"/>
      <w:r w:rsidRPr="002A3AF0">
        <w:rPr>
          <w:b/>
        </w:rPr>
        <w:t xml:space="preserve"> </w:t>
      </w:r>
      <w:proofErr w:type="spellStart"/>
      <w:r w:rsidRPr="002A3AF0">
        <w:rPr>
          <w:b/>
        </w:rPr>
        <w:t>The</w:t>
      </w:r>
      <w:proofErr w:type="spellEnd"/>
      <w:r w:rsidRPr="002A3AF0">
        <w:rPr>
          <w:b/>
        </w:rPr>
        <w:t xml:space="preserve"> </w:t>
      </w:r>
      <w:proofErr w:type="spellStart"/>
      <w:r w:rsidRPr="002A3AF0">
        <w:rPr>
          <w:b/>
        </w:rPr>
        <w:t>Future</w:t>
      </w:r>
      <w:proofErr w:type="spellEnd"/>
      <w:r w:rsidRPr="002A3AF0">
        <w:rPr>
          <w:b/>
        </w:rPr>
        <w:t xml:space="preserve"> jako národního hospodářského </w:t>
      </w:r>
      <w:proofErr w:type="spellStart"/>
      <w:r w:rsidRPr="002A3AF0">
        <w:rPr>
          <w:b/>
        </w:rPr>
        <w:t>brandu</w:t>
      </w:r>
      <w:proofErr w:type="spellEnd"/>
      <w:r w:rsidRPr="002A3AF0">
        <w:rPr>
          <w:b/>
        </w:rPr>
        <w:t xml:space="preserve"> České republiky,</w:t>
      </w:r>
      <w:r w:rsidRPr="002A3AF0">
        <w:t xml:space="preserve"> jenž prezentuje </w:t>
      </w:r>
      <w:r>
        <w:t xml:space="preserve">Českou </w:t>
      </w:r>
      <w:r w:rsidRPr="002A3AF0">
        <w:t>republiku jako sebevědomou zemi s velký</w:t>
      </w:r>
      <w:r>
        <w:t>m</w:t>
      </w:r>
      <w:r w:rsidRPr="002A3AF0">
        <w:t xml:space="preserve"> inovačním a hospodářským potenciálem a jasnou vizí</w:t>
      </w:r>
      <w:r>
        <w:t xml:space="preserve"> Inovační strategie ČR 2030</w:t>
      </w:r>
      <w:r w:rsidRPr="002A3AF0">
        <w:t xml:space="preserve">. </w:t>
      </w:r>
    </w:p>
    <w:p w14:paraId="63B28E6C" w14:textId="77777777" w:rsidR="00FC5F01" w:rsidRPr="002A3AF0" w:rsidRDefault="00FC5F01" w:rsidP="00FC5F01">
      <w:pPr>
        <w:spacing w:before="240"/>
      </w:pPr>
      <w:r>
        <w:rPr>
          <w:b/>
        </w:rPr>
        <w:t>Koncepce jednotné prezentace</w:t>
      </w:r>
      <w:r w:rsidRPr="002A3AF0">
        <w:rPr>
          <w:b/>
        </w:rPr>
        <w:t xml:space="preserve"> České republiky </w:t>
      </w:r>
      <w:r>
        <w:rPr>
          <w:b/>
        </w:rPr>
        <w:t xml:space="preserve">- </w:t>
      </w:r>
      <w:r w:rsidRPr="002A3AF0">
        <w:rPr>
          <w:b/>
        </w:rPr>
        <w:t>dne 26. 8. 2019 přijala usnesení č. 588</w:t>
      </w:r>
      <w:r>
        <w:rPr>
          <w:b/>
        </w:rPr>
        <w:t>,</w:t>
      </w:r>
      <w:r w:rsidRPr="002A3AF0">
        <w:rPr>
          <w:b/>
        </w:rPr>
        <w:t xml:space="preserve"> </w:t>
      </w:r>
      <w:r>
        <w:rPr>
          <w:b/>
        </w:rPr>
        <w:t>kterým mimo jiné</w:t>
      </w:r>
      <w:r w:rsidRPr="002A3AF0">
        <w:t xml:space="preserve"> </w:t>
      </w:r>
      <w:r>
        <w:t>zřizuje</w:t>
      </w:r>
      <w:r w:rsidRPr="002A3AF0">
        <w:t xml:space="preserve"> </w:t>
      </w:r>
      <w:r>
        <w:t>N</w:t>
      </w:r>
      <w:r w:rsidRPr="002A3AF0">
        <w:t>árodní marketingový tým</w:t>
      </w:r>
      <w:r>
        <w:t>. Ten vedle Komise pro prezentaci ČR v zahraničí fungující při MZV zajistí</w:t>
      </w:r>
      <w:r w:rsidRPr="002A3AF0">
        <w:t xml:space="preserve"> jednotnou komunikaci a implementaci</w:t>
      </w:r>
      <w:r>
        <w:t xml:space="preserve"> nového </w:t>
      </w:r>
      <w:proofErr w:type="spellStart"/>
      <w:r>
        <w:t>brandu</w:t>
      </w:r>
      <w:proofErr w:type="spellEnd"/>
      <w:r>
        <w:t xml:space="preserve"> naší země</w:t>
      </w:r>
      <w:r w:rsidRPr="002A3AF0">
        <w:t>.</w:t>
      </w:r>
    </w:p>
    <w:p w14:paraId="540EBAA5" w14:textId="77777777" w:rsidR="00FC5F01" w:rsidRPr="002A3AF0" w:rsidRDefault="00FC5F01" w:rsidP="00FC5F01">
      <w:pPr>
        <w:spacing w:after="300" w:line="300" w:lineRule="atLeast"/>
        <w:rPr>
          <w:rFonts w:eastAsia="Times New Roman" w:cs="Arial"/>
          <w:lang w:eastAsia="cs-CZ"/>
        </w:rPr>
      </w:pPr>
      <w:r>
        <w:rPr>
          <w:rFonts w:eastAsia="Times New Roman" w:cs="Arial"/>
          <w:b/>
          <w:lang w:eastAsia="cs-CZ"/>
        </w:rPr>
        <w:t>Vznikl</w:t>
      </w:r>
      <w:r w:rsidRPr="002A3AF0">
        <w:rPr>
          <w:rFonts w:eastAsia="Times New Roman" w:cs="Arial"/>
          <w:b/>
          <w:lang w:eastAsia="cs-CZ"/>
        </w:rPr>
        <w:t xml:space="preserve"> tzv. Czech </w:t>
      </w:r>
      <w:proofErr w:type="spellStart"/>
      <w:r w:rsidRPr="002A3AF0">
        <w:rPr>
          <w:rFonts w:eastAsia="Times New Roman" w:cs="Arial"/>
          <w:b/>
          <w:lang w:eastAsia="cs-CZ"/>
        </w:rPr>
        <w:t>Space</w:t>
      </w:r>
      <w:proofErr w:type="spellEnd"/>
      <w:r w:rsidRPr="002A3AF0">
        <w:rPr>
          <w:rFonts w:eastAsia="Times New Roman" w:cs="Arial"/>
          <w:b/>
          <w:lang w:eastAsia="cs-CZ"/>
        </w:rPr>
        <w:t xml:space="preserve"> Team</w:t>
      </w:r>
      <w:r>
        <w:rPr>
          <w:rFonts w:eastAsia="Times New Roman" w:cs="Arial"/>
          <w:b/>
          <w:lang w:eastAsia="cs-CZ"/>
        </w:rPr>
        <w:t>. Jeho cílem je</w:t>
      </w:r>
      <w:r w:rsidRPr="002A3AF0">
        <w:rPr>
          <w:rFonts w:eastAsia="Times New Roman" w:cs="Arial"/>
          <w:b/>
          <w:lang w:eastAsia="cs-CZ"/>
        </w:rPr>
        <w:t xml:space="preserve"> posílení koordinace kosmických aktivit</w:t>
      </w:r>
      <w:r>
        <w:rPr>
          <w:rFonts w:eastAsia="Times New Roman" w:cs="Arial"/>
          <w:lang w:eastAsia="cs-CZ"/>
        </w:rPr>
        <w:t>.</w:t>
      </w:r>
      <w:r w:rsidRPr="002A3AF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Tým byl p</w:t>
      </w:r>
      <w:r w:rsidRPr="002A3AF0">
        <w:rPr>
          <w:rFonts w:eastAsia="Times New Roman" w:cs="Arial"/>
          <w:lang w:eastAsia="cs-CZ"/>
        </w:rPr>
        <w:t xml:space="preserve">rozatím </w:t>
      </w:r>
      <w:r>
        <w:rPr>
          <w:rFonts w:eastAsia="Times New Roman" w:cs="Arial"/>
          <w:lang w:eastAsia="cs-CZ"/>
        </w:rPr>
        <w:t xml:space="preserve">schválen </w:t>
      </w:r>
      <w:r w:rsidRPr="002A3AF0">
        <w:rPr>
          <w:rFonts w:eastAsia="Times New Roman" w:cs="Arial"/>
          <w:lang w:eastAsia="cs-CZ"/>
        </w:rPr>
        <w:t xml:space="preserve">Koordinační radou ministra dopravy pro kosmické aktivity a měl by se stát její aktivní složkou. Cílem této platformy je koncentrace aktivních zástupců rezortů, projektů a průmyslu, zajistit jednotnou komunikaci kosmických aktivit, sjednotit marketing a pomoci s urychlením kosmické politiky. </w:t>
      </w:r>
    </w:p>
    <w:p w14:paraId="541B3DFB" w14:textId="77777777" w:rsidR="00FC5F01" w:rsidRPr="002A3AF0" w:rsidRDefault="00FC5F01" w:rsidP="00FC5F01">
      <w:pPr>
        <w:spacing w:after="300" w:line="300" w:lineRule="atLeast"/>
        <w:rPr>
          <w:rFonts w:eastAsia="Times New Roman" w:cs="Arial"/>
          <w:lang w:eastAsia="cs-CZ"/>
        </w:rPr>
      </w:pPr>
      <w:r w:rsidRPr="002A3AF0">
        <w:rPr>
          <w:rFonts w:eastAsia="Times New Roman" w:cs="Arial"/>
          <w:b/>
          <w:lang w:eastAsia="cs-CZ"/>
        </w:rPr>
        <w:t>Ministerstvo dopravy  </w:t>
      </w:r>
      <w:r>
        <w:rPr>
          <w:rFonts w:eastAsia="Times New Roman" w:cs="Arial"/>
          <w:b/>
          <w:lang w:eastAsia="cs-CZ"/>
        </w:rPr>
        <w:t xml:space="preserve">ČR </w:t>
      </w:r>
      <w:r w:rsidRPr="002A3AF0">
        <w:rPr>
          <w:rFonts w:eastAsia="Times New Roman" w:cs="Arial"/>
          <w:b/>
          <w:lang w:eastAsia="cs-CZ"/>
        </w:rPr>
        <w:t xml:space="preserve">a </w:t>
      </w:r>
      <w:r>
        <w:rPr>
          <w:rFonts w:eastAsia="Times New Roman" w:cs="Arial"/>
          <w:b/>
          <w:lang w:eastAsia="cs-CZ"/>
        </w:rPr>
        <w:t xml:space="preserve">Agentura </w:t>
      </w:r>
      <w:proofErr w:type="spellStart"/>
      <w:r>
        <w:rPr>
          <w:rFonts w:eastAsia="Times New Roman" w:cs="Arial"/>
          <w:b/>
          <w:lang w:eastAsia="cs-CZ"/>
        </w:rPr>
        <w:t>CzechInvest</w:t>
      </w:r>
      <w:proofErr w:type="spellEnd"/>
      <w:r>
        <w:rPr>
          <w:rFonts w:eastAsia="Times New Roman" w:cs="Arial"/>
          <w:b/>
          <w:lang w:eastAsia="cs-CZ"/>
        </w:rPr>
        <w:t xml:space="preserve"> představili</w:t>
      </w:r>
      <w:r w:rsidRPr="002A3AF0">
        <w:rPr>
          <w:rFonts w:eastAsia="Times New Roman" w:cs="Arial"/>
          <w:b/>
          <w:lang w:eastAsia="cs-CZ"/>
        </w:rPr>
        <w:t xml:space="preserve"> v září 2019 tuzemské kosmické aktivity na festivalu </w:t>
      </w:r>
      <w:proofErr w:type="spellStart"/>
      <w:r w:rsidRPr="002A3AF0">
        <w:rPr>
          <w:rFonts w:eastAsia="Times New Roman" w:cs="Arial"/>
          <w:b/>
          <w:lang w:eastAsia="cs-CZ"/>
        </w:rPr>
        <w:t>Future</w:t>
      </w:r>
      <w:proofErr w:type="spellEnd"/>
      <w:r w:rsidRPr="002A3AF0">
        <w:rPr>
          <w:rFonts w:eastAsia="Times New Roman" w:cs="Arial"/>
          <w:b/>
          <w:lang w:eastAsia="cs-CZ"/>
        </w:rPr>
        <w:t xml:space="preserve"> Port Prague.</w:t>
      </w:r>
      <w:r w:rsidRPr="002A3AF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 xml:space="preserve">V rámci </w:t>
      </w:r>
      <w:r w:rsidRPr="002A3AF0">
        <w:rPr>
          <w:rFonts w:eastAsia="Times New Roman" w:cs="Arial"/>
          <w:lang w:eastAsia="cs-CZ"/>
        </w:rPr>
        <w:t xml:space="preserve">tzv. Czech </w:t>
      </w:r>
      <w:proofErr w:type="spellStart"/>
      <w:r w:rsidRPr="002A3AF0">
        <w:rPr>
          <w:rFonts w:eastAsia="Times New Roman" w:cs="Arial"/>
          <w:lang w:eastAsia="cs-CZ"/>
        </w:rPr>
        <w:t>Sp</w:t>
      </w:r>
      <w:r>
        <w:rPr>
          <w:rFonts w:eastAsia="Times New Roman" w:cs="Arial"/>
          <w:lang w:eastAsia="cs-CZ"/>
        </w:rPr>
        <w:t>ace</w:t>
      </w:r>
      <w:proofErr w:type="spellEnd"/>
      <w:r>
        <w:rPr>
          <w:rFonts w:eastAsia="Times New Roman" w:cs="Arial"/>
          <w:lang w:eastAsia="cs-CZ"/>
        </w:rPr>
        <w:t xml:space="preserve"> Dome, kde se spolu s MD ČR a </w:t>
      </w:r>
      <w:proofErr w:type="spellStart"/>
      <w:r>
        <w:rPr>
          <w:rFonts w:eastAsia="Times New Roman" w:cs="Arial"/>
          <w:lang w:eastAsia="cs-CZ"/>
        </w:rPr>
        <w:t>CzechInvestem</w:t>
      </w:r>
      <w:proofErr w:type="spellEnd"/>
      <w:r w:rsidRPr="002A3AF0">
        <w:rPr>
          <w:rFonts w:eastAsia="Times New Roman" w:cs="Arial"/>
          <w:lang w:eastAsia="cs-CZ"/>
        </w:rPr>
        <w:t xml:space="preserve"> prezentovalo cca 15 českých firem. Tato sekce se tak stala jednou z klíčových sekcí letošního FPP.   </w:t>
      </w:r>
    </w:p>
    <w:p w14:paraId="3425B18F" w14:textId="77777777" w:rsidR="00FC5F01" w:rsidRPr="002A3AF0" w:rsidRDefault="00FC5F01" w:rsidP="00FC5F01">
      <w:pPr>
        <w:spacing w:after="300" w:line="300" w:lineRule="atLeast"/>
        <w:rPr>
          <w:rFonts w:eastAsia="Times New Roman" w:cs="Arial"/>
          <w:lang w:eastAsia="cs-CZ"/>
        </w:rPr>
      </w:pPr>
      <w:r w:rsidRPr="002A3AF0">
        <w:rPr>
          <w:rFonts w:eastAsia="Times New Roman" w:cs="Arial"/>
          <w:b/>
          <w:lang w:eastAsia="cs-CZ"/>
        </w:rPr>
        <w:t xml:space="preserve">Czech </w:t>
      </w:r>
      <w:proofErr w:type="spellStart"/>
      <w:r w:rsidRPr="002A3AF0">
        <w:rPr>
          <w:rFonts w:eastAsia="Times New Roman" w:cs="Arial"/>
          <w:b/>
          <w:lang w:eastAsia="cs-CZ"/>
        </w:rPr>
        <w:t>Space</w:t>
      </w:r>
      <w:proofErr w:type="spellEnd"/>
      <w:r w:rsidRPr="002A3AF0">
        <w:rPr>
          <w:rFonts w:eastAsia="Times New Roman" w:cs="Arial"/>
          <w:b/>
          <w:lang w:eastAsia="cs-CZ"/>
        </w:rPr>
        <w:t xml:space="preserve"> </w:t>
      </w:r>
      <w:proofErr w:type="spellStart"/>
      <w:r w:rsidRPr="002A3AF0">
        <w:rPr>
          <w:rFonts w:eastAsia="Times New Roman" w:cs="Arial"/>
          <w:b/>
          <w:lang w:eastAsia="cs-CZ"/>
        </w:rPr>
        <w:t>Week</w:t>
      </w:r>
      <w:proofErr w:type="spellEnd"/>
      <w:r w:rsidRPr="002A3AF0">
        <w:rPr>
          <w:rFonts w:eastAsia="Times New Roman" w:cs="Arial"/>
          <w:lang w:eastAsia="cs-CZ"/>
        </w:rPr>
        <w:t xml:space="preserve"> – v termínu 8. – 15. 11. organizovalo Ministerstvo dopravy a Agentura </w:t>
      </w:r>
      <w:proofErr w:type="spellStart"/>
      <w:r w:rsidRPr="002A3AF0">
        <w:rPr>
          <w:rFonts w:eastAsia="Times New Roman" w:cs="Arial"/>
          <w:lang w:eastAsia="cs-CZ"/>
        </w:rPr>
        <w:t>CzechInvest</w:t>
      </w:r>
      <w:proofErr w:type="spellEnd"/>
      <w:r w:rsidRPr="002A3AF0">
        <w:rPr>
          <w:rFonts w:eastAsia="Times New Roman" w:cs="Arial"/>
          <w:lang w:eastAsia="cs-CZ"/>
        </w:rPr>
        <w:t xml:space="preserve"> festival kosmických aktivit, jehož cílem bylo představit přínos kosmických aktivit veřejnosti, prohloubit spolupráci firem v kosmickém sektoru a propojit je s firmami z jiných sektorů.  </w:t>
      </w:r>
    </w:p>
    <w:p w14:paraId="25197997" w14:textId="77777777" w:rsidR="00FC5F01" w:rsidRPr="002A3AF0" w:rsidRDefault="00FC5F01" w:rsidP="00FC5F01">
      <w:pPr>
        <w:spacing w:after="300" w:line="300" w:lineRule="atLeast"/>
      </w:pPr>
      <w:r>
        <w:rPr>
          <w:b/>
        </w:rPr>
        <w:lastRenderedPageBreak/>
        <w:t>P</w:t>
      </w:r>
      <w:r w:rsidRPr="002A3AF0">
        <w:rPr>
          <w:b/>
        </w:rPr>
        <w:t>říprava projektu 5G</w:t>
      </w:r>
      <w:r>
        <w:rPr>
          <w:b/>
        </w:rPr>
        <w:t xml:space="preserve"> – Akční plán 2.0 byl schválen vládou</w:t>
      </w:r>
      <w:r w:rsidRPr="002A3AF0">
        <w:rPr>
          <w:b/>
        </w:rPr>
        <w:t>.</w:t>
      </w:r>
      <w:r>
        <w:rPr>
          <w:b/>
        </w:rPr>
        <w:t xml:space="preserve"> </w:t>
      </w:r>
      <w:r w:rsidRPr="00F3362F">
        <w:t>B</w:t>
      </w:r>
      <w:r w:rsidRPr="00F3362F">
        <w:rPr>
          <w:rFonts w:cs="Calibri"/>
        </w:rPr>
        <w:t xml:space="preserve">udování vysokorychlostních sítí elektronických komunikací včetně sítí 5G se zjednoduší. </w:t>
      </w:r>
      <w:r w:rsidRPr="002A3AF0">
        <w:t>Nová</w:t>
      </w:r>
      <w:r>
        <w:t xml:space="preserve"> 5G</w:t>
      </w:r>
      <w:r w:rsidRPr="002A3AF0">
        <w:t xml:space="preserve"> síť bude efektivnější a rychlejší než stávající přenosová řešení a na její bázi by měl vzniknout celý ekosystém dalších služeb.</w:t>
      </w:r>
    </w:p>
    <w:p w14:paraId="5D5A6A00" w14:textId="77777777" w:rsidR="00FC5F01" w:rsidRPr="00F3362F" w:rsidRDefault="00AF606D" w:rsidP="00FC5F01">
      <w:pPr>
        <w:shd w:val="clear" w:color="auto" w:fill="FFFFFF"/>
        <w:spacing w:after="0" w:line="300" w:lineRule="atLeast"/>
      </w:pPr>
      <w:hyperlink r:id="rId26" w:history="1">
        <w:r w:rsidR="00FC5F01" w:rsidRPr="002A3AF0">
          <w:rPr>
            <w:b/>
          </w:rPr>
          <w:t xml:space="preserve">Internet do každé obce – realizace projektu pokrytí bílých míst. </w:t>
        </w:r>
      </w:hyperlink>
      <w:r w:rsidR="00FC5F01" w:rsidRPr="002A3AF0">
        <w:t xml:space="preserve">Ministerstvo průmyslu a obchodu se zapojilo do iniciativy, jejímž cílem je zajistit stabilní internetové připojení na všech </w:t>
      </w:r>
      <w:r w:rsidR="00FC5F01" w:rsidRPr="00F3362F">
        <w:t>takzvaných „bílých místech“.</w:t>
      </w:r>
      <w:r w:rsidR="00FC5F01" w:rsidRPr="00F3362F">
        <w:rPr>
          <w:rFonts w:cs="Calibri"/>
          <w:iCs/>
        </w:rPr>
        <w:t xml:space="preserve"> V současné době je v ČR víc než sedm tisíc tzv. bílých míst, tedy sídelních oblastí bez vysokorychlostního internetu, což je jedna třetina všech obcí a jejich částí. Připravovaná výzva má cílit mj. na cca 3 000 bílých míst. Vysokorychlostní internet stát podporuje i jinak, využít lze například zvýhodněné finanční úvěry v programu Expanze prostřednictvím Českomoravské záruční a rozvojové banky (ČMRZB)</w:t>
      </w:r>
      <w:r w:rsidR="00FC5F01">
        <w:rPr>
          <w:rFonts w:cs="Calibri"/>
          <w:iCs/>
        </w:rPr>
        <w:t>.</w:t>
      </w:r>
    </w:p>
    <w:p w14:paraId="70A15B29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t xml:space="preserve"> </w:t>
      </w:r>
      <w:r w:rsidRPr="002A3AF0">
        <w:fldChar w:fldCharType="begin"/>
      </w:r>
      <w:r w:rsidRPr="002A3AF0">
        <w:instrText xml:space="preserve"> HYPERLINK "https://www.countryforfuture.com/digitalizace-stavebnictvi-priprava-rekodifikace-stavebniho-prava/" </w:instrText>
      </w:r>
      <w:r w:rsidRPr="002A3AF0">
        <w:fldChar w:fldCharType="separate"/>
      </w:r>
    </w:p>
    <w:p w14:paraId="793339F0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 xml:space="preserve">Digitalizace stavebnictví – v přípravě </w:t>
      </w:r>
      <w:r>
        <w:rPr>
          <w:b/>
        </w:rPr>
        <w:t xml:space="preserve">je </w:t>
      </w:r>
      <w:r w:rsidRPr="002A3AF0">
        <w:rPr>
          <w:b/>
        </w:rPr>
        <w:t>rekodifikace stavebního práva.</w:t>
      </w:r>
      <w:r w:rsidRPr="002A3AF0">
        <w:t xml:space="preserve"> </w:t>
      </w:r>
      <w:r w:rsidRPr="002A3AF0">
        <w:fldChar w:fldCharType="end"/>
      </w:r>
      <w:r w:rsidRPr="002A3AF0">
        <w:t xml:space="preserve"> Mezi </w:t>
      </w:r>
      <w:r>
        <w:t xml:space="preserve">její </w:t>
      </w:r>
      <w:r w:rsidRPr="002A3AF0">
        <w:t>cíle patří digitalizace stavebních plánů.</w:t>
      </w:r>
    </w:p>
    <w:p w14:paraId="3D42AABE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419D0CEC" w14:textId="77777777" w:rsidR="00FC5F01" w:rsidRPr="002A3AF0" w:rsidRDefault="00FC5F01" w:rsidP="00FC5F01">
      <w:pPr>
        <w:shd w:val="clear" w:color="auto" w:fill="FFFFFF"/>
        <w:spacing w:after="0" w:line="300" w:lineRule="atLeast"/>
      </w:pPr>
      <w:r>
        <w:rPr>
          <w:b/>
        </w:rPr>
        <w:t>Osvěta v oblasti</w:t>
      </w:r>
      <w:r w:rsidRPr="002A3AF0">
        <w:rPr>
          <w:b/>
        </w:rPr>
        <w:t xml:space="preserve"> ochrany duševního vlastnictví ČR </w:t>
      </w:r>
      <w:r w:rsidRPr="002A3AF0">
        <w:t>– Úřad průmyslového vlastnictví ve spolupráci s ČVUT-FEL připravil v letním semestru pilotní kurz pro studenty a doktorandy o ochraně duševního vlastnictví</w:t>
      </w:r>
      <w:r>
        <w:t xml:space="preserve"> a </w:t>
      </w:r>
      <w:r w:rsidRPr="002A3AF0">
        <w:t>nový formát přednášek pro pedagogy v rámci jejich dalšího vzdělávání.</w:t>
      </w:r>
    </w:p>
    <w:p w14:paraId="410581AA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0B4C3EFD" w14:textId="77777777" w:rsidR="00FC5F01" w:rsidRPr="002A3AF0" w:rsidRDefault="00AF606D" w:rsidP="00FC5F01">
      <w:pPr>
        <w:shd w:val="clear" w:color="auto" w:fill="FFFFFF"/>
        <w:spacing w:after="0" w:line="300" w:lineRule="atLeast"/>
      </w:pPr>
      <w:hyperlink r:id="rId27" w:history="1">
        <w:r w:rsidR="00FC5F01" w:rsidRPr="002A3AF0">
          <w:rPr>
            <w:b/>
          </w:rPr>
          <w:t xml:space="preserve">Živnostenský balíček. </w:t>
        </w:r>
      </w:hyperlink>
      <w:r w:rsidR="00FC5F01" w:rsidRPr="002A3AF0">
        <w:rPr>
          <w:b/>
        </w:rPr>
        <w:t>Společná iniciativa Ministerstva průmyslu a obchodu a Ministerstva financí dala vzniknout desateru podnikatelských opatření</w:t>
      </w:r>
      <w:r w:rsidR="00FC5F01" w:rsidRPr="002A3AF0">
        <w:t>, které mají za úkol snížit byrokratickou a administrativní náročnost živnostenského prostředí.</w:t>
      </w:r>
    </w:p>
    <w:p w14:paraId="0719166D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687E1502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>Spin-</w:t>
      </w:r>
      <w:proofErr w:type="spellStart"/>
      <w:r w:rsidRPr="002A3AF0">
        <w:rPr>
          <w:b/>
        </w:rPr>
        <w:t>off</w:t>
      </w:r>
      <w:proofErr w:type="spellEnd"/>
      <w:r w:rsidRPr="002A3AF0">
        <w:rPr>
          <w:b/>
        </w:rPr>
        <w:t xml:space="preserve"> </w:t>
      </w:r>
      <w:proofErr w:type="spellStart"/>
      <w:r w:rsidRPr="002A3AF0">
        <w:rPr>
          <w:b/>
        </w:rPr>
        <w:t>Guide</w:t>
      </w:r>
      <w:proofErr w:type="spellEnd"/>
      <w:r>
        <w:rPr>
          <w:b/>
        </w:rPr>
        <w:t xml:space="preserve"> - </w:t>
      </w:r>
      <w:r w:rsidRPr="002A3AF0">
        <w:rPr>
          <w:b/>
        </w:rPr>
        <w:t>materiál, jehož účelem je zvýšení právní jistoty a posílení orientace v problematice vzniku a rozvoje tzv. spin-</w:t>
      </w:r>
      <w:proofErr w:type="spellStart"/>
      <w:r w:rsidRPr="002A3AF0">
        <w:rPr>
          <w:b/>
        </w:rPr>
        <w:t>off</w:t>
      </w:r>
      <w:proofErr w:type="spellEnd"/>
      <w:r w:rsidRPr="002A3AF0">
        <w:rPr>
          <w:b/>
        </w:rPr>
        <w:t xml:space="preserve"> společností. </w:t>
      </w:r>
      <w:r w:rsidRPr="002A3AF0">
        <w:t>Odborná platforma „Spin-</w:t>
      </w:r>
      <w:proofErr w:type="spellStart"/>
      <w:r w:rsidRPr="002A3AF0">
        <w:t>off</w:t>
      </w:r>
      <w:proofErr w:type="spellEnd"/>
      <w:r w:rsidRPr="002A3AF0">
        <w:t xml:space="preserve">“ složená ze zástupců Ministerstva průmyslu a obchodu, Agentury </w:t>
      </w:r>
      <w:proofErr w:type="spellStart"/>
      <w:r w:rsidRPr="002A3AF0">
        <w:t>CzechInvest</w:t>
      </w:r>
      <w:proofErr w:type="spellEnd"/>
      <w:r w:rsidRPr="002A3AF0">
        <w:t>, Technologické agentury ČR, spin-</w:t>
      </w:r>
      <w:proofErr w:type="spellStart"/>
      <w:r w:rsidRPr="002A3AF0">
        <w:t>off</w:t>
      </w:r>
      <w:proofErr w:type="spellEnd"/>
      <w:r w:rsidRPr="002A3AF0">
        <w:t xml:space="preserve"> společností a výzkumných institucí </w:t>
      </w:r>
      <w:r>
        <w:t xml:space="preserve">připravila metodiku a </w:t>
      </w:r>
      <w:r w:rsidRPr="002A3AF0">
        <w:t>identifikovala možné překážky, které brání zakládání spin-</w:t>
      </w:r>
      <w:proofErr w:type="spellStart"/>
      <w:r w:rsidRPr="002A3AF0">
        <w:t>off</w:t>
      </w:r>
      <w:proofErr w:type="spellEnd"/>
      <w:r w:rsidRPr="002A3AF0">
        <w:t xml:space="preserve"> společností</w:t>
      </w:r>
      <w:r>
        <w:t>.</w:t>
      </w:r>
      <w:r w:rsidRPr="002A3AF0">
        <w:t xml:space="preserve"> </w:t>
      </w:r>
      <w:r>
        <w:t xml:space="preserve">Materiál byl </w:t>
      </w:r>
      <w:r w:rsidRPr="002A3AF0">
        <w:t>schválen Vládou ČR.</w:t>
      </w:r>
    </w:p>
    <w:p w14:paraId="47F8DD85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31571175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>Lákání talentů do ČR</w:t>
      </w:r>
      <w:r w:rsidRPr="002A3AF0">
        <w:t xml:space="preserve"> </w:t>
      </w:r>
      <w:r w:rsidRPr="002A3AF0">
        <w:rPr>
          <w:b/>
        </w:rPr>
        <w:t>(</w:t>
      </w:r>
      <w:r w:rsidRPr="002A3AF0">
        <w:rPr>
          <w:rFonts w:eastAsia="Times New Roman"/>
          <w:b/>
          <w:color w:val="212121"/>
        </w:rPr>
        <w:t xml:space="preserve">Talent </w:t>
      </w:r>
      <w:proofErr w:type="spellStart"/>
      <w:r w:rsidRPr="002A3AF0">
        <w:rPr>
          <w:rFonts w:eastAsia="Times New Roman"/>
          <w:b/>
          <w:color w:val="212121"/>
        </w:rPr>
        <w:t>Attraction</w:t>
      </w:r>
      <w:proofErr w:type="spellEnd"/>
      <w:r w:rsidRPr="002A3AF0">
        <w:rPr>
          <w:rFonts w:eastAsia="Times New Roman"/>
          <w:b/>
          <w:color w:val="212121"/>
        </w:rPr>
        <w:t>)</w:t>
      </w:r>
      <w:r w:rsidRPr="002A3AF0">
        <w:rPr>
          <w:rFonts w:eastAsia="Times New Roman"/>
          <w:color w:val="212121"/>
        </w:rPr>
        <w:t xml:space="preserve"> </w:t>
      </w:r>
      <w:r w:rsidRPr="002A3AF0">
        <w:t xml:space="preserve">– v roce 2019 probíhaly kampaně na lákání mladých talentů ze zemí s vysokou nezaměstnaností absolventů (Francie a Španělsko) do ČR v rámci projektů Czech </w:t>
      </w:r>
      <w:proofErr w:type="spellStart"/>
      <w:r w:rsidRPr="002A3AF0">
        <w:t>Emploi</w:t>
      </w:r>
      <w:proofErr w:type="spellEnd"/>
      <w:r w:rsidRPr="002A3AF0">
        <w:t xml:space="preserve"> a </w:t>
      </w:r>
      <w:proofErr w:type="spellStart"/>
      <w:r w:rsidRPr="002A3AF0">
        <w:t>Trabajar</w:t>
      </w:r>
      <w:proofErr w:type="spellEnd"/>
      <w:r w:rsidRPr="002A3AF0">
        <w:t xml:space="preserve"> en </w:t>
      </w:r>
      <w:proofErr w:type="spellStart"/>
      <w:r w:rsidRPr="002A3AF0">
        <w:t>Chequia</w:t>
      </w:r>
      <w:proofErr w:type="spellEnd"/>
      <w:r w:rsidRPr="002A3AF0">
        <w:t>.</w:t>
      </w:r>
    </w:p>
    <w:p w14:paraId="74457CAF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28CD34D8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>Mapa podnikatelského prostředí - komplexní analytick</w:t>
      </w:r>
      <w:r>
        <w:rPr>
          <w:b/>
        </w:rPr>
        <w:t>ý</w:t>
      </w:r>
      <w:r w:rsidRPr="002A3AF0">
        <w:rPr>
          <w:b/>
        </w:rPr>
        <w:t xml:space="preserve"> podklad pro </w:t>
      </w:r>
      <w:proofErr w:type="spellStart"/>
      <w:r w:rsidRPr="002A3AF0">
        <w:rPr>
          <w:b/>
        </w:rPr>
        <w:t>smart</w:t>
      </w:r>
      <w:proofErr w:type="spellEnd"/>
      <w:r w:rsidRPr="002A3AF0">
        <w:rPr>
          <w:b/>
        </w:rPr>
        <w:t xml:space="preserve"> lokalizaci investičních akcí. </w:t>
      </w:r>
      <w:r w:rsidRPr="002A3AF0">
        <w:t>Nástroj, který podporuje investice s vysokou přidanou hodnotou na celém území a ostatní investice pouze ve specifických oblastech České republiky, kde plní stabilizační a rozvojové cíle regionu (=</w:t>
      </w:r>
      <w:proofErr w:type="spellStart"/>
      <w:r w:rsidRPr="002A3AF0">
        <w:t>smart</w:t>
      </w:r>
      <w:proofErr w:type="spellEnd"/>
      <w:r w:rsidRPr="002A3AF0">
        <w:t xml:space="preserve"> investice). </w:t>
      </w:r>
    </w:p>
    <w:p w14:paraId="63711244" w14:textId="77777777" w:rsidR="00FC5F01" w:rsidRPr="002A3AF0" w:rsidRDefault="00FC5F01" w:rsidP="00FC5F01">
      <w:pPr>
        <w:shd w:val="clear" w:color="auto" w:fill="FFFFFF"/>
        <w:spacing w:after="0" w:line="300" w:lineRule="atLeast"/>
        <w:rPr>
          <w:b/>
        </w:rPr>
      </w:pPr>
    </w:p>
    <w:p w14:paraId="03D6A5B4" w14:textId="77777777" w:rsidR="00FC5F01" w:rsidRPr="002A3AF0" w:rsidRDefault="00FC5F01" w:rsidP="00FC5F01">
      <w:pPr>
        <w:shd w:val="clear" w:color="auto" w:fill="FFFFFF"/>
        <w:spacing w:after="0" w:line="300" w:lineRule="atLeast"/>
      </w:pPr>
      <w:r w:rsidRPr="002A3AF0">
        <w:rPr>
          <w:b/>
        </w:rPr>
        <w:t xml:space="preserve">„Country </w:t>
      </w:r>
      <w:proofErr w:type="spellStart"/>
      <w:r w:rsidRPr="002A3AF0">
        <w:rPr>
          <w:b/>
        </w:rPr>
        <w:t>For</w:t>
      </w:r>
      <w:proofErr w:type="spellEnd"/>
      <w:r w:rsidRPr="002A3AF0">
        <w:rPr>
          <w:b/>
        </w:rPr>
        <w:t xml:space="preserve"> </w:t>
      </w:r>
      <w:proofErr w:type="spellStart"/>
      <w:r w:rsidRPr="002A3AF0">
        <w:rPr>
          <w:b/>
        </w:rPr>
        <w:t>The</w:t>
      </w:r>
      <w:proofErr w:type="spellEnd"/>
      <w:r w:rsidRPr="002A3AF0">
        <w:rPr>
          <w:b/>
        </w:rPr>
        <w:t xml:space="preserve"> </w:t>
      </w:r>
      <w:proofErr w:type="spellStart"/>
      <w:r w:rsidRPr="002A3AF0">
        <w:rPr>
          <w:b/>
        </w:rPr>
        <w:t>Future</w:t>
      </w:r>
      <w:proofErr w:type="spellEnd"/>
      <w:r w:rsidRPr="002A3AF0">
        <w:rPr>
          <w:b/>
        </w:rPr>
        <w:t xml:space="preserve"> tým“</w:t>
      </w:r>
      <w:r w:rsidRPr="002A3AF0">
        <w:t xml:space="preserve">– </w:t>
      </w:r>
      <w:r w:rsidRPr="002A3AF0">
        <w:rPr>
          <w:b/>
        </w:rPr>
        <w:t xml:space="preserve">ve </w:t>
      </w:r>
      <w:proofErr w:type="gramStart"/>
      <w:r w:rsidRPr="002A3AF0">
        <w:rPr>
          <w:b/>
        </w:rPr>
        <w:t>13ti</w:t>
      </w:r>
      <w:proofErr w:type="gramEnd"/>
      <w:r w:rsidRPr="002A3AF0">
        <w:rPr>
          <w:b/>
        </w:rPr>
        <w:t xml:space="preserve"> regionálních kancelářích </w:t>
      </w:r>
      <w:proofErr w:type="spellStart"/>
      <w:r w:rsidRPr="002A3AF0">
        <w:rPr>
          <w:b/>
        </w:rPr>
        <w:t>CzechInvestu</w:t>
      </w:r>
      <w:proofErr w:type="spellEnd"/>
      <w:r w:rsidRPr="002A3AF0">
        <w:rPr>
          <w:b/>
        </w:rPr>
        <w:t xml:space="preserve"> fungují jednotná kontaktní místa pro podnikatele.</w:t>
      </w:r>
      <w:r w:rsidRPr="002A3AF0">
        <w:t xml:space="preserve"> Individuální poradenství </w:t>
      </w:r>
      <w:r>
        <w:t xml:space="preserve">pro firmy </w:t>
      </w:r>
      <w:r w:rsidRPr="002A3AF0">
        <w:t xml:space="preserve">od </w:t>
      </w:r>
      <w:proofErr w:type="spellStart"/>
      <w:r w:rsidRPr="002A3AF0">
        <w:t>startupů</w:t>
      </w:r>
      <w:proofErr w:type="spellEnd"/>
      <w:r w:rsidRPr="002A3AF0">
        <w:t xml:space="preserve"> po investory s vysokou přidanou </w:t>
      </w:r>
      <w:r>
        <w:t>hodnotou. Cílem je stimulace výzkumně vývojových aktivit, investic</w:t>
      </w:r>
      <w:r w:rsidRPr="002A3AF0">
        <w:t>, export</w:t>
      </w:r>
      <w:r>
        <w:t>u</w:t>
      </w:r>
      <w:r w:rsidRPr="002A3AF0">
        <w:t xml:space="preserve"> a další</w:t>
      </w:r>
      <w:r>
        <w:t>ho</w:t>
      </w:r>
      <w:r w:rsidRPr="002A3AF0">
        <w:t xml:space="preserve"> rozvoj</w:t>
      </w:r>
      <w:r>
        <w:t>e</w:t>
      </w:r>
      <w:r w:rsidRPr="002A3AF0">
        <w:t xml:space="preserve"> firem. Na míru šité konzultace vycházejí z nástrojů a služeb </w:t>
      </w:r>
      <w:proofErr w:type="spellStart"/>
      <w:r w:rsidRPr="002A3AF0">
        <w:t>CzechInvestu</w:t>
      </w:r>
      <w:proofErr w:type="spellEnd"/>
      <w:r w:rsidRPr="002A3AF0">
        <w:t xml:space="preserve">, </w:t>
      </w:r>
      <w:proofErr w:type="spellStart"/>
      <w:r w:rsidRPr="002A3AF0">
        <w:t>TAČRu</w:t>
      </w:r>
      <w:proofErr w:type="spellEnd"/>
      <w:r w:rsidRPr="002A3AF0">
        <w:t xml:space="preserve">, API, </w:t>
      </w:r>
      <w:proofErr w:type="spellStart"/>
      <w:r w:rsidRPr="002A3AF0">
        <w:t>CzechTradu</w:t>
      </w:r>
      <w:proofErr w:type="spellEnd"/>
      <w:r w:rsidRPr="002A3AF0">
        <w:t>, ČMZRB, MPO a dalších.</w:t>
      </w:r>
    </w:p>
    <w:p w14:paraId="5C9FAC8D" w14:textId="77777777" w:rsidR="00FC5F01" w:rsidRPr="002A3AF0" w:rsidRDefault="00FC5F01" w:rsidP="00FC5F01">
      <w:pPr>
        <w:shd w:val="clear" w:color="auto" w:fill="FFFFFF"/>
        <w:spacing w:after="0" w:line="300" w:lineRule="atLeast"/>
      </w:pPr>
    </w:p>
    <w:p w14:paraId="74AB85F8" w14:textId="77777777" w:rsidR="00FC5F01" w:rsidRPr="002A3AF0" w:rsidRDefault="00FC5F01" w:rsidP="00FC5F01">
      <w:pPr>
        <w:rPr>
          <w:iCs/>
        </w:rPr>
      </w:pPr>
      <w:r w:rsidRPr="002A3AF0">
        <w:rPr>
          <w:b/>
          <w:bCs/>
          <w:iCs/>
        </w:rPr>
        <w:t xml:space="preserve">Pilotní projekt výuky techniky na ZŠ. </w:t>
      </w:r>
      <w:r w:rsidRPr="002A3AF0">
        <w:rPr>
          <w:iCs/>
        </w:rPr>
        <w:t>Cílem projektu zahájeného od školního roku 2019/20 je rozvoj způsobilosti žáků získat potřebné technické dovednosti.</w:t>
      </w:r>
    </w:p>
    <w:p w14:paraId="733F78BF" w14:textId="77777777" w:rsidR="00FC5F01" w:rsidRPr="002A3AF0" w:rsidRDefault="00FC5F01" w:rsidP="00FC5F01">
      <w:pPr>
        <w:rPr>
          <w:iCs/>
        </w:rPr>
      </w:pPr>
      <w:r w:rsidRPr="002A3AF0">
        <w:rPr>
          <w:b/>
          <w:bCs/>
          <w:iCs/>
        </w:rPr>
        <w:lastRenderedPageBreak/>
        <w:t xml:space="preserve">Strategie 2030+. </w:t>
      </w:r>
      <w:r w:rsidRPr="002A3AF0">
        <w:rPr>
          <w:iCs/>
        </w:rPr>
        <w:t xml:space="preserve">MŠMT v současné době připravuje materiál Strategie vzdělávací politiky do roku 2030. Cílem je mj. také modernizace učiva (včetně revize RVP) tak, aby žáci byli lépe připraveni na změny související s proměnami trhu práce a proměnami společnosti. </w:t>
      </w:r>
    </w:p>
    <w:p w14:paraId="650828C0" w14:textId="77777777" w:rsidR="00FC5F01" w:rsidRPr="002A3AF0" w:rsidRDefault="00FC5F01" w:rsidP="00FC5F01">
      <w:pPr>
        <w:rPr>
          <w:iCs/>
        </w:rPr>
      </w:pPr>
      <w:r w:rsidRPr="002A3AF0">
        <w:rPr>
          <w:b/>
          <w:bCs/>
          <w:iCs/>
        </w:rPr>
        <w:t xml:space="preserve">Rozvoj nepovinného maturitního předmětu Matematika+. </w:t>
      </w:r>
      <w:r w:rsidRPr="002A3AF0">
        <w:rPr>
          <w:iCs/>
        </w:rPr>
        <w:t xml:space="preserve">Pro zvýšení celkové úrovně matematické gramotnosti žáků středních škol nabízí MŠMT v roce 2019 i v letech následujících žákům možnost složit nepovinnou výběrovou zkoušku z matematiky (Matematika+).  Zkoušku Matematika+ akceptuje pro přijímací řízení více než 30 fakult vysokých škol technického, ekonomického, matematického a přírodovědného zaměření. </w:t>
      </w:r>
    </w:p>
    <w:p w14:paraId="05104736" w14:textId="77777777" w:rsidR="00FC5F01" w:rsidRDefault="00FC5F01" w:rsidP="00FC5F01">
      <w:r w:rsidRPr="002A3AF0">
        <w:rPr>
          <w:b/>
        </w:rPr>
        <w:t xml:space="preserve">Zvyšování digitálních kompetencí učitelů pro podporu informatického myšlení žáků. </w:t>
      </w:r>
      <w:r w:rsidRPr="002A3AF0">
        <w:t xml:space="preserve">Součástí strategie digitálního vzdělávání pokračující i v roce 2019 je také příprava Standardu digitálních kompetencí učitele k posílení jejich přípravy a (jejich prostřednictvím) také žáků na nástup nových, někdy průlomových technologií. </w:t>
      </w:r>
    </w:p>
    <w:p w14:paraId="5C88A6F3" w14:textId="77777777" w:rsidR="00FC5F01" w:rsidRPr="002A3AF0" w:rsidRDefault="00AF606D" w:rsidP="00FC5F01">
      <w:pPr>
        <w:rPr>
          <w:b/>
        </w:rPr>
      </w:pPr>
      <w:hyperlink r:id="rId28" w:history="1">
        <w:r w:rsidR="00FC5F01" w:rsidRPr="002A3AF0">
          <w:rPr>
            <w:b/>
          </w:rPr>
          <w:t xml:space="preserve">Příprava duálního vzdělávání. </w:t>
        </w:r>
      </w:hyperlink>
      <w:r w:rsidR="00FC5F01" w:rsidRPr="002A3AF0">
        <w:rPr>
          <w:b/>
        </w:rPr>
        <w:t>Krom</w:t>
      </w:r>
      <w:r w:rsidR="00FC5F01">
        <w:rPr>
          <w:b/>
        </w:rPr>
        <w:t>ě</w:t>
      </w:r>
      <w:r w:rsidR="00FC5F01" w:rsidRPr="002A3AF0">
        <w:rPr>
          <w:b/>
        </w:rPr>
        <w:t xml:space="preserve"> běžné výuky aktivně probíhá také takzvané učení v praxi a žáci se připravují přímo ve firmách</w:t>
      </w:r>
      <w:r w:rsidR="00FC5F01" w:rsidRPr="002A3AF0">
        <w:t>, kde mohou nasbírat cenné poznatky a zkušenosti. Podobné systémy jsou dnes již standardem například v Německu a dalších západních zemích.</w:t>
      </w:r>
    </w:p>
    <w:p w14:paraId="0179AB4C" w14:textId="77777777" w:rsidR="00FC5F01" w:rsidRPr="002A3AF0" w:rsidRDefault="00FC5F01" w:rsidP="00FC5F01">
      <w:pPr>
        <w:rPr>
          <w:b/>
        </w:rPr>
      </w:pPr>
      <w:r w:rsidRPr="002A3AF0">
        <w:rPr>
          <w:b/>
        </w:rPr>
        <w:t xml:space="preserve">Možnost získání výučního listu i maturity v příbuzných oborech vzdělání (L+H) v jednom vzdělávacím cyklu. </w:t>
      </w:r>
      <w:r w:rsidRPr="002A3AF0">
        <w:t xml:space="preserve">MŠMT připravilo novelu nařízení vlády o soustavě oborů vzdělání umožňující žákům středních odborných učilišť získat při studiu maturitního oboru také výuční list z příbuzného oboru. Absolventům těchto oborů to umožňuje lepší uplatnění na trhu práce. </w:t>
      </w:r>
    </w:p>
    <w:p w14:paraId="33AD2F1E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  <w:bCs/>
        </w:rPr>
        <w:t xml:space="preserve">Provádění auditu internacionalizace českého vysokého školství </w:t>
      </w:r>
      <w:r w:rsidRPr="002A3AF0">
        <w:t>– v roce 2019 prošlo mezinárodním hodnocením úspěšnosti vysokých škol při zapojování do zahraniční spolupráce šest vysokých škol a iniciativa bude pokračovat i v roce 2020. Cílem projektu je navrhnout MŠMT i vysokým doporučení pro zlepšení.</w:t>
      </w:r>
    </w:p>
    <w:p w14:paraId="15F567B2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  <w:bCs/>
        </w:rPr>
        <w:t>Zapojování českých vysokých škol do konsorcií Evropských univerzit</w:t>
      </w:r>
      <w:r w:rsidRPr="002A3AF0">
        <w:t xml:space="preserve"> – MŠMT v roce 2020 finančně podpoří vysoké školy, které uspěly v evropské konkurenci a staly se součástí konsorcií se špičkovými univerzitami z Evropy.</w:t>
      </w:r>
    </w:p>
    <w:p w14:paraId="0297D5D2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</w:rPr>
        <w:t>Rozšíření Režimu Student</w:t>
      </w:r>
      <w:r w:rsidRPr="002A3AF0">
        <w:t xml:space="preserve"> – došlo k navýšení kapacit pro zařazování studentů ze třetích zemí a posílení mezinárodní spolupráce ve vysokoškolském vzdělávání se strategickými zeměmi.</w:t>
      </w:r>
    </w:p>
    <w:p w14:paraId="15F29353" w14:textId="77777777" w:rsidR="00FC5F01" w:rsidRPr="002A3AF0" w:rsidRDefault="00FC5F01" w:rsidP="00FC5F01">
      <w:pPr>
        <w:shd w:val="clear" w:color="auto" w:fill="FFFFFF"/>
        <w:spacing w:line="300" w:lineRule="atLeast"/>
      </w:pPr>
      <w:r w:rsidRPr="002A3AF0">
        <w:rPr>
          <w:b/>
          <w:bCs/>
        </w:rPr>
        <w:t xml:space="preserve">Zrušení povinného zpoplatnění cizojazyčných, zejména doktorských studijních programů vysokých škol. </w:t>
      </w:r>
      <w:r w:rsidRPr="002A3AF0">
        <w:t>Ministerstvo školství, mládeže a tělovýchovy připravilo novelu zákona o vysokých školách, která zvýší atraktivitu Ph.D. studia v ČR pro špičkové kandidáty ze zahraničí.</w:t>
      </w:r>
    </w:p>
    <w:p w14:paraId="160A9190" w14:textId="77777777" w:rsidR="00FC5F01" w:rsidRPr="003E4CBD" w:rsidRDefault="00FC5F01" w:rsidP="00FC5F01">
      <w:pPr>
        <w:shd w:val="clear" w:color="auto" w:fill="FFFFFF"/>
        <w:spacing w:line="300" w:lineRule="atLeast"/>
      </w:pPr>
      <w:r w:rsidRPr="002A3AF0">
        <w:rPr>
          <w:b/>
          <w:bCs/>
        </w:rPr>
        <w:t xml:space="preserve">Propagace českého vysokého školství v zahraničí prostřednictvím iniciativy Study in </w:t>
      </w:r>
      <w:proofErr w:type="spellStart"/>
      <w:r w:rsidRPr="002A3AF0">
        <w:rPr>
          <w:b/>
          <w:bCs/>
        </w:rPr>
        <w:t>the</w:t>
      </w:r>
      <w:proofErr w:type="spellEnd"/>
      <w:r w:rsidRPr="002A3AF0">
        <w:rPr>
          <w:b/>
          <w:bCs/>
        </w:rPr>
        <w:t xml:space="preserve"> Czech Republic,</w:t>
      </w:r>
      <w:r w:rsidRPr="002A3AF0">
        <w:t xml:space="preserve"> která se stala úspěšnou značkou a vysoké školy díky ní získávají větší počet zahraničních studentů a navazují partnerství s vynikajícími světovými univerzitami.</w:t>
      </w:r>
    </w:p>
    <w:p w14:paraId="2E7F0F34" w14:textId="77777777" w:rsidR="00FC5F01" w:rsidRPr="002A3AF0" w:rsidRDefault="00FC5F01" w:rsidP="00FC5F01">
      <w:r w:rsidRPr="002A3AF0">
        <w:rPr>
          <w:b/>
          <w:bCs/>
        </w:rPr>
        <w:t>Aktualizace Cestovní mapy velkých výzkumných infrastruktur ČR</w:t>
      </w:r>
      <w:r w:rsidRPr="002A3AF0">
        <w:t xml:space="preserve"> – MŠMT připravilo strategii podpory velkých výzkumných infrastruktur z veřejných prostředků ČR v období do roku 2022 při komplementárním využívání výdajů státního rozpočtu ČR na výzkum, vývoj a inovace a zdrojů Evropských strukturálních a investičních fondů v celkové výši takřka 3 mld. Kč ročně.</w:t>
      </w:r>
    </w:p>
    <w:p w14:paraId="5B76FD77" w14:textId="77777777" w:rsidR="00FC5F01" w:rsidRPr="002A3AF0" w:rsidRDefault="00FC5F01" w:rsidP="00FC5F01">
      <w:r w:rsidRPr="002A3AF0">
        <w:rPr>
          <w:b/>
          <w:bCs/>
        </w:rPr>
        <w:t>Programy stáží v mezinárodních organizacích CERN a ESO</w:t>
      </w:r>
      <w:r w:rsidRPr="002A3AF0">
        <w:t xml:space="preserve"> – MŠMT ustavilo ve spolupráci s mezinárodními organizacemi výzkumu a vývoje CERN a ESO vysoce prestižní programy podporující působení českých studentů, vědců, techniků a administrativních pracovníků ve vedoucích světových laboratořích a observatořích provozovaných v oblastech částicové fyziky a astrofyziky.</w:t>
      </w:r>
    </w:p>
    <w:p w14:paraId="7EE6AFEE" w14:textId="77777777" w:rsidR="00FC5F01" w:rsidRPr="002A3AF0" w:rsidRDefault="00FC5F01" w:rsidP="00FC5F01">
      <w:r w:rsidRPr="002A3AF0">
        <w:rPr>
          <w:b/>
          <w:bCs/>
        </w:rPr>
        <w:lastRenderedPageBreak/>
        <w:t>ČR je již členským státem 14 právnických osob ERIC</w:t>
      </w:r>
      <w:r w:rsidRPr="002A3AF0">
        <w:t xml:space="preserve"> – MŠMT zajistilo vstup ČR do dalších 2 konsorcií evropských výzkumných infrastruktur, a to DARIAH ERIC a </w:t>
      </w:r>
      <w:proofErr w:type="spellStart"/>
      <w:r w:rsidRPr="002A3AF0">
        <w:t>EuroBioImaging</w:t>
      </w:r>
      <w:proofErr w:type="spellEnd"/>
      <w:r w:rsidRPr="002A3AF0">
        <w:t xml:space="preserve"> ERIC. ČR je díky MŠMT již členským státem 14 právnických osob ERIC řídících evropské výzkumné infrastruktury působící v široké škále vědních </w:t>
      </w:r>
      <w:r w:rsidRPr="002A3AF0">
        <w:br/>
        <w:t xml:space="preserve">a technologických oblastí. </w:t>
      </w:r>
    </w:p>
    <w:p w14:paraId="72F842FB" w14:textId="77777777" w:rsidR="00FC5F01" w:rsidRPr="002A3AF0" w:rsidRDefault="00FC5F01" w:rsidP="00FC5F01">
      <w:r w:rsidRPr="002A3AF0">
        <w:rPr>
          <w:b/>
          <w:bCs/>
        </w:rPr>
        <w:t xml:space="preserve">IT4Innovations bude hostit </w:t>
      </w:r>
      <w:proofErr w:type="spellStart"/>
      <w:r w:rsidRPr="002A3AF0">
        <w:rPr>
          <w:b/>
          <w:bCs/>
        </w:rPr>
        <w:t>EuroHPC</w:t>
      </w:r>
      <w:proofErr w:type="spellEnd"/>
      <w:r w:rsidRPr="002A3AF0">
        <w:rPr>
          <w:b/>
          <w:bCs/>
        </w:rPr>
        <w:t xml:space="preserve"> </w:t>
      </w:r>
      <w:proofErr w:type="spellStart"/>
      <w:r w:rsidRPr="002A3AF0">
        <w:rPr>
          <w:b/>
          <w:bCs/>
        </w:rPr>
        <w:t>petascale</w:t>
      </w:r>
      <w:proofErr w:type="spellEnd"/>
      <w:r w:rsidRPr="002A3AF0">
        <w:rPr>
          <w:b/>
          <w:bCs/>
        </w:rPr>
        <w:t xml:space="preserve"> superpočítačový systém</w:t>
      </w:r>
      <w:r w:rsidRPr="002A3AF0">
        <w:t xml:space="preserve"> – IT4Innovations Národní superpočítačové centrum na Vysoké škole báňské – Technické univerzitě Ostrava bude díky podpoře poskytované MŠMT z dotačního titulu velkých výzkumných infrastruktur a z Operačního programu Výzkum, vývoj a vzdělávání (OP VVV) hostit jeden z nejvýkonnějších výpočetních systémů pro výzkum a inovace v Evropě. </w:t>
      </w:r>
    </w:p>
    <w:p w14:paraId="392E8B66" w14:textId="77777777" w:rsidR="00FC5F01" w:rsidRPr="002A3AF0" w:rsidRDefault="00FC5F01" w:rsidP="00FC5F01">
      <w:pPr>
        <w:rPr>
          <w:b/>
          <w:bCs/>
        </w:rPr>
      </w:pPr>
      <w:r w:rsidRPr="002A3AF0">
        <w:rPr>
          <w:b/>
          <w:bCs/>
        </w:rPr>
        <w:t>Investice do klíčových oblastí výzkumu a vývoje z operačních programů</w:t>
      </w:r>
      <w:r w:rsidRPr="002A3AF0">
        <w:rPr>
          <w:bCs/>
        </w:rPr>
        <w:t xml:space="preserve"> – MŠMT podpoří open </w:t>
      </w:r>
      <w:proofErr w:type="spellStart"/>
      <w:r w:rsidRPr="002A3AF0">
        <w:rPr>
          <w:bCs/>
        </w:rPr>
        <w:t>access</w:t>
      </w:r>
      <w:proofErr w:type="spellEnd"/>
      <w:r w:rsidRPr="002A3AF0">
        <w:rPr>
          <w:bCs/>
        </w:rPr>
        <w:t xml:space="preserve"> výzkumné infrastruktury ve výši 3 miliard korun. Umožní příjezdy zahraničních vědců do ČR a výjezdy českých vědců do zahraničních výzkumných organizací za 1 miliardu korun. Podpoří rovněž začínající vědce a doktorandy prostřednictvím interních grantových schémat za 1 miliardu korun. Pokračuje v podpoře Smart Akcelerátorů, tj. projektů, které rozvinou spolupráci mezi podniky a výzkumnými organizacemi v jednotlivých krajích</w:t>
      </w:r>
      <w:r w:rsidRPr="002A3AF0">
        <w:rPr>
          <w:b/>
          <w:bCs/>
        </w:rPr>
        <w:t>.</w:t>
      </w:r>
    </w:p>
    <w:p w14:paraId="49A69767" w14:textId="77777777" w:rsidR="00FC5F01" w:rsidRPr="002A3AF0" w:rsidRDefault="00FC5F01" w:rsidP="00FC5F01">
      <w:pPr>
        <w:rPr>
          <w:b/>
          <w:bCs/>
        </w:rPr>
      </w:pPr>
      <w:r w:rsidRPr="002A3AF0">
        <w:rPr>
          <w:b/>
          <w:bCs/>
        </w:rPr>
        <w:t xml:space="preserve">Dopracování a implementace nového hodnocení výzkumných organizací </w:t>
      </w:r>
      <w:r w:rsidRPr="002A3AF0">
        <w:rPr>
          <w:bCs/>
        </w:rPr>
        <w:t>– byla dopracována M2017+ pro všechny moduly hodnocení v segmentu vysokých škol a byla zahájena implementace prvního komplexního hodnocení počínající na podzim 2019 a končící v roce 2021.</w:t>
      </w:r>
    </w:p>
    <w:p w14:paraId="170B31F9" w14:textId="77777777" w:rsidR="00FC5F01" w:rsidRPr="002A3AF0" w:rsidRDefault="00FC5F01" w:rsidP="00FC5F01">
      <w:pPr>
        <w:rPr>
          <w:b/>
          <w:bCs/>
        </w:rPr>
      </w:pPr>
      <w:r w:rsidRPr="002A3AF0">
        <w:rPr>
          <w:b/>
          <w:bCs/>
        </w:rPr>
        <w:t xml:space="preserve">Zabezpečení klíčových služeb pro výzkum a vývoj – </w:t>
      </w:r>
      <w:r w:rsidRPr="002A3AF0">
        <w:rPr>
          <w:bCs/>
        </w:rPr>
        <w:t>novelou</w:t>
      </w:r>
      <w:r w:rsidRPr="002A3AF0">
        <w:t xml:space="preserve"> </w:t>
      </w:r>
      <w:r w:rsidRPr="002A3AF0">
        <w:rPr>
          <w:bCs/>
        </w:rPr>
        <w:t>zákona č. 130 / 2002 Sb. o podpoře výzkumu, experimentálního vývoje a inovací bude zavedena nová kategorie podpory Projektů sdílených činností. Tyto vládou schvalované projekty zajistí servis a rozvoj zejména strategického řízení systému výzkumu a vývoje a mezinárodní spolupráce.</w:t>
      </w:r>
    </w:p>
    <w:p w14:paraId="2388D1FC" w14:textId="77777777" w:rsidR="00FC5F01" w:rsidRPr="002A3AF0" w:rsidRDefault="00FC5F01" w:rsidP="00FC5F01">
      <w:r w:rsidRPr="002A3AF0">
        <w:rPr>
          <w:b/>
          <w:bCs/>
        </w:rPr>
        <w:t xml:space="preserve">Program na podporu výjimečných výzkumníků ERC CZ – </w:t>
      </w:r>
      <w:r w:rsidRPr="002A3AF0">
        <w:rPr>
          <w:bCs/>
        </w:rPr>
        <w:t>MŠMT prodloužilo a navýšilo alokaci programu zacílenému na projekty</w:t>
      </w:r>
      <w:r w:rsidRPr="002A3AF0">
        <w:t xml:space="preserve">, které úspěšně prošli oběma koly prestižní soutěže Evropské výzkumné rady, avšak nakonec nezískali finanční podporu. MŠMT tak dává výzkumníkům možnost realizovat své excelentní projekty na pracovišti v ČR a neodešli na některé zahraniční pracoviště. </w:t>
      </w:r>
    </w:p>
    <w:p w14:paraId="52EC70AF" w14:textId="77777777" w:rsidR="00FC5F01" w:rsidRPr="002A3AF0" w:rsidRDefault="00FC5F01" w:rsidP="00FC5F01">
      <w:pPr>
        <w:shd w:val="clear" w:color="auto" w:fill="FFFFFF"/>
        <w:spacing w:after="0" w:line="240" w:lineRule="auto"/>
        <w:rPr>
          <w:b/>
          <w:bCs/>
        </w:rPr>
      </w:pPr>
    </w:p>
    <w:p w14:paraId="53ABD5FF" w14:textId="77777777" w:rsidR="00FC5F01" w:rsidRPr="002A3AF0" w:rsidRDefault="00FC5F01" w:rsidP="00FC5F01">
      <w:pPr>
        <w:shd w:val="clear" w:color="auto" w:fill="FFFFFF"/>
        <w:spacing w:after="0" w:line="240" w:lineRule="auto"/>
        <w:rPr>
          <w:b/>
          <w:bCs/>
        </w:rPr>
      </w:pPr>
      <w:r w:rsidRPr="002A3AF0">
        <w:rPr>
          <w:rFonts w:eastAsia="Times New Roman" w:cs="Calibri"/>
          <w:b/>
          <w:bCs/>
          <w:color w:val="000000"/>
          <w:lang w:eastAsia="cs-CZ"/>
        </w:rPr>
        <w:t>V závěru června 2019 bylo zahájeno spuštění informačního systému Národní kontaktní místo pro elektronické zdravotnictví do ostrého provozu.</w:t>
      </w:r>
      <w:r w:rsidRPr="002A3AF0">
        <w:rPr>
          <w:rFonts w:eastAsia="Times New Roman" w:cs="Calibri"/>
          <w:color w:val="000000"/>
          <w:lang w:eastAsia="cs-CZ"/>
        </w:rPr>
        <w:t xml:space="preserve"> Správcem tohoto informačního systému je Ministerstvo zdravotnictví, provozovatelem Kraj Vysočina.</w:t>
      </w:r>
    </w:p>
    <w:p w14:paraId="023D6B1C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</w:p>
    <w:p w14:paraId="0942D1FD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color w:val="000000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>V říjnu 2019 byl do připomínkových řízení​ odeslán návrh paragrafového znění zákona o elektronickém zdravotnictví.</w:t>
      </w:r>
    </w:p>
    <w:p w14:paraId="637E8EF5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color w:val="000000"/>
          <w:lang w:eastAsia="cs-CZ"/>
        </w:rPr>
      </w:pPr>
    </w:p>
    <w:p w14:paraId="093F38BF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 w:rsidRPr="002A3AF0">
        <w:rPr>
          <w:rFonts w:eastAsia="Times New Roman" w:cs="Calibri"/>
          <w:b/>
          <w:bCs/>
          <w:color w:val="000000"/>
          <w:lang w:eastAsia="cs-CZ"/>
        </w:rPr>
        <w:t xml:space="preserve">V listopadu 2019 vláda schválila Strategický rámec Zdraví 2030. </w:t>
      </w:r>
      <w:r w:rsidRPr="002A3AF0">
        <w:rPr>
          <w:rFonts w:eastAsia="Times New Roman" w:cs="Calibri"/>
          <w:color w:val="000000"/>
          <w:lang w:eastAsia="cs-CZ"/>
        </w:rPr>
        <w:t xml:space="preserve">Tento strategický materiál, nastavuje základní směry digitalizace zdravotnictví do roku 2030. </w:t>
      </w:r>
      <w:r w:rsidRPr="002A3AF0">
        <w:rPr>
          <w:rFonts w:eastAsia="Times New Roman" w:cs="Calibri"/>
          <w:bCs/>
          <w:color w:val="000000"/>
          <w:lang w:eastAsia="cs-CZ"/>
        </w:rPr>
        <w:t>Byl zpracován a publikován návrh architektury procesů a systémů (EA) ve vazbě na návrh zákona o elektronickém zdravotnictví.</w:t>
      </w:r>
    </w:p>
    <w:p w14:paraId="5970A338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color w:val="000000"/>
          <w:lang w:eastAsia="cs-CZ"/>
        </w:rPr>
      </w:pPr>
    </w:p>
    <w:p w14:paraId="51327F26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 w:rsidRPr="002A3AF0">
        <w:rPr>
          <w:rFonts w:eastAsia="Times New Roman" w:cs="Calibri"/>
          <w:b/>
          <w:bCs/>
          <w:color w:val="000000"/>
          <w:lang w:eastAsia="cs-CZ"/>
        </w:rPr>
        <w:t>Byla vytvořena a publikována výchozí sada dokumentace Národního rámce elektronického zdravotnictví</w:t>
      </w:r>
      <w:r w:rsidRPr="002A3AF0">
        <w:rPr>
          <w:rFonts w:eastAsia="Times New Roman" w:cs="Calibri"/>
          <w:color w:val="000000"/>
          <w:lang w:eastAsia="cs-CZ"/>
        </w:rPr>
        <w:t xml:space="preserve"> jako základního metodického nástroje elektronizace zdravotnictví v ČR.</w:t>
      </w:r>
    </w:p>
    <w:p w14:paraId="1944AC8C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</w:p>
    <w:p w14:paraId="7A9C453B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Cs/>
          <w:color w:val="000000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>M</w:t>
      </w:r>
      <w:r w:rsidRPr="002A3AF0">
        <w:rPr>
          <w:rFonts w:eastAsia="Times New Roman" w:cs="Calibri"/>
          <w:b/>
          <w:bCs/>
          <w:color w:val="000000"/>
          <w:lang w:eastAsia="cs-CZ"/>
        </w:rPr>
        <w:t>inisterstvo</w:t>
      </w:r>
      <w:r w:rsidRPr="002A3AF0">
        <w:rPr>
          <w:rFonts w:eastAsia="Times New Roman" w:cs="Calibri"/>
          <w:b/>
          <w:bCs/>
          <w:lang w:eastAsia="cs-CZ"/>
        </w:rPr>
        <w:t> zdravotnictví a ÚZIS</w:t>
      </w:r>
      <w:r w:rsidRPr="002A3AF0">
        <w:rPr>
          <w:rFonts w:eastAsia="Times New Roman" w:cs="Calibri"/>
          <w:b/>
          <w:bCs/>
          <w:color w:val="000000"/>
          <w:lang w:eastAsia="cs-CZ"/>
        </w:rPr>
        <w:t> nyní připravuj</w:t>
      </w:r>
      <w:r w:rsidRPr="002A3AF0">
        <w:rPr>
          <w:rFonts w:eastAsia="Times New Roman" w:cs="Calibri"/>
          <w:b/>
          <w:bCs/>
          <w:lang w:eastAsia="cs-CZ"/>
        </w:rPr>
        <w:t>í</w:t>
      </w:r>
      <w:r w:rsidRPr="002A3AF0">
        <w:rPr>
          <w:rFonts w:eastAsia="Times New Roman" w:cs="Calibri"/>
          <w:b/>
          <w:bCs/>
          <w:color w:val="000000"/>
          <w:lang w:eastAsia="cs-CZ"/>
        </w:rPr>
        <w:t xml:space="preserve"> vyhlášení VZ na realizaci druhé fáze projektu </w:t>
      </w:r>
      <w:r w:rsidRPr="002A3AF0">
        <w:rPr>
          <w:rFonts w:eastAsia="Times New Roman" w:cs="Calibri"/>
          <w:bCs/>
          <w:color w:val="000000"/>
          <w:lang w:eastAsia="cs-CZ"/>
        </w:rPr>
        <w:t>Integrovaného datového rozhraní resortu, a to pořízení vývoje SW </w:t>
      </w:r>
    </w:p>
    <w:p w14:paraId="5818E87C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</w:p>
    <w:p w14:paraId="4E9BC738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 w:rsidRPr="002A3AF0">
        <w:rPr>
          <w:rFonts w:eastAsia="Times New Roman" w:cs="Calibri"/>
          <w:b/>
          <w:bCs/>
          <w:color w:val="000000"/>
          <w:lang w:eastAsia="cs-CZ"/>
        </w:rPr>
        <w:lastRenderedPageBreak/>
        <w:t>Probíhají dokončující práce před spuštěním Národního zdravotnického informačního portálu</w:t>
      </w:r>
      <w:r w:rsidRPr="002A3AF0">
        <w:rPr>
          <w:rFonts w:eastAsia="Times New Roman" w:cs="Calibri"/>
          <w:color w:val="000000"/>
          <w:lang w:eastAsia="cs-CZ"/>
        </w:rPr>
        <w:t>, které je plánováno na počátek roku 2020.</w:t>
      </w:r>
    </w:p>
    <w:p w14:paraId="493697F2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</w:p>
    <w:p w14:paraId="4E6FE845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color w:val="000000"/>
          <w:lang w:eastAsia="cs-CZ"/>
        </w:rPr>
      </w:pPr>
      <w:r w:rsidRPr="002A3AF0">
        <w:rPr>
          <w:rFonts w:eastAsia="Times New Roman" w:cs="Calibri"/>
          <w:b/>
          <w:bCs/>
          <w:color w:val="000000"/>
          <w:lang w:eastAsia="cs-CZ"/>
        </w:rPr>
        <w:t>V průběhu roku 2020 zpřístupní SÚKL lékový záznam oprávněným zdravotnickým pracovníkům.</w:t>
      </w:r>
      <w:r w:rsidRPr="002A3AF0">
        <w:rPr>
          <w:rFonts w:eastAsia="Times New Roman" w:cs="Calibri"/>
          <w:color w:val="000000"/>
          <w:lang w:eastAsia="cs-CZ"/>
        </w:rPr>
        <w:t xml:space="preserve"> Od 1. prosince 2019 může pacient vyjádřit svůj souhlas či nesouhlas s nahlížením na údaje zobrazující se prostřednictvím jeho lékového záznamu, resp. vymezit rozsah oprávněných osob.</w:t>
      </w:r>
    </w:p>
    <w:p w14:paraId="362E723D" w14:textId="77777777" w:rsidR="00FC5F01" w:rsidRPr="002A3AF0" w:rsidRDefault="00FC5F01" w:rsidP="00FC5F01">
      <w:pPr>
        <w:shd w:val="clear" w:color="auto" w:fill="FFFFFF"/>
        <w:spacing w:after="0" w:line="240" w:lineRule="auto"/>
      </w:pPr>
    </w:p>
    <w:p w14:paraId="2EE15977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</w:p>
    <w:p w14:paraId="1631F2C4" w14:textId="77777777" w:rsidR="00FC5F01" w:rsidRPr="002A3AF0" w:rsidRDefault="00FC5F01" w:rsidP="00FC5F01">
      <w:pPr>
        <w:spacing w:after="0" w:line="240" w:lineRule="auto"/>
        <w:rPr>
          <w:rFonts w:eastAsia="Times New Roman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>Poslanecká sněmovna schválila Zákon o právu na digitální službu,</w:t>
      </w:r>
      <w:r w:rsidRPr="002A3AF0">
        <w:rPr>
          <w:rFonts w:eastAsia="Times New Roman" w:cs="Calibri"/>
          <w:lang w:eastAsia="cs-CZ"/>
        </w:rPr>
        <w:t xml:space="preserve"> který dává občanům právo s úřady komunikovat digitálně a úřadům povinnost s nimi jejich problémy digitálně řešit.</w:t>
      </w:r>
    </w:p>
    <w:p w14:paraId="153AF617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</w:p>
    <w:p w14:paraId="11FF7C44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 xml:space="preserve">Vláda na svém jednání odsouhlasila zavedení podpory </w:t>
      </w:r>
      <w:proofErr w:type="spellStart"/>
      <w:r w:rsidRPr="002A3AF0">
        <w:rPr>
          <w:rFonts w:eastAsia="Times New Roman" w:cs="Calibri"/>
          <w:b/>
          <w:bCs/>
          <w:lang w:eastAsia="cs-CZ"/>
        </w:rPr>
        <w:t>BankID</w:t>
      </w:r>
      <w:proofErr w:type="spellEnd"/>
      <w:r w:rsidRPr="002A3AF0">
        <w:rPr>
          <w:rFonts w:eastAsia="Times New Roman" w:cs="Calibri"/>
          <w:b/>
          <w:bCs/>
          <w:lang w:eastAsia="cs-CZ"/>
        </w:rPr>
        <w:t xml:space="preserve">, </w:t>
      </w:r>
      <w:r w:rsidRPr="002A3AF0">
        <w:rPr>
          <w:rFonts w:eastAsia="Times New Roman" w:cs="Calibri"/>
          <w:lang w:eastAsia="cs-CZ"/>
        </w:rPr>
        <w:t>které umožní přihlašování ke službám e-</w:t>
      </w:r>
      <w:proofErr w:type="spellStart"/>
      <w:r w:rsidRPr="002A3AF0">
        <w:rPr>
          <w:rFonts w:eastAsia="Times New Roman" w:cs="Calibri"/>
          <w:lang w:eastAsia="cs-CZ"/>
        </w:rPr>
        <w:t>governmentu</w:t>
      </w:r>
      <w:proofErr w:type="spellEnd"/>
      <w:r w:rsidRPr="002A3AF0">
        <w:rPr>
          <w:rFonts w:eastAsia="Times New Roman" w:cs="Calibri"/>
          <w:lang w:eastAsia="cs-CZ"/>
        </w:rPr>
        <w:t xml:space="preserve"> pomocí internetového bankovnictví.</w:t>
      </w:r>
    </w:p>
    <w:p w14:paraId="114F011E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</w:p>
    <w:p w14:paraId="1EEA8928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</w:p>
    <w:p w14:paraId="269C9248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>V průběhu roku 2019 došlo k dalšímu rozvoji Portálu občana a jeho funkcionalit.</w:t>
      </w:r>
      <w:r w:rsidRPr="002A3AF0">
        <w:rPr>
          <w:rFonts w:eastAsia="Times New Roman" w:cs="Calibri"/>
          <w:lang w:eastAsia="cs-CZ"/>
        </w:rPr>
        <w:t xml:space="preserve"> Nasazení dalších funkcionalit je plánováno na r. 2020</w:t>
      </w:r>
    </w:p>
    <w:p w14:paraId="5FA4AA52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</w:p>
    <w:p w14:paraId="4B2707A5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 xml:space="preserve">V lednu 2019 došlo k </w:t>
      </w:r>
      <w:proofErr w:type="spellStart"/>
      <w:r w:rsidRPr="002A3AF0">
        <w:rPr>
          <w:rFonts w:eastAsia="Times New Roman" w:cs="Calibri"/>
          <w:b/>
          <w:bCs/>
          <w:lang w:eastAsia="cs-CZ"/>
        </w:rPr>
        <w:t>redesignu</w:t>
      </w:r>
      <w:proofErr w:type="spellEnd"/>
      <w:r w:rsidRPr="002A3AF0">
        <w:rPr>
          <w:rFonts w:eastAsia="Times New Roman" w:cs="Calibri"/>
          <w:b/>
          <w:bCs/>
          <w:lang w:eastAsia="cs-CZ"/>
        </w:rPr>
        <w:t xml:space="preserve"> datových schránek a rozšíření jejich funkcionalit. </w:t>
      </w:r>
      <w:r w:rsidRPr="002A3AF0">
        <w:rPr>
          <w:rFonts w:eastAsia="Times New Roman" w:cs="Calibri"/>
          <w:lang w:eastAsia="cs-CZ"/>
        </w:rPr>
        <w:t>Webové rozhraní je aktuálně plně responzivní, tedy vždy shodné bez vlivu z jakého zařízení se uživatel připojuje. Dále byly nasazeny nové funkcionality pro zjednodušení práce s datovou schránkou a snazší připojení.</w:t>
      </w:r>
    </w:p>
    <w:p w14:paraId="335D2873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</w:p>
    <w:p w14:paraId="17E57FA6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b/>
          <w:bCs/>
          <w:lang w:eastAsia="cs-CZ"/>
        </w:rPr>
      </w:pPr>
      <w:r w:rsidRPr="002A3AF0">
        <w:rPr>
          <w:rFonts w:eastAsia="Times New Roman" w:cs="Calibri"/>
          <w:b/>
          <w:bCs/>
          <w:lang w:eastAsia="cs-CZ"/>
        </w:rPr>
        <w:t>Oblast digitalizace: Standardy</w:t>
      </w:r>
    </w:p>
    <w:p w14:paraId="5A5EBBCD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  <w:r w:rsidRPr="002A3AF0">
        <w:rPr>
          <w:rFonts w:eastAsia="Times New Roman" w:cs="Calibri"/>
          <w:lang w:eastAsia="cs-CZ"/>
        </w:rPr>
        <w:t xml:space="preserve">V průběhu roku 2019 nadále pokračovali práce na </w:t>
      </w:r>
      <w:r w:rsidRPr="002A3AF0">
        <w:rPr>
          <w:rFonts w:eastAsia="Times New Roman" w:cs="Calibri"/>
          <w:b/>
          <w:bCs/>
          <w:lang w:eastAsia="cs-CZ"/>
        </w:rPr>
        <w:t>Informační koncepci ČR</w:t>
      </w:r>
      <w:r w:rsidRPr="002A3AF0">
        <w:rPr>
          <w:rFonts w:eastAsia="Times New Roman" w:cs="Calibri"/>
          <w:lang w:eastAsia="cs-CZ"/>
        </w:rPr>
        <w:t>, především pak v oblasti standardizace, např. v </w:t>
      </w:r>
      <w:proofErr w:type="spellStart"/>
      <w:r w:rsidRPr="002A3AF0">
        <w:rPr>
          <w:rFonts w:eastAsia="Times New Roman" w:cs="Calibri"/>
          <w:lang w:eastAsia="cs-CZ"/>
        </w:rPr>
        <w:t>plasti</w:t>
      </w:r>
      <w:proofErr w:type="spellEnd"/>
      <w:r w:rsidRPr="002A3AF0">
        <w:rPr>
          <w:rFonts w:eastAsia="Times New Roman" w:cs="Calibri"/>
          <w:lang w:eastAsia="cs-CZ"/>
        </w:rPr>
        <w:t xml:space="preserve"> Metod řízení veřejné správy ČR. </w:t>
      </w:r>
    </w:p>
    <w:p w14:paraId="7F577FA9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</w:p>
    <w:p w14:paraId="5AC96E94" w14:textId="77777777" w:rsidR="00FC5F01" w:rsidRPr="002A3AF0" w:rsidRDefault="00FC5F01" w:rsidP="00FC5F01">
      <w:pPr>
        <w:spacing w:after="0" w:line="240" w:lineRule="auto"/>
        <w:rPr>
          <w:rFonts w:eastAsia="Times New Roman" w:cs="Calibri"/>
          <w:lang w:eastAsia="cs-CZ"/>
        </w:rPr>
      </w:pPr>
      <w:r w:rsidRPr="002A3AF0">
        <w:rPr>
          <w:rFonts w:eastAsia="Times New Roman" w:cs="Calibri"/>
          <w:lang w:eastAsia="cs-CZ"/>
        </w:rPr>
        <w:t xml:space="preserve">V rámci standardizace </w:t>
      </w:r>
      <w:proofErr w:type="spellStart"/>
      <w:r w:rsidRPr="002A3AF0">
        <w:rPr>
          <w:rFonts w:eastAsia="Times New Roman" w:cs="Calibri"/>
          <w:lang w:eastAsia="cs-CZ"/>
        </w:rPr>
        <w:t>Enterprise</w:t>
      </w:r>
      <w:proofErr w:type="spellEnd"/>
      <w:r w:rsidRPr="002A3AF0">
        <w:rPr>
          <w:rFonts w:eastAsia="Times New Roman" w:cs="Calibri"/>
          <w:lang w:eastAsia="cs-CZ"/>
        </w:rPr>
        <w:t xml:space="preserve"> architektury byl v průběhu roku dopracován a publikován </w:t>
      </w:r>
      <w:r w:rsidRPr="002A3AF0">
        <w:rPr>
          <w:rFonts w:eastAsia="Times New Roman" w:cs="Calibri"/>
          <w:b/>
          <w:bCs/>
          <w:lang w:eastAsia="cs-CZ"/>
        </w:rPr>
        <w:t>Národní architektonický rámec a Národní architektonický plán</w:t>
      </w:r>
      <w:r w:rsidRPr="002A3AF0">
        <w:rPr>
          <w:rFonts w:eastAsia="Times New Roman" w:cs="Calibri"/>
          <w:lang w:eastAsia="cs-CZ"/>
        </w:rPr>
        <w:t>, které jsou přílohami Infomační koncepce ČR</w:t>
      </w:r>
    </w:p>
    <w:p w14:paraId="7CA40B17" w14:textId="77777777" w:rsidR="00FC5F01" w:rsidRPr="002A3AF0" w:rsidRDefault="00FC5F01" w:rsidP="00FC5F01">
      <w:pPr>
        <w:spacing w:line="240" w:lineRule="auto"/>
        <w:rPr>
          <w:b/>
          <w:bCs/>
        </w:rPr>
      </w:pPr>
    </w:p>
    <w:p w14:paraId="3C4A5DB4" w14:textId="77777777" w:rsidR="00FC5F01" w:rsidRPr="002A3AF0" w:rsidRDefault="00FC5F01" w:rsidP="00FC5F01">
      <w:pPr>
        <w:shd w:val="clear" w:color="auto" w:fill="FFFFFF"/>
        <w:spacing w:after="0" w:line="240" w:lineRule="auto"/>
      </w:pPr>
    </w:p>
    <w:p w14:paraId="0E27164F" w14:textId="77777777" w:rsidR="0097186F" w:rsidRPr="00820FBF" w:rsidRDefault="0097186F" w:rsidP="00820FBF"/>
    <w:sectPr w:rsidR="0097186F" w:rsidRPr="00820FBF" w:rsidSect="00D067E1">
      <w:pgSz w:w="11906" w:h="16838"/>
      <w:pgMar w:top="1418" w:right="1134" w:bottom="1134" w:left="1134" w:header="567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083EC" w14:textId="77777777" w:rsidR="00AF606D" w:rsidRDefault="00AF606D" w:rsidP="008A4712">
      <w:r>
        <w:separator/>
      </w:r>
    </w:p>
  </w:endnote>
  <w:endnote w:type="continuationSeparator" w:id="0">
    <w:p w14:paraId="622BC920" w14:textId="77777777" w:rsidR="00AF606D" w:rsidRDefault="00AF606D" w:rsidP="008A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D4AF1" w14:textId="22625002" w:rsidR="00253140" w:rsidRPr="00D067E1" w:rsidRDefault="00AF606D" w:rsidP="00D067E1">
    <w:pPr>
      <w:tabs>
        <w:tab w:val="center" w:pos="4550"/>
        <w:tab w:val="left" w:pos="5818"/>
      </w:tabs>
      <w:spacing w:before="120"/>
      <w:ind w:right="260"/>
      <w:jc w:val="left"/>
      <w:rPr>
        <w:color w:val="002546" w:themeColor="text2" w:themeShade="80"/>
        <w:sz w:val="20"/>
        <w:szCs w:val="24"/>
      </w:rPr>
    </w:pPr>
    <w:sdt>
      <w:sdtPr>
        <w:rPr>
          <w:color w:val="2196FF" w:themeColor="text2" w:themeTint="99"/>
          <w:spacing w:val="4"/>
          <w:sz w:val="16"/>
          <w:szCs w:val="24"/>
        </w:rPr>
        <w:alias w:val="Název"/>
        <w:tag w:val=""/>
        <w:id w:val="188929697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53140" w:rsidRPr="00D067E1">
          <w:rPr>
            <w:color w:val="2196FF" w:themeColor="text2" w:themeTint="99"/>
            <w:spacing w:val="4"/>
            <w:sz w:val="16"/>
            <w:szCs w:val="24"/>
          </w:rPr>
          <w:t>ŘÍZENÍ A KOORDINACE INOVAČNÍ STRATEGIE ČR 2019-2030</w:t>
        </w:r>
      </w:sdtContent>
    </w:sdt>
    <w:r w:rsidR="00253140" w:rsidRPr="00D067E1">
      <w:rPr>
        <w:color w:val="2196FF" w:themeColor="text2" w:themeTint="99"/>
        <w:spacing w:val="4"/>
        <w:sz w:val="16"/>
        <w:szCs w:val="24"/>
      </w:rPr>
      <w:t xml:space="preserve"> </w:t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>
      <w:rPr>
        <w:color w:val="2196FF" w:themeColor="text2" w:themeTint="99"/>
        <w:spacing w:val="4"/>
        <w:sz w:val="16"/>
        <w:szCs w:val="24"/>
      </w:rPr>
      <w:tab/>
    </w:r>
    <w:r w:rsidR="00253140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60"/>
        <w:sz w:val="20"/>
        <w:szCs w:val="24"/>
      </w:rPr>
      <w:t>Stránka</w:t>
    </w:r>
    <w:r w:rsidR="00253140" w:rsidRPr="00D067E1">
      <w:rPr>
        <w:color w:val="2196FF" w:themeColor="text2" w:themeTint="99"/>
        <w:sz w:val="20"/>
        <w:szCs w:val="24"/>
      </w:rPr>
      <w:t xml:space="preserve"> </w:t>
    </w:r>
    <w:r w:rsidR="00253140" w:rsidRPr="00D067E1">
      <w:rPr>
        <w:color w:val="003769" w:themeColor="text2" w:themeShade="BF"/>
        <w:sz w:val="20"/>
        <w:szCs w:val="24"/>
      </w:rPr>
      <w:fldChar w:fldCharType="begin"/>
    </w:r>
    <w:r w:rsidR="00253140" w:rsidRPr="00D067E1">
      <w:rPr>
        <w:color w:val="003769" w:themeColor="text2" w:themeShade="BF"/>
        <w:sz w:val="20"/>
        <w:szCs w:val="24"/>
      </w:rPr>
      <w:instrText>PAGE   \* MERGEFORMAT</w:instrText>
    </w:r>
    <w:r w:rsidR="00253140" w:rsidRPr="00D067E1">
      <w:rPr>
        <w:color w:val="003769" w:themeColor="text2" w:themeShade="BF"/>
        <w:sz w:val="20"/>
        <w:szCs w:val="24"/>
      </w:rPr>
      <w:fldChar w:fldCharType="separate"/>
    </w:r>
    <w:r w:rsidR="00FA0587">
      <w:rPr>
        <w:noProof/>
        <w:color w:val="003769" w:themeColor="text2" w:themeShade="BF"/>
        <w:sz w:val="20"/>
        <w:szCs w:val="24"/>
      </w:rPr>
      <w:t>4</w:t>
    </w:r>
    <w:r w:rsidR="00253140" w:rsidRPr="00D067E1">
      <w:rPr>
        <w:color w:val="003769" w:themeColor="text2" w:themeShade="BF"/>
        <w:sz w:val="20"/>
        <w:szCs w:val="24"/>
      </w:rPr>
      <w:fldChar w:fldCharType="end"/>
    </w:r>
    <w:r w:rsidR="00253140" w:rsidRPr="00D067E1">
      <w:rPr>
        <w:color w:val="003769" w:themeColor="text2" w:themeShade="BF"/>
        <w:sz w:val="20"/>
        <w:szCs w:val="24"/>
      </w:rPr>
      <w:t xml:space="preserve"> | </w:t>
    </w:r>
    <w:r w:rsidR="00253140" w:rsidRPr="00D067E1">
      <w:rPr>
        <w:color w:val="003769" w:themeColor="text2" w:themeShade="BF"/>
        <w:sz w:val="20"/>
        <w:szCs w:val="24"/>
      </w:rPr>
      <w:fldChar w:fldCharType="begin"/>
    </w:r>
    <w:r w:rsidR="00253140" w:rsidRPr="00D067E1">
      <w:rPr>
        <w:color w:val="003769" w:themeColor="text2" w:themeShade="BF"/>
        <w:sz w:val="20"/>
        <w:szCs w:val="24"/>
      </w:rPr>
      <w:instrText>NUMPAGES  \* Arabic  \* MERGEFORMAT</w:instrText>
    </w:r>
    <w:r w:rsidR="00253140" w:rsidRPr="00D067E1">
      <w:rPr>
        <w:color w:val="003769" w:themeColor="text2" w:themeShade="BF"/>
        <w:sz w:val="20"/>
        <w:szCs w:val="24"/>
      </w:rPr>
      <w:fldChar w:fldCharType="separate"/>
    </w:r>
    <w:r w:rsidR="00FA0587">
      <w:rPr>
        <w:noProof/>
        <w:color w:val="003769" w:themeColor="text2" w:themeShade="BF"/>
        <w:sz w:val="20"/>
        <w:szCs w:val="24"/>
      </w:rPr>
      <w:t>17</w:t>
    </w:r>
    <w:r w:rsidR="00253140" w:rsidRPr="00D067E1">
      <w:rPr>
        <w:color w:val="003769" w:themeColor="text2" w:themeShade="BF"/>
        <w:sz w:val="2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EDDBF" w14:textId="21D7855F" w:rsidR="00253140" w:rsidRPr="005F5400" w:rsidRDefault="00AF606D" w:rsidP="005F5400">
    <w:pPr>
      <w:tabs>
        <w:tab w:val="center" w:pos="4550"/>
        <w:tab w:val="left" w:pos="5818"/>
      </w:tabs>
      <w:spacing w:before="240"/>
      <w:ind w:right="260"/>
      <w:jc w:val="left"/>
      <w:rPr>
        <w:color w:val="002546" w:themeColor="text2" w:themeShade="80"/>
        <w:sz w:val="20"/>
        <w:szCs w:val="24"/>
      </w:rPr>
    </w:pPr>
    <w:sdt>
      <w:sdtPr>
        <w:rPr>
          <w:color w:val="2196FF" w:themeColor="text2" w:themeTint="99"/>
          <w:spacing w:val="4"/>
          <w:sz w:val="16"/>
          <w:szCs w:val="24"/>
        </w:rPr>
        <w:alias w:val="Název"/>
        <w:tag w:val=""/>
        <w:id w:val="143401243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53140" w:rsidRPr="00D067E1">
          <w:rPr>
            <w:color w:val="2196FF" w:themeColor="text2" w:themeTint="99"/>
            <w:spacing w:val="4"/>
            <w:sz w:val="16"/>
            <w:szCs w:val="24"/>
          </w:rPr>
          <w:t>ŘÍZENÍ A KOORDINACE INOVAČNÍ STRATEGIE ČR 2019-2030</w:t>
        </w:r>
      </w:sdtContent>
    </w:sdt>
    <w:r w:rsidR="00253140" w:rsidRPr="00D067E1">
      <w:rPr>
        <w:color w:val="2196FF" w:themeColor="text2" w:themeTint="99"/>
        <w:spacing w:val="4"/>
        <w:sz w:val="16"/>
        <w:szCs w:val="24"/>
      </w:rPr>
      <w:t xml:space="preserve"> </w:t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>
      <w:rPr>
        <w:color w:val="2196FF" w:themeColor="text2" w:themeTint="99"/>
        <w:spacing w:val="4"/>
        <w:sz w:val="16"/>
        <w:szCs w:val="24"/>
      </w:rPr>
      <w:tab/>
    </w:r>
    <w:r w:rsidR="00253140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4"/>
        <w:sz w:val="16"/>
        <w:szCs w:val="24"/>
      </w:rPr>
      <w:tab/>
    </w:r>
    <w:r w:rsidR="00253140" w:rsidRPr="00D067E1">
      <w:rPr>
        <w:color w:val="2196FF" w:themeColor="text2" w:themeTint="99"/>
        <w:spacing w:val="60"/>
        <w:sz w:val="20"/>
        <w:szCs w:val="24"/>
      </w:rPr>
      <w:t>Stránka</w:t>
    </w:r>
    <w:r w:rsidR="00253140" w:rsidRPr="00D067E1">
      <w:rPr>
        <w:color w:val="2196FF" w:themeColor="text2" w:themeTint="99"/>
        <w:sz w:val="20"/>
        <w:szCs w:val="24"/>
      </w:rPr>
      <w:t xml:space="preserve"> </w:t>
    </w:r>
    <w:r w:rsidR="00253140" w:rsidRPr="00D067E1">
      <w:rPr>
        <w:color w:val="003769" w:themeColor="text2" w:themeShade="BF"/>
        <w:sz w:val="20"/>
        <w:szCs w:val="24"/>
      </w:rPr>
      <w:fldChar w:fldCharType="begin"/>
    </w:r>
    <w:r w:rsidR="00253140" w:rsidRPr="00D067E1">
      <w:rPr>
        <w:color w:val="003769" w:themeColor="text2" w:themeShade="BF"/>
        <w:sz w:val="20"/>
        <w:szCs w:val="24"/>
      </w:rPr>
      <w:instrText>PAGE   \* MERGEFORMAT</w:instrText>
    </w:r>
    <w:r w:rsidR="00253140" w:rsidRPr="00D067E1">
      <w:rPr>
        <w:color w:val="003769" w:themeColor="text2" w:themeShade="BF"/>
        <w:sz w:val="20"/>
        <w:szCs w:val="24"/>
      </w:rPr>
      <w:fldChar w:fldCharType="separate"/>
    </w:r>
    <w:r w:rsidR="00FA0587">
      <w:rPr>
        <w:noProof/>
        <w:color w:val="003769" w:themeColor="text2" w:themeShade="BF"/>
        <w:sz w:val="20"/>
        <w:szCs w:val="24"/>
      </w:rPr>
      <w:t>17</w:t>
    </w:r>
    <w:r w:rsidR="00253140" w:rsidRPr="00D067E1">
      <w:rPr>
        <w:color w:val="003769" w:themeColor="text2" w:themeShade="BF"/>
        <w:sz w:val="20"/>
        <w:szCs w:val="24"/>
      </w:rPr>
      <w:fldChar w:fldCharType="end"/>
    </w:r>
    <w:r w:rsidR="00253140" w:rsidRPr="00D067E1">
      <w:rPr>
        <w:color w:val="003769" w:themeColor="text2" w:themeShade="BF"/>
        <w:sz w:val="20"/>
        <w:szCs w:val="24"/>
      </w:rPr>
      <w:t xml:space="preserve"> | </w:t>
    </w:r>
    <w:r w:rsidR="00253140" w:rsidRPr="00D067E1">
      <w:rPr>
        <w:color w:val="003769" w:themeColor="text2" w:themeShade="BF"/>
        <w:sz w:val="20"/>
        <w:szCs w:val="24"/>
      </w:rPr>
      <w:fldChar w:fldCharType="begin"/>
    </w:r>
    <w:r w:rsidR="00253140" w:rsidRPr="00D067E1">
      <w:rPr>
        <w:color w:val="003769" w:themeColor="text2" w:themeShade="BF"/>
        <w:sz w:val="20"/>
        <w:szCs w:val="24"/>
      </w:rPr>
      <w:instrText>NUMPAGES  \* Arabic  \* MERGEFORMAT</w:instrText>
    </w:r>
    <w:r w:rsidR="00253140" w:rsidRPr="00D067E1">
      <w:rPr>
        <w:color w:val="003769" w:themeColor="text2" w:themeShade="BF"/>
        <w:sz w:val="20"/>
        <w:szCs w:val="24"/>
      </w:rPr>
      <w:fldChar w:fldCharType="separate"/>
    </w:r>
    <w:r w:rsidR="00FA0587">
      <w:rPr>
        <w:noProof/>
        <w:color w:val="003769" w:themeColor="text2" w:themeShade="BF"/>
        <w:sz w:val="20"/>
        <w:szCs w:val="24"/>
      </w:rPr>
      <w:t>17</w:t>
    </w:r>
    <w:r w:rsidR="00253140" w:rsidRPr="00D067E1">
      <w:rPr>
        <w:color w:val="003769" w:themeColor="text2" w:themeShade="BF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745E7" w14:textId="77777777" w:rsidR="00AF606D" w:rsidRDefault="00AF606D" w:rsidP="008A4712">
      <w:r>
        <w:separator/>
      </w:r>
    </w:p>
  </w:footnote>
  <w:footnote w:type="continuationSeparator" w:id="0">
    <w:p w14:paraId="2249F10C" w14:textId="77777777" w:rsidR="00AF606D" w:rsidRDefault="00AF606D" w:rsidP="008A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7EC2" w14:textId="422BCE46" w:rsidR="0097186F" w:rsidRPr="00F8321B" w:rsidRDefault="0097186F">
    <w:pPr>
      <w:pStyle w:val="Zhlav"/>
      <w:rPr>
        <w:sz w:val="24"/>
        <w:szCs w:val="24"/>
      </w:rPr>
    </w:pPr>
    <w:r>
      <w:tab/>
    </w:r>
    <w:r>
      <w:tab/>
    </w:r>
    <w:r w:rsidRPr="00F8321B">
      <w:rPr>
        <w:sz w:val="24"/>
        <w:szCs w:val="24"/>
      </w:rPr>
      <w:t>III.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7F0C0" w14:textId="00764008" w:rsidR="00253140" w:rsidRDefault="00253140" w:rsidP="00F809DB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CB921" w14:textId="6676BB1C" w:rsidR="00253140" w:rsidRPr="007922CD" w:rsidRDefault="00253140" w:rsidP="005F5400">
    <w:pPr>
      <w:pStyle w:val="Zhlav"/>
      <w:tabs>
        <w:tab w:val="clear" w:pos="4536"/>
        <w:tab w:val="clear" w:pos="9072"/>
        <w:tab w:val="left" w:pos="6135"/>
      </w:tabs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73F5098B" wp14:editId="54AA310A">
          <wp:simplePos x="0" y="0"/>
          <wp:positionH relativeFrom="margin">
            <wp:posOffset>5598321</wp:posOffset>
          </wp:positionH>
          <wp:positionV relativeFrom="margin">
            <wp:posOffset>-450215</wp:posOffset>
          </wp:positionV>
          <wp:extent cx="450850" cy="426085"/>
          <wp:effectExtent l="0" t="0" r="6350" b="0"/>
          <wp:wrapSquare wrapText="bothSides"/>
          <wp:docPr id="8" name="Obrázek 8" descr="D:\Users\Obrázky\cfcccf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Users\Obrázky\cfcccf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0805D" w14:textId="209EE82F" w:rsidR="00253140" w:rsidRPr="005F5400" w:rsidRDefault="00253140" w:rsidP="005F54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0B3E05BB" wp14:editId="53E3940C">
          <wp:simplePos x="0" y="0"/>
          <wp:positionH relativeFrom="margin">
            <wp:posOffset>5502910</wp:posOffset>
          </wp:positionH>
          <wp:positionV relativeFrom="margin">
            <wp:posOffset>-491490</wp:posOffset>
          </wp:positionV>
          <wp:extent cx="477520" cy="451485"/>
          <wp:effectExtent l="0" t="0" r="0" b="5715"/>
          <wp:wrapTopAndBottom/>
          <wp:docPr id="7" name="Obrázek 7" descr="D:\Users\Obrázky\cfcccf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Users\Obrázky\cfcccf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520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06E79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D3E4279"/>
    <w:multiLevelType w:val="hybridMultilevel"/>
    <w:tmpl w:val="2848B4BC"/>
    <w:lvl w:ilvl="0" w:tplc="984C1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1A706FF2"/>
    <w:multiLevelType w:val="hybridMultilevel"/>
    <w:tmpl w:val="E6D40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A5EA2"/>
    <w:multiLevelType w:val="multilevel"/>
    <w:tmpl w:val="E8BAE50A"/>
    <w:numStyleLink w:val="VariantaA-odrky"/>
  </w:abstractNum>
  <w:abstractNum w:abstractNumId="8" w15:restartNumberingAfterBreak="0">
    <w:nsid w:val="2D8A4AE1"/>
    <w:multiLevelType w:val="hybridMultilevel"/>
    <w:tmpl w:val="9B2ED942"/>
    <w:lvl w:ilvl="0" w:tplc="4FDAF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8A3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C7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4D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A81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440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4A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66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1A4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1992790"/>
    <w:multiLevelType w:val="hybridMultilevel"/>
    <w:tmpl w:val="CAB4DD20"/>
    <w:lvl w:ilvl="0" w:tplc="E3B2D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2" w15:restartNumberingAfterBreak="0">
    <w:nsid w:val="5AF35F43"/>
    <w:multiLevelType w:val="multilevel"/>
    <w:tmpl w:val="0D8ABE32"/>
    <w:numStyleLink w:val="VariantaB-sla"/>
  </w:abstractNum>
  <w:abstractNum w:abstractNumId="13" w15:restartNumberingAfterBreak="0">
    <w:nsid w:val="625C1F9C"/>
    <w:multiLevelType w:val="hybridMultilevel"/>
    <w:tmpl w:val="09CC3200"/>
    <w:lvl w:ilvl="0" w:tplc="0602ED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C54DB"/>
    <w:multiLevelType w:val="hybridMultilevel"/>
    <w:tmpl w:val="A2BEB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27B3C"/>
    <w:multiLevelType w:val="hybridMultilevel"/>
    <w:tmpl w:val="22544816"/>
    <w:lvl w:ilvl="0" w:tplc="FFB8C720">
      <w:start w:val="2006"/>
      <w:numFmt w:val="bullet"/>
      <w:lvlText w:val="›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"/>
  </w:num>
  <w:num w:numId="5">
    <w:abstractNumId w:val="1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5"/>
  </w:num>
  <w:num w:numId="13">
    <w:abstractNumId w:val="10"/>
  </w:num>
  <w:num w:numId="14">
    <w:abstractNumId w:val="14"/>
  </w:num>
  <w:num w:numId="15">
    <w:abstractNumId w:val="6"/>
  </w:num>
  <w:num w:numId="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6fc,#21ff80,#108001,#40d046,#dfd692,#57e53b,#c0e29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6C4"/>
    <w:rsid w:val="00000361"/>
    <w:rsid w:val="0000480E"/>
    <w:rsid w:val="00005CD6"/>
    <w:rsid w:val="00014E74"/>
    <w:rsid w:val="00015306"/>
    <w:rsid w:val="00020E52"/>
    <w:rsid w:val="000240CE"/>
    <w:rsid w:val="000242A5"/>
    <w:rsid w:val="0002674B"/>
    <w:rsid w:val="00026E43"/>
    <w:rsid w:val="000302A2"/>
    <w:rsid w:val="00031308"/>
    <w:rsid w:val="00034620"/>
    <w:rsid w:val="000407FC"/>
    <w:rsid w:val="0004162E"/>
    <w:rsid w:val="0004786B"/>
    <w:rsid w:val="00051BD4"/>
    <w:rsid w:val="00053117"/>
    <w:rsid w:val="00055D06"/>
    <w:rsid w:val="00057DC3"/>
    <w:rsid w:val="0006113C"/>
    <w:rsid w:val="00063405"/>
    <w:rsid w:val="0006438A"/>
    <w:rsid w:val="00065AC0"/>
    <w:rsid w:val="0006646A"/>
    <w:rsid w:val="000676C6"/>
    <w:rsid w:val="000772F6"/>
    <w:rsid w:val="000801F2"/>
    <w:rsid w:val="000809B9"/>
    <w:rsid w:val="00081A78"/>
    <w:rsid w:val="00084C95"/>
    <w:rsid w:val="000874CA"/>
    <w:rsid w:val="000879B7"/>
    <w:rsid w:val="00090B40"/>
    <w:rsid w:val="00094AA0"/>
    <w:rsid w:val="00094DCE"/>
    <w:rsid w:val="00095A0A"/>
    <w:rsid w:val="00096E6D"/>
    <w:rsid w:val="000A20CF"/>
    <w:rsid w:val="000A63CF"/>
    <w:rsid w:val="000B1177"/>
    <w:rsid w:val="000B1B3D"/>
    <w:rsid w:val="000B31A7"/>
    <w:rsid w:val="000B48E0"/>
    <w:rsid w:val="000C0A04"/>
    <w:rsid w:val="000C1AE3"/>
    <w:rsid w:val="000C4CAF"/>
    <w:rsid w:val="000C71C1"/>
    <w:rsid w:val="000D142E"/>
    <w:rsid w:val="000D4140"/>
    <w:rsid w:val="000D44B8"/>
    <w:rsid w:val="000D453D"/>
    <w:rsid w:val="000F0085"/>
    <w:rsid w:val="000F36DA"/>
    <w:rsid w:val="000F4C45"/>
    <w:rsid w:val="000F5188"/>
    <w:rsid w:val="000F7136"/>
    <w:rsid w:val="00107F06"/>
    <w:rsid w:val="00112643"/>
    <w:rsid w:val="0011329C"/>
    <w:rsid w:val="00114FC7"/>
    <w:rsid w:val="00116BFB"/>
    <w:rsid w:val="00121485"/>
    <w:rsid w:val="00126145"/>
    <w:rsid w:val="001268B0"/>
    <w:rsid w:val="00127E50"/>
    <w:rsid w:val="00131527"/>
    <w:rsid w:val="0013173B"/>
    <w:rsid w:val="00131805"/>
    <w:rsid w:val="00131864"/>
    <w:rsid w:val="0013613D"/>
    <w:rsid w:val="001363C3"/>
    <w:rsid w:val="0013741A"/>
    <w:rsid w:val="001414A3"/>
    <w:rsid w:val="001421D7"/>
    <w:rsid w:val="001428FB"/>
    <w:rsid w:val="0014343C"/>
    <w:rsid w:val="001479AE"/>
    <w:rsid w:val="001534B2"/>
    <w:rsid w:val="001535C1"/>
    <w:rsid w:val="00153D05"/>
    <w:rsid w:val="00153D56"/>
    <w:rsid w:val="001606F9"/>
    <w:rsid w:val="00162098"/>
    <w:rsid w:val="00163A90"/>
    <w:rsid w:val="00163F0F"/>
    <w:rsid w:val="0017246C"/>
    <w:rsid w:val="00172AD8"/>
    <w:rsid w:val="00172E60"/>
    <w:rsid w:val="001741F8"/>
    <w:rsid w:val="0017639A"/>
    <w:rsid w:val="00176C60"/>
    <w:rsid w:val="0018019B"/>
    <w:rsid w:val="0018051B"/>
    <w:rsid w:val="001826FC"/>
    <w:rsid w:val="00185DC4"/>
    <w:rsid w:val="00187CC9"/>
    <w:rsid w:val="001916A6"/>
    <w:rsid w:val="00192280"/>
    <w:rsid w:val="001924DB"/>
    <w:rsid w:val="00197522"/>
    <w:rsid w:val="001A493B"/>
    <w:rsid w:val="001A5C22"/>
    <w:rsid w:val="001A60C2"/>
    <w:rsid w:val="001A6A31"/>
    <w:rsid w:val="001B1E4A"/>
    <w:rsid w:val="001B6760"/>
    <w:rsid w:val="001B6E53"/>
    <w:rsid w:val="001C656C"/>
    <w:rsid w:val="001D0D4F"/>
    <w:rsid w:val="001D27C0"/>
    <w:rsid w:val="001D670F"/>
    <w:rsid w:val="001D7759"/>
    <w:rsid w:val="001E1DF5"/>
    <w:rsid w:val="001E2420"/>
    <w:rsid w:val="001E70C2"/>
    <w:rsid w:val="001E74C3"/>
    <w:rsid w:val="001E7A71"/>
    <w:rsid w:val="001F0DEB"/>
    <w:rsid w:val="001F5F88"/>
    <w:rsid w:val="001F6937"/>
    <w:rsid w:val="001F7110"/>
    <w:rsid w:val="0020045E"/>
    <w:rsid w:val="002028AA"/>
    <w:rsid w:val="0020309B"/>
    <w:rsid w:val="002042EE"/>
    <w:rsid w:val="002164F8"/>
    <w:rsid w:val="00217AEA"/>
    <w:rsid w:val="0022084F"/>
    <w:rsid w:val="00220DE3"/>
    <w:rsid w:val="00223C98"/>
    <w:rsid w:val="0022533E"/>
    <w:rsid w:val="0022623F"/>
    <w:rsid w:val="00226F53"/>
    <w:rsid w:val="002277E3"/>
    <w:rsid w:val="0023611D"/>
    <w:rsid w:val="002366F5"/>
    <w:rsid w:val="00240FF6"/>
    <w:rsid w:val="00241460"/>
    <w:rsid w:val="00243967"/>
    <w:rsid w:val="00244BDD"/>
    <w:rsid w:val="00244D5A"/>
    <w:rsid w:val="0025290D"/>
    <w:rsid w:val="00253140"/>
    <w:rsid w:val="00256821"/>
    <w:rsid w:val="00260372"/>
    <w:rsid w:val="00262DAF"/>
    <w:rsid w:val="00263197"/>
    <w:rsid w:val="00264581"/>
    <w:rsid w:val="002649D0"/>
    <w:rsid w:val="00266884"/>
    <w:rsid w:val="0026723C"/>
    <w:rsid w:val="00270BAD"/>
    <w:rsid w:val="002713D7"/>
    <w:rsid w:val="00276EA7"/>
    <w:rsid w:val="00280E50"/>
    <w:rsid w:val="00285AED"/>
    <w:rsid w:val="00293A00"/>
    <w:rsid w:val="002A1932"/>
    <w:rsid w:val="002A34E8"/>
    <w:rsid w:val="002A503C"/>
    <w:rsid w:val="002A5080"/>
    <w:rsid w:val="002A50CA"/>
    <w:rsid w:val="002A61FE"/>
    <w:rsid w:val="002B363A"/>
    <w:rsid w:val="002B4876"/>
    <w:rsid w:val="002C1D86"/>
    <w:rsid w:val="002D15D5"/>
    <w:rsid w:val="002D2929"/>
    <w:rsid w:val="002D42EC"/>
    <w:rsid w:val="002D7536"/>
    <w:rsid w:val="002E2442"/>
    <w:rsid w:val="002E71F7"/>
    <w:rsid w:val="002F0A2F"/>
    <w:rsid w:val="002F0E8C"/>
    <w:rsid w:val="002F2EAE"/>
    <w:rsid w:val="002F5CF9"/>
    <w:rsid w:val="00302D7B"/>
    <w:rsid w:val="0030370A"/>
    <w:rsid w:val="0030380A"/>
    <w:rsid w:val="00310FA0"/>
    <w:rsid w:val="00314AEE"/>
    <w:rsid w:val="003151B9"/>
    <w:rsid w:val="00320481"/>
    <w:rsid w:val="003230B9"/>
    <w:rsid w:val="003250CB"/>
    <w:rsid w:val="00325E9B"/>
    <w:rsid w:val="00326870"/>
    <w:rsid w:val="003269EE"/>
    <w:rsid w:val="0032764B"/>
    <w:rsid w:val="0033592A"/>
    <w:rsid w:val="00340E02"/>
    <w:rsid w:val="003457FD"/>
    <w:rsid w:val="00345F6B"/>
    <w:rsid w:val="003472C9"/>
    <w:rsid w:val="00363201"/>
    <w:rsid w:val="0036435E"/>
    <w:rsid w:val="00366AA2"/>
    <w:rsid w:val="003702C3"/>
    <w:rsid w:val="003746E4"/>
    <w:rsid w:val="00375337"/>
    <w:rsid w:val="003767DA"/>
    <w:rsid w:val="003833BB"/>
    <w:rsid w:val="003837A8"/>
    <w:rsid w:val="0039063C"/>
    <w:rsid w:val="00392A27"/>
    <w:rsid w:val="00393257"/>
    <w:rsid w:val="00393EF2"/>
    <w:rsid w:val="003A2ECE"/>
    <w:rsid w:val="003A35F7"/>
    <w:rsid w:val="003A46A8"/>
    <w:rsid w:val="003A51AA"/>
    <w:rsid w:val="003A5D9F"/>
    <w:rsid w:val="003B435A"/>
    <w:rsid w:val="003B565A"/>
    <w:rsid w:val="003B784A"/>
    <w:rsid w:val="003C1C14"/>
    <w:rsid w:val="003C437A"/>
    <w:rsid w:val="003D00A1"/>
    <w:rsid w:val="003D71FD"/>
    <w:rsid w:val="003E02B2"/>
    <w:rsid w:val="003E186E"/>
    <w:rsid w:val="003E1CE4"/>
    <w:rsid w:val="003E648D"/>
    <w:rsid w:val="003F508C"/>
    <w:rsid w:val="0040041A"/>
    <w:rsid w:val="004049E7"/>
    <w:rsid w:val="00404B7A"/>
    <w:rsid w:val="00404C4B"/>
    <w:rsid w:val="00405354"/>
    <w:rsid w:val="004069B0"/>
    <w:rsid w:val="004122CD"/>
    <w:rsid w:val="00412C25"/>
    <w:rsid w:val="0041427F"/>
    <w:rsid w:val="00416D06"/>
    <w:rsid w:val="004179E2"/>
    <w:rsid w:val="004200F1"/>
    <w:rsid w:val="0042045D"/>
    <w:rsid w:val="0042112A"/>
    <w:rsid w:val="00422AB0"/>
    <w:rsid w:val="00423A07"/>
    <w:rsid w:val="00423C6D"/>
    <w:rsid w:val="004246E0"/>
    <w:rsid w:val="0042536C"/>
    <w:rsid w:val="004279E9"/>
    <w:rsid w:val="00427F79"/>
    <w:rsid w:val="00430DCE"/>
    <w:rsid w:val="004347A4"/>
    <w:rsid w:val="00434ED5"/>
    <w:rsid w:val="00436960"/>
    <w:rsid w:val="004509E5"/>
    <w:rsid w:val="004552C8"/>
    <w:rsid w:val="00455FB2"/>
    <w:rsid w:val="00460573"/>
    <w:rsid w:val="0046169A"/>
    <w:rsid w:val="00461BDE"/>
    <w:rsid w:val="00463C72"/>
    <w:rsid w:val="004658B6"/>
    <w:rsid w:val="00466714"/>
    <w:rsid w:val="004704CB"/>
    <w:rsid w:val="00474C21"/>
    <w:rsid w:val="00481631"/>
    <w:rsid w:val="00482D71"/>
    <w:rsid w:val="00484732"/>
    <w:rsid w:val="004864FA"/>
    <w:rsid w:val="00486FB9"/>
    <w:rsid w:val="00491F8F"/>
    <w:rsid w:val="00495045"/>
    <w:rsid w:val="004B0CC0"/>
    <w:rsid w:val="004B2780"/>
    <w:rsid w:val="004B2C80"/>
    <w:rsid w:val="004B2ED5"/>
    <w:rsid w:val="004B6115"/>
    <w:rsid w:val="004B6A81"/>
    <w:rsid w:val="004C212A"/>
    <w:rsid w:val="004C2FD5"/>
    <w:rsid w:val="004C3A2E"/>
    <w:rsid w:val="004C3DED"/>
    <w:rsid w:val="004C50CC"/>
    <w:rsid w:val="004D40AF"/>
    <w:rsid w:val="004D52A5"/>
    <w:rsid w:val="004D5561"/>
    <w:rsid w:val="004D6186"/>
    <w:rsid w:val="004E07F8"/>
    <w:rsid w:val="004E4D3A"/>
    <w:rsid w:val="004E6361"/>
    <w:rsid w:val="00500232"/>
    <w:rsid w:val="005016A1"/>
    <w:rsid w:val="00504668"/>
    <w:rsid w:val="00504DCE"/>
    <w:rsid w:val="0050588F"/>
    <w:rsid w:val="00506A05"/>
    <w:rsid w:val="005125FB"/>
    <w:rsid w:val="005132F5"/>
    <w:rsid w:val="0051493E"/>
    <w:rsid w:val="00517E1B"/>
    <w:rsid w:val="0052030B"/>
    <w:rsid w:val="00521287"/>
    <w:rsid w:val="005214CD"/>
    <w:rsid w:val="00531042"/>
    <w:rsid w:val="00533B10"/>
    <w:rsid w:val="00540358"/>
    <w:rsid w:val="0054418F"/>
    <w:rsid w:val="005455E1"/>
    <w:rsid w:val="005457CC"/>
    <w:rsid w:val="005502BD"/>
    <w:rsid w:val="00552A9B"/>
    <w:rsid w:val="00556787"/>
    <w:rsid w:val="00562320"/>
    <w:rsid w:val="00567BFC"/>
    <w:rsid w:val="00582276"/>
    <w:rsid w:val="0058447C"/>
    <w:rsid w:val="005879BF"/>
    <w:rsid w:val="00591DDC"/>
    <w:rsid w:val="00593E8A"/>
    <w:rsid w:val="005958D6"/>
    <w:rsid w:val="005A1D06"/>
    <w:rsid w:val="005A27E6"/>
    <w:rsid w:val="005A30EB"/>
    <w:rsid w:val="005A319C"/>
    <w:rsid w:val="005A599D"/>
    <w:rsid w:val="005A737C"/>
    <w:rsid w:val="005B4428"/>
    <w:rsid w:val="005C2560"/>
    <w:rsid w:val="005C5E89"/>
    <w:rsid w:val="005C66B0"/>
    <w:rsid w:val="005C781B"/>
    <w:rsid w:val="005D68E8"/>
    <w:rsid w:val="005E0CD6"/>
    <w:rsid w:val="005E3BDA"/>
    <w:rsid w:val="005E5540"/>
    <w:rsid w:val="005F2AF3"/>
    <w:rsid w:val="005F33EC"/>
    <w:rsid w:val="005F4A96"/>
    <w:rsid w:val="005F5400"/>
    <w:rsid w:val="005F5B61"/>
    <w:rsid w:val="005F7585"/>
    <w:rsid w:val="00600DC3"/>
    <w:rsid w:val="00605759"/>
    <w:rsid w:val="00612D49"/>
    <w:rsid w:val="006158A4"/>
    <w:rsid w:val="006227A8"/>
    <w:rsid w:val="00630072"/>
    <w:rsid w:val="00633B93"/>
    <w:rsid w:val="00642F8C"/>
    <w:rsid w:val="006434B8"/>
    <w:rsid w:val="00646703"/>
    <w:rsid w:val="00650C6C"/>
    <w:rsid w:val="00652FE6"/>
    <w:rsid w:val="0065361B"/>
    <w:rsid w:val="00662AB1"/>
    <w:rsid w:val="00663324"/>
    <w:rsid w:val="006643FD"/>
    <w:rsid w:val="0066519F"/>
    <w:rsid w:val="00667898"/>
    <w:rsid w:val="00667F6D"/>
    <w:rsid w:val="0067104E"/>
    <w:rsid w:val="00671A29"/>
    <w:rsid w:val="00672A9E"/>
    <w:rsid w:val="00677FE0"/>
    <w:rsid w:val="00680288"/>
    <w:rsid w:val="00687424"/>
    <w:rsid w:val="00687F9D"/>
    <w:rsid w:val="006910F6"/>
    <w:rsid w:val="0069145B"/>
    <w:rsid w:val="0069798F"/>
    <w:rsid w:val="006A16A1"/>
    <w:rsid w:val="006A313B"/>
    <w:rsid w:val="006A59EE"/>
    <w:rsid w:val="006A6AC5"/>
    <w:rsid w:val="006A6B5C"/>
    <w:rsid w:val="006B0D94"/>
    <w:rsid w:val="006B2855"/>
    <w:rsid w:val="006C4560"/>
    <w:rsid w:val="006C6E84"/>
    <w:rsid w:val="006D04EF"/>
    <w:rsid w:val="006D1C45"/>
    <w:rsid w:val="006D26AD"/>
    <w:rsid w:val="006D2ABC"/>
    <w:rsid w:val="006D551C"/>
    <w:rsid w:val="006D5E8B"/>
    <w:rsid w:val="006E0D6C"/>
    <w:rsid w:val="006E1A98"/>
    <w:rsid w:val="006E2FB0"/>
    <w:rsid w:val="006E5333"/>
    <w:rsid w:val="006E53F5"/>
    <w:rsid w:val="006E5E33"/>
    <w:rsid w:val="006F0F0E"/>
    <w:rsid w:val="006F6798"/>
    <w:rsid w:val="006F6B3E"/>
    <w:rsid w:val="006F7347"/>
    <w:rsid w:val="00705599"/>
    <w:rsid w:val="00705E8E"/>
    <w:rsid w:val="00706BEA"/>
    <w:rsid w:val="007074B7"/>
    <w:rsid w:val="007102D2"/>
    <w:rsid w:val="007131A2"/>
    <w:rsid w:val="00713948"/>
    <w:rsid w:val="007147C8"/>
    <w:rsid w:val="0071513B"/>
    <w:rsid w:val="007168FB"/>
    <w:rsid w:val="0072459E"/>
    <w:rsid w:val="00724EE5"/>
    <w:rsid w:val="0074799C"/>
    <w:rsid w:val="00750694"/>
    <w:rsid w:val="00753A27"/>
    <w:rsid w:val="0076418C"/>
    <w:rsid w:val="00764D98"/>
    <w:rsid w:val="00766144"/>
    <w:rsid w:val="0077096F"/>
    <w:rsid w:val="00773235"/>
    <w:rsid w:val="00787B9A"/>
    <w:rsid w:val="007922CD"/>
    <w:rsid w:val="0079342A"/>
    <w:rsid w:val="007A150E"/>
    <w:rsid w:val="007A63C7"/>
    <w:rsid w:val="007A716D"/>
    <w:rsid w:val="007A7620"/>
    <w:rsid w:val="007B0CD3"/>
    <w:rsid w:val="007B1CB0"/>
    <w:rsid w:val="007B2A97"/>
    <w:rsid w:val="007B4949"/>
    <w:rsid w:val="007B49AC"/>
    <w:rsid w:val="007B4FF9"/>
    <w:rsid w:val="007B5D1A"/>
    <w:rsid w:val="007B636F"/>
    <w:rsid w:val="007C0725"/>
    <w:rsid w:val="007C391B"/>
    <w:rsid w:val="007D0A28"/>
    <w:rsid w:val="007D1CA0"/>
    <w:rsid w:val="007D23CA"/>
    <w:rsid w:val="007D5264"/>
    <w:rsid w:val="007E1CCE"/>
    <w:rsid w:val="007E1DD9"/>
    <w:rsid w:val="007E3E4E"/>
    <w:rsid w:val="007E4324"/>
    <w:rsid w:val="007F0BC6"/>
    <w:rsid w:val="007F3BE9"/>
    <w:rsid w:val="008003D7"/>
    <w:rsid w:val="00800EF7"/>
    <w:rsid w:val="0080210E"/>
    <w:rsid w:val="00803317"/>
    <w:rsid w:val="00813DC6"/>
    <w:rsid w:val="00814A4E"/>
    <w:rsid w:val="00820429"/>
    <w:rsid w:val="00820FBF"/>
    <w:rsid w:val="00822E23"/>
    <w:rsid w:val="00823D53"/>
    <w:rsid w:val="00825AC7"/>
    <w:rsid w:val="00827544"/>
    <w:rsid w:val="00827B98"/>
    <w:rsid w:val="00831374"/>
    <w:rsid w:val="00831464"/>
    <w:rsid w:val="00831644"/>
    <w:rsid w:val="0083236B"/>
    <w:rsid w:val="00834BA4"/>
    <w:rsid w:val="00834BF1"/>
    <w:rsid w:val="008353D3"/>
    <w:rsid w:val="0083592D"/>
    <w:rsid w:val="00835E33"/>
    <w:rsid w:val="00836AA4"/>
    <w:rsid w:val="00836D43"/>
    <w:rsid w:val="00851278"/>
    <w:rsid w:val="00851735"/>
    <w:rsid w:val="00852E07"/>
    <w:rsid w:val="00853197"/>
    <w:rsid w:val="008537C3"/>
    <w:rsid w:val="00854447"/>
    <w:rsid w:val="0085646C"/>
    <w:rsid w:val="00857580"/>
    <w:rsid w:val="00857782"/>
    <w:rsid w:val="008616C3"/>
    <w:rsid w:val="00861DC2"/>
    <w:rsid w:val="00862CD7"/>
    <w:rsid w:val="008642CE"/>
    <w:rsid w:val="00865238"/>
    <w:rsid w:val="008667BF"/>
    <w:rsid w:val="008672BF"/>
    <w:rsid w:val="00867948"/>
    <w:rsid w:val="008717A7"/>
    <w:rsid w:val="0087409C"/>
    <w:rsid w:val="008851DD"/>
    <w:rsid w:val="00886B49"/>
    <w:rsid w:val="008872DB"/>
    <w:rsid w:val="00887336"/>
    <w:rsid w:val="00891984"/>
    <w:rsid w:val="00891F95"/>
    <w:rsid w:val="00892814"/>
    <w:rsid w:val="00893EFE"/>
    <w:rsid w:val="00895645"/>
    <w:rsid w:val="008A25E6"/>
    <w:rsid w:val="008A45EF"/>
    <w:rsid w:val="008A4712"/>
    <w:rsid w:val="008A6856"/>
    <w:rsid w:val="008A7851"/>
    <w:rsid w:val="008B11BA"/>
    <w:rsid w:val="008B2D0C"/>
    <w:rsid w:val="008B328E"/>
    <w:rsid w:val="008B5713"/>
    <w:rsid w:val="008C3782"/>
    <w:rsid w:val="008D3043"/>
    <w:rsid w:val="008D4A32"/>
    <w:rsid w:val="008D4BDA"/>
    <w:rsid w:val="008D4E5F"/>
    <w:rsid w:val="008D593A"/>
    <w:rsid w:val="008E1259"/>
    <w:rsid w:val="008E224D"/>
    <w:rsid w:val="008E7760"/>
    <w:rsid w:val="008E7905"/>
    <w:rsid w:val="008F1B2A"/>
    <w:rsid w:val="008F1BEE"/>
    <w:rsid w:val="008F58CB"/>
    <w:rsid w:val="00901B80"/>
    <w:rsid w:val="009038C3"/>
    <w:rsid w:val="00904B80"/>
    <w:rsid w:val="00904CC6"/>
    <w:rsid w:val="00905391"/>
    <w:rsid w:val="0090668C"/>
    <w:rsid w:val="00906790"/>
    <w:rsid w:val="009068FC"/>
    <w:rsid w:val="00910A35"/>
    <w:rsid w:val="00914920"/>
    <w:rsid w:val="00916FEB"/>
    <w:rsid w:val="009179C9"/>
    <w:rsid w:val="00917D0C"/>
    <w:rsid w:val="00922001"/>
    <w:rsid w:val="00922C17"/>
    <w:rsid w:val="0092508D"/>
    <w:rsid w:val="00926E18"/>
    <w:rsid w:val="009311D0"/>
    <w:rsid w:val="0093265D"/>
    <w:rsid w:val="0093355B"/>
    <w:rsid w:val="009366C0"/>
    <w:rsid w:val="00936A74"/>
    <w:rsid w:val="00940128"/>
    <w:rsid w:val="009402A7"/>
    <w:rsid w:val="00942DDD"/>
    <w:rsid w:val="00945953"/>
    <w:rsid w:val="009468DB"/>
    <w:rsid w:val="00951337"/>
    <w:rsid w:val="009516A8"/>
    <w:rsid w:val="00951EAD"/>
    <w:rsid w:val="00966C64"/>
    <w:rsid w:val="00967AC3"/>
    <w:rsid w:val="00970E4B"/>
    <w:rsid w:val="0097186F"/>
    <w:rsid w:val="00972A1D"/>
    <w:rsid w:val="00974BD8"/>
    <w:rsid w:val="0097571B"/>
    <w:rsid w:val="00975732"/>
    <w:rsid w:val="0097705C"/>
    <w:rsid w:val="009803E5"/>
    <w:rsid w:val="00980F09"/>
    <w:rsid w:val="00981092"/>
    <w:rsid w:val="00981386"/>
    <w:rsid w:val="00990AEB"/>
    <w:rsid w:val="0099139F"/>
    <w:rsid w:val="009931ED"/>
    <w:rsid w:val="00994AA0"/>
    <w:rsid w:val="00997224"/>
    <w:rsid w:val="00997F4B"/>
    <w:rsid w:val="009A213B"/>
    <w:rsid w:val="009A2A80"/>
    <w:rsid w:val="009A6AA4"/>
    <w:rsid w:val="009A6EFA"/>
    <w:rsid w:val="009A7895"/>
    <w:rsid w:val="009B0EBF"/>
    <w:rsid w:val="009B167D"/>
    <w:rsid w:val="009B4C4C"/>
    <w:rsid w:val="009C0B43"/>
    <w:rsid w:val="009D3AE2"/>
    <w:rsid w:val="009D5D1E"/>
    <w:rsid w:val="009D7AC8"/>
    <w:rsid w:val="009D7B4F"/>
    <w:rsid w:val="009E1E6E"/>
    <w:rsid w:val="009E44BD"/>
    <w:rsid w:val="009E6BD3"/>
    <w:rsid w:val="009F03E6"/>
    <w:rsid w:val="009F393D"/>
    <w:rsid w:val="009F3C2E"/>
    <w:rsid w:val="009F3D18"/>
    <w:rsid w:val="009F72BD"/>
    <w:rsid w:val="009F7F46"/>
    <w:rsid w:val="00A000BF"/>
    <w:rsid w:val="00A01624"/>
    <w:rsid w:val="00A020F2"/>
    <w:rsid w:val="00A04B25"/>
    <w:rsid w:val="00A0587E"/>
    <w:rsid w:val="00A07466"/>
    <w:rsid w:val="00A12EB2"/>
    <w:rsid w:val="00A17057"/>
    <w:rsid w:val="00A26989"/>
    <w:rsid w:val="00A275BC"/>
    <w:rsid w:val="00A31DF8"/>
    <w:rsid w:val="00A33198"/>
    <w:rsid w:val="00A37F15"/>
    <w:rsid w:val="00A411ED"/>
    <w:rsid w:val="00A42545"/>
    <w:rsid w:val="00A464B4"/>
    <w:rsid w:val="00A5043B"/>
    <w:rsid w:val="00A52194"/>
    <w:rsid w:val="00A52503"/>
    <w:rsid w:val="00A56FF1"/>
    <w:rsid w:val="00A57853"/>
    <w:rsid w:val="00A63D6B"/>
    <w:rsid w:val="00A640D3"/>
    <w:rsid w:val="00A733C5"/>
    <w:rsid w:val="00A76C4E"/>
    <w:rsid w:val="00A81080"/>
    <w:rsid w:val="00A8203E"/>
    <w:rsid w:val="00A84B52"/>
    <w:rsid w:val="00A8660F"/>
    <w:rsid w:val="00A92E30"/>
    <w:rsid w:val="00A95C48"/>
    <w:rsid w:val="00A96D92"/>
    <w:rsid w:val="00AA34BF"/>
    <w:rsid w:val="00AA5EC7"/>
    <w:rsid w:val="00AA7056"/>
    <w:rsid w:val="00AB141A"/>
    <w:rsid w:val="00AB31C6"/>
    <w:rsid w:val="00AB3795"/>
    <w:rsid w:val="00AB4137"/>
    <w:rsid w:val="00AB523B"/>
    <w:rsid w:val="00AB545E"/>
    <w:rsid w:val="00AB64F7"/>
    <w:rsid w:val="00AC0729"/>
    <w:rsid w:val="00AC0B01"/>
    <w:rsid w:val="00AC2532"/>
    <w:rsid w:val="00AC52AA"/>
    <w:rsid w:val="00AC5E4B"/>
    <w:rsid w:val="00AD03F5"/>
    <w:rsid w:val="00AD7901"/>
    <w:rsid w:val="00AD7E40"/>
    <w:rsid w:val="00AE06D3"/>
    <w:rsid w:val="00AE13B3"/>
    <w:rsid w:val="00AE1844"/>
    <w:rsid w:val="00AE2462"/>
    <w:rsid w:val="00AE2A78"/>
    <w:rsid w:val="00AE40A2"/>
    <w:rsid w:val="00AE47E2"/>
    <w:rsid w:val="00AE757F"/>
    <w:rsid w:val="00AF29C7"/>
    <w:rsid w:val="00AF2A07"/>
    <w:rsid w:val="00AF4495"/>
    <w:rsid w:val="00AF5044"/>
    <w:rsid w:val="00AF606D"/>
    <w:rsid w:val="00B06431"/>
    <w:rsid w:val="00B1065A"/>
    <w:rsid w:val="00B1477A"/>
    <w:rsid w:val="00B16A8E"/>
    <w:rsid w:val="00B17A96"/>
    <w:rsid w:val="00B20993"/>
    <w:rsid w:val="00B26414"/>
    <w:rsid w:val="00B266FC"/>
    <w:rsid w:val="00B268DD"/>
    <w:rsid w:val="00B31651"/>
    <w:rsid w:val="00B32049"/>
    <w:rsid w:val="00B325D3"/>
    <w:rsid w:val="00B363FD"/>
    <w:rsid w:val="00B409DE"/>
    <w:rsid w:val="00B40FDD"/>
    <w:rsid w:val="00B42E96"/>
    <w:rsid w:val="00B43993"/>
    <w:rsid w:val="00B44B08"/>
    <w:rsid w:val="00B50EE6"/>
    <w:rsid w:val="00B52185"/>
    <w:rsid w:val="00B541D6"/>
    <w:rsid w:val="00B55553"/>
    <w:rsid w:val="00B61124"/>
    <w:rsid w:val="00B61442"/>
    <w:rsid w:val="00B62B3C"/>
    <w:rsid w:val="00B640A0"/>
    <w:rsid w:val="00B645F4"/>
    <w:rsid w:val="00B65D7D"/>
    <w:rsid w:val="00B6744E"/>
    <w:rsid w:val="00B70728"/>
    <w:rsid w:val="00B726C4"/>
    <w:rsid w:val="00B831ED"/>
    <w:rsid w:val="00B83AC9"/>
    <w:rsid w:val="00B83E65"/>
    <w:rsid w:val="00B847EB"/>
    <w:rsid w:val="00B8503B"/>
    <w:rsid w:val="00B85B88"/>
    <w:rsid w:val="00B90C92"/>
    <w:rsid w:val="00B91427"/>
    <w:rsid w:val="00B93946"/>
    <w:rsid w:val="00B9753A"/>
    <w:rsid w:val="00B97D1C"/>
    <w:rsid w:val="00BA7C51"/>
    <w:rsid w:val="00BB25E8"/>
    <w:rsid w:val="00BB479C"/>
    <w:rsid w:val="00BC4720"/>
    <w:rsid w:val="00BC4AFE"/>
    <w:rsid w:val="00BD0F9C"/>
    <w:rsid w:val="00BD53DB"/>
    <w:rsid w:val="00BD5862"/>
    <w:rsid w:val="00BD75A2"/>
    <w:rsid w:val="00BE0579"/>
    <w:rsid w:val="00BE0AEE"/>
    <w:rsid w:val="00BE1A58"/>
    <w:rsid w:val="00BE1C2A"/>
    <w:rsid w:val="00BE223D"/>
    <w:rsid w:val="00BE26B9"/>
    <w:rsid w:val="00BE2895"/>
    <w:rsid w:val="00BE4A5E"/>
    <w:rsid w:val="00BF393C"/>
    <w:rsid w:val="00BF3C7F"/>
    <w:rsid w:val="00C002B0"/>
    <w:rsid w:val="00C0328A"/>
    <w:rsid w:val="00C03539"/>
    <w:rsid w:val="00C05804"/>
    <w:rsid w:val="00C0627F"/>
    <w:rsid w:val="00C070D2"/>
    <w:rsid w:val="00C10836"/>
    <w:rsid w:val="00C14706"/>
    <w:rsid w:val="00C15103"/>
    <w:rsid w:val="00C15E86"/>
    <w:rsid w:val="00C17ACD"/>
    <w:rsid w:val="00C2017A"/>
    <w:rsid w:val="00C2026B"/>
    <w:rsid w:val="00C20470"/>
    <w:rsid w:val="00C26791"/>
    <w:rsid w:val="00C31907"/>
    <w:rsid w:val="00C34B2F"/>
    <w:rsid w:val="00C37379"/>
    <w:rsid w:val="00C4641B"/>
    <w:rsid w:val="00C50641"/>
    <w:rsid w:val="00C50AFB"/>
    <w:rsid w:val="00C55E7E"/>
    <w:rsid w:val="00C56409"/>
    <w:rsid w:val="00C576DB"/>
    <w:rsid w:val="00C57957"/>
    <w:rsid w:val="00C633E1"/>
    <w:rsid w:val="00C6563B"/>
    <w:rsid w:val="00C6690E"/>
    <w:rsid w:val="00C703C5"/>
    <w:rsid w:val="00C73CB3"/>
    <w:rsid w:val="00C805F2"/>
    <w:rsid w:val="00C834D5"/>
    <w:rsid w:val="00C861EA"/>
    <w:rsid w:val="00C906BA"/>
    <w:rsid w:val="00C90DA3"/>
    <w:rsid w:val="00C9338B"/>
    <w:rsid w:val="00C95A30"/>
    <w:rsid w:val="00C96EFE"/>
    <w:rsid w:val="00CA0009"/>
    <w:rsid w:val="00CA6770"/>
    <w:rsid w:val="00CB320A"/>
    <w:rsid w:val="00CB59F4"/>
    <w:rsid w:val="00CB728A"/>
    <w:rsid w:val="00CB7BDF"/>
    <w:rsid w:val="00CC19D7"/>
    <w:rsid w:val="00CC30F2"/>
    <w:rsid w:val="00CC5E40"/>
    <w:rsid w:val="00CD32B0"/>
    <w:rsid w:val="00CD4DD8"/>
    <w:rsid w:val="00CE2573"/>
    <w:rsid w:val="00CE591E"/>
    <w:rsid w:val="00CF2F3B"/>
    <w:rsid w:val="00CF68BE"/>
    <w:rsid w:val="00D013ED"/>
    <w:rsid w:val="00D02FE2"/>
    <w:rsid w:val="00D067E1"/>
    <w:rsid w:val="00D074DE"/>
    <w:rsid w:val="00D1408B"/>
    <w:rsid w:val="00D1569F"/>
    <w:rsid w:val="00D204AB"/>
    <w:rsid w:val="00D20B1E"/>
    <w:rsid w:val="00D22462"/>
    <w:rsid w:val="00D230AC"/>
    <w:rsid w:val="00D23466"/>
    <w:rsid w:val="00D23CB3"/>
    <w:rsid w:val="00D23FF2"/>
    <w:rsid w:val="00D2670D"/>
    <w:rsid w:val="00D30382"/>
    <w:rsid w:val="00D318AE"/>
    <w:rsid w:val="00D32489"/>
    <w:rsid w:val="00D327EC"/>
    <w:rsid w:val="00D32B3F"/>
    <w:rsid w:val="00D3349E"/>
    <w:rsid w:val="00D33FAD"/>
    <w:rsid w:val="00D34194"/>
    <w:rsid w:val="00D352F2"/>
    <w:rsid w:val="00D362F8"/>
    <w:rsid w:val="00D40214"/>
    <w:rsid w:val="00D40ECE"/>
    <w:rsid w:val="00D4237B"/>
    <w:rsid w:val="00D4270A"/>
    <w:rsid w:val="00D452AF"/>
    <w:rsid w:val="00D461C0"/>
    <w:rsid w:val="00D534C9"/>
    <w:rsid w:val="00D5668A"/>
    <w:rsid w:val="00D6010E"/>
    <w:rsid w:val="00D6031F"/>
    <w:rsid w:val="00D61623"/>
    <w:rsid w:val="00D64460"/>
    <w:rsid w:val="00D70EFE"/>
    <w:rsid w:val="00D73CB8"/>
    <w:rsid w:val="00D75FE6"/>
    <w:rsid w:val="00D81B33"/>
    <w:rsid w:val="00D94792"/>
    <w:rsid w:val="00D94F9B"/>
    <w:rsid w:val="00DA3409"/>
    <w:rsid w:val="00DA4FA8"/>
    <w:rsid w:val="00DA68F2"/>
    <w:rsid w:val="00DA7591"/>
    <w:rsid w:val="00DA7618"/>
    <w:rsid w:val="00DB21B9"/>
    <w:rsid w:val="00DB3FF7"/>
    <w:rsid w:val="00DB5760"/>
    <w:rsid w:val="00DB7CB5"/>
    <w:rsid w:val="00DC0633"/>
    <w:rsid w:val="00DC0DE2"/>
    <w:rsid w:val="00DC14EE"/>
    <w:rsid w:val="00DC29AF"/>
    <w:rsid w:val="00DD2FFA"/>
    <w:rsid w:val="00DD4417"/>
    <w:rsid w:val="00DE1C8F"/>
    <w:rsid w:val="00DE5020"/>
    <w:rsid w:val="00DF206C"/>
    <w:rsid w:val="00DF4D49"/>
    <w:rsid w:val="00DF6C68"/>
    <w:rsid w:val="00E07644"/>
    <w:rsid w:val="00E076AA"/>
    <w:rsid w:val="00E111D5"/>
    <w:rsid w:val="00E12091"/>
    <w:rsid w:val="00E13CB3"/>
    <w:rsid w:val="00E14890"/>
    <w:rsid w:val="00E216C6"/>
    <w:rsid w:val="00E22F09"/>
    <w:rsid w:val="00E270E9"/>
    <w:rsid w:val="00E305A2"/>
    <w:rsid w:val="00E32798"/>
    <w:rsid w:val="00E32BB3"/>
    <w:rsid w:val="00E32F25"/>
    <w:rsid w:val="00E33A93"/>
    <w:rsid w:val="00E33CC8"/>
    <w:rsid w:val="00E35574"/>
    <w:rsid w:val="00E37917"/>
    <w:rsid w:val="00E42F50"/>
    <w:rsid w:val="00E516F7"/>
    <w:rsid w:val="00E51C91"/>
    <w:rsid w:val="00E54998"/>
    <w:rsid w:val="00E57375"/>
    <w:rsid w:val="00E601F1"/>
    <w:rsid w:val="00E61859"/>
    <w:rsid w:val="00E667C1"/>
    <w:rsid w:val="00E72191"/>
    <w:rsid w:val="00E749C0"/>
    <w:rsid w:val="00E772DE"/>
    <w:rsid w:val="00E8363F"/>
    <w:rsid w:val="00E86095"/>
    <w:rsid w:val="00E86EA3"/>
    <w:rsid w:val="00E87A2E"/>
    <w:rsid w:val="00E92D18"/>
    <w:rsid w:val="00E93323"/>
    <w:rsid w:val="00E9369E"/>
    <w:rsid w:val="00E93A11"/>
    <w:rsid w:val="00EA3907"/>
    <w:rsid w:val="00EA5B5E"/>
    <w:rsid w:val="00EA5D55"/>
    <w:rsid w:val="00EA696A"/>
    <w:rsid w:val="00EB2307"/>
    <w:rsid w:val="00EC027D"/>
    <w:rsid w:val="00EC1F4D"/>
    <w:rsid w:val="00EC226D"/>
    <w:rsid w:val="00EC3F88"/>
    <w:rsid w:val="00EC6257"/>
    <w:rsid w:val="00EC7070"/>
    <w:rsid w:val="00ED0DE1"/>
    <w:rsid w:val="00ED11EB"/>
    <w:rsid w:val="00ED36D8"/>
    <w:rsid w:val="00ED5C01"/>
    <w:rsid w:val="00ED7F4F"/>
    <w:rsid w:val="00EE14C4"/>
    <w:rsid w:val="00EE2DD4"/>
    <w:rsid w:val="00EE6BD7"/>
    <w:rsid w:val="00EF0C24"/>
    <w:rsid w:val="00EF4870"/>
    <w:rsid w:val="00F0689D"/>
    <w:rsid w:val="00F13D92"/>
    <w:rsid w:val="00F152AB"/>
    <w:rsid w:val="00F168A1"/>
    <w:rsid w:val="00F16E86"/>
    <w:rsid w:val="00F2015D"/>
    <w:rsid w:val="00F21F39"/>
    <w:rsid w:val="00F23B11"/>
    <w:rsid w:val="00F23B21"/>
    <w:rsid w:val="00F23BCD"/>
    <w:rsid w:val="00F2571A"/>
    <w:rsid w:val="00F262F3"/>
    <w:rsid w:val="00F303CD"/>
    <w:rsid w:val="00F33C88"/>
    <w:rsid w:val="00F362B2"/>
    <w:rsid w:val="00F36842"/>
    <w:rsid w:val="00F37EC5"/>
    <w:rsid w:val="00F406A5"/>
    <w:rsid w:val="00F45C17"/>
    <w:rsid w:val="00F54608"/>
    <w:rsid w:val="00F55C09"/>
    <w:rsid w:val="00F61BFF"/>
    <w:rsid w:val="00F647CB"/>
    <w:rsid w:val="00F64A37"/>
    <w:rsid w:val="00F74CE7"/>
    <w:rsid w:val="00F75225"/>
    <w:rsid w:val="00F77CA8"/>
    <w:rsid w:val="00F809DB"/>
    <w:rsid w:val="00F81A17"/>
    <w:rsid w:val="00F8321B"/>
    <w:rsid w:val="00F85752"/>
    <w:rsid w:val="00F90535"/>
    <w:rsid w:val="00F909E2"/>
    <w:rsid w:val="00F92F8C"/>
    <w:rsid w:val="00F968D2"/>
    <w:rsid w:val="00FA0587"/>
    <w:rsid w:val="00FA2C4A"/>
    <w:rsid w:val="00FA541E"/>
    <w:rsid w:val="00FA6A4D"/>
    <w:rsid w:val="00FB01B5"/>
    <w:rsid w:val="00FB33C8"/>
    <w:rsid w:val="00FB5AE5"/>
    <w:rsid w:val="00FB659E"/>
    <w:rsid w:val="00FC5F01"/>
    <w:rsid w:val="00FC7DDD"/>
    <w:rsid w:val="00FD189D"/>
    <w:rsid w:val="00FD231D"/>
    <w:rsid w:val="00FD4A1F"/>
    <w:rsid w:val="00FD59B5"/>
    <w:rsid w:val="00FF3C67"/>
    <w:rsid w:val="00FF5805"/>
    <w:rsid w:val="00FF5871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6fc,#21ff80,#108001,#40d046,#dfd692,#57e53b,#c0e29c"/>
    </o:shapedefaults>
    <o:shapelayout v:ext="edit">
      <o:idmap v:ext="edit" data="1"/>
    </o:shapelayout>
  </w:shapeDefaults>
  <w:decimalSymbol w:val=","/>
  <w:listSeparator w:val=";"/>
  <w14:docId w14:val="74F4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4FA"/>
    <w:pPr>
      <w:spacing w:after="120" w:line="264" w:lineRule="auto"/>
      <w:jc w:val="both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5A319C"/>
    <w:pPr>
      <w:keepNext/>
      <w:keepLines/>
      <w:spacing w:before="600"/>
      <w:jc w:val="left"/>
      <w:outlineLvl w:val="0"/>
    </w:pPr>
    <w:rPr>
      <w:rFonts w:ascii="Calibri Light" w:eastAsia="Times New Roman" w:hAnsi="Calibri Light"/>
      <w:b/>
      <w:caps/>
      <w:color w:val="006FA0" w:themeColor="accent3" w:themeShade="BF"/>
      <w:spacing w:val="30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667F6D"/>
    <w:pPr>
      <w:keepNext/>
      <w:keepLines/>
      <w:spacing w:before="200" w:after="40"/>
      <w:jc w:val="left"/>
      <w:outlineLvl w:val="1"/>
    </w:pPr>
    <w:rPr>
      <w:rFonts w:ascii="Calibri Light" w:eastAsia="Times New Roman" w:hAnsi="Calibri Light"/>
      <w:b/>
      <w:caps/>
      <w:color w:val="006FA0" w:themeColor="accent3" w:themeShade="BF"/>
      <w:spacing w:val="30"/>
      <w:sz w:val="26"/>
      <w:szCs w:val="32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A319C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color w:val="006FA0" w:themeColor="accent3" w:themeShade="BF"/>
      <w:spacing w:val="28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5A31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olor w:val="006FA0" w:themeColor="accent3" w:themeShade="BF"/>
      <w:spacing w:val="26"/>
      <w:sz w:val="20"/>
      <w:u w:val="single" w:color="3366FF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A319C"/>
    <w:rPr>
      <w:rFonts w:ascii="Calibri Light" w:eastAsia="Times New Roman" w:hAnsi="Calibri Light" w:cs="Times New Roman"/>
      <w:b/>
      <w:caps/>
      <w:color w:val="006FA0" w:themeColor="accent3" w:themeShade="BF"/>
      <w:spacing w:val="30"/>
      <w:sz w:val="36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667F6D"/>
    <w:rPr>
      <w:rFonts w:ascii="Calibri Light" w:eastAsia="Times New Roman" w:hAnsi="Calibri Light" w:cs="Times New Roman"/>
      <w:b/>
      <w:caps/>
      <w:color w:val="006FA0" w:themeColor="accent3" w:themeShade="BF"/>
      <w:spacing w:val="30"/>
      <w:sz w:val="26"/>
      <w:szCs w:val="32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5A319C"/>
    <w:rPr>
      <w:rFonts w:asciiTheme="majorHAnsi" w:eastAsiaTheme="majorEastAsia" w:hAnsiTheme="majorHAnsi" w:cstheme="majorBidi"/>
      <w:color w:val="006FA0" w:themeColor="accent3" w:themeShade="BF"/>
      <w:spacing w:val="28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5A319C"/>
    <w:rPr>
      <w:rFonts w:asciiTheme="majorHAnsi" w:eastAsiaTheme="majorEastAsia" w:hAnsiTheme="majorHAnsi" w:cstheme="majorBidi"/>
      <w:color w:val="006FA0" w:themeColor="accent3" w:themeShade="BF"/>
      <w:spacing w:val="26"/>
      <w:sz w:val="20"/>
      <w:u w:val="single" w:color="3366FF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253140"/>
    <w:pPr>
      <w:tabs>
        <w:tab w:val="left" w:pos="426"/>
        <w:tab w:val="right" w:leader="dot" w:pos="9628"/>
      </w:tabs>
      <w:spacing w:after="10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31308"/>
    <w:pPr>
      <w:tabs>
        <w:tab w:val="right" w:leader="dot" w:pos="9628"/>
      </w:tabs>
      <w:spacing w:after="100"/>
      <w:ind w:left="220"/>
    </w:pPr>
    <w:rPr>
      <w:i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253140"/>
    <w:pPr>
      <w:tabs>
        <w:tab w:val="right" w:leader="dot" w:pos="9628"/>
      </w:tabs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5A319C"/>
    <w:rPr>
      <w:color w:val="006FA0" w:themeColor="accent3" w:themeShade="BF"/>
    </w:rPr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3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D56"/>
    <w:rPr>
      <w:rFonts w:ascii="Segoe UI" w:eastAsia="Calibr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803E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03E5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803E5"/>
    <w:rPr>
      <w:vertAlign w:val="superscript"/>
    </w:rPr>
  </w:style>
  <w:style w:type="paragraph" w:customStyle="1" w:styleId="Default">
    <w:name w:val="Default"/>
    <w:rsid w:val="00997F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rmeku">
    <w:name w:val="V rámečku"/>
    <w:basedOn w:val="Normln"/>
    <w:qFormat/>
    <w:rsid w:val="00B93946"/>
    <w:pPr>
      <w:spacing w:before="120" w:after="100" w:afterAutospacing="1" w:line="240" w:lineRule="auto"/>
      <w:jc w:val="left"/>
    </w:pPr>
    <w:rPr>
      <w:rFonts w:asciiTheme="minorHAnsi" w:eastAsiaTheme="minorHAnsi" w:hAnsiTheme="minorHAnsi" w:cstheme="minorBidi"/>
      <w:color w:val="00A4C3"/>
    </w:rPr>
  </w:style>
  <w:style w:type="character" w:styleId="Odkaznakoment">
    <w:name w:val="annotation reference"/>
    <w:basedOn w:val="Standardnpsmoodstavce"/>
    <w:uiPriority w:val="99"/>
    <w:semiHidden/>
    <w:unhideWhenUsed/>
    <w:rsid w:val="006A6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6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6AC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B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B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24kjd">
    <w:name w:val="e24kjd"/>
    <w:basedOn w:val="Standardnpsmoodstavce"/>
    <w:rsid w:val="00C070D2"/>
  </w:style>
  <w:style w:type="character" w:customStyle="1" w:styleId="st1">
    <w:name w:val="st1"/>
    <w:basedOn w:val="Standardnpsmoodstavce"/>
    <w:rsid w:val="00C05804"/>
  </w:style>
  <w:style w:type="character" w:styleId="Siln">
    <w:name w:val="Strong"/>
    <w:basedOn w:val="Standardnpsmoodstavce"/>
    <w:uiPriority w:val="22"/>
    <w:qFormat/>
    <w:rsid w:val="00A04B25"/>
    <w:rPr>
      <w:rFonts w:ascii="Open Sans" w:hAnsi="Open Sans" w:hint="default"/>
      <w:b/>
      <w:bCs/>
    </w:rPr>
  </w:style>
  <w:style w:type="paragraph" w:customStyle="1" w:styleId="tun">
    <w:name w:val="tučně"/>
    <w:basedOn w:val="Normln"/>
    <w:next w:val="Normln"/>
    <w:qFormat/>
    <w:rsid w:val="001E2420"/>
    <w:pPr>
      <w:keepNext/>
      <w:spacing w:before="240" w:after="0"/>
      <w:contextualSpacing/>
      <w:jc w:val="left"/>
    </w:pPr>
    <w:rPr>
      <w:b/>
      <w:color w:val="004B8D" w:themeColor="text2"/>
    </w:rPr>
  </w:style>
  <w:style w:type="paragraph" w:customStyle="1" w:styleId="Style1">
    <w:name w:val="Style1"/>
    <w:basedOn w:val="Normln"/>
    <w:qFormat/>
    <w:rsid w:val="004864FA"/>
    <w:pPr>
      <w:keepNext/>
      <w:spacing w:before="120" w:after="0"/>
      <w:jc w:val="left"/>
    </w:pPr>
    <w:rPr>
      <w:b/>
      <w:bCs/>
      <w:color w:val="004B8D" w:themeColor="text2"/>
      <w:spacing w:val="54"/>
      <w:sz w:val="24"/>
      <w:szCs w:val="24"/>
    </w:rPr>
  </w:style>
  <w:style w:type="table" w:styleId="Mkatabulky">
    <w:name w:val="Table Grid"/>
    <w:basedOn w:val="Normlntabulka"/>
    <w:uiPriority w:val="59"/>
    <w:rsid w:val="00F21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sttabulka41">
    <w:name w:val="Prostá tabulka 41"/>
    <w:basedOn w:val="Normlntabulka"/>
    <w:uiPriority w:val="99"/>
    <w:rsid w:val="00F21F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1">
    <w:name w:val="Styl1"/>
    <w:basedOn w:val="Nzev"/>
    <w:qFormat/>
    <w:rsid w:val="005A319C"/>
    <w:pPr>
      <w:jc w:val="right"/>
    </w:pPr>
    <w:rPr>
      <w:caps/>
      <w:color w:val="006FA0" w:themeColor="accent3" w:themeShade="BF"/>
      <w:spacing w:val="28"/>
      <w:sz w:val="72"/>
      <w:szCs w:val="72"/>
    </w:rPr>
  </w:style>
  <w:style w:type="character" w:styleId="Zstupntext">
    <w:name w:val="Placeholder Text"/>
    <w:basedOn w:val="Standardnpsmoodstavce"/>
    <w:uiPriority w:val="99"/>
    <w:semiHidden/>
    <w:rsid w:val="003472C9"/>
    <w:rPr>
      <w:color w:val="808080"/>
    </w:rPr>
  </w:style>
  <w:style w:type="paragraph" w:styleId="Titulek">
    <w:name w:val="caption"/>
    <w:basedOn w:val="Normln"/>
    <w:next w:val="Normln"/>
    <w:uiPriority w:val="37"/>
    <w:unhideWhenUsed/>
    <w:qFormat/>
    <w:rsid w:val="00FB5AE5"/>
    <w:pPr>
      <w:spacing w:after="200" w:line="240" w:lineRule="auto"/>
    </w:pPr>
    <w:rPr>
      <w:b/>
      <w:bCs/>
      <w:color w:val="E31B23" w:themeColor="accent1"/>
      <w:sz w:val="18"/>
      <w:szCs w:val="18"/>
    </w:rPr>
  </w:style>
  <w:style w:type="character" w:styleId="slostrnky">
    <w:name w:val="page number"/>
    <w:basedOn w:val="Standardnpsmoodstavce"/>
    <w:uiPriority w:val="99"/>
    <w:semiHidden/>
    <w:unhideWhenUsed/>
    <w:rsid w:val="00BD5862"/>
  </w:style>
  <w:style w:type="table" w:customStyle="1" w:styleId="Prosttabulka31">
    <w:name w:val="Prostá tabulka 31"/>
    <w:basedOn w:val="Normlntabulka"/>
    <w:uiPriority w:val="43"/>
    <w:rsid w:val="00820FB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ze">
    <w:name w:val="Revision"/>
    <w:hidden/>
    <w:uiPriority w:val="99"/>
    <w:semiHidden/>
    <w:rsid w:val="00EE14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8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yperlink" Target="https://www.countryforfuture.com/internet-do-kazde-obce-realizace-projektu-pokryti-bilych-mis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untryforfuture.com/odpocty-na-vedu-a-vyzku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5" Type="http://schemas.openxmlformats.org/officeDocument/2006/relationships/hyperlink" Target="https://www.countryforfuture.com/budovani-strategickych-inkubatoru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www.countryforfuture.com/program-podpory-the-country-for-the-futur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yperlink" Target="https://www.countryforfuture.com/priprava-projektu-ai-centru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www.countryforfuture.com/realizace-strategie-umele-inteligence/" TargetMode="External"/><Relationship Id="rId28" Type="http://schemas.openxmlformats.org/officeDocument/2006/relationships/hyperlink" Target="https://www.countryforfuture.com/priprava-dualniho-vzdelavani/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s://www.countryforfuture.com/internacionalizace-vedy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2.xml"/><Relationship Id="rId22" Type="http://schemas.openxmlformats.org/officeDocument/2006/relationships/hyperlink" Target="https://www.countryforfuture.com/investicni-pobidky/" TargetMode="External"/><Relationship Id="rId27" Type="http://schemas.openxmlformats.org/officeDocument/2006/relationships/hyperlink" Target="https://www.countryforfuture.com/zivnostensky-balicek/" TargetMode="Externa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37EA-B986-40BA-AC63-D607CCB3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5646</Words>
  <Characters>33317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ŘÍZENÍ A KOORDINACE INOVAČNÍ STRATEGIE ČR 2019-2030</vt:lpstr>
    </vt:vector>
  </TitlesOfParts>
  <Manager/>
  <Company/>
  <LinksUpToDate>false</LinksUpToDate>
  <CharactersWithSpaces>38886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ŘÍZENÍ A KOORDINACE INOVAČNÍ STRATEGIE ČR 2019-2030</dc:title>
  <dc:subject/>
  <dc:creator/>
  <cp:keywords/>
  <dc:description/>
  <cp:lastModifiedBy/>
  <cp:revision>1</cp:revision>
  <dcterms:created xsi:type="dcterms:W3CDTF">2019-12-11T15:54:00Z</dcterms:created>
  <dcterms:modified xsi:type="dcterms:W3CDTF">2019-12-11T15:58:00Z</dcterms:modified>
  <cp:category/>
</cp:coreProperties>
</file>