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1037FB">
        <w:trPr>
          <w:trHeight w:val="1104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8F6698" w:rsidP="00667DC9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k </w:t>
            </w:r>
            <w:proofErr w:type="gram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ELI</w:t>
            </w:r>
            <w:proofErr w:type="gram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ERIC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8F669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F669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774961" w:rsidRDefault="00AD44DD" w:rsidP="00AD44DD">
            <w:pPr>
              <w:keepNext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 rámci jednání zástupců Rady pro výzkum, vývoj a inovace (dále „Rada“) se zástupci jednotlivých rozpočtových kapitol o jejich návrzích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období 2021+</w:t>
            </w:r>
            <w:r w:rsidR="00264819">
              <w:rPr>
                <w:rFonts w:ascii="Arial" w:hAnsi="Arial" w:cs="Arial"/>
                <w:sz w:val="22"/>
                <w:szCs w:val="22"/>
              </w:rPr>
              <w:t xml:space="preserve">, jejichž součástí bylo také projednání financování ELI </w:t>
            </w:r>
            <w:proofErr w:type="spellStart"/>
            <w:r w:rsidR="00264819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26481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podali zástupci AV ČR a MŠMT stručnou informaci o aktuálním stavu výzkumného centra ELI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o </w:t>
            </w:r>
            <w:r w:rsidR="00667DC9">
              <w:rPr>
                <w:rFonts w:ascii="Arial" w:hAnsi="Arial" w:cs="Arial"/>
                <w:sz w:val="22"/>
                <w:szCs w:val="22"/>
              </w:rPr>
              <w:t xml:space="preserve">nejnovějším vývoji v proceduře </w:t>
            </w:r>
            <w:r>
              <w:rPr>
                <w:rFonts w:ascii="Arial" w:hAnsi="Arial" w:cs="Arial"/>
                <w:sz w:val="22"/>
                <w:szCs w:val="22"/>
              </w:rPr>
              <w:t xml:space="preserve">ustavování právnické osoby ELI ERIC. </w:t>
            </w:r>
            <w:r w:rsidR="00B40C52">
              <w:rPr>
                <w:rFonts w:ascii="Arial" w:hAnsi="Arial" w:cs="Arial"/>
                <w:sz w:val="22"/>
                <w:szCs w:val="22"/>
              </w:rPr>
              <w:t>S ohledem na závažnost podané informace požádali z</w:t>
            </w:r>
            <w:r>
              <w:rPr>
                <w:rFonts w:ascii="Arial" w:hAnsi="Arial" w:cs="Arial"/>
                <w:sz w:val="22"/>
                <w:szCs w:val="22"/>
              </w:rPr>
              <w:t>ástupci Rady ob</w:t>
            </w:r>
            <w:r w:rsidR="00B40C52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poskytovatel</w:t>
            </w:r>
            <w:r w:rsidR="00B40C52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o vypracování informativního materiálu a jeho předložení na 35</w:t>
            </w:r>
            <w:r w:rsidR="00031410">
              <w:rPr>
                <w:rFonts w:ascii="Arial" w:hAnsi="Arial" w:cs="Arial"/>
                <w:sz w:val="22"/>
                <w:szCs w:val="22"/>
              </w:rPr>
              <w:t>4. zasedání Rady (viz přílohy).</w:t>
            </w:r>
          </w:p>
          <w:p w:rsidR="00C60922" w:rsidRDefault="00601900" w:rsidP="00AD44DD">
            <w:pPr>
              <w:keepNext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Centrum ELI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r. 2019 úspěšně realizovalo první otevřenou výzvu pro externí uživatele, probíhá testování a zprovozňování dalších výzkumných kapacit. Došlo nicméně k dalšímu zpoždění v založení právnické osoby ELI ERIC</w:t>
            </w:r>
            <w:r w:rsidR="00F279E1">
              <w:rPr>
                <w:rFonts w:ascii="Arial" w:hAnsi="Arial" w:cs="Arial"/>
                <w:sz w:val="22"/>
                <w:szCs w:val="22"/>
              </w:rPr>
              <w:t xml:space="preserve"> vlivem nedokončených jednání ohledně zapojení rumunského pilíře ELI NP a dalších partnerů, nebyla tak uzavřena konsorciální dohoda, ani smlouva s Evropskou komisí. Bylo dohodnuto, že statutární sídlo ELI ERIC bude natrvalo umístěno do ČR</w:t>
            </w:r>
            <w:r w:rsidR="003928BD">
              <w:rPr>
                <w:rFonts w:ascii="Arial" w:hAnsi="Arial" w:cs="Arial"/>
                <w:sz w:val="22"/>
                <w:szCs w:val="22"/>
              </w:rPr>
              <w:t xml:space="preserve"> (tím se ČR zavázala hradit příspěvek 2 mil. EUR ročně nad rámec rozpočtu ELI </w:t>
            </w:r>
            <w:proofErr w:type="spellStart"/>
            <w:r w:rsidR="003928BD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3928BD">
              <w:rPr>
                <w:rFonts w:ascii="Arial" w:hAnsi="Arial" w:cs="Arial"/>
                <w:sz w:val="22"/>
                <w:szCs w:val="22"/>
              </w:rPr>
              <w:t>).</w:t>
            </w:r>
            <w:r w:rsidR="00F279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8BD">
              <w:rPr>
                <w:rFonts w:ascii="Arial" w:hAnsi="Arial" w:cs="Arial"/>
                <w:sz w:val="22"/>
                <w:szCs w:val="22"/>
              </w:rPr>
              <w:t>Z</w:t>
            </w:r>
            <w:r w:rsidR="00F279E1">
              <w:rPr>
                <w:rFonts w:ascii="Arial" w:hAnsi="Arial" w:cs="Arial"/>
                <w:sz w:val="22"/>
                <w:szCs w:val="22"/>
              </w:rPr>
              <w:t xml:space="preserve">akládajícími státy se stanou ČR a Maďarsko (hostitelské státy pilířů ELI </w:t>
            </w:r>
            <w:proofErr w:type="spellStart"/>
            <w:r w:rsidR="00F279E1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F279E1">
              <w:rPr>
                <w:rFonts w:ascii="Arial" w:hAnsi="Arial" w:cs="Arial"/>
                <w:sz w:val="22"/>
                <w:szCs w:val="22"/>
              </w:rPr>
              <w:t xml:space="preserve"> a E</w:t>
            </w:r>
            <w:r w:rsidR="00164084">
              <w:rPr>
                <w:rFonts w:ascii="Arial" w:hAnsi="Arial" w:cs="Arial"/>
                <w:sz w:val="22"/>
                <w:szCs w:val="22"/>
              </w:rPr>
              <w:t>LI ALPS) a dále Itálie a Litva.</w:t>
            </w:r>
          </w:p>
          <w:p w:rsidR="00601900" w:rsidRDefault="00C23612" w:rsidP="00AD44DD">
            <w:pPr>
              <w:keepNext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MŠMT je připraveno předložit žádost o ustavení právnické osoby ELI ERIC - do konce února 2020 očekává vystavení 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“ od partnerských ministerstev v Maďarsku, Itálii </w:t>
            </w:r>
            <w:r w:rsidR="007B3545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a Litvě, načež bude možné oficiálně předložit tzv. „step 2“ aplikaci</w:t>
            </w:r>
            <w:r w:rsidR="00C60922">
              <w:rPr>
                <w:rFonts w:ascii="Arial" w:hAnsi="Arial" w:cs="Arial"/>
                <w:sz w:val="22"/>
                <w:szCs w:val="22"/>
              </w:rPr>
              <w:t xml:space="preserve"> o ustavení právnické osoby. V případě odpovídající součinnosti všech zúčastněných stran lze očekávat ustavení ELI ERIC do konce června 2020 a zahájení jeho reálného provozu od září 2020.</w:t>
            </w:r>
            <w:r w:rsidR="003928BD">
              <w:rPr>
                <w:rFonts w:ascii="Arial" w:hAnsi="Arial" w:cs="Arial"/>
                <w:sz w:val="22"/>
                <w:szCs w:val="22"/>
              </w:rPr>
              <w:t xml:space="preserve"> Prostřednictvím ELI ERIC tak s vysokou pravděpodobností nebude možné v průběhu prvních 9 měsíců r. 2020 zajistit provozní financování ELI </w:t>
            </w:r>
            <w:proofErr w:type="spellStart"/>
            <w:r w:rsidR="003928BD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3928B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A51A1" w:rsidRPr="00164084" w:rsidRDefault="002013F4" w:rsidP="00164084">
            <w:pPr>
              <w:keepNext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Zpoždění</w:t>
            </w:r>
            <w:r w:rsidR="00C60922">
              <w:rPr>
                <w:rFonts w:ascii="Arial" w:hAnsi="Arial" w:cs="Arial"/>
                <w:sz w:val="22"/>
                <w:szCs w:val="22"/>
              </w:rPr>
              <w:t xml:space="preserve"> v založení ELI ERIC </w:t>
            </w:r>
            <w:r>
              <w:rPr>
                <w:rFonts w:ascii="Arial" w:hAnsi="Arial" w:cs="Arial"/>
                <w:sz w:val="22"/>
                <w:szCs w:val="22"/>
              </w:rPr>
              <w:t>způsobilo</w:t>
            </w:r>
            <w:r w:rsidR="00C609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odklad při získávání finančních prostředků</w:t>
            </w:r>
            <w:r w:rsidR="00C60922">
              <w:rPr>
                <w:rFonts w:ascii="Arial" w:hAnsi="Arial" w:cs="Arial"/>
                <w:sz w:val="22"/>
                <w:szCs w:val="22"/>
              </w:rPr>
              <w:t xml:space="preserve"> z předpokládaných příspěvků členských států</w:t>
            </w:r>
            <w:r>
              <w:rPr>
                <w:rFonts w:ascii="Arial" w:hAnsi="Arial" w:cs="Arial"/>
                <w:sz w:val="22"/>
                <w:szCs w:val="22"/>
              </w:rPr>
              <w:t xml:space="preserve"> a způsobilo také nemožnost naplnění podmínek NPU II</w:t>
            </w:r>
            <w:r w:rsidR="003928BD">
              <w:rPr>
                <w:rFonts w:ascii="Arial" w:hAnsi="Arial" w:cs="Arial"/>
                <w:sz w:val="22"/>
                <w:szCs w:val="22"/>
              </w:rPr>
              <w:t xml:space="preserve"> na kofinancování výdajů ze zahraničních zdrojů</w:t>
            </w:r>
            <w:r>
              <w:rPr>
                <w:rFonts w:ascii="Arial" w:hAnsi="Arial" w:cs="Arial"/>
                <w:sz w:val="22"/>
                <w:szCs w:val="22"/>
              </w:rPr>
              <w:t xml:space="preserve">, čímž jsou pro r. 2020 výrazně negativně ovlivněny možnosti pro financování provozu ELI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Finanční dopady</w:t>
            </w:r>
            <w:r w:rsidR="00C60922">
              <w:rPr>
                <w:rFonts w:ascii="Arial" w:hAnsi="Arial" w:cs="Arial"/>
                <w:sz w:val="22"/>
                <w:szCs w:val="22"/>
              </w:rPr>
              <w:t xml:space="preserve"> jsou rozepsány v předloženém materiálu. MŠMT i AV ČR jsou připraveny </w:t>
            </w:r>
            <w:r w:rsidR="00164084">
              <w:rPr>
                <w:rFonts w:ascii="Arial" w:hAnsi="Arial" w:cs="Arial"/>
                <w:sz w:val="22"/>
                <w:szCs w:val="22"/>
              </w:rPr>
              <w:t>částečně pokrýt výpadek</w:t>
            </w:r>
            <w:r>
              <w:rPr>
                <w:rFonts w:ascii="Arial" w:hAnsi="Arial" w:cs="Arial"/>
                <w:sz w:val="22"/>
                <w:szCs w:val="22"/>
              </w:rPr>
              <w:t xml:space="preserve"> ve financování</w:t>
            </w:r>
            <w:r w:rsidR="00B40C52">
              <w:rPr>
                <w:rFonts w:ascii="Arial" w:hAnsi="Arial" w:cs="Arial"/>
                <w:sz w:val="22"/>
                <w:szCs w:val="22"/>
              </w:rPr>
              <w:t xml:space="preserve"> (v případě MŠMT z nároků z nespotřebovaných výdajů</w:t>
            </w:r>
            <w:r w:rsidR="007B3545">
              <w:rPr>
                <w:rFonts w:ascii="Arial" w:hAnsi="Arial" w:cs="Arial"/>
                <w:sz w:val="22"/>
                <w:szCs w:val="22"/>
              </w:rPr>
              <w:t>, v případě AV ČR ze schváleného rozpočtu</w:t>
            </w:r>
            <w:r w:rsidR="00B40C52">
              <w:rPr>
                <w:rFonts w:ascii="Arial" w:hAnsi="Arial" w:cs="Arial"/>
                <w:sz w:val="22"/>
                <w:szCs w:val="22"/>
              </w:rPr>
              <w:t>)</w:t>
            </w:r>
            <w:r w:rsidR="0016408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A2327" w:rsidRPr="00201EA8" w:rsidRDefault="006A2327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037FB" w:rsidRPr="002A238D" w:rsidRDefault="008F6698" w:rsidP="008F2AFF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 o aktuálním stavu výzkumného centra ELI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</w:p>
          <w:p w:rsidR="00774961" w:rsidRPr="008F6698" w:rsidRDefault="008F6698" w:rsidP="008F6698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Extreme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Consortium</w:t>
            </w:r>
            <w:proofErr w:type="spellEnd"/>
          </w:p>
          <w:p w:rsidR="008F6698" w:rsidRPr="008F6698" w:rsidRDefault="008F6698" w:rsidP="008F6698">
            <w:pPr>
              <w:spacing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Pr="00164084" w:rsidRDefault="00880A98" w:rsidP="008F77F6">
      <w:pPr>
        <w:rPr>
          <w:sz w:val="6"/>
          <w:szCs w:val="6"/>
        </w:rPr>
      </w:pPr>
      <w:bookmarkStart w:id="0" w:name="_GoBack"/>
      <w:bookmarkEnd w:id="0"/>
    </w:p>
    <w:sectPr w:rsidR="00F86D54" w:rsidRPr="0016408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98" w:rsidRDefault="00880A98" w:rsidP="008F77F6">
      <w:r>
        <w:separator/>
      </w:r>
    </w:p>
  </w:endnote>
  <w:endnote w:type="continuationSeparator" w:id="0">
    <w:p w:rsidR="00880A98" w:rsidRDefault="00880A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98" w:rsidRDefault="00880A98" w:rsidP="008F77F6">
      <w:r>
        <w:separator/>
      </w:r>
    </w:p>
  </w:footnote>
  <w:footnote w:type="continuationSeparator" w:id="0">
    <w:p w:rsidR="00880A98" w:rsidRDefault="00880A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9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0"/>
  </w:num>
  <w:num w:numId="27">
    <w:abstractNumId w:val="1"/>
  </w:num>
  <w:num w:numId="28">
    <w:abstractNumId w:val="2"/>
  </w:num>
  <w:num w:numId="29">
    <w:abstractNumId w:val="3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31410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037FB"/>
    <w:rsid w:val="00113915"/>
    <w:rsid w:val="00115DD5"/>
    <w:rsid w:val="00121AF3"/>
    <w:rsid w:val="00127410"/>
    <w:rsid w:val="00141492"/>
    <w:rsid w:val="001522BB"/>
    <w:rsid w:val="00154AA2"/>
    <w:rsid w:val="00164084"/>
    <w:rsid w:val="0017784E"/>
    <w:rsid w:val="001829AF"/>
    <w:rsid w:val="001A1063"/>
    <w:rsid w:val="001C7882"/>
    <w:rsid w:val="001D15F9"/>
    <w:rsid w:val="001D6DAE"/>
    <w:rsid w:val="001D7437"/>
    <w:rsid w:val="001E6E69"/>
    <w:rsid w:val="001E7EAC"/>
    <w:rsid w:val="001F34CA"/>
    <w:rsid w:val="002013F4"/>
    <w:rsid w:val="00201EA8"/>
    <w:rsid w:val="00206877"/>
    <w:rsid w:val="0021423F"/>
    <w:rsid w:val="00237006"/>
    <w:rsid w:val="00246F78"/>
    <w:rsid w:val="00251913"/>
    <w:rsid w:val="00254A52"/>
    <w:rsid w:val="00260C0F"/>
    <w:rsid w:val="00264819"/>
    <w:rsid w:val="002722AF"/>
    <w:rsid w:val="002728BB"/>
    <w:rsid w:val="0027442F"/>
    <w:rsid w:val="00275958"/>
    <w:rsid w:val="002A0B0E"/>
    <w:rsid w:val="002A18DA"/>
    <w:rsid w:val="002A238D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928BD"/>
    <w:rsid w:val="003B1822"/>
    <w:rsid w:val="003C0F31"/>
    <w:rsid w:val="003C1580"/>
    <w:rsid w:val="003C6480"/>
    <w:rsid w:val="003D19B3"/>
    <w:rsid w:val="003D40C2"/>
    <w:rsid w:val="003E51D9"/>
    <w:rsid w:val="003E7039"/>
    <w:rsid w:val="00404D23"/>
    <w:rsid w:val="004061F6"/>
    <w:rsid w:val="004064D0"/>
    <w:rsid w:val="00417BC0"/>
    <w:rsid w:val="00432005"/>
    <w:rsid w:val="004520C4"/>
    <w:rsid w:val="00453622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B1A8F"/>
    <w:rsid w:val="005E4326"/>
    <w:rsid w:val="005E68D4"/>
    <w:rsid w:val="005E69C3"/>
    <w:rsid w:val="005F3CA4"/>
    <w:rsid w:val="005F4CC0"/>
    <w:rsid w:val="005F5FEE"/>
    <w:rsid w:val="006006CA"/>
    <w:rsid w:val="00601900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67DC9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36E52"/>
    <w:rsid w:val="00746D9F"/>
    <w:rsid w:val="00754FD6"/>
    <w:rsid w:val="007621DC"/>
    <w:rsid w:val="00762A4B"/>
    <w:rsid w:val="007633F1"/>
    <w:rsid w:val="00763A51"/>
    <w:rsid w:val="00763D84"/>
    <w:rsid w:val="00774961"/>
    <w:rsid w:val="007A51A1"/>
    <w:rsid w:val="007A6307"/>
    <w:rsid w:val="007B3545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0A98"/>
    <w:rsid w:val="00883CF4"/>
    <w:rsid w:val="008A6A8F"/>
    <w:rsid w:val="008B7337"/>
    <w:rsid w:val="008C4325"/>
    <w:rsid w:val="008C7F2E"/>
    <w:rsid w:val="008F2AFF"/>
    <w:rsid w:val="008F3497"/>
    <w:rsid w:val="008F35D6"/>
    <w:rsid w:val="008F5980"/>
    <w:rsid w:val="008F6698"/>
    <w:rsid w:val="008F77F6"/>
    <w:rsid w:val="00900D95"/>
    <w:rsid w:val="009227E4"/>
    <w:rsid w:val="00925EA0"/>
    <w:rsid w:val="00942A5D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67A"/>
    <w:rsid w:val="00A15DE9"/>
    <w:rsid w:val="00A21F6C"/>
    <w:rsid w:val="00A259DA"/>
    <w:rsid w:val="00A2639F"/>
    <w:rsid w:val="00A346DA"/>
    <w:rsid w:val="00A4086D"/>
    <w:rsid w:val="00A41366"/>
    <w:rsid w:val="00A510E8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44DD"/>
    <w:rsid w:val="00AD58A8"/>
    <w:rsid w:val="00AD65CB"/>
    <w:rsid w:val="00AE7D40"/>
    <w:rsid w:val="00AE7F44"/>
    <w:rsid w:val="00AF4FCB"/>
    <w:rsid w:val="00B1333B"/>
    <w:rsid w:val="00B1666D"/>
    <w:rsid w:val="00B2119B"/>
    <w:rsid w:val="00B21855"/>
    <w:rsid w:val="00B25016"/>
    <w:rsid w:val="00B326DE"/>
    <w:rsid w:val="00B32EB6"/>
    <w:rsid w:val="00B40C52"/>
    <w:rsid w:val="00B437E0"/>
    <w:rsid w:val="00B476E7"/>
    <w:rsid w:val="00B52606"/>
    <w:rsid w:val="00B5671B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23612"/>
    <w:rsid w:val="00C4228E"/>
    <w:rsid w:val="00C51585"/>
    <w:rsid w:val="00C51BF6"/>
    <w:rsid w:val="00C577F5"/>
    <w:rsid w:val="00C60922"/>
    <w:rsid w:val="00C656C4"/>
    <w:rsid w:val="00C70BB9"/>
    <w:rsid w:val="00C76EEC"/>
    <w:rsid w:val="00C81447"/>
    <w:rsid w:val="00CC13FC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2D50"/>
    <w:rsid w:val="00E5546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279E1"/>
    <w:rsid w:val="00F3227C"/>
    <w:rsid w:val="00F36FE0"/>
    <w:rsid w:val="00F43A4C"/>
    <w:rsid w:val="00F52322"/>
    <w:rsid w:val="00F5508B"/>
    <w:rsid w:val="00F607E2"/>
    <w:rsid w:val="00F76232"/>
    <w:rsid w:val="00F81A4E"/>
    <w:rsid w:val="00F81B53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3B8D"/>
    <w:rsid w:val="00FF60E4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FB716-4D5A-4B64-80CE-5426207A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13</cp:revision>
  <cp:lastPrinted>2020-02-19T09:49:00Z</cp:lastPrinted>
  <dcterms:created xsi:type="dcterms:W3CDTF">2020-02-18T13:22:00Z</dcterms:created>
  <dcterms:modified xsi:type="dcterms:W3CDTF">2020-03-04T07:42:00Z</dcterms:modified>
</cp:coreProperties>
</file>