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27"/>
        <w:gridCol w:w="5680"/>
        <w:gridCol w:w="7707"/>
      </w:tblGrid>
      <w:tr w:rsidR="001B0930" w:rsidRPr="002437E2" w14:paraId="02ED8588" w14:textId="77777777" w:rsidTr="001B0930">
        <w:trPr>
          <w:trHeight w:val="567"/>
          <w:tblHeader/>
        </w:trPr>
        <w:tc>
          <w:tcPr>
            <w:tcW w:w="713" w:type="pct"/>
            <w:shd w:val="clear" w:color="auto" w:fill="D9D9D9" w:themeFill="background1" w:themeFillShade="D9"/>
            <w:vAlign w:val="center"/>
          </w:tcPr>
          <w:p w14:paraId="2A90E1E0" w14:textId="77777777" w:rsidR="00FF050E" w:rsidRPr="004009EC" w:rsidRDefault="00FF050E" w:rsidP="002437E2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4009EC">
              <w:rPr>
                <w:rFonts w:ascii="Arial" w:hAnsi="Arial" w:cs="Arial"/>
                <w:b/>
                <w:highlight w:val="yellow"/>
              </w:rPr>
              <w:t>Centrum</w:t>
            </w:r>
          </w:p>
        </w:tc>
        <w:tc>
          <w:tcPr>
            <w:tcW w:w="1819" w:type="pct"/>
            <w:shd w:val="clear" w:color="auto" w:fill="D9D9D9" w:themeFill="background1" w:themeFillShade="D9"/>
            <w:vAlign w:val="center"/>
          </w:tcPr>
          <w:p w14:paraId="13362944" w14:textId="77777777" w:rsidR="00FF050E" w:rsidRPr="002437E2" w:rsidRDefault="00FF050E" w:rsidP="002437E2">
            <w:pPr>
              <w:jc w:val="center"/>
              <w:rPr>
                <w:rFonts w:ascii="Arial" w:hAnsi="Arial" w:cs="Arial"/>
                <w:b/>
              </w:rPr>
            </w:pPr>
            <w:r w:rsidRPr="002437E2">
              <w:rPr>
                <w:rFonts w:ascii="Arial" w:hAnsi="Arial" w:cs="Arial"/>
                <w:b/>
              </w:rPr>
              <w:t>Struktura</w:t>
            </w:r>
          </w:p>
        </w:tc>
        <w:tc>
          <w:tcPr>
            <w:tcW w:w="2468" w:type="pct"/>
            <w:shd w:val="clear" w:color="auto" w:fill="D9D9D9" w:themeFill="background1" w:themeFillShade="D9"/>
            <w:vAlign w:val="center"/>
          </w:tcPr>
          <w:p w14:paraId="1FD9D5D8" w14:textId="77777777" w:rsidR="00FF050E" w:rsidRPr="002437E2" w:rsidRDefault="00FF050E" w:rsidP="002437E2">
            <w:pPr>
              <w:jc w:val="center"/>
              <w:rPr>
                <w:rFonts w:ascii="Arial" w:hAnsi="Arial" w:cs="Arial"/>
                <w:b/>
              </w:rPr>
            </w:pPr>
            <w:r w:rsidRPr="002437E2">
              <w:rPr>
                <w:rFonts w:ascii="Arial" w:hAnsi="Arial" w:cs="Arial"/>
                <w:b/>
              </w:rPr>
              <w:t>Klíčový dopad</w:t>
            </w:r>
          </w:p>
        </w:tc>
      </w:tr>
      <w:tr w:rsidR="001B0930" w:rsidRPr="002437E2" w14:paraId="0176F2B3" w14:textId="77777777" w:rsidTr="001B0930">
        <w:tc>
          <w:tcPr>
            <w:tcW w:w="713" w:type="pct"/>
            <w:vAlign w:val="center"/>
          </w:tcPr>
          <w:p w14:paraId="6D285F83" w14:textId="77777777" w:rsidR="00FF050E" w:rsidRPr="004009EC" w:rsidRDefault="00FF050E" w:rsidP="002437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4009EC"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  <w:t>BIOCEV</w:t>
            </w:r>
          </w:p>
        </w:tc>
        <w:tc>
          <w:tcPr>
            <w:tcW w:w="1819" w:type="pct"/>
            <w:vAlign w:val="center"/>
          </w:tcPr>
          <w:p w14:paraId="40E50BC5" w14:textId="77777777" w:rsidR="009946F4" w:rsidRDefault="00FF050E" w:rsidP="00BC1562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Biotechnologické a bi</w:t>
            </w:r>
            <w:r w:rsidR="009946F4">
              <w:rPr>
                <w:rFonts w:ascii="Arial" w:hAnsi="Arial" w:cs="Arial"/>
                <w:color w:val="000000"/>
              </w:rPr>
              <w:t xml:space="preserve">omedicínské centrum </w:t>
            </w:r>
            <w:r w:rsidR="00980B61" w:rsidRPr="002437E2">
              <w:rPr>
                <w:rFonts w:ascii="Arial" w:hAnsi="Arial" w:cs="Arial"/>
                <w:bCs/>
                <w:color w:val="000000"/>
              </w:rPr>
              <w:t>Akademie věd</w:t>
            </w:r>
            <w:r w:rsidR="00980B61">
              <w:rPr>
                <w:rFonts w:ascii="Arial" w:hAnsi="Arial" w:cs="Arial"/>
                <w:bCs/>
                <w:color w:val="000000"/>
              </w:rPr>
              <w:t xml:space="preserve"> ČR</w:t>
            </w:r>
            <w:r w:rsidR="00980B61" w:rsidRPr="002437E2">
              <w:rPr>
                <w:rFonts w:ascii="Arial" w:hAnsi="Arial" w:cs="Arial"/>
                <w:bCs/>
                <w:color w:val="000000"/>
              </w:rPr>
              <w:t xml:space="preserve"> a Univerzity Karlovy</w:t>
            </w:r>
            <w:r w:rsidR="009946F4">
              <w:rPr>
                <w:rFonts w:ascii="Arial" w:hAnsi="Arial" w:cs="Arial"/>
                <w:color w:val="000000"/>
              </w:rPr>
              <w:t>.</w:t>
            </w:r>
          </w:p>
          <w:p w14:paraId="2E01539E" w14:textId="4CBE3295" w:rsidR="009946F4" w:rsidRDefault="00FF050E" w:rsidP="00BC1562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Společné pracoviště 7 p</w:t>
            </w:r>
            <w:r w:rsidR="00A260F3">
              <w:rPr>
                <w:rFonts w:ascii="Arial" w:hAnsi="Arial" w:cs="Arial"/>
                <w:color w:val="000000"/>
              </w:rPr>
              <w:t>artnerských institucí fungující</w:t>
            </w:r>
            <w:r w:rsidRPr="002437E2">
              <w:rPr>
                <w:rFonts w:ascii="Arial" w:hAnsi="Arial" w:cs="Arial"/>
                <w:color w:val="000000"/>
              </w:rPr>
              <w:t xml:space="preserve"> na základě Pa</w:t>
            </w:r>
            <w:r w:rsidR="009946F4">
              <w:rPr>
                <w:rFonts w:ascii="Arial" w:hAnsi="Arial" w:cs="Arial"/>
                <w:color w:val="000000"/>
              </w:rPr>
              <w:t>rtnerské smlouvy z 11. 7. 2012.</w:t>
            </w:r>
          </w:p>
          <w:p w14:paraId="03F1A014" w14:textId="77777777" w:rsidR="00FF050E" w:rsidRPr="002437E2" w:rsidRDefault="00FF050E" w:rsidP="00BC1562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Nejvyšším řídícím orgánem je Rada projektu BIOCEV.</w:t>
            </w:r>
          </w:p>
        </w:tc>
        <w:tc>
          <w:tcPr>
            <w:tcW w:w="2468" w:type="pct"/>
            <w:vAlign w:val="center"/>
          </w:tcPr>
          <w:p w14:paraId="6796E446" w14:textId="77777777" w:rsidR="00BC1562" w:rsidRPr="002437E2" w:rsidRDefault="00BC1562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bCs/>
                <w:color w:val="000000"/>
              </w:rPr>
              <w:t>BIOCEV integruje své výzkumné projekty a vytváří interdisciplinární přístupy, zintenzivňuje spolupráce mezi pracovišti Akademie věd</w:t>
            </w:r>
            <w:r>
              <w:rPr>
                <w:rFonts w:ascii="Arial" w:hAnsi="Arial" w:cs="Arial"/>
                <w:bCs/>
                <w:color w:val="000000"/>
              </w:rPr>
              <w:t xml:space="preserve"> ČR</w:t>
            </w:r>
            <w:r w:rsidRPr="002437E2">
              <w:rPr>
                <w:rFonts w:ascii="Arial" w:hAnsi="Arial" w:cs="Arial"/>
                <w:bCs/>
                <w:color w:val="000000"/>
              </w:rPr>
              <w:t xml:space="preserve"> a Univerzity Karlovy</w:t>
            </w:r>
            <w:r>
              <w:rPr>
                <w:rFonts w:ascii="Arial" w:hAnsi="Arial" w:cs="Arial"/>
                <w:color w:val="000000"/>
              </w:rPr>
              <w:t xml:space="preserve">. Dále </w:t>
            </w:r>
            <w:r w:rsidRPr="002437E2">
              <w:rPr>
                <w:rFonts w:ascii="Arial" w:hAnsi="Arial" w:cs="Arial"/>
                <w:color w:val="000000"/>
              </w:rPr>
              <w:t xml:space="preserve">vytváří podmínky pro zakládání nových </w:t>
            </w:r>
            <w:r>
              <w:rPr>
                <w:rFonts w:ascii="Arial" w:hAnsi="Arial" w:cs="Arial"/>
                <w:color w:val="000000"/>
              </w:rPr>
              <w:t xml:space="preserve">výzkumných </w:t>
            </w:r>
            <w:r w:rsidRPr="002437E2">
              <w:rPr>
                <w:rFonts w:ascii="Arial" w:hAnsi="Arial" w:cs="Arial"/>
                <w:color w:val="000000"/>
              </w:rPr>
              <w:t>skupin</w:t>
            </w:r>
            <w:r>
              <w:rPr>
                <w:rFonts w:ascii="Arial" w:hAnsi="Arial" w:cs="Arial"/>
                <w:color w:val="000000"/>
              </w:rPr>
              <w:t xml:space="preserve"> (týmů)</w:t>
            </w:r>
            <w:r w:rsidRPr="002437E2">
              <w:rPr>
                <w:rFonts w:ascii="Arial" w:hAnsi="Arial" w:cs="Arial"/>
                <w:color w:val="000000"/>
              </w:rPr>
              <w:t xml:space="preserve"> a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2437E2">
              <w:rPr>
                <w:rFonts w:ascii="Arial" w:hAnsi="Arial" w:cs="Arial"/>
                <w:bCs/>
                <w:color w:val="000000"/>
              </w:rPr>
              <w:t xml:space="preserve">podporuje internacionalizaci </w:t>
            </w:r>
            <w:r w:rsidRPr="002437E2">
              <w:rPr>
                <w:rFonts w:ascii="Arial" w:hAnsi="Arial" w:cs="Arial"/>
                <w:color w:val="000000"/>
              </w:rPr>
              <w:t>vědeckého prostředí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22C0366F" w14:textId="77777777" w:rsidR="00980B61" w:rsidRDefault="00BC1562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Doposud </w:t>
            </w:r>
            <w:r w:rsidR="00980B61">
              <w:rPr>
                <w:rFonts w:ascii="Arial" w:hAnsi="Arial" w:cs="Arial"/>
                <w:color w:val="000000"/>
              </w:rPr>
              <w:t>p</w:t>
            </w:r>
            <w:r w:rsidR="00FF050E" w:rsidRPr="002437E2">
              <w:rPr>
                <w:rFonts w:ascii="Arial" w:hAnsi="Arial" w:cs="Arial"/>
                <w:color w:val="000000"/>
              </w:rPr>
              <w:t>ublikováno 841 věd</w:t>
            </w:r>
            <w:r w:rsidR="00980B61">
              <w:rPr>
                <w:rFonts w:ascii="Arial" w:hAnsi="Arial" w:cs="Arial"/>
                <w:color w:val="000000"/>
              </w:rPr>
              <w:t>eckých prací s dedikací BIOCEV,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FF050E" w:rsidRPr="002437E2">
              <w:rPr>
                <w:rFonts w:ascii="Arial" w:hAnsi="Arial" w:cs="Arial"/>
                <w:color w:val="000000"/>
              </w:rPr>
              <w:t>řešeno 176</w:t>
            </w:r>
            <w:r w:rsidR="00980B61">
              <w:rPr>
                <w:rFonts w:ascii="Arial" w:hAnsi="Arial" w:cs="Arial"/>
                <w:color w:val="000000"/>
              </w:rPr>
              <w:t xml:space="preserve"> účelově poskytnutých projektů z toho:</w:t>
            </w:r>
          </w:p>
          <w:p w14:paraId="42F51478" w14:textId="77777777" w:rsidR="00FF050E" w:rsidRPr="002437E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437E2">
              <w:rPr>
                <w:rFonts w:ascii="Arial" w:hAnsi="Arial" w:cs="Arial"/>
                <w:color w:val="000000"/>
              </w:rPr>
              <w:t>9 mezinárodních;  17 výsledků výzkumu chráněných dle zvláštního předpisu a 18 dalších aplikovaných výsledků výzkumu.</w:t>
            </w:r>
          </w:p>
          <w:p w14:paraId="4F1F18C2" w14:textId="77777777" w:rsidR="00FF050E" w:rsidRPr="002437E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437E2">
              <w:rPr>
                <w:rFonts w:ascii="Arial" w:hAnsi="Arial" w:cs="Arial"/>
              </w:rPr>
              <w:t xml:space="preserve">Přenos výsledků základního výzkumu do praxe je </w:t>
            </w:r>
            <w:r w:rsidR="00980B61">
              <w:rPr>
                <w:rFonts w:ascii="Arial" w:hAnsi="Arial" w:cs="Arial"/>
              </w:rPr>
              <w:t>jedním z</w:t>
            </w:r>
            <w:r w:rsidR="00BC1562">
              <w:rPr>
                <w:rFonts w:ascii="Arial" w:hAnsi="Arial" w:cs="Arial"/>
              </w:rPr>
              <w:t> </w:t>
            </w:r>
            <w:r w:rsidR="00980B61">
              <w:rPr>
                <w:rFonts w:ascii="Arial" w:hAnsi="Arial" w:cs="Arial"/>
              </w:rPr>
              <w:t>pilířů projektu BIOCEV</w:t>
            </w:r>
            <w:r w:rsidRPr="002437E2">
              <w:rPr>
                <w:rFonts w:ascii="Arial" w:hAnsi="Arial" w:cs="Arial"/>
              </w:rPr>
              <w:t>.</w:t>
            </w:r>
          </w:p>
          <w:p w14:paraId="7705AA28" w14:textId="77777777" w:rsidR="00FF050E" w:rsidRPr="002437E2" w:rsidRDefault="00FF050E" w:rsidP="00BC156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37E2">
              <w:rPr>
                <w:rFonts w:ascii="Arial" w:hAnsi="Arial" w:cs="Arial"/>
                <w:sz w:val="22"/>
                <w:szCs w:val="22"/>
              </w:rPr>
              <w:t>Důležitou kapitolou jsou Velké výzkumné infastruktury které jsou velmi aktivní v budování technologických platforem. Výzkumně</w:t>
            </w:r>
            <w:r w:rsidR="002437E2">
              <w:rPr>
                <w:rFonts w:ascii="Arial" w:hAnsi="Arial" w:cs="Arial"/>
                <w:sz w:val="22"/>
                <w:szCs w:val="22"/>
              </w:rPr>
              <w:t xml:space="preserve">-infrastrukturní „hub“ </w:t>
            </w:r>
            <w:proofErr w:type="spellStart"/>
            <w:r w:rsidR="002437E2">
              <w:rPr>
                <w:rFonts w:ascii="Arial" w:hAnsi="Arial" w:cs="Arial"/>
                <w:sz w:val="22"/>
                <w:szCs w:val="22"/>
              </w:rPr>
              <w:t>BIOCEVu</w:t>
            </w:r>
            <w:proofErr w:type="spellEnd"/>
            <w:r w:rsidR="002437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37E2">
              <w:rPr>
                <w:rFonts w:ascii="Arial" w:hAnsi="Arial" w:cs="Arial"/>
                <w:sz w:val="22"/>
                <w:szCs w:val="22"/>
              </w:rPr>
              <w:t>má k dispozici 3 robustní technologické platformy, které jsou napojeny na mezinárodní komunitu prostřednictvím pan-evropských ESFRI infrastruktur.</w:t>
            </w:r>
          </w:p>
          <w:p w14:paraId="2F5DBF03" w14:textId="77777777" w:rsidR="00FF050E" w:rsidRPr="002437E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Projekt BIOCEV vykazuje od roku 2015 značnou podporu aplikační sféry.</w:t>
            </w:r>
          </w:p>
          <w:p w14:paraId="3A75A0F2" w14:textId="77777777" w:rsidR="00FF050E" w:rsidRPr="002437E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BIOCEV a jeho aktivity významně slouží i k rozvoji regionu Středočeského kraje (budování infrastruktury obce Vestec, tvorba regionálního vědecko-technického klastru „STAR“, rozvoj regionálního inovačního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eko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>-systému a</w:t>
            </w:r>
            <w:r w:rsidR="00BC1562">
              <w:rPr>
                <w:rFonts w:ascii="Arial" w:hAnsi="Arial" w:cs="Arial"/>
                <w:color w:val="000000"/>
              </w:rPr>
              <w:t> </w:t>
            </w:r>
            <w:r w:rsidRPr="002437E2">
              <w:rPr>
                <w:rFonts w:ascii="Arial" w:hAnsi="Arial" w:cs="Arial"/>
                <w:color w:val="000000"/>
              </w:rPr>
              <w:t>konkurenceschopnosti, přispívá ke zvýšení zaměstnanosti Středočeského regionu.)</w:t>
            </w:r>
          </w:p>
          <w:p w14:paraId="60ADAA9B" w14:textId="56F2CF6E" w:rsidR="00FF050E" w:rsidRPr="002437E2" w:rsidRDefault="0060729C" w:rsidP="003D5C0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37E2">
              <w:rPr>
                <w:rFonts w:ascii="Arial" w:hAnsi="Arial" w:cs="Arial"/>
                <w:b/>
                <w:i/>
                <w:sz w:val="22"/>
                <w:szCs w:val="22"/>
              </w:rPr>
              <w:t>(kompletní informace viz materiál AV ČR Informace o</w:t>
            </w:r>
            <w:r w:rsidR="00BC1562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Pr="002437E2">
              <w:rPr>
                <w:rFonts w:ascii="Arial" w:hAnsi="Arial" w:cs="Arial"/>
                <w:b/>
                <w:i/>
                <w:sz w:val="22"/>
                <w:szCs w:val="22"/>
              </w:rPr>
              <w:t>výzkumném Č. j.: ÚMG/OFFICE/2020/248</w:t>
            </w:r>
            <w:r w:rsidR="001B0930" w:rsidRPr="001B0930">
              <w:rPr>
                <w:rFonts w:ascii="Arial" w:hAnsi="Arial" w:cs="Arial"/>
                <w:b/>
                <w:i/>
                <w:sz w:val="22"/>
                <w:szCs w:val="22"/>
              </w:rPr>
              <w:t>; viz</w:t>
            </w:r>
            <w:r w:rsidRPr="002437E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str. </w:t>
            </w:r>
            <w:r w:rsidR="002437E2">
              <w:rPr>
                <w:rFonts w:ascii="Arial" w:hAnsi="Arial" w:cs="Arial"/>
                <w:b/>
                <w:i/>
                <w:sz w:val="22"/>
                <w:szCs w:val="22"/>
              </w:rPr>
              <w:t>1–</w:t>
            </w:r>
            <w:r w:rsidRPr="002437E2">
              <w:rPr>
                <w:rFonts w:ascii="Arial" w:hAnsi="Arial" w:cs="Arial"/>
                <w:b/>
                <w:i/>
                <w:sz w:val="22"/>
                <w:szCs w:val="22"/>
              </w:rPr>
              <w:t>7)</w:t>
            </w:r>
          </w:p>
        </w:tc>
      </w:tr>
      <w:tr w:rsidR="001B0930" w:rsidRPr="002437E2" w14:paraId="4803E2DE" w14:textId="77777777" w:rsidTr="001B0930">
        <w:tc>
          <w:tcPr>
            <w:tcW w:w="713" w:type="pct"/>
            <w:vAlign w:val="center"/>
          </w:tcPr>
          <w:p w14:paraId="4B497034" w14:textId="77777777" w:rsidR="00FF050E" w:rsidRPr="004009EC" w:rsidRDefault="00FF050E" w:rsidP="0099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4009EC"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  <w:t>CEITEC</w:t>
            </w:r>
          </w:p>
        </w:tc>
        <w:tc>
          <w:tcPr>
            <w:tcW w:w="1819" w:type="pct"/>
          </w:tcPr>
          <w:p w14:paraId="5B62570D" w14:textId="77777777" w:rsidR="00FF050E" w:rsidRPr="002437E2" w:rsidRDefault="00FF050E" w:rsidP="00BC1562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Zřízen na základě partnerské smlouvy</w:t>
            </w:r>
            <w:r w:rsidR="004049A4">
              <w:rPr>
                <w:rFonts w:ascii="Arial" w:hAnsi="Arial" w:cs="Arial"/>
                <w:color w:val="000000"/>
              </w:rPr>
              <w:t xml:space="preserve">. </w:t>
            </w:r>
            <w:r w:rsidRPr="002437E2">
              <w:rPr>
                <w:rFonts w:ascii="Arial" w:hAnsi="Arial" w:cs="Arial"/>
                <w:color w:val="000000"/>
              </w:rPr>
              <w:t>Nejvyšším orgánem CEITEC je Koordinační rada složená ze statutárních orgánů jedno</w:t>
            </w:r>
            <w:r w:rsidR="004049A4">
              <w:rPr>
                <w:rFonts w:ascii="Arial" w:hAnsi="Arial" w:cs="Arial"/>
                <w:color w:val="000000"/>
              </w:rPr>
              <w:t>tlivých partnerských institucí.</w:t>
            </w:r>
          </w:p>
          <w:p w14:paraId="66B2830F" w14:textId="77777777" w:rsidR="00FF050E" w:rsidRPr="002437E2" w:rsidRDefault="00FF050E" w:rsidP="00BC1562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Struktura konsorcia bez právní subjektivity. Nejvyšším vědeckým orgánem centra je Mezinárodní vědecká rada CEITEC je postaven na vzájemné synergii sedmi výzkumných oblastí, hlavním integrujícím prvkem centra jsou sdílené laboratoře. Z důvodu maximalizace spolupráce jsou soustředěny pouze do dvou lokalit - kampusu Masarykovy univerzity v Brně – Bohunicích (orientující se na přírodní vědy a medicínu) a kampusu Vysokého učení technického Pod Palackého vrchem v Brně – Králově Poli (centrum pro materiálové vědy a pokročilé technologie).</w:t>
            </w:r>
          </w:p>
        </w:tc>
        <w:tc>
          <w:tcPr>
            <w:tcW w:w="2468" w:type="pct"/>
            <w:vAlign w:val="center"/>
          </w:tcPr>
          <w:p w14:paraId="695AC185" w14:textId="77777777" w:rsidR="00FF050E" w:rsidRDefault="00BC1562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Misí</w:t>
            </w:r>
            <w:r w:rsidR="00FF050E" w:rsidRPr="002437E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F050E" w:rsidRPr="002437E2">
              <w:rPr>
                <w:rFonts w:ascii="Arial" w:hAnsi="Arial" w:cs="Arial"/>
                <w:color w:val="000000"/>
              </w:rPr>
              <w:t>CEITECu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je: </w:t>
            </w:r>
            <w:r w:rsidR="00FF050E" w:rsidRPr="002437E2">
              <w:rPr>
                <w:rFonts w:ascii="Arial" w:hAnsi="Arial" w:cs="Arial"/>
                <w:color w:val="000000"/>
              </w:rPr>
              <w:t>vybudování prestižního</w:t>
            </w:r>
            <w:r>
              <w:rPr>
                <w:rFonts w:ascii="Arial" w:hAnsi="Arial" w:cs="Arial"/>
                <w:color w:val="000000"/>
              </w:rPr>
              <w:t xml:space="preserve"> mezinárodního vědeckého centra a</w:t>
            </w:r>
            <w:r w:rsidR="00FF050E" w:rsidRPr="002437E2">
              <w:rPr>
                <w:rFonts w:ascii="Arial" w:hAnsi="Arial" w:cs="Arial"/>
                <w:color w:val="000000"/>
              </w:rPr>
              <w:t xml:space="preserve"> podílet se na zlepšení kvality života a</w:t>
            </w:r>
            <w:r>
              <w:rPr>
                <w:rFonts w:ascii="Arial" w:hAnsi="Arial" w:cs="Arial"/>
                <w:color w:val="000000"/>
              </w:rPr>
              <w:t> </w:t>
            </w:r>
            <w:r w:rsidR="00FF050E" w:rsidRPr="002437E2">
              <w:rPr>
                <w:rFonts w:ascii="Arial" w:hAnsi="Arial" w:cs="Arial"/>
                <w:color w:val="000000"/>
              </w:rPr>
              <w:t>zdraví lidí. Mise je naplňována zejména znalostními a</w:t>
            </w:r>
            <w:r>
              <w:rPr>
                <w:rFonts w:ascii="Arial" w:hAnsi="Arial" w:cs="Arial"/>
                <w:color w:val="000000"/>
              </w:rPr>
              <w:t> </w:t>
            </w:r>
            <w:r w:rsidR="00FF050E" w:rsidRPr="002437E2">
              <w:rPr>
                <w:rFonts w:ascii="Arial" w:hAnsi="Arial" w:cs="Arial"/>
                <w:color w:val="000000"/>
              </w:rPr>
              <w:t>inovačními výstupy výzkumu. Výzkumné týmy pravidelně řeší projekty aplikovaného výzkumu.</w:t>
            </w:r>
          </w:p>
          <w:p w14:paraId="59BEFACF" w14:textId="77777777" w:rsidR="00BC1562" w:rsidRPr="002437E2" w:rsidRDefault="00BC1562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Více než 700 vědeckých publikací, z nichž 125 spadá do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Tier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10 (rok 2019).</w:t>
            </w:r>
          </w:p>
          <w:p w14:paraId="0EA8BBD5" w14:textId="77777777" w:rsidR="00BC1562" w:rsidRPr="002437E2" w:rsidRDefault="00BC1562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Na CEITEC působí celkem pět držitelů ERC</w:t>
            </w:r>
            <w:r>
              <w:rPr>
                <w:rFonts w:ascii="Arial" w:hAnsi="Arial" w:cs="Arial"/>
                <w:color w:val="000000"/>
              </w:rPr>
              <w:t xml:space="preserve"> grantů (H2020)</w:t>
            </w:r>
            <w:r w:rsidRPr="002437E2">
              <w:rPr>
                <w:rFonts w:ascii="Arial" w:hAnsi="Arial" w:cs="Arial"/>
                <w:color w:val="000000"/>
              </w:rPr>
              <w:t>.</w:t>
            </w:r>
          </w:p>
          <w:p w14:paraId="7A3A8BAE" w14:textId="77777777" w:rsidR="00BC156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V roce 2018 získal CEITEC VUT prestižní grant ve schématu H2020 FET Open</w:t>
            </w:r>
            <w:r w:rsidR="00BC1562">
              <w:rPr>
                <w:rFonts w:ascii="Arial" w:hAnsi="Arial" w:cs="Arial"/>
                <w:color w:val="000000"/>
              </w:rPr>
              <w:t>.</w:t>
            </w:r>
          </w:p>
          <w:p w14:paraId="330D7FFB" w14:textId="2C5D15ED" w:rsidR="00BC156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CEITEC hraje důležitou roli v komunikaci důležitých vědeckých témat s veřejností, je také aktivní v různých typech medií (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twitter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facebook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instagram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>) včetně veřejnoprávní televize.</w:t>
            </w:r>
            <w:r w:rsidR="00CA3B2E">
              <w:t xml:space="preserve"> </w:t>
            </w:r>
            <w:r w:rsidR="00CA3B2E" w:rsidRPr="00CA3B2E">
              <w:rPr>
                <w:rFonts w:ascii="Arial" w:hAnsi="Arial" w:cs="Arial"/>
                <w:color w:val="000000"/>
              </w:rPr>
              <w:t>V roce 2019 bylo realizováno více než 300 grantů, z toho 51 grantů podpořených od mezinárodních poskytovatelů.</w:t>
            </w:r>
            <w:bookmarkStart w:id="0" w:name="_GoBack"/>
            <w:bookmarkEnd w:id="0"/>
          </w:p>
          <w:p w14:paraId="27F39E12" w14:textId="77777777" w:rsidR="00FF050E" w:rsidRPr="00BC1562" w:rsidRDefault="008473C7" w:rsidP="001B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  <w:r w:rsidRPr="00BC1562">
              <w:rPr>
                <w:rFonts w:ascii="Arial" w:hAnsi="Arial" w:cs="Arial"/>
                <w:b/>
                <w:i/>
                <w:color w:val="000000"/>
              </w:rPr>
              <w:t>(</w:t>
            </w:r>
            <w:r w:rsidR="00E430EB" w:rsidRPr="00BC1562">
              <w:rPr>
                <w:rFonts w:ascii="Arial" w:hAnsi="Arial" w:cs="Arial"/>
                <w:b/>
                <w:i/>
                <w:color w:val="000000"/>
              </w:rPr>
              <w:t>kompletní informace viz</w:t>
            </w:r>
            <w:r w:rsidRPr="00BC1562">
              <w:rPr>
                <w:rFonts w:ascii="Arial" w:hAnsi="Arial" w:cs="Arial"/>
                <w:b/>
                <w:i/>
                <w:color w:val="000000"/>
              </w:rPr>
              <w:t xml:space="preserve"> materiál MŠMT </w:t>
            </w:r>
            <w:r w:rsidR="00BC1562">
              <w:rPr>
                <w:rFonts w:ascii="Arial" w:hAnsi="Arial" w:cs="Arial"/>
                <w:b/>
                <w:i/>
                <w:iCs/>
              </w:rPr>
              <w:t>č. j.</w:t>
            </w:r>
            <w:r w:rsidR="005F7D0A" w:rsidRPr="00BC1562">
              <w:rPr>
                <w:rFonts w:ascii="Arial" w:hAnsi="Arial" w:cs="Arial"/>
                <w:b/>
                <w:i/>
                <w:iCs/>
              </w:rPr>
              <w:t>: MSMT - 509/2020-6</w:t>
            </w:r>
            <w:r w:rsidR="001B0930">
              <w:rPr>
                <w:rFonts w:ascii="Arial" w:hAnsi="Arial" w:cs="Arial"/>
                <w:b/>
                <w:i/>
                <w:iCs/>
              </w:rPr>
              <w:t xml:space="preserve">; </w:t>
            </w:r>
            <w:r w:rsidR="001B0930">
              <w:rPr>
                <w:rFonts w:ascii="Arial" w:hAnsi="Arial" w:cs="Arial"/>
                <w:b/>
                <w:i/>
                <w:iCs/>
              </w:rPr>
              <w:lastRenderedPageBreak/>
              <w:t>viz</w:t>
            </w:r>
            <w:r w:rsidR="001B0930">
              <w:rPr>
                <w:rFonts w:ascii="Arial" w:hAnsi="Arial" w:cs="Arial"/>
                <w:b/>
                <w:i/>
                <w:color w:val="000000"/>
              </w:rPr>
              <w:t> </w:t>
            </w:r>
            <w:r w:rsidR="00BC1562">
              <w:rPr>
                <w:rFonts w:ascii="Arial" w:hAnsi="Arial" w:cs="Arial"/>
                <w:b/>
                <w:i/>
                <w:color w:val="000000"/>
              </w:rPr>
              <w:t>str.</w:t>
            </w:r>
            <w:r w:rsidR="001B0930">
              <w:rPr>
                <w:rFonts w:ascii="Arial" w:hAnsi="Arial" w:cs="Arial"/>
                <w:b/>
                <w:i/>
                <w:color w:val="000000"/>
              </w:rPr>
              <w:t> </w:t>
            </w:r>
            <w:r w:rsidR="00BC1562">
              <w:rPr>
                <w:rFonts w:ascii="Arial" w:hAnsi="Arial" w:cs="Arial"/>
                <w:b/>
                <w:i/>
                <w:color w:val="000000"/>
              </w:rPr>
              <w:t>5–</w:t>
            </w:r>
            <w:r w:rsidR="00503152" w:rsidRPr="00BC1562">
              <w:rPr>
                <w:rFonts w:ascii="Arial" w:hAnsi="Arial" w:cs="Arial"/>
                <w:b/>
                <w:i/>
                <w:color w:val="000000"/>
              </w:rPr>
              <w:t>10</w:t>
            </w:r>
            <w:r w:rsidRPr="00BC1562">
              <w:rPr>
                <w:rFonts w:ascii="Arial" w:hAnsi="Arial" w:cs="Arial"/>
                <w:b/>
                <w:i/>
                <w:color w:val="000000"/>
              </w:rPr>
              <w:t>)</w:t>
            </w:r>
          </w:p>
        </w:tc>
      </w:tr>
      <w:tr w:rsidR="001B0930" w:rsidRPr="002437E2" w14:paraId="0D9FF612" w14:textId="77777777" w:rsidTr="001B0930">
        <w:tc>
          <w:tcPr>
            <w:tcW w:w="713" w:type="pct"/>
            <w:vAlign w:val="center"/>
          </w:tcPr>
          <w:p w14:paraId="58233FAE" w14:textId="77777777" w:rsidR="00FF050E" w:rsidRPr="004009EC" w:rsidRDefault="00FF050E" w:rsidP="0099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4009EC"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  <w:lastRenderedPageBreak/>
              <w:t xml:space="preserve">ELI </w:t>
            </w:r>
            <w:proofErr w:type="spellStart"/>
            <w:r w:rsidRPr="004009EC"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  <w:t>Beamlines</w:t>
            </w:r>
            <w:proofErr w:type="spellEnd"/>
          </w:p>
        </w:tc>
        <w:tc>
          <w:tcPr>
            <w:tcW w:w="1819" w:type="pct"/>
            <w:vAlign w:val="center"/>
          </w:tcPr>
          <w:p w14:paraId="5B4ED8AA" w14:textId="77777777" w:rsidR="00FF050E" w:rsidRPr="002437E2" w:rsidRDefault="00FF050E" w:rsidP="00BC1562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Je jedním ze tří pilířů ELI, který je umístěn v České republice. ELI je zařazeno mezi ESFRI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Landmarks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>.</w:t>
            </w:r>
          </w:p>
          <w:p w14:paraId="7ADAE585" w14:textId="77777777" w:rsidR="00FF050E" w:rsidRPr="002437E2" w:rsidRDefault="00FF050E" w:rsidP="004049A4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Mateřskou institucí 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je Fyzikální ústav AV ČR, v. v. i. Za účelem výstavby a provozu 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byla zřízena nová Sekce 9 - 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>. Na základě usnesení vlády ze dne 15. května 2013 č. 350 byl ustanoven Koordinační výbor pro ELI jakožto poradní orgán MŠMT.</w:t>
            </w:r>
          </w:p>
        </w:tc>
        <w:tc>
          <w:tcPr>
            <w:tcW w:w="2468" w:type="pct"/>
          </w:tcPr>
          <w:p w14:paraId="3AA41182" w14:textId="77777777" w:rsidR="00BC156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posiluje pozici Evropy ve světovém laserovém výzkumu a vytváří taktéž nové pří</w:t>
            </w:r>
            <w:r w:rsidR="00BC1562">
              <w:rPr>
                <w:rFonts w:ascii="Arial" w:hAnsi="Arial" w:cs="Arial"/>
                <w:color w:val="000000"/>
              </w:rPr>
              <w:t>ležitosti pro evropský průmysl.</w:t>
            </w:r>
          </w:p>
          <w:p w14:paraId="43407B2C" w14:textId="77777777" w:rsidR="00FF050E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Kromě základního výzkumu a vývoje v oblasti laserů pokrývá aplikovaný výzkum v 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oblasti od zlepšení onkologické léčby, lékařské zobrazovací techniky nebo rychlé elektroniky až po studium stárnutí materiálů jaderného reaktoru nebo po vývoj nových metod zpracování jaderného odpadu. ČR se</w:t>
            </w:r>
            <w:r w:rsidR="00BC1562">
              <w:rPr>
                <w:rFonts w:ascii="Arial" w:hAnsi="Arial" w:cs="Arial"/>
                <w:color w:val="000000"/>
              </w:rPr>
              <w:t xml:space="preserve"> tak díky ELI </w:t>
            </w:r>
            <w:proofErr w:type="spellStart"/>
            <w:r w:rsidR="00BC156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stává hostitelskou zemí špičkového mezinárodního výzkumu, což představuje významný potenciál (nejen) pro přilákání dalších investic do vyspělých technologií s vysokou přidanou hodnotou.</w:t>
            </w:r>
          </w:p>
          <w:p w14:paraId="1BC223C0" w14:textId="77777777" w:rsidR="00BC1562" w:rsidRPr="002437E2" w:rsidRDefault="00BC1562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V období 2015</w:t>
            </w:r>
            <w:r>
              <w:rPr>
                <w:rFonts w:ascii="Arial" w:hAnsi="Arial" w:cs="Arial"/>
                <w:color w:val="000000"/>
              </w:rPr>
              <w:t>–</w:t>
            </w:r>
            <w:r w:rsidRPr="002437E2">
              <w:rPr>
                <w:rFonts w:ascii="Arial" w:hAnsi="Arial" w:cs="Arial"/>
                <w:color w:val="000000"/>
              </w:rPr>
              <w:t xml:space="preserve">2019 bylo v rámci centra 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publikováno </w:t>
            </w:r>
            <w:r w:rsidRPr="00BC1562">
              <w:rPr>
                <w:rFonts w:ascii="Arial" w:hAnsi="Arial" w:cs="Arial"/>
                <w:color w:val="000000"/>
              </w:rPr>
              <w:t>celkem 263 publikací</w:t>
            </w:r>
            <w:r w:rsidRPr="002437E2">
              <w:rPr>
                <w:rFonts w:ascii="Arial" w:hAnsi="Arial" w:cs="Arial"/>
                <w:color w:val="000000"/>
              </w:rPr>
              <w:t xml:space="preserve"> v mezinárodních recenzovaných časopisech. Na základě výzkumných a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2437E2">
              <w:rPr>
                <w:rFonts w:ascii="Arial" w:hAnsi="Arial" w:cs="Arial"/>
                <w:color w:val="000000"/>
              </w:rPr>
              <w:t xml:space="preserve">vývojových aktivit centra bylo podáno celkem 22 patentových přihlášek, dále bylo podáno 34 užitných vzorů. </w:t>
            </w:r>
          </w:p>
          <w:p w14:paraId="01E22B49" w14:textId="77777777" w:rsidR="00FF050E" w:rsidRPr="002437E2" w:rsidRDefault="00FF050E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disponuje významným mezinárodně uznávaným zařízením, které do ČR přilákává excelentní výzkumné pracovníky a podniky. Současně, díky více než 300 vysoce kvalifikovaným zaměstnancům, bude 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generovat dlouhodobé pracovní příležitosti pro výzkumné pracovníky a technický personál z oblastí optiky a laserových věd, materiálových věd, elektroniky a strojírenství.</w:t>
            </w:r>
            <w:r w:rsidR="00D006DF" w:rsidRPr="002437E2">
              <w:rPr>
                <w:rFonts w:ascii="Arial" w:hAnsi="Arial" w:cs="Arial"/>
                <w:color w:val="000000"/>
              </w:rPr>
              <w:t xml:space="preserve"> </w:t>
            </w:r>
          </w:p>
          <w:p w14:paraId="5CA33B47" w14:textId="77777777" w:rsidR="00D006DF" w:rsidRPr="002437E2" w:rsidRDefault="00D006DF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Konkrétní oblasti aplikací: Zdroje rentgenového záření (X-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ray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>) buzené opakovanými ultrakrátkými laserovými pulzy, Urychlování částic pomocí laseru, Využití v molekulárních, biomedicinských a materiálových vědách, Fyzika plazmatu a fyzika vysokých hustot energie.</w:t>
            </w:r>
          </w:p>
          <w:p w14:paraId="7D25EFA1" w14:textId="77777777" w:rsidR="00BC1562" w:rsidRDefault="00D006DF" w:rsidP="00BC1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ELI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Beamlines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také představuje atraktivní platformu pro výchovu nové generace vědců, inženýrů a doktorandů vytváří a pracovních příležitosti s</w:t>
            </w:r>
            <w:r w:rsidR="004049A4">
              <w:rPr>
                <w:rFonts w:ascii="Arial" w:hAnsi="Arial" w:cs="Arial"/>
                <w:color w:val="000000"/>
              </w:rPr>
              <w:t> </w:t>
            </w:r>
            <w:r w:rsidRPr="002437E2">
              <w:rPr>
                <w:rFonts w:ascii="Arial" w:hAnsi="Arial" w:cs="Arial"/>
                <w:color w:val="000000"/>
              </w:rPr>
              <w:t>vysokou přidanou hodnotou</w:t>
            </w:r>
            <w:r w:rsidR="00BC1562">
              <w:rPr>
                <w:rFonts w:ascii="Arial" w:hAnsi="Arial" w:cs="Arial"/>
                <w:color w:val="000000"/>
              </w:rPr>
              <w:t>.</w:t>
            </w:r>
          </w:p>
          <w:p w14:paraId="3366E65B" w14:textId="77777777" w:rsidR="00FF050E" w:rsidRPr="002437E2" w:rsidRDefault="00D006DF" w:rsidP="001B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BC1562">
              <w:rPr>
                <w:rFonts w:ascii="Arial" w:hAnsi="Arial" w:cs="Arial"/>
                <w:b/>
                <w:i/>
                <w:color w:val="000000"/>
              </w:rPr>
              <w:t>(kompletní informace viz materiál AV ČR Informace o</w:t>
            </w:r>
            <w:r w:rsidR="00BC1562">
              <w:rPr>
                <w:rFonts w:ascii="Arial" w:hAnsi="Arial" w:cs="Arial"/>
                <w:b/>
                <w:i/>
                <w:color w:val="000000"/>
              </w:rPr>
              <w:t> </w:t>
            </w:r>
            <w:r w:rsidRPr="00BC1562">
              <w:rPr>
                <w:rFonts w:ascii="Arial" w:hAnsi="Arial" w:cs="Arial"/>
                <w:b/>
                <w:i/>
                <w:color w:val="000000"/>
              </w:rPr>
              <w:t xml:space="preserve">výzkumném centrum ELI </w:t>
            </w:r>
            <w:proofErr w:type="spellStart"/>
            <w:r w:rsidRPr="00BC1562">
              <w:rPr>
                <w:rFonts w:ascii="Arial" w:hAnsi="Arial" w:cs="Arial"/>
                <w:b/>
                <w:i/>
                <w:color w:val="000000"/>
              </w:rPr>
              <w:t>Beamlines</w:t>
            </w:r>
            <w:proofErr w:type="spellEnd"/>
            <w:r w:rsidR="001B0930">
              <w:rPr>
                <w:rFonts w:ascii="Arial" w:hAnsi="Arial" w:cs="Arial"/>
                <w:b/>
                <w:i/>
                <w:color w:val="000000"/>
              </w:rPr>
              <w:t xml:space="preserve">; viz </w:t>
            </w:r>
            <w:r w:rsidRPr="00BC1562">
              <w:rPr>
                <w:rFonts w:ascii="Arial" w:hAnsi="Arial" w:cs="Arial"/>
                <w:b/>
                <w:i/>
                <w:color w:val="000000"/>
              </w:rPr>
              <w:t xml:space="preserve">str. </w:t>
            </w:r>
            <w:r w:rsidR="00BC1562">
              <w:rPr>
                <w:rFonts w:ascii="Arial" w:hAnsi="Arial" w:cs="Arial"/>
                <w:b/>
                <w:i/>
                <w:color w:val="000000"/>
              </w:rPr>
              <w:t>1–</w:t>
            </w:r>
            <w:r w:rsidRPr="00BC1562">
              <w:rPr>
                <w:rFonts w:ascii="Arial" w:hAnsi="Arial" w:cs="Arial"/>
                <w:b/>
                <w:i/>
                <w:color w:val="000000"/>
              </w:rPr>
              <w:t>6)</w:t>
            </w:r>
          </w:p>
        </w:tc>
      </w:tr>
      <w:tr w:rsidR="001B0930" w:rsidRPr="002437E2" w14:paraId="37F82347" w14:textId="77777777" w:rsidTr="004049A4">
        <w:tc>
          <w:tcPr>
            <w:tcW w:w="713" w:type="pct"/>
            <w:vAlign w:val="center"/>
          </w:tcPr>
          <w:p w14:paraId="4CAFCF2E" w14:textId="77777777" w:rsidR="00FF050E" w:rsidRPr="004009EC" w:rsidRDefault="00FF050E" w:rsidP="0099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4009EC"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  <w:t>IT4Innovations</w:t>
            </w:r>
          </w:p>
        </w:tc>
        <w:tc>
          <w:tcPr>
            <w:tcW w:w="1819" w:type="pct"/>
            <w:vAlign w:val="center"/>
          </w:tcPr>
          <w:p w14:paraId="0FABEBDC" w14:textId="77777777" w:rsidR="00FF050E" w:rsidRPr="002437E2" w:rsidRDefault="00FF050E" w:rsidP="004049A4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Na realizaci výzkumných aktivit se podílí pět subjektů: VŠB, Ostravská univerzita, Slezská univerzita v Opavě, VUT Brno, Ústav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geoniky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AV ČR. IT4I je organizačně postaveno na modelu centralizovaného řízení výzkumných aktivit prostřednictvím Ředitelství IT4I a decentralizovaného řízení investiční a administrativní části projektu prostřednictvím partnerských divizí IT4I ( </w:t>
            </w:r>
            <w:r w:rsidRPr="002437E2">
              <w:rPr>
                <w:rFonts w:ascii="Arial" w:hAnsi="Arial" w:cs="Arial"/>
                <w:color w:val="000000"/>
              </w:rPr>
              <w:lastRenderedPageBreak/>
              <w:t>VUT v Brně, Slezská univerzita v Opavě, Ostravská univerzita, ÚGN AV ČR). Rozhodování Ředitelství IT4I podléhá kontrole Správní rady IT4I. Poradním orgánem Ředitele IT4I vzhledem k realizaci a hodnocení výzkumné činnosti je Vědecká rada, tvořená špičkovými národními a mezinárodními odborníky působícími mimo IT4I.</w:t>
            </w:r>
          </w:p>
        </w:tc>
        <w:tc>
          <w:tcPr>
            <w:tcW w:w="2468" w:type="pct"/>
          </w:tcPr>
          <w:p w14:paraId="518409B9" w14:textId="77777777" w:rsidR="00FF050E" w:rsidRPr="002437E2" w:rsidRDefault="00FF050E" w:rsidP="00316D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lastRenderedPageBreak/>
              <w:t xml:space="preserve">IT4I poskytuje odpovídající odborné znalosti a otevřený přístup ke svým zdrojům na základě vědecké excelence. Tyto zdroje jsou k dispozici všem výzkumným organizacím i komerční sféře. Aktivně participuje na celoevropském společném podniku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EuroHPC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, jehož hlavním cílem je podpořit digitalizaci společnosti a průmyslu prostřednictvím výpočetních a datových technologií. </w:t>
            </w:r>
          </w:p>
          <w:p w14:paraId="5175DDE4" w14:textId="77777777" w:rsidR="00FF050E" w:rsidRPr="002437E2" w:rsidRDefault="00FF050E" w:rsidP="00316D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Své výpočetní systémy centrum využívá například k rozsáhlým analýzám dat </w:t>
            </w:r>
            <w:r w:rsidRPr="002437E2">
              <w:rPr>
                <w:rFonts w:ascii="Arial" w:hAnsi="Arial" w:cs="Arial"/>
                <w:color w:val="000000"/>
              </w:rPr>
              <w:lastRenderedPageBreak/>
              <w:t xml:space="preserve">a aplikacím umělé inteligence v problematice chytrých měst a chytrých energetických sítí, tvorbě virtuálních dvojčat, vývoji nových materiálů, vývoji léčiv a léčebných pomůcek, paliva pro jaderné elektrárny, optimalizaci výrobků i výrobních procesů, simulaci chirurgických zákroků, léčebných postupů, ukládání jaderných odpadů a oxidu uhličitého v zemské kůře, či využití geotermální energie. Díky svým aktivitám v oblasti digitálních inovací pro malé a střední firmy se IT4Innovations stalo digitálním inovačním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hubem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 xml:space="preserve"> registrovaným evropskou komisí. </w:t>
            </w:r>
          </w:p>
          <w:p w14:paraId="31CE4BF2" w14:textId="77777777" w:rsidR="004049A4" w:rsidRDefault="00FF050E" w:rsidP="00316D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IT4I je rovněž součástí nejvýznamnějších evropských platforem, infrastruktur a organizací jako např. PRACE, ETP4HPC, </w:t>
            </w:r>
            <w:proofErr w:type="spellStart"/>
            <w:r w:rsidRPr="002437E2">
              <w:rPr>
                <w:rFonts w:ascii="Arial" w:hAnsi="Arial" w:cs="Arial"/>
                <w:color w:val="000000"/>
              </w:rPr>
              <w:t>HiPEAC</w:t>
            </w:r>
            <w:proofErr w:type="spellEnd"/>
            <w:r w:rsidRPr="002437E2">
              <w:rPr>
                <w:rFonts w:ascii="Arial" w:hAnsi="Arial" w:cs="Arial"/>
                <w:color w:val="000000"/>
              </w:rPr>
              <w:t>, BDVA, EUDAT CDI, I4MS.</w:t>
            </w:r>
          </w:p>
          <w:p w14:paraId="52444DC4" w14:textId="77777777" w:rsidR="00316D88" w:rsidRPr="002437E2" w:rsidRDefault="00316D88" w:rsidP="00316D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 období mezi lety 2016–2019 produkovalo centrum </w:t>
            </w:r>
            <w:r w:rsidRPr="002437E2">
              <w:rPr>
                <w:rFonts w:ascii="Arial" w:hAnsi="Arial" w:cs="Arial"/>
                <w:color w:val="000000"/>
              </w:rPr>
              <w:t xml:space="preserve">více než 400 publikací ve </w:t>
            </w:r>
            <w:r>
              <w:rPr>
                <w:rFonts w:ascii="Arial" w:hAnsi="Arial" w:cs="Arial"/>
                <w:color w:val="000000"/>
              </w:rPr>
              <w:t>v</w:t>
            </w:r>
            <w:r w:rsidRPr="002437E2">
              <w:rPr>
                <w:rFonts w:ascii="Arial" w:hAnsi="Arial" w:cs="Arial"/>
                <w:color w:val="000000"/>
              </w:rPr>
              <w:t xml:space="preserve">ýznamných impaktovaných časopisech, 8 patentů a více než 90 výsledků aplikovaného výzkumu (většinou SW produkty). Ke konci roku 2019 dosáhl objem smluvního výzkumu téměř 90 mil. Kč a prostředky z mezinárodních projektů činily téměř 180 mil. Kč (jednalo se o více než 30 projektů FP7 a H2020). </w:t>
            </w:r>
          </w:p>
          <w:p w14:paraId="216843A7" w14:textId="77777777" w:rsidR="00FF050E" w:rsidRPr="00316D88" w:rsidRDefault="00503152" w:rsidP="00316D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4049A4">
              <w:rPr>
                <w:rFonts w:ascii="Arial" w:hAnsi="Arial" w:cs="Arial"/>
                <w:b/>
                <w:i/>
                <w:color w:val="000000"/>
              </w:rPr>
              <w:t>(kompletní informace viz materiál MŠMT</w:t>
            </w:r>
            <w:r w:rsidR="005F7D0A" w:rsidRPr="004049A4">
              <w:rPr>
                <w:rFonts w:ascii="Arial" w:hAnsi="Arial" w:cs="Arial"/>
                <w:b/>
                <w:i/>
                <w:iCs/>
              </w:rPr>
              <w:t xml:space="preserve"> </w:t>
            </w:r>
            <w:r w:rsidR="00316D88">
              <w:rPr>
                <w:rFonts w:ascii="Arial" w:hAnsi="Arial" w:cs="Arial"/>
                <w:b/>
                <w:i/>
                <w:color w:val="000000"/>
              </w:rPr>
              <w:t>č. j.</w:t>
            </w:r>
            <w:r w:rsidR="005F7D0A" w:rsidRPr="004049A4">
              <w:rPr>
                <w:rFonts w:ascii="Arial" w:hAnsi="Arial" w:cs="Arial"/>
                <w:b/>
                <w:i/>
                <w:color w:val="000000"/>
              </w:rPr>
              <w:t>: MSMT - 509/2020-6</w:t>
            </w:r>
            <w:r w:rsidR="004049A4" w:rsidRPr="004049A4">
              <w:rPr>
                <w:rFonts w:ascii="Arial" w:hAnsi="Arial" w:cs="Arial"/>
                <w:b/>
                <w:i/>
                <w:iCs/>
              </w:rPr>
              <w:t>; viz </w:t>
            </w:r>
            <w:r w:rsidRPr="004049A4">
              <w:rPr>
                <w:rFonts w:ascii="Arial" w:hAnsi="Arial" w:cs="Arial"/>
                <w:b/>
                <w:i/>
                <w:color w:val="000000"/>
              </w:rPr>
              <w:t>str. 10</w:t>
            </w:r>
            <w:r w:rsidR="004049A4" w:rsidRPr="004049A4">
              <w:rPr>
                <w:rFonts w:ascii="Arial" w:hAnsi="Arial" w:cs="Arial"/>
                <w:b/>
                <w:i/>
                <w:color w:val="000000"/>
              </w:rPr>
              <w:t>–</w:t>
            </w:r>
            <w:r w:rsidRPr="004049A4">
              <w:rPr>
                <w:rFonts w:ascii="Arial" w:hAnsi="Arial" w:cs="Arial"/>
                <w:b/>
                <w:i/>
                <w:color w:val="000000"/>
              </w:rPr>
              <w:t>13)</w:t>
            </w:r>
          </w:p>
        </w:tc>
      </w:tr>
      <w:tr w:rsidR="001B0930" w:rsidRPr="002437E2" w14:paraId="0BD41498" w14:textId="77777777" w:rsidTr="004049A4">
        <w:trPr>
          <w:trHeight w:val="141"/>
        </w:trPr>
        <w:tc>
          <w:tcPr>
            <w:tcW w:w="713" w:type="pct"/>
            <w:vAlign w:val="center"/>
          </w:tcPr>
          <w:p w14:paraId="456E2AD1" w14:textId="77777777" w:rsidR="00FF050E" w:rsidRPr="004009EC" w:rsidRDefault="00FF050E" w:rsidP="0099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4009EC"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  <w:lastRenderedPageBreak/>
              <w:t>SUSEN</w:t>
            </w:r>
          </w:p>
        </w:tc>
        <w:tc>
          <w:tcPr>
            <w:tcW w:w="1819" w:type="pct"/>
            <w:vAlign w:val="center"/>
          </w:tcPr>
          <w:p w14:paraId="2E6D6D77" w14:textId="77777777" w:rsidR="00316D88" w:rsidRDefault="00FF050E" w:rsidP="004049A4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4049A4">
              <w:rPr>
                <w:rFonts w:ascii="Arial" w:hAnsi="Arial" w:cs="Arial"/>
                <w:color w:val="000000"/>
              </w:rPr>
              <w:t xml:space="preserve">Centrum SUSEN je postaveno uvnitř společnosti Centrum výzkumu Řež (CVŘ) </w:t>
            </w:r>
            <w:r w:rsidR="00316D88">
              <w:rPr>
                <w:rFonts w:ascii="Arial" w:hAnsi="Arial" w:cs="Arial"/>
                <w:color w:val="000000"/>
              </w:rPr>
              <w:t>a je její nedílnou součástí.</w:t>
            </w:r>
          </w:p>
          <w:p w14:paraId="370D4A65" w14:textId="77777777" w:rsidR="00FF050E" w:rsidRPr="004049A4" w:rsidRDefault="00FF050E" w:rsidP="004049A4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4049A4">
              <w:rPr>
                <w:rFonts w:ascii="Arial" w:hAnsi="Arial" w:cs="Arial"/>
                <w:color w:val="000000"/>
              </w:rPr>
              <w:t>Centrum je provázáno se všemi ostatními sekcemi a útvary. Poradním orgánem je vědecká rada CVŘ, která pomáhá směřovat výzkumné cíle centra SUSEN.</w:t>
            </w:r>
          </w:p>
          <w:p w14:paraId="13EBC834" w14:textId="77777777" w:rsidR="00FF050E" w:rsidRPr="002437E2" w:rsidRDefault="00FF050E" w:rsidP="004049A4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68" w:type="pct"/>
          </w:tcPr>
          <w:p w14:paraId="576C3F9E" w14:textId="615F6283" w:rsidR="006B3DFA" w:rsidRPr="002437E2" w:rsidRDefault="00316D88" w:rsidP="00316D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</w:t>
            </w:r>
            <w:r w:rsidRPr="002437E2">
              <w:rPr>
                <w:rFonts w:ascii="Arial" w:hAnsi="Arial" w:cs="Arial"/>
                <w:color w:val="000000"/>
              </w:rPr>
              <w:t xml:space="preserve"> letech </w:t>
            </w:r>
            <w:r>
              <w:rPr>
                <w:rFonts w:ascii="Arial" w:hAnsi="Arial" w:cs="Arial"/>
                <w:color w:val="000000"/>
              </w:rPr>
              <w:t>2011–</w:t>
            </w:r>
            <w:r w:rsidRPr="002437E2">
              <w:rPr>
                <w:rFonts w:ascii="Arial" w:hAnsi="Arial" w:cs="Arial"/>
                <w:color w:val="000000"/>
              </w:rPr>
              <w:t>2019</w:t>
            </w:r>
            <w:r>
              <w:rPr>
                <w:rFonts w:ascii="Arial" w:hAnsi="Arial" w:cs="Arial"/>
                <w:color w:val="000000"/>
              </w:rPr>
              <w:t xml:space="preserve"> vytvořeno </w:t>
            </w:r>
            <w:r w:rsidRPr="002437E2">
              <w:rPr>
                <w:rFonts w:ascii="Arial" w:hAnsi="Arial" w:cs="Arial"/>
                <w:color w:val="000000"/>
              </w:rPr>
              <w:t>555 výsledků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  <w:r w:rsidR="00B56636">
              <w:rPr>
                <w:rFonts w:ascii="Arial" w:hAnsi="Arial" w:cs="Arial"/>
                <w:color w:val="000000"/>
              </w:rPr>
              <w:t>Zvláště významnými</w:t>
            </w:r>
            <w:r w:rsidR="006B3DFA" w:rsidRPr="002437E2">
              <w:rPr>
                <w:rFonts w:ascii="Arial" w:hAnsi="Arial" w:cs="Arial"/>
                <w:color w:val="000000"/>
              </w:rPr>
              <w:t xml:space="preserve"> </w:t>
            </w:r>
            <w:r w:rsidR="00CA0228" w:rsidRPr="002437E2">
              <w:rPr>
                <w:rFonts w:ascii="Arial" w:hAnsi="Arial" w:cs="Arial"/>
                <w:color w:val="000000"/>
              </w:rPr>
              <w:t>výsledky</w:t>
            </w:r>
            <w:r w:rsidR="00B56636">
              <w:rPr>
                <w:rFonts w:ascii="Arial" w:hAnsi="Arial" w:cs="Arial"/>
                <w:color w:val="000000"/>
              </w:rPr>
              <w:t xml:space="preserve"> jsou</w:t>
            </w:r>
            <w:r w:rsidR="00CA0228" w:rsidRPr="002437E2">
              <w:rPr>
                <w:rFonts w:ascii="Arial" w:hAnsi="Arial" w:cs="Arial"/>
                <w:color w:val="000000"/>
              </w:rPr>
              <w:t>: malý</w:t>
            </w:r>
            <w:r w:rsidR="006B3DFA" w:rsidRPr="002437E2">
              <w:rPr>
                <w:rFonts w:ascii="Arial" w:hAnsi="Arial" w:cs="Arial"/>
                <w:color w:val="000000"/>
              </w:rPr>
              <w:t xml:space="preserve"> modulární reaktor, </w:t>
            </w:r>
            <w:r w:rsidR="006D31BC" w:rsidRPr="002437E2">
              <w:rPr>
                <w:rFonts w:ascii="Arial" w:hAnsi="Arial" w:cs="Arial"/>
                <w:color w:val="000000"/>
              </w:rPr>
              <w:t>m</w:t>
            </w:r>
            <w:r w:rsidR="006B3DFA" w:rsidRPr="002437E2">
              <w:rPr>
                <w:rFonts w:ascii="Arial" w:hAnsi="Arial" w:cs="Arial"/>
                <w:color w:val="000000"/>
              </w:rPr>
              <w:t>etodiky NDT testování</w:t>
            </w:r>
            <w:r w:rsidR="006D31BC" w:rsidRPr="002437E2">
              <w:rPr>
                <w:rFonts w:ascii="Arial" w:hAnsi="Arial" w:cs="Arial"/>
                <w:color w:val="000000"/>
              </w:rPr>
              <w:t>, m</w:t>
            </w:r>
            <w:r w:rsidR="006B3DFA" w:rsidRPr="002437E2">
              <w:rPr>
                <w:rFonts w:ascii="Arial" w:hAnsi="Arial" w:cs="Arial"/>
                <w:color w:val="000000"/>
              </w:rPr>
              <w:t>etodiky stanovování velmi nízkých koncentrací, Zpracování použitého jaderného paliva, Rozvoj metod v oblasti materiálového výzkumu a sledování životnosti, Celosvětově využitelná knihovna dat,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CA0228" w:rsidRPr="002437E2">
              <w:rPr>
                <w:rFonts w:ascii="Arial" w:hAnsi="Arial" w:cs="Arial"/>
                <w:color w:val="000000"/>
              </w:rPr>
              <w:t>v</w:t>
            </w:r>
            <w:r w:rsidR="006B3DFA" w:rsidRPr="002437E2">
              <w:rPr>
                <w:rFonts w:ascii="Arial" w:hAnsi="Arial" w:cs="Arial"/>
                <w:color w:val="000000"/>
              </w:rPr>
              <w:t xml:space="preserve">ývoj technologie vysokoteplotních výměníků,  </w:t>
            </w:r>
            <w:r w:rsidR="00CA0228" w:rsidRPr="002437E2">
              <w:rPr>
                <w:rFonts w:ascii="Arial" w:hAnsi="Arial" w:cs="Arial"/>
                <w:color w:val="000000"/>
              </w:rPr>
              <w:t>v</w:t>
            </w:r>
            <w:r w:rsidR="006B3DFA" w:rsidRPr="002437E2">
              <w:rPr>
                <w:rFonts w:ascii="Arial" w:hAnsi="Arial" w:cs="Arial"/>
                <w:color w:val="000000"/>
              </w:rPr>
              <w:t>ýzkum v oblasti chemicko-technologického zpracování, Výzkum v oblasti vesmírných aplikací, Výzkum pro medicínu: vyšší produkce radiofarmak.</w:t>
            </w:r>
          </w:p>
          <w:p w14:paraId="6ED16A3C" w14:textId="77777777" w:rsidR="00CA0228" w:rsidRPr="002437E2" w:rsidRDefault="006D31BC" w:rsidP="006D31BC">
            <w:pPr>
              <w:spacing w:after="120" w:line="300" w:lineRule="exact"/>
              <w:jc w:val="both"/>
              <w:rPr>
                <w:rFonts w:ascii="Arial" w:hAnsi="Arial" w:cs="Arial"/>
              </w:rPr>
            </w:pPr>
            <w:r w:rsidRPr="002437E2">
              <w:rPr>
                <w:rFonts w:ascii="Arial" w:hAnsi="Arial" w:cs="Arial"/>
                <w:b/>
                <w:color w:val="000000"/>
              </w:rPr>
              <w:t>Rozvoj platformy TPUE</w:t>
            </w:r>
            <w:r w:rsidRPr="002437E2">
              <w:rPr>
                <w:rFonts w:ascii="Arial" w:hAnsi="Arial" w:cs="Arial"/>
                <w:color w:val="000000"/>
              </w:rPr>
              <w:t xml:space="preserve"> (Technologická platforma “Udržitelná energetika”) - ustanovena nová sekce „Pokročilé jaderné systémy“ zaměřená na inovativní jaderné systémy zejména jaderné reaktory generace IV a termojadernou fúzi.</w:t>
            </w:r>
            <w:r w:rsidRPr="002437E2">
              <w:rPr>
                <w:rFonts w:ascii="Arial" w:hAnsi="Arial" w:cs="Arial"/>
                <w:b/>
                <w:bCs/>
              </w:rPr>
              <w:t xml:space="preserve"> Získání certifikátu v oblasti bezpečnost: </w:t>
            </w:r>
            <w:r w:rsidRPr="002437E2">
              <w:rPr>
                <w:rFonts w:ascii="Arial" w:hAnsi="Arial" w:cs="Arial"/>
              </w:rPr>
              <w:t xml:space="preserve">V roce 2019 obdrželo CVŘ </w:t>
            </w:r>
            <w:r w:rsidRPr="002437E2">
              <w:rPr>
                <w:rFonts w:ascii="Arial" w:hAnsi="Arial" w:cs="Arial"/>
                <w:b/>
                <w:bCs/>
              </w:rPr>
              <w:t>certifikát od SÚJB</w:t>
            </w:r>
            <w:r w:rsidRPr="002437E2">
              <w:rPr>
                <w:rFonts w:ascii="Arial" w:hAnsi="Arial" w:cs="Arial"/>
              </w:rPr>
              <w:t>. CVŘ se stalo druhým pracovištěm, vedle ÚJV Řež a.s., které si osvojilo metodiku analýz těžkých havárií jaderných reaktorů v ČR.</w:t>
            </w:r>
          </w:p>
          <w:p w14:paraId="72E577D4" w14:textId="77777777" w:rsidR="00FF050E" w:rsidRPr="002437E2" w:rsidRDefault="00FF050E" w:rsidP="00CA0228">
            <w:pPr>
              <w:spacing w:after="120" w:line="300" w:lineRule="exact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Pokračování </w:t>
            </w:r>
            <w:r w:rsidR="006D31BC" w:rsidRPr="002437E2">
              <w:rPr>
                <w:rFonts w:ascii="Arial" w:hAnsi="Arial" w:cs="Arial"/>
                <w:color w:val="000000"/>
              </w:rPr>
              <w:t xml:space="preserve">institucionální </w:t>
            </w:r>
            <w:r w:rsidRPr="002437E2">
              <w:rPr>
                <w:rFonts w:ascii="Arial" w:hAnsi="Arial" w:cs="Arial"/>
                <w:color w:val="000000"/>
              </w:rPr>
              <w:t xml:space="preserve">podpory po roce 2020 umožní rozvoj centra a realizaci výzkumu v oblastech, které mají vysoce inovativní potenciál </w:t>
            </w:r>
            <w:r w:rsidRPr="002437E2">
              <w:rPr>
                <w:rFonts w:ascii="Arial" w:hAnsi="Arial" w:cs="Arial"/>
                <w:color w:val="000000"/>
              </w:rPr>
              <w:lastRenderedPageBreak/>
              <w:t>a mohou se stát produktem s velkou přidanou hodnotou pro český průmysl ve střednědobém horizontu</w:t>
            </w:r>
            <w:r w:rsidR="00CA0228" w:rsidRPr="002437E2">
              <w:rPr>
                <w:rFonts w:ascii="Arial" w:hAnsi="Arial" w:cs="Arial"/>
                <w:color w:val="000000"/>
              </w:rPr>
              <w:t>.</w:t>
            </w:r>
            <w:r w:rsidRPr="002437E2">
              <w:rPr>
                <w:rFonts w:ascii="Arial" w:hAnsi="Arial" w:cs="Arial"/>
                <w:color w:val="000000"/>
              </w:rPr>
              <w:t xml:space="preserve"> Další směřování aktivit centra</w:t>
            </w:r>
            <w:r w:rsidR="006D31BC" w:rsidRPr="002437E2">
              <w:rPr>
                <w:rFonts w:ascii="Arial" w:hAnsi="Arial" w:cs="Arial"/>
                <w:color w:val="000000"/>
              </w:rPr>
              <w:t xml:space="preserve"> SUSEN:</w:t>
            </w:r>
          </w:p>
          <w:p w14:paraId="6832FFEB" w14:textId="77777777" w:rsidR="006D31BC" w:rsidRPr="002437E2" w:rsidRDefault="00FF050E" w:rsidP="006D31BC">
            <w:pPr>
              <w:pStyle w:val="Odstavecseseznamem"/>
              <w:numPr>
                <w:ilvl w:val="0"/>
                <w:numId w:val="8"/>
              </w:numPr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Zvýšení energetické bezpečnosti a odolnosti ČR a posílení schopnosti zajistit nezbytné dodávky energií.</w:t>
            </w:r>
          </w:p>
          <w:p w14:paraId="0790B69D" w14:textId="77777777" w:rsidR="00FF050E" w:rsidRPr="002437E2" w:rsidRDefault="00FF050E" w:rsidP="006D31BC">
            <w:pPr>
              <w:pStyle w:val="Odstavecseseznamem"/>
              <w:numPr>
                <w:ilvl w:val="0"/>
                <w:numId w:val="8"/>
              </w:numPr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Udržitelný rozvoj, struktura energetiky, která je dlouhodobě udržitelná z pohledu životního prostředí.</w:t>
            </w:r>
          </w:p>
          <w:p w14:paraId="55BA4926" w14:textId="77777777" w:rsidR="00FF050E" w:rsidRPr="002437E2" w:rsidRDefault="00FF050E" w:rsidP="006D31BC">
            <w:pPr>
              <w:pStyle w:val="Odstavecseseznamem"/>
              <w:numPr>
                <w:ilvl w:val="0"/>
                <w:numId w:val="8"/>
              </w:numPr>
              <w:spacing w:line="300" w:lineRule="exact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Podpora výzkumu, vývoje a inovací zajišťující konkurenceschopnost české energetiky - vzdělávání a osvěta.</w:t>
            </w:r>
          </w:p>
          <w:p w14:paraId="669525C5" w14:textId="77777777" w:rsidR="004049A4" w:rsidRDefault="00FF050E" w:rsidP="001B0930">
            <w:pPr>
              <w:spacing w:after="120" w:line="300" w:lineRule="exact"/>
              <w:jc w:val="both"/>
              <w:rPr>
                <w:rFonts w:ascii="Arial" w:hAnsi="Arial" w:cs="Arial"/>
              </w:rPr>
            </w:pPr>
            <w:r w:rsidRPr="002437E2">
              <w:rPr>
                <w:rFonts w:ascii="Arial" w:hAnsi="Arial" w:cs="Arial"/>
                <w:color w:val="000000"/>
              </w:rPr>
              <w:t>Důležitou součástí aktivit centra SUSEN je účast výzkumných pracovníků v mezinárodních aktivitách a reprezentace ČR v důležitých asociacích a jejich pracovních skupinách a výzkumných projektech</w:t>
            </w:r>
            <w:r w:rsidR="006D31BC" w:rsidRPr="002437E2">
              <w:rPr>
                <w:rFonts w:ascii="Arial" w:hAnsi="Arial" w:cs="Arial"/>
                <w:color w:val="000000"/>
              </w:rPr>
              <w:t>.</w:t>
            </w:r>
            <w:r w:rsidRPr="002437E2">
              <w:rPr>
                <w:rFonts w:ascii="Arial" w:hAnsi="Arial" w:cs="Arial"/>
                <w:color w:val="000000"/>
              </w:rPr>
              <w:t xml:space="preserve"> </w:t>
            </w:r>
            <w:r w:rsidR="006D31BC" w:rsidRPr="002437E2">
              <w:rPr>
                <w:rFonts w:ascii="Arial" w:hAnsi="Arial" w:cs="Arial"/>
              </w:rPr>
              <w:t>Příkladem významné výzkumné spolupráce je také podpora naplnění bilaterálních</w:t>
            </w:r>
            <w:r w:rsidR="006D31BC" w:rsidRPr="002437E2">
              <w:rPr>
                <w:rFonts w:ascii="Arial" w:hAnsi="Arial" w:cs="Arial"/>
                <w:b/>
              </w:rPr>
              <w:t xml:space="preserve"> mezivládních dohod v oblasti výzkumu</w:t>
            </w:r>
            <w:r w:rsidR="006D31BC" w:rsidRPr="002437E2">
              <w:rPr>
                <w:rFonts w:ascii="Arial" w:hAnsi="Arial" w:cs="Arial"/>
              </w:rPr>
              <w:t xml:space="preserve">, např. </w:t>
            </w:r>
            <w:r w:rsidR="006D31BC" w:rsidRPr="002437E2">
              <w:rPr>
                <w:rFonts w:ascii="Arial" w:hAnsi="Arial" w:cs="Arial"/>
                <w:b/>
              </w:rPr>
              <w:t xml:space="preserve">US </w:t>
            </w:r>
            <w:proofErr w:type="spellStart"/>
            <w:r w:rsidR="006D31BC" w:rsidRPr="002437E2">
              <w:rPr>
                <w:rFonts w:ascii="Arial" w:hAnsi="Arial" w:cs="Arial"/>
                <w:b/>
              </w:rPr>
              <w:t>DoE</w:t>
            </w:r>
            <w:proofErr w:type="spellEnd"/>
            <w:r w:rsidR="006D31BC" w:rsidRPr="002437E2">
              <w:rPr>
                <w:rFonts w:ascii="Arial" w:hAnsi="Arial" w:cs="Arial"/>
                <w:b/>
              </w:rPr>
              <w:t>-MPO</w:t>
            </w:r>
            <w:r w:rsidR="006D31BC" w:rsidRPr="002437E2">
              <w:rPr>
                <w:rFonts w:ascii="Arial" w:hAnsi="Arial" w:cs="Arial"/>
              </w:rPr>
              <w:t xml:space="preserve"> v oblasti jaderného výzkumu – spolupráce s </w:t>
            </w:r>
            <w:r w:rsidR="006D31BC" w:rsidRPr="002437E2">
              <w:rPr>
                <w:rFonts w:ascii="Arial" w:hAnsi="Arial" w:cs="Arial"/>
                <w:b/>
              </w:rPr>
              <w:t xml:space="preserve">národními laboratořemi v USA </w:t>
            </w:r>
            <w:r w:rsidR="006D31BC" w:rsidRPr="002437E2">
              <w:rPr>
                <w:rFonts w:ascii="Arial" w:hAnsi="Arial" w:cs="Arial"/>
              </w:rPr>
              <w:t>v oblasti</w:t>
            </w:r>
            <w:r w:rsidR="006D31BC" w:rsidRPr="002437E2">
              <w:rPr>
                <w:rFonts w:ascii="Arial" w:hAnsi="Arial" w:cs="Arial"/>
                <w:b/>
              </w:rPr>
              <w:t xml:space="preserve"> solných a malých modulárních reaktorů</w:t>
            </w:r>
            <w:r w:rsidR="006D31BC" w:rsidRPr="002437E2">
              <w:rPr>
                <w:rFonts w:ascii="Arial" w:hAnsi="Arial" w:cs="Arial"/>
              </w:rPr>
              <w:t xml:space="preserve">, dále např. chystané </w:t>
            </w:r>
            <w:r w:rsidR="006D31BC" w:rsidRPr="002437E2">
              <w:rPr>
                <w:rFonts w:ascii="Arial" w:hAnsi="Arial" w:cs="Arial"/>
                <w:b/>
              </w:rPr>
              <w:t>aktivity v rámci V4</w:t>
            </w:r>
            <w:r w:rsidR="006D31BC" w:rsidRPr="002437E2">
              <w:rPr>
                <w:rFonts w:ascii="Arial" w:hAnsi="Arial" w:cs="Arial"/>
              </w:rPr>
              <w:t xml:space="preserve"> – spolupráce v oblasti </w:t>
            </w:r>
            <w:r w:rsidR="006D31BC" w:rsidRPr="002437E2">
              <w:rPr>
                <w:rFonts w:ascii="Arial" w:hAnsi="Arial" w:cs="Arial"/>
                <w:b/>
              </w:rPr>
              <w:t>plynem chlazených rychlých a vysokoteplotních</w:t>
            </w:r>
            <w:r w:rsidR="003C17C8" w:rsidRPr="002437E2">
              <w:rPr>
                <w:rFonts w:ascii="Arial" w:hAnsi="Arial" w:cs="Arial"/>
                <w:b/>
              </w:rPr>
              <w:t xml:space="preserve"> reaktorů.</w:t>
            </w:r>
          </w:p>
          <w:p w14:paraId="02D6F726" w14:textId="01FE2D0D" w:rsidR="00FF1E35" w:rsidRPr="002437E2" w:rsidRDefault="003C17C8" w:rsidP="001E7411">
            <w:pPr>
              <w:spacing w:after="120" w:line="300" w:lineRule="exact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b/>
                <w:i/>
                <w:color w:val="000000"/>
              </w:rPr>
              <w:t>(kompletní informace viz materiál M</w:t>
            </w:r>
            <w:r w:rsidR="006744D1">
              <w:rPr>
                <w:rFonts w:ascii="Arial" w:hAnsi="Arial" w:cs="Arial"/>
                <w:b/>
                <w:i/>
                <w:color w:val="000000"/>
              </w:rPr>
              <w:t xml:space="preserve">PO </w:t>
            </w:r>
            <w:proofErr w:type="gramStart"/>
            <w:r w:rsidR="001E7411">
              <w:rPr>
                <w:rFonts w:ascii="Arial" w:hAnsi="Arial" w:cs="Arial"/>
                <w:b/>
                <w:i/>
                <w:color w:val="000000"/>
              </w:rPr>
              <w:t>č.j.</w:t>
            </w:r>
            <w:proofErr w:type="gramEnd"/>
            <w:r w:rsidR="001E7411">
              <w:rPr>
                <w:rFonts w:ascii="Arial" w:hAnsi="Arial" w:cs="Arial"/>
                <w:b/>
                <w:i/>
                <w:color w:val="000000"/>
              </w:rPr>
              <w:t xml:space="preserve"> </w:t>
            </w:r>
            <w:r w:rsidR="001E7411" w:rsidRPr="004049A4">
              <w:rPr>
                <w:rFonts w:ascii="Arial" w:hAnsi="Arial" w:cs="Arial"/>
                <w:b/>
                <w:i/>
                <w:color w:val="000000"/>
              </w:rPr>
              <w:t xml:space="preserve">: </w:t>
            </w:r>
            <w:r w:rsidR="006744D1">
              <w:rPr>
                <w:rFonts w:ascii="Arial" w:hAnsi="Arial" w:cs="Arial"/>
                <w:b/>
                <w:i/>
                <w:color w:val="000000"/>
              </w:rPr>
              <w:t>MPO 21210/20/71400/71000); viz str. 4–</w:t>
            </w:r>
            <w:r w:rsidRPr="002437E2">
              <w:rPr>
                <w:rFonts w:ascii="Arial" w:hAnsi="Arial" w:cs="Arial"/>
                <w:b/>
                <w:i/>
                <w:color w:val="000000"/>
              </w:rPr>
              <w:t>8)</w:t>
            </w:r>
          </w:p>
        </w:tc>
      </w:tr>
      <w:tr w:rsidR="001B0930" w:rsidRPr="002437E2" w14:paraId="2DD22EC6" w14:textId="77777777" w:rsidTr="001E7411">
        <w:tc>
          <w:tcPr>
            <w:tcW w:w="713" w:type="pct"/>
            <w:vAlign w:val="center"/>
          </w:tcPr>
          <w:p w14:paraId="6226D001" w14:textId="77777777" w:rsidR="005D78A0" w:rsidRPr="004009EC" w:rsidRDefault="005D78A0" w:rsidP="0099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4009EC"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  <w:lastRenderedPageBreak/>
              <w:t>FNUSA-ICRC</w:t>
            </w:r>
          </w:p>
        </w:tc>
        <w:tc>
          <w:tcPr>
            <w:tcW w:w="1819" w:type="pct"/>
            <w:vAlign w:val="center"/>
          </w:tcPr>
          <w:p w14:paraId="06069D76" w14:textId="792E45F4" w:rsidR="005D78A0" w:rsidRPr="002437E2" w:rsidRDefault="001E7411" w:rsidP="001E7411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  <w:r w:rsidRPr="001E7411">
              <w:rPr>
                <w:rFonts w:ascii="Arial" w:hAnsi="Arial" w:cs="Arial"/>
                <w:color w:val="000000"/>
              </w:rPr>
              <w:t>Fakultní nemocnice u sv. Anny v Brně</w:t>
            </w:r>
          </w:p>
        </w:tc>
        <w:tc>
          <w:tcPr>
            <w:tcW w:w="2468" w:type="pct"/>
          </w:tcPr>
          <w:p w14:paraId="46D359A9" w14:textId="52C2C54E" w:rsidR="005D78A0" w:rsidRPr="002437E2" w:rsidRDefault="005D78A0" w:rsidP="009D4A63">
            <w:pPr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color w:val="000000"/>
              </w:rPr>
              <w:t>Mezinárodní centrum klinického výzkumu Fakultní nemocnice u sv. Anny v</w:t>
            </w:r>
            <w:r w:rsidR="006744D1">
              <w:rPr>
                <w:rFonts w:ascii="Arial" w:hAnsi="Arial" w:cs="Arial"/>
                <w:color w:val="000000"/>
              </w:rPr>
              <w:t> </w:t>
            </w:r>
            <w:r w:rsidRPr="002437E2">
              <w:rPr>
                <w:rFonts w:ascii="Arial" w:hAnsi="Arial" w:cs="Arial"/>
                <w:color w:val="000000"/>
              </w:rPr>
              <w:t>Brně (FNUSA-ICRC)</w:t>
            </w:r>
            <w:r w:rsidR="00FF1E35" w:rsidRPr="002437E2">
              <w:rPr>
                <w:rFonts w:ascii="Arial" w:hAnsi="Arial" w:cs="Arial"/>
                <w:color w:val="000000"/>
              </w:rPr>
              <w:t xml:space="preserve"> - s</w:t>
            </w:r>
            <w:r w:rsidRPr="002437E2">
              <w:rPr>
                <w:rFonts w:ascii="Arial" w:hAnsi="Arial" w:cs="Arial"/>
                <w:color w:val="000000"/>
              </w:rPr>
              <w:t> ohledem na probíhající pandemii onemocnění COVID-19</w:t>
            </w:r>
            <w:r w:rsidR="00FF1E35" w:rsidRPr="002437E2">
              <w:rPr>
                <w:rFonts w:ascii="Arial" w:hAnsi="Arial" w:cs="Arial"/>
                <w:color w:val="000000"/>
              </w:rPr>
              <w:t xml:space="preserve"> a naléhavé </w:t>
            </w:r>
            <w:r w:rsidRPr="002437E2">
              <w:rPr>
                <w:rFonts w:ascii="Arial" w:hAnsi="Arial" w:cs="Arial"/>
                <w:color w:val="000000"/>
              </w:rPr>
              <w:t>úkoly rezortu, které bylo nutno řešit přednostně, nemohlo Ministerstvo zdravotnictví zajistit analýzu FNUSA-ICRC v požadované podobě. Ministerstvo zdravotnictví počítá s působením výzkumného centra FNUSA-ICRC i do budoucna, nicméně v omezeném rozsahu a za předpokladu předem známých výzkumných projektů, a to jak ve střednědobém, tak i dlouhodobém výhledu.</w:t>
            </w:r>
          </w:p>
          <w:p w14:paraId="5FEC2468" w14:textId="77777777" w:rsidR="005D78A0" w:rsidRDefault="005D78A0" w:rsidP="009D4A63">
            <w:pPr>
              <w:spacing w:line="300" w:lineRule="exact"/>
              <w:jc w:val="both"/>
              <w:rPr>
                <w:rFonts w:ascii="Arial" w:hAnsi="Arial" w:cs="Arial"/>
              </w:rPr>
            </w:pPr>
            <w:r w:rsidRPr="002437E2">
              <w:rPr>
                <w:rFonts w:ascii="Arial" w:hAnsi="Arial" w:cs="Arial"/>
                <w:color w:val="000000"/>
              </w:rPr>
              <w:t xml:space="preserve">Po skončení nouzového stavu a normalizace situace v rezortu zdravotnictví bude provedena potřebná analýza výkonnosti FNSUA-ICRC a v závislosti na získaných výsledcích bude připraven detailní plán dalšího působení </w:t>
            </w:r>
            <w:r w:rsidRPr="002437E2">
              <w:rPr>
                <w:rFonts w:ascii="Arial" w:hAnsi="Arial" w:cs="Arial"/>
                <w:color w:val="000000"/>
              </w:rPr>
              <w:lastRenderedPageBreak/>
              <w:t>výzkumného centra, včetně jeho financování.</w:t>
            </w:r>
          </w:p>
          <w:p w14:paraId="35237F2A" w14:textId="5559447E" w:rsidR="006744D1" w:rsidRPr="002437E2" w:rsidRDefault="006744D1" w:rsidP="008E78F4">
            <w:pPr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  <w:r w:rsidRPr="002437E2">
              <w:rPr>
                <w:rFonts w:ascii="Arial" w:hAnsi="Arial" w:cs="Arial"/>
                <w:b/>
                <w:i/>
                <w:color w:val="000000"/>
              </w:rPr>
              <w:t xml:space="preserve">(kompletní informace </w:t>
            </w:r>
            <w:r w:rsidR="008E78F4">
              <w:rPr>
                <w:rFonts w:ascii="Arial" w:hAnsi="Arial" w:cs="Arial"/>
                <w:b/>
                <w:i/>
                <w:color w:val="000000"/>
              </w:rPr>
              <w:t>– odklad termínu</w:t>
            </w:r>
            <w:r w:rsidRPr="002437E2">
              <w:rPr>
                <w:rFonts w:ascii="Arial" w:hAnsi="Arial" w:cs="Arial"/>
                <w:b/>
                <w:i/>
                <w:color w:val="000000"/>
              </w:rPr>
              <w:t>)</w:t>
            </w:r>
          </w:p>
        </w:tc>
      </w:tr>
    </w:tbl>
    <w:p w14:paraId="73592477" w14:textId="77777777" w:rsidR="00705371" w:rsidRPr="007361C3" w:rsidRDefault="00705371" w:rsidP="001B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sectPr w:rsidR="00705371" w:rsidRPr="007361C3" w:rsidSect="00BC156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5E1975" w15:done="0"/>
  <w15:commentEx w15:paraId="050357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A1FBF" w14:textId="77777777" w:rsidR="005E5AFF" w:rsidRDefault="005E5AFF" w:rsidP="004009EC">
      <w:pPr>
        <w:spacing w:after="0" w:line="240" w:lineRule="auto"/>
      </w:pPr>
      <w:r>
        <w:separator/>
      </w:r>
    </w:p>
  </w:endnote>
  <w:endnote w:type="continuationSeparator" w:id="0">
    <w:p w14:paraId="36B41B88" w14:textId="77777777" w:rsidR="005E5AFF" w:rsidRDefault="005E5AFF" w:rsidP="0040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Light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3F4B1" w14:textId="77777777" w:rsidR="005E5AFF" w:rsidRDefault="005E5AFF" w:rsidP="004009EC">
      <w:pPr>
        <w:spacing w:after="0" w:line="240" w:lineRule="auto"/>
      </w:pPr>
      <w:r>
        <w:separator/>
      </w:r>
    </w:p>
  </w:footnote>
  <w:footnote w:type="continuationSeparator" w:id="0">
    <w:p w14:paraId="062C5DF8" w14:textId="77777777" w:rsidR="005E5AFF" w:rsidRDefault="005E5AFF" w:rsidP="00400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20474" w14:textId="6AE3B73C" w:rsidR="004009EC" w:rsidRDefault="004009EC">
    <w:pPr>
      <w:pStyle w:val="Zhlav"/>
    </w:pPr>
    <w:r>
      <w:t>Souhrn z podkladů MŠMT, AV ČR, MPO, MZD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1344DB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E410A"/>
    <w:multiLevelType w:val="hybridMultilevel"/>
    <w:tmpl w:val="CEB4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C6189"/>
    <w:multiLevelType w:val="hybridMultilevel"/>
    <w:tmpl w:val="A830AA12"/>
    <w:lvl w:ilvl="0" w:tplc="42E4B4FC">
      <w:start w:val="1"/>
      <w:numFmt w:val="bullet"/>
      <w:lvlText w:val="-"/>
      <w:lvlJc w:val="left"/>
      <w:pPr>
        <w:ind w:left="720" w:hanging="360"/>
      </w:pPr>
      <w:rPr>
        <w:rFonts w:ascii="Calibri-Light" w:eastAsiaTheme="minorHAnsi" w:hAnsi="Calibri-Light" w:cs="Calibri-Light" w:hint="default"/>
        <w:sz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D59C5"/>
    <w:multiLevelType w:val="hybridMultilevel"/>
    <w:tmpl w:val="65BE894C"/>
    <w:lvl w:ilvl="0" w:tplc="96A48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982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181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689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28B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D29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12C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D6C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20A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2337F29"/>
    <w:multiLevelType w:val="hybridMultilevel"/>
    <w:tmpl w:val="633E9668"/>
    <w:lvl w:ilvl="0" w:tplc="EEB648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C5C3B"/>
    <w:multiLevelType w:val="hybridMultilevel"/>
    <w:tmpl w:val="72E64B52"/>
    <w:lvl w:ilvl="0" w:tplc="DF38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B1174"/>
    <w:multiLevelType w:val="hybridMultilevel"/>
    <w:tmpl w:val="A06CC382"/>
    <w:lvl w:ilvl="0" w:tplc="F28432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247C4"/>
    <w:multiLevelType w:val="hybridMultilevel"/>
    <w:tmpl w:val="DD54682A"/>
    <w:lvl w:ilvl="0" w:tplc="DA569ACA">
      <w:start w:val="5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DD244F"/>
    <w:multiLevelType w:val="hybridMultilevel"/>
    <w:tmpl w:val="74F41A50"/>
    <w:lvl w:ilvl="0" w:tplc="3ED03B04">
      <w:start w:val="5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eková Lucie">
    <w15:presenceInfo w15:providerId="None" w15:userId="Kureková Luc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CB"/>
    <w:rsid w:val="00101F45"/>
    <w:rsid w:val="001B0930"/>
    <w:rsid w:val="001E7411"/>
    <w:rsid w:val="00217051"/>
    <w:rsid w:val="002437E2"/>
    <w:rsid w:val="00310ECB"/>
    <w:rsid w:val="00316D88"/>
    <w:rsid w:val="00327FA9"/>
    <w:rsid w:val="003C17C8"/>
    <w:rsid w:val="003C2DB4"/>
    <w:rsid w:val="003D5C0B"/>
    <w:rsid w:val="004009EC"/>
    <w:rsid w:val="004049A4"/>
    <w:rsid w:val="004351E7"/>
    <w:rsid w:val="00503152"/>
    <w:rsid w:val="00544FC8"/>
    <w:rsid w:val="00565936"/>
    <w:rsid w:val="005867A5"/>
    <w:rsid w:val="005D78A0"/>
    <w:rsid w:val="005E5AFF"/>
    <w:rsid w:val="005F7D0A"/>
    <w:rsid w:val="0060729C"/>
    <w:rsid w:val="00621ACB"/>
    <w:rsid w:val="00641CDF"/>
    <w:rsid w:val="006744D1"/>
    <w:rsid w:val="006B3DFA"/>
    <w:rsid w:val="006D31BC"/>
    <w:rsid w:val="00705371"/>
    <w:rsid w:val="007361C3"/>
    <w:rsid w:val="008473C7"/>
    <w:rsid w:val="008E5875"/>
    <w:rsid w:val="008E78F4"/>
    <w:rsid w:val="00980B61"/>
    <w:rsid w:val="009946F4"/>
    <w:rsid w:val="009D4A63"/>
    <w:rsid w:val="00A260F3"/>
    <w:rsid w:val="00B56636"/>
    <w:rsid w:val="00BC1562"/>
    <w:rsid w:val="00BC5A25"/>
    <w:rsid w:val="00BF1B31"/>
    <w:rsid w:val="00CA0228"/>
    <w:rsid w:val="00CA3B2E"/>
    <w:rsid w:val="00D006DF"/>
    <w:rsid w:val="00E430EB"/>
    <w:rsid w:val="00EA1813"/>
    <w:rsid w:val="00F17F82"/>
    <w:rsid w:val="00F201BB"/>
    <w:rsid w:val="00F97634"/>
    <w:rsid w:val="00FE04CB"/>
    <w:rsid w:val="00FF050E"/>
    <w:rsid w:val="00FF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E0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F201BB"/>
    <w:pPr>
      <w:ind w:left="720"/>
      <w:contextualSpacing/>
    </w:pPr>
  </w:style>
  <w:style w:type="paragraph" w:customStyle="1" w:styleId="Default">
    <w:name w:val="Default"/>
    <w:rsid w:val="00BF1B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8E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FF050E"/>
  </w:style>
  <w:style w:type="paragraph" w:customStyle="1" w:styleId="vodnosloven">
    <w:name w:val="Úvodní oslovení"/>
    <w:basedOn w:val="Normln"/>
    <w:rsid w:val="005D78A0"/>
    <w:pPr>
      <w:spacing w:before="600" w:after="480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0B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0B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0B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0B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0B6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0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B61"/>
    <w:rPr>
      <w:rFonts w:ascii="Segoe UI" w:hAnsi="Segoe UI" w:cs="Segoe UI"/>
      <w:sz w:val="18"/>
      <w:szCs w:val="18"/>
    </w:rPr>
  </w:style>
  <w:style w:type="paragraph" w:styleId="Seznamsodrkami">
    <w:name w:val="List Bullet"/>
    <w:basedOn w:val="Normln"/>
    <w:uiPriority w:val="99"/>
    <w:unhideWhenUsed/>
    <w:rsid w:val="00980B61"/>
    <w:pPr>
      <w:numPr>
        <w:numId w:val="9"/>
      </w:numPr>
      <w:contextualSpacing/>
    </w:pPr>
  </w:style>
  <w:style w:type="paragraph" w:styleId="Zhlav">
    <w:name w:val="header"/>
    <w:basedOn w:val="Normln"/>
    <w:link w:val="ZhlavChar"/>
    <w:uiPriority w:val="99"/>
    <w:unhideWhenUsed/>
    <w:rsid w:val="00400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9EC"/>
  </w:style>
  <w:style w:type="paragraph" w:styleId="Zpat">
    <w:name w:val="footer"/>
    <w:basedOn w:val="Normln"/>
    <w:link w:val="ZpatChar"/>
    <w:uiPriority w:val="99"/>
    <w:unhideWhenUsed/>
    <w:rsid w:val="00400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E0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F201BB"/>
    <w:pPr>
      <w:ind w:left="720"/>
      <w:contextualSpacing/>
    </w:pPr>
  </w:style>
  <w:style w:type="paragraph" w:customStyle="1" w:styleId="Default">
    <w:name w:val="Default"/>
    <w:rsid w:val="00BF1B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8E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FF050E"/>
  </w:style>
  <w:style w:type="paragraph" w:customStyle="1" w:styleId="vodnosloven">
    <w:name w:val="Úvodní oslovení"/>
    <w:basedOn w:val="Normln"/>
    <w:rsid w:val="005D78A0"/>
    <w:pPr>
      <w:spacing w:before="600" w:after="480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0B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0B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0B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0B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0B6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0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B61"/>
    <w:rPr>
      <w:rFonts w:ascii="Segoe UI" w:hAnsi="Segoe UI" w:cs="Segoe UI"/>
      <w:sz w:val="18"/>
      <w:szCs w:val="18"/>
    </w:rPr>
  </w:style>
  <w:style w:type="paragraph" w:styleId="Seznamsodrkami">
    <w:name w:val="List Bullet"/>
    <w:basedOn w:val="Normln"/>
    <w:uiPriority w:val="99"/>
    <w:unhideWhenUsed/>
    <w:rsid w:val="00980B61"/>
    <w:pPr>
      <w:numPr>
        <w:numId w:val="9"/>
      </w:numPr>
      <w:contextualSpacing/>
    </w:pPr>
  </w:style>
  <w:style w:type="paragraph" w:styleId="Zhlav">
    <w:name w:val="header"/>
    <w:basedOn w:val="Normln"/>
    <w:link w:val="ZhlavChar"/>
    <w:uiPriority w:val="99"/>
    <w:unhideWhenUsed/>
    <w:rsid w:val="00400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9EC"/>
  </w:style>
  <w:style w:type="paragraph" w:styleId="Zpat">
    <w:name w:val="footer"/>
    <w:basedOn w:val="Normln"/>
    <w:link w:val="ZpatChar"/>
    <w:uiPriority w:val="99"/>
    <w:unhideWhenUsed/>
    <w:rsid w:val="00400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0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3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09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1589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10946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Bumanová Kateřina</cp:lastModifiedBy>
  <cp:revision>5</cp:revision>
  <dcterms:created xsi:type="dcterms:W3CDTF">2020-04-22T13:22:00Z</dcterms:created>
  <dcterms:modified xsi:type="dcterms:W3CDTF">2020-04-22T13:45:00Z</dcterms:modified>
</cp:coreProperties>
</file>