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4E352F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:rsidR="00D70C45" w:rsidRPr="00D70C45" w:rsidRDefault="000608B9" w:rsidP="00D70C45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Grantová</w:t>
            </w:r>
            <w:r w:rsidR="00DC045C" w:rsidRPr="00DC045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agentura ČR</w:t>
            </w:r>
          </w:p>
          <w:p w:rsidR="00DC045C" w:rsidRDefault="00D70C45" w:rsidP="00C95595">
            <w:pPr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before="60" w:after="60"/>
              <w:ind w:left="993" w:hanging="567"/>
              <w:jc w:val="both"/>
              <w:rPr>
                <w:rFonts w:ascii="Arial" w:hAnsi="Arial" w:cs="Arial"/>
                <w:b/>
                <w:color w:val="0070C0"/>
              </w:rPr>
            </w:pPr>
            <w:r w:rsidRPr="00D70C45">
              <w:rPr>
                <w:rFonts w:ascii="Arial" w:hAnsi="Arial" w:cs="Arial"/>
                <w:b/>
                <w:color w:val="0070C0"/>
              </w:rPr>
              <w:t xml:space="preserve">Výzva k podávání návrhů kandidátů na </w:t>
            </w:r>
            <w:r w:rsidR="00D95F42">
              <w:rPr>
                <w:rFonts w:ascii="Arial" w:hAnsi="Arial" w:cs="Arial"/>
                <w:b/>
                <w:color w:val="0070C0"/>
              </w:rPr>
              <w:t>3 </w:t>
            </w:r>
            <w:r w:rsidR="000608B9">
              <w:rPr>
                <w:rFonts w:ascii="Arial" w:hAnsi="Arial" w:cs="Arial"/>
                <w:b/>
                <w:color w:val="0070C0"/>
              </w:rPr>
              <w:t>členy / členky</w:t>
            </w:r>
            <w:r w:rsidRPr="00D70C45">
              <w:rPr>
                <w:rFonts w:ascii="Arial" w:hAnsi="Arial" w:cs="Arial"/>
                <w:b/>
                <w:color w:val="0070C0"/>
              </w:rPr>
              <w:t xml:space="preserve"> </w:t>
            </w:r>
            <w:r w:rsidR="000608B9">
              <w:rPr>
                <w:rFonts w:ascii="Arial" w:hAnsi="Arial" w:cs="Arial"/>
                <w:b/>
                <w:color w:val="0070C0"/>
              </w:rPr>
              <w:t>předsednictva GA</w:t>
            </w:r>
            <w:r w:rsidRPr="00D70C45">
              <w:rPr>
                <w:rFonts w:ascii="Arial" w:hAnsi="Arial" w:cs="Arial"/>
                <w:b/>
                <w:color w:val="0070C0"/>
              </w:rPr>
              <w:t xml:space="preserve"> ČR </w:t>
            </w:r>
            <w:r w:rsidR="00C754A2">
              <w:rPr>
                <w:rFonts w:ascii="Arial" w:hAnsi="Arial" w:cs="Arial"/>
                <w:b/>
                <w:color w:val="0070C0"/>
              </w:rPr>
              <w:t>a na předsedu / předsedkyni GA ČR</w:t>
            </w:r>
          </w:p>
          <w:p w:rsidR="00E64098" w:rsidRPr="00DC045C" w:rsidRDefault="006A02FD" w:rsidP="00B159C8">
            <w:pPr>
              <w:numPr>
                <w:ilvl w:val="0"/>
                <w:numId w:val="13"/>
              </w:numPr>
              <w:tabs>
                <w:tab w:val="left" w:pos="-26"/>
                <w:tab w:val="left" w:pos="900"/>
              </w:tabs>
              <w:spacing w:before="60" w:after="60"/>
              <w:ind w:left="993" w:hanging="567"/>
              <w:jc w:val="both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Návrh na o</w:t>
            </w:r>
            <w:r w:rsidR="000608B9">
              <w:rPr>
                <w:rFonts w:ascii="Arial" w:hAnsi="Arial" w:cs="Arial"/>
                <w:b/>
                <w:color w:val="0070C0"/>
              </w:rPr>
              <w:t>dvolání člena</w:t>
            </w:r>
            <w:r w:rsidR="00DC045C" w:rsidRPr="00DC045C">
              <w:rPr>
                <w:rFonts w:ascii="Arial" w:hAnsi="Arial" w:cs="Arial"/>
                <w:b/>
                <w:color w:val="0070C0"/>
              </w:rPr>
              <w:t xml:space="preserve"> v</w:t>
            </w:r>
            <w:r w:rsidR="000608B9">
              <w:rPr>
                <w:rFonts w:ascii="Arial" w:hAnsi="Arial" w:cs="Arial"/>
                <w:b/>
                <w:color w:val="0070C0"/>
              </w:rPr>
              <w:t>ědecké rady G</w:t>
            </w:r>
            <w:r>
              <w:rPr>
                <w:rFonts w:ascii="Arial" w:hAnsi="Arial" w:cs="Arial"/>
                <w:b/>
                <w:color w:val="0070C0"/>
              </w:rPr>
              <w:t>A </w:t>
            </w:r>
            <w:r w:rsidR="00DC045C" w:rsidRPr="00DC045C">
              <w:rPr>
                <w:rFonts w:ascii="Arial" w:hAnsi="Arial" w:cs="Arial"/>
                <w:b/>
                <w:color w:val="0070C0"/>
              </w:rPr>
              <w:t xml:space="preserve">ČR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8CCE4" w:themeFill="accent1" w:themeFillTint="66"/>
            <w:vAlign w:val="center"/>
          </w:tcPr>
          <w:p w:rsidR="008F77F6" w:rsidRPr="009870E8" w:rsidRDefault="00E60F2F" w:rsidP="00DC045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C045C">
              <w:rPr>
                <w:rFonts w:ascii="Arial" w:hAnsi="Arial" w:cs="Arial"/>
                <w:b/>
                <w:color w:val="0070C0"/>
                <w:sz w:val="28"/>
                <w:szCs w:val="28"/>
              </w:rPr>
              <w:t>58</w:t>
            </w:r>
            <w:r w:rsidR="000607ED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B1CCE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941EAD">
        <w:trPr>
          <w:trHeight w:val="96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27A91" w:rsidRPr="00723FCE" w:rsidRDefault="00941EAD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1EAD">
              <w:rPr>
                <w:rFonts w:ascii="Arial" w:hAnsi="Arial" w:cs="Arial"/>
                <w:b/>
                <w:color w:val="000000"/>
                <w:sz w:val="22"/>
                <w:szCs w:val="22"/>
              </w:rPr>
              <w:t>Ad a)</w:t>
            </w:r>
            <w:r w:rsidR="007D7C7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E27A91"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předpisů, je předsednictvo GA ČR výkonným orgánem GA ČR. Má 5 členů včetně předsedy, které jmenuje a odvolává vláda na návrh Rady pro výzkum, vývoj a inovace (dále jen „Rada“). 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předsednictva je čtyřleté s možností jmenování nejvýše na 2 období po sobě následující. Statutárním orgánem GA ČR je její předseda. 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Předsednictvo schvaluje vyhlášení veřejných soutěží ve výzkumu a vývoji a dále také rozhoduje o uzavření smluv o poskytnutí podpory nebo o vydání rozhodnutí o poskytnutí podpory na grantový projekt, na základě hodnocení oborových komisí a panelů GA ČR. Předsednictvo koordinuje činnost odborných poradních orgánů, jmenuje a odvolává jejich členy.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Předseda a členové předsednictva GA ČR vykonávají funkci v pracovním poměru. Platové poměry předsedy a členů předsednictva GA ČR se řídí právními předpisy upravujícími platové poměry zaměstnanců v orgánech státní správy.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Stávající členové předsednictva GA ČR:</w:t>
            </w:r>
          </w:p>
          <w:p w:rsidR="00E27A91" w:rsidRPr="00723FCE" w:rsidRDefault="00E27A91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RNDr. Alice </w:t>
            </w:r>
            <w:proofErr w:type="spellStart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Valkárová</w:t>
            </w:r>
            <w:proofErr w:type="spell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DrSc. (předsedkyně)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- vědy o neživé přírodě</w:t>
            </w:r>
          </w:p>
          <w:p w:rsidR="00E27A91" w:rsidRPr="00723FCE" w:rsidRDefault="00E27A91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Stanislava Hronová, CSc., </w:t>
            </w:r>
            <w:proofErr w:type="spellStart"/>
            <w:proofErr w:type="gramStart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dr.h.</w:t>
            </w:r>
            <w:proofErr w:type="gram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proofErr w:type="spell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. (místopředsedkyně)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společenské a humanitní vědy</w:t>
            </w:r>
          </w:p>
          <w:p w:rsidR="00E27A91" w:rsidRPr="00723FCE" w:rsidRDefault="00E27A91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RNDr. Jaroslav </w:t>
            </w:r>
            <w:proofErr w:type="spellStart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Koča</w:t>
            </w:r>
            <w:proofErr w:type="spell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, DrSc.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lékařské a biologické vědy</w:t>
            </w:r>
          </w:p>
          <w:p w:rsidR="00E27A91" w:rsidRPr="00723FCE" w:rsidRDefault="00E27A91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doc. RNDr. Petr </w:t>
            </w:r>
            <w:proofErr w:type="spellStart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Baldrian</w:t>
            </w:r>
            <w:proofErr w:type="spell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, Ph.D.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zemědělské a biologicko-environmentální vědy</w:t>
            </w:r>
          </w:p>
          <w:p w:rsidR="008F7D52" w:rsidRDefault="00E27A91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Rostislav </w:t>
            </w:r>
            <w:proofErr w:type="spellStart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Drochytka</w:t>
            </w:r>
            <w:proofErr w:type="spellEnd"/>
            <w:r w:rsidRPr="00723FCE">
              <w:rPr>
                <w:rFonts w:ascii="Arial" w:hAnsi="Arial" w:cs="Arial"/>
                <w:b/>
                <w:color w:val="000000"/>
                <w:sz w:val="22"/>
                <w:szCs w:val="22"/>
              </w:rPr>
              <w:t>, CSc., MBA, dr. h. c.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technické vědy</w:t>
            </w:r>
          </w:p>
          <w:p w:rsidR="00941EAD" w:rsidRDefault="00941EAD" w:rsidP="00723FCE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089B" w:rsidRDefault="00CF089B" w:rsidP="00CF08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Ke dni 10. prosince 2020 končí funkční období předsedkyni GA ČR dr. </w:t>
            </w:r>
            <w:proofErr w:type="spellStart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>Valkárové</w:t>
            </w:r>
            <w:proofErr w:type="spellEnd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 členu předsednictva GA ČR prof. </w:t>
            </w:r>
            <w:proofErr w:type="spellStart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>Kočovi</w:t>
            </w:r>
            <w:proofErr w:type="spellEnd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 xml:space="preserve">. Ke dni 7. ledna 2021 končí funkční období členu předsednictva GA ČR doc. </w:t>
            </w:r>
            <w:proofErr w:type="spellStart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>Baldrianovi</w:t>
            </w:r>
            <w:proofErr w:type="spellEnd"/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>. Uvedení byli jmenováni usnesením vlády ze dne 28. listopadu 2016 č. 1070.</w:t>
            </w:r>
          </w:p>
          <w:p w:rsidR="00CF089B" w:rsidRDefault="00CF089B" w:rsidP="00CF089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</w:rPr>
            </w:pPr>
          </w:p>
          <w:p w:rsidR="00CF089B" w:rsidRPr="00CF089B" w:rsidRDefault="00CF089B" w:rsidP="00CF089B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eastAsia="Calibri" w:hAnsi="Arial" w:cs="Arial"/>
                <w:bCs/>
                <w:sz w:val="22"/>
                <w:szCs w:val="22"/>
              </w:rPr>
              <w:t>Vzhledem k ukončení 4 letého funkčního období j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e zapotřebí </w:t>
            </w:r>
            <w:r w:rsidRPr="00CF089B">
              <w:rPr>
                <w:rFonts w:ascii="Arial" w:hAnsi="Arial" w:cs="Arial"/>
                <w:b/>
                <w:color w:val="000000"/>
                <w:sz w:val="22"/>
                <w:szCs w:val="22"/>
              </w:rPr>
              <w:t>doplnit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předsednictvo GA ČR na </w:t>
            </w:r>
            <w:r w:rsidRPr="00CF089B">
              <w:rPr>
                <w:rFonts w:ascii="Arial" w:hAnsi="Arial" w:cs="Arial"/>
                <w:b/>
                <w:color w:val="000000"/>
                <w:sz w:val="22"/>
                <w:szCs w:val="22"/>
              </w:rPr>
              <w:t>zákonem stanovený počet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F089B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s přihlédnutím k oborům, které v předsednictvu zastávají 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>(vědy o neživé přírodě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;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 lékařské a biologické vědy; zemědělské a biologicko-environmentální vědy).</w:t>
            </w:r>
          </w:p>
          <w:p w:rsidR="00CF089B" w:rsidRDefault="00CF089B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>Předpokládané zahájení výkonu funkce pro dva nové členy (</w:t>
            </w:r>
            <w:r w:rsidR="00AC69FA">
              <w:rPr>
                <w:rFonts w:ascii="Arial" w:hAnsi="Arial" w:cs="Arial"/>
                <w:color w:val="000000"/>
                <w:sz w:val="22"/>
                <w:szCs w:val="22"/>
              </w:rPr>
              <w:t>členku/člena a 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>předsedkyni/předsedu) předsednictva GA ČR je dne 11. prosince 2020 a pro je</w:t>
            </w:r>
            <w:r w:rsidR="00AC69FA">
              <w:rPr>
                <w:rFonts w:ascii="Arial" w:hAnsi="Arial" w:cs="Arial"/>
                <w:color w:val="000000"/>
                <w:sz w:val="22"/>
                <w:szCs w:val="22"/>
              </w:rPr>
              <w:t>dnoho člena předsednictva GA ČR</w:t>
            </w: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> dne 8. ledna 2021.</w:t>
            </w:r>
          </w:p>
          <w:p w:rsidR="00C754A2" w:rsidRPr="00723FCE" w:rsidRDefault="00C754A2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Současně je zapotřebí zvolit ze členů předsednictva nového předsedu či předsedkyni GA ČR. Proto budou ti členové GA ČR, jejichž členství neskončilo, osloveni s dotazem, zda se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chtějí ucházet o funkci předsedy / předsedkyně GA ČR. Nominovaní kandidáti na členství v předsednictvu GA ČR jsou žádáni o vyjádření v této věci již při nominaci.</w:t>
            </w:r>
          </w:p>
          <w:p w:rsidR="00941EAD" w:rsidRPr="007D7C74" w:rsidRDefault="004A2383" w:rsidP="00C754A2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Radě je předložena „Výzva 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 xml:space="preserve">k podávání návrhů kandidátů na </w:t>
            </w:r>
            <w:r w:rsidR="00893E6B">
              <w:rPr>
                <w:rFonts w:ascii="Arial" w:hAnsi="Arial" w:cs="Arial"/>
                <w:color w:val="000000"/>
                <w:sz w:val="22"/>
                <w:szCs w:val="22"/>
              </w:rPr>
              <w:t>3 členky / členy předsednictva G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>A ČR</w:t>
            </w:r>
            <w:r w:rsidR="00C754A2">
              <w:rPr>
                <w:rFonts w:ascii="Arial" w:hAnsi="Arial" w:cs="Arial"/>
                <w:color w:val="000000"/>
                <w:sz w:val="22"/>
                <w:szCs w:val="22"/>
              </w:rPr>
              <w:t xml:space="preserve"> a na předsedu / předsedkyni GA ČR</w:t>
            </w:r>
            <w:r w:rsidRPr="0028130E">
              <w:rPr>
                <w:rFonts w:ascii="Arial" w:hAnsi="Arial" w:cs="Arial"/>
                <w:color w:val="000000"/>
                <w:sz w:val="22"/>
                <w:szCs w:val="22"/>
              </w:rPr>
              <w:t xml:space="preserve">“, která bude zveřejněna na webových stránkách </w:t>
            </w:r>
            <w:hyperlink r:id="rId7" w:history="1">
              <w:r w:rsidRPr="004F737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4F7373" w:rsidRPr="004F7373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do </w:t>
            </w:r>
            <w:r w:rsidR="004F7373" w:rsidRPr="004F7373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  <w:r w:rsidR="00606419"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C7157E" w:rsidRPr="004F7373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="00606419" w:rsidRPr="004F7373">
              <w:rPr>
                <w:rFonts w:ascii="Arial" w:hAnsi="Arial" w:cs="Arial"/>
                <w:color w:val="000000"/>
                <w:sz w:val="22"/>
                <w:szCs w:val="22"/>
              </w:rPr>
              <w:t>rpna 2020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včetně.</w:t>
            </w:r>
          </w:p>
          <w:p w:rsidR="00603C5A" w:rsidRPr="007D7C74" w:rsidRDefault="00603C5A" w:rsidP="00603C5A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93E6B">
              <w:rPr>
                <w:rFonts w:ascii="Arial" w:hAnsi="Arial" w:cs="Arial"/>
                <w:b/>
                <w:sz w:val="22"/>
                <w:szCs w:val="22"/>
              </w:rPr>
              <w:t>Ad b)</w:t>
            </w:r>
            <w:r w:rsidR="007D7C7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200F">
              <w:rPr>
                <w:rFonts w:ascii="Arial" w:hAnsi="Arial" w:cs="Arial"/>
                <w:sz w:val="22"/>
                <w:szCs w:val="22"/>
              </w:rPr>
              <w:t>Dle Článku 5a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 V</w:t>
            </w:r>
            <w:r w:rsidR="0046200F">
              <w:rPr>
                <w:rFonts w:ascii="Arial" w:hAnsi="Arial" w:cs="Arial"/>
                <w:sz w:val="22"/>
                <w:szCs w:val="22"/>
              </w:rPr>
              <w:t>ědecká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 rada</w:t>
            </w:r>
            <w:r w:rsidR="0046200F">
              <w:rPr>
                <w:rFonts w:ascii="Arial" w:hAnsi="Arial" w:cs="Arial"/>
                <w:sz w:val="22"/>
                <w:szCs w:val="22"/>
              </w:rPr>
              <w:t xml:space="preserve"> Grantové agentury (dále „vědecká rada“ nebo „VR GAČR“)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, odstavec </w:t>
            </w:r>
            <w:r w:rsidR="0046200F">
              <w:rPr>
                <w:rFonts w:ascii="Arial" w:hAnsi="Arial" w:cs="Arial"/>
                <w:sz w:val="22"/>
                <w:szCs w:val="22"/>
              </w:rPr>
              <w:t>2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 Statutu</w:t>
            </w:r>
            <w:r w:rsidR="0046200F">
              <w:rPr>
                <w:rFonts w:ascii="Arial" w:hAnsi="Arial" w:cs="Arial"/>
                <w:sz w:val="22"/>
                <w:szCs w:val="22"/>
              </w:rPr>
              <w:t xml:space="preserve"> GA ČR, </w:t>
            </w:r>
            <w:r w:rsidR="0046200F" w:rsidRPr="0046200F">
              <w:rPr>
                <w:rFonts w:ascii="Arial" w:hAnsi="Arial" w:cs="Arial"/>
                <w:sz w:val="22"/>
                <w:szCs w:val="22"/>
              </w:rPr>
              <w:t>má dvanáct členů, které z řad odborníků jmen</w:t>
            </w:r>
            <w:r w:rsidR="00941EAD">
              <w:rPr>
                <w:rFonts w:ascii="Arial" w:hAnsi="Arial" w:cs="Arial"/>
                <w:sz w:val="22"/>
                <w:szCs w:val="22"/>
              </w:rPr>
              <w:t>uje a </w:t>
            </w:r>
            <w:r w:rsidR="0046200F" w:rsidRPr="0046200F">
              <w:rPr>
                <w:rFonts w:ascii="Arial" w:hAnsi="Arial" w:cs="Arial"/>
                <w:sz w:val="22"/>
                <w:szCs w:val="22"/>
              </w:rPr>
              <w:t>odvolává vláda na návrh Rady. Funkční období členů vědecké rady je čtyřleté s možností jmenování nejvýše na dvě období po sobě následujíc</w:t>
            </w:r>
            <w:r w:rsidR="00941EAD">
              <w:rPr>
                <w:rFonts w:ascii="Arial" w:hAnsi="Arial" w:cs="Arial"/>
                <w:sz w:val="22"/>
                <w:szCs w:val="22"/>
              </w:rPr>
              <w:t>í. Funkce člena vědecké rady je </w:t>
            </w:r>
            <w:r w:rsidR="0046200F" w:rsidRPr="0046200F">
              <w:rPr>
                <w:rFonts w:ascii="Arial" w:hAnsi="Arial" w:cs="Arial"/>
                <w:sz w:val="22"/>
                <w:szCs w:val="22"/>
              </w:rPr>
              <w:t>veřejnou funkcí, která nezakládá pracovněprávní vztah k České republice. Výkon funkce člena</w:t>
            </w:r>
            <w:r w:rsidR="0046200F">
              <w:rPr>
                <w:rFonts w:ascii="Arial" w:hAnsi="Arial" w:cs="Arial"/>
                <w:sz w:val="22"/>
                <w:szCs w:val="22"/>
              </w:rPr>
              <w:t xml:space="preserve"> vědecké rady je neslučitelný s </w:t>
            </w:r>
            <w:r w:rsidR="0046200F" w:rsidRPr="0046200F">
              <w:rPr>
                <w:rFonts w:ascii="Arial" w:hAnsi="Arial" w:cs="Arial"/>
                <w:sz w:val="22"/>
                <w:szCs w:val="22"/>
              </w:rPr>
              <w:t>činností v oborových komisích a panelech.</w:t>
            </w:r>
          </w:p>
          <w:p w:rsidR="00603C5A" w:rsidRPr="00603C5A" w:rsidRDefault="00603C5A" w:rsidP="00603C5A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C2A38" w:rsidRPr="00AC6B23" w:rsidRDefault="004F7373" w:rsidP="004F737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03C5A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předložen návrh na </w:t>
            </w:r>
            <w:r>
              <w:rPr>
                <w:rFonts w:ascii="Arial" w:hAnsi="Arial" w:cs="Arial"/>
                <w:sz w:val="22"/>
                <w:szCs w:val="22"/>
              </w:rPr>
              <w:t>odvolání z členství VR GA ČR</w:t>
            </w:r>
            <w:r w:rsidRPr="00603C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prof. PhDr. Petra Sommera, CSc.,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na základě jeho vlastní žádosti. </w:t>
            </w:r>
            <w:r w:rsidR="00E27A91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 xml:space="preserve">dopis ze dne 4. června 2020, </w:t>
            </w:r>
            <w:r w:rsidR="00E27A91">
              <w:rPr>
                <w:rFonts w:ascii="Arial" w:hAnsi="Arial" w:cs="Arial"/>
                <w:sz w:val="22"/>
                <w:szCs w:val="22"/>
              </w:rPr>
              <w:t>čj. 20422/2020-UVCR)</w:t>
            </w:r>
            <w:r w:rsidR="00220F7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20D32" w:rsidRDefault="00BF2B73" w:rsidP="00720D32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893E6B">
              <w:rPr>
                <w:rFonts w:ascii="Arial" w:hAnsi="Arial" w:cs="Arial"/>
                <w:bCs/>
                <w:sz w:val="22"/>
                <w:szCs w:val="22"/>
              </w:rPr>
              <w:t>3 členky / členy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6200F">
              <w:rPr>
                <w:rFonts w:ascii="Arial" w:eastAsia="Calibri" w:hAnsi="Arial" w:cs="Arial"/>
                <w:sz w:val="22"/>
                <w:szCs w:val="22"/>
              </w:rPr>
              <w:t>předsednictva</w:t>
            </w:r>
            <w:r w:rsidR="00893E6B">
              <w:rPr>
                <w:rFonts w:ascii="Arial" w:eastAsia="Calibri" w:hAnsi="Arial" w:cs="Arial"/>
                <w:sz w:val="22"/>
                <w:szCs w:val="22"/>
              </w:rPr>
              <w:t xml:space="preserve"> G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A ČR </w:t>
            </w:r>
          </w:p>
          <w:p w:rsidR="00A60FDA" w:rsidRDefault="00893E6B" w:rsidP="00720D32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Dopis prof. Sommera</w:t>
            </w:r>
          </w:p>
          <w:p w:rsidR="000002D8" w:rsidRPr="00EB5977" w:rsidRDefault="000002D8" w:rsidP="00EB5977">
            <w:p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86D54" w:rsidRDefault="003B0ADA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ADA" w:rsidRDefault="003B0ADA" w:rsidP="008F77F6">
      <w:r>
        <w:separator/>
      </w:r>
    </w:p>
  </w:endnote>
  <w:endnote w:type="continuationSeparator" w:id="0">
    <w:p w:rsidR="003B0ADA" w:rsidRDefault="003B0A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ADA" w:rsidRDefault="003B0ADA" w:rsidP="008F77F6">
      <w:r>
        <w:separator/>
      </w:r>
    </w:p>
  </w:footnote>
  <w:footnote w:type="continuationSeparator" w:id="0">
    <w:p w:rsidR="003B0ADA" w:rsidRDefault="003B0A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8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18"/>
  </w:num>
  <w:num w:numId="9">
    <w:abstractNumId w:val="15"/>
  </w:num>
  <w:num w:numId="10">
    <w:abstractNumId w:val="19"/>
  </w:num>
  <w:num w:numId="11">
    <w:abstractNumId w:val="7"/>
  </w:num>
  <w:num w:numId="12">
    <w:abstractNumId w:val="2"/>
  </w:num>
  <w:num w:numId="13">
    <w:abstractNumId w:val="17"/>
  </w:num>
  <w:num w:numId="14">
    <w:abstractNumId w:val="9"/>
  </w:num>
  <w:num w:numId="15">
    <w:abstractNumId w:val="5"/>
  </w:num>
  <w:num w:numId="16">
    <w:abstractNumId w:val="13"/>
  </w:num>
  <w:num w:numId="17">
    <w:abstractNumId w:val="20"/>
  </w:num>
  <w:num w:numId="18">
    <w:abstractNumId w:val="11"/>
  </w:num>
  <w:num w:numId="19">
    <w:abstractNumId w:val="6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608B9"/>
    <w:rsid w:val="000650B2"/>
    <w:rsid w:val="00085271"/>
    <w:rsid w:val="00095B2C"/>
    <w:rsid w:val="000B4BF9"/>
    <w:rsid w:val="000B7D0E"/>
    <w:rsid w:val="000C4A33"/>
    <w:rsid w:val="000D6C28"/>
    <w:rsid w:val="000F4331"/>
    <w:rsid w:val="00115DD5"/>
    <w:rsid w:val="00115E72"/>
    <w:rsid w:val="001237E5"/>
    <w:rsid w:val="00127410"/>
    <w:rsid w:val="00141492"/>
    <w:rsid w:val="00154AA2"/>
    <w:rsid w:val="00167856"/>
    <w:rsid w:val="001829AF"/>
    <w:rsid w:val="0019207C"/>
    <w:rsid w:val="001D15F9"/>
    <w:rsid w:val="001D2EFF"/>
    <w:rsid w:val="001F29B8"/>
    <w:rsid w:val="001F4942"/>
    <w:rsid w:val="00220F70"/>
    <w:rsid w:val="002217B3"/>
    <w:rsid w:val="00237006"/>
    <w:rsid w:val="002614DF"/>
    <w:rsid w:val="00273F75"/>
    <w:rsid w:val="00277F9B"/>
    <w:rsid w:val="00280B76"/>
    <w:rsid w:val="0028130E"/>
    <w:rsid w:val="00286BAC"/>
    <w:rsid w:val="002A18DA"/>
    <w:rsid w:val="002F01DD"/>
    <w:rsid w:val="003005D2"/>
    <w:rsid w:val="00301C40"/>
    <w:rsid w:val="0030260D"/>
    <w:rsid w:val="0031020D"/>
    <w:rsid w:val="00316410"/>
    <w:rsid w:val="0032114F"/>
    <w:rsid w:val="00322D99"/>
    <w:rsid w:val="00332BC5"/>
    <w:rsid w:val="0033437D"/>
    <w:rsid w:val="003378F6"/>
    <w:rsid w:val="00340B79"/>
    <w:rsid w:val="00356727"/>
    <w:rsid w:val="00360293"/>
    <w:rsid w:val="00370AAB"/>
    <w:rsid w:val="00376D0F"/>
    <w:rsid w:val="00387B05"/>
    <w:rsid w:val="003907B0"/>
    <w:rsid w:val="003B0ADA"/>
    <w:rsid w:val="003B3511"/>
    <w:rsid w:val="003B50BF"/>
    <w:rsid w:val="003C1580"/>
    <w:rsid w:val="003C3DEA"/>
    <w:rsid w:val="003C6480"/>
    <w:rsid w:val="003D114D"/>
    <w:rsid w:val="00414F12"/>
    <w:rsid w:val="00425C94"/>
    <w:rsid w:val="004542EF"/>
    <w:rsid w:val="00461A40"/>
    <w:rsid w:val="0046200F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E352F"/>
    <w:rsid w:val="004E6B96"/>
    <w:rsid w:val="004F7373"/>
    <w:rsid w:val="00516F19"/>
    <w:rsid w:val="00533D24"/>
    <w:rsid w:val="00542570"/>
    <w:rsid w:val="00553E0C"/>
    <w:rsid w:val="0055683A"/>
    <w:rsid w:val="005725C4"/>
    <w:rsid w:val="00582B31"/>
    <w:rsid w:val="005A381F"/>
    <w:rsid w:val="005B4296"/>
    <w:rsid w:val="005E2D94"/>
    <w:rsid w:val="005F2A87"/>
    <w:rsid w:val="00603C5A"/>
    <w:rsid w:val="00606419"/>
    <w:rsid w:val="00613AAA"/>
    <w:rsid w:val="00636680"/>
    <w:rsid w:val="00646D8B"/>
    <w:rsid w:val="00655F8D"/>
    <w:rsid w:val="00660AAF"/>
    <w:rsid w:val="00676BEA"/>
    <w:rsid w:val="006818EC"/>
    <w:rsid w:val="00681D93"/>
    <w:rsid w:val="00684820"/>
    <w:rsid w:val="006A02FD"/>
    <w:rsid w:val="006A2B59"/>
    <w:rsid w:val="006C4FEA"/>
    <w:rsid w:val="006C74AA"/>
    <w:rsid w:val="006F708D"/>
    <w:rsid w:val="007030E0"/>
    <w:rsid w:val="007039F9"/>
    <w:rsid w:val="00713180"/>
    <w:rsid w:val="007148CA"/>
    <w:rsid w:val="00720D32"/>
    <w:rsid w:val="00723FCE"/>
    <w:rsid w:val="00726716"/>
    <w:rsid w:val="00731B10"/>
    <w:rsid w:val="007503B0"/>
    <w:rsid w:val="00775375"/>
    <w:rsid w:val="00787604"/>
    <w:rsid w:val="007C2B70"/>
    <w:rsid w:val="007D7C74"/>
    <w:rsid w:val="007F383C"/>
    <w:rsid w:val="007F3B96"/>
    <w:rsid w:val="0080509B"/>
    <w:rsid w:val="00810AA0"/>
    <w:rsid w:val="00821E36"/>
    <w:rsid w:val="00845B07"/>
    <w:rsid w:val="00893E6B"/>
    <w:rsid w:val="008B0F28"/>
    <w:rsid w:val="008B1CCE"/>
    <w:rsid w:val="008B4A7D"/>
    <w:rsid w:val="008C7F2E"/>
    <w:rsid w:val="008D6012"/>
    <w:rsid w:val="008F35D6"/>
    <w:rsid w:val="008F6A32"/>
    <w:rsid w:val="008F77F6"/>
    <w:rsid w:val="008F7D52"/>
    <w:rsid w:val="00925EA0"/>
    <w:rsid w:val="00941EAD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B7A9C"/>
    <w:rsid w:val="009D3CDF"/>
    <w:rsid w:val="00A21F6C"/>
    <w:rsid w:val="00A22FB8"/>
    <w:rsid w:val="00A22FDD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9FA"/>
    <w:rsid w:val="00AC6B23"/>
    <w:rsid w:val="00AD1B1D"/>
    <w:rsid w:val="00AD58A8"/>
    <w:rsid w:val="00AE7D40"/>
    <w:rsid w:val="00AF3E25"/>
    <w:rsid w:val="00B159C8"/>
    <w:rsid w:val="00B25016"/>
    <w:rsid w:val="00B476E7"/>
    <w:rsid w:val="00B97D65"/>
    <w:rsid w:val="00BA117D"/>
    <w:rsid w:val="00BA148D"/>
    <w:rsid w:val="00BA54FD"/>
    <w:rsid w:val="00BB0768"/>
    <w:rsid w:val="00BF2B73"/>
    <w:rsid w:val="00C0022A"/>
    <w:rsid w:val="00C20639"/>
    <w:rsid w:val="00C2241F"/>
    <w:rsid w:val="00C30D45"/>
    <w:rsid w:val="00C40EBB"/>
    <w:rsid w:val="00C54D92"/>
    <w:rsid w:val="00C7157E"/>
    <w:rsid w:val="00C754A2"/>
    <w:rsid w:val="00C95595"/>
    <w:rsid w:val="00CC0609"/>
    <w:rsid w:val="00CC1949"/>
    <w:rsid w:val="00CF089B"/>
    <w:rsid w:val="00CF1D9F"/>
    <w:rsid w:val="00D10E9A"/>
    <w:rsid w:val="00D27C56"/>
    <w:rsid w:val="00D706C3"/>
    <w:rsid w:val="00D70C45"/>
    <w:rsid w:val="00D84198"/>
    <w:rsid w:val="00D86FFA"/>
    <w:rsid w:val="00D95F42"/>
    <w:rsid w:val="00D96DE7"/>
    <w:rsid w:val="00DB3C64"/>
    <w:rsid w:val="00DC03EF"/>
    <w:rsid w:val="00DC045C"/>
    <w:rsid w:val="00DC5FE9"/>
    <w:rsid w:val="00E00452"/>
    <w:rsid w:val="00E02353"/>
    <w:rsid w:val="00E101C2"/>
    <w:rsid w:val="00E27A91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A6B4A"/>
    <w:rsid w:val="00EB5977"/>
    <w:rsid w:val="00EC4CAB"/>
    <w:rsid w:val="00EC70A1"/>
    <w:rsid w:val="00ED0CB2"/>
    <w:rsid w:val="00EE3C6F"/>
    <w:rsid w:val="00EE6500"/>
    <w:rsid w:val="00EF24DB"/>
    <w:rsid w:val="00EF3114"/>
    <w:rsid w:val="00EF56FF"/>
    <w:rsid w:val="00F24D60"/>
    <w:rsid w:val="00F52322"/>
    <w:rsid w:val="00F5508B"/>
    <w:rsid w:val="00F66B51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15228B"/>
  <w15:docId w15:val="{44DDEC2C-A0ED-48B5-A19B-2FF2C936C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2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123</cp:revision>
  <cp:lastPrinted>2018-06-22T10:53:00Z</cp:lastPrinted>
  <dcterms:created xsi:type="dcterms:W3CDTF">2017-04-11T06:32:00Z</dcterms:created>
  <dcterms:modified xsi:type="dcterms:W3CDTF">2020-07-02T08:45:00Z</dcterms:modified>
</cp:coreProperties>
</file>