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152FFA">
        <w:trPr>
          <w:trHeight w:val="1671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152FFA" w:rsidRDefault="00275958" w:rsidP="0069459B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roky 20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do roku 202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  <w:p w:rsidR="00152FFA" w:rsidRPr="00152FFA" w:rsidRDefault="00152FFA" w:rsidP="00152FFA">
            <w:pPr>
              <w:pStyle w:val="Odstavecseseznamem"/>
              <w:numPr>
                <w:ilvl w:val="0"/>
                <w:numId w:val="32"/>
              </w:numPr>
              <w:spacing w:line="276" w:lineRule="auto"/>
              <w:jc w:val="both"/>
              <w:rPr>
                <w:rFonts w:ascii="Arial" w:hAnsi="Arial" w:cs="Arial"/>
                <w:b/>
                <w:color w:val="0070C0"/>
              </w:rPr>
            </w:pPr>
            <w:r w:rsidRPr="00152FFA">
              <w:rPr>
                <w:rFonts w:ascii="Arial" w:hAnsi="Arial" w:cs="Arial"/>
                <w:b/>
                <w:color w:val="0070C0"/>
              </w:rPr>
              <w:t>Materiál pro jednání vlády</w:t>
            </w:r>
          </w:p>
          <w:p w:rsidR="00152FFA" w:rsidRPr="00152FFA" w:rsidRDefault="00152FFA" w:rsidP="00152FFA">
            <w:pPr>
              <w:pStyle w:val="Odstavecseseznamem"/>
              <w:numPr>
                <w:ilvl w:val="0"/>
                <w:numId w:val="32"/>
              </w:num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bookmarkStart w:id="0" w:name="_GoBack"/>
            <w:bookmarkEnd w:id="0"/>
            <w:r w:rsidRPr="00152FFA">
              <w:rPr>
                <w:rFonts w:ascii="Arial" w:hAnsi="Arial" w:cs="Arial"/>
                <w:b/>
                <w:color w:val="0070C0"/>
              </w:rPr>
              <w:t xml:space="preserve">Návrh na realizaci Opatření č. 27 NP </w:t>
            </w:r>
            <w:proofErr w:type="spellStart"/>
            <w:r w:rsidRPr="00152FFA">
              <w:rPr>
                <w:rFonts w:ascii="Arial" w:hAnsi="Arial" w:cs="Arial"/>
                <w:b/>
                <w:color w:val="0070C0"/>
              </w:rPr>
              <w:t>VaVaI</w:t>
            </w:r>
            <w:proofErr w:type="spellEnd"/>
            <w:r w:rsidRPr="00152FFA">
              <w:rPr>
                <w:rFonts w:ascii="Arial" w:hAnsi="Arial" w:cs="Arial"/>
                <w:b/>
                <w:color w:val="0070C0"/>
              </w:rPr>
              <w:t xml:space="preserve"> 2021+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A63D2D" w:rsidP="00152F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mim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F5ABB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doc. </w:t>
            </w:r>
            <w:r w:rsidRPr="002A238D">
              <w:rPr>
                <w:rFonts w:ascii="Arial" w:hAnsi="Arial" w:cs="Arial"/>
                <w:bCs/>
                <w:i/>
                <w:sz w:val="22"/>
                <w:szCs w:val="22"/>
              </w:rPr>
              <w:t>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471098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B135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471098">
              <w:rPr>
                <w:rFonts w:ascii="Arial" w:hAnsi="Arial" w:cs="Arial"/>
                <w:i/>
                <w:sz w:val="22"/>
                <w:szCs w:val="22"/>
              </w:rPr>
              <w:t xml:space="preserve">červenec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001349" w:rsidRPr="008E23A9" w:rsidRDefault="00001349" w:rsidP="0000188A">
            <w:pPr>
              <w:spacing w:after="120"/>
              <w:jc w:val="both"/>
              <w:rPr>
                <w:rFonts w:ascii="Arial" w:hAnsi="Arial" w:cs="Arial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9" w:history="1">
              <w:r w:rsidRPr="008E23A9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="00F10B83">
              <w:t xml:space="preserve"> </w:t>
            </w:r>
            <w:r w:rsidRPr="002B362C">
              <w:rPr>
                <w:rFonts w:ascii="Arial" w:hAnsi="Arial" w:cs="Arial"/>
                <w:sz w:val="22"/>
                <w:szCs w:val="22"/>
              </w:rPr>
              <w:t xml:space="preserve">návrh střednědobého výhledu </w:t>
            </w:r>
            <w:r w:rsidRPr="008E23A9">
              <w:rPr>
                <w:rFonts w:ascii="Arial" w:hAnsi="Arial" w:cs="Arial"/>
                <w:sz w:val="22"/>
                <w:szCs w:val="22"/>
              </w:rPr>
              <w:t>podpory výzkumu,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E23A9">
              <w:rPr>
                <w:rFonts w:ascii="Arial" w:hAnsi="Arial" w:cs="Arial"/>
                <w:sz w:val="22"/>
                <w:szCs w:val="22"/>
              </w:rPr>
              <w:t>inovací a návrh výše celkových výdajů na výzkum, vývoj a inovace jednotlivých rozpočtových kapitol a návrh jejich rozdělení.</w:t>
            </w:r>
          </w:p>
          <w:p w:rsidR="00001349" w:rsidRPr="008E23A9" w:rsidRDefault="00001349" w:rsidP="0000188A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>V předkládaném „Návrhu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1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CA3D0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Pr="00F07D14"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7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“ jsou </w:t>
            </w:r>
            <w:r w:rsidRPr="008E23A9">
              <w:rPr>
                <w:rFonts w:ascii="Arial" w:hAnsi="Arial" w:cs="Arial"/>
                <w:b/>
                <w:sz w:val="22"/>
                <w:szCs w:val="22"/>
              </w:rPr>
              <w:t>celkové objemy výdajů navrženy takto:</w:t>
            </w:r>
          </w:p>
          <w:p w:rsidR="00001349" w:rsidRPr="00AD4B54" w:rsidRDefault="00001349" w:rsidP="00001349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8E23A9">
              <w:rPr>
                <w:rFonts w:ascii="Arial" w:hAnsi="Arial" w:cs="Arial"/>
                <w:b/>
                <w:sz w:val="22"/>
                <w:szCs w:val="22"/>
              </w:rPr>
              <w:t>na r.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10B8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10B83">
              <w:rPr>
                <w:rFonts w:ascii="Arial" w:hAnsi="Arial" w:cs="Arial"/>
                <w:b/>
                <w:sz w:val="22"/>
                <w:szCs w:val="22"/>
              </w:rPr>
              <w:t>celkem 3</w:t>
            </w:r>
            <w:r w:rsidR="00F10B83" w:rsidRPr="00F10B83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F10B83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F10B83" w:rsidRPr="00F10B83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54706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F10B83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154706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F10B83">
              <w:rPr>
                <w:rFonts w:ascii="Arial" w:hAnsi="Arial" w:cs="Arial"/>
                <w:b/>
                <w:sz w:val="22"/>
                <w:szCs w:val="22"/>
              </w:rPr>
              <w:t>00</w:t>
            </w:r>
            <w:r>
              <w:rPr>
                <w:rFonts w:ascii="Arial" w:hAnsi="Arial" w:cs="Arial"/>
                <w:b/>
                <w:sz w:val="22"/>
                <w:szCs w:val="22"/>
              </w:rPr>
              <w:t>,0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001349" w:rsidRPr="00AD4B54" w:rsidRDefault="00001349" w:rsidP="00001349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AD4B54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CA3D0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>39 4</w:t>
            </w:r>
            <w:r w:rsidR="00154706">
              <w:rPr>
                <w:rFonts w:ascii="Arial" w:hAnsi="Arial" w:cs="Arial"/>
                <w:b/>
                <w:sz w:val="22"/>
                <w:szCs w:val="22"/>
              </w:rPr>
              <w:t>98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54706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>90,</w:t>
            </w:r>
            <w:r w:rsidR="0000188A">
              <w:rPr>
                <w:rFonts w:ascii="Arial" w:hAnsi="Arial" w:cs="Arial"/>
                <w:b/>
                <w:sz w:val="22"/>
                <w:szCs w:val="22"/>
              </w:rPr>
              <w:t xml:space="preserve">0 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>tis. Kč,</w:t>
            </w:r>
          </w:p>
          <w:p w:rsidR="00001349" w:rsidRPr="00AD4B54" w:rsidRDefault="00001349" w:rsidP="00001349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AD4B54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CA3D0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>39 5</w:t>
            </w:r>
            <w:r w:rsidR="00154706">
              <w:rPr>
                <w:rFonts w:ascii="Arial" w:hAnsi="Arial" w:cs="Arial"/>
                <w:b/>
                <w:sz w:val="22"/>
                <w:szCs w:val="22"/>
              </w:rPr>
              <w:t>45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54706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>28,4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001349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4B54">
              <w:rPr>
                <w:rFonts w:ascii="Arial" w:hAnsi="Arial" w:cs="Arial"/>
                <w:sz w:val="22"/>
                <w:szCs w:val="22"/>
              </w:rPr>
              <w:t xml:space="preserve">tj. 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 xml:space="preserve">návrh rozpočtu na </w:t>
            </w:r>
            <w:r w:rsidRPr="005102BC">
              <w:rPr>
                <w:rFonts w:ascii="Arial" w:hAnsi="Arial" w:cs="Arial"/>
                <w:sz w:val="22"/>
                <w:szCs w:val="22"/>
              </w:rPr>
              <w:t>ro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>k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CA3D08" w:rsidRPr="005102BC">
              <w:rPr>
                <w:rFonts w:ascii="Arial" w:hAnsi="Arial" w:cs="Arial"/>
                <w:sz w:val="22"/>
                <w:szCs w:val="22"/>
              </w:rPr>
              <w:t>1</w:t>
            </w:r>
            <w:r w:rsidR="00F10B83" w:rsidRPr="005102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>o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>1,9</w:t>
            </w:r>
            <w:r w:rsidR="005102BC" w:rsidRPr="005102BC">
              <w:rPr>
                <w:rFonts w:ascii="Arial" w:hAnsi="Arial" w:cs="Arial"/>
                <w:sz w:val="22"/>
                <w:szCs w:val="22"/>
              </w:rPr>
              <w:t>63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 xml:space="preserve"> mld. Kč vyšší, než rozpočet na rok 2020 dle zákona o SR ČR a současně vyšší o 7</w:t>
            </w:r>
            <w:r w:rsidR="005102BC" w:rsidRPr="005102BC">
              <w:rPr>
                <w:rFonts w:ascii="Arial" w:hAnsi="Arial" w:cs="Arial"/>
                <w:sz w:val="22"/>
                <w:szCs w:val="22"/>
              </w:rPr>
              <w:t>43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 xml:space="preserve"> mil. Kč, 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než platný střednědobý výhled 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 xml:space="preserve">na rok 2021 </w:t>
            </w:r>
            <w:r w:rsidRPr="005102BC">
              <w:rPr>
                <w:rFonts w:ascii="Arial" w:hAnsi="Arial" w:cs="Arial"/>
                <w:sz w:val="22"/>
                <w:szCs w:val="22"/>
              </w:rPr>
              <w:t>schválený usnesením vlády ze dne 1</w:t>
            </w:r>
            <w:r w:rsidR="00361212" w:rsidRPr="005102BC">
              <w:rPr>
                <w:rFonts w:ascii="Arial" w:hAnsi="Arial" w:cs="Arial"/>
                <w:sz w:val="22"/>
                <w:szCs w:val="22"/>
              </w:rPr>
              <w:t>6</w:t>
            </w:r>
            <w:r w:rsidRPr="005102BC">
              <w:rPr>
                <w:rFonts w:ascii="Arial" w:hAnsi="Arial" w:cs="Arial"/>
                <w:sz w:val="22"/>
                <w:szCs w:val="22"/>
              </w:rPr>
              <w:t>. 9. 201</w:t>
            </w:r>
            <w:r w:rsidR="00361212" w:rsidRPr="005102BC">
              <w:rPr>
                <w:rFonts w:ascii="Arial" w:hAnsi="Arial" w:cs="Arial"/>
                <w:sz w:val="22"/>
                <w:szCs w:val="22"/>
              </w:rPr>
              <w:t>9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č. </w:t>
            </w:r>
            <w:r w:rsidR="00361212" w:rsidRPr="005102BC">
              <w:rPr>
                <w:rFonts w:ascii="Arial" w:hAnsi="Arial" w:cs="Arial"/>
                <w:sz w:val="22"/>
                <w:szCs w:val="22"/>
              </w:rPr>
              <w:t>652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(po úpravách ve státní pokladně),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vý</w:t>
            </w:r>
            <w:r w:rsidR="00905A02">
              <w:rPr>
                <w:rFonts w:ascii="Arial" w:hAnsi="Arial" w:cs="Arial"/>
                <w:sz w:val="22"/>
                <w:szCs w:val="22"/>
              </w:rPr>
              <w:t>daje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navrhovaného střednědobého výhledu na rok 2022 j</w:t>
            </w:r>
            <w:r w:rsidR="00905A02">
              <w:rPr>
                <w:rFonts w:ascii="Arial" w:hAnsi="Arial" w:cs="Arial"/>
                <w:sz w:val="22"/>
                <w:szCs w:val="22"/>
              </w:rPr>
              <w:t>sou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vyšší o 1,4</w:t>
            </w:r>
            <w:r w:rsidR="005102BC" w:rsidRPr="005102BC">
              <w:rPr>
                <w:rFonts w:ascii="Arial" w:hAnsi="Arial" w:cs="Arial"/>
                <w:sz w:val="22"/>
                <w:szCs w:val="22"/>
              </w:rPr>
              <w:t>94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mld. Kč než vládou schválený střednědobý výhled na rok 2022, a výše navrhovaného střednědobého výhledu na rok 2023 je o </w:t>
            </w:r>
            <w:r w:rsidR="00F95E22" w:rsidRPr="005102BC">
              <w:rPr>
                <w:rFonts w:ascii="Arial" w:hAnsi="Arial" w:cs="Arial"/>
                <w:sz w:val="22"/>
                <w:szCs w:val="22"/>
              </w:rPr>
              <w:t>4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>7 mil. Kč vyšší než navrhovaná výše výdajů na rok 2022.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V rámci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jednání s jednotlivými kapitolami byly zapojeny veškeré NNV ke krytí</w:t>
            </w:r>
            <w:r w:rsidRPr="00AD4B54">
              <w:rPr>
                <w:rFonts w:ascii="Arial" w:hAnsi="Arial" w:cs="Arial"/>
                <w:sz w:val="22"/>
                <w:szCs w:val="22"/>
              </w:rPr>
              <w:t xml:space="preserve"> nadpožadavků.</w:t>
            </w:r>
          </w:p>
          <w:p w:rsidR="003D5B99" w:rsidRDefault="00416253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B99">
              <w:rPr>
                <w:rFonts w:ascii="Arial" w:hAnsi="Arial" w:cs="Arial"/>
                <w:sz w:val="22"/>
                <w:szCs w:val="22"/>
              </w:rPr>
              <w:t>Opro</w:t>
            </w:r>
            <w:r w:rsidR="005102BC" w:rsidRPr="003D5B99">
              <w:rPr>
                <w:rFonts w:ascii="Arial" w:hAnsi="Arial" w:cs="Arial"/>
                <w:sz w:val="22"/>
                <w:szCs w:val="22"/>
              </w:rPr>
              <w:t>ti návrhu předloženému na 356. z</w:t>
            </w:r>
            <w:r w:rsidRPr="003D5B99">
              <w:rPr>
                <w:rFonts w:ascii="Arial" w:hAnsi="Arial" w:cs="Arial"/>
                <w:sz w:val="22"/>
                <w:szCs w:val="22"/>
              </w:rPr>
              <w:t xml:space="preserve">asedání </w:t>
            </w:r>
            <w:r w:rsidR="005102BC" w:rsidRPr="003D5B99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3D5B99">
              <w:rPr>
                <w:rFonts w:ascii="Arial" w:hAnsi="Arial" w:cs="Arial"/>
                <w:sz w:val="22"/>
                <w:szCs w:val="22"/>
              </w:rPr>
              <w:t xml:space="preserve">v dubnu </w:t>
            </w:r>
            <w:r w:rsidR="005102BC" w:rsidRPr="003D5B99">
              <w:rPr>
                <w:rFonts w:ascii="Arial" w:hAnsi="Arial" w:cs="Arial"/>
                <w:sz w:val="22"/>
                <w:szCs w:val="22"/>
              </w:rPr>
              <w:t xml:space="preserve">letošního roku </w:t>
            </w:r>
            <w:r w:rsidRPr="003D5B99">
              <w:rPr>
                <w:rFonts w:ascii="Arial" w:hAnsi="Arial" w:cs="Arial"/>
                <w:sz w:val="22"/>
                <w:szCs w:val="22"/>
              </w:rPr>
              <w:t>došlo k</w:t>
            </w:r>
            <w:r w:rsidR="003D5B99">
              <w:rPr>
                <w:rFonts w:ascii="Arial" w:hAnsi="Arial" w:cs="Arial"/>
                <w:sz w:val="22"/>
                <w:szCs w:val="22"/>
              </w:rPr>
              <w:t> </w:t>
            </w:r>
            <w:r w:rsidRPr="003D5B99">
              <w:rPr>
                <w:rFonts w:ascii="Arial" w:hAnsi="Arial" w:cs="Arial"/>
                <w:sz w:val="22"/>
                <w:szCs w:val="22"/>
              </w:rPr>
              <w:t>úpravám</w:t>
            </w:r>
            <w:r w:rsidR="003D5B99">
              <w:rPr>
                <w:rFonts w:ascii="Arial" w:hAnsi="Arial" w:cs="Arial"/>
                <w:sz w:val="22"/>
                <w:szCs w:val="22"/>
              </w:rPr>
              <w:t xml:space="preserve"> u následujících poskytovatelů:</w:t>
            </w:r>
          </w:p>
          <w:p w:rsidR="003D5B99" w:rsidRPr="003D5B99" w:rsidRDefault="00416253" w:rsidP="003D5B99">
            <w:pPr>
              <w:pStyle w:val="Odstavecseseznamem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</w:rPr>
            </w:pPr>
            <w:r w:rsidRPr="003D5B99">
              <w:rPr>
                <w:rFonts w:ascii="Arial" w:hAnsi="Arial" w:cs="Arial"/>
                <w:sz w:val="22"/>
                <w:szCs w:val="22"/>
              </w:rPr>
              <w:t>MŠMT</w:t>
            </w:r>
            <w:r w:rsidR="003D5B99" w:rsidRPr="003D5B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5B99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3D5B99" w:rsidRPr="003D5B99">
              <w:rPr>
                <w:rFonts w:ascii="Arial" w:hAnsi="Arial" w:cs="Arial"/>
                <w:sz w:val="22"/>
                <w:szCs w:val="22"/>
              </w:rPr>
              <w:t xml:space="preserve">na žádost poskytovatele sníženy výdaje na program Inter-Excellence </w:t>
            </w:r>
            <w:r w:rsidR="003D5B99">
              <w:rPr>
                <w:rFonts w:ascii="Arial" w:hAnsi="Arial" w:cs="Arial"/>
                <w:sz w:val="22"/>
                <w:szCs w:val="22"/>
              </w:rPr>
              <w:t xml:space="preserve">v letech 2022 a 2023 </w:t>
            </w:r>
            <w:r w:rsidR="003D5B99" w:rsidRPr="003D5B99">
              <w:rPr>
                <w:rFonts w:ascii="Arial" w:hAnsi="Arial" w:cs="Arial"/>
                <w:sz w:val="22"/>
                <w:szCs w:val="22"/>
              </w:rPr>
              <w:t>ve prospěch Mezinárodní spolupráce a nového Projektu sdílených činností při zachování celkové původní navrhované výše výdajů</w:t>
            </w:r>
            <w:r w:rsidRPr="003D5B99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3D5B99" w:rsidRPr="003D5B99" w:rsidRDefault="003D5B99" w:rsidP="003D5B99">
            <w:pPr>
              <w:pStyle w:val="Odstavecseseznamem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TAČR – s ohledem na schválení změny programu Zéta na žádost poskytovatele (zkrácení programu a snížení jeho celkového rozpočtu) byly upraveny výdaje tohoto programu v návrhu Rady bez dopadu na celkovou původní navrhovanou výši výdajů (tj. výdaje </w:t>
            </w:r>
            <w:r w:rsidR="00C07817">
              <w:rPr>
                <w:rFonts w:ascii="Arial" w:hAnsi="Arial" w:cs="Arial"/>
                <w:sz w:val="22"/>
                <w:szCs w:val="22"/>
              </w:rPr>
              <w:t xml:space="preserve">z programu Zéta </w:t>
            </w:r>
            <w:r>
              <w:rPr>
                <w:rFonts w:ascii="Arial" w:hAnsi="Arial" w:cs="Arial"/>
                <w:sz w:val="22"/>
                <w:szCs w:val="22"/>
              </w:rPr>
              <w:t>byly přerozděleny mezi zbývající programy),</w:t>
            </w:r>
          </w:p>
          <w:p w:rsidR="00416253" w:rsidRPr="003D5B99" w:rsidRDefault="003D5B99" w:rsidP="003D5B99">
            <w:pPr>
              <w:pStyle w:val="Odstavecseseznamem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MPSV – s ohledem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koronavirovou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krizi vyvstaly nové výzkumné potřeby poskytovatele, na jeho žádost byly </w:t>
            </w:r>
            <w:r w:rsidR="00C07817">
              <w:rPr>
                <w:rFonts w:ascii="Arial" w:hAnsi="Arial" w:cs="Arial"/>
                <w:sz w:val="22"/>
                <w:szCs w:val="22"/>
              </w:rPr>
              <w:t xml:space="preserve">navýšeny výdaje na DK RVO o 11,1 mil. Kč ročně, o tuto částku byly navýšeny celkové výdaje na </w:t>
            </w:r>
            <w:proofErr w:type="spellStart"/>
            <w:r w:rsidR="00C0781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C07817">
              <w:rPr>
                <w:rFonts w:ascii="Arial" w:hAnsi="Arial" w:cs="Arial"/>
                <w:sz w:val="22"/>
                <w:szCs w:val="22"/>
              </w:rPr>
              <w:t xml:space="preserve"> v letech 2021-2023. </w:t>
            </w:r>
          </w:p>
          <w:p w:rsidR="00905A02" w:rsidRDefault="00905A02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6641">
              <w:rPr>
                <w:rFonts w:ascii="Arial" w:hAnsi="Arial" w:cs="Arial"/>
                <w:b/>
                <w:sz w:val="22"/>
                <w:szCs w:val="22"/>
              </w:rPr>
              <w:t>Oproti návrhu předloženému na 356. zasedání Rady v dubnu letošního roku</w:t>
            </w:r>
            <w:r w:rsidRPr="003D5B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16641">
              <w:rPr>
                <w:rFonts w:ascii="Arial" w:hAnsi="Arial" w:cs="Arial"/>
                <w:b/>
                <w:sz w:val="22"/>
                <w:szCs w:val="22"/>
              </w:rPr>
              <w:t xml:space="preserve">došlo k navýšení celkových výdajů na </w:t>
            </w:r>
            <w:proofErr w:type="spellStart"/>
            <w:r w:rsidRPr="00B16641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Pr="00B16641">
              <w:rPr>
                <w:rFonts w:ascii="Arial" w:hAnsi="Arial" w:cs="Arial"/>
                <w:b/>
                <w:sz w:val="22"/>
                <w:szCs w:val="22"/>
              </w:rPr>
              <w:t xml:space="preserve"> v letech 2021-2023 o 11,1 mil. Kč ročně.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01349" w:rsidRDefault="00001349" w:rsidP="00001349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Je předložen kompletní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materiál </w:t>
            </w:r>
            <w:r>
              <w:rPr>
                <w:rFonts w:ascii="Arial" w:hAnsi="Arial" w:cs="Arial"/>
                <w:sz w:val="22"/>
                <w:szCs w:val="22"/>
              </w:rPr>
              <w:t xml:space="preserve">pro jednání vlády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1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2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A3D0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</w:t>
            </w:r>
            <w:r w:rsidRPr="00F07D14">
              <w:rPr>
                <w:rFonts w:ascii="Arial" w:hAnsi="Arial" w:cs="Arial"/>
                <w:sz w:val="22"/>
                <w:szCs w:val="22"/>
              </w:rPr>
              <w:t>02</w:t>
            </w:r>
            <w:r w:rsidR="00CA3D08">
              <w:rPr>
                <w:rFonts w:ascii="Arial" w:hAnsi="Arial" w:cs="Arial"/>
                <w:sz w:val="22"/>
                <w:szCs w:val="22"/>
              </w:rPr>
              <w:t>7</w:t>
            </w:r>
            <w:r w:rsidR="00C2264D">
              <w:rPr>
                <w:rFonts w:ascii="Arial" w:hAnsi="Arial" w:cs="Arial"/>
                <w:sz w:val="22"/>
                <w:szCs w:val="22"/>
              </w:rPr>
              <w:t>“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A2327" w:rsidRDefault="00B16641" w:rsidP="005102B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výdajů</w:t>
            </w:r>
            <w:r w:rsidR="00001349" w:rsidRPr="008E23A9">
              <w:rPr>
                <w:rFonts w:ascii="Arial" w:hAnsi="Arial" w:cs="Arial"/>
                <w:sz w:val="22"/>
                <w:szCs w:val="22"/>
              </w:rPr>
              <w:t xml:space="preserve"> byl </w:t>
            </w:r>
            <w:r>
              <w:rPr>
                <w:rFonts w:ascii="Arial" w:hAnsi="Arial" w:cs="Arial"/>
                <w:sz w:val="22"/>
                <w:szCs w:val="22"/>
              </w:rPr>
              <w:t>průběžně</w:t>
            </w:r>
            <w:r w:rsidR="00001349" w:rsidRPr="008E23A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projednáván</w:t>
            </w:r>
            <w:r w:rsidR="00001349"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 xml:space="preserve"> příslušnými </w:t>
            </w:r>
            <w:r w:rsidR="00001349" w:rsidRPr="008E23A9">
              <w:rPr>
                <w:rFonts w:ascii="Arial" w:hAnsi="Arial" w:cs="Arial"/>
                <w:sz w:val="22"/>
                <w:szCs w:val="22"/>
              </w:rPr>
              <w:t>poskytovateli</w:t>
            </w:r>
            <w:r w:rsidR="0000134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D0DA1" w:rsidRPr="000D0DA1" w:rsidRDefault="000D0DA1" w:rsidP="005102B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</w:rPr>
            </w:pPr>
            <w:r w:rsidRPr="000D0DA1">
              <w:rPr>
                <w:rFonts w:ascii="Arial" w:hAnsi="Arial" w:cs="Arial"/>
                <w:b/>
                <w:sz w:val="22"/>
                <w:szCs w:val="22"/>
              </w:rPr>
              <w:t>Předsednictvo Rady jedná o dalším navýšení rozpočtu.</w:t>
            </w: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Přílohy</w:t>
            </w:r>
          </w:p>
          <w:p w:rsidR="00001349" w:rsidRPr="005E1345" w:rsidRDefault="00001349" w:rsidP="00001349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Kompletní materiál pro jednání vlády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>2023 a dlouhodobým výhledem do roku 20</w:t>
            </w:r>
            <w:r w:rsidRPr="00F07D14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7“</w:t>
            </w:r>
          </w:p>
          <w:p w:rsidR="00774961" w:rsidRPr="000D0DA1" w:rsidRDefault="005E1345" w:rsidP="00B10B30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D706DE">
              <w:rPr>
                <w:rFonts w:ascii="Arial" w:hAnsi="Arial" w:cs="Arial"/>
                <w:sz w:val="22"/>
                <w:szCs w:val="22"/>
              </w:rPr>
              <w:t xml:space="preserve">Oborová struktura čerpaných prostředků na </w:t>
            </w:r>
            <w:proofErr w:type="spellStart"/>
            <w:r w:rsidRPr="00D706D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A7C0D" w:rsidRPr="00D706DE">
              <w:rPr>
                <w:rFonts w:ascii="Arial" w:hAnsi="Arial" w:cs="Arial"/>
                <w:sz w:val="22"/>
                <w:szCs w:val="22"/>
              </w:rPr>
              <w:t xml:space="preserve"> ze státního rozpočtu</w:t>
            </w:r>
          </w:p>
          <w:p w:rsidR="00457A0E" w:rsidRPr="00A22591" w:rsidRDefault="00A22591" w:rsidP="00A22591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Požadavky a informace od poskytovatelů</w:t>
            </w:r>
          </w:p>
          <w:p w:rsidR="00A22591" w:rsidRPr="00A22591" w:rsidRDefault="00A22591" w:rsidP="00A22591">
            <w:pPr>
              <w:spacing w:before="120" w:after="120"/>
              <w:ind w:left="357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F86D54" w:rsidRDefault="00390250" w:rsidP="008F77F6"/>
    <w:sectPr w:rsidR="00F86D54" w:rsidSect="00D4301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93C" w:rsidRDefault="00D1693C" w:rsidP="008F77F6">
      <w:r>
        <w:separator/>
      </w:r>
    </w:p>
  </w:endnote>
  <w:endnote w:type="continuationSeparator" w:id="0">
    <w:p w:rsidR="00D1693C" w:rsidRDefault="00D1693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93C" w:rsidRDefault="00D1693C" w:rsidP="008F77F6">
      <w:r>
        <w:separator/>
      </w:r>
    </w:p>
  </w:footnote>
  <w:footnote w:type="continuationSeparator" w:id="0">
    <w:p w:rsidR="00D1693C" w:rsidRDefault="00D1693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34A9"/>
    <w:multiLevelType w:val="hybridMultilevel"/>
    <w:tmpl w:val="1714AE5E"/>
    <w:lvl w:ilvl="0" w:tplc="F6EEC7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7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15"/>
  </w:num>
  <w:num w:numId="5">
    <w:abstractNumId w:val="18"/>
  </w:num>
  <w:num w:numId="6">
    <w:abstractNumId w:val="7"/>
  </w:num>
  <w:num w:numId="7">
    <w:abstractNumId w:val="20"/>
  </w:num>
  <w:num w:numId="8">
    <w:abstractNumId w:val="16"/>
  </w:num>
  <w:num w:numId="9">
    <w:abstractNumId w:val="21"/>
  </w:num>
  <w:num w:numId="10">
    <w:abstractNumId w:val="12"/>
  </w:num>
  <w:num w:numId="11">
    <w:abstractNumId w:val="26"/>
  </w:num>
  <w:num w:numId="12">
    <w:abstractNumId w:val="28"/>
  </w:num>
  <w:num w:numId="13">
    <w:abstractNumId w:val="25"/>
  </w:num>
  <w:num w:numId="14">
    <w:abstractNumId w:val="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1"/>
  </w:num>
  <w:num w:numId="19">
    <w:abstractNumId w:val="29"/>
  </w:num>
  <w:num w:numId="20">
    <w:abstractNumId w:val="23"/>
  </w:num>
  <w:num w:numId="21">
    <w:abstractNumId w:val="10"/>
  </w:num>
  <w:num w:numId="22">
    <w:abstractNumId w:val="22"/>
  </w:num>
  <w:num w:numId="23">
    <w:abstractNumId w:val="24"/>
  </w:num>
  <w:num w:numId="24">
    <w:abstractNumId w:val="17"/>
  </w:num>
  <w:num w:numId="25">
    <w:abstractNumId w:val="27"/>
  </w:num>
  <w:num w:numId="26">
    <w:abstractNumId w:val="13"/>
  </w:num>
  <w:num w:numId="27">
    <w:abstractNumId w:val="1"/>
  </w:num>
  <w:num w:numId="28">
    <w:abstractNumId w:val="2"/>
  </w:num>
  <w:num w:numId="29">
    <w:abstractNumId w:val="3"/>
  </w:num>
  <w:num w:numId="30">
    <w:abstractNumId w:val="14"/>
  </w:num>
  <w:num w:numId="31">
    <w:abstractNumId w:val="6"/>
  </w:num>
  <w:num w:numId="32">
    <w:abstractNumId w:val="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0DA1"/>
    <w:rsid w:val="000D6C28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4706"/>
    <w:rsid w:val="00154AA2"/>
    <w:rsid w:val="0017784E"/>
    <w:rsid w:val="001829AF"/>
    <w:rsid w:val="001A1063"/>
    <w:rsid w:val="001A27C7"/>
    <w:rsid w:val="001C7882"/>
    <w:rsid w:val="001D15F9"/>
    <w:rsid w:val="001D6DAE"/>
    <w:rsid w:val="001D7437"/>
    <w:rsid w:val="001E6E69"/>
    <w:rsid w:val="001E7EAC"/>
    <w:rsid w:val="001F34CA"/>
    <w:rsid w:val="002005A8"/>
    <w:rsid w:val="00201EA8"/>
    <w:rsid w:val="00206877"/>
    <w:rsid w:val="00210FA9"/>
    <w:rsid w:val="0021423F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F01DD"/>
    <w:rsid w:val="002F0A5C"/>
    <w:rsid w:val="002F2693"/>
    <w:rsid w:val="002F5ABB"/>
    <w:rsid w:val="002F611A"/>
    <w:rsid w:val="00300D1C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60293"/>
    <w:rsid w:val="00361212"/>
    <w:rsid w:val="00376D0F"/>
    <w:rsid w:val="00380040"/>
    <w:rsid w:val="00386CBE"/>
    <w:rsid w:val="00387B05"/>
    <w:rsid w:val="00390250"/>
    <w:rsid w:val="003B1822"/>
    <w:rsid w:val="003B3F4B"/>
    <w:rsid w:val="003C0F31"/>
    <w:rsid w:val="003C1580"/>
    <w:rsid w:val="003C6480"/>
    <w:rsid w:val="003D19B3"/>
    <w:rsid w:val="003D40C2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57A0E"/>
    <w:rsid w:val="00457D6D"/>
    <w:rsid w:val="00461A40"/>
    <w:rsid w:val="00471098"/>
    <w:rsid w:val="00472BCC"/>
    <w:rsid w:val="00494A1F"/>
    <w:rsid w:val="00495E87"/>
    <w:rsid w:val="004A757F"/>
    <w:rsid w:val="004B2F16"/>
    <w:rsid w:val="004B5B8F"/>
    <w:rsid w:val="004C3552"/>
    <w:rsid w:val="004E013D"/>
    <w:rsid w:val="005102BC"/>
    <w:rsid w:val="00512FD6"/>
    <w:rsid w:val="00515757"/>
    <w:rsid w:val="00516F19"/>
    <w:rsid w:val="00533D24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6D8B"/>
    <w:rsid w:val="00656B1D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454E"/>
    <w:rsid w:val="00816061"/>
    <w:rsid w:val="00816D69"/>
    <w:rsid w:val="0081779E"/>
    <w:rsid w:val="00821E36"/>
    <w:rsid w:val="00824C5F"/>
    <w:rsid w:val="00826800"/>
    <w:rsid w:val="00826CB9"/>
    <w:rsid w:val="00837D04"/>
    <w:rsid w:val="008642EB"/>
    <w:rsid w:val="00871D16"/>
    <w:rsid w:val="008770A0"/>
    <w:rsid w:val="00883CF4"/>
    <w:rsid w:val="008A6A8F"/>
    <w:rsid w:val="008B7337"/>
    <w:rsid w:val="008C4325"/>
    <w:rsid w:val="008C7F2E"/>
    <w:rsid w:val="008F2AFF"/>
    <w:rsid w:val="008F3497"/>
    <w:rsid w:val="008F35D6"/>
    <w:rsid w:val="008F5980"/>
    <w:rsid w:val="008F77F6"/>
    <w:rsid w:val="00900D95"/>
    <w:rsid w:val="00905A02"/>
    <w:rsid w:val="009227E4"/>
    <w:rsid w:val="00925EA0"/>
    <w:rsid w:val="0093478D"/>
    <w:rsid w:val="00942A5D"/>
    <w:rsid w:val="009450C6"/>
    <w:rsid w:val="00954B23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63D2D"/>
    <w:rsid w:val="00A65FA0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04C03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54FD"/>
    <w:rsid w:val="00BB0768"/>
    <w:rsid w:val="00BB420B"/>
    <w:rsid w:val="00BB551D"/>
    <w:rsid w:val="00BD3A3C"/>
    <w:rsid w:val="00BF1633"/>
    <w:rsid w:val="00C035F6"/>
    <w:rsid w:val="00C07817"/>
    <w:rsid w:val="00C13EF4"/>
    <w:rsid w:val="00C20639"/>
    <w:rsid w:val="00C21DC2"/>
    <w:rsid w:val="00C2264D"/>
    <w:rsid w:val="00C4228E"/>
    <w:rsid w:val="00C51585"/>
    <w:rsid w:val="00C51BF6"/>
    <w:rsid w:val="00C577F5"/>
    <w:rsid w:val="00C656C4"/>
    <w:rsid w:val="00C66673"/>
    <w:rsid w:val="00C70BB9"/>
    <w:rsid w:val="00C725F1"/>
    <w:rsid w:val="00C76EEC"/>
    <w:rsid w:val="00C81447"/>
    <w:rsid w:val="00CA3D08"/>
    <w:rsid w:val="00CA4C61"/>
    <w:rsid w:val="00CC13FC"/>
    <w:rsid w:val="00CC3195"/>
    <w:rsid w:val="00CD54DB"/>
    <w:rsid w:val="00CD59A9"/>
    <w:rsid w:val="00CE2280"/>
    <w:rsid w:val="00CE22B7"/>
    <w:rsid w:val="00CE6262"/>
    <w:rsid w:val="00CE7143"/>
    <w:rsid w:val="00CF17FA"/>
    <w:rsid w:val="00CF1D9F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1BD"/>
    <w:rsid w:val="00F156EE"/>
    <w:rsid w:val="00F200FE"/>
    <w:rsid w:val="00F24D60"/>
    <w:rsid w:val="00F25066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A1282"/>
    <w:rsid w:val="00FA489B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/FrontClanek.aspx?idsekce=85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727F0-1882-4C23-8310-28A477723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481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10</cp:revision>
  <cp:lastPrinted>2020-07-01T10:47:00Z</cp:lastPrinted>
  <dcterms:created xsi:type="dcterms:W3CDTF">2020-07-20T10:40:00Z</dcterms:created>
  <dcterms:modified xsi:type="dcterms:W3CDTF">2020-07-29T15:22:00Z</dcterms:modified>
</cp:coreProperties>
</file>