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C9" w:rsidRPr="00962B91" w:rsidRDefault="00793ABD" w:rsidP="00500BC1">
      <w:pPr>
        <w:pStyle w:val="Nadpis2"/>
        <w:numPr>
          <w:ilvl w:val="0"/>
          <w:numId w:val="0"/>
        </w:numPr>
        <w:pBdr>
          <w:bottom w:val="single" w:sz="6" w:space="1" w:color="auto"/>
        </w:pBdr>
        <w:spacing w:before="240" w:after="240" w:line="360" w:lineRule="auto"/>
        <w:jc w:val="center"/>
        <w:rPr>
          <w:rFonts w:ascii="Arial" w:hAnsi="Arial" w:cs="Arial"/>
          <w:color w:val="0070C0"/>
          <w:sz w:val="28"/>
          <w:szCs w:val="28"/>
        </w:rPr>
      </w:pPr>
      <w:r w:rsidRPr="00962B91">
        <w:rPr>
          <w:rFonts w:ascii="Arial" w:hAnsi="Arial" w:cs="Arial"/>
          <w:color w:val="0070C0"/>
          <w:sz w:val="28"/>
          <w:szCs w:val="28"/>
        </w:rPr>
        <w:t xml:space="preserve">Informace k Hodnocení výsledků programů výzkumu, vývoje </w:t>
      </w:r>
      <w:r w:rsidR="004873C9" w:rsidRPr="00962B91">
        <w:rPr>
          <w:rFonts w:ascii="Arial" w:hAnsi="Arial" w:cs="Arial"/>
          <w:color w:val="0070C0"/>
          <w:sz w:val="28"/>
          <w:szCs w:val="28"/>
        </w:rPr>
        <w:t>a inovací ukončených v roce 201</w:t>
      </w:r>
      <w:r w:rsidR="00965352">
        <w:rPr>
          <w:rFonts w:ascii="Arial" w:hAnsi="Arial" w:cs="Arial"/>
          <w:color w:val="0070C0"/>
          <w:sz w:val="28"/>
          <w:szCs w:val="28"/>
        </w:rPr>
        <w:t>9</w:t>
      </w:r>
    </w:p>
    <w:p w:rsidR="007323E6" w:rsidRPr="007323E6" w:rsidRDefault="007323E6" w:rsidP="009B5E43">
      <w:pPr>
        <w:pStyle w:val="Nadpis3"/>
        <w:numPr>
          <w:ilvl w:val="2"/>
          <w:numId w:val="3"/>
        </w:numPr>
        <w:spacing w:after="240"/>
      </w:pPr>
      <w:r w:rsidRPr="007323E6">
        <w:t>Úvod</w:t>
      </w:r>
    </w:p>
    <w:p w:rsidR="00E06B89" w:rsidRDefault="00064B57" w:rsidP="009B5E43">
      <w:pPr>
        <w:spacing w:after="120"/>
        <w:jc w:val="both"/>
        <w:rPr>
          <w:rFonts w:ascii="Arial" w:hAnsi="Arial" w:cs="Arial"/>
          <w:sz w:val="24"/>
          <w:szCs w:val="24"/>
        </w:rPr>
      </w:pPr>
      <w:r>
        <w:rPr>
          <w:rFonts w:ascii="Arial" w:hAnsi="Arial" w:cs="Arial"/>
          <w:sz w:val="24"/>
          <w:szCs w:val="24"/>
        </w:rPr>
        <w:t>V roce 202</w:t>
      </w:r>
      <w:r w:rsidR="00965352">
        <w:rPr>
          <w:rFonts w:ascii="Arial" w:hAnsi="Arial" w:cs="Arial"/>
          <w:sz w:val="24"/>
          <w:szCs w:val="24"/>
        </w:rPr>
        <w:t>1</w:t>
      </w:r>
      <w:r>
        <w:rPr>
          <w:rFonts w:ascii="Arial" w:hAnsi="Arial" w:cs="Arial"/>
          <w:sz w:val="24"/>
          <w:szCs w:val="24"/>
        </w:rPr>
        <w:t xml:space="preserve"> bude Rada pro výzkum, vývoj a inovace předkládat vládě dokument </w:t>
      </w:r>
      <w:r w:rsidR="00E06B89" w:rsidRPr="00A36C99">
        <w:rPr>
          <w:rFonts w:ascii="Arial" w:hAnsi="Arial" w:cs="Arial"/>
          <w:sz w:val="24"/>
          <w:szCs w:val="24"/>
        </w:rPr>
        <w:t xml:space="preserve">Hodnocení výsledků ukončených programů výzkumu, vývoje a inovací </w:t>
      </w:r>
      <w:r>
        <w:rPr>
          <w:rFonts w:ascii="Arial" w:hAnsi="Arial" w:cs="Arial"/>
          <w:sz w:val="24"/>
          <w:szCs w:val="24"/>
        </w:rPr>
        <w:t>ukončených v roce 201</w:t>
      </w:r>
      <w:r w:rsidR="00965352">
        <w:rPr>
          <w:rFonts w:ascii="Arial" w:hAnsi="Arial" w:cs="Arial"/>
          <w:sz w:val="24"/>
          <w:szCs w:val="24"/>
        </w:rPr>
        <w:t>9</w:t>
      </w:r>
      <w:r w:rsidR="00A735C7">
        <w:rPr>
          <w:rFonts w:ascii="Arial" w:hAnsi="Arial" w:cs="Arial"/>
          <w:sz w:val="24"/>
          <w:szCs w:val="24"/>
        </w:rPr>
        <w:t xml:space="preserve"> (dále jen „Hodnocení“)</w:t>
      </w:r>
      <w:r>
        <w:rPr>
          <w:rFonts w:ascii="Arial" w:hAnsi="Arial" w:cs="Arial"/>
          <w:sz w:val="24"/>
          <w:szCs w:val="24"/>
        </w:rPr>
        <w:t>. Materiál bude zpracován v souladu s § 35 odst. 2 písm. d) zákona č. </w:t>
      </w:r>
      <w:r w:rsidR="00E06B89" w:rsidRPr="00A36C99">
        <w:rPr>
          <w:rFonts w:ascii="Arial" w:hAnsi="Arial" w:cs="Arial"/>
          <w:sz w:val="24"/>
          <w:szCs w:val="24"/>
        </w:rPr>
        <w:t>130/2002 Sb., o podpoře výzkumu, experimentálního vývoje a</w:t>
      </w:r>
      <w:r w:rsidR="00D36ECE">
        <w:rPr>
          <w:rFonts w:ascii="Arial" w:hAnsi="Arial" w:cs="Arial"/>
          <w:sz w:val="24"/>
          <w:szCs w:val="24"/>
        </w:rPr>
        <w:t> </w:t>
      </w:r>
      <w:r w:rsidR="00E06B89" w:rsidRPr="00A36C99">
        <w:rPr>
          <w:rFonts w:ascii="Arial" w:hAnsi="Arial" w:cs="Arial"/>
          <w:sz w:val="24"/>
          <w:szCs w:val="24"/>
        </w:rPr>
        <w:t>inovací z veřejných prostředků a o změně některých souvisejících zákonů (zákon o podpoře výzkumu, experimentálního vývoje a inovací), ve znění pozdějších předpisů</w:t>
      </w:r>
      <w:r w:rsidR="004772B4">
        <w:rPr>
          <w:rFonts w:ascii="Arial" w:hAnsi="Arial" w:cs="Arial"/>
          <w:sz w:val="24"/>
          <w:szCs w:val="24"/>
        </w:rPr>
        <w:t>.</w:t>
      </w:r>
    </w:p>
    <w:p w:rsidR="00E06B89" w:rsidRPr="00A36C99" w:rsidRDefault="004772B4" w:rsidP="009B5E43">
      <w:pPr>
        <w:spacing w:after="120"/>
        <w:jc w:val="both"/>
        <w:rPr>
          <w:rFonts w:ascii="Arial" w:hAnsi="Arial" w:cs="Arial"/>
          <w:sz w:val="24"/>
          <w:szCs w:val="24"/>
        </w:rPr>
      </w:pPr>
      <w:r>
        <w:rPr>
          <w:rFonts w:ascii="Arial" w:hAnsi="Arial" w:cs="Arial"/>
          <w:sz w:val="24"/>
          <w:szCs w:val="24"/>
        </w:rPr>
        <w:t>H</w:t>
      </w:r>
      <w:r w:rsidR="00E06B89" w:rsidRPr="00A36C99">
        <w:rPr>
          <w:rFonts w:ascii="Arial" w:hAnsi="Arial" w:cs="Arial"/>
          <w:sz w:val="24"/>
          <w:szCs w:val="24"/>
        </w:rPr>
        <w:t>odnoceny</w:t>
      </w:r>
      <w:r>
        <w:rPr>
          <w:rFonts w:ascii="Arial" w:hAnsi="Arial" w:cs="Arial"/>
          <w:sz w:val="24"/>
          <w:szCs w:val="24"/>
        </w:rPr>
        <w:t xml:space="preserve"> budou</w:t>
      </w:r>
      <w:r w:rsidR="00E06B89" w:rsidRPr="00A36C99">
        <w:rPr>
          <w:rFonts w:ascii="Arial" w:hAnsi="Arial" w:cs="Arial"/>
          <w:sz w:val="24"/>
          <w:szCs w:val="24"/>
        </w:rPr>
        <w:t xml:space="preserve"> </w:t>
      </w:r>
      <w:r w:rsidR="00965352">
        <w:rPr>
          <w:rFonts w:ascii="Arial" w:hAnsi="Arial" w:cs="Arial"/>
          <w:sz w:val="24"/>
          <w:szCs w:val="24"/>
        </w:rPr>
        <w:t>čtyři</w:t>
      </w:r>
      <w:r w:rsidR="00E06B89" w:rsidRPr="00A36C99">
        <w:rPr>
          <w:rFonts w:ascii="Arial" w:hAnsi="Arial" w:cs="Arial"/>
          <w:sz w:val="24"/>
          <w:szCs w:val="24"/>
        </w:rPr>
        <w:t xml:space="preserve"> programy výzkumu, vývoje</w:t>
      </w:r>
      <w:r w:rsidR="00965352">
        <w:rPr>
          <w:rFonts w:ascii="Arial" w:hAnsi="Arial" w:cs="Arial"/>
          <w:sz w:val="24"/>
          <w:szCs w:val="24"/>
        </w:rPr>
        <w:t xml:space="preserve"> a inovací</w:t>
      </w:r>
      <w:r>
        <w:rPr>
          <w:rFonts w:ascii="Arial" w:hAnsi="Arial" w:cs="Arial"/>
          <w:sz w:val="24"/>
          <w:szCs w:val="24"/>
        </w:rPr>
        <w:t>,</w:t>
      </w:r>
      <w:r w:rsidR="00E06B89" w:rsidRPr="00155D37">
        <w:rPr>
          <w:rFonts w:ascii="Arial" w:hAnsi="Arial" w:cs="Arial"/>
          <w:sz w:val="24"/>
          <w:szCs w:val="24"/>
        </w:rPr>
        <w:t xml:space="preserve"> a to:</w:t>
      </w:r>
    </w:p>
    <w:p w:rsidR="00020929" w:rsidRPr="001E711B" w:rsidRDefault="005D615E" w:rsidP="009B5E43">
      <w:pPr>
        <w:pStyle w:val="Nadpis3"/>
        <w:spacing w:after="240"/>
      </w:pPr>
      <w:r>
        <w:t>1/a</w:t>
      </w:r>
      <w:r>
        <w:tab/>
      </w:r>
      <w:r w:rsidR="00170146">
        <w:t>Program NÁVRAT</w:t>
      </w:r>
    </w:p>
    <w:p w:rsidR="00020929" w:rsidRDefault="0092780F" w:rsidP="009B5E43">
      <w:pPr>
        <w:pStyle w:val="Default"/>
        <w:widowControl w:val="0"/>
        <w:tabs>
          <w:tab w:val="left" w:pos="0"/>
        </w:tabs>
        <w:spacing w:after="120" w:line="276" w:lineRule="auto"/>
        <w:ind w:left="720"/>
        <w:jc w:val="both"/>
        <w:rPr>
          <w:rFonts w:ascii="Arial" w:hAnsi="Arial" w:cs="Arial"/>
        </w:rPr>
      </w:pPr>
      <w:r w:rsidRPr="00020929">
        <w:rPr>
          <w:rFonts w:ascii="Arial" w:hAnsi="Arial" w:cs="Arial"/>
        </w:rPr>
        <w:t>Poskytovatelem finančních prostředků bylo Ministerstvo školství, mládeže a tělovýchovy</w:t>
      </w:r>
      <w:r w:rsidR="004574B2">
        <w:rPr>
          <w:rFonts w:ascii="Arial" w:hAnsi="Arial" w:cs="Arial"/>
        </w:rPr>
        <w:t>.</w:t>
      </w:r>
    </w:p>
    <w:p w:rsidR="004A211B" w:rsidRPr="00020929" w:rsidRDefault="00283159" w:rsidP="009B5E43">
      <w:pPr>
        <w:pStyle w:val="Default"/>
        <w:widowControl w:val="0"/>
        <w:tabs>
          <w:tab w:val="left" w:pos="0"/>
        </w:tabs>
        <w:spacing w:after="120" w:line="276" w:lineRule="auto"/>
        <w:ind w:left="720"/>
        <w:jc w:val="both"/>
        <w:rPr>
          <w:rFonts w:ascii="Arial" w:hAnsi="Arial" w:cs="Arial"/>
        </w:rPr>
      </w:pPr>
      <w:r w:rsidRPr="00020929">
        <w:rPr>
          <w:rFonts w:ascii="Arial" w:hAnsi="Arial" w:cs="Arial"/>
        </w:rPr>
        <w:t>H</w:t>
      </w:r>
      <w:r w:rsidR="004A211B" w:rsidRPr="00020929">
        <w:rPr>
          <w:rFonts w:ascii="Arial" w:hAnsi="Arial" w:cs="Arial"/>
        </w:rPr>
        <w:t xml:space="preserve">lavním cílem programu NÁVRAT </w:t>
      </w:r>
      <w:r w:rsidR="0092780F" w:rsidRPr="00020929">
        <w:rPr>
          <w:rFonts w:ascii="Arial" w:hAnsi="Arial" w:cs="Arial"/>
        </w:rPr>
        <w:t>bylo</w:t>
      </w:r>
      <w:r w:rsidR="004A211B" w:rsidRPr="00020929">
        <w:rPr>
          <w:rFonts w:ascii="Arial" w:hAnsi="Arial" w:cs="Arial"/>
        </w:rPr>
        <w:t xml:space="preserve"> vytvoření podmínek k návratu špičkových pracovníků VaVaI do České republiky, stimulovat zájem těchto perspektivních osobností o kvalifikovanou práci v české výzkumné sféře a</w:t>
      </w:r>
      <w:r w:rsidR="009B5E43">
        <w:rPr>
          <w:rFonts w:ascii="Arial" w:hAnsi="Arial" w:cs="Arial"/>
        </w:rPr>
        <w:t> </w:t>
      </w:r>
      <w:r w:rsidR="004A211B" w:rsidRPr="00020929">
        <w:rPr>
          <w:rFonts w:ascii="Arial" w:hAnsi="Arial" w:cs="Arial"/>
        </w:rPr>
        <w:t>stimulovat i zájem českých výzkumných organizací</w:t>
      </w:r>
      <w:r w:rsidR="004574B2">
        <w:rPr>
          <w:rFonts w:ascii="Arial" w:hAnsi="Arial" w:cs="Arial"/>
        </w:rPr>
        <w:t xml:space="preserve"> o tyto osobnosti.</w:t>
      </w:r>
    </w:p>
    <w:p w:rsidR="00A735C7" w:rsidRPr="001E711B" w:rsidRDefault="005D615E" w:rsidP="009B5E43">
      <w:pPr>
        <w:pStyle w:val="Nadpis3"/>
        <w:spacing w:after="240"/>
        <w:ind w:left="705" w:hanging="705"/>
      </w:pPr>
      <w:r>
        <w:t>1/b</w:t>
      </w:r>
      <w:r>
        <w:tab/>
      </w:r>
      <w:r w:rsidR="00A36C99" w:rsidRPr="001E711B">
        <w:t>Pro</w:t>
      </w:r>
      <w:r w:rsidR="004A211B" w:rsidRPr="001E711B">
        <w:t>gram na podporu aplikovaného výzkumu a experimentálního vývoje ALFA</w:t>
      </w:r>
    </w:p>
    <w:p w:rsidR="00020929" w:rsidRPr="00DC749D" w:rsidRDefault="009A0258" w:rsidP="009B5E43">
      <w:pPr>
        <w:pStyle w:val="Odstavecseseznamem"/>
        <w:spacing w:after="120"/>
        <w:contextualSpacing w:val="0"/>
        <w:jc w:val="both"/>
        <w:rPr>
          <w:rFonts w:ascii="Arial" w:hAnsi="Arial" w:cs="Arial"/>
          <w:sz w:val="24"/>
          <w:szCs w:val="24"/>
        </w:rPr>
      </w:pPr>
      <w:r w:rsidRPr="00DC749D">
        <w:rPr>
          <w:rFonts w:ascii="Arial" w:hAnsi="Arial" w:cs="Arial"/>
          <w:sz w:val="24"/>
          <w:szCs w:val="24"/>
        </w:rPr>
        <w:t>Poskytovatelem prostředků byla Technolo</w:t>
      </w:r>
      <w:r w:rsidR="00E83548">
        <w:rPr>
          <w:rFonts w:ascii="Arial" w:hAnsi="Arial" w:cs="Arial"/>
          <w:sz w:val="24"/>
          <w:szCs w:val="24"/>
        </w:rPr>
        <w:t>gická agentura České republiky.</w:t>
      </w:r>
    </w:p>
    <w:p w:rsidR="004A211B" w:rsidRPr="00DC749D" w:rsidRDefault="009A0258" w:rsidP="009B5E43">
      <w:pPr>
        <w:pStyle w:val="Odstavecseseznamem"/>
        <w:spacing w:after="120"/>
        <w:contextualSpacing w:val="0"/>
        <w:jc w:val="both"/>
        <w:rPr>
          <w:rFonts w:ascii="Arial" w:hAnsi="Arial" w:cs="Arial"/>
          <w:sz w:val="24"/>
          <w:szCs w:val="24"/>
        </w:rPr>
      </w:pPr>
      <w:r w:rsidRPr="00DC749D">
        <w:rPr>
          <w:rFonts w:ascii="Arial" w:hAnsi="Arial" w:cs="Arial"/>
          <w:sz w:val="24"/>
          <w:szCs w:val="24"/>
        </w:rPr>
        <w:t>H</w:t>
      </w:r>
      <w:r w:rsidR="004A211B" w:rsidRPr="00DC749D">
        <w:rPr>
          <w:rFonts w:ascii="Arial" w:hAnsi="Arial" w:cs="Arial"/>
          <w:sz w:val="24"/>
          <w:szCs w:val="24"/>
        </w:rPr>
        <w:t xml:space="preserve">lavním cílem programu </w:t>
      </w:r>
      <w:r w:rsidRPr="00DC749D">
        <w:rPr>
          <w:rFonts w:ascii="Arial" w:hAnsi="Arial" w:cs="Arial"/>
          <w:sz w:val="24"/>
          <w:szCs w:val="24"/>
        </w:rPr>
        <w:t>bylo</w:t>
      </w:r>
      <w:r w:rsidR="004A211B" w:rsidRPr="00DC749D">
        <w:rPr>
          <w:rFonts w:ascii="Arial" w:hAnsi="Arial" w:cs="Arial"/>
          <w:sz w:val="24"/>
          <w:szCs w:val="24"/>
        </w:rPr>
        <w:t xml:space="preserve"> výrazné zvýšení množství a kvality nových poznatků aplikovaného výzkumu a experimentálního vývoje v oblasti progresivních technologií, materiálů a systémů, energetických zdrojů, ochrany a tvorby životního prostředí a udržitelného rozvoje dopravy, které b</w:t>
      </w:r>
      <w:r w:rsidRPr="00DC749D">
        <w:rPr>
          <w:rFonts w:ascii="Arial" w:hAnsi="Arial" w:cs="Arial"/>
          <w:sz w:val="24"/>
          <w:szCs w:val="24"/>
        </w:rPr>
        <w:t>yly</w:t>
      </w:r>
      <w:r w:rsidR="004A211B" w:rsidRPr="00DC749D">
        <w:rPr>
          <w:rFonts w:ascii="Arial" w:hAnsi="Arial" w:cs="Arial"/>
          <w:sz w:val="24"/>
          <w:szCs w:val="24"/>
        </w:rPr>
        <w:t xml:space="preserve"> aplikovatelné v podobě inovací. Dílčím cílem programu </w:t>
      </w:r>
      <w:r w:rsidRPr="00DC749D">
        <w:rPr>
          <w:rFonts w:ascii="Arial" w:hAnsi="Arial" w:cs="Arial"/>
          <w:sz w:val="24"/>
          <w:szCs w:val="24"/>
        </w:rPr>
        <w:t>bylo</w:t>
      </w:r>
      <w:r w:rsidR="004A211B" w:rsidRPr="00DC749D">
        <w:rPr>
          <w:rFonts w:ascii="Arial" w:hAnsi="Arial" w:cs="Arial"/>
          <w:sz w:val="24"/>
          <w:szCs w:val="24"/>
        </w:rPr>
        <w:t xml:space="preserve"> zdůraznění interdisciplinarity témat a nutnosti komplexního přístupu k řešení projektů. </w:t>
      </w:r>
    </w:p>
    <w:p w:rsidR="004A211B" w:rsidRPr="00DC749D" w:rsidRDefault="00283159" w:rsidP="009B5E43">
      <w:pPr>
        <w:pStyle w:val="Odstavecseseznamem"/>
        <w:spacing w:after="120"/>
        <w:contextualSpacing w:val="0"/>
        <w:jc w:val="both"/>
        <w:rPr>
          <w:rFonts w:ascii="Arial" w:hAnsi="Arial" w:cs="Arial"/>
          <w:sz w:val="24"/>
          <w:szCs w:val="24"/>
        </w:rPr>
      </w:pPr>
      <w:r w:rsidRPr="00DC749D">
        <w:rPr>
          <w:rFonts w:ascii="Arial" w:hAnsi="Arial" w:cs="Arial"/>
          <w:sz w:val="24"/>
          <w:szCs w:val="24"/>
        </w:rPr>
        <w:t>P</w:t>
      </w:r>
      <w:r w:rsidR="004A211B" w:rsidRPr="00DC749D">
        <w:rPr>
          <w:rFonts w:ascii="Arial" w:hAnsi="Arial" w:cs="Arial"/>
          <w:sz w:val="24"/>
          <w:szCs w:val="24"/>
        </w:rPr>
        <w:t xml:space="preserve">rogram </w:t>
      </w:r>
      <w:r w:rsidR="009A0258" w:rsidRPr="00DC749D">
        <w:rPr>
          <w:rFonts w:ascii="Arial" w:hAnsi="Arial" w:cs="Arial"/>
          <w:sz w:val="24"/>
          <w:szCs w:val="24"/>
        </w:rPr>
        <w:t xml:space="preserve">byl </w:t>
      </w:r>
      <w:r w:rsidR="004A211B" w:rsidRPr="00DC749D">
        <w:rPr>
          <w:rFonts w:ascii="Arial" w:hAnsi="Arial" w:cs="Arial"/>
          <w:sz w:val="24"/>
          <w:szCs w:val="24"/>
        </w:rPr>
        <w:t>rozčleněn do 3 podprogramů:</w:t>
      </w:r>
    </w:p>
    <w:p w:rsidR="004A211B" w:rsidRPr="009B5E43" w:rsidRDefault="004A211B" w:rsidP="00500BC1">
      <w:pPr>
        <w:pStyle w:val="Odstavecseseznamem"/>
        <w:numPr>
          <w:ilvl w:val="0"/>
          <w:numId w:val="19"/>
        </w:numPr>
        <w:spacing w:after="120"/>
        <w:ind w:left="1434" w:hanging="357"/>
        <w:contextualSpacing w:val="0"/>
        <w:jc w:val="both"/>
        <w:rPr>
          <w:rFonts w:ascii="Arial" w:hAnsi="Arial" w:cs="Arial"/>
          <w:sz w:val="24"/>
          <w:szCs w:val="24"/>
        </w:rPr>
      </w:pPr>
      <w:r w:rsidRPr="009B5E43">
        <w:rPr>
          <w:rFonts w:ascii="Arial" w:hAnsi="Arial" w:cs="Arial"/>
          <w:sz w:val="24"/>
          <w:szCs w:val="24"/>
        </w:rPr>
        <w:t>Progresivní technologie, materiály a systémy</w:t>
      </w:r>
      <w:r w:rsidR="009B5E43">
        <w:rPr>
          <w:rFonts w:ascii="Arial" w:hAnsi="Arial" w:cs="Arial"/>
          <w:sz w:val="24"/>
          <w:szCs w:val="24"/>
        </w:rPr>
        <w:t>,</w:t>
      </w:r>
    </w:p>
    <w:p w:rsidR="004A211B" w:rsidRPr="009B5E43" w:rsidRDefault="004A211B" w:rsidP="00500BC1">
      <w:pPr>
        <w:pStyle w:val="Odstavecseseznamem"/>
        <w:numPr>
          <w:ilvl w:val="0"/>
          <w:numId w:val="19"/>
        </w:numPr>
        <w:spacing w:after="120"/>
        <w:ind w:left="1434" w:hanging="357"/>
        <w:contextualSpacing w:val="0"/>
        <w:jc w:val="both"/>
        <w:rPr>
          <w:rFonts w:ascii="Arial" w:hAnsi="Arial" w:cs="Arial"/>
          <w:sz w:val="24"/>
          <w:szCs w:val="24"/>
        </w:rPr>
      </w:pPr>
      <w:r w:rsidRPr="009B5E43">
        <w:rPr>
          <w:rFonts w:ascii="Arial" w:hAnsi="Arial" w:cs="Arial"/>
          <w:sz w:val="24"/>
          <w:szCs w:val="24"/>
        </w:rPr>
        <w:t>Energetické zdroje a ochra</w:t>
      </w:r>
      <w:r w:rsidR="009B5E43">
        <w:rPr>
          <w:rFonts w:ascii="Arial" w:hAnsi="Arial" w:cs="Arial"/>
          <w:sz w:val="24"/>
          <w:szCs w:val="24"/>
        </w:rPr>
        <w:t>na a tvorba životního prostředí,</w:t>
      </w:r>
    </w:p>
    <w:p w:rsidR="00290F38" w:rsidRPr="009B5E43" w:rsidRDefault="004A211B" w:rsidP="00500BC1">
      <w:pPr>
        <w:pStyle w:val="Odstavecseseznamem"/>
        <w:numPr>
          <w:ilvl w:val="0"/>
          <w:numId w:val="19"/>
        </w:numPr>
        <w:spacing w:after="120"/>
        <w:ind w:left="1434" w:hanging="357"/>
        <w:contextualSpacing w:val="0"/>
        <w:jc w:val="both"/>
        <w:rPr>
          <w:rFonts w:ascii="Arial" w:hAnsi="Arial" w:cs="Arial"/>
          <w:sz w:val="24"/>
          <w:szCs w:val="24"/>
        </w:rPr>
      </w:pPr>
      <w:r w:rsidRPr="009B5E43">
        <w:rPr>
          <w:rFonts w:ascii="Arial" w:hAnsi="Arial" w:cs="Arial"/>
          <w:sz w:val="24"/>
          <w:szCs w:val="24"/>
        </w:rPr>
        <w:t>Udržitelný rozvoj dopravy</w:t>
      </w:r>
      <w:r w:rsidR="009B5E43">
        <w:rPr>
          <w:rFonts w:ascii="Arial" w:hAnsi="Arial" w:cs="Arial"/>
          <w:sz w:val="24"/>
          <w:szCs w:val="24"/>
        </w:rPr>
        <w:t>.</w:t>
      </w:r>
    </w:p>
    <w:p w:rsidR="00290F38" w:rsidRPr="00290F38" w:rsidRDefault="005D615E" w:rsidP="009B5E43">
      <w:pPr>
        <w:pStyle w:val="Nadpis3"/>
        <w:pageBreakBefore/>
        <w:spacing w:after="240"/>
      </w:pPr>
      <w:r>
        <w:lastRenderedPageBreak/>
        <w:t>1/c</w:t>
      </w:r>
      <w:r>
        <w:tab/>
      </w:r>
      <w:r w:rsidR="00290F38">
        <w:t>Centra kompetence</w:t>
      </w:r>
    </w:p>
    <w:p w:rsidR="00290F38" w:rsidRPr="00964B08" w:rsidRDefault="00290F38" w:rsidP="00964B08">
      <w:pPr>
        <w:pStyle w:val="Odstavecseseznamem"/>
        <w:spacing w:before="120" w:after="120"/>
        <w:ind w:left="709"/>
        <w:contextualSpacing w:val="0"/>
        <w:jc w:val="both"/>
        <w:rPr>
          <w:rFonts w:ascii="Arial" w:hAnsi="Arial" w:cs="Arial"/>
          <w:sz w:val="24"/>
          <w:szCs w:val="24"/>
        </w:rPr>
      </w:pPr>
      <w:r w:rsidRPr="00DC749D">
        <w:rPr>
          <w:rFonts w:ascii="Arial" w:hAnsi="Arial" w:cs="Arial"/>
          <w:sz w:val="24"/>
          <w:szCs w:val="24"/>
        </w:rPr>
        <w:t>Poskytovatelem finančních prostředků byla Technolo</w:t>
      </w:r>
      <w:r w:rsidR="00964B08">
        <w:rPr>
          <w:rFonts w:ascii="Arial" w:hAnsi="Arial" w:cs="Arial"/>
          <w:sz w:val="24"/>
          <w:szCs w:val="24"/>
        </w:rPr>
        <w:t>gická agentura České republiky.</w:t>
      </w:r>
    </w:p>
    <w:p w:rsidR="00290F38" w:rsidRPr="009B5E43" w:rsidRDefault="00290F38" w:rsidP="00964B08">
      <w:pPr>
        <w:pStyle w:val="Odstavecseseznamem"/>
        <w:spacing w:before="120" w:after="120"/>
        <w:ind w:left="709"/>
        <w:contextualSpacing w:val="0"/>
        <w:jc w:val="both"/>
        <w:rPr>
          <w:rFonts w:ascii="Arial" w:hAnsi="Arial" w:cs="Arial"/>
          <w:sz w:val="24"/>
          <w:szCs w:val="24"/>
        </w:rPr>
      </w:pPr>
      <w:r w:rsidRPr="009B5E43">
        <w:rPr>
          <w:rFonts w:ascii="Arial" w:hAnsi="Arial" w:cs="Arial"/>
          <w:sz w:val="24"/>
          <w:szCs w:val="24"/>
        </w:rPr>
        <w:t>Hlavním cílem programu je zvýšení konkurenceschopnosti ČR v progresivních oborech s vysokým potenciálem pro uplatnění výsledků VaV v inovacích. Mezi dílčí cíle patří: posílení dlouhodobé spolupráce výzkumných organizací a</w:t>
      </w:r>
      <w:r w:rsidR="009B5E43">
        <w:rPr>
          <w:rFonts w:ascii="Arial" w:hAnsi="Arial" w:cs="Arial"/>
          <w:sz w:val="24"/>
          <w:szCs w:val="24"/>
        </w:rPr>
        <w:t> </w:t>
      </w:r>
      <w:r w:rsidRPr="009B5E43">
        <w:rPr>
          <w:rFonts w:ascii="Arial" w:hAnsi="Arial" w:cs="Arial"/>
          <w:sz w:val="24"/>
          <w:szCs w:val="24"/>
        </w:rPr>
        <w:t>podniků ve VaVaI; posílení interdisciplinarity VaV; vytvoření podmínek pro rozvoj lidských zdrojů ve VaVaI, zejména s důrazem na zapojení začínajících výzkumných pracovníků ve věku do 35 let včetně studentů, podílejících se na projektu; vytvoření podmínek pro horizontální mobilitu výzkumných pracovníků; naplňování Národních priorit orientovaného výzkumu, experimentálního vývoje a inovací; udržitelnost strategické výzkumné agendy v centrech nejméně pět let po skončení projektu.</w:t>
      </w:r>
    </w:p>
    <w:p w:rsidR="00283159" w:rsidRPr="009B5E43" w:rsidRDefault="004A211B" w:rsidP="00964B08">
      <w:pPr>
        <w:pStyle w:val="Odstavecseseznamem"/>
        <w:spacing w:before="120" w:after="120"/>
        <w:ind w:left="709"/>
        <w:contextualSpacing w:val="0"/>
        <w:jc w:val="both"/>
        <w:rPr>
          <w:rFonts w:ascii="Arial" w:hAnsi="Arial" w:cs="Arial"/>
          <w:sz w:val="24"/>
          <w:szCs w:val="24"/>
        </w:rPr>
      </w:pPr>
      <w:r w:rsidRPr="009B5E43">
        <w:rPr>
          <w:rFonts w:ascii="Arial" w:hAnsi="Arial" w:cs="Arial"/>
          <w:sz w:val="24"/>
          <w:szCs w:val="24"/>
        </w:rPr>
        <w:t>Mezi dílčí cíle odvozené z výše popsaného hlavního cíle programu patř</w:t>
      </w:r>
      <w:r w:rsidR="009A0258" w:rsidRPr="009B5E43">
        <w:rPr>
          <w:rFonts w:ascii="Arial" w:hAnsi="Arial" w:cs="Arial"/>
          <w:sz w:val="24"/>
          <w:szCs w:val="24"/>
        </w:rPr>
        <w:t>ilo</w:t>
      </w:r>
      <w:r w:rsidR="00E83548">
        <w:rPr>
          <w:rFonts w:ascii="Arial" w:hAnsi="Arial" w:cs="Arial"/>
          <w:sz w:val="24"/>
          <w:szCs w:val="24"/>
        </w:rPr>
        <w:t>:</w:t>
      </w:r>
    </w:p>
    <w:p w:rsidR="001E711B" w:rsidRDefault="004A211B" w:rsidP="009B5E43">
      <w:pPr>
        <w:pStyle w:val="Odstavecseseznamem"/>
        <w:numPr>
          <w:ilvl w:val="0"/>
          <w:numId w:val="19"/>
        </w:numPr>
        <w:spacing w:after="120" w:line="23" w:lineRule="atLeast"/>
        <w:contextualSpacing w:val="0"/>
        <w:jc w:val="both"/>
        <w:rPr>
          <w:rFonts w:ascii="Arial" w:hAnsi="Arial" w:cs="Arial"/>
          <w:sz w:val="24"/>
          <w:szCs w:val="24"/>
        </w:rPr>
      </w:pPr>
      <w:r w:rsidRPr="001E711B">
        <w:rPr>
          <w:rFonts w:ascii="Arial" w:hAnsi="Arial" w:cs="Arial"/>
          <w:sz w:val="24"/>
          <w:szCs w:val="24"/>
        </w:rPr>
        <w:t>posílení dlouhodobé spolupráce v</w:t>
      </w:r>
      <w:r w:rsidR="00283159" w:rsidRPr="001E711B">
        <w:rPr>
          <w:rFonts w:ascii="Arial" w:hAnsi="Arial" w:cs="Arial"/>
          <w:sz w:val="24"/>
          <w:szCs w:val="24"/>
        </w:rPr>
        <w:t xml:space="preserve">eřejného a soukromého </w:t>
      </w:r>
      <w:r w:rsidR="001E711B" w:rsidRPr="001E711B">
        <w:rPr>
          <w:rFonts w:ascii="Arial" w:hAnsi="Arial" w:cs="Arial"/>
          <w:sz w:val="24"/>
          <w:szCs w:val="24"/>
        </w:rPr>
        <w:t>sektoru ve</w:t>
      </w:r>
      <w:r w:rsidR="00283159" w:rsidRPr="001E711B">
        <w:rPr>
          <w:rFonts w:ascii="Arial" w:hAnsi="Arial" w:cs="Arial"/>
          <w:sz w:val="24"/>
          <w:szCs w:val="24"/>
        </w:rPr>
        <w:t> </w:t>
      </w:r>
      <w:r w:rsidRPr="001E711B">
        <w:rPr>
          <w:rFonts w:ascii="Arial" w:hAnsi="Arial" w:cs="Arial"/>
          <w:sz w:val="24"/>
          <w:szCs w:val="24"/>
        </w:rPr>
        <w:t>VaVaI</w:t>
      </w:r>
      <w:r w:rsidR="00E83548">
        <w:rPr>
          <w:rFonts w:ascii="Arial" w:hAnsi="Arial" w:cs="Arial"/>
          <w:sz w:val="24"/>
          <w:szCs w:val="24"/>
        </w:rPr>
        <w:t>;</w:t>
      </w:r>
    </w:p>
    <w:p w:rsidR="001E711B" w:rsidRPr="001E711B" w:rsidRDefault="004A211B" w:rsidP="009B5E43">
      <w:pPr>
        <w:pStyle w:val="Odstavecseseznamem"/>
        <w:numPr>
          <w:ilvl w:val="0"/>
          <w:numId w:val="19"/>
        </w:numPr>
        <w:spacing w:after="120" w:line="23" w:lineRule="atLeast"/>
        <w:contextualSpacing w:val="0"/>
        <w:jc w:val="both"/>
        <w:rPr>
          <w:rFonts w:ascii="Arial" w:hAnsi="Arial" w:cs="Arial"/>
          <w:sz w:val="24"/>
          <w:szCs w:val="24"/>
        </w:rPr>
      </w:pPr>
      <w:r w:rsidRPr="001E711B">
        <w:rPr>
          <w:rFonts w:ascii="Arial" w:hAnsi="Arial" w:cs="Arial"/>
          <w:sz w:val="24"/>
          <w:szCs w:val="24"/>
        </w:rPr>
        <w:t>vytvoření strategických partnerstv</w:t>
      </w:r>
      <w:r w:rsidR="00283159" w:rsidRPr="001E711B">
        <w:rPr>
          <w:rFonts w:ascii="Arial" w:hAnsi="Arial" w:cs="Arial"/>
          <w:sz w:val="24"/>
          <w:szCs w:val="24"/>
        </w:rPr>
        <w:t xml:space="preserve">í výzkumné a podnikové </w:t>
      </w:r>
      <w:r w:rsidR="001E711B" w:rsidRPr="001E711B">
        <w:rPr>
          <w:rFonts w:ascii="Arial" w:hAnsi="Arial" w:cs="Arial"/>
          <w:sz w:val="24"/>
          <w:szCs w:val="24"/>
        </w:rPr>
        <w:t>sféry pro</w:t>
      </w:r>
      <w:r w:rsidR="00283159" w:rsidRPr="001E711B">
        <w:rPr>
          <w:rFonts w:ascii="Arial" w:hAnsi="Arial" w:cs="Arial"/>
          <w:sz w:val="24"/>
          <w:szCs w:val="24"/>
        </w:rPr>
        <w:t> </w:t>
      </w:r>
      <w:r w:rsidRPr="001E711B">
        <w:rPr>
          <w:rFonts w:ascii="Arial" w:hAnsi="Arial" w:cs="Arial"/>
          <w:sz w:val="24"/>
          <w:szCs w:val="24"/>
        </w:rPr>
        <w:t xml:space="preserve">dosažení pokroku ve </w:t>
      </w:r>
      <w:r w:rsidRPr="009B5E43">
        <w:rPr>
          <w:rFonts w:ascii="Arial" w:hAnsi="Arial" w:cs="Arial"/>
          <w:sz w:val="24"/>
          <w:szCs w:val="24"/>
        </w:rPr>
        <w:t>výzkumu a vývoji a pro</w:t>
      </w:r>
      <w:r w:rsidR="00283159" w:rsidRPr="009B5E43">
        <w:rPr>
          <w:rFonts w:ascii="Arial" w:hAnsi="Arial" w:cs="Arial"/>
          <w:sz w:val="24"/>
          <w:szCs w:val="24"/>
        </w:rPr>
        <w:t xml:space="preserve"> implementaci jeho </w:t>
      </w:r>
      <w:r w:rsidR="001E711B" w:rsidRPr="009B5E43">
        <w:rPr>
          <w:rFonts w:ascii="Arial" w:hAnsi="Arial" w:cs="Arial"/>
          <w:sz w:val="24"/>
          <w:szCs w:val="24"/>
        </w:rPr>
        <w:t>výsledků</w:t>
      </w:r>
      <w:r w:rsidR="001E711B" w:rsidRPr="001E711B">
        <w:rPr>
          <w:rFonts w:ascii="Arial" w:hAnsi="Arial" w:cs="Arial"/>
          <w:sz w:val="24"/>
          <w:szCs w:val="24"/>
        </w:rPr>
        <w:t xml:space="preserve"> v inovacích</w:t>
      </w:r>
      <w:r w:rsidRPr="001E711B">
        <w:rPr>
          <w:rFonts w:ascii="Arial" w:hAnsi="Arial" w:cs="Arial"/>
          <w:sz w:val="24"/>
          <w:szCs w:val="24"/>
        </w:rPr>
        <w:t xml:space="preserve">; </w:t>
      </w:r>
    </w:p>
    <w:p w:rsidR="004A211B" w:rsidRPr="001E711B" w:rsidRDefault="004A211B" w:rsidP="009B5E43">
      <w:pPr>
        <w:pStyle w:val="Odstavecseseznamem"/>
        <w:numPr>
          <w:ilvl w:val="0"/>
          <w:numId w:val="19"/>
        </w:numPr>
        <w:spacing w:after="120" w:line="23" w:lineRule="atLeast"/>
        <w:contextualSpacing w:val="0"/>
        <w:jc w:val="both"/>
        <w:rPr>
          <w:rFonts w:ascii="Arial" w:hAnsi="Arial" w:cs="Arial"/>
          <w:sz w:val="24"/>
          <w:szCs w:val="24"/>
        </w:rPr>
      </w:pPr>
      <w:r w:rsidRPr="009B5E43">
        <w:rPr>
          <w:rFonts w:ascii="Arial" w:hAnsi="Arial" w:cs="Arial"/>
          <w:sz w:val="24"/>
          <w:szCs w:val="24"/>
        </w:rPr>
        <w:t>posílení interd</w:t>
      </w:r>
      <w:r w:rsidR="00E83548">
        <w:rPr>
          <w:rFonts w:ascii="Arial" w:hAnsi="Arial" w:cs="Arial"/>
          <w:sz w:val="24"/>
          <w:szCs w:val="24"/>
        </w:rPr>
        <w:t>isciplinarity výzkumu a vývoje;</w:t>
      </w:r>
    </w:p>
    <w:p w:rsidR="003B2BDF" w:rsidRDefault="004A211B" w:rsidP="009B5E43">
      <w:pPr>
        <w:pStyle w:val="Odstavecseseznamem"/>
        <w:numPr>
          <w:ilvl w:val="0"/>
          <w:numId w:val="19"/>
        </w:numPr>
        <w:spacing w:after="120" w:line="23" w:lineRule="atLeast"/>
        <w:contextualSpacing w:val="0"/>
        <w:jc w:val="both"/>
        <w:rPr>
          <w:rFonts w:ascii="Arial" w:hAnsi="Arial" w:cs="Arial"/>
          <w:sz w:val="24"/>
          <w:szCs w:val="24"/>
        </w:rPr>
      </w:pPr>
      <w:r w:rsidRPr="003B2BDF">
        <w:rPr>
          <w:rFonts w:ascii="Arial" w:hAnsi="Arial" w:cs="Arial"/>
          <w:sz w:val="24"/>
          <w:szCs w:val="24"/>
        </w:rPr>
        <w:t>vytvoření podmínek pro rozvoj lidských zdrojů ve VaVaI, zejména s</w:t>
      </w:r>
      <w:r w:rsidR="009B5E43">
        <w:rPr>
          <w:rFonts w:ascii="Arial" w:hAnsi="Arial" w:cs="Arial"/>
          <w:sz w:val="24"/>
          <w:szCs w:val="24"/>
        </w:rPr>
        <w:t> </w:t>
      </w:r>
      <w:r w:rsidRPr="003B2BDF">
        <w:rPr>
          <w:rFonts w:ascii="Arial" w:hAnsi="Arial" w:cs="Arial"/>
          <w:sz w:val="24"/>
          <w:szCs w:val="24"/>
        </w:rPr>
        <w:t xml:space="preserve">důrazem na </w:t>
      </w:r>
      <w:r w:rsidR="00E83548">
        <w:rPr>
          <w:rFonts w:ascii="Arial" w:hAnsi="Arial" w:cs="Arial"/>
          <w:sz w:val="24"/>
          <w:szCs w:val="24"/>
        </w:rPr>
        <w:t>začínající výzkumné pracovníky;</w:t>
      </w:r>
    </w:p>
    <w:p w:rsidR="004A211B" w:rsidRPr="003B2BDF" w:rsidRDefault="004A211B" w:rsidP="009B5E43">
      <w:pPr>
        <w:pStyle w:val="Odstavecseseznamem"/>
        <w:numPr>
          <w:ilvl w:val="0"/>
          <w:numId w:val="19"/>
        </w:numPr>
        <w:spacing w:after="120" w:line="23" w:lineRule="atLeast"/>
        <w:contextualSpacing w:val="0"/>
        <w:jc w:val="both"/>
        <w:rPr>
          <w:rFonts w:ascii="Arial" w:hAnsi="Arial" w:cs="Arial"/>
          <w:sz w:val="24"/>
          <w:szCs w:val="24"/>
        </w:rPr>
      </w:pPr>
      <w:r w:rsidRPr="003B2BDF">
        <w:rPr>
          <w:rFonts w:ascii="Arial" w:hAnsi="Arial" w:cs="Arial"/>
          <w:sz w:val="24"/>
          <w:szCs w:val="24"/>
        </w:rPr>
        <w:t xml:space="preserve">vytvoření podmínek pro horizontální </w:t>
      </w:r>
      <w:r w:rsidR="00E83548">
        <w:rPr>
          <w:rFonts w:ascii="Arial" w:hAnsi="Arial" w:cs="Arial"/>
          <w:sz w:val="24"/>
          <w:szCs w:val="24"/>
        </w:rPr>
        <w:t>mobilitu výzkumných pracovníků.</w:t>
      </w:r>
    </w:p>
    <w:p w:rsidR="003B2BDF" w:rsidRPr="001E711B" w:rsidRDefault="005D615E" w:rsidP="009B5E43">
      <w:pPr>
        <w:pStyle w:val="Nadpis3"/>
        <w:spacing w:after="240"/>
        <w:ind w:left="705" w:hanging="705"/>
      </w:pPr>
      <w:r>
        <w:t>1/d</w:t>
      </w:r>
      <w:r>
        <w:tab/>
      </w:r>
      <w:r w:rsidR="004A211B" w:rsidRPr="001E711B">
        <w:t>Program aplikovaného výzkumu, experim</w:t>
      </w:r>
      <w:r w:rsidR="00E83548">
        <w:t>entálního vývoje a inovací GAMA</w:t>
      </w:r>
    </w:p>
    <w:p w:rsidR="00DC749D" w:rsidRPr="009B5E43" w:rsidRDefault="003B2BDF" w:rsidP="00964B08">
      <w:pPr>
        <w:pStyle w:val="Odstavecseseznamem"/>
        <w:spacing w:before="120" w:after="120"/>
        <w:ind w:left="708"/>
        <w:contextualSpacing w:val="0"/>
        <w:jc w:val="both"/>
        <w:rPr>
          <w:rFonts w:ascii="Arial" w:hAnsi="Arial" w:cs="Arial"/>
          <w:sz w:val="24"/>
          <w:szCs w:val="24"/>
        </w:rPr>
      </w:pPr>
      <w:r w:rsidRPr="00042627">
        <w:rPr>
          <w:rFonts w:ascii="Arial" w:hAnsi="Arial" w:cs="Arial"/>
          <w:sz w:val="24"/>
          <w:szCs w:val="24"/>
        </w:rPr>
        <w:t>Poskytovatelem finančních prostředků byla Technolo</w:t>
      </w:r>
      <w:r w:rsidR="00E83548">
        <w:rPr>
          <w:rFonts w:ascii="Arial" w:hAnsi="Arial" w:cs="Arial"/>
          <w:sz w:val="24"/>
          <w:szCs w:val="24"/>
        </w:rPr>
        <w:t>gická agentura České republiky.</w:t>
      </w:r>
    </w:p>
    <w:p w:rsidR="0092780F" w:rsidRPr="00042627" w:rsidRDefault="0092780F" w:rsidP="00964B08">
      <w:pPr>
        <w:pStyle w:val="Odstavecseseznamem"/>
        <w:spacing w:before="120" w:after="120"/>
        <w:ind w:left="709"/>
        <w:contextualSpacing w:val="0"/>
        <w:jc w:val="both"/>
        <w:rPr>
          <w:rFonts w:ascii="Arial" w:hAnsi="Arial" w:cs="Arial"/>
          <w:sz w:val="24"/>
          <w:szCs w:val="24"/>
        </w:rPr>
      </w:pPr>
      <w:r w:rsidRPr="00042627">
        <w:rPr>
          <w:rFonts w:ascii="Arial" w:hAnsi="Arial" w:cs="Arial"/>
          <w:sz w:val="24"/>
          <w:szCs w:val="24"/>
        </w:rPr>
        <w:t xml:space="preserve">Hlavním cílem </w:t>
      </w:r>
      <w:r w:rsidR="00042627" w:rsidRPr="00042627">
        <w:rPr>
          <w:rFonts w:ascii="Arial" w:hAnsi="Arial" w:cs="Arial"/>
          <w:sz w:val="24"/>
          <w:szCs w:val="24"/>
        </w:rPr>
        <w:t>bylo </w:t>
      </w:r>
      <w:r w:rsidRPr="00042627">
        <w:rPr>
          <w:rFonts w:ascii="Arial" w:hAnsi="Arial" w:cs="Arial"/>
          <w:sz w:val="24"/>
          <w:szCs w:val="24"/>
        </w:rPr>
        <w:t>podpořit a významně zef</w:t>
      </w:r>
      <w:r w:rsidR="00E83548">
        <w:rPr>
          <w:rFonts w:ascii="Arial" w:hAnsi="Arial" w:cs="Arial"/>
          <w:sz w:val="24"/>
          <w:szCs w:val="24"/>
        </w:rPr>
        <w:t>ektivnit transformaci výsledků výzkumu a vývoje</w:t>
      </w:r>
      <w:r w:rsidRPr="00042627">
        <w:rPr>
          <w:rFonts w:ascii="Arial" w:hAnsi="Arial" w:cs="Arial"/>
          <w:sz w:val="24"/>
          <w:szCs w:val="24"/>
        </w:rPr>
        <w:t xml:space="preserve">, dosažených ve </w:t>
      </w:r>
      <w:r w:rsidR="00042627" w:rsidRPr="00042627">
        <w:rPr>
          <w:rFonts w:ascii="Arial" w:hAnsi="Arial" w:cs="Arial"/>
          <w:sz w:val="24"/>
          <w:szCs w:val="24"/>
        </w:rPr>
        <w:t>výzkumných organizacích</w:t>
      </w:r>
      <w:r w:rsidRPr="00042627">
        <w:rPr>
          <w:rFonts w:ascii="Arial" w:hAnsi="Arial" w:cs="Arial"/>
          <w:sz w:val="24"/>
          <w:szCs w:val="24"/>
        </w:rPr>
        <w:t xml:space="preserve"> a/nebo ve spolupráci mezi </w:t>
      </w:r>
      <w:r w:rsidR="00042627" w:rsidRPr="00042627">
        <w:rPr>
          <w:rFonts w:ascii="Arial" w:hAnsi="Arial" w:cs="Arial"/>
          <w:sz w:val="24"/>
          <w:szCs w:val="24"/>
        </w:rPr>
        <w:t>nimi</w:t>
      </w:r>
      <w:r w:rsidRPr="00042627">
        <w:rPr>
          <w:rFonts w:ascii="Arial" w:hAnsi="Arial" w:cs="Arial"/>
          <w:sz w:val="24"/>
          <w:szCs w:val="24"/>
        </w:rPr>
        <w:t xml:space="preserve"> a podniky, do podoby praktické aplikace umožňující jejich komerční využití a podpořit tak jejich zavedení do praxe. K cílům programu patř</w:t>
      </w:r>
      <w:r w:rsidR="00042627" w:rsidRPr="00042627">
        <w:rPr>
          <w:rFonts w:ascii="Arial" w:hAnsi="Arial" w:cs="Arial"/>
          <w:sz w:val="24"/>
          <w:szCs w:val="24"/>
        </w:rPr>
        <w:t>ilo</w:t>
      </w:r>
      <w:r w:rsidRPr="00042627">
        <w:rPr>
          <w:rFonts w:ascii="Arial" w:hAnsi="Arial" w:cs="Arial"/>
          <w:sz w:val="24"/>
          <w:szCs w:val="24"/>
        </w:rPr>
        <w:t xml:space="preserve"> také zaji</w:t>
      </w:r>
      <w:r w:rsidR="00042627" w:rsidRPr="00042627">
        <w:rPr>
          <w:rFonts w:ascii="Arial" w:hAnsi="Arial" w:cs="Arial"/>
          <w:sz w:val="24"/>
          <w:szCs w:val="24"/>
        </w:rPr>
        <w:t>štění tvorby</w:t>
      </w:r>
      <w:r w:rsidRPr="00042627">
        <w:rPr>
          <w:rFonts w:ascii="Arial" w:hAnsi="Arial" w:cs="Arial"/>
          <w:sz w:val="24"/>
          <w:szCs w:val="24"/>
        </w:rPr>
        <w:t xml:space="preserve"> výsledků vedoucím k inovacím s vysokou pravděpodobností jejich komercializace a tím </w:t>
      </w:r>
      <w:r w:rsidR="00042627" w:rsidRPr="00042627">
        <w:rPr>
          <w:rFonts w:ascii="Arial" w:hAnsi="Arial" w:cs="Arial"/>
          <w:sz w:val="24"/>
          <w:szCs w:val="24"/>
        </w:rPr>
        <w:t>i </w:t>
      </w:r>
      <w:r w:rsidRPr="00042627">
        <w:rPr>
          <w:rFonts w:ascii="Arial" w:hAnsi="Arial" w:cs="Arial"/>
          <w:sz w:val="24"/>
          <w:szCs w:val="24"/>
        </w:rPr>
        <w:t>stimul</w:t>
      </w:r>
      <w:r w:rsidR="00042627" w:rsidRPr="00042627">
        <w:rPr>
          <w:rFonts w:ascii="Arial" w:hAnsi="Arial" w:cs="Arial"/>
          <w:sz w:val="24"/>
          <w:szCs w:val="24"/>
        </w:rPr>
        <w:t>ace</w:t>
      </w:r>
      <w:r w:rsidRPr="00042627">
        <w:rPr>
          <w:rFonts w:ascii="Arial" w:hAnsi="Arial" w:cs="Arial"/>
          <w:sz w:val="24"/>
          <w:szCs w:val="24"/>
        </w:rPr>
        <w:t xml:space="preserve"> inovac</w:t>
      </w:r>
      <w:r w:rsidR="00042627" w:rsidRPr="00042627">
        <w:rPr>
          <w:rFonts w:ascii="Arial" w:hAnsi="Arial" w:cs="Arial"/>
          <w:sz w:val="24"/>
          <w:szCs w:val="24"/>
        </w:rPr>
        <w:t>í </w:t>
      </w:r>
      <w:r w:rsidRPr="00042627">
        <w:rPr>
          <w:rFonts w:ascii="Arial" w:hAnsi="Arial" w:cs="Arial"/>
          <w:sz w:val="24"/>
          <w:szCs w:val="24"/>
        </w:rPr>
        <w:t xml:space="preserve"> v podnicích (zejména malých a</w:t>
      </w:r>
      <w:r w:rsidR="009B5E43">
        <w:rPr>
          <w:rFonts w:ascii="Arial" w:hAnsi="Arial" w:cs="Arial"/>
          <w:sz w:val="24"/>
          <w:szCs w:val="24"/>
        </w:rPr>
        <w:t> </w:t>
      </w:r>
      <w:r w:rsidRPr="00042627">
        <w:rPr>
          <w:rFonts w:ascii="Arial" w:hAnsi="Arial" w:cs="Arial"/>
          <w:sz w:val="24"/>
          <w:szCs w:val="24"/>
        </w:rPr>
        <w:t>středních) s využitím výsledků vznikl</w:t>
      </w:r>
      <w:r w:rsidR="00042627" w:rsidRPr="00042627">
        <w:rPr>
          <w:rFonts w:ascii="Arial" w:hAnsi="Arial" w:cs="Arial"/>
          <w:sz w:val="24"/>
          <w:szCs w:val="24"/>
        </w:rPr>
        <w:t>ých</w:t>
      </w:r>
      <w:r w:rsidRPr="00042627">
        <w:rPr>
          <w:rFonts w:ascii="Arial" w:hAnsi="Arial" w:cs="Arial"/>
          <w:sz w:val="24"/>
          <w:szCs w:val="24"/>
        </w:rPr>
        <w:t xml:space="preserve"> s podporou veřejných zdrojů ve </w:t>
      </w:r>
      <w:r w:rsidR="00042627" w:rsidRPr="00042627">
        <w:rPr>
          <w:rFonts w:ascii="Arial" w:hAnsi="Arial" w:cs="Arial"/>
          <w:sz w:val="24"/>
          <w:szCs w:val="24"/>
        </w:rPr>
        <w:t>výzkumných organizacích</w:t>
      </w:r>
      <w:r w:rsidRPr="00042627">
        <w:rPr>
          <w:rFonts w:ascii="Arial" w:hAnsi="Arial" w:cs="Arial"/>
          <w:sz w:val="24"/>
          <w:szCs w:val="24"/>
        </w:rPr>
        <w:t>.</w:t>
      </w:r>
    </w:p>
    <w:p w:rsidR="00A0489A" w:rsidRPr="00064B57" w:rsidRDefault="00A0489A" w:rsidP="009B5E43">
      <w:pPr>
        <w:pStyle w:val="Nadpis3"/>
        <w:pageBreakBefore/>
        <w:numPr>
          <w:ilvl w:val="2"/>
          <w:numId w:val="3"/>
        </w:numPr>
        <w:spacing w:after="240"/>
      </w:pPr>
      <w:r w:rsidRPr="00064B57">
        <w:lastRenderedPageBreak/>
        <w:t>Základní dokumenty a zdroje</w:t>
      </w:r>
    </w:p>
    <w:p w:rsidR="00F42A12" w:rsidRPr="00064B57" w:rsidRDefault="00793ABD" w:rsidP="009B5E43">
      <w:pPr>
        <w:pStyle w:val="Odstavecseseznamem"/>
        <w:numPr>
          <w:ilvl w:val="0"/>
          <w:numId w:val="5"/>
        </w:numPr>
        <w:shd w:val="clear" w:color="auto" w:fill="FFFFFF" w:themeFill="background1"/>
        <w:spacing w:after="120"/>
        <w:ind w:left="714" w:hanging="357"/>
        <w:contextualSpacing w:val="0"/>
        <w:jc w:val="both"/>
        <w:rPr>
          <w:rFonts w:ascii="Arial" w:hAnsi="Arial" w:cs="Arial"/>
          <w:sz w:val="24"/>
          <w:szCs w:val="24"/>
        </w:rPr>
      </w:pPr>
      <w:r w:rsidRPr="00064B57">
        <w:rPr>
          <w:rFonts w:ascii="Arial" w:hAnsi="Arial" w:cs="Arial"/>
          <w:sz w:val="24"/>
          <w:szCs w:val="24"/>
        </w:rPr>
        <w:t>Hodnocení bude realizováno v souladu s Metodikou hodnocení výzkumných organizací a hodnocení programů účelové podpory výzkumu, vývoje a inovací (dále jen „Metodika“), která byla schválena usnesením vlády ze dne 8. února 2017 č</w:t>
      </w:r>
      <w:r w:rsidR="004574B2">
        <w:rPr>
          <w:rFonts w:ascii="Arial" w:hAnsi="Arial" w:cs="Arial"/>
          <w:sz w:val="24"/>
          <w:szCs w:val="24"/>
        </w:rPr>
        <w:t>. 107,</w:t>
      </w:r>
    </w:p>
    <w:p w:rsidR="00F42A12" w:rsidRPr="00064B57" w:rsidRDefault="00F42A12" w:rsidP="009B5E43">
      <w:pPr>
        <w:pStyle w:val="Odstavecseseznamem"/>
        <w:numPr>
          <w:ilvl w:val="0"/>
          <w:numId w:val="5"/>
        </w:numPr>
        <w:shd w:val="clear" w:color="auto" w:fill="FFFFFF" w:themeFill="background1"/>
        <w:spacing w:after="120"/>
        <w:ind w:left="714" w:hanging="357"/>
        <w:contextualSpacing w:val="0"/>
        <w:jc w:val="both"/>
        <w:rPr>
          <w:rFonts w:ascii="Arial" w:hAnsi="Arial" w:cs="Arial"/>
          <w:sz w:val="24"/>
          <w:szCs w:val="24"/>
        </w:rPr>
      </w:pPr>
      <w:r w:rsidRPr="00064B57">
        <w:rPr>
          <w:rFonts w:ascii="Arial" w:hAnsi="Arial" w:cs="Arial"/>
          <w:sz w:val="24"/>
          <w:szCs w:val="24"/>
        </w:rPr>
        <w:t xml:space="preserve">v souladu s uvedenou Metodikou budou </w:t>
      </w:r>
      <w:r w:rsidR="00793ABD" w:rsidRPr="00064B57">
        <w:rPr>
          <w:rFonts w:ascii="Arial" w:hAnsi="Arial" w:cs="Arial"/>
          <w:sz w:val="24"/>
          <w:szCs w:val="24"/>
        </w:rPr>
        <w:t>přiměřeně aplikovány Základní principy přípravy a hodnocení programů a skupin grantových projektů výzkumu, vývoje a inovací schválené usnesením vlády ze dne 13. května 2015 č. 351 (dále jen „Principy“)</w:t>
      </w:r>
      <w:r w:rsidRPr="00064B57">
        <w:rPr>
          <w:rFonts w:ascii="Arial" w:hAnsi="Arial" w:cs="Arial"/>
          <w:sz w:val="24"/>
          <w:szCs w:val="24"/>
        </w:rPr>
        <w:t>,</w:t>
      </w:r>
    </w:p>
    <w:p w:rsidR="00F42A12" w:rsidRPr="00064B57" w:rsidRDefault="00F42A12" w:rsidP="009B5E43">
      <w:pPr>
        <w:pStyle w:val="Odstavecseseznamem"/>
        <w:numPr>
          <w:ilvl w:val="0"/>
          <w:numId w:val="5"/>
        </w:numPr>
        <w:shd w:val="clear" w:color="auto" w:fill="FFFFFF" w:themeFill="background1"/>
        <w:spacing w:after="120"/>
        <w:ind w:left="714" w:hanging="357"/>
        <w:contextualSpacing w:val="0"/>
        <w:jc w:val="both"/>
        <w:rPr>
          <w:rFonts w:ascii="Arial" w:hAnsi="Arial" w:cs="Arial"/>
          <w:sz w:val="24"/>
          <w:szCs w:val="24"/>
        </w:rPr>
      </w:pPr>
      <w:r w:rsidRPr="00064B57">
        <w:rPr>
          <w:rFonts w:ascii="Arial" w:hAnsi="Arial" w:cs="Arial"/>
          <w:sz w:val="24"/>
          <w:szCs w:val="24"/>
        </w:rPr>
        <w:t>využito bude</w:t>
      </w:r>
      <w:r w:rsidR="00793ABD" w:rsidRPr="00064B57">
        <w:rPr>
          <w:rFonts w:ascii="Arial" w:hAnsi="Arial" w:cs="Arial"/>
          <w:sz w:val="24"/>
          <w:szCs w:val="24"/>
        </w:rPr>
        <w:t xml:space="preserve"> informací, které Radě </w:t>
      </w:r>
      <w:r w:rsidR="00042627">
        <w:rPr>
          <w:rFonts w:ascii="Arial" w:hAnsi="Arial" w:cs="Arial"/>
          <w:sz w:val="24"/>
          <w:szCs w:val="24"/>
        </w:rPr>
        <w:t>předloží</w:t>
      </w:r>
      <w:r w:rsidR="00793ABD" w:rsidRPr="00064B57">
        <w:rPr>
          <w:rFonts w:ascii="Arial" w:hAnsi="Arial" w:cs="Arial"/>
          <w:sz w:val="24"/>
          <w:szCs w:val="24"/>
        </w:rPr>
        <w:t xml:space="preserve"> poskytovatelé podpory </w:t>
      </w:r>
      <w:r w:rsidR="001B2EA9" w:rsidRPr="00064B57">
        <w:rPr>
          <w:rFonts w:ascii="Arial" w:hAnsi="Arial" w:cs="Arial"/>
          <w:sz w:val="24"/>
          <w:szCs w:val="24"/>
        </w:rPr>
        <w:t xml:space="preserve">formou </w:t>
      </w:r>
      <w:r w:rsidR="00793ABD" w:rsidRPr="00064B57">
        <w:rPr>
          <w:rFonts w:ascii="Arial" w:hAnsi="Arial" w:cs="Arial"/>
          <w:sz w:val="24"/>
          <w:szCs w:val="24"/>
        </w:rPr>
        <w:t>závěrečn</w:t>
      </w:r>
      <w:r w:rsidR="001B2EA9" w:rsidRPr="00064B57">
        <w:rPr>
          <w:rFonts w:ascii="Arial" w:hAnsi="Arial" w:cs="Arial"/>
          <w:sz w:val="24"/>
          <w:szCs w:val="24"/>
        </w:rPr>
        <w:t>ých</w:t>
      </w:r>
      <w:r w:rsidR="00793ABD" w:rsidRPr="00064B57">
        <w:rPr>
          <w:rFonts w:ascii="Arial" w:hAnsi="Arial" w:cs="Arial"/>
          <w:sz w:val="24"/>
          <w:szCs w:val="24"/>
        </w:rPr>
        <w:t xml:space="preserve"> zpráv o realizaci program</w:t>
      </w:r>
      <w:r w:rsidR="001B2EA9" w:rsidRPr="00064B57">
        <w:rPr>
          <w:rFonts w:ascii="Arial" w:hAnsi="Arial" w:cs="Arial"/>
          <w:sz w:val="24"/>
          <w:szCs w:val="24"/>
        </w:rPr>
        <w:t>ů</w:t>
      </w:r>
      <w:r w:rsidRPr="00064B57">
        <w:rPr>
          <w:rFonts w:ascii="Arial" w:hAnsi="Arial" w:cs="Arial"/>
          <w:sz w:val="24"/>
          <w:szCs w:val="24"/>
        </w:rPr>
        <w:t>,</w:t>
      </w:r>
    </w:p>
    <w:p w:rsidR="00F42A12" w:rsidRDefault="00F42A12" w:rsidP="009B5E43">
      <w:pPr>
        <w:pStyle w:val="Odstavecseseznamem"/>
        <w:numPr>
          <w:ilvl w:val="0"/>
          <w:numId w:val="5"/>
        </w:numPr>
        <w:shd w:val="clear" w:color="auto" w:fill="FFFFFF" w:themeFill="background1"/>
        <w:spacing w:after="120"/>
        <w:ind w:left="714" w:hanging="357"/>
        <w:contextualSpacing w:val="0"/>
        <w:jc w:val="both"/>
        <w:rPr>
          <w:rFonts w:ascii="Arial" w:hAnsi="Arial" w:cs="Arial"/>
          <w:sz w:val="24"/>
          <w:szCs w:val="24"/>
        </w:rPr>
      </w:pPr>
      <w:r w:rsidRPr="007323E6">
        <w:rPr>
          <w:rFonts w:ascii="Arial" w:hAnsi="Arial" w:cs="Arial"/>
          <w:sz w:val="24"/>
          <w:szCs w:val="24"/>
        </w:rPr>
        <w:t>v H</w:t>
      </w:r>
      <w:r w:rsidR="001B2EA9" w:rsidRPr="007323E6">
        <w:rPr>
          <w:rFonts w:ascii="Arial" w:hAnsi="Arial" w:cs="Arial"/>
          <w:sz w:val="24"/>
          <w:szCs w:val="24"/>
        </w:rPr>
        <w:t xml:space="preserve">odnocení budou rovněž </w:t>
      </w:r>
      <w:r w:rsidR="007323E6" w:rsidRPr="007323E6">
        <w:rPr>
          <w:rFonts w:ascii="Arial" w:hAnsi="Arial" w:cs="Arial"/>
          <w:sz w:val="24"/>
          <w:szCs w:val="24"/>
        </w:rPr>
        <w:t>používány</w:t>
      </w:r>
      <w:r w:rsidR="00793ABD" w:rsidRPr="007323E6">
        <w:rPr>
          <w:rFonts w:ascii="Arial" w:hAnsi="Arial" w:cs="Arial"/>
          <w:sz w:val="24"/>
          <w:szCs w:val="24"/>
        </w:rPr>
        <w:t xml:space="preserve"> údaje, které poskytovatel</w:t>
      </w:r>
      <w:r w:rsidR="001B2EA9" w:rsidRPr="007323E6">
        <w:rPr>
          <w:rFonts w:ascii="Arial" w:hAnsi="Arial" w:cs="Arial"/>
          <w:sz w:val="24"/>
          <w:szCs w:val="24"/>
        </w:rPr>
        <w:t>é</w:t>
      </w:r>
      <w:r w:rsidR="00793ABD" w:rsidRPr="007323E6">
        <w:rPr>
          <w:rFonts w:ascii="Arial" w:hAnsi="Arial" w:cs="Arial"/>
          <w:sz w:val="24"/>
          <w:szCs w:val="24"/>
        </w:rPr>
        <w:t xml:space="preserve"> účelové podpory předal</w:t>
      </w:r>
      <w:r w:rsidR="001B2EA9" w:rsidRPr="007323E6">
        <w:rPr>
          <w:rFonts w:ascii="Arial" w:hAnsi="Arial" w:cs="Arial"/>
          <w:sz w:val="24"/>
          <w:szCs w:val="24"/>
        </w:rPr>
        <w:t>i</w:t>
      </w:r>
      <w:r w:rsidR="00793ABD" w:rsidRPr="007323E6">
        <w:rPr>
          <w:rFonts w:ascii="Arial" w:hAnsi="Arial" w:cs="Arial"/>
          <w:sz w:val="24"/>
          <w:szCs w:val="24"/>
        </w:rPr>
        <w:t xml:space="preserve"> do</w:t>
      </w:r>
      <w:r w:rsidR="001B2EA9" w:rsidRPr="007323E6">
        <w:rPr>
          <w:rFonts w:ascii="Arial" w:hAnsi="Arial" w:cs="Arial"/>
          <w:sz w:val="24"/>
          <w:szCs w:val="24"/>
        </w:rPr>
        <w:t> </w:t>
      </w:r>
      <w:r w:rsidR="00793ABD" w:rsidRPr="007323E6">
        <w:rPr>
          <w:rFonts w:ascii="Arial" w:hAnsi="Arial" w:cs="Arial"/>
          <w:sz w:val="24"/>
          <w:szCs w:val="24"/>
        </w:rPr>
        <w:t>informačního systému výzkumu, experimentálního vývoje</w:t>
      </w:r>
      <w:r w:rsidR="00A735C7">
        <w:rPr>
          <w:rFonts w:ascii="Arial" w:hAnsi="Arial" w:cs="Arial"/>
          <w:sz w:val="24"/>
          <w:szCs w:val="24"/>
        </w:rPr>
        <w:t xml:space="preserve"> a inovací</w:t>
      </w:r>
      <w:r w:rsidR="00793ABD" w:rsidRPr="007323E6">
        <w:rPr>
          <w:rFonts w:ascii="Arial" w:hAnsi="Arial" w:cs="Arial"/>
          <w:sz w:val="24"/>
          <w:szCs w:val="24"/>
        </w:rPr>
        <w:t>, tj. do Centrální e</w:t>
      </w:r>
      <w:r w:rsidR="00A735C7">
        <w:rPr>
          <w:rFonts w:ascii="Arial" w:hAnsi="Arial" w:cs="Arial"/>
          <w:sz w:val="24"/>
          <w:szCs w:val="24"/>
        </w:rPr>
        <w:t>vidence projektů</w:t>
      </w:r>
      <w:r w:rsidR="00793ABD" w:rsidRPr="007323E6">
        <w:rPr>
          <w:rFonts w:ascii="Arial" w:hAnsi="Arial" w:cs="Arial"/>
          <w:sz w:val="24"/>
          <w:szCs w:val="24"/>
        </w:rPr>
        <w:t xml:space="preserve"> a R</w:t>
      </w:r>
      <w:r w:rsidR="00A735C7">
        <w:rPr>
          <w:rFonts w:ascii="Arial" w:hAnsi="Arial" w:cs="Arial"/>
          <w:sz w:val="24"/>
          <w:szCs w:val="24"/>
        </w:rPr>
        <w:t>ejstříku informací o výsledcích,</w:t>
      </w:r>
    </w:p>
    <w:p w:rsidR="008238B4" w:rsidRPr="007323E6" w:rsidRDefault="00F42A12" w:rsidP="009B5E43">
      <w:pPr>
        <w:pStyle w:val="Odstavecseseznamem"/>
        <w:numPr>
          <w:ilvl w:val="0"/>
          <w:numId w:val="5"/>
        </w:numPr>
        <w:spacing w:after="120"/>
        <w:ind w:left="714" w:hanging="357"/>
        <w:contextualSpacing w:val="0"/>
        <w:jc w:val="both"/>
        <w:rPr>
          <w:rFonts w:ascii="Arial" w:hAnsi="Arial" w:cs="Arial"/>
          <w:sz w:val="24"/>
          <w:szCs w:val="24"/>
        </w:rPr>
      </w:pPr>
      <w:r w:rsidRPr="007323E6">
        <w:rPr>
          <w:rFonts w:ascii="Arial" w:hAnsi="Arial" w:cs="Arial"/>
          <w:sz w:val="24"/>
          <w:szCs w:val="24"/>
        </w:rPr>
        <w:t>H</w:t>
      </w:r>
      <w:r w:rsidR="004873C9" w:rsidRPr="007323E6">
        <w:rPr>
          <w:rFonts w:ascii="Arial" w:hAnsi="Arial" w:cs="Arial"/>
          <w:sz w:val="24"/>
          <w:szCs w:val="24"/>
        </w:rPr>
        <w:t xml:space="preserve">odnocení </w:t>
      </w:r>
      <w:r w:rsidR="00BF3C41" w:rsidRPr="007323E6">
        <w:rPr>
          <w:rFonts w:ascii="Arial" w:hAnsi="Arial" w:cs="Arial"/>
          <w:sz w:val="24"/>
          <w:szCs w:val="24"/>
        </w:rPr>
        <w:t xml:space="preserve">musí být </w:t>
      </w:r>
      <w:r w:rsidR="004873C9" w:rsidRPr="007323E6">
        <w:rPr>
          <w:rFonts w:ascii="Arial" w:hAnsi="Arial" w:cs="Arial"/>
          <w:sz w:val="24"/>
          <w:szCs w:val="24"/>
        </w:rPr>
        <w:t>rovněž v souladu s dokument</w:t>
      </w:r>
      <w:r w:rsidR="00BF3C41" w:rsidRPr="007323E6">
        <w:rPr>
          <w:rFonts w:ascii="Arial" w:hAnsi="Arial" w:cs="Arial"/>
          <w:sz w:val="24"/>
          <w:szCs w:val="24"/>
        </w:rPr>
        <w:t>y</w:t>
      </w:r>
      <w:r w:rsidR="004873C9" w:rsidRPr="007323E6">
        <w:rPr>
          <w:rFonts w:ascii="Arial" w:hAnsi="Arial" w:cs="Arial"/>
          <w:sz w:val="24"/>
          <w:szCs w:val="24"/>
        </w:rPr>
        <w:t xml:space="preserve"> Implementace Národních priorit orientovaného výzkumu, experimentálního vývoje a inovací, který byl schválen usnesením vlády ze dne 31. července 2013 č. 569</w:t>
      </w:r>
      <w:r w:rsidR="008238B4" w:rsidRPr="007323E6">
        <w:rPr>
          <w:rFonts w:ascii="Arial" w:hAnsi="Arial" w:cs="Arial"/>
          <w:sz w:val="24"/>
          <w:szCs w:val="24"/>
        </w:rPr>
        <w:t>.</w:t>
      </w:r>
    </w:p>
    <w:p w:rsidR="00806A62" w:rsidRPr="001F2971" w:rsidRDefault="00806A62" w:rsidP="009B5E43">
      <w:pPr>
        <w:pStyle w:val="Nadpis3"/>
        <w:numPr>
          <w:ilvl w:val="2"/>
          <w:numId w:val="3"/>
        </w:numPr>
        <w:spacing w:after="240"/>
        <w:jc w:val="both"/>
      </w:pPr>
      <w:r w:rsidRPr="001F2971">
        <w:t>Harmonogram hodnocení</w:t>
      </w:r>
    </w:p>
    <w:p w:rsidR="00D359D4" w:rsidRPr="00964B08" w:rsidRDefault="00D359D4" w:rsidP="009B5E43">
      <w:pPr>
        <w:spacing w:afterLines="120" w:after="288"/>
        <w:jc w:val="both"/>
        <w:rPr>
          <w:rFonts w:ascii="Arial" w:hAnsi="Arial" w:cs="Arial"/>
          <w:color w:val="000000"/>
          <w:sz w:val="24"/>
          <w:szCs w:val="24"/>
        </w:rPr>
      </w:pPr>
      <w:r w:rsidRPr="00964B08">
        <w:rPr>
          <w:rFonts w:ascii="Arial" w:hAnsi="Arial" w:cs="Arial"/>
          <w:color w:val="000000"/>
          <w:sz w:val="24"/>
          <w:szCs w:val="24"/>
        </w:rPr>
        <w:t>Vzhledem k tomu, že v Metodice ani Principech nejsou uvedeny termíny</w:t>
      </w:r>
      <w:r w:rsidR="00EB3AA2" w:rsidRPr="00964B08">
        <w:rPr>
          <w:rFonts w:ascii="Arial" w:hAnsi="Arial" w:cs="Arial"/>
          <w:color w:val="000000"/>
          <w:sz w:val="24"/>
          <w:szCs w:val="24"/>
        </w:rPr>
        <w:t xml:space="preserve"> pro</w:t>
      </w:r>
      <w:r w:rsidR="00E509EB" w:rsidRPr="00964B08">
        <w:rPr>
          <w:rFonts w:ascii="Arial" w:hAnsi="Arial" w:cs="Arial"/>
          <w:color w:val="000000"/>
          <w:sz w:val="24"/>
          <w:szCs w:val="24"/>
        </w:rPr>
        <w:t> </w:t>
      </w:r>
      <w:r w:rsidR="00EB3AA2" w:rsidRPr="00964B08">
        <w:rPr>
          <w:rFonts w:ascii="Arial" w:hAnsi="Arial" w:cs="Arial"/>
          <w:color w:val="000000"/>
          <w:sz w:val="24"/>
          <w:szCs w:val="24"/>
        </w:rPr>
        <w:t>předání zpráv poskytovatelů o realizaci programů</w:t>
      </w:r>
      <w:r w:rsidR="00316D90" w:rsidRPr="00964B08">
        <w:rPr>
          <w:rFonts w:ascii="Arial" w:hAnsi="Arial" w:cs="Arial"/>
          <w:color w:val="000000"/>
          <w:sz w:val="24"/>
          <w:szCs w:val="24"/>
        </w:rPr>
        <w:t>, b</w:t>
      </w:r>
      <w:r w:rsidR="00042627" w:rsidRPr="00964B08">
        <w:rPr>
          <w:rFonts w:ascii="Arial" w:hAnsi="Arial" w:cs="Arial"/>
          <w:color w:val="000000"/>
          <w:sz w:val="24"/>
          <w:szCs w:val="24"/>
        </w:rPr>
        <w:t xml:space="preserve">udou formou </w:t>
      </w:r>
      <w:r w:rsidR="00316D90" w:rsidRPr="00964B08">
        <w:rPr>
          <w:rFonts w:ascii="Arial" w:hAnsi="Arial" w:cs="Arial"/>
          <w:color w:val="000000"/>
          <w:sz w:val="24"/>
          <w:szCs w:val="24"/>
        </w:rPr>
        <w:t>dopis</w:t>
      </w:r>
      <w:r w:rsidR="00042627" w:rsidRPr="00964B08">
        <w:rPr>
          <w:rFonts w:ascii="Arial" w:hAnsi="Arial" w:cs="Arial"/>
          <w:color w:val="000000"/>
          <w:sz w:val="24"/>
          <w:szCs w:val="24"/>
        </w:rPr>
        <w:t>ů</w:t>
      </w:r>
      <w:r w:rsidR="00316D90" w:rsidRPr="00964B08">
        <w:rPr>
          <w:rFonts w:ascii="Arial" w:hAnsi="Arial" w:cs="Arial"/>
          <w:color w:val="000000"/>
          <w:sz w:val="24"/>
          <w:szCs w:val="24"/>
        </w:rPr>
        <w:t xml:space="preserve"> ředitele odboru Rady pro</w:t>
      </w:r>
      <w:r w:rsidR="001F2971" w:rsidRPr="00964B08">
        <w:rPr>
          <w:rFonts w:ascii="Arial" w:hAnsi="Arial" w:cs="Arial"/>
          <w:color w:val="000000"/>
          <w:sz w:val="24"/>
          <w:szCs w:val="24"/>
        </w:rPr>
        <w:t> </w:t>
      </w:r>
      <w:r w:rsidR="00316D90" w:rsidRPr="00964B08">
        <w:rPr>
          <w:rFonts w:ascii="Arial" w:hAnsi="Arial" w:cs="Arial"/>
          <w:color w:val="000000"/>
          <w:sz w:val="24"/>
          <w:szCs w:val="24"/>
        </w:rPr>
        <w:t xml:space="preserve">výzkum, vývoj a inovace </w:t>
      </w:r>
      <w:r w:rsidR="00E83548" w:rsidRPr="00964B08">
        <w:rPr>
          <w:rFonts w:ascii="Arial" w:hAnsi="Arial" w:cs="Arial"/>
          <w:color w:val="000000"/>
          <w:sz w:val="24"/>
          <w:szCs w:val="24"/>
        </w:rPr>
        <w:t>v průběhu měsíce října 2020</w:t>
      </w:r>
      <w:r w:rsidR="00316D90" w:rsidRPr="00964B08">
        <w:rPr>
          <w:rFonts w:ascii="Arial" w:hAnsi="Arial" w:cs="Arial"/>
          <w:color w:val="000000"/>
          <w:sz w:val="24"/>
          <w:szCs w:val="24"/>
        </w:rPr>
        <w:t xml:space="preserve"> </w:t>
      </w:r>
      <w:r w:rsidR="000C0180" w:rsidRPr="00964B08">
        <w:rPr>
          <w:rFonts w:ascii="Arial" w:hAnsi="Arial" w:cs="Arial"/>
          <w:color w:val="000000"/>
          <w:sz w:val="24"/>
          <w:szCs w:val="24"/>
        </w:rPr>
        <w:t>vyzváni</w:t>
      </w:r>
      <w:r w:rsidR="00316D90" w:rsidRPr="00964B08">
        <w:rPr>
          <w:rFonts w:ascii="Arial" w:hAnsi="Arial" w:cs="Arial"/>
          <w:color w:val="000000"/>
          <w:sz w:val="24"/>
          <w:szCs w:val="24"/>
        </w:rPr>
        <w:t xml:space="preserve"> poskytovatelé</w:t>
      </w:r>
      <w:r w:rsidR="0071137C">
        <w:rPr>
          <w:rStyle w:val="Znakapoznpodarou"/>
          <w:rFonts w:ascii="Arial" w:hAnsi="Arial"/>
          <w:color w:val="000000"/>
          <w:sz w:val="24"/>
          <w:szCs w:val="24"/>
        </w:rPr>
        <w:footnoteReference w:id="1"/>
      </w:r>
      <w:r w:rsidR="00316D90" w:rsidRPr="00964B08">
        <w:rPr>
          <w:rFonts w:ascii="Arial" w:hAnsi="Arial" w:cs="Arial"/>
          <w:color w:val="000000"/>
          <w:sz w:val="24"/>
          <w:szCs w:val="24"/>
        </w:rPr>
        <w:t xml:space="preserve"> podpory programů ukončených v roce 201</w:t>
      </w:r>
      <w:r w:rsidR="00E83548" w:rsidRPr="00964B08">
        <w:rPr>
          <w:rFonts w:ascii="Arial" w:hAnsi="Arial" w:cs="Arial"/>
          <w:color w:val="000000"/>
          <w:sz w:val="24"/>
          <w:szCs w:val="24"/>
        </w:rPr>
        <w:t>9</w:t>
      </w:r>
      <w:r w:rsidR="00316D90" w:rsidRPr="00964B08">
        <w:rPr>
          <w:rFonts w:ascii="Arial" w:hAnsi="Arial" w:cs="Arial"/>
          <w:color w:val="000000"/>
          <w:sz w:val="24"/>
          <w:szCs w:val="24"/>
        </w:rPr>
        <w:t xml:space="preserve"> </w:t>
      </w:r>
      <w:r w:rsidR="007323E6" w:rsidRPr="00964B08">
        <w:rPr>
          <w:rFonts w:ascii="Arial" w:hAnsi="Arial" w:cs="Arial"/>
          <w:color w:val="000000"/>
          <w:sz w:val="24"/>
          <w:szCs w:val="24"/>
        </w:rPr>
        <w:t>k</w:t>
      </w:r>
      <w:r w:rsidR="00316D90" w:rsidRPr="00964B08">
        <w:rPr>
          <w:rFonts w:ascii="Arial" w:hAnsi="Arial" w:cs="Arial"/>
          <w:color w:val="000000"/>
          <w:sz w:val="24"/>
          <w:szCs w:val="24"/>
        </w:rPr>
        <w:t xml:space="preserve"> zaslání závěrečných zpráv do konce </w:t>
      </w:r>
      <w:r w:rsidR="001F2971" w:rsidRPr="00964B08">
        <w:rPr>
          <w:rFonts w:ascii="Arial" w:hAnsi="Arial" w:cs="Arial"/>
          <w:color w:val="000000"/>
          <w:sz w:val="24"/>
          <w:szCs w:val="24"/>
        </w:rPr>
        <w:t>ledna</w:t>
      </w:r>
      <w:r w:rsidR="00316D90" w:rsidRPr="00964B08">
        <w:rPr>
          <w:rFonts w:ascii="Arial" w:hAnsi="Arial" w:cs="Arial"/>
          <w:color w:val="000000"/>
          <w:sz w:val="24"/>
          <w:szCs w:val="24"/>
        </w:rPr>
        <w:t xml:space="preserve"> 20</w:t>
      </w:r>
      <w:r w:rsidR="00E83548" w:rsidRPr="00964B08">
        <w:rPr>
          <w:rFonts w:ascii="Arial" w:hAnsi="Arial" w:cs="Arial"/>
          <w:color w:val="000000"/>
          <w:sz w:val="24"/>
          <w:szCs w:val="24"/>
        </w:rPr>
        <w:t>21</w:t>
      </w:r>
      <w:r w:rsidR="00316D90" w:rsidRPr="00964B08">
        <w:rPr>
          <w:rFonts w:ascii="Arial" w:hAnsi="Arial" w:cs="Arial"/>
          <w:color w:val="000000"/>
          <w:sz w:val="24"/>
          <w:szCs w:val="24"/>
        </w:rPr>
        <w:t>.</w:t>
      </w:r>
    </w:p>
    <w:p w:rsidR="00CD4597" w:rsidRPr="001F2971" w:rsidRDefault="00CD4597" w:rsidP="009B5E43">
      <w:pPr>
        <w:spacing w:afterLines="120" w:after="288"/>
        <w:jc w:val="both"/>
        <w:rPr>
          <w:rFonts w:ascii="Arial" w:hAnsi="Arial" w:cs="Arial"/>
          <w:color w:val="000000"/>
          <w:sz w:val="24"/>
          <w:szCs w:val="24"/>
        </w:rPr>
      </w:pPr>
      <w:r w:rsidRPr="001F2971">
        <w:rPr>
          <w:rFonts w:ascii="Arial" w:hAnsi="Arial" w:cs="Arial"/>
          <w:color w:val="000000"/>
          <w:sz w:val="24"/>
          <w:szCs w:val="24"/>
        </w:rPr>
        <w:t xml:space="preserve">V závislosti na předání všech závěrečných zpráv poskytovateli, bude závěrečné hodnocení zpracováno tak, aby dokument mohl být předložen vládě </w:t>
      </w:r>
      <w:r w:rsidR="00E83548">
        <w:rPr>
          <w:rFonts w:ascii="Arial" w:hAnsi="Arial" w:cs="Arial"/>
          <w:color w:val="000000"/>
          <w:sz w:val="24"/>
          <w:szCs w:val="24"/>
        </w:rPr>
        <w:t>v prvním pololetí 2021</w:t>
      </w:r>
      <w:r w:rsidRPr="001F2971">
        <w:rPr>
          <w:rFonts w:ascii="Arial" w:hAnsi="Arial" w:cs="Arial"/>
          <w:color w:val="000000"/>
          <w:sz w:val="24"/>
          <w:szCs w:val="24"/>
        </w:rPr>
        <w:t>.</w:t>
      </w:r>
    </w:p>
    <w:p w:rsidR="00F67C37" w:rsidRPr="001F2971" w:rsidRDefault="00F67C37" w:rsidP="009B5E43">
      <w:pPr>
        <w:pStyle w:val="Nadpis3"/>
        <w:numPr>
          <w:ilvl w:val="2"/>
          <w:numId w:val="3"/>
        </w:numPr>
        <w:spacing w:before="0" w:after="240"/>
        <w:jc w:val="both"/>
      </w:pPr>
      <w:r w:rsidRPr="001F2971">
        <w:t>Výčet programů ukončených v roce 201</w:t>
      </w:r>
      <w:r w:rsidR="00E83548">
        <w:t>9</w:t>
      </w:r>
    </w:p>
    <w:tbl>
      <w:tblPr>
        <w:tblW w:w="5000" w:type="pct"/>
        <w:tblCellMar>
          <w:left w:w="70" w:type="dxa"/>
          <w:right w:w="70" w:type="dxa"/>
        </w:tblCellMar>
        <w:tblLook w:val="04A0" w:firstRow="1" w:lastRow="0" w:firstColumn="1" w:lastColumn="0" w:noHBand="0" w:noVBand="1"/>
      </w:tblPr>
      <w:tblGrid>
        <w:gridCol w:w="2148"/>
        <w:gridCol w:w="672"/>
        <w:gridCol w:w="4978"/>
        <w:gridCol w:w="684"/>
        <w:gridCol w:w="730"/>
      </w:tblGrid>
      <w:tr w:rsidR="00E83548" w:rsidRPr="00DF44C9" w:rsidTr="00136501">
        <w:trPr>
          <w:cantSplit/>
          <w:trHeight w:val="283"/>
        </w:trPr>
        <w:tc>
          <w:tcPr>
            <w:tcW w:w="1166" w:type="pct"/>
            <w:vMerge w:val="restart"/>
            <w:tcBorders>
              <w:top w:val="single" w:sz="12" w:space="0" w:color="auto"/>
              <w:left w:val="single" w:sz="12" w:space="0" w:color="auto"/>
              <w:bottom w:val="double" w:sz="2" w:space="0" w:color="000000"/>
              <w:right w:val="single" w:sz="12" w:space="0" w:color="auto"/>
            </w:tcBorders>
            <w:shd w:val="clear" w:color="auto" w:fill="EEECE1" w:themeFill="background2"/>
            <w:vAlign w:val="center"/>
            <w:hideMark/>
          </w:tcPr>
          <w:p w:rsidR="00E83548" w:rsidRPr="00DF44C9" w:rsidRDefault="00E83548" w:rsidP="00A5504A">
            <w:pPr>
              <w:suppressAutoHyphens/>
              <w:snapToGrid w:val="0"/>
              <w:spacing w:after="0" w:line="240" w:lineRule="auto"/>
              <w:rPr>
                <w:rFonts w:ascii="Arial" w:hAnsi="Arial" w:cs="Arial"/>
                <w:b/>
                <w:sz w:val="24"/>
                <w:szCs w:val="24"/>
                <w:lang w:eastAsia="zh-CN"/>
              </w:rPr>
            </w:pPr>
            <w:r w:rsidRPr="00DF44C9">
              <w:rPr>
                <w:rFonts w:ascii="Arial" w:hAnsi="Arial" w:cs="Arial"/>
                <w:b/>
                <w:sz w:val="24"/>
                <w:szCs w:val="24"/>
              </w:rPr>
              <w:t>Poskytovatel</w:t>
            </w:r>
          </w:p>
        </w:tc>
        <w:tc>
          <w:tcPr>
            <w:tcW w:w="3066" w:type="pct"/>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E83548" w:rsidRPr="00DF44C9" w:rsidRDefault="00E83548" w:rsidP="00A5504A">
            <w:pPr>
              <w:suppressAutoHyphens/>
              <w:snapToGrid w:val="0"/>
              <w:spacing w:after="0" w:line="240" w:lineRule="auto"/>
              <w:rPr>
                <w:rFonts w:ascii="Arial" w:hAnsi="Arial" w:cs="Arial"/>
                <w:b/>
                <w:sz w:val="24"/>
                <w:szCs w:val="24"/>
                <w:lang w:eastAsia="zh-CN"/>
              </w:rPr>
            </w:pPr>
            <w:r w:rsidRPr="00DF44C9">
              <w:rPr>
                <w:rFonts w:ascii="Arial" w:hAnsi="Arial" w:cs="Arial"/>
                <w:b/>
                <w:sz w:val="24"/>
                <w:szCs w:val="24"/>
              </w:rPr>
              <w:t>Program</w:t>
            </w:r>
          </w:p>
        </w:tc>
        <w:tc>
          <w:tcPr>
            <w:tcW w:w="767" w:type="pct"/>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E83548" w:rsidRPr="00DF44C9" w:rsidRDefault="00E83548" w:rsidP="00A5504A">
            <w:pPr>
              <w:suppressAutoHyphens/>
              <w:snapToGrid w:val="0"/>
              <w:spacing w:after="0" w:line="240" w:lineRule="auto"/>
              <w:rPr>
                <w:rFonts w:ascii="Arial" w:hAnsi="Arial" w:cs="Arial"/>
                <w:b/>
                <w:sz w:val="24"/>
                <w:szCs w:val="24"/>
                <w:lang w:eastAsia="zh-CN"/>
              </w:rPr>
            </w:pPr>
            <w:r w:rsidRPr="00DF44C9">
              <w:rPr>
                <w:rFonts w:ascii="Arial" w:hAnsi="Arial" w:cs="Arial"/>
                <w:b/>
                <w:sz w:val="24"/>
                <w:szCs w:val="24"/>
              </w:rPr>
              <w:t>Trvání programu</w:t>
            </w:r>
          </w:p>
        </w:tc>
      </w:tr>
      <w:tr w:rsidR="00E83548" w:rsidRPr="00DF44C9" w:rsidTr="00136501">
        <w:trPr>
          <w:cantSplit/>
          <w:trHeight w:val="283"/>
        </w:trPr>
        <w:tc>
          <w:tcPr>
            <w:tcW w:w="1166" w:type="pct"/>
            <w:vMerge/>
            <w:tcBorders>
              <w:top w:val="single" w:sz="4" w:space="0" w:color="000000"/>
              <w:left w:val="single" w:sz="12" w:space="0" w:color="auto"/>
              <w:bottom w:val="single" w:sz="12" w:space="0" w:color="auto"/>
              <w:right w:val="single" w:sz="12" w:space="0" w:color="auto"/>
            </w:tcBorders>
            <w:shd w:val="clear" w:color="auto" w:fill="EEECE1" w:themeFill="background2"/>
            <w:vAlign w:val="center"/>
            <w:hideMark/>
          </w:tcPr>
          <w:p w:rsidR="00E83548" w:rsidRPr="00DF44C9" w:rsidRDefault="00E83548" w:rsidP="00A5504A">
            <w:pPr>
              <w:spacing w:after="0" w:line="240" w:lineRule="auto"/>
              <w:rPr>
                <w:rFonts w:ascii="Arial" w:hAnsi="Arial" w:cs="Arial"/>
                <w:b/>
                <w:sz w:val="24"/>
                <w:szCs w:val="24"/>
                <w:lang w:eastAsia="zh-CN"/>
              </w:rPr>
            </w:pPr>
          </w:p>
        </w:tc>
        <w:tc>
          <w:tcPr>
            <w:tcW w:w="365" w:type="pct"/>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E83548" w:rsidRPr="00DF44C9" w:rsidRDefault="00E83548" w:rsidP="00A5504A">
            <w:pPr>
              <w:suppressAutoHyphens/>
              <w:snapToGrid w:val="0"/>
              <w:spacing w:after="0" w:line="240" w:lineRule="auto"/>
              <w:rPr>
                <w:rFonts w:ascii="Arial" w:hAnsi="Arial" w:cs="Arial"/>
                <w:b/>
                <w:sz w:val="24"/>
                <w:szCs w:val="24"/>
                <w:lang w:eastAsia="zh-CN"/>
              </w:rPr>
            </w:pPr>
            <w:r w:rsidRPr="00DF44C9">
              <w:rPr>
                <w:rFonts w:ascii="Arial" w:hAnsi="Arial" w:cs="Arial"/>
                <w:b/>
                <w:sz w:val="24"/>
                <w:szCs w:val="24"/>
              </w:rPr>
              <w:t>Kód</w:t>
            </w:r>
          </w:p>
        </w:tc>
        <w:tc>
          <w:tcPr>
            <w:tcW w:w="2702" w:type="pct"/>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E83548" w:rsidRPr="00DF44C9" w:rsidRDefault="00E83548" w:rsidP="00A5504A">
            <w:pPr>
              <w:suppressAutoHyphens/>
              <w:snapToGrid w:val="0"/>
              <w:spacing w:after="0" w:line="240" w:lineRule="auto"/>
              <w:rPr>
                <w:rFonts w:ascii="Arial" w:hAnsi="Arial" w:cs="Arial"/>
                <w:b/>
                <w:sz w:val="24"/>
                <w:szCs w:val="24"/>
                <w:lang w:eastAsia="zh-CN"/>
              </w:rPr>
            </w:pPr>
            <w:r w:rsidRPr="00DF44C9">
              <w:rPr>
                <w:rFonts w:ascii="Arial" w:hAnsi="Arial" w:cs="Arial"/>
                <w:b/>
                <w:sz w:val="24"/>
                <w:szCs w:val="24"/>
              </w:rPr>
              <w:t>Název</w:t>
            </w:r>
          </w:p>
        </w:tc>
        <w:tc>
          <w:tcPr>
            <w:tcW w:w="371" w:type="pct"/>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E83548" w:rsidRPr="00DF44C9" w:rsidRDefault="00E83548" w:rsidP="00E83548">
            <w:pPr>
              <w:suppressAutoHyphens/>
              <w:snapToGrid w:val="0"/>
              <w:spacing w:after="0" w:line="240" w:lineRule="auto"/>
              <w:jc w:val="center"/>
              <w:rPr>
                <w:rFonts w:ascii="Arial" w:hAnsi="Arial" w:cs="Arial"/>
                <w:b/>
                <w:sz w:val="24"/>
                <w:szCs w:val="24"/>
                <w:lang w:eastAsia="zh-CN"/>
              </w:rPr>
            </w:pPr>
            <w:proofErr w:type="gramStart"/>
            <w:r w:rsidRPr="00DF44C9">
              <w:rPr>
                <w:rFonts w:ascii="Arial" w:hAnsi="Arial" w:cs="Arial"/>
                <w:b/>
                <w:sz w:val="24"/>
                <w:szCs w:val="24"/>
              </w:rPr>
              <w:t>od</w:t>
            </w:r>
            <w:proofErr w:type="gramEnd"/>
          </w:p>
        </w:tc>
        <w:tc>
          <w:tcPr>
            <w:tcW w:w="397" w:type="pct"/>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E83548" w:rsidRPr="00DF44C9" w:rsidRDefault="00E83548" w:rsidP="00E83548">
            <w:pPr>
              <w:suppressAutoHyphens/>
              <w:snapToGrid w:val="0"/>
              <w:spacing w:after="0" w:line="240" w:lineRule="auto"/>
              <w:jc w:val="center"/>
              <w:rPr>
                <w:rFonts w:ascii="Arial" w:hAnsi="Arial" w:cs="Arial"/>
                <w:b/>
                <w:sz w:val="24"/>
                <w:szCs w:val="24"/>
                <w:lang w:eastAsia="zh-CN"/>
              </w:rPr>
            </w:pPr>
            <w:proofErr w:type="gramStart"/>
            <w:r w:rsidRPr="00DF44C9">
              <w:rPr>
                <w:rFonts w:ascii="Arial" w:hAnsi="Arial" w:cs="Arial"/>
                <w:b/>
                <w:sz w:val="24"/>
                <w:szCs w:val="24"/>
              </w:rPr>
              <w:t>do</w:t>
            </w:r>
            <w:proofErr w:type="gramEnd"/>
          </w:p>
        </w:tc>
      </w:tr>
      <w:tr w:rsidR="00E83548" w:rsidRPr="00DF44C9" w:rsidTr="00136501">
        <w:trPr>
          <w:trHeight w:val="283"/>
        </w:trPr>
        <w:tc>
          <w:tcPr>
            <w:tcW w:w="1166" w:type="pct"/>
            <w:tcBorders>
              <w:top w:val="single" w:sz="12" w:space="0" w:color="auto"/>
              <w:left w:val="single" w:sz="12" w:space="0" w:color="auto"/>
              <w:bottom w:val="single" w:sz="4" w:space="0" w:color="000000"/>
              <w:right w:val="nil"/>
            </w:tcBorders>
            <w:vAlign w:val="center"/>
            <w:hideMark/>
          </w:tcPr>
          <w:p w:rsidR="00E83548" w:rsidRPr="00DF44C9" w:rsidRDefault="00E83548" w:rsidP="00A5504A">
            <w:pPr>
              <w:suppressAutoHyphens/>
              <w:snapToGrid w:val="0"/>
              <w:spacing w:after="0" w:line="240" w:lineRule="auto"/>
              <w:rPr>
                <w:rFonts w:ascii="Arial" w:hAnsi="Arial" w:cs="Arial"/>
                <w:sz w:val="24"/>
                <w:szCs w:val="24"/>
                <w:lang w:eastAsia="zh-CN"/>
              </w:rPr>
            </w:pPr>
            <w:r>
              <w:rPr>
                <w:rFonts w:ascii="Arial" w:hAnsi="Arial" w:cs="Arial"/>
                <w:sz w:val="24"/>
                <w:szCs w:val="24"/>
              </w:rPr>
              <w:t>MŠMT</w:t>
            </w:r>
          </w:p>
        </w:tc>
        <w:tc>
          <w:tcPr>
            <w:tcW w:w="365" w:type="pct"/>
            <w:tcBorders>
              <w:top w:val="single" w:sz="12" w:space="0" w:color="auto"/>
              <w:left w:val="single" w:sz="4" w:space="0" w:color="000000"/>
              <w:bottom w:val="single" w:sz="4" w:space="0" w:color="000000"/>
              <w:right w:val="nil"/>
            </w:tcBorders>
            <w:vAlign w:val="center"/>
            <w:hideMark/>
          </w:tcPr>
          <w:p w:rsidR="00E83548" w:rsidRPr="00DF44C9" w:rsidRDefault="00E83548" w:rsidP="00A5504A">
            <w:pPr>
              <w:suppressAutoHyphens/>
              <w:snapToGrid w:val="0"/>
              <w:spacing w:after="0" w:line="240" w:lineRule="auto"/>
              <w:rPr>
                <w:rFonts w:ascii="Arial" w:hAnsi="Arial" w:cs="Arial"/>
                <w:sz w:val="24"/>
                <w:szCs w:val="24"/>
                <w:lang w:eastAsia="zh-CN"/>
              </w:rPr>
            </w:pPr>
            <w:r>
              <w:rPr>
                <w:rFonts w:ascii="Arial" w:hAnsi="Arial" w:cs="Arial"/>
                <w:sz w:val="24"/>
                <w:szCs w:val="24"/>
              </w:rPr>
              <w:t>LK</w:t>
            </w:r>
          </w:p>
        </w:tc>
        <w:tc>
          <w:tcPr>
            <w:tcW w:w="2702" w:type="pct"/>
            <w:tcBorders>
              <w:top w:val="single" w:sz="12" w:space="0" w:color="auto"/>
              <w:left w:val="single" w:sz="4" w:space="0" w:color="000000"/>
              <w:bottom w:val="single" w:sz="4" w:space="0" w:color="000000"/>
              <w:right w:val="nil"/>
            </w:tcBorders>
            <w:vAlign w:val="center"/>
            <w:hideMark/>
          </w:tcPr>
          <w:p w:rsidR="00E83548" w:rsidRPr="00DF44C9" w:rsidRDefault="00E83548" w:rsidP="00A5504A">
            <w:pPr>
              <w:suppressAutoHyphens/>
              <w:snapToGrid w:val="0"/>
              <w:spacing w:after="0" w:line="240" w:lineRule="auto"/>
              <w:rPr>
                <w:rFonts w:ascii="Arial" w:hAnsi="Arial" w:cs="Arial"/>
                <w:sz w:val="24"/>
                <w:szCs w:val="24"/>
                <w:lang w:eastAsia="zh-CN"/>
              </w:rPr>
            </w:pPr>
            <w:r>
              <w:rPr>
                <w:rFonts w:ascii="Arial" w:hAnsi="Arial" w:cs="Arial"/>
                <w:sz w:val="24"/>
                <w:szCs w:val="24"/>
              </w:rPr>
              <w:t>NÁVRAT</w:t>
            </w:r>
          </w:p>
        </w:tc>
        <w:tc>
          <w:tcPr>
            <w:tcW w:w="371" w:type="pct"/>
            <w:tcBorders>
              <w:top w:val="single" w:sz="12" w:space="0" w:color="auto"/>
              <w:left w:val="single" w:sz="4" w:space="0" w:color="000000"/>
              <w:bottom w:val="single" w:sz="4" w:space="0" w:color="000000"/>
              <w:right w:val="nil"/>
            </w:tcBorders>
            <w:vAlign w:val="center"/>
            <w:hideMark/>
          </w:tcPr>
          <w:p w:rsidR="00E83548" w:rsidRPr="00DF44C9" w:rsidRDefault="00E83548" w:rsidP="00E83548">
            <w:pPr>
              <w:suppressAutoHyphens/>
              <w:snapToGrid w:val="0"/>
              <w:spacing w:after="0" w:line="240" w:lineRule="auto"/>
              <w:jc w:val="center"/>
              <w:rPr>
                <w:rFonts w:ascii="Arial" w:hAnsi="Arial" w:cs="Arial"/>
                <w:sz w:val="24"/>
                <w:szCs w:val="24"/>
                <w:lang w:eastAsia="zh-CN"/>
              </w:rPr>
            </w:pPr>
            <w:r w:rsidRPr="00DF44C9">
              <w:rPr>
                <w:rFonts w:ascii="Arial" w:hAnsi="Arial" w:cs="Arial"/>
                <w:sz w:val="24"/>
                <w:szCs w:val="24"/>
              </w:rPr>
              <w:t>2012</w:t>
            </w:r>
          </w:p>
        </w:tc>
        <w:tc>
          <w:tcPr>
            <w:tcW w:w="397" w:type="pct"/>
            <w:tcBorders>
              <w:top w:val="single" w:sz="12" w:space="0" w:color="auto"/>
              <w:left w:val="single" w:sz="4" w:space="0" w:color="000000"/>
              <w:bottom w:val="single" w:sz="4" w:space="0" w:color="000000"/>
              <w:right w:val="single" w:sz="12" w:space="0" w:color="auto"/>
            </w:tcBorders>
            <w:vAlign w:val="center"/>
            <w:hideMark/>
          </w:tcPr>
          <w:p w:rsidR="00E83548" w:rsidRPr="00DF44C9" w:rsidRDefault="00E83548" w:rsidP="00E83548">
            <w:pPr>
              <w:suppressAutoHyphens/>
              <w:snapToGrid w:val="0"/>
              <w:spacing w:after="0" w:line="240" w:lineRule="auto"/>
              <w:jc w:val="center"/>
              <w:rPr>
                <w:rFonts w:ascii="Arial" w:hAnsi="Arial" w:cs="Arial"/>
                <w:sz w:val="24"/>
                <w:szCs w:val="24"/>
                <w:lang w:eastAsia="zh-CN"/>
              </w:rPr>
            </w:pPr>
            <w:r w:rsidRPr="00DF44C9">
              <w:rPr>
                <w:rFonts w:ascii="Arial" w:hAnsi="Arial" w:cs="Arial"/>
                <w:sz w:val="24"/>
                <w:szCs w:val="24"/>
              </w:rPr>
              <w:t>201</w:t>
            </w:r>
            <w:r>
              <w:rPr>
                <w:rFonts w:ascii="Arial" w:hAnsi="Arial" w:cs="Arial"/>
                <w:sz w:val="24"/>
                <w:szCs w:val="24"/>
              </w:rPr>
              <w:t>9</w:t>
            </w:r>
          </w:p>
        </w:tc>
      </w:tr>
      <w:tr w:rsidR="00E83548" w:rsidRPr="00DF44C9" w:rsidTr="00136501">
        <w:trPr>
          <w:trHeight w:val="283"/>
        </w:trPr>
        <w:tc>
          <w:tcPr>
            <w:tcW w:w="1166" w:type="pct"/>
            <w:tcBorders>
              <w:top w:val="single" w:sz="4" w:space="0" w:color="000000"/>
              <w:left w:val="single" w:sz="12" w:space="0" w:color="auto"/>
              <w:bottom w:val="single" w:sz="4" w:space="0" w:color="000000"/>
              <w:right w:val="nil"/>
            </w:tcBorders>
            <w:vAlign w:val="center"/>
          </w:tcPr>
          <w:p w:rsidR="00E83548" w:rsidRPr="00DF44C9"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TAČR</w:t>
            </w:r>
          </w:p>
        </w:tc>
        <w:tc>
          <w:tcPr>
            <w:tcW w:w="365" w:type="pct"/>
            <w:tcBorders>
              <w:top w:val="single" w:sz="4" w:space="0" w:color="000000"/>
              <w:left w:val="single" w:sz="4" w:space="0" w:color="000000"/>
              <w:bottom w:val="single" w:sz="4" w:space="0" w:color="000000"/>
              <w:right w:val="nil"/>
            </w:tcBorders>
            <w:vAlign w:val="center"/>
          </w:tcPr>
          <w:p w:rsidR="00E83548" w:rsidRPr="00DF44C9"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TA</w:t>
            </w:r>
          </w:p>
        </w:tc>
        <w:tc>
          <w:tcPr>
            <w:tcW w:w="2702" w:type="pct"/>
            <w:tcBorders>
              <w:top w:val="single" w:sz="4" w:space="0" w:color="000000"/>
              <w:left w:val="single" w:sz="4" w:space="0" w:color="000000"/>
              <w:bottom w:val="single" w:sz="4" w:space="0" w:color="000000"/>
              <w:right w:val="nil"/>
            </w:tcBorders>
            <w:vAlign w:val="center"/>
          </w:tcPr>
          <w:p w:rsidR="00E83548" w:rsidRPr="00DF44C9"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ALFA</w:t>
            </w:r>
          </w:p>
        </w:tc>
        <w:tc>
          <w:tcPr>
            <w:tcW w:w="371" w:type="pct"/>
            <w:tcBorders>
              <w:top w:val="single" w:sz="4" w:space="0" w:color="000000"/>
              <w:left w:val="single" w:sz="4" w:space="0" w:color="000000"/>
              <w:bottom w:val="single" w:sz="4" w:space="0" w:color="000000"/>
              <w:right w:val="nil"/>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sidRPr="00DF44C9">
              <w:rPr>
                <w:rFonts w:ascii="Arial" w:hAnsi="Arial" w:cs="Arial"/>
                <w:sz w:val="24"/>
                <w:szCs w:val="24"/>
              </w:rPr>
              <w:t>201</w:t>
            </w:r>
            <w:r>
              <w:rPr>
                <w:rFonts w:ascii="Arial" w:hAnsi="Arial" w:cs="Arial"/>
                <w:sz w:val="24"/>
                <w:szCs w:val="24"/>
              </w:rPr>
              <w:t>1</w:t>
            </w:r>
          </w:p>
        </w:tc>
        <w:tc>
          <w:tcPr>
            <w:tcW w:w="397" w:type="pct"/>
            <w:tcBorders>
              <w:top w:val="single" w:sz="4" w:space="0" w:color="000000"/>
              <w:left w:val="single" w:sz="4" w:space="0" w:color="000000"/>
              <w:bottom w:val="single" w:sz="4" w:space="0" w:color="000000"/>
              <w:right w:val="single" w:sz="12" w:space="0" w:color="auto"/>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sidRPr="00DF44C9">
              <w:rPr>
                <w:rFonts w:ascii="Arial" w:hAnsi="Arial" w:cs="Arial"/>
                <w:sz w:val="24"/>
                <w:szCs w:val="24"/>
              </w:rPr>
              <w:t>201</w:t>
            </w:r>
            <w:r>
              <w:rPr>
                <w:rFonts w:ascii="Arial" w:hAnsi="Arial" w:cs="Arial"/>
                <w:sz w:val="24"/>
                <w:szCs w:val="24"/>
              </w:rPr>
              <w:t>9</w:t>
            </w:r>
          </w:p>
        </w:tc>
      </w:tr>
      <w:tr w:rsidR="00E83548" w:rsidRPr="00DF44C9" w:rsidTr="00136501">
        <w:trPr>
          <w:trHeight w:val="283"/>
        </w:trPr>
        <w:tc>
          <w:tcPr>
            <w:tcW w:w="1166" w:type="pct"/>
            <w:tcBorders>
              <w:top w:val="single" w:sz="4" w:space="0" w:color="000000"/>
              <w:left w:val="single" w:sz="12" w:space="0" w:color="auto"/>
              <w:bottom w:val="single" w:sz="4" w:space="0" w:color="000000"/>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TAČR</w:t>
            </w:r>
          </w:p>
        </w:tc>
        <w:tc>
          <w:tcPr>
            <w:tcW w:w="365" w:type="pct"/>
            <w:tcBorders>
              <w:top w:val="single" w:sz="4" w:space="0" w:color="000000"/>
              <w:left w:val="single" w:sz="4" w:space="0" w:color="000000"/>
              <w:bottom w:val="single" w:sz="4" w:space="0" w:color="000000"/>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TE</w:t>
            </w:r>
          </w:p>
        </w:tc>
        <w:tc>
          <w:tcPr>
            <w:tcW w:w="2702" w:type="pct"/>
            <w:tcBorders>
              <w:top w:val="single" w:sz="4" w:space="0" w:color="000000"/>
              <w:left w:val="single" w:sz="4" w:space="0" w:color="000000"/>
              <w:bottom w:val="single" w:sz="4" w:space="0" w:color="000000"/>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Centra kompetence</w:t>
            </w:r>
          </w:p>
        </w:tc>
        <w:tc>
          <w:tcPr>
            <w:tcW w:w="371" w:type="pct"/>
            <w:tcBorders>
              <w:top w:val="single" w:sz="4" w:space="0" w:color="000000"/>
              <w:left w:val="single" w:sz="4" w:space="0" w:color="000000"/>
              <w:bottom w:val="single" w:sz="4" w:space="0" w:color="000000"/>
              <w:right w:val="nil"/>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Pr>
                <w:rFonts w:ascii="Arial" w:hAnsi="Arial" w:cs="Arial"/>
                <w:sz w:val="24"/>
                <w:szCs w:val="24"/>
              </w:rPr>
              <w:t>2012</w:t>
            </w:r>
          </w:p>
        </w:tc>
        <w:tc>
          <w:tcPr>
            <w:tcW w:w="397" w:type="pct"/>
            <w:tcBorders>
              <w:top w:val="single" w:sz="4" w:space="0" w:color="000000"/>
              <w:left w:val="single" w:sz="4" w:space="0" w:color="000000"/>
              <w:bottom w:val="single" w:sz="4" w:space="0" w:color="000000"/>
              <w:right w:val="single" w:sz="12" w:space="0" w:color="auto"/>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Pr>
                <w:rFonts w:ascii="Arial" w:hAnsi="Arial" w:cs="Arial"/>
                <w:sz w:val="24"/>
                <w:szCs w:val="24"/>
              </w:rPr>
              <w:t>2019</w:t>
            </w:r>
          </w:p>
        </w:tc>
      </w:tr>
      <w:tr w:rsidR="00E83548" w:rsidRPr="00DF44C9" w:rsidTr="00136501">
        <w:trPr>
          <w:trHeight w:val="283"/>
        </w:trPr>
        <w:tc>
          <w:tcPr>
            <w:tcW w:w="1166" w:type="pct"/>
            <w:tcBorders>
              <w:top w:val="single" w:sz="4" w:space="0" w:color="000000"/>
              <w:left w:val="single" w:sz="12" w:space="0" w:color="auto"/>
              <w:bottom w:val="single" w:sz="12" w:space="0" w:color="auto"/>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TAČR</w:t>
            </w:r>
          </w:p>
        </w:tc>
        <w:tc>
          <w:tcPr>
            <w:tcW w:w="365" w:type="pct"/>
            <w:tcBorders>
              <w:top w:val="single" w:sz="4" w:space="0" w:color="000000"/>
              <w:left w:val="single" w:sz="4" w:space="0" w:color="000000"/>
              <w:bottom w:val="single" w:sz="12" w:space="0" w:color="auto"/>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TG</w:t>
            </w:r>
          </w:p>
        </w:tc>
        <w:tc>
          <w:tcPr>
            <w:tcW w:w="2702" w:type="pct"/>
            <w:tcBorders>
              <w:top w:val="single" w:sz="4" w:space="0" w:color="000000"/>
              <w:left w:val="single" w:sz="4" w:space="0" w:color="000000"/>
              <w:bottom w:val="single" w:sz="12" w:space="0" w:color="auto"/>
              <w:right w:val="nil"/>
            </w:tcBorders>
            <w:vAlign w:val="center"/>
          </w:tcPr>
          <w:p w:rsidR="00E83548" w:rsidRDefault="00E83548" w:rsidP="00A5504A">
            <w:pPr>
              <w:suppressAutoHyphens/>
              <w:snapToGrid w:val="0"/>
              <w:spacing w:after="0" w:line="240" w:lineRule="auto"/>
              <w:rPr>
                <w:rFonts w:ascii="Arial" w:hAnsi="Arial" w:cs="Arial"/>
                <w:sz w:val="24"/>
                <w:szCs w:val="24"/>
              </w:rPr>
            </w:pPr>
            <w:r>
              <w:rPr>
                <w:rFonts w:ascii="Arial" w:hAnsi="Arial" w:cs="Arial"/>
                <w:sz w:val="24"/>
                <w:szCs w:val="24"/>
              </w:rPr>
              <w:t>GAMA</w:t>
            </w:r>
          </w:p>
        </w:tc>
        <w:tc>
          <w:tcPr>
            <w:tcW w:w="371" w:type="pct"/>
            <w:tcBorders>
              <w:top w:val="single" w:sz="4" w:space="0" w:color="000000"/>
              <w:left w:val="single" w:sz="4" w:space="0" w:color="000000"/>
              <w:bottom w:val="single" w:sz="12" w:space="0" w:color="auto"/>
              <w:right w:val="nil"/>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Pr>
                <w:rFonts w:ascii="Arial" w:hAnsi="Arial" w:cs="Arial"/>
                <w:sz w:val="24"/>
                <w:szCs w:val="24"/>
              </w:rPr>
              <w:t>2014</w:t>
            </w:r>
          </w:p>
        </w:tc>
        <w:tc>
          <w:tcPr>
            <w:tcW w:w="397" w:type="pct"/>
            <w:tcBorders>
              <w:top w:val="single" w:sz="4" w:space="0" w:color="000000"/>
              <w:left w:val="single" w:sz="4" w:space="0" w:color="000000"/>
              <w:bottom w:val="single" w:sz="12" w:space="0" w:color="auto"/>
              <w:right w:val="single" w:sz="12" w:space="0" w:color="auto"/>
            </w:tcBorders>
            <w:vAlign w:val="center"/>
          </w:tcPr>
          <w:p w:rsidR="00E83548" w:rsidRPr="00DF44C9" w:rsidRDefault="00E83548" w:rsidP="00E83548">
            <w:pPr>
              <w:suppressAutoHyphens/>
              <w:snapToGrid w:val="0"/>
              <w:spacing w:after="0" w:line="240" w:lineRule="auto"/>
              <w:jc w:val="center"/>
              <w:rPr>
                <w:rFonts w:ascii="Arial" w:hAnsi="Arial" w:cs="Arial"/>
                <w:sz w:val="24"/>
                <w:szCs w:val="24"/>
              </w:rPr>
            </w:pPr>
            <w:r>
              <w:rPr>
                <w:rFonts w:ascii="Arial" w:hAnsi="Arial" w:cs="Arial"/>
                <w:sz w:val="24"/>
                <w:szCs w:val="24"/>
              </w:rPr>
              <w:t>2019</w:t>
            </w:r>
          </w:p>
        </w:tc>
      </w:tr>
    </w:tbl>
    <w:p w:rsidR="00263E64" w:rsidRPr="00E83548" w:rsidRDefault="00263E64" w:rsidP="00E83548"/>
    <w:sectPr w:rsidR="00263E64" w:rsidRPr="00E83548" w:rsidSect="004873C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33" w:rsidRDefault="00560633" w:rsidP="004873C9">
      <w:pPr>
        <w:spacing w:after="0" w:line="240" w:lineRule="auto"/>
      </w:pPr>
      <w:r>
        <w:separator/>
      </w:r>
    </w:p>
  </w:endnote>
  <w:endnote w:type="continuationSeparator" w:id="0">
    <w:p w:rsidR="00560633" w:rsidRDefault="00560633" w:rsidP="004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D3" w:rsidRDefault="000D02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0086"/>
      <w:docPartObj>
        <w:docPartGallery w:val="Page Numbers (Bottom of Page)"/>
        <w:docPartUnique/>
      </w:docPartObj>
    </w:sdtPr>
    <w:sdtEndPr>
      <w:rPr>
        <w:rFonts w:ascii="Arial" w:hAnsi="Arial" w:cs="Arial"/>
      </w:rPr>
    </w:sdtEndPr>
    <w:sdtContent>
      <w:sdt>
        <w:sdtPr>
          <w:rPr>
            <w:rFonts w:ascii="Arial" w:hAnsi="Arial" w:cs="Arial"/>
          </w:rPr>
          <w:id w:val="860082579"/>
          <w:docPartObj>
            <w:docPartGallery w:val="Page Numbers (Top of Page)"/>
            <w:docPartUnique/>
          </w:docPartObj>
        </w:sdtPr>
        <w:sdtEndPr/>
        <w:sdtContent>
          <w:p w:rsidR="00FC2D32" w:rsidRPr="00E83548" w:rsidRDefault="00FC2D32" w:rsidP="009B5E43">
            <w:pPr>
              <w:pStyle w:val="Zpat"/>
              <w:jc w:val="right"/>
              <w:rPr>
                <w:rFonts w:ascii="Arial" w:hAnsi="Arial" w:cs="Arial"/>
              </w:rPr>
            </w:pPr>
            <w:r w:rsidRPr="00E83548">
              <w:rPr>
                <w:rFonts w:ascii="Arial" w:hAnsi="Arial" w:cs="Arial"/>
              </w:rPr>
              <w:t xml:space="preserve">Stránka </w:t>
            </w:r>
            <w:r w:rsidRPr="00E83548">
              <w:rPr>
                <w:rFonts w:ascii="Arial" w:hAnsi="Arial" w:cs="Arial"/>
                <w:b/>
                <w:bCs/>
                <w:sz w:val="24"/>
                <w:szCs w:val="24"/>
              </w:rPr>
              <w:fldChar w:fldCharType="begin"/>
            </w:r>
            <w:r w:rsidRPr="00E83548">
              <w:rPr>
                <w:rFonts w:ascii="Arial" w:hAnsi="Arial" w:cs="Arial"/>
                <w:b/>
                <w:bCs/>
              </w:rPr>
              <w:instrText>PAGE</w:instrText>
            </w:r>
            <w:r w:rsidRPr="00E83548">
              <w:rPr>
                <w:rFonts w:ascii="Arial" w:hAnsi="Arial" w:cs="Arial"/>
                <w:b/>
                <w:bCs/>
                <w:sz w:val="24"/>
                <w:szCs w:val="24"/>
              </w:rPr>
              <w:fldChar w:fldCharType="separate"/>
            </w:r>
            <w:r w:rsidR="000D02D3">
              <w:rPr>
                <w:rFonts w:ascii="Arial" w:hAnsi="Arial" w:cs="Arial"/>
                <w:b/>
                <w:bCs/>
                <w:noProof/>
              </w:rPr>
              <w:t>4</w:t>
            </w:r>
            <w:r w:rsidRPr="00E83548">
              <w:rPr>
                <w:rFonts w:ascii="Arial" w:hAnsi="Arial" w:cs="Arial"/>
                <w:b/>
                <w:bCs/>
                <w:sz w:val="24"/>
                <w:szCs w:val="24"/>
              </w:rPr>
              <w:fldChar w:fldCharType="end"/>
            </w:r>
            <w:r w:rsidRPr="00E83548">
              <w:rPr>
                <w:rFonts w:ascii="Arial" w:hAnsi="Arial" w:cs="Arial"/>
              </w:rPr>
              <w:t xml:space="preserve"> z </w:t>
            </w:r>
            <w:r w:rsidRPr="00E83548">
              <w:rPr>
                <w:rFonts w:ascii="Arial" w:hAnsi="Arial" w:cs="Arial"/>
                <w:b/>
                <w:bCs/>
                <w:sz w:val="24"/>
                <w:szCs w:val="24"/>
              </w:rPr>
              <w:fldChar w:fldCharType="begin"/>
            </w:r>
            <w:r w:rsidRPr="00E83548">
              <w:rPr>
                <w:rFonts w:ascii="Arial" w:hAnsi="Arial" w:cs="Arial"/>
                <w:b/>
                <w:bCs/>
              </w:rPr>
              <w:instrText>NUMPAGES</w:instrText>
            </w:r>
            <w:r w:rsidRPr="00E83548">
              <w:rPr>
                <w:rFonts w:ascii="Arial" w:hAnsi="Arial" w:cs="Arial"/>
                <w:b/>
                <w:bCs/>
                <w:sz w:val="24"/>
                <w:szCs w:val="24"/>
              </w:rPr>
              <w:fldChar w:fldCharType="separate"/>
            </w:r>
            <w:r w:rsidR="000D02D3">
              <w:rPr>
                <w:rFonts w:ascii="Arial" w:hAnsi="Arial" w:cs="Arial"/>
                <w:b/>
                <w:bCs/>
                <w:noProof/>
              </w:rPr>
              <w:t>4</w:t>
            </w:r>
            <w:r w:rsidRPr="00E83548">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14034021"/>
      <w:docPartObj>
        <w:docPartGallery w:val="Page Numbers (Bottom of Page)"/>
        <w:docPartUnique/>
      </w:docPartObj>
    </w:sdtPr>
    <w:sdtEndPr/>
    <w:sdtContent>
      <w:sdt>
        <w:sdtPr>
          <w:rPr>
            <w:rFonts w:ascii="Arial" w:hAnsi="Arial" w:cs="Arial"/>
          </w:rPr>
          <w:id w:val="1376582532"/>
          <w:docPartObj>
            <w:docPartGallery w:val="Page Numbers (Top of Page)"/>
            <w:docPartUnique/>
          </w:docPartObj>
        </w:sdtPr>
        <w:sdtEndPr/>
        <w:sdtContent>
          <w:p w:rsidR="00FC2D32" w:rsidRPr="004574B2" w:rsidRDefault="00FC2D32" w:rsidP="00E83548">
            <w:pPr>
              <w:pStyle w:val="Zpat"/>
              <w:jc w:val="right"/>
              <w:rPr>
                <w:rFonts w:ascii="Arial" w:hAnsi="Arial" w:cs="Arial"/>
              </w:rPr>
            </w:pPr>
            <w:r w:rsidRPr="004574B2">
              <w:rPr>
                <w:rFonts w:ascii="Arial" w:hAnsi="Arial" w:cs="Arial"/>
              </w:rPr>
              <w:t xml:space="preserve">Stránka </w:t>
            </w:r>
            <w:r w:rsidRPr="004574B2">
              <w:rPr>
                <w:rFonts w:ascii="Arial" w:hAnsi="Arial" w:cs="Arial"/>
                <w:b/>
                <w:bCs/>
                <w:sz w:val="24"/>
                <w:szCs w:val="24"/>
              </w:rPr>
              <w:fldChar w:fldCharType="begin"/>
            </w:r>
            <w:r w:rsidRPr="004574B2">
              <w:rPr>
                <w:rFonts w:ascii="Arial" w:hAnsi="Arial" w:cs="Arial"/>
                <w:b/>
                <w:bCs/>
              </w:rPr>
              <w:instrText>PAGE</w:instrText>
            </w:r>
            <w:r w:rsidRPr="004574B2">
              <w:rPr>
                <w:rFonts w:ascii="Arial" w:hAnsi="Arial" w:cs="Arial"/>
                <w:b/>
                <w:bCs/>
                <w:sz w:val="24"/>
                <w:szCs w:val="24"/>
              </w:rPr>
              <w:fldChar w:fldCharType="separate"/>
            </w:r>
            <w:r w:rsidR="000D02D3">
              <w:rPr>
                <w:rFonts w:ascii="Arial" w:hAnsi="Arial" w:cs="Arial"/>
                <w:b/>
                <w:bCs/>
                <w:noProof/>
              </w:rPr>
              <w:t>1</w:t>
            </w:r>
            <w:r w:rsidRPr="004574B2">
              <w:rPr>
                <w:rFonts w:ascii="Arial" w:hAnsi="Arial" w:cs="Arial"/>
                <w:b/>
                <w:bCs/>
                <w:sz w:val="24"/>
                <w:szCs w:val="24"/>
              </w:rPr>
              <w:fldChar w:fldCharType="end"/>
            </w:r>
            <w:r w:rsidRPr="004574B2">
              <w:rPr>
                <w:rFonts w:ascii="Arial" w:hAnsi="Arial" w:cs="Arial"/>
              </w:rPr>
              <w:t xml:space="preserve"> z </w:t>
            </w:r>
            <w:r w:rsidRPr="004574B2">
              <w:rPr>
                <w:rFonts w:ascii="Arial" w:hAnsi="Arial" w:cs="Arial"/>
                <w:b/>
                <w:bCs/>
                <w:sz w:val="24"/>
                <w:szCs w:val="24"/>
              </w:rPr>
              <w:fldChar w:fldCharType="begin"/>
            </w:r>
            <w:r w:rsidRPr="004574B2">
              <w:rPr>
                <w:rFonts w:ascii="Arial" w:hAnsi="Arial" w:cs="Arial"/>
                <w:b/>
                <w:bCs/>
              </w:rPr>
              <w:instrText>NUMPAGES</w:instrText>
            </w:r>
            <w:r w:rsidRPr="004574B2">
              <w:rPr>
                <w:rFonts w:ascii="Arial" w:hAnsi="Arial" w:cs="Arial"/>
                <w:b/>
                <w:bCs/>
                <w:sz w:val="24"/>
                <w:szCs w:val="24"/>
              </w:rPr>
              <w:fldChar w:fldCharType="separate"/>
            </w:r>
            <w:r w:rsidR="000D02D3">
              <w:rPr>
                <w:rFonts w:ascii="Arial" w:hAnsi="Arial" w:cs="Arial"/>
                <w:b/>
                <w:bCs/>
                <w:noProof/>
              </w:rPr>
              <w:t>4</w:t>
            </w:r>
            <w:r w:rsidRPr="004574B2">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33" w:rsidRDefault="00560633" w:rsidP="004873C9">
      <w:pPr>
        <w:spacing w:after="0" w:line="240" w:lineRule="auto"/>
      </w:pPr>
      <w:r>
        <w:separator/>
      </w:r>
    </w:p>
  </w:footnote>
  <w:footnote w:type="continuationSeparator" w:id="0">
    <w:p w:rsidR="00560633" w:rsidRDefault="00560633" w:rsidP="004873C9">
      <w:pPr>
        <w:spacing w:after="0" w:line="240" w:lineRule="auto"/>
      </w:pPr>
      <w:r>
        <w:continuationSeparator/>
      </w:r>
    </w:p>
  </w:footnote>
  <w:footnote w:id="1">
    <w:p w:rsidR="0071137C" w:rsidRPr="00F50427" w:rsidRDefault="0071137C" w:rsidP="00F50427">
      <w:pPr>
        <w:pStyle w:val="Textpoznpodarou"/>
        <w:jc w:val="both"/>
        <w:rPr>
          <w:lang w:val="en-GB"/>
        </w:rPr>
      </w:pPr>
      <w:r>
        <w:rPr>
          <w:rStyle w:val="Znakapoznpodarou"/>
        </w:rPr>
        <w:footnoteRef/>
      </w:r>
      <w:r>
        <w:t xml:space="preserve"> </w:t>
      </w:r>
      <w:r w:rsidR="00E37235">
        <w:t xml:space="preserve">Výzva se netýká </w:t>
      </w:r>
      <w:r>
        <w:t>MŠMT, neboť</w:t>
      </w:r>
      <w:r w:rsidR="00136501">
        <w:t xml:space="preserve"> závěrečné hodnocení programu NÁVRAT již bylo </w:t>
      </w:r>
      <w:r w:rsidR="00D56593">
        <w:t xml:space="preserve">RVVI </w:t>
      </w:r>
      <w:r w:rsidR="00136501">
        <w:t xml:space="preserve">zasláno </w:t>
      </w:r>
      <w:r>
        <w:t xml:space="preserve">dopisem č. j. </w:t>
      </w:r>
      <w:r w:rsidRPr="0071137C">
        <w:t>MSMT-9429/2020-</w:t>
      </w:r>
      <w:r w:rsidR="00136501">
        <w:t>2.</w:t>
      </w:r>
      <w:r>
        <w:t xml:space="preserve"> </w:t>
      </w:r>
      <w:r w:rsidR="00E37235">
        <w:t>Komise pro hodnocení výsledků hodnocení programu Návrat projednávala na svém 126. zasedání dne 7. 9.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D3" w:rsidRDefault="000D02D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D3" w:rsidRDefault="000D02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D13290" w:rsidTr="00A53AC0">
      <w:trPr>
        <w:trHeight w:val="686"/>
      </w:trPr>
      <w:tc>
        <w:tcPr>
          <w:tcW w:w="8188" w:type="dxa"/>
          <w:tcBorders>
            <w:top w:val="nil"/>
            <w:left w:val="nil"/>
            <w:bottom w:val="nil"/>
            <w:right w:val="single" w:sz="6" w:space="0" w:color="auto"/>
          </w:tcBorders>
          <w:vAlign w:val="center"/>
        </w:tcPr>
        <w:p w:rsidR="00D13290" w:rsidRPr="009758E5" w:rsidRDefault="00D13290" w:rsidP="00F55080">
          <w:pPr>
            <w:pStyle w:val="Zhlav"/>
            <w:rPr>
              <w:rFonts w:ascii="Arial" w:hAnsi="Arial" w:cs="Arial"/>
              <w:b/>
              <w:color w:val="0B38B5"/>
            </w:rPr>
          </w:pPr>
          <w:r w:rsidRPr="00A51417">
            <w:rPr>
              <w:rFonts w:ascii="Arial" w:hAnsi="Arial" w:cs="Arial"/>
              <w:b/>
              <w:noProof/>
              <w:color w:val="0B38B5"/>
              <w:lang w:eastAsia="cs-CZ"/>
            </w:rPr>
            <w:drawing>
              <wp:anchor distT="0" distB="0" distL="114300" distR="114300" simplePos="0" relativeHeight="251658240" behindDoc="0" locked="0" layoutInCell="1" allowOverlap="1" wp14:anchorId="109FAF9F" wp14:editId="59212E64">
                <wp:simplePos x="0" y="0"/>
                <wp:positionH relativeFrom="column">
                  <wp:posOffset>635</wp:posOffset>
                </wp:positionH>
                <wp:positionV relativeFrom="paragraph">
                  <wp:posOffset>-68638</wp:posOffset>
                </wp:positionV>
                <wp:extent cx="914760" cy="277200"/>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D13290" w:rsidRPr="00C12F55" w:rsidRDefault="00D13290" w:rsidP="00C92661">
          <w:pPr>
            <w:pStyle w:val="Zhlav"/>
            <w:jc w:val="center"/>
            <w:rPr>
              <w:rFonts w:ascii="Arial" w:hAnsi="Arial" w:cs="Arial"/>
              <w:b/>
              <w:color w:val="0070C0"/>
              <w:sz w:val="28"/>
              <w:szCs w:val="28"/>
            </w:rPr>
          </w:pPr>
          <w:r>
            <w:rPr>
              <w:rFonts w:ascii="Arial" w:hAnsi="Arial" w:cs="Arial"/>
              <w:b/>
              <w:color w:val="0070C0"/>
              <w:sz w:val="28"/>
              <w:szCs w:val="28"/>
            </w:rPr>
            <w:t>3</w:t>
          </w:r>
          <w:r w:rsidR="00C92661">
            <w:rPr>
              <w:rFonts w:ascii="Arial" w:hAnsi="Arial" w:cs="Arial"/>
              <w:b/>
              <w:color w:val="0070C0"/>
              <w:sz w:val="28"/>
              <w:szCs w:val="28"/>
            </w:rPr>
            <w:t>60</w:t>
          </w:r>
          <w:r w:rsidRPr="00C12F55">
            <w:rPr>
              <w:rFonts w:ascii="Arial" w:hAnsi="Arial" w:cs="Arial"/>
              <w:b/>
              <w:color w:val="0070C0"/>
              <w:sz w:val="28"/>
              <w:szCs w:val="28"/>
            </w:rPr>
            <w:t>/</w:t>
          </w:r>
          <w:r w:rsidRPr="00204A3F">
            <w:rPr>
              <w:rFonts w:ascii="Arial" w:hAnsi="Arial" w:cs="Arial"/>
              <w:b/>
              <w:color w:val="0070C0"/>
              <w:sz w:val="28"/>
              <w:szCs w:val="28"/>
            </w:rPr>
            <w:t>C</w:t>
          </w:r>
          <w:r w:rsidR="000D02D3">
            <w:rPr>
              <w:rFonts w:ascii="Arial" w:hAnsi="Arial" w:cs="Arial"/>
              <w:b/>
              <w:color w:val="0070C0"/>
              <w:sz w:val="28"/>
              <w:szCs w:val="28"/>
            </w:rPr>
            <w:t>5</w:t>
          </w:r>
          <w:bookmarkStart w:id="0" w:name="_GoBack"/>
          <w:bookmarkEnd w:id="0"/>
        </w:p>
      </w:tc>
    </w:tr>
  </w:tbl>
  <w:p w:rsidR="00D13290" w:rsidRDefault="00D132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5B399"/>
    <w:multiLevelType w:val="hybridMultilevel"/>
    <w:tmpl w:val="8B3E5D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47338"/>
    <w:multiLevelType w:val="hybridMultilevel"/>
    <w:tmpl w:val="7EAAC3DA"/>
    <w:lvl w:ilvl="0" w:tplc="0409000F">
      <w:start w:val="1"/>
      <w:numFmt w:val="decimal"/>
      <w:lvlText w:val="%1."/>
      <w:lvlJc w:val="left"/>
      <w:pPr>
        <w:ind w:left="786" w:hanging="360"/>
      </w:pPr>
    </w:lvl>
    <w:lvl w:ilvl="1" w:tplc="0409000F">
      <w:start w:val="1"/>
      <w:numFmt w:val="decimal"/>
      <w:lvlText w:val="%2."/>
      <w:lvlJc w:val="left"/>
      <w:pPr>
        <w:ind w:left="1440" w:hanging="360"/>
      </w:pPr>
    </w:lvl>
    <w:lvl w:ilvl="2" w:tplc="3CBA301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75A1B"/>
    <w:multiLevelType w:val="multilevel"/>
    <w:tmpl w:val="84B6AE8A"/>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46"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086953E8"/>
    <w:multiLevelType w:val="hybridMultilevel"/>
    <w:tmpl w:val="70ACF08C"/>
    <w:lvl w:ilvl="0" w:tplc="DC2ADEFE">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0CFB3D41"/>
    <w:multiLevelType w:val="hybridMultilevel"/>
    <w:tmpl w:val="777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311B6E"/>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7A1CF0"/>
    <w:multiLevelType w:val="hybridMultilevel"/>
    <w:tmpl w:val="AC7E08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2E3D6A"/>
    <w:multiLevelType w:val="hybridMultilevel"/>
    <w:tmpl w:val="B24C8414"/>
    <w:lvl w:ilvl="0" w:tplc="3EF238A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786082"/>
    <w:multiLevelType w:val="hybridMultilevel"/>
    <w:tmpl w:val="3CC2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BA024A4"/>
    <w:multiLevelType w:val="multilevel"/>
    <w:tmpl w:val="A44A30F8"/>
    <w:numStyleLink w:val="Styl3"/>
  </w:abstractNum>
  <w:abstractNum w:abstractNumId="10">
    <w:nsid w:val="3D2C7AD2"/>
    <w:multiLevelType w:val="hybridMultilevel"/>
    <w:tmpl w:val="EAAEBE26"/>
    <w:lvl w:ilvl="0" w:tplc="3EF238A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403156"/>
    <w:multiLevelType w:val="hybridMultilevel"/>
    <w:tmpl w:val="625E135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ECDE0A"/>
    <w:multiLevelType w:val="hybridMultilevel"/>
    <w:tmpl w:val="F30CB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AAE0B7A"/>
    <w:multiLevelType w:val="hybridMultilevel"/>
    <w:tmpl w:val="2B547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BE24873"/>
    <w:multiLevelType w:val="multilevel"/>
    <w:tmpl w:val="A44A30F8"/>
    <w:styleLink w:val="Styl3"/>
    <w:lvl w:ilvl="0">
      <w:start w:val="7"/>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C771389"/>
    <w:multiLevelType w:val="hybridMultilevel"/>
    <w:tmpl w:val="2B46A9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5F1329B3"/>
    <w:multiLevelType w:val="hybridMultilevel"/>
    <w:tmpl w:val="85E2B226"/>
    <w:lvl w:ilvl="0" w:tplc="2680558E">
      <w:start w:val="1"/>
      <w:numFmt w:val="lowerLetter"/>
      <w:lvlText w:val="%1)"/>
      <w:lvlJc w:val="left"/>
      <w:pPr>
        <w:ind w:left="1068" w:hanging="360"/>
      </w:pPr>
      <w:rPr>
        <w:rFonts w:ascii="Arial"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65715993"/>
    <w:multiLevelType w:val="hybridMultilevel"/>
    <w:tmpl w:val="6FFA4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89FEE42"/>
    <w:multiLevelType w:val="hybridMultilevel"/>
    <w:tmpl w:val="7A00B30C"/>
    <w:lvl w:ilvl="0" w:tplc="FFFFFFFF">
      <w:start w:val="1"/>
      <w:numFmt w:val="ideographDigital"/>
      <w:lvlText w:val="."/>
      <w:lvlJc w:val="left"/>
    </w:lvl>
    <w:lvl w:ilvl="1" w:tplc="040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9"/>
  </w:num>
  <w:num w:numId="4">
    <w:abstractNumId w:val="14"/>
  </w:num>
  <w:num w:numId="5">
    <w:abstractNumId w:val="8"/>
  </w:num>
  <w:num w:numId="6">
    <w:abstractNumId w:val="10"/>
  </w:num>
  <w:num w:numId="7">
    <w:abstractNumId w:val="16"/>
  </w:num>
  <w:num w:numId="8">
    <w:abstractNumId w:val="3"/>
  </w:num>
  <w:num w:numId="9">
    <w:abstractNumId w:val="0"/>
  </w:num>
  <w:num w:numId="10">
    <w:abstractNumId w:val="12"/>
  </w:num>
  <w:num w:numId="11">
    <w:abstractNumId w:val="18"/>
  </w:num>
  <w:num w:numId="12">
    <w:abstractNumId w:val="1"/>
  </w:num>
  <w:num w:numId="13">
    <w:abstractNumId w:val="3"/>
  </w:num>
  <w:num w:numId="14">
    <w:abstractNumId w:val="4"/>
  </w:num>
  <w:num w:numId="15">
    <w:abstractNumId w:val="17"/>
  </w:num>
  <w:num w:numId="16">
    <w:abstractNumId w:val="11"/>
  </w:num>
  <w:num w:numId="17">
    <w:abstractNumId w:val="7"/>
  </w:num>
  <w:num w:numId="18">
    <w:abstractNumId w:val="13"/>
  </w:num>
  <w:num w:numId="19">
    <w:abstractNumId w:val="15"/>
  </w:num>
  <w:num w:numId="20">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eková Lucie">
    <w15:presenceInfo w15:providerId="None" w15:userId="Kureková Luc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C9"/>
    <w:rsid w:val="0000059D"/>
    <w:rsid w:val="00001F92"/>
    <w:rsid w:val="000030AC"/>
    <w:rsid w:val="00012019"/>
    <w:rsid w:val="00015944"/>
    <w:rsid w:val="00020929"/>
    <w:rsid w:val="000351D7"/>
    <w:rsid w:val="00042627"/>
    <w:rsid w:val="000554E8"/>
    <w:rsid w:val="00063305"/>
    <w:rsid w:val="00064B57"/>
    <w:rsid w:val="00066497"/>
    <w:rsid w:val="0007270B"/>
    <w:rsid w:val="000823DF"/>
    <w:rsid w:val="000A3883"/>
    <w:rsid w:val="000A668A"/>
    <w:rsid w:val="000B4674"/>
    <w:rsid w:val="000B4B69"/>
    <w:rsid w:val="000C0180"/>
    <w:rsid w:val="000C3000"/>
    <w:rsid w:val="000D02D3"/>
    <w:rsid w:val="000D0A00"/>
    <w:rsid w:val="000E3EE0"/>
    <w:rsid w:val="000F2A7E"/>
    <w:rsid w:val="000F56E4"/>
    <w:rsid w:val="00101151"/>
    <w:rsid w:val="00114751"/>
    <w:rsid w:val="001273EC"/>
    <w:rsid w:val="00127D7D"/>
    <w:rsid w:val="00136501"/>
    <w:rsid w:val="00147F17"/>
    <w:rsid w:val="00154726"/>
    <w:rsid w:val="00155D37"/>
    <w:rsid w:val="00167744"/>
    <w:rsid w:val="00170146"/>
    <w:rsid w:val="00173392"/>
    <w:rsid w:val="00177A6B"/>
    <w:rsid w:val="001850B4"/>
    <w:rsid w:val="00186067"/>
    <w:rsid w:val="001A4423"/>
    <w:rsid w:val="001B168A"/>
    <w:rsid w:val="001B2EA9"/>
    <w:rsid w:val="001B5691"/>
    <w:rsid w:val="001B7EE7"/>
    <w:rsid w:val="001D1BE6"/>
    <w:rsid w:val="001D3C76"/>
    <w:rsid w:val="001D639C"/>
    <w:rsid w:val="001D7B3F"/>
    <w:rsid w:val="001D7DD4"/>
    <w:rsid w:val="001E51F0"/>
    <w:rsid w:val="001E711B"/>
    <w:rsid w:val="001F024D"/>
    <w:rsid w:val="001F13CD"/>
    <w:rsid w:val="001F2971"/>
    <w:rsid w:val="001F60C4"/>
    <w:rsid w:val="001F6320"/>
    <w:rsid w:val="00202CD6"/>
    <w:rsid w:val="002038E2"/>
    <w:rsid w:val="00204A3F"/>
    <w:rsid w:val="00204EA2"/>
    <w:rsid w:val="00214C22"/>
    <w:rsid w:val="00220BFC"/>
    <w:rsid w:val="00237C9D"/>
    <w:rsid w:val="00237D25"/>
    <w:rsid w:val="00245B40"/>
    <w:rsid w:val="002507DC"/>
    <w:rsid w:val="00253865"/>
    <w:rsid w:val="0025586A"/>
    <w:rsid w:val="00261485"/>
    <w:rsid w:val="00263E64"/>
    <w:rsid w:val="00265BA4"/>
    <w:rsid w:val="00272AC6"/>
    <w:rsid w:val="0027387B"/>
    <w:rsid w:val="00283159"/>
    <w:rsid w:val="00285A25"/>
    <w:rsid w:val="00290272"/>
    <w:rsid w:val="00290F38"/>
    <w:rsid w:val="00292E58"/>
    <w:rsid w:val="002A142B"/>
    <w:rsid w:val="002A4136"/>
    <w:rsid w:val="002A6F43"/>
    <w:rsid w:val="002B0025"/>
    <w:rsid w:val="002B0341"/>
    <w:rsid w:val="002B1711"/>
    <w:rsid w:val="002B5C91"/>
    <w:rsid w:val="002C03BE"/>
    <w:rsid w:val="002D3448"/>
    <w:rsid w:val="002D6520"/>
    <w:rsid w:val="002E2A49"/>
    <w:rsid w:val="002F0DE8"/>
    <w:rsid w:val="002F35D0"/>
    <w:rsid w:val="002F47EF"/>
    <w:rsid w:val="0030091F"/>
    <w:rsid w:val="003018C4"/>
    <w:rsid w:val="00303D32"/>
    <w:rsid w:val="00305512"/>
    <w:rsid w:val="00315A92"/>
    <w:rsid w:val="0031619E"/>
    <w:rsid w:val="00316B44"/>
    <w:rsid w:val="00316D90"/>
    <w:rsid w:val="00321969"/>
    <w:rsid w:val="00332290"/>
    <w:rsid w:val="00335000"/>
    <w:rsid w:val="0034189D"/>
    <w:rsid w:val="0034221B"/>
    <w:rsid w:val="00350A80"/>
    <w:rsid w:val="00352EF1"/>
    <w:rsid w:val="0035428D"/>
    <w:rsid w:val="0035545F"/>
    <w:rsid w:val="0035637D"/>
    <w:rsid w:val="0036357B"/>
    <w:rsid w:val="003802F8"/>
    <w:rsid w:val="003A2131"/>
    <w:rsid w:val="003A6319"/>
    <w:rsid w:val="003B2BDF"/>
    <w:rsid w:val="003B36F8"/>
    <w:rsid w:val="003C7BA7"/>
    <w:rsid w:val="003E57F2"/>
    <w:rsid w:val="003F0329"/>
    <w:rsid w:val="003F19AD"/>
    <w:rsid w:val="003F6B2A"/>
    <w:rsid w:val="00400FED"/>
    <w:rsid w:val="00403923"/>
    <w:rsid w:val="004138EA"/>
    <w:rsid w:val="00417A51"/>
    <w:rsid w:val="00432EDB"/>
    <w:rsid w:val="00434E2E"/>
    <w:rsid w:val="0043520D"/>
    <w:rsid w:val="0043543D"/>
    <w:rsid w:val="00443D43"/>
    <w:rsid w:val="00446CEB"/>
    <w:rsid w:val="00453101"/>
    <w:rsid w:val="004562E4"/>
    <w:rsid w:val="004574B2"/>
    <w:rsid w:val="00466AD1"/>
    <w:rsid w:val="00474742"/>
    <w:rsid w:val="004760BC"/>
    <w:rsid w:val="004772B4"/>
    <w:rsid w:val="00483F3D"/>
    <w:rsid w:val="004873C9"/>
    <w:rsid w:val="00487C81"/>
    <w:rsid w:val="004A211B"/>
    <w:rsid w:val="004A4002"/>
    <w:rsid w:val="004A4392"/>
    <w:rsid w:val="004A5FBC"/>
    <w:rsid w:val="004B0CEB"/>
    <w:rsid w:val="004B0FC2"/>
    <w:rsid w:val="004C0E36"/>
    <w:rsid w:val="004C3B8E"/>
    <w:rsid w:val="004C5CA3"/>
    <w:rsid w:val="004D1C01"/>
    <w:rsid w:val="004E214F"/>
    <w:rsid w:val="004F0285"/>
    <w:rsid w:val="004F3A41"/>
    <w:rsid w:val="00500654"/>
    <w:rsid w:val="00500814"/>
    <w:rsid w:val="00500BC1"/>
    <w:rsid w:val="005027F2"/>
    <w:rsid w:val="00507103"/>
    <w:rsid w:val="00511D27"/>
    <w:rsid w:val="00517FBA"/>
    <w:rsid w:val="00531673"/>
    <w:rsid w:val="00541BC4"/>
    <w:rsid w:val="00543871"/>
    <w:rsid w:val="0054479E"/>
    <w:rsid w:val="00546B42"/>
    <w:rsid w:val="00551E0B"/>
    <w:rsid w:val="00560633"/>
    <w:rsid w:val="00571660"/>
    <w:rsid w:val="00574B9F"/>
    <w:rsid w:val="005775AC"/>
    <w:rsid w:val="005862B9"/>
    <w:rsid w:val="00591A46"/>
    <w:rsid w:val="00593A39"/>
    <w:rsid w:val="00595535"/>
    <w:rsid w:val="005978C0"/>
    <w:rsid w:val="005A0B03"/>
    <w:rsid w:val="005A5CB5"/>
    <w:rsid w:val="005A6000"/>
    <w:rsid w:val="005B5F54"/>
    <w:rsid w:val="005B617F"/>
    <w:rsid w:val="005D6144"/>
    <w:rsid w:val="005D615E"/>
    <w:rsid w:val="005E1A77"/>
    <w:rsid w:val="005E36B4"/>
    <w:rsid w:val="005E416F"/>
    <w:rsid w:val="005E52C4"/>
    <w:rsid w:val="005E6588"/>
    <w:rsid w:val="0061100F"/>
    <w:rsid w:val="00611E5F"/>
    <w:rsid w:val="006212AE"/>
    <w:rsid w:val="00622D46"/>
    <w:rsid w:val="00642DB6"/>
    <w:rsid w:val="00644F04"/>
    <w:rsid w:val="00652E15"/>
    <w:rsid w:val="00661689"/>
    <w:rsid w:val="00661920"/>
    <w:rsid w:val="0066317E"/>
    <w:rsid w:val="006633CB"/>
    <w:rsid w:val="00664688"/>
    <w:rsid w:val="00667678"/>
    <w:rsid w:val="00670AF1"/>
    <w:rsid w:val="00670E47"/>
    <w:rsid w:val="00687681"/>
    <w:rsid w:val="006B14E3"/>
    <w:rsid w:val="006D6790"/>
    <w:rsid w:val="006E0DC0"/>
    <w:rsid w:val="006E2D77"/>
    <w:rsid w:val="006E5573"/>
    <w:rsid w:val="006E645B"/>
    <w:rsid w:val="006E6852"/>
    <w:rsid w:val="006E766E"/>
    <w:rsid w:val="0071137C"/>
    <w:rsid w:val="007127C3"/>
    <w:rsid w:val="00713CD8"/>
    <w:rsid w:val="007323E6"/>
    <w:rsid w:val="00740920"/>
    <w:rsid w:val="007452F6"/>
    <w:rsid w:val="00754210"/>
    <w:rsid w:val="0075467D"/>
    <w:rsid w:val="00754801"/>
    <w:rsid w:val="007730CD"/>
    <w:rsid w:val="00793ABD"/>
    <w:rsid w:val="007B2ADB"/>
    <w:rsid w:val="007C18A1"/>
    <w:rsid w:val="007D0434"/>
    <w:rsid w:val="007D23AA"/>
    <w:rsid w:val="007D2BC9"/>
    <w:rsid w:val="007D35F6"/>
    <w:rsid w:val="007E2CD3"/>
    <w:rsid w:val="007F26AE"/>
    <w:rsid w:val="007F402A"/>
    <w:rsid w:val="00802BF6"/>
    <w:rsid w:val="00806A62"/>
    <w:rsid w:val="00807A48"/>
    <w:rsid w:val="00813C6F"/>
    <w:rsid w:val="008238B4"/>
    <w:rsid w:val="00823C39"/>
    <w:rsid w:val="00825082"/>
    <w:rsid w:val="00825345"/>
    <w:rsid w:val="00832F43"/>
    <w:rsid w:val="008506B5"/>
    <w:rsid w:val="00851BB1"/>
    <w:rsid w:val="00856EFB"/>
    <w:rsid w:val="00857726"/>
    <w:rsid w:val="008633C1"/>
    <w:rsid w:val="00872941"/>
    <w:rsid w:val="00872C47"/>
    <w:rsid w:val="00881DF0"/>
    <w:rsid w:val="008A0487"/>
    <w:rsid w:val="008A4C98"/>
    <w:rsid w:val="008A6D12"/>
    <w:rsid w:val="008B1FBA"/>
    <w:rsid w:val="008B27BA"/>
    <w:rsid w:val="008C7784"/>
    <w:rsid w:val="008D130F"/>
    <w:rsid w:val="008D6360"/>
    <w:rsid w:val="008E01F0"/>
    <w:rsid w:val="008E6DE1"/>
    <w:rsid w:val="008F5F03"/>
    <w:rsid w:val="00904081"/>
    <w:rsid w:val="009261B7"/>
    <w:rsid w:val="0092780F"/>
    <w:rsid w:val="00927C8B"/>
    <w:rsid w:val="009320FD"/>
    <w:rsid w:val="00936314"/>
    <w:rsid w:val="0093717C"/>
    <w:rsid w:val="009468B0"/>
    <w:rsid w:val="009566B3"/>
    <w:rsid w:val="00962B91"/>
    <w:rsid w:val="00964B08"/>
    <w:rsid w:val="00965352"/>
    <w:rsid w:val="0096710F"/>
    <w:rsid w:val="00977A12"/>
    <w:rsid w:val="00977B0A"/>
    <w:rsid w:val="00982C75"/>
    <w:rsid w:val="00985B22"/>
    <w:rsid w:val="00997557"/>
    <w:rsid w:val="009A0258"/>
    <w:rsid w:val="009B1DC4"/>
    <w:rsid w:val="009B2B01"/>
    <w:rsid w:val="009B3B25"/>
    <w:rsid w:val="009B5E43"/>
    <w:rsid w:val="009C1A14"/>
    <w:rsid w:val="009C6870"/>
    <w:rsid w:val="009C6AF2"/>
    <w:rsid w:val="009C72F6"/>
    <w:rsid w:val="009D4236"/>
    <w:rsid w:val="009E22F8"/>
    <w:rsid w:val="009E2D72"/>
    <w:rsid w:val="009E2EE5"/>
    <w:rsid w:val="009E4DD8"/>
    <w:rsid w:val="009F08D6"/>
    <w:rsid w:val="009F5DFB"/>
    <w:rsid w:val="00A0489A"/>
    <w:rsid w:val="00A07A3D"/>
    <w:rsid w:val="00A143E7"/>
    <w:rsid w:val="00A14C41"/>
    <w:rsid w:val="00A227AF"/>
    <w:rsid w:val="00A240DD"/>
    <w:rsid w:val="00A31E9F"/>
    <w:rsid w:val="00A321D1"/>
    <w:rsid w:val="00A36C99"/>
    <w:rsid w:val="00A3738B"/>
    <w:rsid w:val="00A47C49"/>
    <w:rsid w:val="00A5014B"/>
    <w:rsid w:val="00A53AC0"/>
    <w:rsid w:val="00A62812"/>
    <w:rsid w:val="00A648F3"/>
    <w:rsid w:val="00A65712"/>
    <w:rsid w:val="00A735C7"/>
    <w:rsid w:val="00A73839"/>
    <w:rsid w:val="00A740AE"/>
    <w:rsid w:val="00A8139F"/>
    <w:rsid w:val="00A84CAD"/>
    <w:rsid w:val="00A863DF"/>
    <w:rsid w:val="00A86F4B"/>
    <w:rsid w:val="00A877DE"/>
    <w:rsid w:val="00AA1A8B"/>
    <w:rsid w:val="00AC13F4"/>
    <w:rsid w:val="00AC306D"/>
    <w:rsid w:val="00AC3C7B"/>
    <w:rsid w:val="00AC6D84"/>
    <w:rsid w:val="00AD5814"/>
    <w:rsid w:val="00AE5701"/>
    <w:rsid w:val="00AF27DF"/>
    <w:rsid w:val="00AF35AD"/>
    <w:rsid w:val="00B02F4F"/>
    <w:rsid w:val="00B03B42"/>
    <w:rsid w:val="00B13EEB"/>
    <w:rsid w:val="00B21D5B"/>
    <w:rsid w:val="00B33A13"/>
    <w:rsid w:val="00B50362"/>
    <w:rsid w:val="00B529DC"/>
    <w:rsid w:val="00B538E5"/>
    <w:rsid w:val="00B57A37"/>
    <w:rsid w:val="00B71833"/>
    <w:rsid w:val="00B743D8"/>
    <w:rsid w:val="00B839F0"/>
    <w:rsid w:val="00B87B83"/>
    <w:rsid w:val="00B915F7"/>
    <w:rsid w:val="00B91A76"/>
    <w:rsid w:val="00BB24B6"/>
    <w:rsid w:val="00BC7156"/>
    <w:rsid w:val="00BD25E1"/>
    <w:rsid w:val="00BD2796"/>
    <w:rsid w:val="00BF1DC1"/>
    <w:rsid w:val="00BF3C41"/>
    <w:rsid w:val="00BF4DBD"/>
    <w:rsid w:val="00BF6DBB"/>
    <w:rsid w:val="00BF7E08"/>
    <w:rsid w:val="00C04996"/>
    <w:rsid w:val="00C1666A"/>
    <w:rsid w:val="00C17788"/>
    <w:rsid w:val="00C24981"/>
    <w:rsid w:val="00C24FFD"/>
    <w:rsid w:val="00C2667C"/>
    <w:rsid w:val="00C27CA9"/>
    <w:rsid w:val="00C3114E"/>
    <w:rsid w:val="00C35B43"/>
    <w:rsid w:val="00C36F88"/>
    <w:rsid w:val="00C37409"/>
    <w:rsid w:val="00C400A0"/>
    <w:rsid w:val="00C4445E"/>
    <w:rsid w:val="00C53D78"/>
    <w:rsid w:val="00C56227"/>
    <w:rsid w:val="00C63C67"/>
    <w:rsid w:val="00C741F8"/>
    <w:rsid w:val="00C82565"/>
    <w:rsid w:val="00C870AA"/>
    <w:rsid w:val="00C877C6"/>
    <w:rsid w:val="00C92661"/>
    <w:rsid w:val="00C94610"/>
    <w:rsid w:val="00C96FCC"/>
    <w:rsid w:val="00CA062F"/>
    <w:rsid w:val="00CA2003"/>
    <w:rsid w:val="00CB2567"/>
    <w:rsid w:val="00CB3DA4"/>
    <w:rsid w:val="00CB3F3A"/>
    <w:rsid w:val="00CB4B94"/>
    <w:rsid w:val="00CB7085"/>
    <w:rsid w:val="00CB7736"/>
    <w:rsid w:val="00CC0B9A"/>
    <w:rsid w:val="00CC1B7E"/>
    <w:rsid w:val="00CC5AF5"/>
    <w:rsid w:val="00CD4597"/>
    <w:rsid w:val="00CD63DD"/>
    <w:rsid w:val="00CD711E"/>
    <w:rsid w:val="00CE7AA1"/>
    <w:rsid w:val="00D02D8B"/>
    <w:rsid w:val="00D03E2D"/>
    <w:rsid w:val="00D074FE"/>
    <w:rsid w:val="00D13290"/>
    <w:rsid w:val="00D175D4"/>
    <w:rsid w:val="00D17BB4"/>
    <w:rsid w:val="00D305FB"/>
    <w:rsid w:val="00D31827"/>
    <w:rsid w:val="00D359D4"/>
    <w:rsid w:val="00D36ECE"/>
    <w:rsid w:val="00D43ECC"/>
    <w:rsid w:val="00D56593"/>
    <w:rsid w:val="00D56947"/>
    <w:rsid w:val="00D60333"/>
    <w:rsid w:val="00D72F52"/>
    <w:rsid w:val="00D72F92"/>
    <w:rsid w:val="00D74CA6"/>
    <w:rsid w:val="00D77026"/>
    <w:rsid w:val="00D8104E"/>
    <w:rsid w:val="00D93A7F"/>
    <w:rsid w:val="00D95BFA"/>
    <w:rsid w:val="00DA2B9F"/>
    <w:rsid w:val="00DA6F06"/>
    <w:rsid w:val="00DB3FBE"/>
    <w:rsid w:val="00DB4F0D"/>
    <w:rsid w:val="00DC091E"/>
    <w:rsid w:val="00DC749D"/>
    <w:rsid w:val="00DD526A"/>
    <w:rsid w:val="00DE6133"/>
    <w:rsid w:val="00DE7AAA"/>
    <w:rsid w:val="00DF44C9"/>
    <w:rsid w:val="00E01C2C"/>
    <w:rsid w:val="00E06B89"/>
    <w:rsid w:val="00E12DD2"/>
    <w:rsid w:val="00E21586"/>
    <w:rsid w:val="00E21D32"/>
    <w:rsid w:val="00E2557F"/>
    <w:rsid w:val="00E37235"/>
    <w:rsid w:val="00E434BC"/>
    <w:rsid w:val="00E509EB"/>
    <w:rsid w:val="00E56737"/>
    <w:rsid w:val="00E63FC2"/>
    <w:rsid w:val="00E71BF5"/>
    <w:rsid w:val="00E83548"/>
    <w:rsid w:val="00EA1B9E"/>
    <w:rsid w:val="00EA3A4D"/>
    <w:rsid w:val="00EA40F3"/>
    <w:rsid w:val="00EB3AA2"/>
    <w:rsid w:val="00EB6728"/>
    <w:rsid w:val="00ED1DA2"/>
    <w:rsid w:val="00ED5194"/>
    <w:rsid w:val="00EE000C"/>
    <w:rsid w:val="00EE22FB"/>
    <w:rsid w:val="00EE7720"/>
    <w:rsid w:val="00F0486A"/>
    <w:rsid w:val="00F2381A"/>
    <w:rsid w:val="00F245F3"/>
    <w:rsid w:val="00F30440"/>
    <w:rsid w:val="00F314D8"/>
    <w:rsid w:val="00F31A64"/>
    <w:rsid w:val="00F324A4"/>
    <w:rsid w:val="00F32DAB"/>
    <w:rsid w:val="00F42A12"/>
    <w:rsid w:val="00F45F7F"/>
    <w:rsid w:val="00F50427"/>
    <w:rsid w:val="00F61EB6"/>
    <w:rsid w:val="00F67C37"/>
    <w:rsid w:val="00F76EC3"/>
    <w:rsid w:val="00F83316"/>
    <w:rsid w:val="00F84F3D"/>
    <w:rsid w:val="00F8590F"/>
    <w:rsid w:val="00F93762"/>
    <w:rsid w:val="00F96999"/>
    <w:rsid w:val="00FA00AB"/>
    <w:rsid w:val="00FA4AF6"/>
    <w:rsid w:val="00FB2A2D"/>
    <w:rsid w:val="00FB4919"/>
    <w:rsid w:val="00FB6252"/>
    <w:rsid w:val="00FC2D32"/>
    <w:rsid w:val="00FD23A9"/>
    <w:rsid w:val="00FD6DEA"/>
    <w:rsid w:val="00FE3E40"/>
    <w:rsid w:val="00FF0F2C"/>
    <w:rsid w:val="00FF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 w:type="paragraph" w:customStyle="1" w:styleId="Textodstavce">
    <w:name w:val="Text odstavce"/>
    <w:basedOn w:val="Default"/>
    <w:next w:val="Default"/>
    <w:uiPriority w:val="99"/>
    <w:rsid w:val="004A211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 w:type="paragraph" w:customStyle="1" w:styleId="Textodstavce">
    <w:name w:val="Text odstavce"/>
    <w:basedOn w:val="Default"/>
    <w:next w:val="Default"/>
    <w:uiPriority w:val="99"/>
    <w:rsid w:val="004A211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2502">
      <w:bodyDiv w:val="1"/>
      <w:marLeft w:val="0"/>
      <w:marRight w:val="0"/>
      <w:marTop w:val="0"/>
      <w:marBottom w:val="0"/>
      <w:divBdr>
        <w:top w:val="none" w:sz="0" w:space="0" w:color="auto"/>
        <w:left w:val="none" w:sz="0" w:space="0" w:color="auto"/>
        <w:bottom w:val="none" w:sz="0" w:space="0" w:color="auto"/>
        <w:right w:val="none" w:sz="0" w:space="0" w:color="auto"/>
      </w:divBdr>
      <w:divsChild>
        <w:div w:id="494994478">
          <w:marLeft w:val="0"/>
          <w:marRight w:val="0"/>
          <w:marTop w:val="0"/>
          <w:marBottom w:val="0"/>
          <w:divBdr>
            <w:top w:val="none" w:sz="0" w:space="0" w:color="auto"/>
            <w:left w:val="none" w:sz="0" w:space="0" w:color="auto"/>
            <w:bottom w:val="none" w:sz="0" w:space="0" w:color="auto"/>
            <w:right w:val="none" w:sz="0" w:space="0" w:color="auto"/>
          </w:divBdr>
          <w:divsChild>
            <w:div w:id="735474800">
              <w:marLeft w:val="0"/>
              <w:marRight w:val="0"/>
              <w:marTop w:val="0"/>
              <w:marBottom w:val="0"/>
              <w:divBdr>
                <w:top w:val="single" w:sz="6" w:space="7" w:color="DDDDDD"/>
                <w:left w:val="single" w:sz="6" w:space="5" w:color="DDDDDD"/>
                <w:bottom w:val="single" w:sz="6" w:space="7" w:color="DDDDDD"/>
                <w:right w:val="single" w:sz="6" w:space="5" w:color="DDDDDD"/>
              </w:divBdr>
            </w:div>
            <w:div w:id="289940366">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711996246">
          <w:marLeft w:val="0"/>
          <w:marRight w:val="0"/>
          <w:marTop w:val="0"/>
          <w:marBottom w:val="0"/>
          <w:divBdr>
            <w:top w:val="none" w:sz="0" w:space="0" w:color="auto"/>
            <w:left w:val="none" w:sz="0" w:space="0" w:color="auto"/>
            <w:bottom w:val="none" w:sz="0" w:space="0" w:color="auto"/>
            <w:right w:val="none" w:sz="0" w:space="0" w:color="auto"/>
          </w:divBdr>
          <w:divsChild>
            <w:div w:id="1939292232">
              <w:marLeft w:val="0"/>
              <w:marRight w:val="0"/>
              <w:marTop w:val="0"/>
              <w:marBottom w:val="0"/>
              <w:divBdr>
                <w:top w:val="single" w:sz="6" w:space="7" w:color="DDDDDD"/>
                <w:left w:val="single" w:sz="6" w:space="5" w:color="DDDDDD"/>
                <w:bottom w:val="single" w:sz="6" w:space="7" w:color="DDDDDD"/>
                <w:right w:val="single" w:sz="6" w:space="5" w:color="DDDDDD"/>
              </w:divBdr>
            </w:div>
            <w:div w:id="733819478">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041443198">
          <w:marLeft w:val="0"/>
          <w:marRight w:val="0"/>
          <w:marTop w:val="0"/>
          <w:marBottom w:val="0"/>
          <w:divBdr>
            <w:top w:val="none" w:sz="0" w:space="0" w:color="auto"/>
            <w:left w:val="none" w:sz="0" w:space="0" w:color="auto"/>
            <w:bottom w:val="none" w:sz="0" w:space="0" w:color="auto"/>
            <w:right w:val="none" w:sz="0" w:space="0" w:color="auto"/>
          </w:divBdr>
          <w:divsChild>
            <w:div w:id="204412122">
              <w:marLeft w:val="0"/>
              <w:marRight w:val="0"/>
              <w:marTop w:val="0"/>
              <w:marBottom w:val="0"/>
              <w:divBdr>
                <w:top w:val="single" w:sz="6" w:space="7" w:color="DDDDDD"/>
                <w:left w:val="single" w:sz="6" w:space="5" w:color="DDDDDD"/>
                <w:bottom w:val="single" w:sz="6" w:space="7" w:color="DDDDDD"/>
                <w:right w:val="single" w:sz="6" w:space="5" w:color="DDDDDD"/>
              </w:divBdr>
            </w:div>
            <w:div w:id="2071338641">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63767220">
          <w:marLeft w:val="0"/>
          <w:marRight w:val="0"/>
          <w:marTop w:val="0"/>
          <w:marBottom w:val="0"/>
          <w:divBdr>
            <w:top w:val="none" w:sz="0" w:space="0" w:color="auto"/>
            <w:left w:val="none" w:sz="0" w:space="0" w:color="auto"/>
            <w:bottom w:val="none" w:sz="0" w:space="0" w:color="auto"/>
            <w:right w:val="none" w:sz="0" w:space="0" w:color="auto"/>
          </w:divBdr>
          <w:divsChild>
            <w:div w:id="1738243660">
              <w:marLeft w:val="0"/>
              <w:marRight w:val="0"/>
              <w:marTop w:val="0"/>
              <w:marBottom w:val="0"/>
              <w:divBdr>
                <w:top w:val="single" w:sz="6" w:space="7" w:color="DDDDDD"/>
                <w:left w:val="single" w:sz="6" w:space="5" w:color="DDDDDD"/>
                <w:bottom w:val="single" w:sz="6" w:space="7" w:color="DDDDDD"/>
                <w:right w:val="single" w:sz="6" w:space="5" w:color="DDDDDD"/>
              </w:divBdr>
            </w:div>
            <w:div w:id="1218248927">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541287164">
          <w:marLeft w:val="0"/>
          <w:marRight w:val="0"/>
          <w:marTop w:val="0"/>
          <w:marBottom w:val="0"/>
          <w:divBdr>
            <w:top w:val="none" w:sz="0" w:space="0" w:color="auto"/>
            <w:left w:val="none" w:sz="0" w:space="0" w:color="auto"/>
            <w:bottom w:val="none" w:sz="0" w:space="0" w:color="auto"/>
            <w:right w:val="none" w:sz="0" w:space="0" w:color="auto"/>
          </w:divBdr>
          <w:divsChild>
            <w:div w:id="995038419">
              <w:marLeft w:val="0"/>
              <w:marRight w:val="0"/>
              <w:marTop w:val="0"/>
              <w:marBottom w:val="0"/>
              <w:divBdr>
                <w:top w:val="single" w:sz="6" w:space="7" w:color="DDDDDD"/>
                <w:left w:val="single" w:sz="6" w:space="5" w:color="DDDDDD"/>
                <w:bottom w:val="single" w:sz="6" w:space="7" w:color="DDDDDD"/>
                <w:right w:val="single" w:sz="6" w:space="5" w:color="DDDDDD"/>
              </w:divBdr>
            </w:div>
            <w:div w:id="1917670650">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951936692">
          <w:marLeft w:val="0"/>
          <w:marRight w:val="0"/>
          <w:marTop w:val="0"/>
          <w:marBottom w:val="0"/>
          <w:divBdr>
            <w:top w:val="none" w:sz="0" w:space="0" w:color="auto"/>
            <w:left w:val="none" w:sz="0" w:space="0" w:color="auto"/>
            <w:bottom w:val="none" w:sz="0" w:space="0" w:color="auto"/>
            <w:right w:val="none" w:sz="0" w:space="0" w:color="auto"/>
          </w:divBdr>
          <w:divsChild>
            <w:div w:id="122817054">
              <w:marLeft w:val="0"/>
              <w:marRight w:val="0"/>
              <w:marTop w:val="0"/>
              <w:marBottom w:val="0"/>
              <w:divBdr>
                <w:top w:val="single" w:sz="6" w:space="7" w:color="DDDDDD"/>
                <w:left w:val="single" w:sz="6" w:space="5" w:color="DDDDDD"/>
                <w:bottom w:val="single" w:sz="6" w:space="7" w:color="DDDDDD"/>
                <w:right w:val="single" w:sz="6" w:space="5" w:color="DDDDDD"/>
              </w:divBdr>
            </w:div>
            <w:div w:id="461506774">
              <w:marLeft w:val="0"/>
              <w:marRight w:val="0"/>
              <w:marTop w:val="0"/>
              <w:marBottom w:val="0"/>
              <w:divBdr>
                <w:top w:val="single" w:sz="6" w:space="6" w:color="DDDDDD"/>
                <w:left w:val="single" w:sz="6" w:space="9" w:color="DDDDDD"/>
                <w:bottom w:val="single" w:sz="6" w:space="6" w:color="DDDDDD"/>
                <w:right w:val="single" w:sz="6" w:space="9" w:color="DDDDDD"/>
              </w:divBdr>
            </w:div>
          </w:divsChild>
        </w:div>
      </w:divsChild>
    </w:div>
    <w:div w:id="196432142">
      <w:bodyDiv w:val="1"/>
      <w:marLeft w:val="0"/>
      <w:marRight w:val="0"/>
      <w:marTop w:val="0"/>
      <w:marBottom w:val="0"/>
      <w:divBdr>
        <w:top w:val="none" w:sz="0" w:space="0" w:color="auto"/>
        <w:left w:val="none" w:sz="0" w:space="0" w:color="auto"/>
        <w:bottom w:val="none" w:sz="0" w:space="0" w:color="auto"/>
        <w:right w:val="none" w:sz="0" w:space="0" w:color="auto"/>
      </w:divBdr>
    </w:div>
    <w:div w:id="314338135">
      <w:bodyDiv w:val="1"/>
      <w:marLeft w:val="0"/>
      <w:marRight w:val="0"/>
      <w:marTop w:val="0"/>
      <w:marBottom w:val="0"/>
      <w:divBdr>
        <w:top w:val="none" w:sz="0" w:space="0" w:color="auto"/>
        <w:left w:val="none" w:sz="0" w:space="0" w:color="auto"/>
        <w:bottom w:val="none" w:sz="0" w:space="0" w:color="auto"/>
        <w:right w:val="none" w:sz="0" w:space="0" w:color="auto"/>
      </w:divBdr>
    </w:div>
    <w:div w:id="7632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3956-B264-4BEA-9871-CA865401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4773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Marta</dc:creator>
  <cp:lastModifiedBy>Moravcová Lenka</cp:lastModifiedBy>
  <cp:revision>3</cp:revision>
  <cp:lastPrinted>2019-12-10T13:44:00Z</cp:lastPrinted>
  <dcterms:created xsi:type="dcterms:W3CDTF">2020-09-17T13:27:00Z</dcterms:created>
  <dcterms:modified xsi:type="dcterms:W3CDTF">2020-09-22T13:43:00Z</dcterms:modified>
</cp:coreProperties>
</file>