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2970B4" w14:textId="77777777" w:rsidR="00527167" w:rsidRPr="00527167" w:rsidRDefault="00527167" w:rsidP="00527167">
      <w:pPr>
        <w:pStyle w:val="Nadpis1"/>
        <w:rPr>
          <w:rFonts w:ascii="Arial" w:hAnsi="Arial" w:cs="Arial"/>
          <w:b/>
          <w:sz w:val="28"/>
          <w:szCs w:val="28"/>
        </w:rPr>
      </w:pPr>
      <w:r w:rsidRPr="00527167">
        <w:rPr>
          <w:rFonts w:ascii="Arial" w:hAnsi="Arial" w:cs="Arial"/>
          <w:b/>
          <w:sz w:val="28"/>
          <w:szCs w:val="28"/>
        </w:rPr>
        <w:t xml:space="preserve">Hodnocení 2019 - Informace o námitkách k hodnocení v Modulu 1 </w:t>
      </w:r>
    </w:p>
    <w:p w14:paraId="3B0EC1B1" w14:textId="77777777" w:rsidR="00527167" w:rsidRDefault="00527167" w:rsidP="008226D2">
      <w:pPr>
        <w:jc w:val="both"/>
        <w:rPr>
          <w:rFonts w:ascii="Arial" w:hAnsi="Arial" w:cs="Arial"/>
          <w:b/>
          <w:sz w:val="20"/>
          <w:szCs w:val="20"/>
        </w:rPr>
      </w:pPr>
    </w:p>
    <w:p w14:paraId="55BF11F4" w14:textId="7AB3D9A7" w:rsidR="008226D2" w:rsidRPr="00025F16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025F16">
        <w:rPr>
          <w:rFonts w:ascii="Arial" w:hAnsi="Arial" w:cs="Arial"/>
          <w:b/>
          <w:sz w:val="20"/>
          <w:szCs w:val="20"/>
        </w:rPr>
        <w:t>Rada pro výzkum vývoj a inovace</w:t>
      </w:r>
      <w:r w:rsidRPr="00527167">
        <w:rPr>
          <w:rFonts w:ascii="Arial" w:hAnsi="Arial" w:cs="Arial"/>
          <w:sz w:val="20"/>
          <w:szCs w:val="20"/>
        </w:rPr>
        <w:t xml:space="preserve"> </w:t>
      </w:r>
      <w:r w:rsidR="00527167" w:rsidRPr="00527167">
        <w:rPr>
          <w:rFonts w:ascii="Arial" w:hAnsi="Arial" w:cs="Arial"/>
          <w:sz w:val="20"/>
          <w:szCs w:val="20"/>
        </w:rPr>
        <w:t xml:space="preserve">(dále jen „Rada“) </w:t>
      </w:r>
      <w:r w:rsidRPr="00025F16">
        <w:rPr>
          <w:rFonts w:ascii="Arial" w:hAnsi="Arial" w:cs="Arial"/>
          <w:sz w:val="20"/>
          <w:szCs w:val="20"/>
        </w:rPr>
        <w:t xml:space="preserve">na svém 360. zasedání dne 25. září 2020 </w:t>
      </w:r>
      <w:r w:rsidR="00434B8B" w:rsidRPr="00025F16">
        <w:rPr>
          <w:rFonts w:ascii="Arial" w:hAnsi="Arial" w:cs="Arial"/>
          <w:sz w:val="20"/>
          <w:szCs w:val="20"/>
        </w:rPr>
        <w:t xml:space="preserve">schválila zveřejnění výstupů z Modulu 1 po třetím roce implementace M17+ a </w:t>
      </w:r>
      <w:r w:rsidRPr="00025F16">
        <w:rPr>
          <w:rFonts w:ascii="Arial" w:hAnsi="Arial" w:cs="Arial"/>
          <w:sz w:val="20"/>
          <w:szCs w:val="20"/>
        </w:rPr>
        <w:t>požádala výzkumné organizace v</w:t>
      </w:r>
      <w:r w:rsidR="00527167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případě potřeby o</w:t>
      </w:r>
      <w:r w:rsidR="00434B8B" w:rsidRPr="00025F16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zpětnou vazbu ke zveřejněným výstupům z hodnocení podle Metodiky 2017+ na</w:t>
      </w:r>
      <w:r w:rsidR="00527167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národní úrovni a</w:t>
      </w:r>
      <w:r w:rsidR="00434B8B" w:rsidRPr="00025F16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to</w:t>
      </w:r>
      <w:r w:rsidR="00434B8B" w:rsidRPr="00025F16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do 14 dnů od data jejich zpřístupnění.</w:t>
      </w:r>
      <w:r w:rsidR="00434B8B" w:rsidRPr="00025F16">
        <w:rPr>
          <w:rFonts w:ascii="Arial" w:hAnsi="Arial" w:cs="Arial"/>
          <w:sz w:val="20"/>
          <w:szCs w:val="20"/>
        </w:rPr>
        <w:t xml:space="preserve"> </w:t>
      </w:r>
      <w:r w:rsidR="001105B5">
        <w:rPr>
          <w:rFonts w:ascii="Arial" w:hAnsi="Arial" w:cs="Arial"/>
          <w:sz w:val="20"/>
          <w:szCs w:val="20"/>
        </w:rPr>
        <w:t>L</w:t>
      </w:r>
      <w:r w:rsidR="00434B8B" w:rsidRPr="00025F16">
        <w:rPr>
          <w:rFonts w:ascii="Arial" w:hAnsi="Arial" w:cs="Arial"/>
          <w:sz w:val="20"/>
          <w:szCs w:val="20"/>
        </w:rPr>
        <w:t>hůta pro zasílání podnět</w:t>
      </w:r>
      <w:r w:rsidR="001105B5">
        <w:rPr>
          <w:rFonts w:ascii="Arial" w:hAnsi="Arial" w:cs="Arial"/>
          <w:sz w:val="20"/>
          <w:szCs w:val="20"/>
        </w:rPr>
        <w:t>ů</w:t>
      </w:r>
      <w:r w:rsidR="001105B5" w:rsidRPr="001105B5">
        <w:rPr>
          <w:rFonts w:ascii="Arial" w:hAnsi="Arial" w:cs="Arial"/>
          <w:sz w:val="20"/>
          <w:szCs w:val="20"/>
        </w:rPr>
        <w:t xml:space="preserve"> </w:t>
      </w:r>
      <w:r w:rsidR="001105B5" w:rsidRPr="00025F16">
        <w:rPr>
          <w:rFonts w:ascii="Arial" w:hAnsi="Arial" w:cs="Arial"/>
          <w:sz w:val="20"/>
          <w:szCs w:val="20"/>
        </w:rPr>
        <w:t>uplynula</w:t>
      </w:r>
      <w:r w:rsidR="001105B5" w:rsidRPr="00025F16" w:rsidDel="001105B5">
        <w:rPr>
          <w:rFonts w:ascii="Arial" w:hAnsi="Arial" w:cs="Arial"/>
          <w:sz w:val="20"/>
          <w:szCs w:val="20"/>
        </w:rPr>
        <w:t xml:space="preserve"> </w:t>
      </w:r>
      <w:r w:rsidR="001105B5">
        <w:rPr>
          <w:rFonts w:ascii="Arial" w:hAnsi="Arial" w:cs="Arial"/>
          <w:sz w:val="20"/>
          <w:szCs w:val="20"/>
        </w:rPr>
        <w:t>d</w:t>
      </w:r>
      <w:r w:rsidR="001105B5" w:rsidRPr="00025F16">
        <w:rPr>
          <w:rFonts w:ascii="Arial" w:hAnsi="Arial" w:cs="Arial"/>
          <w:sz w:val="20"/>
          <w:szCs w:val="20"/>
        </w:rPr>
        <w:t>ne 13. října 2020</w:t>
      </w:r>
      <w:r w:rsidR="00527167">
        <w:rPr>
          <w:rFonts w:ascii="Arial" w:hAnsi="Arial" w:cs="Arial"/>
          <w:sz w:val="20"/>
          <w:szCs w:val="20"/>
        </w:rPr>
        <w:t>.</w:t>
      </w:r>
    </w:p>
    <w:p w14:paraId="1E20A618" w14:textId="532EB1BB" w:rsidR="008226D2" w:rsidRPr="00025F16" w:rsidRDefault="008226D2" w:rsidP="008226D2">
      <w:pPr>
        <w:jc w:val="both"/>
        <w:rPr>
          <w:rFonts w:ascii="Arial" w:hAnsi="Arial" w:cs="Arial"/>
          <w:b/>
          <w:sz w:val="20"/>
          <w:szCs w:val="20"/>
        </w:rPr>
      </w:pPr>
      <w:r w:rsidRPr="00025F16">
        <w:rPr>
          <w:rFonts w:ascii="Arial" w:hAnsi="Arial" w:cs="Arial"/>
          <w:b/>
          <w:sz w:val="20"/>
          <w:szCs w:val="20"/>
        </w:rPr>
        <w:t>Komise pro hodnocení výzkumných organizací a ukončených programů</w:t>
      </w:r>
      <w:r w:rsidRPr="00527167">
        <w:rPr>
          <w:rFonts w:ascii="Arial" w:hAnsi="Arial" w:cs="Arial"/>
          <w:sz w:val="20"/>
          <w:szCs w:val="20"/>
        </w:rPr>
        <w:t xml:space="preserve"> </w:t>
      </w:r>
      <w:r w:rsidR="00527167" w:rsidRPr="00527167">
        <w:rPr>
          <w:rFonts w:ascii="Arial" w:hAnsi="Arial" w:cs="Arial"/>
          <w:sz w:val="20"/>
          <w:szCs w:val="20"/>
        </w:rPr>
        <w:t xml:space="preserve">(dále jen „KHV“) </w:t>
      </w:r>
      <w:r w:rsidRPr="00025F16">
        <w:rPr>
          <w:rFonts w:ascii="Arial" w:hAnsi="Arial" w:cs="Arial"/>
          <w:sz w:val="20"/>
          <w:szCs w:val="20"/>
        </w:rPr>
        <w:t>se</w:t>
      </w:r>
      <w:r w:rsidR="00527167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>na</w:t>
      </w:r>
      <w:r w:rsidR="00527167">
        <w:rPr>
          <w:rFonts w:ascii="Arial" w:hAnsi="Arial" w:cs="Arial"/>
          <w:sz w:val="20"/>
          <w:szCs w:val="20"/>
        </w:rPr>
        <w:t> </w:t>
      </w:r>
      <w:r w:rsidRPr="00025F16">
        <w:rPr>
          <w:rFonts w:ascii="Arial" w:hAnsi="Arial" w:cs="Arial"/>
          <w:sz w:val="20"/>
          <w:szCs w:val="20"/>
        </w:rPr>
        <w:t xml:space="preserve">svém 127. jednání ze dne 5. října 2020 shodla na následujícím postupu: </w:t>
      </w:r>
      <w:r w:rsidR="00025F16" w:rsidRPr="00025F16">
        <w:rPr>
          <w:rFonts w:ascii="Arial" w:hAnsi="Arial" w:cs="Arial"/>
          <w:b/>
          <w:sz w:val="20"/>
          <w:szCs w:val="20"/>
        </w:rPr>
        <w:t>„</w:t>
      </w:r>
      <w:r w:rsidRPr="00025F16">
        <w:rPr>
          <w:rFonts w:ascii="Arial" w:hAnsi="Arial" w:cs="Arial"/>
          <w:b/>
          <w:i/>
          <w:sz w:val="20"/>
          <w:szCs w:val="20"/>
        </w:rPr>
        <w:t>Reklamace k</w:t>
      </w:r>
      <w:r w:rsidR="00527167">
        <w:rPr>
          <w:rFonts w:ascii="Arial" w:hAnsi="Arial" w:cs="Arial"/>
          <w:b/>
          <w:i/>
          <w:sz w:val="20"/>
          <w:szCs w:val="20"/>
        </w:rPr>
        <w:t> </w:t>
      </w:r>
      <w:r w:rsidR="00434B8B" w:rsidRPr="00025F16">
        <w:rPr>
          <w:rFonts w:ascii="Arial" w:hAnsi="Arial" w:cs="Arial"/>
          <w:b/>
          <w:i/>
          <w:sz w:val="20"/>
          <w:szCs w:val="20"/>
        </w:rPr>
        <w:t>z</w:t>
      </w:r>
      <w:r w:rsidRPr="00025F16">
        <w:rPr>
          <w:rFonts w:ascii="Arial" w:hAnsi="Arial" w:cs="Arial"/>
          <w:b/>
          <w:i/>
          <w:sz w:val="20"/>
          <w:szCs w:val="20"/>
        </w:rPr>
        <w:t xml:space="preserve">veřejněným výstupům </w:t>
      </w:r>
      <w:r w:rsidR="00434B8B" w:rsidRPr="00025F16">
        <w:rPr>
          <w:rFonts w:ascii="Arial" w:hAnsi="Arial" w:cs="Arial"/>
          <w:b/>
          <w:i/>
          <w:sz w:val="20"/>
          <w:szCs w:val="20"/>
        </w:rPr>
        <w:t>z Modulu 1</w:t>
      </w:r>
      <w:r w:rsidRPr="00025F16">
        <w:rPr>
          <w:rFonts w:ascii="Arial" w:hAnsi="Arial" w:cs="Arial"/>
          <w:b/>
          <w:i/>
          <w:sz w:val="20"/>
          <w:szCs w:val="20"/>
        </w:rPr>
        <w:t xml:space="preserve"> budou kompletovány k rozhodnému datu (14 dnů od</w:t>
      </w:r>
      <w:r w:rsidR="00527167">
        <w:rPr>
          <w:rFonts w:ascii="Arial" w:hAnsi="Arial" w:cs="Arial"/>
          <w:b/>
          <w:i/>
          <w:sz w:val="20"/>
          <w:szCs w:val="20"/>
        </w:rPr>
        <w:t> </w:t>
      </w:r>
      <w:r w:rsidRPr="00025F16">
        <w:rPr>
          <w:rFonts w:ascii="Arial" w:hAnsi="Arial" w:cs="Arial"/>
          <w:b/>
          <w:i/>
          <w:sz w:val="20"/>
          <w:szCs w:val="20"/>
        </w:rPr>
        <w:t>zpřístupnění veřejnosti) a následně předány k</w:t>
      </w:r>
      <w:r w:rsidR="00434B8B" w:rsidRPr="00025F16">
        <w:rPr>
          <w:rFonts w:ascii="Arial" w:hAnsi="Arial" w:cs="Arial"/>
          <w:b/>
          <w:i/>
          <w:sz w:val="20"/>
          <w:szCs w:val="20"/>
        </w:rPr>
        <w:t> </w:t>
      </w:r>
      <w:r w:rsidRPr="00025F16">
        <w:rPr>
          <w:rFonts w:ascii="Arial" w:hAnsi="Arial" w:cs="Arial"/>
          <w:b/>
          <w:i/>
          <w:sz w:val="20"/>
          <w:szCs w:val="20"/>
        </w:rPr>
        <w:t>vyjádření předsedům Odborných panelů, resp.</w:t>
      </w:r>
      <w:r w:rsidR="00527167">
        <w:rPr>
          <w:rFonts w:ascii="Arial" w:hAnsi="Arial" w:cs="Arial"/>
          <w:b/>
          <w:i/>
          <w:sz w:val="20"/>
          <w:szCs w:val="20"/>
        </w:rPr>
        <w:t> </w:t>
      </w:r>
      <w:r w:rsidRPr="00025F16">
        <w:rPr>
          <w:rFonts w:ascii="Arial" w:hAnsi="Arial" w:cs="Arial"/>
          <w:b/>
          <w:i/>
          <w:sz w:val="20"/>
          <w:szCs w:val="20"/>
        </w:rPr>
        <w:t>garantům hodnocení vybraných výsledků a</w:t>
      </w:r>
      <w:r w:rsidR="00434B8B" w:rsidRPr="00025F16">
        <w:rPr>
          <w:rFonts w:ascii="Arial" w:hAnsi="Arial" w:cs="Arial"/>
          <w:b/>
          <w:i/>
          <w:sz w:val="20"/>
          <w:szCs w:val="20"/>
        </w:rPr>
        <w:t> </w:t>
      </w:r>
      <w:r w:rsidRPr="00025F16">
        <w:rPr>
          <w:rFonts w:ascii="Arial" w:hAnsi="Arial" w:cs="Arial"/>
          <w:b/>
          <w:i/>
          <w:sz w:val="20"/>
          <w:szCs w:val="20"/>
        </w:rPr>
        <w:t>následně postoupeny KHV a její pracovní skupině k projednání</w:t>
      </w:r>
      <w:r w:rsidRPr="00025F16">
        <w:rPr>
          <w:rFonts w:ascii="Arial" w:hAnsi="Arial" w:cs="Arial"/>
          <w:b/>
          <w:sz w:val="20"/>
          <w:szCs w:val="20"/>
        </w:rPr>
        <w:t>.</w:t>
      </w:r>
      <w:r w:rsidR="00025F16" w:rsidRPr="00025F16">
        <w:rPr>
          <w:rFonts w:ascii="Arial" w:hAnsi="Arial" w:cs="Arial"/>
          <w:b/>
          <w:sz w:val="20"/>
          <w:szCs w:val="20"/>
        </w:rPr>
        <w:t>“</w:t>
      </w:r>
    </w:p>
    <w:p w14:paraId="6590AD99" w14:textId="12720AED" w:rsidR="00434B8B" w:rsidRPr="00CA7D5A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025F16">
        <w:rPr>
          <w:rFonts w:ascii="Arial" w:hAnsi="Arial" w:cs="Arial"/>
          <w:sz w:val="20"/>
          <w:szCs w:val="20"/>
        </w:rPr>
        <w:t xml:space="preserve">Podněty zaslané výzkumnými organizacemi byly shromážděny </w:t>
      </w:r>
      <w:r w:rsidR="00434B8B" w:rsidRPr="00025F16">
        <w:rPr>
          <w:rFonts w:ascii="Arial" w:hAnsi="Arial" w:cs="Arial"/>
          <w:sz w:val="20"/>
          <w:szCs w:val="20"/>
        </w:rPr>
        <w:t xml:space="preserve">a evidovány </w:t>
      </w:r>
      <w:r w:rsidRPr="00025F16">
        <w:rPr>
          <w:rFonts w:ascii="Arial" w:hAnsi="Arial" w:cs="Arial"/>
          <w:sz w:val="20"/>
          <w:szCs w:val="20"/>
        </w:rPr>
        <w:t>Odborem Rady pro výzkum, vývoj a inovace</w:t>
      </w:r>
      <w:r w:rsidR="00434B8B" w:rsidRPr="00025F16">
        <w:rPr>
          <w:rFonts w:ascii="Arial" w:hAnsi="Arial" w:cs="Arial"/>
          <w:sz w:val="20"/>
          <w:szCs w:val="20"/>
        </w:rPr>
        <w:t>. P</w:t>
      </w:r>
      <w:r w:rsidRPr="00025F16">
        <w:rPr>
          <w:rFonts w:ascii="Arial" w:hAnsi="Arial" w:cs="Arial"/>
          <w:sz w:val="20"/>
          <w:szCs w:val="20"/>
        </w:rPr>
        <w:t xml:space="preserve">o </w:t>
      </w:r>
      <w:r w:rsidR="00434B8B" w:rsidRPr="00025F16">
        <w:rPr>
          <w:rFonts w:ascii="Arial" w:hAnsi="Arial" w:cs="Arial"/>
          <w:sz w:val="20"/>
          <w:szCs w:val="20"/>
        </w:rPr>
        <w:t xml:space="preserve">uplynutí lhůty </w:t>
      </w:r>
      <w:r w:rsidR="001105B5">
        <w:rPr>
          <w:rFonts w:ascii="Arial" w:hAnsi="Arial" w:cs="Arial"/>
          <w:sz w:val="20"/>
          <w:szCs w:val="20"/>
        </w:rPr>
        <w:t xml:space="preserve">byly </w:t>
      </w:r>
      <w:r w:rsidRPr="00025F16">
        <w:rPr>
          <w:rFonts w:ascii="Arial" w:hAnsi="Arial" w:cs="Arial"/>
          <w:sz w:val="20"/>
          <w:szCs w:val="20"/>
        </w:rPr>
        <w:t>zaslány příslušným předsedům Odborných panelů (doc.</w:t>
      </w:r>
      <w:r w:rsidR="00F97255">
        <w:rPr>
          <w:rFonts w:ascii="Arial" w:hAnsi="Arial" w:cs="Arial"/>
          <w:sz w:val="20"/>
          <w:szCs w:val="20"/>
        </w:rPr>
        <w:t> </w:t>
      </w:r>
      <w:proofErr w:type="spellStart"/>
      <w:r w:rsidRPr="00025F16">
        <w:rPr>
          <w:rFonts w:ascii="Arial" w:hAnsi="Arial" w:cs="Arial"/>
          <w:sz w:val="20"/>
          <w:szCs w:val="20"/>
        </w:rPr>
        <w:t>Kozubek</w:t>
      </w:r>
      <w:proofErr w:type="spellEnd"/>
      <w:r w:rsidRPr="00025F16">
        <w:rPr>
          <w:rFonts w:ascii="Arial" w:hAnsi="Arial" w:cs="Arial"/>
          <w:sz w:val="20"/>
          <w:szCs w:val="20"/>
        </w:rPr>
        <w:t>, prof. Šebek, prof. Vorel)</w:t>
      </w:r>
      <w:r w:rsidR="00434B8B" w:rsidRPr="00025F16">
        <w:rPr>
          <w:rFonts w:ascii="Arial" w:hAnsi="Arial" w:cs="Arial"/>
          <w:sz w:val="20"/>
          <w:szCs w:val="20"/>
        </w:rPr>
        <w:t>, kteří ve spolupráci s garanty hodnocení vybraných výsledků příslušných oborů zpracovali</w:t>
      </w:r>
      <w:r w:rsidRPr="00025F16">
        <w:rPr>
          <w:rFonts w:ascii="Arial" w:hAnsi="Arial" w:cs="Arial"/>
          <w:sz w:val="20"/>
          <w:szCs w:val="20"/>
        </w:rPr>
        <w:t xml:space="preserve"> </w:t>
      </w:r>
      <w:r w:rsidR="001105B5">
        <w:rPr>
          <w:rFonts w:ascii="Arial" w:hAnsi="Arial" w:cs="Arial"/>
          <w:sz w:val="20"/>
          <w:szCs w:val="20"/>
        </w:rPr>
        <w:t xml:space="preserve">k jednotlivým </w:t>
      </w:r>
      <w:r w:rsidR="00527167">
        <w:rPr>
          <w:rFonts w:ascii="Arial" w:hAnsi="Arial" w:cs="Arial"/>
          <w:sz w:val="20"/>
          <w:szCs w:val="20"/>
        </w:rPr>
        <w:t xml:space="preserve">námitkám </w:t>
      </w:r>
      <w:r w:rsidR="00434B8B" w:rsidRPr="00025F16">
        <w:rPr>
          <w:rFonts w:ascii="Arial" w:hAnsi="Arial" w:cs="Arial"/>
          <w:sz w:val="20"/>
          <w:szCs w:val="20"/>
        </w:rPr>
        <w:t>vyjádření Odborného panelu. Tato vyjádření byl</w:t>
      </w:r>
      <w:r w:rsidRPr="00025F16">
        <w:rPr>
          <w:rFonts w:ascii="Arial" w:hAnsi="Arial" w:cs="Arial"/>
          <w:sz w:val="20"/>
          <w:szCs w:val="20"/>
        </w:rPr>
        <w:t xml:space="preserve">a </w:t>
      </w:r>
      <w:r w:rsidRPr="00CA7D5A">
        <w:rPr>
          <w:rFonts w:ascii="Arial" w:hAnsi="Arial" w:cs="Arial"/>
          <w:sz w:val="20"/>
          <w:szCs w:val="20"/>
        </w:rPr>
        <w:t>projednán</w:t>
      </w:r>
      <w:r w:rsidR="00434B8B" w:rsidRPr="00CA7D5A">
        <w:rPr>
          <w:rFonts w:ascii="Arial" w:hAnsi="Arial" w:cs="Arial"/>
          <w:sz w:val="20"/>
          <w:szCs w:val="20"/>
        </w:rPr>
        <w:t>a</w:t>
      </w:r>
      <w:r w:rsidRPr="00CA7D5A">
        <w:rPr>
          <w:rFonts w:ascii="Arial" w:hAnsi="Arial" w:cs="Arial"/>
          <w:sz w:val="20"/>
          <w:szCs w:val="20"/>
        </w:rPr>
        <w:t xml:space="preserve"> na 128. jednání KHV dne 9.</w:t>
      </w:r>
      <w:r w:rsidR="00434B8B" w:rsidRPr="00CA7D5A">
        <w:rPr>
          <w:rFonts w:ascii="Arial" w:hAnsi="Arial" w:cs="Arial"/>
          <w:sz w:val="20"/>
          <w:szCs w:val="20"/>
        </w:rPr>
        <w:t> </w:t>
      </w:r>
      <w:r w:rsidRPr="00CA7D5A">
        <w:rPr>
          <w:rFonts w:ascii="Arial" w:hAnsi="Arial" w:cs="Arial"/>
          <w:sz w:val="20"/>
          <w:szCs w:val="20"/>
        </w:rPr>
        <w:t>listopadu 2020</w:t>
      </w:r>
      <w:r w:rsidRPr="00025F16">
        <w:rPr>
          <w:rFonts w:ascii="Arial" w:hAnsi="Arial" w:cs="Arial"/>
          <w:sz w:val="20"/>
          <w:szCs w:val="20"/>
        </w:rPr>
        <w:t xml:space="preserve">. </w:t>
      </w:r>
      <w:r w:rsidR="00434B8B" w:rsidRPr="00CA7D5A">
        <w:rPr>
          <w:rFonts w:ascii="Arial" w:hAnsi="Arial" w:cs="Arial"/>
          <w:b/>
          <w:sz w:val="20"/>
          <w:szCs w:val="20"/>
        </w:rPr>
        <w:t>Výjimku tvoří</w:t>
      </w:r>
      <w:r w:rsidR="00CE18DC" w:rsidRPr="00CA7D5A">
        <w:rPr>
          <w:rFonts w:ascii="Arial" w:hAnsi="Arial" w:cs="Arial"/>
          <w:b/>
          <w:sz w:val="20"/>
          <w:szCs w:val="20"/>
        </w:rPr>
        <w:t xml:space="preserve"> </w:t>
      </w:r>
      <w:r w:rsidR="00CE18DC">
        <w:rPr>
          <w:rFonts w:ascii="Arial" w:hAnsi="Arial" w:cs="Arial"/>
          <w:b/>
          <w:sz w:val="20"/>
          <w:szCs w:val="20"/>
        </w:rPr>
        <w:t>námitky</w:t>
      </w:r>
      <w:r w:rsidR="00434B8B" w:rsidRPr="00CA7D5A">
        <w:rPr>
          <w:rFonts w:ascii="Arial" w:hAnsi="Arial" w:cs="Arial"/>
          <w:b/>
          <w:sz w:val="20"/>
          <w:szCs w:val="20"/>
        </w:rPr>
        <w:t xml:space="preserve"> zaslané po termínu</w:t>
      </w:r>
      <w:r w:rsidR="00025F16" w:rsidRPr="00CA7D5A">
        <w:rPr>
          <w:rFonts w:ascii="Arial" w:hAnsi="Arial" w:cs="Arial"/>
          <w:b/>
          <w:sz w:val="20"/>
          <w:szCs w:val="20"/>
        </w:rPr>
        <w:t xml:space="preserve"> (UFE AV ČR)</w:t>
      </w:r>
      <w:r w:rsidR="00434B8B" w:rsidRPr="00CA7D5A">
        <w:rPr>
          <w:rFonts w:ascii="Arial" w:hAnsi="Arial" w:cs="Arial"/>
          <w:b/>
          <w:sz w:val="20"/>
          <w:szCs w:val="20"/>
        </w:rPr>
        <w:t xml:space="preserve">, které budou </w:t>
      </w:r>
      <w:r w:rsidR="001105B5" w:rsidRPr="00CA7D5A">
        <w:rPr>
          <w:rFonts w:ascii="Arial" w:hAnsi="Arial" w:cs="Arial"/>
          <w:b/>
          <w:sz w:val="20"/>
          <w:szCs w:val="20"/>
        </w:rPr>
        <w:t xml:space="preserve">na základě rozhodnutí KHV </w:t>
      </w:r>
      <w:r w:rsidR="00434B8B" w:rsidRPr="00CA7D5A">
        <w:rPr>
          <w:rFonts w:ascii="Arial" w:hAnsi="Arial" w:cs="Arial"/>
          <w:b/>
          <w:sz w:val="20"/>
          <w:szCs w:val="20"/>
        </w:rPr>
        <w:t>projednány</w:t>
      </w:r>
      <w:r w:rsidR="00CA7D5A">
        <w:rPr>
          <w:rFonts w:ascii="Arial" w:hAnsi="Arial" w:cs="Arial"/>
          <w:b/>
          <w:sz w:val="20"/>
          <w:szCs w:val="20"/>
        </w:rPr>
        <w:t xml:space="preserve"> a vypořádány</w:t>
      </w:r>
      <w:r w:rsidR="00434B8B" w:rsidRPr="00CA7D5A">
        <w:rPr>
          <w:rFonts w:ascii="Arial" w:hAnsi="Arial" w:cs="Arial"/>
          <w:b/>
          <w:sz w:val="20"/>
          <w:szCs w:val="20"/>
        </w:rPr>
        <w:t xml:space="preserve"> dodatečně</w:t>
      </w:r>
      <w:r w:rsidR="00434B8B" w:rsidRPr="00CA7D5A">
        <w:rPr>
          <w:rFonts w:ascii="Arial" w:hAnsi="Arial" w:cs="Arial"/>
          <w:sz w:val="20"/>
          <w:szCs w:val="20"/>
        </w:rPr>
        <w:t>.</w:t>
      </w:r>
    </w:p>
    <w:p w14:paraId="7A60C056" w14:textId="5B1FE11F" w:rsidR="00025F16" w:rsidRPr="00CA7D5A" w:rsidRDefault="008226D2">
      <w:pPr>
        <w:rPr>
          <w:rFonts w:ascii="Arial" w:hAnsi="Arial" w:cs="Arial"/>
          <w:b/>
        </w:rPr>
      </w:pPr>
      <w:r w:rsidRPr="00CA7D5A">
        <w:rPr>
          <w:rFonts w:ascii="Arial" w:hAnsi="Arial" w:cs="Arial"/>
          <w:b/>
        </w:rPr>
        <w:t xml:space="preserve">ZASLANÉ </w:t>
      </w:r>
      <w:r w:rsidR="00CE18DC">
        <w:rPr>
          <w:rFonts w:ascii="Arial" w:hAnsi="Arial" w:cs="Arial"/>
          <w:b/>
        </w:rPr>
        <w:t>NÁMITKY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1450"/>
        <w:gridCol w:w="2940"/>
        <w:gridCol w:w="1120"/>
        <w:gridCol w:w="1289"/>
        <w:gridCol w:w="2694"/>
      </w:tblGrid>
      <w:tr w:rsidR="009B6A90" w:rsidRPr="009B6A90" w14:paraId="5D904489" w14:textId="77777777" w:rsidTr="007670F3">
        <w:trPr>
          <w:trHeight w:val="290"/>
        </w:trPr>
        <w:tc>
          <w:tcPr>
            <w:tcW w:w="1450" w:type="dxa"/>
            <w:noWrap/>
            <w:hideMark/>
          </w:tcPr>
          <w:p w14:paraId="6CBFA9D0" w14:textId="77777777" w:rsidR="009B6A90" w:rsidRPr="009B6A90" w:rsidRDefault="009B6A90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6A90">
              <w:rPr>
                <w:rFonts w:ascii="Arial" w:hAnsi="Arial" w:cs="Arial"/>
                <w:b/>
                <w:sz w:val="20"/>
                <w:szCs w:val="20"/>
              </w:rPr>
              <w:t>Poskytovatel</w:t>
            </w:r>
          </w:p>
        </w:tc>
        <w:tc>
          <w:tcPr>
            <w:tcW w:w="2940" w:type="dxa"/>
            <w:noWrap/>
            <w:hideMark/>
          </w:tcPr>
          <w:p w14:paraId="0FE27319" w14:textId="77777777" w:rsidR="009B6A90" w:rsidRPr="009B6A90" w:rsidRDefault="009B6A90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6A90">
              <w:rPr>
                <w:rFonts w:ascii="Arial" w:hAnsi="Arial" w:cs="Arial"/>
                <w:b/>
                <w:sz w:val="20"/>
                <w:szCs w:val="20"/>
              </w:rPr>
              <w:t>Výzkumná organizace</w:t>
            </w:r>
          </w:p>
        </w:tc>
        <w:tc>
          <w:tcPr>
            <w:tcW w:w="1120" w:type="dxa"/>
            <w:noWrap/>
            <w:hideMark/>
          </w:tcPr>
          <w:p w14:paraId="7D663429" w14:textId="77777777" w:rsidR="009B6A90" w:rsidRPr="007670F3" w:rsidRDefault="009B6A90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Počet stížností</w:t>
            </w:r>
          </w:p>
        </w:tc>
        <w:tc>
          <w:tcPr>
            <w:tcW w:w="1289" w:type="dxa"/>
            <w:noWrap/>
            <w:hideMark/>
          </w:tcPr>
          <w:p w14:paraId="54EBFDEE" w14:textId="77777777" w:rsidR="009B6A90" w:rsidRPr="009B6A90" w:rsidRDefault="009B6A90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6A90">
              <w:rPr>
                <w:rFonts w:ascii="Arial" w:hAnsi="Arial" w:cs="Arial"/>
                <w:b/>
                <w:sz w:val="20"/>
                <w:szCs w:val="20"/>
              </w:rPr>
              <w:t xml:space="preserve">OP </w:t>
            </w:r>
          </w:p>
        </w:tc>
        <w:tc>
          <w:tcPr>
            <w:tcW w:w="2694" w:type="dxa"/>
            <w:noWrap/>
            <w:hideMark/>
          </w:tcPr>
          <w:p w14:paraId="7C79892B" w14:textId="77777777" w:rsidR="009B6A90" w:rsidRPr="009B6A90" w:rsidRDefault="009B6A90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B6A90">
              <w:rPr>
                <w:rFonts w:ascii="Arial" w:hAnsi="Arial" w:cs="Arial"/>
                <w:b/>
                <w:sz w:val="20"/>
                <w:szCs w:val="20"/>
              </w:rPr>
              <w:t>Pozn.</w:t>
            </w:r>
          </w:p>
        </w:tc>
      </w:tr>
      <w:tr w:rsidR="00586CED" w:rsidRPr="009B6A90" w14:paraId="6625B15C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  <w:hideMark/>
          </w:tcPr>
          <w:p w14:paraId="02A216D0" w14:textId="77777777" w:rsidR="009B6A90" w:rsidRPr="007670F3" w:rsidRDefault="009B6A90" w:rsidP="009B6A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  <w:hideMark/>
          </w:tcPr>
          <w:p w14:paraId="1F51D147" w14:textId="77777777" w:rsidR="009B6A90" w:rsidRPr="007670F3" w:rsidRDefault="009B6A90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Centrum výzkumu Řež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  <w:hideMark/>
          </w:tcPr>
          <w:p w14:paraId="20D64E9D" w14:textId="77777777" w:rsidR="009B6A90" w:rsidRPr="007670F3" w:rsidRDefault="007670F3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  <w:hideMark/>
          </w:tcPr>
          <w:p w14:paraId="5892A1E5" w14:textId="77777777" w:rsidR="009B6A90" w:rsidRPr="009B6A90" w:rsidRDefault="007670F3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  <w:hideMark/>
          </w:tcPr>
          <w:p w14:paraId="0C59A543" w14:textId="77777777" w:rsidR="009B6A90" w:rsidRPr="009B6A90" w:rsidRDefault="009B6A90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90549" w:rsidRPr="009B6A90" w14:paraId="0627BB31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</w:tcPr>
          <w:p w14:paraId="46A4E834" w14:textId="79F4B2A9" w:rsidR="00D90549" w:rsidRPr="007670F3" w:rsidRDefault="00D90549" w:rsidP="009B6A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</w:tcPr>
          <w:p w14:paraId="3F6CDC3F" w14:textId="646B8FB0" w:rsidR="00D90549" w:rsidRPr="007670F3" w:rsidRDefault="00D90549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COMTES FTH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</w:tcPr>
          <w:p w14:paraId="4E4A300E" w14:textId="0D744B0D" w:rsidR="00D90549" w:rsidRPr="007670F3" w:rsidRDefault="00D90549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</w:tcPr>
          <w:p w14:paraId="0F227AC1" w14:textId="4CE12567" w:rsidR="00D90549" w:rsidRDefault="00D90549" w:rsidP="009B6A9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</w:tcPr>
          <w:p w14:paraId="38CC06A5" w14:textId="602C8C44" w:rsidR="00D90549" w:rsidRPr="00D90549" w:rsidRDefault="00D90549" w:rsidP="009B6A9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549">
              <w:rPr>
                <w:rFonts w:ascii="Arial" w:hAnsi="Arial" w:cs="Arial"/>
                <w:sz w:val="20"/>
                <w:szCs w:val="20"/>
              </w:rPr>
              <w:t>8 stížností na H18</w:t>
            </w:r>
          </w:p>
        </w:tc>
      </w:tr>
      <w:tr w:rsidR="00586CED" w:rsidRPr="009B6A90" w14:paraId="7AE16FE7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  <w:hideMark/>
          </w:tcPr>
          <w:p w14:paraId="4F121533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  <w:hideMark/>
          </w:tcPr>
          <w:p w14:paraId="03C42C42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Materiálový a metalurgický výzkum, s.r.o.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  <w:hideMark/>
          </w:tcPr>
          <w:p w14:paraId="17E29494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  <w:hideMark/>
          </w:tcPr>
          <w:p w14:paraId="6A6AB8DF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  <w:hideMark/>
          </w:tcPr>
          <w:p w14:paraId="1B432B51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6CED" w:rsidRPr="009B6A90" w14:paraId="476BDE2F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  <w:hideMark/>
          </w:tcPr>
          <w:p w14:paraId="358EFAF0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  <w:hideMark/>
          </w:tcPr>
          <w:p w14:paraId="493D9324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670F3">
              <w:rPr>
                <w:rFonts w:ascii="Arial" w:hAnsi="Arial" w:cs="Arial"/>
                <w:b/>
                <w:sz w:val="20"/>
                <w:szCs w:val="20"/>
              </w:rPr>
              <w:t>MemBrain</w:t>
            </w:r>
            <w:proofErr w:type="spellEnd"/>
            <w:r w:rsidRPr="007670F3">
              <w:rPr>
                <w:rFonts w:ascii="Arial" w:hAnsi="Arial" w:cs="Arial"/>
                <w:b/>
                <w:sz w:val="20"/>
                <w:szCs w:val="20"/>
              </w:rPr>
              <w:t xml:space="preserve"> s.r.o.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  <w:hideMark/>
          </w:tcPr>
          <w:p w14:paraId="5A42B0A1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color w:val="FF0000"/>
                <w:sz w:val="20"/>
                <w:szCs w:val="20"/>
              </w:rPr>
              <w:t>10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  <w:hideMark/>
          </w:tcPr>
          <w:p w14:paraId="4B7F078D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  <w:hideMark/>
          </w:tcPr>
          <w:p w14:paraId="635177C0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024419" w:rsidRPr="009B6A90" w14:paraId="3F4D1868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</w:tcPr>
          <w:p w14:paraId="10379E53" w14:textId="77777777" w:rsidR="00024419" w:rsidRPr="007670F3" w:rsidRDefault="00024419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</w:tcPr>
          <w:p w14:paraId="40C1832F" w14:textId="77777777" w:rsidR="00024419" w:rsidRPr="007670F3" w:rsidRDefault="00024419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SVÚOM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</w:tcPr>
          <w:p w14:paraId="5AD28248" w14:textId="77777777" w:rsidR="00024419" w:rsidRPr="007670F3" w:rsidRDefault="00024419" w:rsidP="007670F3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02441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</w:tcPr>
          <w:p w14:paraId="58DCE6B0" w14:textId="77777777" w:rsidR="00024419" w:rsidRDefault="00024419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OP2, OP1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</w:tcPr>
          <w:p w14:paraId="2D8AC24F" w14:textId="77777777" w:rsidR="00024419" w:rsidRPr="009B6A90" w:rsidRDefault="00024419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 </w:t>
            </w:r>
            <w:r w:rsidRPr="007670F3">
              <w:rPr>
                <w:rFonts w:ascii="Arial" w:hAnsi="Arial" w:cs="Arial"/>
                <w:sz w:val="20"/>
                <w:szCs w:val="20"/>
              </w:rPr>
              <w:t>stížnos</w:t>
            </w:r>
            <w:r>
              <w:rPr>
                <w:rFonts w:ascii="Arial" w:hAnsi="Arial" w:cs="Arial"/>
                <w:sz w:val="20"/>
                <w:szCs w:val="20"/>
              </w:rPr>
              <w:t>t na H18</w:t>
            </w:r>
          </w:p>
        </w:tc>
      </w:tr>
      <w:tr w:rsidR="00586CED" w:rsidRPr="009B6A90" w14:paraId="4500AA58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  <w:hideMark/>
          </w:tcPr>
          <w:p w14:paraId="0BAE211B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  <w:hideMark/>
          </w:tcPr>
          <w:p w14:paraId="3238BBB0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SVÚM a.s.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  <w:hideMark/>
          </w:tcPr>
          <w:p w14:paraId="45850F3A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  <w:hideMark/>
          </w:tcPr>
          <w:p w14:paraId="1CA5F811" w14:textId="77777777" w:rsidR="007670F3" w:rsidRPr="009B6A90" w:rsidRDefault="00586CED" w:rsidP="00DA5D9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OP1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  <w:hideMark/>
          </w:tcPr>
          <w:p w14:paraId="262A6F68" w14:textId="77777777" w:rsidR="007670F3" w:rsidRPr="009B6A90" w:rsidRDefault="007670F3" w:rsidP="008436B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6CED" w:rsidRPr="009B6A90" w14:paraId="1161E7AD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  <w:hideMark/>
          </w:tcPr>
          <w:p w14:paraId="4593C956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  <w:hideMark/>
          </w:tcPr>
          <w:p w14:paraId="519FBA23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VÚTS, a.s.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  <w:hideMark/>
          </w:tcPr>
          <w:p w14:paraId="77B4BF02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color w:val="FF0000"/>
                <w:sz w:val="20"/>
                <w:szCs w:val="20"/>
              </w:rPr>
              <w:t>16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  <w:hideMark/>
          </w:tcPr>
          <w:p w14:paraId="6C1097F3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  <w:hideMark/>
          </w:tcPr>
          <w:p w14:paraId="53A23897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6CED" w:rsidRPr="009B6A90" w14:paraId="385020F8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  <w:hideMark/>
          </w:tcPr>
          <w:p w14:paraId="7401A41F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  <w:hideMark/>
          </w:tcPr>
          <w:p w14:paraId="7E023604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Výzkumný ústav stavebních hmot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  <w:hideMark/>
          </w:tcPr>
          <w:p w14:paraId="35DF21ED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  <w:hideMark/>
          </w:tcPr>
          <w:p w14:paraId="4C255F48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  <w:hideMark/>
          </w:tcPr>
          <w:p w14:paraId="50C5335C" w14:textId="77777777" w:rsidR="007670F3" w:rsidRPr="009B6A90" w:rsidRDefault="007670F3" w:rsidP="00D9054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86CED" w:rsidRPr="009B6A90" w14:paraId="0C0BD5D8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  <w:hideMark/>
          </w:tcPr>
          <w:p w14:paraId="750DAE0C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  <w:hideMark/>
          </w:tcPr>
          <w:p w14:paraId="28DAE80A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Výzkumný a zkušební letecký ústav, a.s.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  <w:hideMark/>
          </w:tcPr>
          <w:p w14:paraId="71048DD7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color w:val="FF0000"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  <w:hideMark/>
          </w:tcPr>
          <w:p w14:paraId="56C25283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  <w:hideMark/>
          </w:tcPr>
          <w:p w14:paraId="77E44A85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6CED" w:rsidRPr="009B6A90" w14:paraId="770D4603" w14:textId="77777777" w:rsidTr="00586CED">
        <w:trPr>
          <w:trHeight w:val="290"/>
        </w:trPr>
        <w:tc>
          <w:tcPr>
            <w:tcW w:w="1450" w:type="dxa"/>
            <w:shd w:val="clear" w:color="auto" w:fill="BDD6EE" w:themeFill="accent1" w:themeFillTint="66"/>
            <w:noWrap/>
            <w:hideMark/>
          </w:tcPr>
          <w:p w14:paraId="3D1766F5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MPO</w:t>
            </w:r>
          </w:p>
        </w:tc>
        <w:tc>
          <w:tcPr>
            <w:tcW w:w="2940" w:type="dxa"/>
            <w:shd w:val="clear" w:color="auto" w:fill="BDD6EE" w:themeFill="accent1" w:themeFillTint="66"/>
            <w:noWrap/>
            <w:hideMark/>
          </w:tcPr>
          <w:p w14:paraId="45D59447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Výzkumný a zkušební ústav Plzeň  s.r.o.</w:t>
            </w:r>
          </w:p>
        </w:tc>
        <w:tc>
          <w:tcPr>
            <w:tcW w:w="1120" w:type="dxa"/>
            <w:shd w:val="clear" w:color="auto" w:fill="BDD6EE" w:themeFill="accent1" w:themeFillTint="66"/>
            <w:noWrap/>
            <w:hideMark/>
          </w:tcPr>
          <w:p w14:paraId="2DA64861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1289" w:type="dxa"/>
            <w:shd w:val="clear" w:color="auto" w:fill="BDD6EE" w:themeFill="accent1" w:themeFillTint="66"/>
            <w:noWrap/>
            <w:hideMark/>
          </w:tcPr>
          <w:p w14:paraId="5F3369E2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</w:t>
            </w:r>
          </w:p>
        </w:tc>
        <w:tc>
          <w:tcPr>
            <w:tcW w:w="2694" w:type="dxa"/>
            <w:shd w:val="clear" w:color="auto" w:fill="BDD6EE" w:themeFill="accent1" w:themeFillTint="66"/>
            <w:noWrap/>
            <w:hideMark/>
          </w:tcPr>
          <w:p w14:paraId="5271E93A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6CED" w:rsidRPr="009B6A90" w14:paraId="79C76F9E" w14:textId="77777777" w:rsidTr="00586CED">
        <w:trPr>
          <w:trHeight w:val="290"/>
        </w:trPr>
        <w:tc>
          <w:tcPr>
            <w:tcW w:w="1450" w:type="dxa"/>
            <w:shd w:val="clear" w:color="auto" w:fill="F7CAAC" w:themeFill="accent2" w:themeFillTint="66"/>
            <w:noWrap/>
            <w:hideMark/>
          </w:tcPr>
          <w:p w14:paraId="3CCA498F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MŠMT</w:t>
            </w:r>
          </w:p>
        </w:tc>
        <w:tc>
          <w:tcPr>
            <w:tcW w:w="2940" w:type="dxa"/>
            <w:shd w:val="clear" w:color="auto" w:fill="F7CAAC" w:themeFill="accent2" w:themeFillTint="66"/>
            <w:noWrap/>
            <w:hideMark/>
          </w:tcPr>
          <w:p w14:paraId="3774C033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Ostravská univerzita</w:t>
            </w:r>
          </w:p>
        </w:tc>
        <w:tc>
          <w:tcPr>
            <w:tcW w:w="1120" w:type="dxa"/>
            <w:shd w:val="clear" w:color="auto" w:fill="F7CAAC" w:themeFill="accent2" w:themeFillTint="66"/>
            <w:noWrap/>
            <w:hideMark/>
          </w:tcPr>
          <w:p w14:paraId="14FE48C9" w14:textId="77777777" w:rsidR="007670F3" w:rsidRPr="00586CED" w:rsidRDefault="00586CED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86CE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F7CAAC" w:themeFill="accent2" w:themeFillTint="66"/>
            <w:noWrap/>
            <w:hideMark/>
          </w:tcPr>
          <w:p w14:paraId="7A3AFBD7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OP1</w:t>
            </w:r>
          </w:p>
        </w:tc>
        <w:tc>
          <w:tcPr>
            <w:tcW w:w="2694" w:type="dxa"/>
            <w:shd w:val="clear" w:color="auto" w:fill="F7CAAC" w:themeFill="accent2" w:themeFillTint="66"/>
            <w:noWrap/>
            <w:hideMark/>
          </w:tcPr>
          <w:p w14:paraId="43DC697B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6CED" w:rsidRPr="009B6A90" w14:paraId="4EC05D56" w14:textId="77777777" w:rsidTr="00586CED">
        <w:trPr>
          <w:trHeight w:val="290"/>
        </w:trPr>
        <w:tc>
          <w:tcPr>
            <w:tcW w:w="1450" w:type="dxa"/>
            <w:shd w:val="clear" w:color="auto" w:fill="F7CAAC" w:themeFill="accent2" w:themeFillTint="66"/>
            <w:noWrap/>
            <w:hideMark/>
          </w:tcPr>
          <w:p w14:paraId="7311FBBA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MŠMT</w:t>
            </w:r>
          </w:p>
        </w:tc>
        <w:tc>
          <w:tcPr>
            <w:tcW w:w="2940" w:type="dxa"/>
            <w:shd w:val="clear" w:color="auto" w:fill="F7CAAC" w:themeFill="accent2" w:themeFillTint="66"/>
            <w:noWrap/>
            <w:hideMark/>
          </w:tcPr>
          <w:p w14:paraId="13F30E2D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Univerzita Pardubice</w:t>
            </w:r>
          </w:p>
        </w:tc>
        <w:tc>
          <w:tcPr>
            <w:tcW w:w="1120" w:type="dxa"/>
            <w:shd w:val="clear" w:color="auto" w:fill="F7CAAC" w:themeFill="accent2" w:themeFillTint="66"/>
            <w:noWrap/>
            <w:hideMark/>
          </w:tcPr>
          <w:p w14:paraId="6E7394B5" w14:textId="77777777" w:rsidR="007670F3" w:rsidRPr="00024419" w:rsidRDefault="00586CED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441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F7CAAC" w:themeFill="accent2" w:themeFillTint="66"/>
            <w:noWrap/>
            <w:hideMark/>
          </w:tcPr>
          <w:p w14:paraId="631CE514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OP6</w:t>
            </w:r>
          </w:p>
        </w:tc>
        <w:tc>
          <w:tcPr>
            <w:tcW w:w="2694" w:type="dxa"/>
            <w:shd w:val="clear" w:color="auto" w:fill="F7CAAC" w:themeFill="accent2" w:themeFillTint="66"/>
            <w:noWrap/>
            <w:hideMark/>
          </w:tcPr>
          <w:p w14:paraId="668D1DE2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6CED" w:rsidRPr="009B6A90" w14:paraId="124AAA53" w14:textId="77777777" w:rsidTr="00586CED">
        <w:trPr>
          <w:trHeight w:val="290"/>
        </w:trPr>
        <w:tc>
          <w:tcPr>
            <w:tcW w:w="1450" w:type="dxa"/>
            <w:shd w:val="clear" w:color="auto" w:fill="F7CAAC" w:themeFill="accent2" w:themeFillTint="66"/>
            <w:noWrap/>
            <w:hideMark/>
          </w:tcPr>
          <w:p w14:paraId="44C99E35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MŠMT</w:t>
            </w:r>
          </w:p>
        </w:tc>
        <w:tc>
          <w:tcPr>
            <w:tcW w:w="2940" w:type="dxa"/>
            <w:shd w:val="clear" w:color="auto" w:fill="F7CAAC" w:themeFill="accent2" w:themeFillTint="66"/>
            <w:noWrap/>
            <w:hideMark/>
          </w:tcPr>
          <w:p w14:paraId="05C73BA9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VUT</w:t>
            </w:r>
          </w:p>
        </w:tc>
        <w:tc>
          <w:tcPr>
            <w:tcW w:w="1120" w:type="dxa"/>
            <w:shd w:val="clear" w:color="auto" w:fill="F7CAAC" w:themeFill="accent2" w:themeFillTint="66"/>
            <w:noWrap/>
            <w:hideMark/>
          </w:tcPr>
          <w:p w14:paraId="47488528" w14:textId="77777777" w:rsidR="007670F3" w:rsidRPr="00024419" w:rsidRDefault="00024419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4419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289" w:type="dxa"/>
            <w:shd w:val="clear" w:color="auto" w:fill="F7CAAC" w:themeFill="accent2" w:themeFillTint="66"/>
            <w:noWrap/>
            <w:hideMark/>
          </w:tcPr>
          <w:p w14:paraId="4429234D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OP2</w:t>
            </w:r>
          </w:p>
        </w:tc>
        <w:tc>
          <w:tcPr>
            <w:tcW w:w="2694" w:type="dxa"/>
            <w:shd w:val="clear" w:color="auto" w:fill="F7CAAC" w:themeFill="accent2" w:themeFillTint="66"/>
            <w:noWrap/>
            <w:hideMark/>
          </w:tcPr>
          <w:p w14:paraId="793C1DA8" w14:textId="77777777" w:rsidR="007670F3" w:rsidRPr="009B6A90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86CED" w:rsidRPr="009B6A90" w14:paraId="36841BFA" w14:textId="77777777" w:rsidTr="00586CED">
        <w:trPr>
          <w:trHeight w:val="290"/>
        </w:trPr>
        <w:tc>
          <w:tcPr>
            <w:tcW w:w="1450" w:type="dxa"/>
            <w:shd w:val="clear" w:color="auto" w:fill="C5E0B3" w:themeFill="accent6" w:themeFillTint="66"/>
            <w:noWrap/>
            <w:hideMark/>
          </w:tcPr>
          <w:p w14:paraId="5574E208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AV ČR</w:t>
            </w:r>
          </w:p>
        </w:tc>
        <w:tc>
          <w:tcPr>
            <w:tcW w:w="2940" w:type="dxa"/>
            <w:shd w:val="clear" w:color="auto" w:fill="C5E0B3" w:themeFill="accent6" w:themeFillTint="66"/>
            <w:noWrap/>
            <w:hideMark/>
          </w:tcPr>
          <w:p w14:paraId="0010295F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>Ústav dějin umění</w:t>
            </w:r>
          </w:p>
        </w:tc>
        <w:tc>
          <w:tcPr>
            <w:tcW w:w="1120" w:type="dxa"/>
            <w:shd w:val="clear" w:color="auto" w:fill="C5E0B3" w:themeFill="accent6" w:themeFillTint="66"/>
            <w:noWrap/>
            <w:hideMark/>
          </w:tcPr>
          <w:p w14:paraId="070FDA89" w14:textId="77777777" w:rsidR="007670F3" w:rsidRPr="00024419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441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C5E0B3" w:themeFill="accent6" w:themeFillTint="66"/>
            <w:noWrap/>
            <w:hideMark/>
          </w:tcPr>
          <w:p w14:paraId="063F7604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OP6</w:t>
            </w:r>
          </w:p>
        </w:tc>
        <w:tc>
          <w:tcPr>
            <w:tcW w:w="2694" w:type="dxa"/>
            <w:shd w:val="clear" w:color="auto" w:fill="C5E0B3" w:themeFill="accent6" w:themeFillTint="66"/>
            <w:noWrap/>
            <w:hideMark/>
          </w:tcPr>
          <w:p w14:paraId="4B9F3A15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CED" w:rsidRPr="009B6A90" w14:paraId="0A903BAA" w14:textId="77777777" w:rsidTr="00586CED">
        <w:trPr>
          <w:trHeight w:val="290"/>
        </w:trPr>
        <w:tc>
          <w:tcPr>
            <w:tcW w:w="1450" w:type="dxa"/>
            <w:shd w:val="clear" w:color="auto" w:fill="C5E0B3" w:themeFill="accent6" w:themeFillTint="66"/>
            <w:noWrap/>
            <w:hideMark/>
          </w:tcPr>
          <w:p w14:paraId="0532201D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AV ČR</w:t>
            </w:r>
          </w:p>
        </w:tc>
        <w:tc>
          <w:tcPr>
            <w:tcW w:w="2940" w:type="dxa"/>
            <w:shd w:val="clear" w:color="auto" w:fill="C5E0B3" w:themeFill="accent6" w:themeFillTint="66"/>
            <w:noWrap/>
            <w:hideMark/>
          </w:tcPr>
          <w:p w14:paraId="6F06A74A" w14:textId="77777777" w:rsidR="007670F3" w:rsidRPr="007670F3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670F3">
              <w:rPr>
                <w:rFonts w:ascii="Arial" w:hAnsi="Arial" w:cs="Arial"/>
                <w:b/>
                <w:sz w:val="20"/>
                <w:szCs w:val="20"/>
              </w:rPr>
              <w:t xml:space="preserve">Ústav </w:t>
            </w:r>
            <w:proofErr w:type="spellStart"/>
            <w:r w:rsidRPr="007670F3">
              <w:rPr>
                <w:rFonts w:ascii="Arial" w:hAnsi="Arial" w:cs="Arial"/>
                <w:b/>
                <w:sz w:val="20"/>
                <w:szCs w:val="20"/>
              </w:rPr>
              <w:t>fotoniky</w:t>
            </w:r>
            <w:proofErr w:type="spellEnd"/>
            <w:r w:rsidRPr="007670F3">
              <w:rPr>
                <w:rFonts w:ascii="Arial" w:hAnsi="Arial" w:cs="Arial"/>
                <w:b/>
                <w:sz w:val="20"/>
                <w:szCs w:val="20"/>
              </w:rPr>
              <w:t xml:space="preserve"> a elektroniky</w:t>
            </w:r>
          </w:p>
        </w:tc>
        <w:tc>
          <w:tcPr>
            <w:tcW w:w="1120" w:type="dxa"/>
            <w:shd w:val="clear" w:color="auto" w:fill="C5E0B3" w:themeFill="accent6" w:themeFillTint="66"/>
            <w:noWrap/>
            <w:hideMark/>
          </w:tcPr>
          <w:p w14:paraId="6D4CA8E8" w14:textId="77777777" w:rsidR="007670F3" w:rsidRPr="00024419" w:rsidRDefault="007670F3" w:rsidP="007670F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24419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289" w:type="dxa"/>
            <w:shd w:val="clear" w:color="auto" w:fill="C5E0B3" w:themeFill="accent6" w:themeFillTint="66"/>
            <w:noWrap/>
            <w:hideMark/>
          </w:tcPr>
          <w:p w14:paraId="30F8C332" w14:textId="77777777" w:rsidR="007670F3" w:rsidRPr="007670F3" w:rsidRDefault="007670F3" w:rsidP="007670F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>OP1, OP2</w:t>
            </w:r>
          </w:p>
        </w:tc>
        <w:tc>
          <w:tcPr>
            <w:tcW w:w="2694" w:type="dxa"/>
            <w:shd w:val="clear" w:color="auto" w:fill="C5E0B3" w:themeFill="accent6" w:themeFillTint="66"/>
            <w:noWrap/>
            <w:hideMark/>
          </w:tcPr>
          <w:p w14:paraId="526512D4" w14:textId="77777777" w:rsidR="007670F3" w:rsidRPr="007670F3" w:rsidRDefault="007670F3" w:rsidP="008436B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670F3">
              <w:rPr>
                <w:rFonts w:ascii="Arial" w:hAnsi="Arial" w:cs="Arial"/>
                <w:sz w:val="20"/>
                <w:szCs w:val="20"/>
              </w:rPr>
              <w:t xml:space="preserve">po </w:t>
            </w:r>
            <w:proofErr w:type="gramStart"/>
            <w:r w:rsidRPr="007670F3">
              <w:rPr>
                <w:rFonts w:ascii="Arial" w:hAnsi="Arial" w:cs="Arial"/>
                <w:sz w:val="20"/>
                <w:szCs w:val="20"/>
              </w:rPr>
              <w:t>termínu</w:t>
            </w:r>
            <w:r w:rsidR="008436BC">
              <w:rPr>
                <w:rFonts w:ascii="Arial" w:hAnsi="Arial" w:cs="Arial"/>
                <w:sz w:val="20"/>
                <w:szCs w:val="20"/>
              </w:rPr>
              <w:t>,1</w:t>
            </w:r>
            <w:r w:rsidRPr="007670F3">
              <w:rPr>
                <w:rFonts w:ascii="Arial" w:hAnsi="Arial" w:cs="Arial"/>
                <w:sz w:val="20"/>
                <w:szCs w:val="20"/>
              </w:rPr>
              <w:t>stížnos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="008436BC">
              <w:rPr>
                <w:rFonts w:ascii="Arial" w:hAnsi="Arial" w:cs="Arial"/>
                <w:sz w:val="20"/>
                <w:szCs w:val="20"/>
              </w:rPr>
              <w:t>H18</w:t>
            </w:r>
          </w:p>
        </w:tc>
      </w:tr>
    </w:tbl>
    <w:p w14:paraId="5A4DAAC5" w14:textId="77777777" w:rsidR="00434B8B" w:rsidRPr="007670F3" w:rsidRDefault="007670F3" w:rsidP="008226D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 w:rsidRPr="007670F3">
        <w:rPr>
          <w:rFonts w:ascii="Arial" w:hAnsi="Arial" w:cs="Arial"/>
          <w:b/>
          <w:color w:val="FF0000"/>
          <w:sz w:val="18"/>
          <w:szCs w:val="18"/>
        </w:rPr>
        <w:t>Jedná o konkrétní námitky (konkrétní hodnocení konkrétního výsledku) i námitky nekonkrétní</w:t>
      </w:r>
      <w:r w:rsidR="00024419">
        <w:rPr>
          <w:rFonts w:ascii="Arial" w:hAnsi="Arial" w:cs="Arial"/>
          <w:b/>
          <w:color w:val="FF0000"/>
          <w:sz w:val="18"/>
          <w:szCs w:val="18"/>
        </w:rPr>
        <w:t>,</w:t>
      </w:r>
      <w:r w:rsidRPr="007670F3">
        <w:rPr>
          <w:rFonts w:ascii="Arial" w:hAnsi="Arial" w:cs="Arial"/>
          <w:b/>
          <w:color w:val="FF0000"/>
          <w:sz w:val="18"/>
          <w:szCs w:val="18"/>
        </w:rPr>
        <w:t xml:space="preserve"> obecně k metodice hodnocení</w:t>
      </w:r>
      <w:r>
        <w:rPr>
          <w:rFonts w:ascii="Arial" w:hAnsi="Arial" w:cs="Arial"/>
          <w:b/>
          <w:color w:val="FF0000"/>
          <w:sz w:val="18"/>
          <w:szCs w:val="18"/>
        </w:rPr>
        <w:t>.</w:t>
      </w:r>
    </w:p>
    <w:p w14:paraId="709D2260" w14:textId="77777777" w:rsidR="008226D2" w:rsidRPr="00025F16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8436BC">
        <w:rPr>
          <w:rFonts w:ascii="Arial" w:hAnsi="Arial" w:cs="Arial"/>
          <w:sz w:val="20"/>
          <w:szCs w:val="20"/>
          <w:u w:val="single"/>
        </w:rPr>
        <w:t xml:space="preserve">Odborný panel 1. </w:t>
      </w:r>
      <w:r w:rsidRPr="00F97255">
        <w:rPr>
          <w:rFonts w:ascii="Arial" w:hAnsi="Arial" w:cs="Arial"/>
          <w:sz w:val="20"/>
          <w:szCs w:val="20"/>
          <w:u w:val="single"/>
          <w:lang w:val="en-US"/>
        </w:rPr>
        <w:t>Natural Sciences</w:t>
      </w:r>
      <w:r w:rsidRPr="00025F16">
        <w:rPr>
          <w:rFonts w:ascii="Arial" w:hAnsi="Arial" w:cs="Arial"/>
          <w:sz w:val="20"/>
          <w:szCs w:val="20"/>
        </w:rPr>
        <w:t>: 2 výzkumné instituce (Ostravská univerzita, SVÚOM, s.r.o.)</w:t>
      </w:r>
    </w:p>
    <w:p w14:paraId="573CC2C5" w14:textId="3E38D42E" w:rsidR="008226D2" w:rsidRPr="00CC635A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CC635A">
        <w:rPr>
          <w:rFonts w:ascii="Arial" w:hAnsi="Arial" w:cs="Arial"/>
          <w:sz w:val="20"/>
          <w:szCs w:val="20"/>
          <w:u w:val="single"/>
        </w:rPr>
        <w:t xml:space="preserve">Odborný panel 2. </w:t>
      </w:r>
      <w:r w:rsidRPr="00F97255">
        <w:rPr>
          <w:rFonts w:ascii="Arial" w:hAnsi="Arial" w:cs="Arial"/>
          <w:sz w:val="20"/>
          <w:szCs w:val="20"/>
          <w:u w:val="single"/>
          <w:lang w:val="en-US"/>
        </w:rPr>
        <w:t>Engineering and Technology</w:t>
      </w:r>
      <w:r w:rsidR="00D90549">
        <w:rPr>
          <w:rFonts w:ascii="Arial" w:hAnsi="Arial" w:cs="Arial"/>
          <w:sz w:val="20"/>
          <w:szCs w:val="20"/>
        </w:rPr>
        <w:t>: 11</w:t>
      </w:r>
      <w:r w:rsidRPr="00CC635A">
        <w:rPr>
          <w:rFonts w:ascii="Arial" w:hAnsi="Arial" w:cs="Arial"/>
          <w:sz w:val="20"/>
          <w:szCs w:val="20"/>
        </w:rPr>
        <w:t xml:space="preserve"> výzkumných organizací (Centrum výzkumu Řež, </w:t>
      </w:r>
      <w:r w:rsidR="00D90549">
        <w:rPr>
          <w:rFonts w:ascii="Arial" w:hAnsi="Arial" w:cs="Arial"/>
          <w:sz w:val="20"/>
          <w:szCs w:val="20"/>
        </w:rPr>
        <w:t xml:space="preserve">COMTES FTH, </w:t>
      </w:r>
      <w:r w:rsidRPr="00CC635A">
        <w:rPr>
          <w:rFonts w:ascii="Arial" w:hAnsi="Arial" w:cs="Arial"/>
          <w:sz w:val="20"/>
          <w:szCs w:val="20"/>
        </w:rPr>
        <w:t>Materiálový a metalurgický výzkum, s.r.o</w:t>
      </w:r>
      <w:r w:rsidR="00CA7D5A">
        <w:rPr>
          <w:rFonts w:ascii="Arial" w:hAnsi="Arial" w:cs="Arial"/>
          <w:sz w:val="20"/>
          <w:szCs w:val="20"/>
        </w:rPr>
        <w:t>.</w:t>
      </w:r>
      <w:r w:rsidRPr="00CC635A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CC635A">
        <w:rPr>
          <w:rFonts w:ascii="Arial" w:hAnsi="Arial" w:cs="Arial"/>
          <w:sz w:val="20"/>
          <w:szCs w:val="20"/>
        </w:rPr>
        <w:t>MemBrain</w:t>
      </w:r>
      <w:proofErr w:type="spellEnd"/>
      <w:r w:rsidRPr="00CC635A">
        <w:rPr>
          <w:rFonts w:ascii="Arial" w:hAnsi="Arial" w:cs="Arial"/>
          <w:sz w:val="20"/>
          <w:szCs w:val="20"/>
        </w:rPr>
        <w:t xml:space="preserve"> s.r.o</w:t>
      </w:r>
      <w:r w:rsidR="00CA7D5A">
        <w:rPr>
          <w:rFonts w:ascii="Arial" w:hAnsi="Arial" w:cs="Arial"/>
          <w:sz w:val="20"/>
          <w:szCs w:val="20"/>
        </w:rPr>
        <w:t>.</w:t>
      </w:r>
      <w:r w:rsidRPr="00CC635A">
        <w:rPr>
          <w:rFonts w:ascii="Arial" w:hAnsi="Arial" w:cs="Arial"/>
          <w:sz w:val="20"/>
          <w:szCs w:val="20"/>
        </w:rPr>
        <w:t xml:space="preserve">, </w:t>
      </w:r>
      <w:r w:rsidR="00DA5D9B" w:rsidRPr="00CC635A">
        <w:rPr>
          <w:rFonts w:ascii="Arial" w:hAnsi="Arial" w:cs="Arial"/>
          <w:sz w:val="20"/>
          <w:szCs w:val="20"/>
        </w:rPr>
        <w:t>SVÚOM,</w:t>
      </w:r>
      <w:r w:rsidR="00DA5D9B" w:rsidRPr="00527167">
        <w:rPr>
          <w:rFonts w:ascii="Arial" w:hAnsi="Arial" w:cs="Arial"/>
          <w:sz w:val="20"/>
          <w:szCs w:val="20"/>
        </w:rPr>
        <w:t xml:space="preserve"> </w:t>
      </w:r>
      <w:r w:rsidRPr="00527167">
        <w:rPr>
          <w:rFonts w:ascii="Arial" w:hAnsi="Arial" w:cs="Arial"/>
          <w:sz w:val="20"/>
          <w:szCs w:val="20"/>
        </w:rPr>
        <w:t>SVÚM a.s.</w:t>
      </w:r>
      <w:r w:rsidRPr="00CC635A">
        <w:rPr>
          <w:rFonts w:ascii="Arial" w:hAnsi="Arial" w:cs="Arial"/>
          <w:sz w:val="20"/>
          <w:szCs w:val="20"/>
        </w:rPr>
        <w:t xml:space="preserve">, </w:t>
      </w:r>
      <w:r w:rsidR="00DA5D9B" w:rsidRPr="00527167">
        <w:rPr>
          <w:rFonts w:ascii="Arial" w:hAnsi="Arial" w:cs="Arial"/>
          <w:sz w:val="20"/>
          <w:szCs w:val="20"/>
        </w:rPr>
        <w:t>VUT,</w:t>
      </w:r>
      <w:r w:rsidR="00DA5D9B" w:rsidRPr="00CC635A">
        <w:rPr>
          <w:rFonts w:ascii="Arial" w:hAnsi="Arial" w:cs="Arial"/>
          <w:sz w:val="20"/>
          <w:szCs w:val="20"/>
        </w:rPr>
        <w:t xml:space="preserve"> </w:t>
      </w:r>
      <w:r w:rsidRPr="00CC635A">
        <w:rPr>
          <w:rFonts w:ascii="Arial" w:hAnsi="Arial" w:cs="Arial"/>
          <w:sz w:val="20"/>
          <w:szCs w:val="20"/>
        </w:rPr>
        <w:t>VÚTS, a.s., Výzkumný ústav stavebních hmot, Výzkumný a</w:t>
      </w:r>
      <w:r w:rsidR="00D90549">
        <w:rPr>
          <w:rFonts w:ascii="Arial" w:hAnsi="Arial" w:cs="Arial"/>
          <w:sz w:val="20"/>
          <w:szCs w:val="20"/>
        </w:rPr>
        <w:t> </w:t>
      </w:r>
      <w:r w:rsidRPr="00CC635A">
        <w:rPr>
          <w:rFonts w:ascii="Arial" w:hAnsi="Arial" w:cs="Arial"/>
          <w:sz w:val="20"/>
          <w:szCs w:val="20"/>
        </w:rPr>
        <w:t>zkušební letecký ústav, a.s., V</w:t>
      </w:r>
      <w:r w:rsidR="00CA7D5A">
        <w:rPr>
          <w:rFonts w:ascii="Arial" w:hAnsi="Arial" w:cs="Arial"/>
          <w:sz w:val="20"/>
          <w:szCs w:val="20"/>
        </w:rPr>
        <w:t>ýzkumný a</w:t>
      </w:r>
      <w:r w:rsidR="00D90549">
        <w:rPr>
          <w:rFonts w:ascii="Arial" w:hAnsi="Arial" w:cs="Arial"/>
          <w:sz w:val="20"/>
          <w:szCs w:val="20"/>
        </w:rPr>
        <w:t> </w:t>
      </w:r>
      <w:r w:rsidR="00CA7D5A">
        <w:rPr>
          <w:rFonts w:ascii="Arial" w:hAnsi="Arial" w:cs="Arial"/>
          <w:sz w:val="20"/>
          <w:szCs w:val="20"/>
        </w:rPr>
        <w:t xml:space="preserve">zkušební ústav Plzeň </w:t>
      </w:r>
      <w:r w:rsidRPr="00CC635A">
        <w:rPr>
          <w:rFonts w:ascii="Arial" w:hAnsi="Arial" w:cs="Arial"/>
          <w:sz w:val="20"/>
          <w:szCs w:val="20"/>
        </w:rPr>
        <w:t>s.r.o</w:t>
      </w:r>
      <w:r w:rsidR="00DA5D9B" w:rsidRPr="00CC635A">
        <w:rPr>
          <w:rFonts w:ascii="Arial" w:hAnsi="Arial" w:cs="Arial"/>
          <w:sz w:val="20"/>
          <w:szCs w:val="20"/>
        </w:rPr>
        <w:t>.</w:t>
      </w:r>
      <w:r w:rsidRPr="00CC635A">
        <w:rPr>
          <w:rFonts w:ascii="Arial" w:hAnsi="Arial" w:cs="Arial"/>
          <w:sz w:val="20"/>
          <w:szCs w:val="20"/>
        </w:rPr>
        <w:t>)</w:t>
      </w:r>
    </w:p>
    <w:p w14:paraId="5108F02F" w14:textId="77777777" w:rsidR="008226D2" w:rsidRPr="00025F16" w:rsidRDefault="008226D2" w:rsidP="008226D2">
      <w:pPr>
        <w:jc w:val="both"/>
        <w:rPr>
          <w:rFonts w:ascii="Arial" w:hAnsi="Arial" w:cs="Arial"/>
          <w:sz w:val="20"/>
          <w:szCs w:val="20"/>
        </w:rPr>
      </w:pPr>
      <w:r w:rsidRPr="008436BC">
        <w:rPr>
          <w:rFonts w:ascii="Arial" w:hAnsi="Arial" w:cs="Arial"/>
          <w:sz w:val="20"/>
          <w:szCs w:val="20"/>
          <w:u w:val="single"/>
        </w:rPr>
        <w:t xml:space="preserve">Odborný panel 6. </w:t>
      </w:r>
      <w:r w:rsidRPr="00F97255">
        <w:rPr>
          <w:rFonts w:ascii="Arial" w:hAnsi="Arial" w:cs="Arial"/>
          <w:sz w:val="20"/>
          <w:szCs w:val="20"/>
          <w:u w:val="single"/>
          <w:lang w:val="en-US"/>
        </w:rPr>
        <w:t>Humanities and the Arts</w:t>
      </w:r>
      <w:r w:rsidRPr="00025F16">
        <w:rPr>
          <w:rFonts w:ascii="Arial" w:hAnsi="Arial" w:cs="Arial"/>
          <w:sz w:val="20"/>
          <w:szCs w:val="20"/>
        </w:rPr>
        <w:t>: 2 výzkumné instituce (Ústav dějin umění, AV ČR, Univerzita Pardubice)</w:t>
      </w:r>
    </w:p>
    <w:p w14:paraId="2E7EC64B" w14:textId="5C16617E" w:rsidR="004608EB" w:rsidRPr="005D271E" w:rsidRDefault="008226D2" w:rsidP="005D271E">
      <w:pPr>
        <w:jc w:val="both"/>
        <w:rPr>
          <w:rFonts w:ascii="Arial" w:hAnsi="Arial" w:cs="Arial"/>
          <w:sz w:val="20"/>
          <w:szCs w:val="20"/>
        </w:rPr>
      </w:pPr>
      <w:r w:rsidRPr="00025F16">
        <w:rPr>
          <w:rFonts w:ascii="Arial" w:hAnsi="Arial" w:cs="Arial"/>
          <w:sz w:val="20"/>
          <w:szCs w:val="20"/>
        </w:rPr>
        <w:t xml:space="preserve">Vyjádření předsedů Odborných panelů byla </w:t>
      </w:r>
      <w:r w:rsidR="005D271E">
        <w:rPr>
          <w:rFonts w:ascii="Arial" w:hAnsi="Arial" w:cs="Arial"/>
          <w:sz w:val="20"/>
          <w:szCs w:val="20"/>
        </w:rPr>
        <w:t xml:space="preserve">detailně </w:t>
      </w:r>
      <w:r w:rsidRPr="00025F16">
        <w:rPr>
          <w:rFonts w:ascii="Arial" w:hAnsi="Arial" w:cs="Arial"/>
          <w:sz w:val="20"/>
          <w:szCs w:val="20"/>
        </w:rPr>
        <w:t xml:space="preserve">projednána na </w:t>
      </w:r>
      <w:r w:rsidRPr="005D271E">
        <w:rPr>
          <w:rFonts w:ascii="Arial" w:hAnsi="Arial" w:cs="Arial"/>
          <w:b/>
          <w:sz w:val="20"/>
          <w:szCs w:val="20"/>
        </w:rPr>
        <w:t>128. jednání KHV dne 9. listopadu 2020</w:t>
      </w:r>
      <w:r w:rsidRPr="00025F16">
        <w:rPr>
          <w:rFonts w:ascii="Arial" w:hAnsi="Arial" w:cs="Arial"/>
          <w:sz w:val="20"/>
          <w:szCs w:val="20"/>
        </w:rPr>
        <w:t xml:space="preserve">. </w:t>
      </w:r>
      <w:r w:rsidR="00CC635A">
        <w:rPr>
          <w:rFonts w:ascii="Arial" w:hAnsi="Arial" w:cs="Arial"/>
          <w:sz w:val="20"/>
          <w:szCs w:val="20"/>
        </w:rPr>
        <w:t xml:space="preserve">KHV rozhodla, aby </w:t>
      </w:r>
      <w:r w:rsidR="008362E6">
        <w:rPr>
          <w:rFonts w:ascii="Arial" w:hAnsi="Arial" w:cs="Arial"/>
          <w:sz w:val="20"/>
          <w:szCs w:val="20"/>
        </w:rPr>
        <w:t>námitky</w:t>
      </w:r>
      <w:r w:rsidR="008362E6" w:rsidRPr="005D271E">
        <w:rPr>
          <w:rFonts w:ascii="Arial" w:hAnsi="Arial" w:cs="Arial"/>
          <w:sz w:val="20"/>
          <w:szCs w:val="20"/>
        </w:rPr>
        <w:t xml:space="preserve"> a vyjádření OP </w:t>
      </w:r>
      <w:r w:rsidR="008362E6">
        <w:rPr>
          <w:rFonts w:ascii="Arial" w:hAnsi="Arial" w:cs="Arial"/>
          <w:sz w:val="20"/>
          <w:szCs w:val="20"/>
        </w:rPr>
        <w:t xml:space="preserve">byly </w:t>
      </w:r>
      <w:r w:rsidR="00CC635A">
        <w:rPr>
          <w:rFonts w:ascii="Arial" w:hAnsi="Arial" w:cs="Arial"/>
          <w:sz w:val="20"/>
          <w:szCs w:val="20"/>
        </w:rPr>
        <w:t>n</w:t>
      </w:r>
      <w:r w:rsidR="008362E6">
        <w:rPr>
          <w:rFonts w:ascii="Arial" w:hAnsi="Arial" w:cs="Arial"/>
          <w:sz w:val="20"/>
          <w:szCs w:val="20"/>
        </w:rPr>
        <w:t xml:space="preserve">ásledně </w:t>
      </w:r>
      <w:r w:rsidR="00CC635A">
        <w:rPr>
          <w:rFonts w:ascii="Arial" w:hAnsi="Arial" w:cs="Arial"/>
          <w:sz w:val="20"/>
          <w:szCs w:val="20"/>
        </w:rPr>
        <w:t>v předložené podobě poskytnuty</w:t>
      </w:r>
      <w:r w:rsidR="00CC635A" w:rsidRPr="005D271E">
        <w:rPr>
          <w:rFonts w:ascii="Arial" w:hAnsi="Arial" w:cs="Arial"/>
          <w:sz w:val="20"/>
          <w:szCs w:val="20"/>
        </w:rPr>
        <w:t xml:space="preserve"> </w:t>
      </w:r>
      <w:r w:rsidR="008362E6">
        <w:rPr>
          <w:rFonts w:ascii="Arial" w:hAnsi="Arial" w:cs="Arial"/>
          <w:sz w:val="20"/>
          <w:szCs w:val="20"/>
        </w:rPr>
        <w:t>členům Rady</w:t>
      </w:r>
      <w:r w:rsidR="00DA5D9B" w:rsidRPr="005D271E">
        <w:rPr>
          <w:rFonts w:ascii="Arial" w:hAnsi="Arial" w:cs="Arial"/>
          <w:sz w:val="20"/>
          <w:szCs w:val="20"/>
        </w:rPr>
        <w:t xml:space="preserve"> a </w:t>
      </w:r>
      <w:r w:rsidRPr="005D271E">
        <w:rPr>
          <w:rFonts w:ascii="Arial" w:hAnsi="Arial" w:cs="Arial"/>
          <w:sz w:val="20"/>
          <w:szCs w:val="20"/>
        </w:rPr>
        <w:t>PS</w:t>
      </w:r>
      <w:r w:rsidR="00DA5D9B" w:rsidRPr="005D271E">
        <w:rPr>
          <w:rFonts w:ascii="Arial" w:hAnsi="Arial" w:cs="Arial"/>
          <w:sz w:val="20"/>
          <w:szCs w:val="20"/>
        </w:rPr>
        <w:t xml:space="preserve"> pro aplikovaný výzkum</w:t>
      </w:r>
      <w:r w:rsidR="00CC635A">
        <w:rPr>
          <w:rFonts w:ascii="Arial" w:hAnsi="Arial" w:cs="Arial"/>
          <w:sz w:val="20"/>
          <w:szCs w:val="20"/>
        </w:rPr>
        <w:t>, v</w:t>
      </w:r>
      <w:r w:rsidR="008362E6">
        <w:rPr>
          <w:rFonts w:ascii="Arial" w:hAnsi="Arial" w:cs="Arial"/>
          <w:sz w:val="20"/>
          <w:szCs w:val="20"/>
        </w:rPr>
        <w:t>e</w:t>
      </w:r>
      <w:r w:rsidR="00CC635A">
        <w:rPr>
          <w:rFonts w:ascii="Arial" w:hAnsi="Arial" w:cs="Arial"/>
          <w:sz w:val="20"/>
          <w:szCs w:val="20"/>
        </w:rPr>
        <w:t xml:space="preserve"> které je zastoupena řada </w:t>
      </w:r>
      <w:r w:rsidR="00CC635A" w:rsidRPr="00CA7D5A">
        <w:rPr>
          <w:rFonts w:ascii="Arial" w:hAnsi="Arial" w:cs="Arial"/>
          <w:b/>
          <w:sz w:val="20"/>
          <w:szCs w:val="20"/>
        </w:rPr>
        <w:t>stěžovatel</w:t>
      </w:r>
      <w:r w:rsidR="00527167" w:rsidRPr="00CA7D5A">
        <w:rPr>
          <w:rFonts w:ascii="Arial" w:hAnsi="Arial" w:cs="Arial"/>
          <w:b/>
          <w:sz w:val="20"/>
          <w:szCs w:val="20"/>
        </w:rPr>
        <w:t>ů</w:t>
      </w:r>
      <w:r w:rsidR="00CC635A">
        <w:rPr>
          <w:rFonts w:ascii="Arial" w:hAnsi="Arial" w:cs="Arial"/>
          <w:sz w:val="20"/>
          <w:szCs w:val="20"/>
        </w:rPr>
        <w:t xml:space="preserve"> </w:t>
      </w:r>
      <w:r w:rsidR="00527167">
        <w:rPr>
          <w:rFonts w:ascii="Arial" w:hAnsi="Arial" w:cs="Arial"/>
          <w:sz w:val="20"/>
          <w:szCs w:val="20"/>
        </w:rPr>
        <w:t>(zástupců výzkumných organizací, které předložily námitky)</w:t>
      </w:r>
      <w:r w:rsidR="00DA5D9B" w:rsidRPr="005D271E">
        <w:rPr>
          <w:rFonts w:ascii="Arial" w:hAnsi="Arial" w:cs="Arial"/>
          <w:sz w:val="20"/>
          <w:szCs w:val="20"/>
        </w:rPr>
        <w:t>:</w:t>
      </w:r>
    </w:p>
    <w:p w14:paraId="5089F846" w14:textId="6799ACB5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 xml:space="preserve">doc. Ing. Jaroslav </w:t>
      </w:r>
      <w:proofErr w:type="spellStart"/>
      <w:r w:rsidRPr="005D271E">
        <w:rPr>
          <w:rFonts w:ascii="Arial" w:hAnsi="Arial" w:cs="Arial"/>
          <w:sz w:val="20"/>
          <w:szCs w:val="20"/>
        </w:rPr>
        <w:t>Machan</w:t>
      </w:r>
      <w:proofErr w:type="spellEnd"/>
      <w:r w:rsidRPr="005D271E">
        <w:rPr>
          <w:rFonts w:ascii="Arial" w:hAnsi="Arial" w:cs="Arial"/>
          <w:sz w:val="20"/>
          <w:szCs w:val="20"/>
        </w:rPr>
        <w:t xml:space="preserve">, CSc., </w:t>
      </w:r>
      <w:proofErr w:type="spellStart"/>
      <w:r w:rsidRPr="005D271E">
        <w:rPr>
          <w:rFonts w:ascii="Arial" w:hAnsi="Arial" w:cs="Arial"/>
          <w:sz w:val="20"/>
          <w:szCs w:val="20"/>
        </w:rPr>
        <w:t>FEng</w:t>
      </w:r>
      <w:proofErr w:type="spellEnd"/>
      <w:r w:rsidRPr="005D271E">
        <w:rPr>
          <w:rFonts w:ascii="Arial" w:hAnsi="Arial" w:cs="Arial"/>
          <w:sz w:val="20"/>
          <w:szCs w:val="20"/>
        </w:rPr>
        <w:t>, Škoda Auto a.s., FD ČVUT, člen KHV a RVVI</w:t>
      </w:r>
    </w:p>
    <w:p w14:paraId="580664C7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 xml:space="preserve">Prof. Ing. Josef </w:t>
      </w:r>
      <w:proofErr w:type="spellStart"/>
      <w:r w:rsidRPr="005D271E">
        <w:rPr>
          <w:rFonts w:ascii="Arial" w:hAnsi="Arial" w:cs="Arial"/>
          <w:sz w:val="20"/>
          <w:szCs w:val="20"/>
        </w:rPr>
        <w:t>Psutka</w:t>
      </w:r>
      <w:proofErr w:type="spellEnd"/>
      <w:r w:rsidRPr="005D271E">
        <w:rPr>
          <w:rFonts w:ascii="Arial" w:hAnsi="Arial" w:cs="Arial"/>
          <w:sz w:val="20"/>
          <w:szCs w:val="20"/>
        </w:rPr>
        <w:t xml:space="preserve">, CSc., vedoucí Katedry kybernetiky a člen Centra NTIS na ZČU v Plzni </w:t>
      </w:r>
    </w:p>
    <w:p w14:paraId="08550DD9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>Ing. Ilona Müllerová, DrSc., Ústav přístrojové techniky Akademie věd ČR, členka RVVI</w:t>
      </w:r>
    </w:p>
    <w:p w14:paraId="4200F25B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 xml:space="preserve">Ing. Libor Kraus, </w:t>
      </w:r>
      <w:r w:rsidRPr="005D271E">
        <w:rPr>
          <w:rFonts w:ascii="Arial" w:hAnsi="Arial" w:cs="Arial"/>
          <w:b/>
          <w:sz w:val="20"/>
          <w:szCs w:val="20"/>
        </w:rPr>
        <w:t>COMTES FTH a.s.</w:t>
      </w:r>
      <w:r w:rsidRPr="005D271E">
        <w:rPr>
          <w:rFonts w:ascii="Arial" w:hAnsi="Arial" w:cs="Arial"/>
          <w:sz w:val="20"/>
          <w:szCs w:val="20"/>
        </w:rPr>
        <w:t>, prezident AVO, Svaz průmyslu a dopravy ČR</w:t>
      </w:r>
    </w:p>
    <w:p w14:paraId="395E7390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>doc. MUDR. T</w:t>
      </w:r>
      <w:r w:rsidR="00DA5D9B" w:rsidRPr="005D271E">
        <w:rPr>
          <w:rFonts w:ascii="Arial" w:hAnsi="Arial" w:cs="Arial"/>
          <w:sz w:val="20"/>
          <w:szCs w:val="20"/>
        </w:rPr>
        <w:t xml:space="preserve">omáš </w:t>
      </w:r>
      <w:proofErr w:type="spellStart"/>
      <w:r w:rsidR="00DA5D9B" w:rsidRPr="005D271E">
        <w:rPr>
          <w:rFonts w:ascii="Arial" w:hAnsi="Arial" w:cs="Arial"/>
          <w:sz w:val="20"/>
          <w:szCs w:val="20"/>
        </w:rPr>
        <w:t>Büchler</w:t>
      </w:r>
      <w:proofErr w:type="spellEnd"/>
      <w:r w:rsidR="00DA5D9B" w:rsidRPr="005D271E">
        <w:rPr>
          <w:rFonts w:ascii="Arial" w:hAnsi="Arial" w:cs="Arial"/>
          <w:sz w:val="20"/>
          <w:szCs w:val="20"/>
        </w:rPr>
        <w:t>, Ph.D., přednosta O</w:t>
      </w:r>
      <w:r w:rsidRPr="005D271E">
        <w:rPr>
          <w:rFonts w:ascii="Arial" w:hAnsi="Arial" w:cs="Arial"/>
          <w:sz w:val="20"/>
          <w:szCs w:val="20"/>
        </w:rPr>
        <w:t>nkologické kliniky</w:t>
      </w:r>
      <w:r w:rsidR="00DA5D9B" w:rsidRPr="005D271E">
        <w:rPr>
          <w:rFonts w:ascii="Arial" w:hAnsi="Arial" w:cs="Arial"/>
          <w:sz w:val="20"/>
          <w:szCs w:val="20"/>
        </w:rPr>
        <w:t xml:space="preserve"> 1. LF UK, Thomayerovy nemocnice</w:t>
      </w:r>
    </w:p>
    <w:p w14:paraId="7784215E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 xml:space="preserve">Ing. Petr Očko, </w:t>
      </w:r>
      <w:proofErr w:type="spellStart"/>
      <w:r w:rsidRPr="005D271E">
        <w:rPr>
          <w:rFonts w:ascii="Arial" w:hAnsi="Arial" w:cs="Arial"/>
          <w:sz w:val="20"/>
          <w:szCs w:val="20"/>
        </w:rPr>
        <w:t>Ph.D</w:t>
      </w:r>
      <w:proofErr w:type="spellEnd"/>
      <w:r w:rsidRPr="005D271E">
        <w:rPr>
          <w:rFonts w:ascii="Arial" w:hAnsi="Arial" w:cs="Arial"/>
          <w:sz w:val="20"/>
          <w:szCs w:val="20"/>
        </w:rPr>
        <w:t>, náměstek MPO.</w:t>
      </w:r>
    </w:p>
    <w:p w14:paraId="23010CFC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 xml:space="preserve">doc. Ing. Daniel </w:t>
      </w:r>
      <w:proofErr w:type="spellStart"/>
      <w:r w:rsidRPr="005D271E">
        <w:rPr>
          <w:rFonts w:ascii="Arial" w:hAnsi="Arial" w:cs="Arial"/>
          <w:sz w:val="20"/>
          <w:szCs w:val="20"/>
        </w:rPr>
        <w:t>Münich</w:t>
      </w:r>
      <w:proofErr w:type="spellEnd"/>
      <w:r w:rsidRPr="005D271E">
        <w:rPr>
          <w:rFonts w:ascii="Arial" w:hAnsi="Arial" w:cs="Arial"/>
          <w:sz w:val="20"/>
          <w:szCs w:val="20"/>
        </w:rPr>
        <w:t>, Ph.D., CERGE-EI  Akademie věd ČR, člen OP5</w:t>
      </w:r>
    </w:p>
    <w:p w14:paraId="7A5BE082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>prof. Ing. Radim Vácha Ph.D., ředitel Výzkumného ústavu meliorací a ochrany půdy, předseda OP4</w:t>
      </w:r>
    </w:p>
    <w:p w14:paraId="31C0C793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>prof. Ing. Michael Valášek, DrSc., děkan FS ČVUT</w:t>
      </w:r>
    </w:p>
    <w:p w14:paraId="4BB51F0E" w14:textId="755D005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>prof. RNDr. Ing. P</w:t>
      </w:r>
      <w:r w:rsidR="00527167">
        <w:rPr>
          <w:rFonts w:ascii="Arial" w:hAnsi="Arial" w:cs="Arial"/>
          <w:sz w:val="20"/>
          <w:szCs w:val="20"/>
        </w:rPr>
        <w:t>etr Štěpánek, CSc., dr. h. c.</w:t>
      </w:r>
      <w:r w:rsidR="00DA5D9B" w:rsidRPr="005D271E">
        <w:rPr>
          <w:rFonts w:ascii="Arial" w:hAnsi="Arial" w:cs="Arial"/>
          <w:sz w:val="20"/>
          <w:szCs w:val="20"/>
        </w:rPr>
        <w:t>, r</w:t>
      </w:r>
      <w:r w:rsidRPr="005D271E">
        <w:rPr>
          <w:rFonts w:ascii="Arial" w:hAnsi="Arial" w:cs="Arial"/>
          <w:sz w:val="20"/>
          <w:szCs w:val="20"/>
        </w:rPr>
        <w:t xml:space="preserve">ektor </w:t>
      </w:r>
      <w:r w:rsidRPr="005D271E">
        <w:rPr>
          <w:rFonts w:ascii="Arial" w:hAnsi="Arial" w:cs="Arial"/>
          <w:b/>
          <w:sz w:val="20"/>
          <w:szCs w:val="20"/>
        </w:rPr>
        <w:t>VUT</w:t>
      </w:r>
      <w:r w:rsidR="00DA5D9B" w:rsidRPr="005D271E">
        <w:rPr>
          <w:rFonts w:ascii="Arial" w:hAnsi="Arial" w:cs="Arial"/>
          <w:sz w:val="20"/>
          <w:szCs w:val="20"/>
        </w:rPr>
        <w:t xml:space="preserve"> v Brně, ČKR</w:t>
      </w:r>
    </w:p>
    <w:p w14:paraId="7E752EF4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 xml:space="preserve">Ing. Iveta </w:t>
      </w:r>
      <w:proofErr w:type="spellStart"/>
      <w:r w:rsidRPr="005D271E">
        <w:rPr>
          <w:rFonts w:ascii="Arial" w:hAnsi="Arial" w:cs="Arial"/>
          <w:sz w:val="20"/>
          <w:szCs w:val="20"/>
        </w:rPr>
        <w:t>Volšičková</w:t>
      </w:r>
      <w:proofErr w:type="spellEnd"/>
      <w:r w:rsidRPr="005D271E">
        <w:rPr>
          <w:rFonts w:ascii="Arial" w:hAnsi="Arial" w:cs="Arial"/>
          <w:sz w:val="20"/>
          <w:szCs w:val="20"/>
        </w:rPr>
        <w:t xml:space="preserve">, CDV, Vedoucí úseku projektové kanceláře národních projektů </w:t>
      </w:r>
      <w:proofErr w:type="spellStart"/>
      <w:r w:rsidRPr="005D271E">
        <w:rPr>
          <w:rFonts w:ascii="Arial" w:hAnsi="Arial" w:cs="Arial"/>
          <w:sz w:val="20"/>
          <w:szCs w:val="20"/>
        </w:rPr>
        <w:t>VaV</w:t>
      </w:r>
      <w:proofErr w:type="spellEnd"/>
    </w:p>
    <w:p w14:paraId="709742CB" w14:textId="77777777" w:rsidR="008226D2" w:rsidRPr="005D271E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 xml:space="preserve">Ing. Josef Kašpar, </w:t>
      </w:r>
      <w:proofErr w:type="spellStart"/>
      <w:r w:rsidRPr="005D271E">
        <w:rPr>
          <w:rFonts w:ascii="Arial" w:hAnsi="Arial" w:cs="Arial"/>
          <w:sz w:val="20"/>
          <w:szCs w:val="20"/>
        </w:rPr>
        <w:t>FEng</w:t>
      </w:r>
      <w:proofErr w:type="spellEnd"/>
      <w:r w:rsidRPr="005D271E">
        <w:rPr>
          <w:rFonts w:ascii="Arial" w:hAnsi="Arial" w:cs="Arial"/>
          <w:sz w:val="20"/>
          <w:szCs w:val="20"/>
        </w:rPr>
        <w:t xml:space="preserve">, </w:t>
      </w:r>
      <w:r w:rsidRPr="008362E6">
        <w:rPr>
          <w:rFonts w:ascii="Arial" w:hAnsi="Arial" w:cs="Arial"/>
          <w:b/>
          <w:sz w:val="20"/>
          <w:szCs w:val="20"/>
        </w:rPr>
        <w:t>VZLU</w:t>
      </w:r>
      <w:r w:rsidRPr="005D271E">
        <w:rPr>
          <w:rFonts w:ascii="Arial" w:hAnsi="Arial" w:cs="Arial"/>
          <w:sz w:val="20"/>
          <w:szCs w:val="20"/>
        </w:rPr>
        <w:t>, Člen představenstva, Generální ředitel, SP ČR</w:t>
      </w:r>
    </w:p>
    <w:p w14:paraId="75EA6532" w14:textId="77777777" w:rsidR="008226D2" w:rsidRDefault="008226D2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  <w:r w:rsidRPr="005D271E">
        <w:rPr>
          <w:rFonts w:ascii="Arial" w:hAnsi="Arial" w:cs="Arial"/>
          <w:sz w:val="20"/>
          <w:szCs w:val="20"/>
        </w:rPr>
        <w:t xml:space="preserve">Ing. Ivo </w:t>
      </w:r>
      <w:proofErr w:type="spellStart"/>
      <w:r w:rsidRPr="005D271E">
        <w:rPr>
          <w:rFonts w:ascii="Arial" w:hAnsi="Arial" w:cs="Arial"/>
          <w:sz w:val="20"/>
          <w:szCs w:val="20"/>
        </w:rPr>
        <w:t>Hain</w:t>
      </w:r>
      <w:proofErr w:type="spellEnd"/>
      <w:r w:rsidRPr="005D271E">
        <w:rPr>
          <w:rFonts w:ascii="Arial" w:hAnsi="Arial" w:cs="Arial"/>
          <w:sz w:val="20"/>
          <w:szCs w:val="20"/>
        </w:rPr>
        <w:t xml:space="preserve">, </w:t>
      </w:r>
      <w:r w:rsidR="00DA5D9B" w:rsidRPr="005D271E">
        <w:rPr>
          <w:rFonts w:ascii="Arial" w:hAnsi="Arial" w:cs="Arial"/>
          <w:b/>
          <w:sz w:val="20"/>
          <w:szCs w:val="20"/>
        </w:rPr>
        <w:t>SVÚ</w:t>
      </w:r>
      <w:r w:rsidRPr="005D271E">
        <w:rPr>
          <w:rFonts w:ascii="Arial" w:hAnsi="Arial" w:cs="Arial"/>
          <w:b/>
          <w:sz w:val="20"/>
          <w:szCs w:val="20"/>
        </w:rPr>
        <w:t>M</w:t>
      </w:r>
      <w:r w:rsidRPr="005D271E">
        <w:rPr>
          <w:rFonts w:ascii="Arial" w:hAnsi="Arial" w:cs="Arial"/>
          <w:sz w:val="20"/>
          <w:szCs w:val="20"/>
        </w:rPr>
        <w:t>, Svaz průmyslu a dopravy ČR</w:t>
      </w:r>
    </w:p>
    <w:p w14:paraId="3C392E51" w14:textId="77777777" w:rsidR="00CC635A" w:rsidRDefault="00CC635A" w:rsidP="005D271E">
      <w:pPr>
        <w:pStyle w:val="Bezmezer"/>
        <w:jc w:val="both"/>
        <w:rPr>
          <w:rFonts w:ascii="Arial" w:hAnsi="Arial" w:cs="Arial"/>
          <w:sz w:val="20"/>
          <w:szCs w:val="20"/>
        </w:rPr>
      </w:pPr>
    </w:p>
    <w:p w14:paraId="78B2BCB4" w14:textId="703D5081" w:rsidR="00CC635A" w:rsidRPr="00CA7D5A" w:rsidRDefault="00CA7D5A" w:rsidP="00CA7D5A">
      <w:pPr>
        <w:pStyle w:val="Bezmezer"/>
        <w:jc w:val="both"/>
        <w:rPr>
          <w:rFonts w:ascii="Arial" w:hAnsi="Arial" w:cs="Arial"/>
          <w:b/>
          <w:sz w:val="20"/>
          <w:szCs w:val="20"/>
        </w:rPr>
      </w:pPr>
      <w:r w:rsidRPr="00CA7D5A">
        <w:rPr>
          <w:rFonts w:ascii="Arial" w:hAnsi="Arial" w:cs="Arial"/>
          <w:b/>
          <w:sz w:val="20"/>
          <w:szCs w:val="20"/>
        </w:rPr>
        <w:t xml:space="preserve">S ohledem na dominanci stěžovatelů z řad rezortních výzkumných organizací Ministerstva průmyslu a obchodu  KHV dále navrhla, aby Odbor Rady inicioval prezenční jednání </w:t>
      </w:r>
      <w:r w:rsidR="00317106">
        <w:rPr>
          <w:rFonts w:ascii="Arial" w:hAnsi="Arial" w:cs="Arial"/>
          <w:b/>
          <w:sz w:val="20"/>
          <w:szCs w:val="20"/>
        </w:rPr>
        <w:t xml:space="preserve">s poskytovatelem </w:t>
      </w:r>
      <w:r w:rsidRPr="00CA7D5A">
        <w:rPr>
          <w:rFonts w:ascii="Arial" w:hAnsi="Arial" w:cs="Arial"/>
          <w:b/>
          <w:sz w:val="20"/>
          <w:szCs w:val="20"/>
        </w:rPr>
        <w:t>k</w:t>
      </w:r>
      <w:r>
        <w:rPr>
          <w:rFonts w:ascii="Arial" w:hAnsi="Arial" w:cs="Arial"/>
          <w:b/>
          <w:sz w:val="20"/>
          <w:szCs w:val="20"/>
        </w:rPr>
        <w:t> </w:t>
      </w:r>
      <w:r w:rsidRPr="00CA7D5A">
        <w:rPr>
          <w:rFonts w:ascii="Arial" w:hAnsi="Arial" w:cs="Arial"/>
          <w:b/>
          <w:sz w:val="20"/>
          <w:szCs w:val="20"/>
        </w:rPr>
        <w:t>vypořádání těchto námitek.</w:t>
      </w:r>
    </w:p>
    <w:sectPr w:rsidR="00CC635A" w:rsidRPr="00CA7D5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E1B68" w14:textId="77777777" w:rsidR="004D6EF2" w:rsidRDefault="004D6EF2" w:rsidP="004D6EF2">
      <w:pPr>
        <w:spacing w:after="0" w:line="240" w:lineRule="auto"/>
      </w:pPr>
      <w:r>
        <w:separator/>
      </w:r>
    </w:p>
  </w:endnote>
  <w:endnote w:type="continuationSeparator" w:id="0">
    <w:p w14:paraId="763F446E" w14:textId="77777777" w:rsidR="004D6EF2" w:rsidRDefault="004D6EF2" w:rsidP="004D6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08350A" w14:textId="77777777" w:rsidR="004D6EF2" w:rsidRDefault="004D6EF2" w:rsidP="004D6EF2">
      <w:pPr>
        <w:spacing w:after="0" w:line="240" w:lineRule="auto"/>
      </w:pPr>
      <w:r>
        <w:separator/>
      </w:r>
    </w:p>
  </w:footnote>
  <w:footnote w:type="continuationSeparator" w:id="0">
    <w:p w14:paraId="474EC36E" w14:textId="77777777" w:rsidR="004D6EF2" w:rsidRDefault="004D6EF2" w:rsidP="004D6E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5AC2D" w14:textId="77777777" w:rsidR="004D6EF2" w:rsidRDefault="004D6EF2">
    <w:pPr>
      <w:pStyle w:val="Zhlav"/>
    </w:pPr>
  </w:p>
  <w:tbl>
    <w:tblPr>
      <w:tblW w:w="9404" w:type="dxa"/>
      <w:tblLook w:val="04A0" w:firstRow="1" w:lastRow="0" w:firstColumn="1" w:lastColumn="0" w:noHBand="0" w:noVBand="1"/>
    </w:tblPr>
    <w:tblGrid>
      <w:gridCol w:w="6034"/>
      <w:gridCol w:w="3370"/>
    </w:tblGrid>
    <w:tr w:rsidR="004D6EF2" w14:paraId="746274DD" w14:textId="77777777" w:rsidTr="00A06D1A">
      <w:trPr>
        <w:trHeight w:val="1025"/>
      </w:trPr>
      <w:tc>
        <w:tcPr>
          <w:tcW w:w="6034" w:type="dxa"/>
          <w:hideMark/>
        </w:tcPr>
        <w:p w14:paraId="264B04E7" w14:textId="77777777" w:rsidR="004D6EF2" w:rsidRDefault="004D6EF2" w:rsidP="004D6EF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Odbor Rady pro výzkum, vývoj a inovace</w:t>
          </w:r>
        </w:p>
      </w:tc>
      <w:tc>
        <w:tcPr>
          <w:tcW w:w="3370" w:type="dxa"/>
          <w:hideMark/>
        </w:tcPr>
        <w:p w14:paraId="2707E17E" w14:textId="77777777" w:rsidR="004D6EF2" w:rsidRDefault="004D6EF2" w:rsidP="004D6EF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22FDC034" wp14:editId="7BC342DC">
                <wp:extent cx="1797050" cy="527050"/>
                <wp:effectExtent l="0" t="0" r="0" b="6350"/>
                <wp:docPr id="1" name="Obrázek 1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97050" cy="527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937A9C" w14:textId="77777777" w:rsidR="004D6EF2" w:rsidRDefault="004D6EF2" w:rsidP="00CA7D5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26D2"/>
    <w:rsid w:val="00024419"/>
    <w:rsid w:val="00025F16"/>
    <w:rsid w:val="001105B5"/>
    <w:rsid w:val="0013527F"/>
    <w:rsid w:val="001701D5"/>
    <w:rsid w:val="00317106"/>
    <w:rsid w:val="00417937"/>
    <w:rsid w:val="00434B8B"/>
    <w:rsid w:val="004608EB"/>
    <w:rsid w:val="004D6EF2"/>
    <w:rsid w:val="00527167"/>
    <w:rsid w:val="00586CED"/>
    <w:rsid w:val="005D1985"/>
    <w:rsid w:val="005D271E"/>
    <w:rsid w:val="00744341"/>
    <w:rsid w:val="007670F3"/>
    <w:rsid w:val="0081592B"/>
    <w:rsid w:val="008226D2"/>
    <w:rsid w:val="008362E6"/>
    <w:rsid w:val="008436BC"/>
    <w:rsid w:val="009B6A90"/>
    <w:rsid w:val="00AC3D11"/>
    <w:rsid w:val="00CA7D5A"/>
    <w:rsid w:val="00CC635A"/>
    <w:rsid w:val="00CE18DC"/>
    <w:rsid w:val="00D33D03"/>
    <w:rsid w:val="00D90549"/>
    <w:rsid w:val="00DA5D9B"/>
    <w:rsid w:val="00F45337"/>
    <w:rsid w:val="00F9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EBC44"/>
  <w15:chartTrackingRefBased/>
  <w15:docId w15:val="{163B51A8-7DB0-4A39-B670-4F01441EC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226D2"/>
  </w:style>
  <w:style w:type="paragraph" w:styleId="Nadpis1">
    <w:name w:val="heading 1"/>
    <w:basedOn w:val="Normln"/>
    <w:next w:val="Normln"/>
    <w:link w:val="Nadpis1Char"/>
    <w:uiPriority w:val="9"/>
    <w:qFormat/>
    <w:rsid w:val="001105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cimalAligned">
    <w:name w:val="Decimal Aligned"/>
    <w:basedOn w:val="Normln"/>
    <w:uiPriority w:val="40"/>
    <w:qFormat/>
    <w:rsid w:val="00744341"/>
    <w:pPr>
      <w:tabs>
        <w:tab w:val="decimal" w:pos="360"/>
      </w:tabs>
      <w:spacing w:after="200" w:line="276" w:lineRule="auto"/>
    </w:pPr>
    <w:rPr>
      <w:rFonts w:eastAsiaTheme="minorEastAsia" w:cs="Times New Roman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744341"/>
    <w:pPr>
      <w:spacing w:after="0" w:line="240" w:lineRule="auto"/>
    </w:pPr>
    <w:rPr>
      <w:rFonts w:eastAsiaTheme="minorEastAsia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44341"/>
    <w:rPr>
      <w:rFonts w:eastAsiaTheme="minorEastAsia" w:cs="Times New Roman"/>
      <w:sz w:val="20"/>
      <w:szCs w:val="20"/>
      <w:lang w:eastAsia="cs-CZ"/>
    </w:rPr>
  </w:style>
  <w:style w:type="character" w:styleId="Zdraznnjemn">
    <w:name w:val="Subtle Emphasis"/>
    <w:basedOn w:val="Standardnpsmoodstavce"/>
    <w:uiPriority w:val="19"/>
    <w:qFormat/>
    <w:rsid w:val="00744341"/>
    <w:rPr>
      <w:i/>
      <w:iCs/>
    </w:rPr>
  </w:style>
  <w:style w:type="table" w:styleId="Svtlstnovnzvraznn1">
    <w:name w:val="Light Shading Accent 1"/>
    <w:basedOn w:val="Normlntabulka"/>
    <w:uiPriority w:val="60"/>
    <w:rsid w:val="00744341"/>
    <w:pPr>
      <w:spacing w:after="0" w:line="240" w:lineRule="auto"/>
    </w:pPr>
    <w:rPr>
      <w:rFonts w:eastAsiaTheme="minorEastAsia"/>
      <w:color w:val="2E74B5" w:themeColor="accent1" w:themeShade="BF"/>
      <w:lang w:eastAsia="cs-CZ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Svtlseznam">
    <w:name w:val="Light List"/>
    <w:basedOn w:val="Normlntabulka"/>
    <w:uiPriority w:val="61"/>
    <w:rsid w:val="00025F16"/>
    <w:pPr>
      <w:spacing w:after="0" w:line="240" w:lineRule="auto"/>
    </w:pPr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katabulky">
    <w:name w:val="Table Grid"/>
    <w:basedOn w:val="Normlntabulka"/>
    <w:uiPriority w:val="39"/>
    <w:rsid w:val="009B6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5D271E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D6EF2"/>
  </w:style>
  <w:style w:type="paragraph" w:styleId="Zpat">
    <w:name w:val="footer"/>
    <w:basedOn w:val="Normln"/>
    <w:link w:val="ZpatChar"/>
    <w:uiPriority w:val="99"/>
    <w:unhideWhenUsed/>
    <w:rsid w:val="004D6E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D6EF2"/>
  </w:style>
  <w:style w:type="character" w:customStyle="1" w:styleId="Nadpis1Char">
    <w:name w:val="Nadpis 1 Char"/>
    <w:basedOn w:val="Standardnpsmoodstavce"/>
    <w:link w:val="Nadpis1"/>
    <w:uiPriority w:val="9"/>
    <w:rsid w:val="001105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0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05B5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1105B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05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05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05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05B5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1105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5425E-C3F0-47C9-96DF-4B1EE0C8D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620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Avakian Markéta</dc:creator>
  <cp:keywords/>
  <dc:description/>
  <cp:lastModifiedBy>Avakian Markéta</cp:lastModifiedBy>
  <cp:revision>3</cp:revision>
  <dcterms:created xsi:type="dcterms:W3CDTF">2020-11-18T17:40:00Z</dcterms:created>
  <dcterms:modified xsi:type="dcterms:W3CDTF">2020-11-18T17:55:00Z</dcterms:modified>
</cp:coreProperties>
</file>