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526E6" w14:textId="3AE1A16A" w:rsidR="00E67ED5" w:rsidRDefault="00E67ED5" w:rsidP="002341A3">
      <w:pPr>
        <w:jc w:val="right"/>
        <w:rPr>
          <w:b/>
        </w:rPr>
      </w:pPr>
      <w:r>
        <w:rPr>
          <w:b/>
        </w:rPr>
        <w:t>III.</w:t>
      </w:r>
    </w:p>
    <w:p w14:paraId="79550CC7" w14:textId="77777777" w:rsidR="001F0128" w:rsidRDefault="001F0128" w:rsidP="002341A3">
      <w:pPr>
        <w:spacing w:after="0"/>
        <w:jc w:val="center"/>
        <w:rPr>
          <w:b/>
          <w:sz w:val="36"/>
          <w:szCs w:val="36"/>
        </w:rPr>
      </w:pPr>
    </w:p>
    <w:p w14:paraId="4ED81D1D" w14:textId="77777777" w:rsidR="001F0128" w:rsidRDefault="001F0128" w:rsidP="002341A3">
      <w:pPr>
        <w:spacing w:after="0"/>
        <w:jc w:val="center"/>
        <w:rPr>
          <w:b/>
          <w:sz w:val="36"/>
          <w:szCs w:val="36"/>
        </w:rPr>
      </w:pPr>
    </w:p>
    <w:p w14:paraId="53E1ADE3" w14:textId="77777777" w:rsidR="001F0128" w:rsidRDefault="001F0128" w:rsidP="002341A3">
      <w:pPr>
        <w:spacing w:after="0"/>
        <w:jc w:val="center"/>
        <w:rPr>
          <w:b/>
          <w:sz w:val="36"/>
          <w:szCs w:val="36"/>
        </w:rPr>
      </w:pPr>
    </w:p>
    <w:p w14:paraId="13D8BAD4" w14:textId="77777777" w:rsidR="001F0128" w:rsidRDefault="001F0128" w:rsidP="002341A3">
      <w:pPr>
        <w:spacing w:after="0"/>
        <w:jc w:val="center"/>
        <w:rPr>
          <w:b/>
          <w:sz w:val="36"/>
          <w:szCs w:val="36"/>
        </w:rPr>
      </w:pPr>
    </w:p>
    <w:p w14:paraId="7C8416ED" w14:textId="77777777" w:rsidR="001F0128" w:rsidRDefault="001F0128" w:rsidP="002341A3">
      <w:pPr>
        <w:spacing w:after="0"/>
        <w:jc w:val="center"/>
        <w:rPr>
          <w:b/>
          <w:sz w:val="36"/>
          <w:szCs w:val="36"/>
        </w:rPr>
      </w:pPr>
    </w:p>
    <w:p w14:paraId="72707FF9" w14:textId="77777777" w:rsidR="001F0128" w:rsidRDefault="001F0128" w:rsidP="002341A3">
      <w:pPr>
        <w:spacing w:after="0"/>
        <w:jc w:val="center"/>
        <w:rPr>
          <w:b/>
          <w:sz w:val="36"/>
          <w:szCs w:val="36"/>
        </w:rPr>
      </w:pPr>
    </w:p>
    <w:p w14:paraId="60EA79A7" w14:textId="77777777" w:rsidR="001F0128" w:rsidRDefault="001F0128" w:rsidP="002341A3">
      <w:pPr>
        <w:spacing w:after="0"/>
        <w:jc w:val="center"/>
        <w:rPr>
          <w:b/>
          <w:sz w:val="36"/>
          <w:szCs w:val="36"/>
        </w:rPr>
      </w:pPr>
    </w:p>
    <w:p w14:paraId="1E49E1CC" w14:textId="77777777" w:rsidR="001F0128" w:rsidRDefault="001F0128" w:rsidP="002341A3">
      <w:pPr>
        <w:spacing w:after="0"/>
        <w:jc w:val="center"/>
        <w:rPr>
          <w:b/>
          <w:sz w:val="36"/>
          <w:szCs w:val="36"/>
        </w:rPr>
      </w:pPr>
    </w:p>
    <w:p w14:paraId="1B880004" w14:textId="77777777" w:rsidR="001F0128" w:rsidRDefault="001F0128" w:rsidP="002341A3">
      <w:pPr>
        <w:spacing w:after="0"/>
        <w:jc w:val="center"/>
        <w:rPr>
          <w:b/>
          <w:sz w:val="36"/>
          <w:szCs w:val="36"/>
        </w:rPr>
      </w:pPr>
    </w:p>
    <w:p w14:paraId="2260F304" w14:textId="77777777" w:rsidR="001F0128" w:rsidRDefault="001F0128" w:rsidP="002341A3">
      <w:pPr>
        <w:spacing w:after="0"/>
        <w:jc w:val="center"/>
        <w:rPr>
          <w:b/>
          <w:sz w:val="36"/>
          <w:szCs w:val="36"/>
        </w:rPr>
      </w:pPr>
    </w:p>
    <w:p w14:paraId="36E1C5F5" w14:textId="07C4AC48" w:rsidR="001F0128" w:rsidRDefault="001F0128" w:rsidP="002341A3">
      <w:pPr>
        <w:spacing w:after="0"/>
        <w:jc w:val="center"/>
        <w:rPr>
          <w:b/>
          <w:sz w:val="36"/>
          <w:szCs w:val="36"/>
        </w:rPr>
      </w:pPr>
    </w:p>
    <w:p w14:paraId="52476D15" w14:textId="77777777" w:rsidR="009C249A" w:rsidRDefault="009C249A" w:rsidP="00D046E4">
      <w:pPr>
        <w:spacing w:after="0" w:line="240" w:lineRule="auto"/>
        <w:jc w:val="center"/>
        <w:rPr>
          <w:b/>
          <w:sz w:val="36"/>
          <w:szCs w:val="36"/>
        </w:rPr>
      </w:pPr>
      <w:r>
        <w:rPr>
          <w:b/>
          <w:sz w:val="36"/>
          <w:szCs w:val="36"/>
        </w:rPr>
        <w:t>PROJEKT SDÍLENÝCH ČINNOSTÍ</w:t>
      </w:r>
    </w:p>
    <w:p w14:paraId="19309540" w14:textId="5ED865FE" w:rsidR="009C249A" w:rsidRPr="00D34858" w:rsidRDefault="009C249A" w:rsidP="00D046E4">
      <w:pPr>
        <w:spacing w:after="0" w:line="240" w:lineRule="auto"/>
        <w:jc w:val="center"/>
        <w:rPr>
          <w:b/>
          <w:sz w:val="40"/>
          <w:szCs w:val="36"/>
        </w:rPr>
      </w:pPr>
      <w:r w:rsidRPr="00D34858">
        <w:rPr>
          <w:b/>
          <w:sz w:val="40"/>
          <w:szCs w:val="36"/>
        </w:rPr>
        <w:t>„</w:t>
      </w:r>
      <w:r w:rsidRPr="00D34858">
        <w:rPr>
          <w:rStyle w:val="Nadpis1Char"/>
          <w:sz w:val="36"/>
        </w:rPr>
        <w:t xml:space="preserve">Prohloubení </w:t>
      </w:r>
      <w:sdt>
        <w:sdtPr>
          <w:rPr>
            <w:rStyle w:val="Nadpis1Char"/>
            <w:sz w:val="36"/>
          </w:rPr>
          <w:tag w:val="goog_rdk_0"/>
          <w:id w:val="371355838"/>
        </w:sdtPr>
        <w:sdtEndPr>
          <w:rPr>
            <w:rStyle w:val="Nadpis1Char"/>
          </w:rPr>
        </w:sdtEndPr>
        <w:sdtContent/>
      </w:sdt>
      <w:r w:rsidRPr="00D34858">
        <w:rPr>
          <w:rStyle w:val="Nadpis1Char"/>
          <w:sz w:val="36"/>
        </w:rPr>
        <w:t>integrace výzkumného a inovačního ekosystému ČR do Evropského výzkumného prostoru a podpora intenzivní mezinárodní spolupráce výzkumných organizací a</w:t>
      </w:r>
      <w:r w:rsidR="00646A82">
        <w:rPr>
          <w:rStyle w:val="Nadpis1Char"/>
          <w:sz w:val="36"/>
        </w:rPr>
        <w:t> </w:t>
      </w:r>
      <w:r w:rsidRPr="00D34858">
        <w:rPr>
          <w:rStyle w:val="Nadpis1Char"/>
          <w:sz w:val="36"/>
        </w:rPr>
        <w:t>podniků ČR ve výzkumu, vývoji a</w:t>
      </w:r>
      <w:r w:rsidR="00646A82">
        <w:rPr>
          <w:rStyle w:val="Nadpis1Char"/>
          <w:sz w:val="36"/>
        </w:rPr>
        <w:t> </w:t>
      </w:r>
      <w:r w:rsidRPr="00D34858">
        <w:rPr>
          <w:rStyle w:val="Nadpis1Char"/>
          <w:sz w:val="36"/>
        </w:rPr>
        <w:t>inovacích</w:t>
      </w:r>
      <w:r w:rsidR="00D34858">
        <w:rPr>
          <w:rStyle w:val="Nadpis1Char"/>
          <w:sz w:val="36"/>
        </w:rPr>
        <w:t xml:space="preserve"> (CZERA)</w:t>
      </w:r>
      <w:r w:rsidRPr="00D34858">
        <w:rPr>
          <w:b/>
          <w:sz w:val="40"/>
          <w:szCs w:val="36"/>
        </w:rPr>
        <w:t>“</w:t>
      </w:r>
    </w:p>
    <w:p w14:paraId="06E13DC5" w14:textId="0A0B68B7" w:rsidR="009C249A" w:rsidRDefault="009C249A">
      <w:pPr>
        <w:rPr>
          <w:b/>
          <w:sz w:val="36"/>
          <w:szCs w:val="36"/>
        </w:rPr>
      </w:pPr>
      <w:r>
        <w:rPr>
          <w:b/>
          <w:sz w:val="36"/>
          <w:szCs w:val="36"/>
        </w:rPr>
        <w:br w:type="page"/>
      </w:r>
    </w:p>
    <w:p w14:paraId="7069C692" w14:textId="77777777" w:rsidR="009C249A" w:rsidRDefault="009C249A" w:rsidP="00D046E4">
      <w:pPr>
        <w:keepNext/>
        <w:keepLines/>
        <w:pBdr>
          <w:top w:val="nil"/>
          <w:left w:val="nil"/>
          <w:bottom w:val="nil"/>
          <w:right w:val="nil"/>
          <w:between w:val="nil"/>
        </w:pBdr>
        <w:spacing w:before="720" w:after="120"/>
        <w:ind w:left="340" w:hanging="340"/>
        <w:rPr>
          <w:b/>
          <w:smallCaps/>
          <w:color w:val="000000"/>
          <w:sz w:val="28"/>
          <w:szCs w:val="28"/>
        </w:rPr>
      </w:pPr>
      <w:r>
        <w:rPr>
          <w:b/>
          <w:smallCaps/>
          <w:color w:val="000000"/>
          <w:sz w:val="28"/>
          <w:szCs w:val="28"/>
        </w:rPr>
        <w:lastRenderedPageBreak/>
        <w:t>OBSAH</w:t>
      </w:r>
    </w:p>
    <w:sdt>
      <w:sdtPr>
        <w:id w:val="505790898"/>
        <w:docPartObj>
          <w:docPartGallery w:val="Table of Contents"/>
          <w:docPartUnique/>
        </w:docPartObj>
      </w:sdtPr>
      <w:sdtEndPr/>
      <w:sdtContent>
        <w:p w14:paraId="2B0E45A4" w14:textId="77777777" w:rsidR="00611BAD" w:rsidRDefault="009C249A">
          <w:pPr>
            <w:pStyle w:val="Obsah1"/>
            <w:rPr>
              <w:rFonts w:asciiTheme="minorHAnsi" w:eastAsiaTheme="minorEastAsia" w:hAnsiTheme="minorHAnsi" w:cstheme="minorBidi"/>
              <w:noProof/>
            </w:rPr>
          </w:pPr>
          <w:r>
            <w:fldChar w:fldCharType="begin"/>
          </w:r>
          <w:r>
            <w:instrText xml:space="preserve"> TOC \h \u \z </w:instrText>
          </w:r>
          <w:r>
            <w:fldChar w:fldCharType="separate"/>
          </w:r>
          <w:hyperlink w:anchor="_Toc55466806" w:history="1">
            <w:r w:rsidR="00611BAD" w:rsidRPr="00BE350D">
              <w:rPr>
                <w:rStyle w:val="Hypertextovodkaz"/>
                <w:noProof/>
              </w:rPr>
              <w:t>1</w:t>
            </w:r>
            <w:r w:rsidR="00611BAD">
              <w:rPr>
                <w:rFonts w:asciiTheme="minorHAnsi" w:eastAsiaTheme="minorEastAsia" w:hAnsiTheme="minorHAnsi" w:cstheme="minorBidi"/>
                <w:noProof/>
              </w:rPr>
              <w:tab/>
            </w:r>
            <w:r w:rsidR="00611BAD" w:rsidRPr="00BE350D">
              <w:rPr>
                <w:rStyle w:val="Hypertextovodkaz"/>
                <w:noProof/>
              </w:rPr>
              <w:t>OBECNÉ CHARAKTERISTIKY</w:t>
            </w:r>
            <w:r w:rsidR="00611BAD">
              <w:rPr>
                <w:noProof/>
                <w:webHidden/>
              </w:rPr>
              <w:tab/>
            </w:r>
            <w:r w:rsidR="00611BAD">
              <w:rPr>
                <w:noProof/>
                <w:webHidden/>
              </w:rPr>
              <w:fldChar w:fldCharType="begin"/>
            </w:r>
            <w:r w:rsidR="00611BAD">
              <w:rPr>
                <w:noProof/>
                <w:webHidden/>
              </w:rPr>
              <w:instrText xml:space="preserve"> PAGEREF _Toc55466806 \h </w:instrText>
            </w:r>
            <w:r w:rsidR="00611BAD">
              <w:rPr>
                <w:noProof/>
                <w:webHidden/>
              </w:rPr>
            </w:r>
            <w:r w:rsidR="00611BAD">
              <w:rPr>
                <w:noProof/>
                <w:webHidden/>
              </w:rPr>
              <w:fldChar w:fldCharType="separate"/>
            </w:r>
            <w:r w:rsidR="00611BAD">
              <w:rPr>
                <w:noProof/>
                <w:webHidden/>
              </w:rPr>
              <w:t>3</w:t>
            </w:r>
            <w:r w:rsidR="00611BAD">
              <w:rPr>
                <w:noProof/>
                <w:webHidden/>
              </w:rPr>
              <w:fldChar w:fldCharType="end"/>
            </w:r>
          </w:hyperlink>
        </w:p>
        <w:p w14:paraId="5D92786C" w14:textId="77777777" w:rsidR="00611BAD" w:rsidRDefault="00611BAD">
          <w:pPr>
            <w:pStyle w:val="Obsah2"/>
            <w:rPr>
              <w:rFonts w:asciiTheme="minorHAnsi" w:eastAsiaTheme="minorEastAsia" w:hAnsiTheme="minorHAnsi" w:cstheme="minorBidi"/>
              <w:noProof/>
            </w:rPr>
          </w:pPr>
          <w:hyperlink w:anchor="_Toc55466807" w:history="1">
            <w:r w:rsidRPr="00BE350D">
              <w:rPr>
                <w:rStyle w:val="Hypertextovodkaz"/>
                <w:noProof/>
              </w:rPr>
              <w:t>1.1</w:t>
            </w:r>
            <w:r>
              <w:rPr>
                <w:rFonts w:asciiTheme="minorHAnsi" w:eastAsiaTheme="minorEastAsia" w:hAnsiTheme="minorHAnsi" w:cstheme="minorBidi"/>
                <w:noProof/>
              </w:rPr>
              <w:tab/>
            </w:r>
            <w:r w:rsidRPr="00BE350D">
              <w:rPr>
                <w:rStyle w:val="Hypertextovodkaz"/>
                <w:noProof/>
              </w:rPr>
              <w:t>Základní informace o projektu</w:t>
            </w:r>
            <w:r>
              <w:rPr>
                <w:noProof/>
                <w:webHidden/>
              </w:rPr>
              <w:tab/>
            </w:r>
            <w:r>
              <w:rPr>
                <w:noProof/>
                <w:webHidden/>
              </w:rPr>
              <w:fldChar w:fldCharType="begin"/>
            </w:r>
            <w:r>
              <w:rPr>
                <w:noProof/>
                <w:webHidden/>
              </w:rPr>
              <w:instrText xml:space="preserve"> PAGEREF _Toc55466807 \h </w:instrText>
            </w:r>
            <w:r>
              <w:rPr>
                <w:noProof/>
                <w:webHidden/>
              </w:rPr>
            </w:r>
            <w:r>
              <w:rPr>
                <w:noProof/>
                <w:webHidden/>
              </w:rPr>
              <w:fldChar w:fldCharType="separate"/>
            </w:r>
            <w:r>
              <w:rPr>
                <w:noProof/>
                <w:webHidden/>
              </w:rPr>
              <w:t>3</w:t>
            </w:r>
            <w:r>
              <w:rPr>
                <w:noProof/>
                <w:webHidden/>
              </w:rPr>
              <w:fldChar w:fldCharType="end"/>
            </w:r>
          </w:hyperlink>
        </w:p>
        <w:p w14:paraId="5722AAE3" w14:textId="77777777" w:rsidR="00611BAD" w:rsidRDefault="00611BAD">
          <w:pPr>
            <w:pStyle w:val="Obsah2"/>
            <w:rPr>
              <w:rFonts w:asciiTheme="minorHAnsi" w:eastAsiaTheme="minorEastAsia" w:hAnsiTheme="minorHAnsi" w:cstheme="minorBidi"/>
              <w:noProof/>
            </w:rPr>
          </w:pPr>
          <w:hyperlink w:anchor="_Toc55466808" w:history="1">
            <w:r w:rsidRPr="00BE350D">
              <w:rPr>
                <w:rStyle w:val="Hypertextovodkaz"/>
                <w:noProof/>
              </w:rPr>
              <w:t>1.2</w:t>
            </w:r>
            <w:r>
              <w:rPr>
                <w:rFonts w:asciiTheme="minorHAnsi" w:eastAsiaTheme="minorEastAsia" w:hAnsiTheme="minorHAnsi" w:cstheme="minorBidi"/>
                <w:noProof/>
              </w:rPr>
              <w:tab/>
            </w:r>
            <w:r w:rsidRPr="00BE350D">
              <w:rPr>
                <w:rStyle w:val="Hypertextovodkaz"/>
                <w:noProof/>
              </w:rPr>
              <w:t>Anotace projektu</w:t>
            </w:r>
            <w:r>
              <w:rPr>
                <w:noProof/>
                <w:webHidden/>
              </w:rPr>
              <w:tab/>
            </w:r>
            <w:r>
              <w:rPr>
                <w:noProof/>
                <w:webHidden/>
              </w:rPr>
              <w:fldChar w:fldCharType="begin"/>
            </w:r>
            <w:r>
              <w:rPr>
                <w:noProof/>
                <w:webHidden/>
              </w:rPr>
              <w:instrText xml:space="preserve"> PAGEREF _Toc55466808 \h </w:instrText>
            </w:r>
            <w:r>
              <w:rPr>
                <w:noProof/>
                <w:webHidden/>
              </w:rPr>
            </w:r>
            <w:r>
              <w:rPr>
                <w:noProof/>
                <w:webHidden/>
              </w:rPr>
              <w:fldChar w:fldCharType="separate"/>
            </w:r>
            <w:r>
              <w:rPr>
                <w:noProof/>
                <w:webHidden/>
              </w:rPr>
              <w:t>3</w:t>
            </w:r>
            <w:r>
              <w:rPr>
                <w:noProof/>
                <w:webHidden/>
              </w:rPr>
              <w:fldChar w:fldCharType="end"/>
            </w:r>
          </w:hyperlink>
        </w:p>
        <w:p w14:paraId="6802B6A1" w14:textId="77777777" w:rsidR="00611BAD" w:rsidRDefault="00611BAD">
          <w:pPr>
            <w:pStyle w:val="Obsah2"/>
            <w:rPr>
              <w:rFonts w:asciiTheme="minorHAnsi" w:eastAsiaTheme="minorEastAsia" w:hAnsiTheme="minorHAnsi" w:cstheme="minorBidi"/>
              <w:noProof/>
            </w:rPr>
          </w:pPr>
          <w:hyperlink w:anchor="_Toc55466809" w:history="1">
            <w:r w:rsidRPr="00BE350D">
              <w:rPr>
                <w:rStyle w:val="Hypertextovodkaz"/>
                <w:noProof/>
              </w:rPr>
              <w:t>1.3</w:t>
            </w:r>
            <w:r>
              <w:rPr>
                <w:rFonts w:asciiTheme="minorHAnsi" w:eastAsiaTheme="minorEastAsia" w:hAnsiTheme="minorHAnsi" w:cstheme="minorBidi"/>
                <w:noProof/>
              </w:rPr>
              <w:tab/>
            </w:r>
            <w:r w:rsidRPr="00BE350D">
              <w:rPr>
                <w:rStyle w:val="Hypertextovodkaz"/>
                <w:noProof/>
              </w:rPr>
              <w:t>Vymezení předmětu podpory</w:t>
            </w:r>
            <w:r>
              <w:rPr>
                <w:noProof/>
                <w:webHidden/>
              </w:rPr>
              <w:tab/>
            </w:r>
            <w:r>
              <w:rPr>
                <w:noProof/>
                <w:webHidden/>
              </w:rPr>
              <w:fldChar w:fldCharType="begin"/>
            </w:r>
            <w:r>
              <w:rPr>
                <w:noProof/>
                <w:webHidden/>
              </w:rPr>
              <w:instrText xml:space="preserve"> PAGEREF _Toc55466809 \h </w:instrText>
            </w:r>
            <w:r>
              <w:rPr>
                <w:noProof/>
                <w:webHidden/>
              </w:rPr>
            </w:r>
            <w:r>
              <w:rPr>
                <w:noProof/>
                <w:webHidden/>
              </w:rPr>
              <w:fldChar w:fldCharType="separate"/>
            </w:r>
            <w:r>
              <w:rPr>
                <w:noProof/>
                <w:webHidden/>
              </w:rPr>
              <w:t>3</w:t>
            </w:r>
            <w:r>
              <w:rPr>
                <w:noProof/>
                <w:webHidden/>
              </w:rPr>
              <w:fldChar w:fldCharType="end"/>
            </w:r>
          </w:hyperlink>
        </w:p>
        <w:p w14:paraId="4B253B78" w14:textId="77777777" w:rsidR="00611BAD" w:rsidRDefault="00611BAD">
          <w:pPr>
            <w:pStyle w:val="Obsah2"/>
            <w:rPr>
              <w:rFonts w:asciiTheme="minorHAnsi" w:eastAsiaTheme="minorEastAsia" w:hAnsiTheme="minorHAnsi" w:cstheme="minorBidi"/>
              <w:noProof/>
            </w:rPr>
          </w:pPr>
          <w:hyperlink w:anchor="_Toc55466810" w:history="1">
            <w:r w:rsidRPr="00BE350D">
              <w:rPr>
                <w:rStyle w:val="Hypertextovodkaz"/>
                <w:noProof/>
              </w:rPr>
              <w:t>1.4</w:t>
            </w:r>
            <w:r>
              <w:rPr>
                <w:rFonts w:asciiTheme="minorHAnsi" w:eastAsiaTheme="minorEastAsia" w:hAnsiTheme="minorHAnsi" w:cstheme="minorBidi"/>
                <w:noProof/>
              </w:rPr>
              <w:tab/>
            </w:r>
            <w:r w:rsidRPr="00BE350D">
              <w:rPr>
                <w:rStyle w:val="Hypertextovodkaz"/>
                <w:noProof/>
              </w:rPr>
              <w:t>Cíle projektu</w:t>
            </w:r>
            <w:r>
              <w:rPr>
                <w:noProof/>
                <w:webHidden/>
              </w:rPr>
              <w:tab/>
            </w:r>
            <w:r>
              <w:rPr>
                <w:noProof/>
                <w:webHidden/>
              </w:rPr>
              <w:fldChar w:fldCharType="begin"/>
            </w:r>
            <w:r>
              <w:rPr>
                <w:noProof/>
                <w:webHidden/>
              </w:rPr>
              <w:instrText xml:space="preserve"> PAGEREF _Toc55466810 \h </w:instrText>
            </w:r>
            <w:r>
              <w:rPr>
                <w:noProof/>
                <w:webHidden/>
              </w:rPr>
            </w:r>
            <w:r>
              <w:rPr>
                <w:noProof/>
                <w:webHidden/>
              </w:rPr>
              <w:fldChar w:fldCharType="separate"/>
            </w:r>
            <w:r>
              <w:rPr>
                <w:noProof/>
                <w:webHidden/>
              </w:rPr>
              <w:t>4</w:t>
            </w:r>
            <w:r>
              <w:rPr>
                <w:noProof/>
                <w:webHidden/>
              </w:rPr>
              <w:fldChar w:fldCharType="end"/>
            </w:r>
          </w:hyperlink>
        </w:p>
        <w:p w14:paraId="6E674388" w14:textId="77777777" w:rsidR="00611BAD" w:rsidRDefault="00611BAD">
          <w:pPr>
            <w:pStyle w:val="Obsah1"/>
            <w:rPr>
              <w:rFonts w:asciiTheme="minorHAnsi" w:eastAsiaTheme="minorEastAsia" w:hAnsiTheme="minorHAnsi" w:cstheme="minorBidi"/>
              <w:noProof/>
            </w:rPr>
          </w:pPr>
          <w:hyperlink w:anchor="_Toc55466811" w:history="1">
            <w:r w:rsidRPr="00BE350D">
              <w:rPr>
                <w:rStyle w:val="Hypertextovodkaz"/>
                <w:noProof/>
              </w:rPr>
              <w:t>2</w:t>
            </w:r>
            <w:r>
              <w:rPr>
                <w:rFonts w:asciiTheme="minorHAnsi" w:eastAsiaTheme="minorEastAsia" w:hAnsiTheme="minorHAnsi" w:cstheme="minorBidi"/>
                <w:noProof/>
              </w:rPr>
              <w:tab/>
            </w:r>
            <w:r w:rsidRPr="00BE350D">
              <w:rPr>
                <w:rStyle w:val="Hypertextovodkaz"/>
                <w:noProof/>
              </w:rPr>
              <w:t>VÝCHODISKA</w:t>
            </w:r>
            <w:r>
              <w:rPr>
                <w:noProof/>
                <w:webHidden/>
              </w:rPr>
              <w:tab/>
            </w:r>
            <w:r>
              <w:rPr>
                <w:noProof/>
                <w:webHidden/>
              </w:rPr>
              <w:fldChar w:fldCharType="begin"/>
            </w:r>
            <w:r>
              <w:rPr>
                <w:noProof/>
                <w:webHidden/>
              </w:rPr>
              <w:instrText xml:space="preserve"> PAGEREF _Toc55466811 \h </w:instrText>
            </w:r>
            <w:r>
              <w:rPr>
                <w:noProof/>
                <w:webHidden/>
              </w:rPr>
            </w:r>
            <w:r>
              <w:rPr>
                <w:noProof/>
                <w:webHidden/>
              </w:rPr>
              <w:fldChar w:fldCharType="separate"/>
            </w:r>
            <w:r>
              <w:rPr>
                <w:noProof/>
                <w:webHidden/>
              </w:rPr>
              <w:t>5</w:t>
            </w:r>
            <w:r>
              <w:rPr>
                <w:noProof/>
                <w:webHidden/>
              </w:rPr>
              <w:fldChar w:fldCharType="end"/>
            </w:r>
          </w:hyperlink>
        </w:p>
        <w:p w14:paraId="0A96A98D" w14:textId="77777777" w:rsidR="00611BAD" w:rsidRDefault="00611BAD">
          <w:pPr>
            <w:pStyle w:val="Obsah2"/>
            <w:rPr>
              <w:rFonts w:asciiTheme="minorHAnsi" w:eastAsiaTheme="minorEastAsia" w:hAnsiTheme="minorHAnsi" w:cstheme="minorBidi"/>
              <w:noProof/>
            </w:rPr>
          </w:pPr>
          <w:hyperlink w:anchor="_Toc55466812" w:history="1">
            <w:r w:rsidRPr="00BE350D">
              <w:rPr>
                <w:rStyle w:val="Hypertextovodkaz"/>
                <w:noProof/>
              </w:rPr>
              <w:t>2.1</w:t>
            </w:r>
            <w:r>
              <w:rPr>
                <w:rFonts w:asciiTheme="minorHAnsi" w:eastAsiaTheme="minorEastAsia" w:hAnsiTheme="minorHAnsi" w:cstheme="minorBidi"/>
                <w:noProof/>
              </w:rPr>
              <w:tab/>
            </w:r>
            <w:r w:rsidRPr="00BE350D">
              <w:rPr>
                <w:rStyle w:val="Hypertextovodkaz"/>
                <w:noProof/>
              </w:rPr>
              <w:t>Zdůvodnění potřebnosti projektu</w:t>
            </w:r>
            <w:r>
              <w:rPr>
                <w:noProof/>
                <w:webHidden/>
              </w:rPr>
              <w:tab/>
            </w:r>
            <w:r>
              <w:rPr>
                <w:noProof/>
                <w:webHidden/>
              </w:rPr>
              <w:fldChar w:fldCharType="begin"/>
            </w:r>
            <w:r>
              <w:rPr>
                <w:noProof/>
                <w:webHidden/>
              </w:rPr>
              <w:instrText xml:space="preserve"> PAGEREF _Toc55466812 \h </w:instrText>
            </w:r>
            <w:r>
              <w:rPr>
                <w:noProof/>
                <w:webHidden/>
              </w:rPr>
            </w:r>
            <w:r>
              <w:rPr>
                <w:noProof/>
                <w:webHidden/>
              </w:rPr>
              <w:fldChar w:fldCharType="separate"/>
            </w:r>
            <w:r>
              <w:rPr>
                <w:noProof/>
                <w:webHidden/>
              </w:rPr>
              <w:t>5</w:t>
            </w:r>
            <w:r>
              <w:rPr>
                <w:noProof/>
                <w:webHidden/>
              </w:rPr>
              <w:fldChar w:fldCharType="end"/>
            </w:r>
          </w:hyperlink>
        </w:p>
        <w:p w14:paraId="50F3447D" w14:textId="77777777" w:rsidR="00611BAD" w:rsidRDefault="00611BAD">
          <w:pPr>
            <w:pStyle w:val="Obsah2"/>
            <w:rPr>
              <w:rFonts w:asciiTheme="minorHAnsi" w:eastAsiaTheme="minorEastAsia" w:hAnsiTheme="minorHAnsi" w:cstheme="minorBidi"/>
              <w:noProof/>
            </w:rPr>
          </w:pPr>
          <w:hyperlink w:anchor="_Toc55466813" w:history="1">
            <w:r w:rsidRPr="00BE350D">
              <w:rPr>
                <w:rStyle w:val="Hypertextovodkaz"/>
                <w:noProof/>
              </w:rPr>
              <w:t>2.2</w:t>
            </w:r>
            <w:r>
              <w:rPr>
                <w:rFonts w:asciiTheme="minorHAnsi" w:eastAsiaTheme="minorEastAsia" w:hAnsiTheme="minorHAnsi" w:cstheme="minorBidi"/>
                <w:noProof/>
              </w:rPr>
              <w:tab/>
            </w:r>
            <w:r w:rsidRPr="00BE350D">
              <w:rPr>
                <w:rStyle w:val="Hypertextovodkaz"/>
                <w:noProof/>
              </w:rPr>
              <w:t>Soulad se souvisícími právními předpisy a s činností řešitele projektu</w:t>
            </w:r>
            <w:r>
              <w:rPr>
                <w:noProof/>
                <w:webHidden/>
              </w:rPr>
              <w:tab/>
            </w:r>
            <w:r>
              <w:rPr>
                <w:noProof/>
                <w:webHidden/>
              </w:rPr>
              <w:fldChar w:fldCharType="begin"/>
            </w:r>
            <w:r>
              <w:rPr>
                <w:noProof/>
                <w:webHidden/>
              </w:rPr>
              <w:instrText xml:space="preserve"> PAGEREF _Toc55466813 \h </w:instrText>
            </w:r>
            <w:r>
              <w:rPr>
                <w:noProof/>
                <w:webHidden/>
              </w:rPr>
            </w:r>
            <w:r>
              <w:rPr>
                <w:noProof/>
                <w:webHidden/>
              </w:rPr>
              <w:fldChar w:fldCharType="separate"/>
            </w:r>
            <w:r>
              <w:rPr>
                <w:noProof/>
                <w:webHidden/>
              </w:rPr>
              <w:t>6</w:t>
            </w:r>
            <w:r>
              <w:rPr>
                <w:noProof/>
                <w:webHidden/>
              </w:rPr>
              <w:fldChar w:fldCharType="end"/>
            </w:r>
          </w:hyperlink>
        </w:p>
        <w:p w14:paraId="1F974714" w14:textId="77777777" w:rsidR="00611BAD" w:rsidRDefault="00611BAD">
          <w:pPr>
            <w:pStyle w:val="Obsah2"/>
            <w:rPr>
              <w:rFonts w:asciiTheme="minorHAnsi" w:eastAsiaTheme="minorEastAsia" w:hAnsiTheme="minorHAnsi" w:cstheme="minorBidi"/>
              <w:noProof/>
            </w:rPr>
          </w:pPr>
          <w:hyperlink w:anchor="_Toc55466814" w:history="1">
            <w:r w:rsidRPr="00BE350D">
              <w:rPr>
                <w:rStyle w:val="Hypertextovodkaz"/>
                <w:noProof/>
              </w:rPr>
              <w:t>2.3</w:t>
            </w:r>
            <w:r>
              <w:rPr>
                <w:rFonts w:asciiTheme="minorHAnsi" w:eastAsiaTheme="minorEastAsia" w:hAnsiTheme="minorHAnsi" w:cstheme="minorBidi"/>
                <w:noProof/>
              </w:rPr>
              <w:tab/>
            </w:r>
            <w:r w:rsidRPr="00BE350D">
              <w:rPr>
                <w:rStyle w:val="Hypertextovodkaz"/>
                <w:noProof/>
              </w:rPr>
              <w:t>Návaznost projektu na strategické a koncepční dokumenty</w:t>
            </w:r>
            <w:r>
              <w:rPr>
                <w:noProof/>
                <w:webHidden/>
              </w:rPr>
              <w:tab/>
            </w:r>
            <w:r>
              <w:rPr>
                <w:noProof/>
                <w:webHidden/>
              </w:rPr>
              <w:fldChar w:fldCharType="begin"/>
            </w:r>
            <w:r>
              <w:rPr>
                <w:noProof/>
                <w:webHidden/>
              </w:rPr>
              <w:instrText xml:space="preserve"> PAGEREF _Toc55466814 \h </w:instrText>
            </w:r>
            <w:r>
              <w:rPr>
                <w:noProof/>
                <w:webHidden/>
              </w:rPr>
            </w:r>
            <w:r>
              <w:rPr>
                <w:noProof/>
                <w:webHidden/>
              </w:rPr>
              <w:fldChar w:fldCharType="separate"/>
            </w:r>
            <w:r>
              <w:rPr>
                <w:noProof/>
                <w:webHidden/>
              </w:rPr>
              <w:t>7</w:t>
            </w:r>
            <w:r>
              <w:rPr>
                <w:noProof/>
                <w:webHidden/>
              </w:rPr>
              <w:fldChar w:fldCharType="end"/>
            </w:r>
          </w:hyperlink>
        </w:p>
        <w:p w14:paraId="098E91AD" w14:textId="77777777" w:rsidR="00611BAD" w:rsidRDefault="00611BAD">
          <w:pPr>
            <w:pStyle w:val="Obsah3"/>
            <w:rPr>
              <w:rFonts w:asciiTheme="minorHAnsi" w:eastAsiaTheme="minorEastAsia" w:hAnsiTheme="minorHAnsi" w:cstheme="minorBidi"/>
              <w:noProof/>
            </w:rPr>
          </w:pPr>
          <w:hyperlink w:anchor="_Toc55466815" w:history="1">
            <w:r w:rsidRPr="00BE350D">
              <w:rPr>
                <w:rStyle w:val="Hypertextovodkaz"/>
                <w:noProof/>
              </w:rPr>
              <w:t>2.3.1</w:t>
            </w:r>
            <w:r>
              <w:rPr>
                <w:rFonts w:asciiTheme="minorHAnsi" w:eastAsiaTheme="minorEastAsia" w:hAnsiTheme="minorHAnsi" w:cstheme="minorBidi"/>
                <w:noProof/>
              </w:rPr>
              <w:tab/>
            </w:r>
            <w:r w:rsidRPr="00BE350D">
              <w:rPr>
                <w:rStyle w:val="Hypertextovodkaz"/>
                <w:noProof/>
              </w:rPr>
              <w:t>Inovační strategie ČR pro léta 2019 až 2030</w:t>
            </w:r>
            <w:r>
              <w:rPr>
                <w:noProof/>
                <w:webHidden/>
              </w:rPr>
              <w:tab/>
            </w:r>
            <w:r>
              <w:rPr>
                <w:noProof/>
                <w:webHidden/>
              </w:rPr>
              <w:fldChar w:fldCharType="begin"/>
            </w:r>
            <w:r>
              <w:rPr>
                <w:noProof/>
                <w:webHidden/>
              </w:rPr>
              <w:instrText xml:space="preserve"> PAGEREF _Toc55466815 \h </w:instrText>
            </w:r>
            <w:r>
              <w:rPr>
                <w:noProof/>
                <w:webHidden/>
              </w:rPr>
            </w:r>
            <w:r>
              <w:rPr>
                <w:noProof/>
                <w:webHidden/>
              </w:rPr>
              <w:fldChar w:fldCharType="separate"/>
            </w:r>
            <w:r>
              <w:rPr>
                <w:noProof/>
                <w:webHidden/>
              </w:rPr>
              <w:t>7</w:t>
            </w:r>
            <w:r>
              <w:rPr>
                <w:noProof/>
                <w:webHidden/>
              </w:rPr>
              <w:fldChar w:fldCharType="end"/>
            </w:r>
          </w:hyperlink>
        </w:p>
        <w:p w14:paraId="3D77514C" w14:textId="77777777" w:rsidR="00611BAD" w:rsidRDefault="00611BAD">
          <w:pPr>
            <w:pStyle w:val="Obsah3"/>
            <w:rPr>
              <w:rFonts w:asciiTheme="minorHAnsi" w:eastAsiaTheme="minorEastAsia" w:hAnsiTheme="minorHAnsi" w:cstheme="minorBidi"/>
              <w:noProof/>
            </w:rPr>
          </w:pPr>
          <w:hyperlink w:anchor="_Toc55466816" w:history="1">
            <w:r w:rsidRPr="00BE350D">
              <w:rPr>
                <w:rStyle w:val="Hypertextovodkaz"/>
                <w:noProof/>
              </w:rPr>
              <w:t>2.3.2</w:t>
            </w:r>
            <w:r>
              <w:rPr>
                <w:rFonts w:asciiTheme="minorHAnsi" w:eastAsiaTheme="minorEastAsia" w:hAnsiTheme="minorHAnsi" w:cstheme="minorBidi"/>
                <w:noProof/>
              </w:rPr>
              <w:tab/>
            </w:r>
            <w:r w:rsidRPr="00BE350D">
              <w:rPr>
                <w:rStyle w:val="Hypertextovodkaz"/>
                <w:noProof/>
              </w:rPr>
              <w:t>Národní politika výzkumu, vývoje a inovací ČR pro léta 2021+</w:t>
            </w:r>
            <w:r>
              <w:rPr>
                <w:noProof/>
                <w:webHidden/>
              </w:rPr>
              <w:tab/>
            </w:r>
            <w:r>
              <w:rPr>
                <w:noProof/>
                <w:webHidden/>
              </w:rPr>
              <w:fldChar w:fldCharType="begin"/>
            </w:r>
            <w:r>
              <w:rPr>
                <w:noProof/>
                <w:webHidden/>
              </w:rPr>
              <w:instrText xml:space="preserve"> PAGEREF _Toc55466816 \h </w:instrText>
            </w:r>
            <w:r>
              <w:rPr>
                <w:noProof/>
                <w:webHidden/>
              </w:rPr>
            </w:r>
            <w:r>
              <w:rPr>
                <w:noProof/>
                <w:webHidden/>
              </w:rPr>
              <w:fldChar w:fldCharType="separate"/>
            </w:r>
            <w:r>
              <w:rPr>
                <w:noProof/>
                <w:webHidden/>
              </w:rPr>
              <w:t>8</w:t>
            </w:r>
            <w:r>
              <w:rPr>
                <w:noProof/>
                <w:webHidden/>
              </w:rPr>
              <w:fldChar w:fldCharType="end"/>
            </w:r>
          </w:hyperlink>
        </w:p>
        <w:p w14:paraId="257693F9" w14:textId="77777777" w:rsidR="00611BAD" w:rsidRDefault="00611BAD">
          <w:pPr>
            <w:pStyle w:val="Obsah2"/>
            <w:rPr>
              <w:rFonts w:asciiTheme="minorHAnsi" w:eastAsiaTheme="minorEastAsia" w:hAnsiTheme="minorHAnsi" w:cstheme="minorBidi"/>
              <w:noProof/>
            </w:rPr>
          </w:pPr>
          <w:hyperlink w:anchor="_Toc55466817" w:history="1">
            <w:r w:rsidRPr="00BE350D">
              <w:rPr>
                <w:rStyle w:val="Hypertextovodkaz"/>
                <w:noProof/>
              </w:rPr>
              <w:t>2.4</w:t>
            </w:r>
            <w:r>
              <w:rPr>
                <w:rFonts w:asciiTheme="minorHAnsi" w:eastAsiaTheme="minorEastAsia" w:hAnsiTheme="minorHAnsi" w:cstheme="minorBidi"/>
                <w:noProof/>
              </w:rPr>
              <w:tab/>
            </w:r>
            <w:r w:rsidRPr="00BE350D">
              <w:rPr>
                <w:rStyle w:val="Hypertextovodkaz"/>
                <w:noProof/>
              </w:rPr>
              <w:t>Cílová skupina projektu</w:t>
            </w:r>
            <w:r>
              <w:rPr>
                <w:noProof/>
                <w:webHidden/>
              </w:rPr>
              <w:tab/>
            </w:r>
            <w:r>
              <w:rPr>
                <w:noProof/>
                <w:webHidden/>
              </w:rPr>
              <w:fldChar w:fldCharType="begin"/>
            </w:r>
            <w:r>
              <w:rPr>
                <w:noProof/>
                <w:webHidden/>
              </w:rPr>
              <w:instrText xml:space="preserve"> PAGEREF _Toc55466817 \h </w:instrText>
            </w:r>
            <w:r>
              <w:rPr>
                <w:noProof/>
                <w:webHidden/>
              </w:rPr>
            </w:r>
            <w:r>
              <w:rPr>
                <w:noProof/>
                <w:webHidden/>
              </w:rPr>
              <w:fldChar w:fldCharType="separate"/>
            </w:r>
            <w:r>
              <w:rPr>
                <w:noProof/>
                <w:webHidden/>
              </w:rPr>
              <w:t>8</w:t>
            </w:r>
            <w:r>
              <w:rPr>
                <w:noProof/>
                <w:webHidden/>
              </w:rPr>
              <w:fldChar w:fldCharType="end"/>
            </w:r>
          </w:hyperlink>
        </w:p>
        <w:p w14:paraId="5117763F" w14:textId="77777777" w:rsidR="00611BAD" w:rsidRDefault="00611BAD">
          <w:pPr>
            <w:pStyle w:val="Obsah2"/>
            <w:rPr>
              <w:rFonts w:asciiTheme="minorHAnsi" w:eastAsiaTheme="minorEastAsia" w:hAnsiTheme="minorHAnsi" w:cstheme="minorBidi"/>
              <w:noProof/>
            </w:rPr>
          </w:pPr>
          <w:hyperlink w:anchor="_Toc55466818" w:history="1">
            <w:r w:rsidRPr="00BE350D">
              <w:rPr>
                <w:rStyle w:val="Hypertextovodkaz"/>
                <w:noProof/>
              </w:rPr>
              <w:t>2.5</w:t>
            </w:r>
            <w:r>
              <w:rPr>
                <w:rFonts w:asciiTheme="minorHAnsi" w:eastAsiaTheme="minorEastAsia" w:hAnsiTheme="minorHAnsi" w:cstheme="minorBidi"/>
                <w:noProof/>
              </w:rPr>
              <w:tab/>
            </w:r>
            <w:r w:rsidRPr="00BE350D">
              <w:rPr>
                <w:rStyle w:val="Hypertextovodkaz"/>
                <w:noProof/>
              </w:rPr>
              <w:t>Očekávané přínosy projektu</w:t>
            </w:r>
            <w:bookmarkStart w:id="0" w:name="_GoBack"/>
            <w:bookmarkEnd w:id="0"/>
            <w:r>
              <w:rPr>
                <w:noProof/>
                <w:webHidden/>
              </w:rPr>
              <w:tab/>
            </w:r>
            <w:r>
              <w:rPr>
                <w:noProof/>
                <w:webHidden/>
              </w:rPr>
              <w:fldChar w:fldCharType="begin"/>
            </w:r>
            <w:r>
              <w:rPr>
                <w:noProof/>
                <w:webHidden/>
              </w:rPr>
              <w:instrText xml:space="preserve"> PAGEREF _Toc55466818 \h </w:instrText>
            </w:r>
            <w:r>
              <w:rPr>
                <w:noProof/>
                <w:webHidden/>
              </w:rPr>
            </w:r>
            <w:r>
              <w:rPr>
                <w:noProof/>
                <w:webHidden/>
              </w:rPr>
              <w:fldChar w:fldCharType="separate"/>
            </w:r>
            <w:r>
              <w:rPr>
                <w:noProof/>
                <w:webHidden/>
              </w:rPr>
              <w:t>8</w:t>
            </w:r>
            <w:r>
              <w:rPr>
                <w:noProof/>
                <w:webHidden/>
              </w:rPr>
              <w:fldChar w:fldCharType="end"/>
            </w:r>
          </w:hyperlink>
        </w:p>
        <w:p w14:paraId="0C2030F9" w14:textId="77777777" w:rsidR="00611BAD" w:rsidRDefault="00611BAD">
          <w:pPr>
            <w:pStyle w:val="Obsah1"/>
            <w:rPr>
              <w:rFonts w:asciiTheme="minorHAnsi" w:eastAsiaTheme="minorEastAsia" w:hAnsiTheme="minorHAnsi" w:cstheme="minorBidi"/>
              <w:noProof/>
            </w:rPr>
          </w:pPr>
          <w:hyperlink w:anchor="_Toc55466819" w:history="1">
            <w:r w:rsidRPr="00BE350D">
              <w:rPr>
                <w:rStyle w:val="Hypertextovodkaz"/>
                <w:noProof/>
              </w:rPr>
              <w:t>3</w:t>
            </w:r>
            <w:r>
              <w:rPr>
                <w:rFonts w:asciiTheme="minorHAnsi" w:eastAsiaTheme="minorEastAsia" w:hAnsiTheme="minorHAnsi" w:cstheme="minorBidi"/>
                <w:noProof/>
              </w:rPr>
              <w:tab/>
            </w:r>
            <w:r w:rsidRPr="00BE350D">
              <w:rPr>
                <w:rStyle w:val="Hypertextovodkaz"/>
                <w:noProof/>
              </w:rPr>
              <w:t>REALIZACE</w:t>
            </w:r>
            <w:r>
              <w:rPr>
                <w:noProof/>
                <w:webHidden/>
              </w:rPr>
              <w:tab/>
            </w:r>
            <w:r>
              <w:rPr>
                <w:noProof/>
                <w:webHidden/>
              </w:rPr>
              <w:fldChar w:fldCharType="begin"/>
            </w:r>
            <w:r>
              <w:rPr>
                <w:noProof/>
                <w:webHidden/>
              </w:rPr>
              <w:instrText xml:space="preserve"> PAGEREF _Toc55466819 \h </w:instrText>
            </w:r>
            <w:r>
              <w:rPr>
                <w:noProof/>
                <w:webHidden/>
              </w:rPr>
            </w:r>
            <w:r>
              <w:rPr>
                <w:noProof/>
                <w:webHidden/>
              </w:rPr>
              <w:fldChar w:fldCharType="separate"/>
            </w:r>
            <w:r>
              <w:rPr>
                <w:noProof/>
                <w:webHidden/>
              </w:rPr>
              <w:t>9</w:t>
            </w:r>
            <w:r>
              <w:rPr>
                <w:noProof/>
                <w:webHidden/>
              </w:rPr>
              <w:fldChar w:fldCharType="end"/>
            </w:r>
          </w:hyperlink>
        </w:p>
        <w:p w14:paraId="4A036B04" w14:textId="77777777" w:rsidR="00611BAD" w:rsidRDefault="00611BAD">
          <w:pPr>
            <w:pStyle w:val="Obsah2"/>
            <w:rPr>
              <w:rFonts w:asciiTheme="minorHAnsi" w:eastAsiaTheme="minorEastAsia" w:hAnsiTheme="minorHAnsi" w:cstheme="minorBidi"/>
              <w:noProof/>
            </w:rPr>
          </w:pPr>
          <w:hyperlink w:anchor="_Toc55466820" w:history="1">
            <w:r w:rsidRPr="00BE350D">
              <w:rPr>
                <w:rStyle w:val="Hypertextovodkaz"/>
                <w:noProof/>
              </w:rPr>
              <w:t>3.1</w:t>
            </w:r>
            <w:r>
              <w:rPr>
                <w:rFonts w:asciiTheme="minorHAnsi" w:eastAsiaTheme="minorEastAsia" w:hAnsiTheme="minorHAnsi" w:cstheme="minorBidi"/>
                <w:noProof/>
              </w:rPr>
              <w:tab/>
            </w:r>
            <w:r w:rsidRPr="00BE350D">
              <w:rPr>
                <w:rStyle w:val="Hypertextovodkaz"/>
                <w:noProof/>
              </w:rPr>
              <w:t>Popis projektových aktivit</w:t>
            </w:r>
            <w:r>
              <w:rPr>
                <w:noProof/>
                <w:webHidden/>
              </w:rPr>
              <w:tab/>
            </w:r>
            <w:r>
              <w:rPr>
                <w:noProof/>
                <w:webHidden/>
              </w:rPr>
              <w:fldChar w:fldCharType="begin"/>
            </w:r>
            <w:r>
              <w:rPr>
                <w:noProof/>
                <w:webHidden/>
              </w:rPr>
              <w:instrText xml:space="preserve"> PAGEREF _Toc55466820 \h </w:instrText>
            </w:r>
            <w:r>
              <w:rPr>
                <w:noProof/>
                <w:webHidden/>
              </w:rPr>
            </w:r>
            <w:r>
              <w:rPr>
                <w:noProof/>
                <w:webHidden/>
              </w:rPr>
              <w:fldChar w:fldCharType="separate"/>
            </w:r>
            <w:r>
              <w:rPr>
                <w:noProof/>
                <w:webHidden/>
              </w:rPr>
              <w:t>9</w:t>
            </w:r>
            <w:r>
              <w:rPr>
                <w:noProof/>
                <w:webHidden/>
              </w:rPr>
              <w:fldChar w:fldCharType="end"/>
            </w:r>
          </w:hyperlink>
        </w:p>
        <w:p w14:paraId="002D58E4" w14:textId="77777777" w:rsidR="00611BAD" w:rsidRDefault="00611BAD">
          <w:pPr>
            <w:pStyle w:val="Obsah3"/>
            <w:rPr>
              <w:rFonts w:asciiTheme="minorHAnsi" w:eastAsiaTheme="minorEastAsia" w:hAnsiTheme="minorHAnsi" w:cstheme="minorBidi"/>
              <w:noProof/>
            </w:rPr>
          </w:pPr>
          <w:hyperlink w:anchor="_Toc55466821" w:history="1">
            <w:r w:rsidRPr="00BE350D">
              <w:rPr>
                <w:rStyle w:val="Hypertextovodkaz"/>
                <w:noProof/>
              </w:rPr>
              <w:t>3.1.1</w:t>
            </w:r>
            <w:r>
              <w:rPr>
                <w:rFonts w:asciiTheme="minorHAnsi" w:eastAsiaTheme="minorEastAsia" w:hAnsiTheme="minorHAnsi" w:cstheme="minorBidi"/>
                <w:noProof/>
              </w:rPr>
              <w:tab/>
            </w:r>
            <w:r w:rsidRPr="00BE350D">
              <w:rPr>
                <w:rStyle w:val="Hypertextovodkaz"/>
                <w:noProof/>
              </w:rPr>
              <w:t>Modul 1: Národní informační centrum pro evropský výzkum (NICER)</w:t>
            </w:r>
            <w:r>
              <w:rPr>
                <w:noProof/>
                <w:webHidden/>
              </w:rPr>
              <w:tab/>
            </w:r>
            <w:r>
              <w:rPr>
                <w:noProof/>
                <w:webHidden/>
              </w:rPr>
              <w:fldChar w:fldCharType="begin"/>
            </w:r>
            <w:r>
              <w:rPr>
                <w:noProof/>
                <w:webHidden/>
              </w:rPr>
              <w:instrText xml:space="preserve"> PAGEREF _Toc55466821 \h </w:instrText>
            </w:r>
            <w:r>
              <w:rPr>
                <w:noProof/>
                <w:webHidden/>
              </w:rPr>
            </w:r>
            <w:r>
              <w:rPr>
                <w:noProof/>
                <w:webHidden/>
              </w:rPr>
              <w:fldChar w:fldCharType="separate"/>
            </w:r>
            <w:r>
              <w:rPr>
                <w:noProof/>
                <w:webHidden/>
              </w:rPr>
              <w:t>9</w:t>
            </w:r>
            <w:r>
              <w:rPr>
                <w:noProof/>
                <w:webHidden/>
              </w:rPr>
              <w:fldChar w:fldCharType="end"/>
            </w:r>
          </w:hyperlink>
        </w:p>
        <w:p w14:paraId="66B7CD89" w14:textId="77777777" w:rsidR="00611BAD" w:rsidRDefault="00611BAD">
          <w:pPr>
            <w:pStyle w:val="Obsah3"/>
            <w:rPr>
              <w:rFonts w:asciiTheme="minorHAnsi" w:eastAsiaTheme="minorEastAsia" w:hAnsiTheme="minorHAnsi" w:cstheme="minorBidi"/>
              <w:noProof/>
            </w:rPr>
          </w:pPr>
          <w:hyperlink w:anchor="_Toc55466822" w:history="1">
            <w:r w:rsidRPr="00BE350D">
              <w:rPr>
                <w:rStyle w:val="Hypertextovodkaz"/>
                <w:caps/>
                <w:noProof/>
              </w:rPr>
              <w:t>3.1.2</w:t>
            </w:r>
            <w:r>
              <w:rPr>
                <w:rFonts w:asciiTheme="minorHAnsi" w:eastAsiaTheme="minorEastAsia" w:hAnsiTheme="minorHAnsi" w:cstheme="minorBidi"/>
                <w:noProof/>
              </w:rPr>
              <w:tab/>
            </w:r>
            <w:r w:rsidRPr="00BE350D">
              <w:rPr>
                <w:rStyle w:val="Hypertextovodkaz"/>
                <w:noProof/>
              </w:rPr>
              <w:t>Modul 2: Národní informační centrum pro genderové otázky v evropském výzkumu</w:t>
            </w:r>
            <w:r>
              <w:rPr>
                <w:noProof/>
                <w:webHidden/>
              </w:rPr>
              <w:tab/>
            </w:r>
            <w:r>
              <w:rPr>
                <w:noProof/>
                <w:webHidden/>
              </w:rPr>
              <w:fldChar w:fldCharType="begin"/>
            </w:r>
            <w:r>
              <w:rPr>
                <w:noProof/>
                <w:webHidden/>
              </w:rPr>
              <w:instrText xml:space="preserve"> PAGEREF _Toc55466822 \h </w:instrText>
            </w:r>
            <w:r>
              <w:rPr>
                <w:noProof/>
                <w:webHidden/>
              </w:rPr>
            </w:r>
            <w:r>
              <w:rPr>
                <w:noProof/>
                <w:webHidden/>
              </w:rPr>
              <w:fldChar w:fldCharType="separate"/>
            </w:r>
            <w:r>
              <w:rPr>
                <w:noProof/>
                <w:webHidden/>
              </w:rPr>
              <w:t>15</w:t>
            </w:r>
            <w:r>
              <w:rPr>
                <w:noProof/>
                <w:webHidden/>
              </w:rPr>
              <w:fldChar w:fldCharType="end"/>
            </w:r>
          </w:hyperlink>
        </w:p>
        <w:p w14:paraId="3454EF24" w14:textId="77777777" w:rsidR="00611BAD" w:rsidRDefault="00611BAD">
          <w:pPr>
            <w:pStyle w:val="Obsah3"/>
            <w:rPr>
              <w:rFonts w:asciiTheme="minorHAnsi" w:eastAsiaTheme="minorEastAsia" w:hAnsiTheme="minorHAnsi" w:cstheme="minorBidi"/>
              <w:noProof/>
            </w:rPr>
          </w:pPr>
          <w:hyperlink w:anchor="_Toc55466823" w:history="1">
            <w:r w:rsidRPr="00BE350D">
              <w:rPr>
                <w:rStyle w:val="Hypertextovodkaz"/>
                <w:noProof/>
              </w:rPr>
              <w:t>3.1.3</w:t>
            </w:r>
            <w:r>
              <w:rPr>
                <w:rFonts w:asciiTheme="minorHAnsi" w:eastAsiaTheme="minorEastAsia" w:hAnsiTheme="minorHAnsi" w:cstheme="minorBidi"/>
                <w:noProof/>
              </w:rPr>
              <w:tab/>
            </w:r>
            <w:r w:rsidRPr="00BE350D">
              <w:rPr>
                <w:rStyle w:val="Hypertextovodkaz"/>
                <w:noProof/>
              </w:rPr>
              <w:t>Modul 3: EURAXESS ČR</w:t>
            </w:r>
            <w:r>
              <w:rPr>
                <w:noProof/>
                <w:webHidden/>
              </w:rPr>
              <w:tab/>
            </w:r>
            <w:r>
              <w:rPr>
                <w:noProof/>
                <w:webHidden/>
              </w:rPr>
              <w:fldChar w:fldCharType="begin"/>
            </w:r>
            <w:r>
              <w:rPr>
                <w:noProof/>
                <w:webHidden/>
              </w:rPr>
              <w:instrText xml:space="preserve"> PAGEREF _Toc55466823 \h </w:instrText>
            </w:r>
            <w:r>
              <w:rPr>
                <w:noProof/>
                <w:webHidden/>
              </w:rPr>
            </w:r>
            <w:r>
              <w:rPr>
                <w:noProof/>
                <w:webHidden/>
              </w:rPr>
              <w:fldChar w:fldCharType="separate"/>
            </w:r>
            <w:r>
              <w:rPr>
                <w:noProof/>
                <w:webHidden/>
              </w:rPr>
              <w:t>18</w:t>
            </w:r>
            <w:r>
              <w:rPr>
                <w:noProof/>
                <w:webHidden/>
              </w:rPr>
              <w:fldChar w:fldCharType="end"/>
            </w:r>
          </w:hyperlink>
        </w:p>
        <w:p w14:paraId="39670F4C" w14:textId="77777777" w:rsidR="00611BAD" w:rsidRDefault="00611BAD">
          <w:pPr>
            <w:pStyle w:val="Obsah2"/>
            <w:rPr>
              <w:rFonts w:asciiTheme="minorHAnsi" w:eastAsiaTheme="minorEastAsia" w:hAnsiTheme="minorHAnsi" w:cstheme="minorBidi"/>
              <w:noProof/>
            </w:rPr>
          </w:pPr>
          <w:hyperlink w:anchor="_Toc55466824" w:history="1">
            <w:r w:rsidRPr="00BE350D">
              <w:rPr>
                <w:rStyle w:val="Hypertextovodkaz"/>
                <w:noProof/>
              </w:rPr>
              <w:t>3.2</w:t>
            </w:r>
            <w:r>
              <w:rPr>
                <w:rFonts w:asciiTheme="minorHAnsi" w:eastAsiaTheme="minorEastAsia" w:hAnsiTheme="minorHAnsi" w:cstheme="minorBidi"/>
                <w:noProof/>
              </w:rPr>
              <w:tab/>
            </w:r>
            <w:r w:rsidRPr="00BE350D">
              <w:rPr>
                <w:rStyle w:val="Hypertextovodkaz"/>
                <w:noProof/>
              </w:rPr>
              <w:t>Časový harmonogram realizace projektu</w:t>
            </w:r>
            <w:r>
              <w:rPr>
                <w:noProof/>
                <w:webHidden/>
              </w:rPr>
              <w:tab/>
            </w:r>
            <w:r>
              <w:rPr>
                <w:noProof/>
                <w:webHidden/>
              </w:rPr>
              <w:fldChar w:fldCharType="begin"/>
            </w:r>
            <w:r>
              <w:rPr>
                <w:noProof/>
                <w:webHidden/>
              </w:rPr>
              <w:instrText xml:space="preserve"> PAGEREF _Toc55466824 \h </w:instrText>
            </w:r>
            <w:r>
              <w:rPr>
                <w:noProof/>
                <w:webHidden/>
              </w:rPr>
            </w:r>
            <w:r>
              <w:rPr>
                <w:noProof/>
                <w:webHidden/>
              </w:rPr>
              <w:fldChar w:fldCharType="separate"/>
            </w:r>
            <w:r>
              <w:rPr>
                <w:noProof/>
                <w:webHidden/>
              </w:rPr>
              <w:t>20</w:t>
            </w:r>
            <w:r>
              <w:rPr>
                <w:noProof/>
                <w:webHidden/>
              </w:rPr>
              <w:fldChar w:fldCharType="end"/>
            </w:r>
          </w:hyperlink>
        </w:p>
        <w:p w14:paraId="41C29A92" w14:textId="77777777" w:rsidR="00611BAD" w:rsidRDefault="00611BAD">
          <w:pPr>
            <w:pStyle w:val="Obsah2"/>
            <w:rPr>
              <w:rFonts w:asciiTheme="minorHAnsi" w:eastAsiaTheme="minorEastAsia" w:hAnsiTheme="minorHAnsi" w:cstheme="minorBidi"/>
              <w:noProof/>
            </w:rPr>
          </w:pPr>
          <w:hyperlink w:anchor="_Toc55466825" w:history="1">
            <w:r w:rsidRPr="00BE350D">
              <w:rPr>
                <w:rStyle w:val="Hypertextovodkaz"/>
                <w:noProof/>
              </w:rPr>
              <w:t>3.3</w:t>
            </w:r>
            <w:r>
              <w:rPr>
                <w:rFonts w:asciiTheme="minorHAnsi" w:eastAsiaTheme="minorEastAsia" w:hAnsiTheme="minorHAnsi" w:cstheme="minorBidi"/>
                <w:noProof/>
              </w:rPr>
              <w:tab/>
            </w:r>
            <w:r w:rsidRPr="00BE350D">
              <w:rPr>
                <w:rStyle w:val="Hypertextovodkaz"/>
                <w:noProof/>
              </w:rPr>
              <w:t>Očekávané výsledky a výstupy projektu</w:t>
            </w:r>
            <w:r>
              <w:rPr>
                <w:noProof/>
                <w:webHidden/>
              </w:rPr>
              <w:tab/>
            </w:r>
            <w:r>
              <w:rPr>
                <w:noProof/>
                <w:webHidden/>
              </w:rPr>
              <w:fldChar w:fldCharType="begin"/>
            </w:r>
            <w:r>
              <w:rPr>
                <w:noProof/>
                <w:webHidden/>
              </w:rPr>
              <w:instrText xml:space="preserve"> PAGEREF _Toc55466825 \h </w:instrText>
            </w:r>
            <w:r>
              <w:rPr>
                <w:noProof/>
                <w:webHidden/>
              </w:rPr>
            </w:r>
            <w:r>
              <w:rPr>
                <w:noProof/>
                <w:webHidden/>
              </w:rPr>
              <w:fldChar w:fldCharType="separate"/>
            </w:r>
            <w:r>
              <w:rPr>
                <w:noProof/>
                <w:webHidden/>
              </w:rPr>
              <w:t>21</w:t>
            </w:r>
            <w:r>
              <w:rPr>
                <w:noProof/>
                <w:webHidden/>
              </w:rPr>
              <w:fldChar w:fldCharType="end"/>
            </w:r>
          </w:hyperlink>
        </w:p>
        <w:p w14:paraId="61B0A336" w14:textId="77777777" w:rsidR="00611BAD" w:rsidRDefault="00611BAD">
          <w:pPr>
            <w:pStyle w:val="Obsah1"/>
            <w:rPr>
              <w:rFonts w:asciiTheme="minorHAnsi" w:eastAsiaTheme="minorEastAsia" w:hAnsiTheme="minorHAnsi" w:cstheme="minorBidi"/>
              <w:noProof/>
            </w:rPr>
          </w:pPr>
          <w:hyperlink w:anchor="_Toc55466826" w:history="1">
            <w:r w:rsidRPr="00BE350D">
              <w:rPr>
                <w:rStyle w:val="Hypertextovodkaz"/>
                <w:noProof/>
              </w:rPr>
              <w:t>4</w:t>
            </w:r>
            <w:r>
              <w:rPr>
                <w:rFonts w:asciiTheme="minorHAnsi" w:eastAsiaTheme="minorEastAsia" w:hAnsiTheme="minorHAnsi" w:cstheme="minorBidi"/>
                <w:noProof/>
              </w:rPr>
              <w:tab/>
            </w:r>
            <w:r w:rsidRPr="00BE350D">
              <w:rPr>
                <w:rStyle w:val="Hypertextovodkaz"/>
                <w:noProof/>
              </w:rPr>
              <w:t>FINANČNÍ NÁKLADY</w:t>
            </w:r>
            <w:r>
              <w:rPr>
                <w:noProof/>
                <w:webHidden/>
              </w:rPr>
              <w:tab/>
            </w:r>
            <w:r>
              <w:rPr>
                <w:noProof/>
                <w:webHidden/>
              </w:rPr>
              <w:fldChar w:fldCharType="begin"/>
            </w:r>
            <w:r>
              <w:rPr>
                <w:noProof/>
                <w:webHidden/>
              </w:rPr>
              <w:instrText xml:space="preserve"> PAGEREF _Toc55466826 \h </w:instrText>
            </w:r>
            <w:r>
              <w:rPr>
                <w:noProof/>
                <w:webHidden/>
              </w:rPr>
            </w:r>
            <w:r>
              <w:rPr>
                <w:noProof/>
                <w:webHidden/>
              </w:rPr>
              <w:fldChar w:fldCharType="separate"/>
            </w:r>
            <w:r>
              <w:rPr>
                <w:noProof/>
                <w:webHidden/>
              </w:rPr>
              <w:t>21</w:t>
            </w:r>
            <w:r>
              <w:rPr>
                <w:noProof/>
                <w:webHidden/>
              </w:rPr>
              <w:fldChar w:fldCharType="end"/>
            </w:r>
          </w:hyperlink>
        </w:p>
        <w:p w14:paraId="50723618" w14:textId="77777777" w:rsidR="00611BAD" w:rsidRDefault="00611BAD">
          <w:pPr>
            <w:pStyle w:val="Obsah1"/>
            <w:rPr>
              <w:rFonts w:asciiTheme="minorHAnsi" w:eastAsiaTheme="minorEastAsia" w:hAnsiTheme="minorHAnsi" w:cstheme="minorBidi"/>
              <w:noProof/>
            </w:rPr>
          </w:pPr>
          <w:hyperlink w:anchor="_Toc55466827" w:history="1">
            <w:r w:rsidRPr="00BE350D">
              <w:rPr>
                <w:rStyle w:val="Hypertextovodkaz"/>
                <w:noProof/>
              </w:rPr>
              <w:t>5</w:t>
            </w:r>
            <w:r>
              <w:rPr>
                <w:rFonts w:asciiTheme="minorHAnsi" w:eastAsiaTheme="minorEastAsia" w:hAnsiTheme="minorHAnsi" w:cstheme="minorBidi"/>
                <w:noProof/>
              </w:rPr>
              <w:tab/>
            </w:r>
            <w:r w:rsidRPr="00BE350D">
              <w:rPr>
                <w:rStyle w:val="Hypertextovodkaz"/>
                <w:noProof/>
              </w:rPr>
              <w:t>IMPLEMENTACE</w:t>
            </w:r>
            <w:r>
              <w:rPr>
                <w:noProof/>
                <w:webHidden/>
              </w:rPr>
              <w:tab/>
            </w:r>
            <w:r>
              <w:rPr>
                <w:noProof/>
                <w:webHidden/>
              </w:rPr>
              <w:fldChar w:fldCharType="begin"/>
            </w:r>
            <w:r>
              <w:rPr>
                <w:noProof/>
                <w:webHidden/>
              </w:rPr>
              <w:instrText xml:space="preserve"> PAGEREF _Toc55466827 \h </w:instrText>
            </w:r>
            <w:r>
              <w:rPr>
                <w:noProof/>
                <w:webHidden/>
              </w:rPr>
            </w:r>
            <w:r>
              <w:rPr>
                <w:noProof/>
                <w:webHidden/>
              </w:rPr>
              <w:fldChar w:fldCharType="separate"/>
            </w:r>
            <w:r>
              <w:rPr>
                <w:noProof/>
                <w:webHidden/>
              </w:rPr>
              <w:t>27</w:t>
            </w:r>
            <w:r>
              <w:rPr>
                <w:noProof/>
                <w:webHidden/>
              </w:rPr>
              <w:fldChar w:fldCharType="end"/>
            </w:r>
          </w:hyperlink>
        </w:p>
        <w:p w14:paraId="48920AA3" w14:textId="77777777" w:rsidR="00611BAD" w:rsidRDefault="00611BAD">
          <w:pPr>
            <w:pStyle w:val="Obsah2"/>
            <w:rPr>
              <w:rFonts w:asciiTheme="minorHAnsi" w:eastAsiaTheme="minorEastAsia" w:hAnsiTheme="minorHAnsi" w:cstheme="minorBidi"/>
              <w:noProof/>
            </w:rPr>
          </w:pPr>
          <w:hyperlink w:anchor="_Toc55466829" w:history="1">
            <w:r w:rsidRPr="00BE350D">
              <w:rPr>
                <w:rStyle w:val="Hypertextovodkaz"/>
                <w:noProof/>
              </w:rPr>
              <w:t>5.1</w:t>
            </w:r>
            <w:r>
              <w:rPr>
                <w:rFonts w:asciiTheme="minorHAnsi" w:eastAsiaTheme="minorEastAsia" w:hAnsiTheme="minorHAnsi" w:cstheme="minorBidi"/>
                <w:noProof/>
              </w:rPr>
              <w:tab/>
            </w:r>
            <w:r w:rsidRPr="00BE350D">
              <w:rPr>
                <w:rStyle w:val="Hypertextovodkaz"/>
                <w:noProof/>
              </w:rPr>
              <w:t>Řídicí výbor</w:t>
            </w:r>
            <w:r>
              <w:rPr>
                <w:noProof/>
                <w:webHidden/>
              </w:rPr>
              <w:tab/>
            </w:r>
            <w:r>
              <w:rPr>
                <w:noProof/>
                <w:webHidden/>
              </w:rPr>
              <w:fldChar w:fldCharType="begin"/>
            </w:r>
            <w:r>
              <w:rPr>
                <w:noProof/>
                <w:webHidden/>
              </w:rPr>
              <w:instrText xml:space="preserve"> PAGEREF _Toc55466829 \h </w:instrText>
            </w:r>
            <w:r>
              <w:rPr>
                <w:noProof/>
                <w:webHidden/>
              </w:rPr>
            </w:r>
            <w:r>
              <w:rPr>
                <w:noProof/>
                <w:webHidden/>
              </w:rPr>
              <w:fldChar w:fldCharType="separate"/>
            </w:r>
            <w:r>
              <w:rPr>
                <w:noProof/>
                <w:webHidden/>
              </w:rPr>
              <w:t>27</w:t>
            </w:r>
            <w:r>
              <w:rPr>
                <w:noProof/>
                <w:webHidden/>
              </w:rPr>
              <w:fldChar w:fldCharType="end"/>
            </w:r>
          </w:hyperlink>
        </w:p>
        <w:p w14:paraId="25AEF9D7" w14:textId="77777777" w:rsidR="00611BAD" w:rsidRDefault="00611BAD">
          <w:pPr>
            <w:pStyle w:val="Obsah2"/>
            <w:rPr>
              <w:rFonts w:asciiTheme="minorHAnsi" w:eastAsiaTheme="minorEastAsia" w:hAnsiTheme="minorHAnsi" w:cstheme="minorBidi"/>
              <w:noProof/>
            </w:rPr>
          </w:pPr>
          <w:hyperlink w:anchor="_Toc55466830" w:history="1">
            <w:r w:rsidRPr="00BE350D">
              <w:rPr>
                <w:rStyle w:val="Hypertextovodkaz"/>
                <w:noProof/>
              </w:rPr>
              <w:t>5.2</w:t>
            </w:r>
            <w:r>
              <w:rPr>
                <w:rFonts w:asciiTheme="minorHAnsi" w:eastAsiaTheme="minorEastAsia" w:hAnsiTheme="minorHAnsi" w:cstheme="minorBidi"/>
                <w:noProof/>
              </w:rPr>
              <w:tab/>
            </w:r>
            <w:r w:rsidRPr="00BE350D">
              <w:rPr>
                <w:rStyle w:val="Hypertextovodkaz"/>
                <w:noProof/>
              </w:rPr>
              <w:t>Výkonný výbor</w:t>
            </w:r>
            <w:r>
              <w:rPr>
                <w:noProof/>
                <w:webHidden/>
              </w:rPr>
              <w:tab/>
            </w:r>
            <w:r>
              <w:rPr>
                <w:noProof/>
                <w:webHidden/>
              </w:rPr>
              <w:fldChar w:fldCharType="begin"/>
            </w:r>
            <w:r>
              <w:rPr>
                <w:noProof/>
                <w:webHidden/>
              </w:rPr>
              <w:instrText xml:space="preserve"> PAGEREF _Toc55466830 \h </w:instrText>
            </w:r>
            <w:r>
              <w:rPr>
                <w:noProof/>
                <w:webHidden/>
              </w:rPr>
            </w:r>
            <w:r>
              <w:rPr>
                <w:noProof/>
                <w:webHidden/>
              </w:rPr>
              <w:fldChar w:fldCharType="separate"/>
            </w:r>
            <w:r>
              <w:rPr>
                <w:noProof/>
                <w:webHidden/>
              </w:rPr>
              <w:t>28</w:t>
            </w:r>
            <w:r>
              <w:rPr>
                <w:noProof/>
                <w:webHidden/>
              </w:rPr>
              <w:fldChar w:fldCharType="end"/>
            </w:r>
          </w:hyperlink>
        </w:p>
        <w:p w14:paraId="44B372CA" w14:textId="77777777" w:rsidR="00611BAD" w:rsidRDefault="00611BAD">
          <w:pPr>
            <w:pStyle w:val="Obsah1"/>
            <w:rPr>
              <w:rFonts w:asciiTheme="minorHAnsi" w:eastAsiaTheme="minorEastAsia" w:hAnsiTheme="minorHAnsi" w:cstheme="minorBidi"/>
              <w:noProof/>
            </w:rPr>
          </w:pPr>
          <w:hyperlink w:anchor="_Toc55466831" w:history="1">
            <w:r w:rsidRPr="00BE350D">
              <w:rPr>
                <w:rStyle w:val="Hypertextovodkaz"/>
                <w:noProof/>
              </w:rPr>
              <w:t>6</w:t>
            </w:r>
            <w:r>
              <w:rPr>
                <w:rFonts w:asciiTheme="minorHAnsi" w:eastAsiaTheme="minorEastAsia" w:hAnsiTheme="minorHAnsi" w:cstheme="minorBidi"/>
                <w:noProof/>
              </w:rPr>
              <w:tab/>
            </w:r>
            <w:r w:rsidRPr="00BE350D">
              <w:rPr>
                <w:rStyle w:val="Hypertextovodkaz"/>
                <w:noProof/>
              </w:rPr>
              <w:t>MONITORING a evaluace</w:t>
            </w:r>
            <w:r>
              <w:rPr>
                <w:noProof/>
                <w:webHidden/>
              </w:rPr>
              <w:tab/>
            </w:r>
            <w:r>
              <w:rPr>
                <w:noProof/>
                <w:webHidden/>
              </w:rPr>
              <w:fldChar w:fldCharType="begin"/>
            </w:r>
            <w:r>
              <w:rPr>
                <w:noProof/>
                <w:webHidden/>
              </w:rPr>
              <w:instrText xml:space="preserve"> PAGEREF _Toc55466831 \h </w:instrText>
            </w:r>
            <w:r>
              <w:rPr>
                <w:noProof/>
                <w:webHidden/>
              </w:rPr>
            </w:r>
            <w:r>
              <w:rPr>
                <w:noProof/>
                <w:webHidden/>
              </w:rPr>
              <w:fldChar w:fldCharType="separate"/>
            </w:r>
            <w:r>
              <w:rPr>
                <w:noProof/>
                <w:webHidden/>
              </w:rPr>
              <w:t>28</w:t>
            </w:r>
            <w:r>
              <w:rPr>
                <w:noProof/>
                <w:webHidden/>
              </w:rPr>
              <w:fldChar w:fldCharType="end"/>
            </w:r>
          </w:hyperlink>
        </w:p>
        <w:p w14:paraId="33478660" w14:textId="77777777" w:rsidR="00611BAD" w:rsidRDefault="00611BAD">
          <w:pPr>
            <w:pStyle w:val="Obsah2"/>
            <w:rPr>
              <w:rFonts w:asciiTheme="minorHAnsi" w:eastAsiaTheme="minorEastAsia" w:hAnsiTheme="minorHAnsi" w:cstheme="minorBidi"/>
              <w:noProof/>
            </w:rPr>
          </w:pPr>
          <w:hyperlink w:anchor="_Toc55466832" w:history="1">
            <w:r w:rsidRPr="00BE350D">
              <w:rPr>
                <w:rStyle w:val="Hypertextovodkaz"/>
                <w:noProof/>
              </w:rPr>
              <w:t>6.1</w:t>
            </w:r>
            <w:r>
              <w:rPr>
                <w:rFonts w:asciiTheme="minorHAnsi" w:eastAsiaTheme="minorEastAsia" w:hAnsiTheme="minorHAnsi" w:cstheme="minorBidi"/>
                <w:noProof/>
              </w:rPr>
              <w:tab/>
            </w:r>
            <w:r w:rsidRPr="00BE350D">
              <w:rPr>
                <w:rStyle w:val="Hypertextovodkaz"/>
                <w:noProof/>
              </w:rPr>
              <w:t>Progress report</w:t>
            </w:r>
            <w:r>
              <w:rPr>
                <w:noProof/>
                <w:webHidden/>
              </w:rPr>
              <w:tab/>
            </w:r>
            <w:r>
              <w:rPr>
                <w:noProof/>
                <w:webHidden/>
              </w:rPr>
              <w:fldChar w:fldCharType="begin"/>
            </w:r>
            <w:r>
              <w:rPr>
                <w:noProof/>
                <w:webHidden/>
              </w:rPr>
              <w:instrText xml:space="preserve"> PAGEREF _Toc55466832 \h </w:instrText>
            </w:r>
            <w:r>
              <w:rPr>
                <w:noProof/>
                <w:webHidden/>
              </w:rPr>
            </w:r>
            <w:r>
              <w:rPr>
                <w:noProof/>
                <w:webHidden/>
              </w:rPr>
              <w:fldChar w:fldCharType="separate"/>
            </w:r>
            <w:r>
              <w:rPr>
                <w:noProof/>
                <w:webHidden/>
              </w:rPr>
              <w:t>28</w:t>
            </w:r>
            <w:r>
              <w:rPr>
                <w:noProof/>
                <w:webHidden/>
              </w:rPr>
              <w:fldChar w:fldCharType="end"/>
            </w:r>
          </w:hyperlink>
        </w:p>
        <w:p w14:paraId="59FAE64B" w14:textId="77777777" w:rsidR="00611BAD" w:rsidRDefault="00611BAD">
          <w:pPr>
            <w:pStyle w:val="Obsah2"/>
            <w:rPr>
              <w:rFonts w:asciiTheme="minorHAnsi" w:eastAsiaTheme="minorEastAsia" w:hAnsiTheme="minorHAnsi" w:cstheme="minorBidi"/>
              <w:noProof/>
            </w:rPr>
          </w:pPr>
          <w:hyperlink w:anchor="_Toc55466833" w:history="1">
            <w:r w:rsidRPr="00BE350D">
              <w:rPr>
                <w:rStyle w:val="Hypertextovodkaz"/>
                <w:noProof/>
              </w:rPr>
              <w:t>6.2</w:t>
            </w:r>
            <w:r>
              <w:rPr>
                <w:rFonts w:asciiTheme="minorHAnsi" w:eastAsiaTheme="minorEastAsia" w:hAnsiTheme="minorHAnsi" w:cstheme="minorBidi"/>
                <w:noProof/>
              </w:rPr>
              <w:tab/>
            </w:r>
            <w:r w:rsidRPr="00BE350D">
              <w:rPr>
                <w:rStyle w:val="Hypertextovodkaz"/>
                <w:noProof/>
              </w:rPr>
              <w:t>Annual report</w:t>
            </w:r>
            <w:r>
              <w:rPr>
                <w:noProof/>
                <w:webHidden/>
              </w:rPr>
              <w:tab/>
            </w:r>
            <w:r>
              <w:rPr>
                <w:noProof/>
                <w:webHidden/>
              </w:rPr>
              <w:fldChar w:fldCharType="begin"/>
            </w:r>
            <w:r>
              <w:rPr>
                <w:noProof/>
                <w:webHidden/>
              </w:rPr>
              <w:instrText xml:space="preserve"> PAGEREF _Toc55466833 \h </w:instrText>
            </w:r>
            <w:r>
              <w:rPr>
                <w:noProof/>
                <w:webHidden/>
              </w:rPr>
            </w:r>
            <w:r>
              <w:rPr>
                <w:noProof/>
                <w:webHidden/>
              </w:rPr>
              <w:fldChar w:fldCharType="separate"/>
            </w:r>
            <w:r>
              <w:rPr>
                <w:noProof/>
                <w:webHidden/>
              </w:rPr>
              <w:t>28</w:t>
            </w:r>
            <w:r>
              <w:rPr>
                <w:noProof/>
                <w:webHidden/>
              </w:rPr>
              <w:fldChar w:fldCharType="end"/>
            </w:r>
          </w:hyperlink>
        </w:p>
        <w:p w14:paraId="0961A7C9" w14:textId="77777777" w:rsidR="00611BAD" w:rsidRDefault="00611BAD">
          <w:pPr>
            <w:pStyle w:val="Obsah2"/>
            <w:rPr>
              <w:rFonts w:asciiTheme="minorHAnsi" w:eastAsiaTheme="minorEastAsia" w:hAnsiTheme="minorHAnsi" w:cstheme="minorBidi"/>
              <w:noProof/>
            </w:rPr>
          </w:pPr>
          <w:hyperlink w:anchor="_Toc55466834" w:history="1">
            <w:r w:rsidRPr="00BE350D">
              <w:rPr>
                <w:rStyle w:val="Hypertextovodkaz"/>
                <w:noProof/>
              </w:rPr>
              <w:t>6.3</w:t>
            </w:r>
            <w:r>
              <w:rPr>
                <w:rFonts w:asciiTheme="minorHAnsi" w:eastAsiaTheme="minorEastAsia" w:hAnsiTheme="minorHAnsi" w:cstheme="minorBidi"/>
                <w:noProof/>
              </w:rPr>
              <w:tab/>
            </w:r>
            <w:r w:rsidRPr="00BE350D">
              <w:rPr>
                <w:rStyle w:val="Hypertextovodkaz"/>
                <w:noProof/>
              </w:rPr>
              <w:t>Evaluation report</w:t>
            </w:r>
            <w:r>
              <w:rPr>
                <w:noProof/>
                <w:webHidden/>
              </w:rPr>
              <w:tab/>
            </w:r>
            <w:r>
              <w:rPr>
                <w:noProof/>
                <w:webHidden/>
              </w:rPr>
              <w:fldChar w:fldCharType="begin"/>
            </w:r>
            <w:r>
              <w:rPr>
                <w:noProof/>
                <w:webHidden/>
              </w:rPr>
              <w:instrText xml:space="preserve"> PAGEREF _Toc55466834 \h </w:instrText>
            </w:r>
            <w:r>
              <w:rPr>
                <w:noProof/>
                <w:webHidden/>
              </w:rPr>
            </w:r>
            <w:r>
              <w:rPr>
                <w:noProof/>
                <w:webHidden/>
              </w:rPr>
              <w:fldChar w:fldCharType="separate"/>
            </w:r>
            <w:r>
              <w:rPr>
                <w:noProof/>
                <w:webHidden/>
              </w:rPr>
              <w:t>28</w:t>
            </w:r>
            <w:r>
              <w:rPr>
                <w:noProof/>
                <w:webHidden/>
              </w:rPr>
              <w:fldChar w:fldCharType="end"/>
            </w:r>
          </w:hyperlink>
        </w:p>
        <w:p w14:paraId="026E8A03" w14:textId="77777777" w:rsidR="00611BAD" w:rsidRDefault="00611BAD">
          <w:pPr>
            <w:pStyle w:val="Obsah2"/>
            <w:rPr>
              <w:rFonts w:asciiTheme="minorHAnsi" w:eastAsiaTheme="minorEastAsia" w:hAnsiTheme="minorHAnsi" w:cstheme="minorBidi"/>
              <w:noProof/>
            </w:rPr>
          </w:pPr>
          <w:hyperlink w:anchor="_Toc55466835" w:history="1">
            <w:r w:rsidRPr="00BE350D">
              <w:rPr>
                <w:rStyle w:val="Hypertextovodkaz"/>
                <w:noProof/>
              </w:rPr>
              <w:t>6.4</w:t>
            </w:r>
            <w:r>
              <w:rPr>
                <w:rFonts w:asciiTheme="minorHAnsi" w:eastAsiaTheme="minorEastAsia" w:hAnsiTheme="minorHAnsi" w:cstheme="minorBidi"/>
                <w:noProof/>
              </w:rPr>
              <w:tab/>
            </w:r>
            <w:r w:rsidRPr="00BE350D">
              <w:rPr>
                <w:rStyle w:val="Hypertextovodkaz"/>
                <w:noProof/>
              </w:rPr>
              <w:t>Klíčové výkonnostní indikátory</w:t>
            </w:r>
            <w:r>
              <w:rPr>
                <w:noProof/>
                <w:webHidden/>
              </w:rPr>
              <w:tab/>
            </w:r>
            <w:r>
              <w:rPr>
                <w:noProof/>
                <w:webHidden/>
              </w:rPr>
              <w:fldChar w:fldCharType="begin"/>
            </w:r>
            <w:r>
              <w:rPr>
                <w:noProof/>
                <w:webHidden/>
              </w:rPr>
              <w:instrText xml:space="preserve"> PAGEREF _Toc55466835 \h </w:instrText>
            </w:r>
            <w:r>
              <w:rPr>
                <w:noProof/>
                <w:webHidden/>
              </w:rPr>
            </w:r>
            <w:r>
              <w:rPr>
                <w:noProof/>
                <w:webHidden/>
              </w:rPr>
              <w:fldChar w:fldCharType="separate"/>
            </w:r>
            <w:r>
              <w:rPr>
                <w:noProof/>
                <w:webHidden/>
              </w:rPr>
              <w:t>29</w:t>
            </w:r>
            <w:r>
              <w:rPr>
                <w:noProof/>
                <w:webHidden/>
              </w:rPr>
              <w:fldChar w:fldCharType="end"/>
            </w:r>
          </w:hyperlink>
        </w:p>
        <w:p w14:paraId="023AFB05" w14:textId="77777777" w:rsidR="009C249A" w:rsidRDefault="009C249A" w:rsidP="009C249A">
          <w:pPr>
            <w:pStyle w:val="Obsah1"/>
            <w:rPr>
              <w:rFonts w:ascii="Calibri" w:eastAsia="Calibri" w:hAnsi="Calibri" w:cs="Calibri"/>
              <w:color w:val="000000"/>
            </w:rPr>
          </w:pPr>
          <w:r>
            <w:fldChar w:fldCharType="end"/>
          </w:r>
        </w:p>
      </w:sdtContent>
    </w:sdt>
    <w:p w14:paraId="2BBCB207" w14:textId="77777777" w:rsidR="009C249A" w:rsidRDefault="009C249A" w:rsidP="009C249A">
      <w:pPr>
        <w:pBdr>
          <w:top w:val="nil"/>
          <w:left w:val="nil"/>
          <w:bottom w:val="nil"/>
          <w:right w:val="nil"/>
          <w:between w:val="nil"/>
        </w:pBdr>
        <w:tabs>
          <w:tab w:val="left" w:pos="709"/>
          <w:tab w:val="right" w:pos="9062"/>
        </w:tabs>
        <w:spacing w:after="0"/>
        <w:ind w:left="221"/>
        <w:rPr>
          <w:color w:val="000000"/>
        </w:rPr>
      </w:pPr>
      <w:r>
        <w:br w:type="page"/>
      </w:r>
    </w:p>
    <w:p w14:paraId="01068DC4" w14:textId="77777777" w:rsidR="009C249A" w:rsidRDefault="009C249A" w:rsidP="00D046E4">
      <w:pPr>
        <w:pStyle w:val="Nadpis1"/>
        <w:numPr>
          <w:ilvl w:val="0"/>
          <w:numId w:val="3"/>
        </w:numPr>
        <w:spacing w:before="240" w:after="240" w:line="240" w:lineRule="auto"/>
        <w:ind w:left="431" w:hanging="431"/>
        <w:jc w:val="both"/>
      </w:pPr>
      <w:bookmarkStart w:id="1" w:name="_Toc40123710"/>
      <w:bookmarkStart w:id="2" w:name="_Toc55466806"/>
      <w:r>
        <w:lastRenderedPageBreak/>
        <w:t>OBECNÉ CHARAKTERISTIKY</w:t>
      </w:r>
      <w:bookmarkEnd w:id="1"/>
      <w:bookmarkEnd w:id="2"/>
    </w:p>
    <w:p w14:paraId="73794CCD" w14:textId="77777777" w:rsidR="009C249A" w:rsidRDefault="009C249A" w:rsidP="00646A82">
      <w:pPr>
        <w:pStyle w:val="Nadpis2"/>
      </w:pPr>
      <w:bookmarkStart w:id="3" w:name="_Toc40123711"/>
      <w:bookmarkStart w:id="4" w:name="_Toc55466807"/>
      <w:r>
        <w:t>Základní informace</w:t>
      </w:r>
      <w:bookmarkEnd w:id="3"/>
      <w:r>
        <w:t xml:space="preserve"> o projektu</w:t>
      </w:r>
      <w:bookmarkEnd w:id="4"/>
    </w:p>
    <w:tbl>
      <w:tblPr>
        <w:tblW w:w="9038" w:type="dxa"/>
        <w:tblLayout w:type="fixed"/>
        <w:tblLook w:val="0400" w:firstRow="0" w:lastRow="0" w:firstColumn="0" w:lastColumn="0" w:noHBand="0" w:noVBand="1"/>
      </w:tblPr>
      <w:tblGrid>
        <w:gridCol w:w="2824"/>
        <w:gridCol w:w="6214"/>
      </w:tblGrid>
      <w:tr w:rsidR="009C249A" w14:paraId="164BE4FF"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441F3" w14:textId="77777777" w:rsidR="009C249A" w:rsidRDefault="009C249A" w:rsidP="009C249A">
            <w:pPr>
              <w:spacing w:before="120" w:after="120" w:line="240" w:lineRule="auto"/>
            </w:pPr>
            <w: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2AE77" w14:textId="728B6B57" w:rsidR="009C249A" w:rsidRPr="00531036" w:rsidRDefault="009C249A" w:rsidP="009C249A">
            <w:pPr>
              <w:spacing w:before="120" w:after="120" w:line="240" w:lineRule="auto"/>
              <w:jc w:val="both"/>
              <w:rPr>
                <w:b/>
              </w:rPr>
            </w:pPr>
            <w:r w:rsidRPr="00531036">
              <w:t xml:space="preserve">Prohloubení </w:t>
            </w:r>
            <w:sdt>
              <w:sdtPr>
                <w:tag w:val="goog_rdk_0"/>
                <w:id w:val="-843704385"/>
              </w:sdtPr>
              <w:sdtEndPr/>
              <w:sdtContent/>
            </w:sdt>
            <w:r w:rsidRPr="00531036">
              <w:t>integrace výzkumného a inovačního ekosystému ČR do Evropského výzkumného prostoru a podpora intenzivní mezinárodní spo</w:t>
            </w:r>
            <w:r>
              <w:t>lupráce výzkumných organizací a </w:t>
            </w:r>
            <w:r w:rsidRPr="00531036">
              <w:t>podniků ČR ve výzkumu, vývoji a inovacích</w:t>
            </w:r>
          </w:p>
        </w:tc>
      </w:tr>
      <w:tr w:rsidR="009C249A" w14:paraId="332874C0"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CD556" w14:textId="77777777" w:rsidR="009C249A" w:rsidRDefault="009C249A" w:rsidP="009C249A">
            <w:pPr>
              <w:spacing w:before="120" w:after="120" w:line="240" w:lineRule="auto"/>
            </w:pPr>
            <w:r>
              <w:t>Akronym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1481E" w14:textId="77777777" w:rsidR="009C249A" w:rsidRDefault="009C249A" w:rsidP="009C249A">
            <w:pPr>
              <w:spacing w:before="120" w:after="120" w:line="240" w:lineRule="auto"/>
            </w:pPr>
            <w:r>
              <w:t>CZERA</w:t>
            </w:r>
          </w:p>
        </w:tc>
      </w:tr>
      <w:tr w:rsidR="008055CB" w14:paraId="75FD5090" w14:textId="77777777" w:rsidTr="008055CB">
        <w:tc>
          <w:tcPr>
            <w:tcW w:w="2824" w:type="dxa"/>
            <w:tcBorders>
              <w:top w:val="single" w:sz="4" w:space="0" w:color="000000"/>
              <w:left w:val="single" w:sz="4" w:space="0" w:color="000000"/>
              <w:bottom w:val="single" w:sz="4" w:space="0" w:color="000000"/>
              <w:right w:val="single" w:sz="4" w:space="0" w:color="000000"/>
            </w:tcBorders>
            <w:vAlign w:val="center"/>
            <w:hideMark/>
          </w:tcPr>
          <w:p w14:paraId="4608BCF1" w14:textId="77777777" w:rsidR="008055CB" w:rsidRDefault="008055CB">
            <w:pPr>
              <w:spacing w:before="120" w:after="120" w:line="240" w:lineRule="auto"/>
              <w:rPr>
                <w:lang w:eastAsia="en-US"/>
              </w:rPr>
            </w:pPr>
            <w:r>
              <w:rPr>
                <w:lang w:eastAsia="en-US"/>
              </w:rPr>
              <w:t>Příjemce</w:t>
            </w:r>
          </w:p>
        </w:tc>
        <w:tc>
          <w:tcPr>
            <w:tcW w:w="6214" w:type="dxa"/>
            <w:tcBorders>
              <w:top w:val="single" w:sz="4" w:space="0" w:color="000000"/>
              <w:left w:val="single" w:sz="4" w:space="0" w:color="000000"/>
              <w:bottom w:val="single" w:sz="4" w:space="0" w:color="000000"/>
              <w:right w:val="single" w:sz="4" w:space="0" w:color="000000"/>
            </w:tcBorders>
            <w:vAlign w:val="center"/>
            <w:hideMark/>
          </w:tcPr>
          <w:p w14:paraId="58454F3A" w14:textId="77777777" w:rsidR="008055CB" w:rsidRDefault="008055CB">
            <w:pPr>
              <w:spacing w:before="120" w:after="120" w:line="240" w:lineRule="auto"/>
              <w:rPr>
                <w:lang w:eastAsia="en-US"/>
              </w:rPr>
            </w:pPr>
            <w:r>
              <w:rPr>
                <w:lang w:eastAsia="en-US"/>
              </w:rPr>
              <w:t xml:space="preserve">Technologické centrum AV </w:t>
            </w:r>
            <w:proofErr w:type="gramStart"/>
            <w:r>
              <w:rPr>
                <w:lang w:eastAsia="en-US"/>
              </w:rPr>
              <w:t xml:space="preserve">ČR, </w:t>
            </w:r>
            <w:proofErr w:type="spellStart"/>
            <w:r>
              <w:rPr>
                <w:lang w:eastAsia="en-US"/>
              </w:rPr>
              <w:t>z.s.</w:t>
            </w:r>
            <w:proofErr w:type="gramEnd"/>
            <w:r>
              <w:rPr>
                <w:lang w:eastAsia="en-US"/>
              </w:rPr>
              <w:t>p.o</w:t>
            </w:r>
            <w:proofErr w:type="spellEnd"/>
            <w:r>
              <w:rPr>
                <w:lang w:eastAsia="en-US"/>
              </w:rPr>
              <w:t xml:space="preserve">.  </w:t>
            </w:r>
          </w:p>
        </w:tc>
      </w:tr>
      <w:tr w:rsidR="008055CB" w14:paraId="3E6C855C" w14:textId="77777777" w:rsidTr="008055CB">
        <w:tc>
          <w:tcPr>
            <w:tcW w:w="2824" w:type="dxa"/>
            <w:tcBorders>
              <w:top w:val="single" w:sz="4" w:space="0" w:color="000000"/>
              <w:left w:val="single" w:sz="4" w:space="0" w:color="000000"/>
              <w:bottom w:val="single" w:sz="4" w:space="0" w:color="000000"/>
              <w:right w:val="single" w:sz="4" w:space="0" w:color="000000"/>
            </w:tcBorders>
            <w:vAlign w:val="center"/>
            <w:hideMark/>
          </w:tcPr>
          <w:p w14:paraId="1208A51E" w14:textId="77777777" w:rsidR="008055CB" w:rsidRDefault="008055CB">
            <w:pPr>
              <w:spacing w:before="120" w:after="120" w:line="240" w:lineRule="auto"/>
              <w:rPr>
                <w:lang w:eastAsia="en-US"/>
              </w:rPr>
            </w:pPr>
            <w:r>
              <w:rPr>
                <w:lang w:eastAsia="en-US"/>
              </w:rPr>
              <w:t>Další účastníci</w:t>
            </w:r>
          </w:p>
        </w:tc>
        <w:tc>
          <w:tcPr>
            <w:tcW w:w="6214" w:type="dxa"/>
            <w:tcBorders>
              <w:top w:val="single" w:sz="4" w:space="0" w:color="000000"/>
              <w:left w:val="single" w:sz="4" w:space="0" w:color="000000"/>
              <w:bottom w:val="single" w:sz="4" w:space="0" w:color="000000"/>
              <w:right w:val="single" w:sz="4" w:space="0" w:color="000000"/>
            </w:tcBorders>
            <w:vAlign w:val="center"/>
            <w:hideMark/>
          </w:tcPr>
          <w:p w14:paraId="70B32CAA" w14:textId="77777777" w:rsidR="008055CB" w:rsidRDefault="008055CB">
            <w:pPr>
              <w:spacing w:before="120" w:after="120" w:line="240" w:lineRule="auto"/>
              <w:rPr>
                <w:lang w:eastAsia="en-US"/>
              </w:rPr>
            </w:pPr>
            <w:r>
              <w:rPr>
                <w:lang w:eastAsia="en-US"/>
              </w:rPr>
              <w:t xml:space="preserve">Sociologický ústav AV ČR, </w:t>
            </w:r>
            <w:proofErr w:type="spellStart"/>
            <w:proofErr w:type="gramStart"/>
            <w:r>
              <w:rPr>
                <w:lang w:eastAsia="en-US"/>
              </w:rPr>
              <w:t>v.v.</w:t>
            </w:r>
            <w:proofErr w:type="gramEnd"/>
            <w:r>
              <w:rPr>
                <w:lang w:eastAsia="en-US"/>
              </w:rPr>
              <w:t>i</w:t>
            </w:r>
            <w:proofErr w:type="spellEnd"/>
            <w:r>
              <w:rPr>
                <w:lang w:eastAsia="en-US"/>
              </w:rPr>
              <w:t>.</w:t>
            </w:r>
          </w:p>
          <w:p w14:paraId="42547DD7" w14:textId="3C825983" w:rsidR="008055CB" w:rsidRDefault="008055CB">
            <w:pPr>
              <w:spacing w:before="120" w:after="120" w:line="240" w:lineRule="auto"/>
              <w:rPr>
                <w:lang w:eastAsia="en-US"/>
              </w:rPr>
            </w:pPr>
            <w:r>
              <w:rPr>
                <w:lang w:eastAsia="en-US"/>
              </w:rPr>
              <w:t xml:space="preserve">Středisko společných činností AV ČR, </w:t>
            </w:r>
            <w:proofErr w:type="spellStart"/>
            <w:proofErr w:type="gramStart"/>
            <w:r>
              <w:rPr>
                <w:lang w:eastAsia="en-US"/>
              </w:rPr>
              <w:t>v.v.</w:t>
            </w:r>
            <w:proofErr w:type="gramEnd"/>
            <w:r>
              <w:rPr>
                <w:lang w:eastAsia="en-US"/>
              </w:rPr>
              <w:t>i</w:t>
            </w:r>
            <w:proofErr w:type="spellEnd"/>
            <w:r>
              <w:rPr>
                <w:lang w:eastAsia="en-US"/>
              </w:rPr>
              <w:t>.</w:t>
            </w:r>
          </w:p>
        </w:tc>
      </w:tr>
      <w:tr w:rsidR="009C249A" w14:paraId="249A11FE"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AD8F6" w14:textId="77777777" w:rsidR="009C249A" w:rsidRDefault="009C249A" w:rsidP="009C249A">
            <w:pPr>
              <w:spacing w:before="120" w:after="120" w:line="240" w:lineRule="auto"/>
            </w:pPr>
            <w: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21EF3" w14:textId="77777777" w:rsidR="009C249A" w:rsidRDefault="009C249A" w:rsidP="009C249A">
            <w:pPr>
              <w:spacing w:before="120" w:after="120" w:line="240" w:lineRule="auto"/>
            </w:pPr>
            <w:r>
              <w:t>1. ledna 2021 – 31. prosince 2027</w:t>
            </w:r>
          </w:p>
        </w:tc>
      </w:tr>
      <w:tr w:rsidR="009C249A" w14:paraId="76D49CE4" w14:textId="77777777" w:rsidTr="008055CB">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0FC37" w14:textId="77777777" w:rsidR="009C249A" w:rsidRDefault="009C249A" w:rsidP="009C249A">
            <w:pPr>
              <w:spacing w:before="120" w:after="120" w:line="240" w:lineRule="auto"/>
            </w:pPr>
            <w: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893A3" w14:textId="35AF32D4" w:rsidR="009C249A" w:rsidRDefault="007A4229" w:rsidP="0073796E">
            <w:pPr>
              <w:spacing w:before="120" w:after="120" w:line="240" w:lineRule="auto"/>
            </w:pPr>
            <w:r w:rsidRPr="007A4229">
              <w:t>289 886 05</w:t>
            </w:r>
            <w:r w:rsidR="006A0C47">
              <w:t>6</w:t>
            </w:r>
            <w:r w:rsidRPr="007A4229">
              <w:t>,- Kč</w:t>
            </w:r>
          </w:p>
        </w:tc>
      </w:tr>
    </w:tbl>
    <w:p w14:paraId="5593DE5F" w14:textId="77777777" w:rsidR="009C249A" w:rsidRDefault="009C249A" w:rsidP="00646A82">
      <w:pPr>
        <w:pStyle w:val="Nadpis2"/>
      </w:pPr>
      <w:bookmarkStart w:id="5" w:name="_Toc40123712"/>
      <w:bookmarkStart w:id="6" w:name="_Toc55466808"/>
      <w:r w:rsidRPr="00210824">
        <w:t>Anotace projektu</w:t>
      </w:r>
      <w:bookmarkEnd w:id="5"/>
      <w:bookmarkEnd w:id="6"/>
    </w:p>
    <w:p w14:paraId="24C6D2FB" w14:textId="42195AD4" w:rsidR="009C249A" w:rsidRDefault="009C249A" w:rsidP="009C249A">
      <w:pPr>
        <w:pBdr>
          <w:top w:val="nil"/>
          <w:left w:val="nil"/>
          <w:bottom w:val="nil"/>
          <w:right w:val="nil"/>
          <w:between w:val="nil"/>
        </w:pBdr>
        <w:spacing w:after="0" w:line="240" w:lineRule="auto"/>
        <w:jc w:val="both"/>
        <w:rPr>
          <w:rFonts w:eastAsia="Verdana"/>
        </w:rPr>
      </w:pPr>
      <w:r>
        <w:rPr>
          <w:rFonts w:eastAsia="Verdana"/>
        </w:rPr>
        <w:t xml:space="preserve">Projekt sdílených činností, zaměřený na další </w:t>
      </w:r>
      <w:r>
        <w:rPr>
          <w:color w:val="000000"/>
        </w:rPr>
        <w:t>p</w:t>
      </w:r>
      <w:r w:rsidRPr="00A712AC">
        <w:rPr>
          <w:color w:val="000000"/>
        </w:rPr>
        <w:t xml:space="preserve">rohloubení </w:t>
      </w:r>
      <w:sdt>
        <w:sdtPr>
          <w:tag w:val="goog_rdk_0"/>
          <w:id w:val="-2061321245"/>
        </w:sdtPr>
        <w:sdtEndPr/>
        <w:sdtContent/>
      </w:sdt>
      <w:r w:rsidRPr="00A712AC">
        <w:rPr>
          <w:color w:val="000000"/>
        </w:rPr>
        <w:t xml:space="preserve">integrace výzkumného a inovačního </w:t>
      </w:r>
      <w:r>
        <w:rPr>
          <w:color w:val="000000"/>
        </w:rPr>
        <w:t>eko</w:t>
      </w:r>
      <w:r w:rsidRPr="00A712AC">
        <w:rPr>
          <w:color w:val="000000"/>
        </w:rPr>
        <w:t xml:space="preserve">systému ČR </w:t>
      </w:r>
      <w:r>
        <w:rPr>
          <w:color w:val="000000"/>
        </w:rPr>
        <w:t>do</w:t>
      </w:r>
      <w:r w:rsidRPr="00A712AC">
        <w:rPr>
          <w:color w:val="000000"/>
        </w:rPr>
        <w:t xml:space="preserve"> Evropského výzkumného prostoru </w:t>
      </w:r>
      <w:r>
        <w:rPr>
          <w:rFonts w:eastAsia="Verdana"/>
        </w:rPr>
        <w:t>(dále jen „</w:t>
      </w:r>
      <w:r w:rsidRPr="00A712AC">
        <w:rPr>
          <w:rFonts w:eastAsia="Verdana"/>
        </w:rPr>
        <w:t>ERA</w:t>
      </w:r>
      <w:r>
        <w:rPr>
          <w:rFonts w:eastAsia="Verdana"/>
        </w:rPr>
        <w:t xml:space="preserve">“) </w:t>
      </w:r>
      <w:r w:rsidRPr="00A712AC">
        <w:rPr>
          <w:color w:val="000000"/>
        </w:rPr>
        <w:t>a </w:t>
      </w:r>
      <w:r>
        <w:rPr>
          <w:color w:val="000000"/>
        </w:rPr>
        <w:t xml:space="preserve">podporu </w:t>
      </w:r>
      <w:r w:rsidRPr="00A712AC">
        <w:rPr>
          <w:color w:val="000000"/>
        </w:rPr>
        <w:t xml:space="preserve">intenzivní mezinárodní spolupráce výzkumných organizací a podniků ČR </w:t>
      </w:r>
      <w:r>
        <w:rPr>
          <w:color w:val="000000"/>
        </w:rPr>
        <w:t xml:space="preserve">ve </w:t>
      </w:r>
      <w:r w:rsidR="00B17172">
        <w:rPr>
          <w:color w:val="000000"/>
        </w:rPr>
        <w:t>výzkumu, vývoji a inovacích (dále jen „</w:t>
      </w:r>
      <w:proofErr w:type="spellStart"/>
      <w:r>
        <w:rPr>
          <w:color w:val="000000"/>
        </w:rPr>
        <w:t>VaVaI</w:t>
      </w:r>
      <w:proofErr w:type="spellEnd"/>
      <w:r w:rsidR="00B17172">
        <w:rPr>
          <w:color w:val="000000"/>
        </w:rPr>
        <w:t>“)</w:t>
      </w:r>
      <w:r>
        <w:rPr>
          <w:color w:val="000000"/>
        </w:rPr>
        <w:t xml:space="preserve">, si klade za </w:t>
      </w:r>
      <w:r w:rsidR="00646A82">
        <w:rPr>
          <w:color w:val="000000"/>
        </w:rPr>
        <w:t xml:space="preserve">stěžejní </w:t>
      </w:r>
      <w:r>
        <w:rPr>
          <w:color w:val="000000"/>
        </w:rPr>
        <w:t xml:space="preserve">cíl </w:t>
      </w:r>
      <w:r w:rsidRPr="00F242E4">
        <w:rPr>
          <w:rFonts w:eastAsia="Verdana"/>
          <w:b/>
        </w:rPr>
        <w:t xml:space="preserve">poskytnout všem zúčastněným </w:t>
      </w:r>
      <w:proofErr w:type="spellStart"/>
      <w:r w:rsidRPr="00F242E4">
        <w:rPr>
          <w:rFonts w:eastAsia="Verdana"/>
          <w:b/>
        </w:rPr>
        <w:t>st</w:t>
      </w:r>
      <w:r w:rsidR="00646A82">
        <w:rPr>
          <w:rFonts w:eastAsia="Verdana"/>
          <w:b/>
        </w:rPr>
        <w:t>akeholderům</w:t>
      </w:r>
      <w:proofErr w:type="spellEnd"/>
      <w:r w:rsidR="00646A82">
        <w:rPr>
          <w:rFonts w:eastAsia="Verdana"/>
          <w:b/>
        </w:rPr>
        <w:t xml:space="preserve"> z prostředí </w:t>
      </w:r>
      <w:proofErr w:type="spellStart"/>
      <w:r w:rsidR="00646A82">
        <w:rPr>
          <w:rFonts w:eastAsia="Verdana"/>
          <w:b/>
        </w:rPr>
        <w:t>VaVaI</w:t>
      </w:r>
      <w:proofErr w:type="spellEnd"/>
      <w:r w:rsidR="00646A82">
        <w:rPr>
          <w:rFonts w:eastAsia="Verdana"/>
          <w:b/>
        </w:rPr>
        <w:t xml:space="preserve"> v </w:t>
      </w:r>
      <w:r w:rsidRPr="00F242E4">
        <w:rPr>
          <w:rFonts w:eastAsia="Verdana"/>
          <w:b/>
        </w:rPr>
        <w:t xml:space="preserve">ČR </w:t>
      </w:r>
      <w:r w:rsidRPr="00B844E3">
        <w:rPr>
          <w:rFonts w:eastAsia="Verdana"/>
          <w:b/>
        </w:rPr>
        <w:t>kompletní portfolio služeb analytického, informačního, poradenského a konzultačního charakteru</w:t>
      </w:r>
      <w:r>
        <w:rPr>
          <w:rFonts w:eastAsia="Verdana"/>
        </w:rPr>
        <w:t xml:space="preserve">, </w:t>
      </w:r>
      <w:r w:rsidR="00646A82">
        <w:rPr>
          <w:rFonts w:eastAsia="Verdana"/>
        </w:rPr>
        <w:t>které</w:t>
      </w:r>
      <w:r>
        <w:rPr>
          <w:rFonts w:eastAsia="Verdana"/>
        </w:rPr>
        <w:t xml:space="preserve"> jsou neodmyslitelně spjaty s nároky kladenými na zapojení do mezinárodní spolupráce ve </w:t>
      </w:r>
      <w:proofErr w:type="spellStart"/>
      <w:r>
        <w:rPr>
          <w:rFonts w:eastAsia="Verdana"/>
        </w:rPr>
        <w:t>VaVaI</w:t>
      </w:r>
      <w:proofErr w:type="spellEnd"/>
      <w:r>
        <w:rPr>
          <w:rFonts w:eastAsia="Verdana"/>
        </w:rPr>
        <w:t>.</w:t>
      </w:r>
    </w:p>
    <w:p w14:paraId="7A98B34F" w14:textId="77777777" w:rsidR="009C249A" w:rsidRDefault="009C249A" w:rsidP="009C249A">
      <w:pPr>
        <w:spacing w:after="0" w:line="240" w:lineRule="auto"/>
        <w:jc w:val="both"/>
        <w:rPr>
          <w:rFonts w:eastAsia="Verdana"/>
        </w:rPr>
      </w:pPr>
    </w:p>
    <w:p w14:paraId="49D7E8F3" w14:textId="77777777" w:rsidR="00646A82" w:rsidRDefault="009C249A" w:rsidP="009C249A">
      <w:pPr>
        <w:spacing w:after="0" w:line="240" w:lineRule="auto"/>
        <w:jc w:val="both"/>
        <w:rPr>
          <w:rFonts w:eastAsia="Verdana"/>
        </w:rPr>
      </w:pPr>
      <w:r>
        <w:rPr>
          <w:rFonts w:eastAsia="Verdana"/>
        </w:rPr>
        <w:t>Řešitel</w:t>
      </w:r>
      <w:r w:rsidRPr="00A712AC">
        <w:rPr>
          <w:rFonts w:eastAsia="Verdana"/>
        </w:rPr>
        <w:t xml:space="preserve"> projektu </w:t>
      </w:r>
      <w:r>
        <w:rPr>
          <w:rFonts w:eastAsia="Verdana"/>
        </w:rPr>
        <w:t xml:space="preserve">sdílených činností – </w:t>
      </w:r>
      <w:r>
        <w:rPr>
          <w:rFonts w:eastAsia="Verdana"/>
          <w:b/>
        </w:rPr>
        <w:t xml:space="preserve">Technologické centrum AV </w:t>
      </w:r>
      <w:r w:rsidRPr="00787B64">
        <w:rPr>
          <w:rFonts w:eastAsia="Verdana"/>
          <w:b/>
        </w:rPr>
        <w:t>ČR</w:t>
      </w:r>
      <w:r>
        <w:rPr>
          <w:rFonts w:eastAsia="Verdana"/>
        </w:rPr>
        <w:t xml:space="preserve"> (dále jen „TC AV</w:t>
      </w:r>
      <w:r w:rsidR="00646A82">
        <w:rPr>
          <w:rFonts w:eastAsia="Verdana"/>
        </w:rPr>
        <w:t xml:space="preserve"> </w:t>
      </w:r>
      <w:r>
        <w:rPr>
          <w:rFonts w:eastAsia="Verdana"/>
        </w:rPr>
        <w:t>ČR“) – p</w:t>
      </w:r>
      <w:r w:rsidRPr="00A712AC">
        <w:rPr>
          <w:rFonts w:eastAsia="Verdana"/>
        </w:rPr>
        <w:t xml:space="preserve">oskytne </w:t>
      </w:r>
      <w:r>
        <w:rPr>
          <w:rFonts w:eastAsia="Verdana"/>
        </w:rPr>
        <w:t xml:space="preserve">orgánům </w:t>
      </w:r>
      <w:r w:rsidRPr="00A712AC">
        <w:rPr>
          <w:rFonts w:eastAsia="Verdana"/>
        </w:rPr>
        <w:t>státní spr</w:t>
      </w:r>
      <w:r>
        <w:rPr>
          <w:rFonts w:eastAsia="Verdana"/>
        </w:rPr>
        <w:t>ávy</w:t>
      </w:r>
      <w:r w:rsidR="00646A82">
        <w:rPr>
          <w:rFonts w:eastAsia="Verdana"/>
        </w:rPr>
        <w:t xml:space="preserve"> ČR </w:t>
      </w:r>
      <w:r w:rsidR="00B17172">
        <w:rPr>
          <w:rFonts w:eastAsia="Verdana"/>
        </w:rPr>
        <w:t xml:space="preserve">odpovědným za výkon agendy </w:t>
      </w:r>
      <w:proofErr w:type="spellStart"/>
      <w:r>
        <w:rPr>
          <w:rFonts w:eastAsia="Verdana"/>
        </w:rPr>
        <w:t>VaVaI</w:t>
      </w:r>
      <w:proofErr w:type="spellEnd"/>
      <w:r>
        <w:rPr>
          <w:rFonts w:eastAsia="Verdana"/>
        </w:rPr>
        <w:t>, a současně, resp. zejména výzkumným organizacím a podnikům ČR,</w:t>
      </w:r>
      <w:r w:rsidRPr="00A712AC">
        <w:rPr>
          <w:rFonts w:eastAsia="Verdana"/>
        </w:rPr>
        <w:t xml:space="preserve"> expertní podporu, která povede k vytváření </w:t>
      </w:r>
      <w:r>
        <w:rPr>
          <w:rFonts w:eastAsia="Verdana"/>
        </w:rPr>
        <w:t xml:space="preserve">příznivého </w:t>
      </w:r>
      <w:r w:rsidRPr="00A712AC">
        <w:rPr>
          <w:rFonts w:eastAsia="Verdana"/>
        </w:rPr>
        <w:t xml:space="preserve">prostředí </w:t>
      </w:r>
      <w:r>
        <w:rPr>
          <w:rFonts w:eastAsia="Verdana"/>
        </w:rPr>
        <w:t>pro intenzivní účast ČR v</w:t>
      </w:r>
      <w:r w:rsidR="00646A82">
        <w:rPr>
          <w:rFonts w:eastAsia="Verdana"/>
        </w:rPr>
        <w:t xml:space="preserve"> novém </w:t>
      </w:r>
      <w:r w:rsidR="00970F25">
        <w:t>9. rámcovém programu EU pro výzkum a inovace Horizontu Evropa, který bude prováděn v letech 2021 až 2027 (dále jen „FP9“)</w:t>
      </w:r>
      <w:r>
        <w:rPr>
          <w:rFonts w:eastAsia="Verdana"/>
        </w:rPr>
        <w:t xml:space="preserve">, jakož i </w:t>
      </w:r>
      <w:r w:rsidR="00646A82">
        <w:rPr>
          <w:rFonts w:eastAsia="Verdana"/>
        </w:rPr>
        <w:t xml:space="preserve">v </w:t>
      </w:r>
      <w:r>
        <w:rPr>
          <w:rFonts w:eastAsia="Verdana"/>
        </w:rPr>
        <w:t xml:space="preserve">dalších mezinárodních iniciativách a programech </w:t>
      </w:r>
      <w:proofErr w:type="spellStart"/>
      <w:r>
        <w:rPr>
          <w:rFonts w:eastAsia="Verdana"/>
        </w:rPr>
        <w:t>VaVaI</w:t>
      </w:r>
      <w:proofErr w:type="spellEnd"/>
      <w:r w:rsidRPr="00A712AC">
        <w:rPr>
          <w:rFonts w:eastAsia="Verdana"/>
        </w:rPr>
        <w:t xml:space="preserve">. </w:t>
      </w:r>
      <w:r>
        <w:rPr>
          <w:rFonts w:eastAsia="Verdana"/>
        </w:rPr>
        <w:t xml:space="preserve">Tato podpora bude </w:t>
      </w:r>
      <w:r w:rsidR="00646A82">
        <w:rPr>
          <w:rFonts w:eastAsia="Verdana"/>
        </w:rPr>
        <w:t xml:space="preserve">přitom </w:t>
      </w:r>
      <w:r w:rsidRPr="00A712AC">
        <w:rPr>
          <w:rFonts w:eastAsia="Verdana"/>
        </w:rPr>
        <w:t xml:space="preserve">účinně </w:t>
      </w:r>
      <w:r>
        <w:rPr>
          <w:rFonts w:eastAsia="Verdana"/>
        </w:rPr>
        <w:t>pro</w:t>
      </w:r>
      <w:r w:rsidRPr="00A712AC">
        <w:rPr>
          <w:rFonts w:eastAsia="Verdana"/>
        </w:rPr>
        <w:t>v</w:t>
      </w:r>
      <w:r>
        <w:rPr>
          <w:rFonts w:eastAsia="Verdana"/>
        </w:rPr>
        <w:t xml:space="preserve">ázána </w:t>
      </w:r>
      <w:r w:rsidR="00646A82">
        <w:rPr>
          <w:rFonts w:eastAsia="Verdana"/>
        </w:rPr>
        <w:t xml:space="preserve">i </w:t>
      </w:r>
      <w:r>
        <w:rPr>
          <w:rFonts w:eastAsia="Verdana"/>
        </w:rPr>
        <w:t>s</w:t>
      </w:r>
      <w:r w:rsidRPr="00A712AC">
        <w:rPr>
          <w:rFonts w:eastAsia="Verdana"/>
        </w:rPr>
        <w:t xml:space="preserve"> aktivit</w:t>
      </w:r>
      <w:r>
        <w:rPr>
          <w:rFonts w:eastAsia="Verdana"/>
        </w:rPr>
        <w:t xml:space="preserve">ami centra </w:t>
      </w:r>
      <w:r w:rsidRPr="0072646D">
        <w:rPr>
          <w:rFonts w:eastAsia="Verdana"/>
          <w:b/>
        </w:rPr>
        <w:t>EURAXESS</w:t>
      </w:r>
      <w:r>
        <w:rPr>
          <w:rFonts w:eastAsia="Verdana"/>
          <w:b/>
        </w:rPr>
        <w:t xml:space="preserve"> ČR</w:t>
      </w:r>
      <w:r>
        <w:rPr>
          <w:rFonts w:eastAsia="Verdana"/>
        </w:rPr>
        <w:t xml:space="preserve"> </w:t>
      </w:r>
      <w:r w:rsidRPr="00B73595">
        <w:rPr>
          <w:rFonts w:eastAsia="Verdana"/>
          <w:b/>
        </w:rPr>
        <w:t xml:space="preserve">při Středisku společných činností AV ČR, </w:t>
      </w:r>
      <w:proofErr w:type="spellStart"/>
      <w:proofErr w:type="gramStart"/>
      <w:r w:rsidRPr="00B73595">
        <w:rPr>
          <w:rFonts w:eastAsia="Verdana"/>
          <w:b/>
        </w:rPr>
        <w:t>v.v.</w:t>
      </w:r>
      <w:proofErr w:type="gramEnd"/>
      <w:r w:rsidRPr="00B73595">
        <w:rPr>
          <w:rFonts w:eastAsia="Verdana"/>
          <w:b/>
        </w:rPr>
        <w:t>i</w:t>
      </w:r>
      <w:proofErr w:type="spellEnd"/>
      <w:r w:rsidRPr="00B73595">
        <w:rPr>
          <w:rFonts w:eastAsia="Verdana"/>
          <w:b/>
        </w:rPr>
        <w:t>.</w:t>
      </w:r>
      <w:r>
        <w:rPr>
          <w:rFonts w:eastAsia="Verdana"/>
        </w:rPr>
        <w:t xml:space="preserve"> (dále jen „EURAXESS ČR“) a </w:t>
      </w:r>
      <w:r>
        <w:rPr>
          <w:rFonts w:eastAsia="Verdana"/>
          <w:b/>
        </w:rPr>
        <w:t>Národního kontaktního</w:t>
      </w:r>
      <w:r w:rsidRPr="0072646D">
        <w:rPr>
          <w:rFonts w:eastAsia="Verdana"/>
          <w:b/>
        </w:rPr>
        <w:t xml:space="preserve"> centr</w:t>
      </w:r>
      <w:r>
        <w:rPr>
          <w:rFonts w:eastAsia="Verdana"/>
          <w:b/>
        </w:rPr>
        <w:t>a</w:t>
      </w:r>
      <w:r w:rsidRPr="0072646D">
        <w:rPr>
          <w:b/>
        </w:rPr>
        <w:t xml:space="preserve"> </w:t>
      </w:r>
      <w:r>
        <w:rPr>
          <w:b/>
        </w:rPr>
        <w:t>– g</w:t>
      </w:r>
      <w:r w:rsidRPr="0072646D">
        <w:rPr>
          <w:b/>
        </w:rPr>
        <w:t xml:space="preserve">ender a </w:t>
      </w:r>
      <w:r w:rsidRPr="00B73595">
        <w:rPr>
          <w:b/>
        </w:rPr>
        <w:t>věda</w:t>
      </w:r>
      <w:r w:rsidRPr="00B73595">
        <w:rPr>
          <w:rFonts w:eastAsia="Verdana"/>
          <w:b/>
        </w:rPr>
        <w:t xml:space="preserve"> při Sociologickém ústavu AV ČR, </w:t>
      </w:r>
      <w:proofErr w:type="spellStart"/>
      <w:r w:rsidRPr="00B73595">
        <w:rPr>
          <w:rFonts w:eastAsia="Verdana"/>
          <w:b/>
        </w:rPr>
        <w:t>v.v.i</w:t>
      </w:r>
      <w:proofErr w:type="spellEnd"/>
      <w:r w:rsidRPr="00B73595">
        <w:rPr>
          <w:rFonts w:eastAsia="Verdana"/>
          <w:b/>
        </w:rPr>
        <w:t xml:space="preserve">. </w:t>
      </w:r>
      <w:r w:rsidRPr="00A712AC">
        <w:rPr>
          <w:rFonts w:eastAsia="Verdana"/>
        </w:rPr>
        <w:t>(</w:t>
      </w:r>
      <w:r>
        <w:rPr>
          <w:rFonts w:eastAsia="Verdana"/>
        </w:rPr>
        <w:t>dále jen „</w:t>
      </w:r>
      <w:r w:rsidRPr="00A712AC">
        <w:rPr>
          <w:rFonts w:eastAsia="Verdana"/>
        </w:rPr>
        <w:t>NKC</w:t>
      </w:r>
      <w:r>
        <w:rPr>
          <w:rFonts w:eastAsia="Verdana"/>
        </w:rPr>
        <w:t>“).</w:t>
      </w:r>
      <w:r w:rsidR="00646A82">
        <w:rPr>
          <w:rFonts w:eastAsia="Verdana"/>
        </w:rPr>
        <w:t xml:space="preserve"> </w:t>
      </w:r>
    </w:p>
    <w:p w14:paraId="44AE2EA4" w14:textId="77777777" w:rsidR="00646A82" w:rsidRDefault="00646A82" w:rsidP="009C249A">
      <w:pPr>
        <w:spacing w:after="0" w:line="240" w:lineRule="auto"/>
        <w:jc w:val="both"/>
        <w:rPr>
          <w:rFonts w:eastAsia="Verdana"/>
        </w:rPr>
      </w:pPr>
    </w:p>
    <w:p w14:paraId="165D3B7C" w14:textId="7B108AEA" w:rsidR="009C249A" w:rsidRDefault="009C249A" w:rsidP="009C249A">
      <w:pPr>
        <w:spacing w:after="0" w:line="240" w:lineRule="auto"/>
        <w:jc w:val="both"/>
        <w:rPr>
          <w:rFonts w:eastAsia="Verdana"/>
        </w:rPr>
      </w:pPr>
      <w:r>
        <w:rPr>
          <w:rFonts w:eastAsia="Verdana"/>
        </w:rPr>
        <w:t xml:space="preserve">Systematickou </w:t>
      </w:r>
      <w:r w:rsidRPr="003E5C99">
        <w:rPr>
          <w:rFonts w:eastAsia="Verdana"/>
        </w:rPr>
        <w:t>informační, konzultační, poradenskou</w:t>
      </w:r>
      <w:r>
        <w:rPr>
          <w:rFonts w:eastAsia="Verdana"/>
        </w:rPr>
        <w:t xml:space="preserve"> a</w:t>
      </w:r>
      <w:r w:rsidRPr="003E5C99">
        <w:rPr>
          <w:rFonts w:eastAsia="Verdana"/>
        </w:rPr>
        <w:t xml:space="preserve"> analytickou činností</w:t>
      </w:r>
      <w:r w:rsidRPr="00A712AC">
        <w:rPr>
          <w:rFonts w:eastAsia="Verdana"/>
        </w:rPr>
        <w:t xml:space="preserve"> bude </w:t>
      </w:r>
      <w:r>
        <w:rPr>
          <w:rFonts w:eastAsia="Verdana"/>
        </w:rPr>
        <w:t>zabezpečen</w:t>
      </w:r>
      <w:r w:rsidRPr="00A712AC">
        <w:rPr>
          <w:rFonts w:eastAsia="Verdana"/>
        </w:rPr>
        <w:t xml:space="preserve"> </w:t>
      </w:r>
      <w:r w:rsidRPr="003E5C99">
        <w:rPr>
          <w:rFonts w:eastAsia="Verdana"/>
          <w:b/>
        </w:rPr>
        <w:t xml:space="preserve">efektivní přenos informací o evropských iniciativách a programech </w:t>
      </w:r>
      <w:proofErr w:type="spellStart"/>
      <w:r w:rsidRPr="003E5C99">
        <w:rPr>
          <w:rFonts w:eastAsia="Verdana"/>
          <w:b/>
        </w:rPr>
        <w:t>VaVaI</w:t>
      </w:r>
      <w:proofErr w:type="spellEnd"/>
      <w:r>
        <w:rPr>
          <w:rFonts w:eastAsia="Verdana"/>
        </w:rPr>
        <w:t xml:space="preserve">, a to zejména o FP9, </w:t>
      </w:r>
      <w:r w:rsidRPr="00A712AC">
        <w:rPr>
          <w:rFonts w:eastAsia="Verdana"/>
        </w:rPr>
        <w:t xml:space="preserve">na </w:t>
      </w:r>
      <w:r>
        <w:rPr>
          <w:rFonts w:eastAsia="Verdana"/>
        </w:rPr>
        <w:t xml:space="preserve">výzkumná a inovační </w:t>
      </w:r>
      <w:r w:rsidRPr="00A712AC">
        <w:rPr>
          <w:rFonts w:eastAsia="Verdana"/>
        </w:rPr>
        <w:t>pracoviště</w:t>
      </w:r>
      <w:r>
        <w:rPr>
          <w:rFonts w:eastAsia="Verdana"/>
        </w:rPr>
        <w:t xml:space="preserve"> v ČR</w:t>
      </w:r>
      <w:r w:rsidRPr="00A712AC">
        <w:rPr>
          <w:rFonts w:eastAsia="Verdana"/>
        </w:rPr>
        <w:t>, mají</w:t>
      </w:r>
      <w:r>
        <w:rPr>
          <w:rFonts w:eastAsia="Verdana"/>
        </w:rPr>
        <w:t>cí</w:t>
      </w:r>
      <w:r w:rsidRPr="00A712AC">
        <w:rPr>
          <w:rFonts w:eastAsia="Verdana"/>
        </w:rPr>
        <w:t xml:space="preserve"> potenciál podílet se na řešení projektů </w:t>
      </w:r>
      <w:proofErr w:type="spellStart"/>
      <w:r>
        <w:rPr>
          <w:rFonts w:eastAsia="Verdana"/>
        </w:rPr>
        <w:t>VaVaI</w:t>
      </w:r>
      <w:proofErr w:type="spellEnd"/>
      <w:r>
        <w:rPr>
          <w:rFonts w:eastAsia="Verdana"/>
        </w:rPr>
        <w:t xml:space="preserve"> podporovaných v rámci </w:t>
      </w:r>
      <w:r w:rsidRPr="00A712AC">
        <w:rPr>
          <w:rFonts w:eastAsia="Verdana"/>
        </w:rPr>
        <w:t xml:space="preserve">těchto </w:t>
      </w:r>
      <w:r>
        <w:rPr>
          <w:rFonts w:eastAsia="Verdana"/>
        </w:rPr>
        <w:t>nástrojů.</w:t>
      </w:r>
    </w:p>
    <w:p w14:paraId="5C7C3CEF" w14:textId="77777777" w:rsidR="009C249A" w:rsidRPr="0077531C" w:rsidRDefault="009C249A" w:rsidP="00646A82">
      <w:pPr>
        <w:pStyle w:val="Nadpis2"/>
      </w:pPr>
      <w:bookmarkStart w:id="7" w:name="_Toc40123713"/>
      <w:bookmarkStart w:id="8" w:name="_Toc55466809"/>
      <w:r w:rsidRPr="0077531C">
        <w:t>Vymezení předmětu podpory</w:t>
      </w:r>
      <w:bookmarkEnd w:id="7"/>
      <w:bookmarkEnd w:id="8"/>
    </w:p>
    <w:p w14:paraId="253A82E1" w14:textId="708E8A17" w:rsidR="009C249A" w:rsidRDefault="009C249A" w:rsidP="009C249A">
      <w:pPr>
        <w:spacing w:after="0" w:line="240" w:lineRule="auto"/>
        <w:jc w:val="both"/>
      </w:pPr>
      <w:r>
        <w:t xml:space="preserve">Předmětem podpory, </w:t>
      </w:r>
      <w:r w:rsidR="00646A82">
        <w:t>která</w:t>
      </w:r>
      <w:r>
        <w:t xml:space="preserve"> bude poskytována </w:t>
      </w:r>
      <w:r w:rsidR="00646A82">
        <w:t>podle</w:t>
      </w:r>
      <w:r>
        <w:t xml:space="preserve"> předkládaného záměru, jsou </w:t>
      </w:r>
      <w:r>
        <w:rPr>
          <w:b/>
        </w:rPr>
        <w:t>informačně, konzultačně a analyticky profilované</w:t>
      </w:r>
      <w:r w:rsidRPr="00573AFF">
        <w:rPr>
          <w:b/>
        </w:rPr>
        <w:t xml:space="preserve"> činnost</w:t>
      </w:r>
      <w:r>
        <w:rPr>
          <w:b/>
        </w:rPr>
        <w:t>i</w:t>
      </w:r>
      <w:r w:rsidRPr="00573AFF">
        <w:rPr>
          <w:b/>
        </w:rPr>
        <w:t xml:space="preserve"> CZE</w:t>
      </w:r>
      <w:r>
        <w:rPr>
          <w:b/>
        </w:rPr>
        <w:t>RA (</w:t>
      </w:r>
      <w:r w:rsidR="00646A82">
        <w:rPr>
          <w:b/>
        </w:rPr>
        <w:t>ČR</w:t>
      </w:r>
      <w:r>
        <w:rPr>
          <w:b/>
        </w:rPr>
        <w:t xml:space="preserve"> v ERA)</w:t>
      </w:r>
      <w:r>
        <w:t>, tzn., servisní aktivity CZERA poskytované výzkumné komunitě ČR. Podpora bude v souladu s věcně příslušnou legislativou ČR financovaná z prostředků rozpočtové kapitoly Ministerstva školství, mládeže a</w:t>
      </w:r>
      <w:r w:rsidR="00646A82">
        <w:t> </w:t>
      </w:r>
      <w:r>
        <w:t xml:space="preserve">tělovýchovy (dále jen „MŠMT“) </w:t>
      </w:r>
      <w:r w:rsidRPr="00FE583C">
        <w:rPr>
          <w:b/>
        </w:rPr>
        <w:t xml:space="preserve">za využití výdajů státního rozpočtu ČR na </w:t>
      </w:r>
      <w:proofErr w:type="spellStart"/>
      <w:r w:rsidR="00646A82">
        <w:rPr>
          <w:b/>
        </w:rPr>
        <w:t>VaVaI</w:t>
      </w:r>
      <w:proofErr w:type="spellEnd"/>
      <w:r>
        <w:t xml:space="preserve">. </w:t>
      </w:r>
    </w:p>
    <w:p w14:paraId="50BBB459" w14:textId="77777777" w:rsidR="009C249A" w:rsidRDefault="009C249A" w:rsidP="009C249A">
      <w:pPr>
        <w:spacing w:after="0" w:line="240" w:lineRule="auto"/>
        <w:jc w:val="both"/>
      </w:pPr>
    </w:p>
    <w:p w14:paraId="4C02A687" w14:textId="03A1EDF7" w:rsidR="009C249A" w:rsidRDefault="009C249A" w:rsidP="009C249A">
      <w:pPr>
        <w:spacing w:after="0" w:line="240" w:lineRule="auto"/>
        <w:jc w:val="both"/>
      </w:pPr>
      <w:r>
        <w:lastRenderedPageBreak/>
        <w:t xml:space="preserve">Předmětem návrhu, který je předkládán ke schválení vládou ČR, je návrh na </w:t>
      </w:r>
      <w:r w:rsidRPr="00573AFF">
        <w:rPr>
          <w:b/>
        </w:rPr>
        <w:t>poskytování ú</w:t>
      </w:r>
      <w:r>
        <w:rPr>
          <w:b/>
        </w:rPr>
        <w:t xml:space="preserve">čelové podpory MŠMT na </w:t>
      </w:r>
      <w:r w:rsidRPr="00573AFF">
        <w:rPr>
          <w:b/>
        </w:rPr>
        <w:t>aktivit</w:t>
      </w:r>
      <w:r>
        <w:rPr>
          <w:b/>
        </w:rPr>
        <w:t>y</w:t>
      </w:r>
      <w:r w:rsidRPr="00573AFF">
        <w:rPr>
          <w:b/>
        </w:rPr>
        <w:t xml:space="preserve"> CZE</w:t>
      </w:r>
      <w:r>
        <w:rPr>
          <w:b/>
        </w:rPr>
        <w:t>RA</w:t>
      </w:r>
      <w:r w:rsidR="00D96B79">
        <w:t>, které</w:t>
      </w:r>
      <w:r>
        <w:t xml:space="preserve"> budou financovány</w:t>
      </w:r>
      <w:r w:rsidRPr="008538B1">
        <w:t xml:space="preserve"> </w:t>
      </w:r>
      <w:r>
        <w:t>na základě</w:t>
      </w:r>
      <w:r w:rsidRPr="008538B1">
        <w:t xml:space="preserve"> </w:t>
      </w:r>
      <w:proofErr w:type="spellStart"/>
      <w:r w:rsidRPr="008538B1">
        <w:t>ust</w:t>
      </w:r>
      <w:proofErr w:type="spellEnd"/>
      <w:r w:rsidRPr="008538B1">
        <w:t>. § 2 odst. 2 písm. e), § 3 odst. 2 písm. e) a § 4 odst. 1 písm. e) zákona č. 130/2002 Sb., o podpoře</w:t>
      </w:r>
      <w:r w:rsidRPr="00F4089A">
        <w:t xml:space="preserve"> výzkumu, experimentálního vývoje a</w:t>
      </w:r>
      <w:r>
        <w:t> </w:t>
      </w:r>
      <w:r w:rsidRPr="00F4089A">
        <w:t>inovací z</w:t>
      </w:r>
      <w:r>
        <w:t> </w:t>
      </w:r>
      <w:r w:rsidRPr="00F4089A">
        <w:t>veřejných prostředků a o změně některých souvisejících zákonů (zákon o podpoře výzkumu, experimentálního vývoje a inovací), ve znění pozdějších předpisů</w:t>
      </w:r>
      <w:r>
        <w:t>.</w:t>
      </w:r>
    </w:p>
    <w:p w14:paraId="1CBB6DF9" w14:textId="77777777" w:rsidR="009C249A" w:rsidRPr="00210824" w:rsidRDefault="009C249A" w:rsidP="00646A82">
      <w:pPr>
        <w:pStyle w:val="Nadpis2"/>
      </w:pPr>
      <w:bookmarkStart w:id="9" w:name="_Toc40123714"/>
      <w:bookmarkStart w:id="10" w:name="_Toc55466810"/>
      <w:r w:rsidRPr="00210824">
        <w:t>Cíle projektu</w:t>
      </w:r>
      <w:bookmarkEnd w:id="9"/>
      <w:bookmarkEnd w:id="10"/>
    </w:p>
    <w:p w14:paraId="5D76B6A2" w14:textId="411E77AD" w:rsidR="009C249A" w:rsidRPr="00621C2B" w:rsidRDefault="009C249A" w:rsidP="00D046E4">
      <w:pPr>
        <w:spacing w:after="0" w:line="240" w:lineRule="auto"/>
        <w:jc w:val="both"/>
      </w:pPr>
      <w:r>
        <w:t xml:space="preserve">Cílem projektu sdílených činností je </w:t>
      </w:r>
      <w:r>
        <w:rPr>
          <w:b/>
        </w:rPr>
        <w:t>zajištění</w:t>
      </w:r>
      <w:r w:rsidRPr="007A05F5">
        <w:rPr>
          <w:b/>
        </w:rPr>
        <w:t xml:space="preserve"> výkonu portfolia aktivit CZE</w:t>
      </w:r>
      <w:r>
        <w:rPr>
          <w:b/>
        </w:rPr>
        <w:t>RA</w:t>
      </w:r>
      <w:r w:rsidRPr="007A05F5">
        <w:rPr>
          <w:b/>
        </w:rPr>
        <w:t xml:space="preserve">, které budou rozvíjeny </w:t>
      </w:r>
      <w:r>
        <w:rPr>
          <w:b/>
        </w:rPr>
        <w:t>ve vztahu</w:t>
      </w:r>
      <w:r w:rsidRPr="007A05F5">
        <w:rPr>
          <w:b/>
        </w:rPr>
        <w:t xml:space="preserve"> k výzkumné komunitě ČR</w:t>
      </w:r>
      <w:r>
        <w:t xml:space="preserve">. </w:t>
      </w:r>
      <w:r w:rsidRPr="00621C2B">
        <w:t xml:space="preserve">Služby poskytované v rámci projektu budou plně reflektovat </w:t>
      </w:r>
      <w:r w:rsidRPr="00621C2B">
        <w:rPr>
          <w:b/>
        </w:rPr>
        <w:t>nejaktuálnější vývoj v ERA</w:t>
      </w:r>
      <w:r w:rsidRPr="00621C2B">
        <w:t xml:space="preserve">, </w:t>
      </w:r>
      <w:r w:rsidR="00646A82">
        <w:t xml:space="preserve">a to </w:t>
      </w:r>
      <w:r w:rsidRPr="00621C2B">
        <w:t xml:space="preserve">včetně rostoucího důrazu na efektivnější využívání synergií mezi jednotlivými iniciativami a programy </w:t>
      </w:r>
      <w:proofErr w:type="spellStart"/>
      <w:r w:rsidRPr="00621C2B">
        <w:t>VaVaI</w:t>
      </w:r>
      <w:proofErr w:type="spellEnd"/>
      <w:r w:rsidRPr="00621C2B">
        <w:t xml:space="preserve"> realizovanými na evropské a národní úrovni členských států EU, přechodu k systému nových evropských partnerství veřejných sektorů a veřejného sektoru se sektorem soukromým, řešení naléhavých makro-regionálních / globálních socioekonomických výzev, jak budou formulovány mj. i v budoucích misích FP9, a nové formy a nástroje podpory inovací prostřednictvím Evropské inovační rady (dále jen „EIC“) anebo Evropského inovačního a technologického institutu (dále jen „EIT“). Patřičný důraz bude kladen taktéž na společensko-vědní aspekty </w:t>
      </w:r>
      <w:proofErr w:type="spellStart"/>
      <w:r w:rsidRPr="00621C2B">
        <w:t>VaVaI</w:t>
      </w:r>
      <w:proofErr w:type="spellEnd"/>
      <w:r w:rsidRPr="00621C2B">
        <w:t xml:space="preserve">, </w:t>
      </w:r>
      <w:r w:rsidRPr="00CB4804">
        <w:rPr>
          <w:b/>
        </w:rPr>
        <w:t>genderov</w:t>
      </w:r>
      <w:r>
        <w:rPr>
          <w:b/>
        </w:rPr>
        <w:t>é</w:t>
      </w:r>
      <w:r w:rsidRPr="00CB4804">
        <w:rPr>
          <w:b/>
        </w:rPr>
        <w:t xml:space="preserve"> </w:t>
      </w:r>
      <w:r>
        <w:rPr>
          <w:b/>
        </w:rPr>
        <w:t>aspekty</w:t>
      </w:r>
      <w:r w:rsidRPr="00CB4804">
        <w:rPr>
          <w:b/>
        </w:rPr>
        <w:t xml:space="preserve"> ve </w:t>
      </w:r>
      <w:proofErr w:type="spellStart"/>
      <w:r w:rsidRPr="00CB4804">
        <w:rPr>
          <w:b/>
        </w:rPr>
        <w:t>VaVaI</w:t>
      </w:r>
      <w:proofErr w:type="spellEnd"/>
      <w:r w:rsidRPr="00CB4804">
        <w:rPr>
          <w:b/>
        </w:rPr>
        <w:t xml:space="preserve"> a </w:t>
      </w:r>
      <w:r w:rsidR="007D625C">
        <w:rPr>
          <w:b/>
        </w:rPr>
        <w:t xml:space="preserve">dále </w:t>
      </w:r>
      <w:r w:rsidRPr="00CB4804">
        <w:rPr>
          <w:b/>
        </w:rPr>
        <w:t>snižování bariér mezinárodní mobility výzkumných pracovníků</w:t>
      </w:r>
      <w:r w:rsidRPr="00621C2B">
        <w:t xml:space="preserve"> a dalších pracovníků ve </w:t>
      </w:r>
      <w:proofErr w:type="spellStart"/>
      <w:r w:rsidRPr="00621C2B">
        <w:t>VaVaI</w:t>
      </w:r>
      <w:proofErr w:type="spellEnd"/>
      <w:r w:rsidRPr="00621C2B">
        <w:t xml:space="preserve">. Projektem sdílených činností budou tak reflektovány všechny aspekty související s potřebami kladenými na intenzivní zapojení ČR do mezinárodní spolupráce ve </w:t>
      </w:r>
      <w:proofErr w:type="spellStart"/>
      <w:r w:rsidRPr="00621C2B">
        <w:t>VaVaI</w:t>
      </w:r>
      <w:proofErr w:type="spellEnd"/>
      <w:r w:rsidRPr="00621C2B">
        <w:t xml:space="preserve"> se stěžejním důrazem kladeným na problematiku FP9.</w:t>
      </w:r>
    </w:p>
    <w:p w14:paraId="2E494224" w14:textId="77777777" w:rsidR="009C249A" w:rsidRDefault="009C249A" w:rsidP="00D046E4">
      <w:pPr>
        <w:spacing w:after="0" w:line="240" w:lineRule="auto"/>
        <w:jc w:val="both"/>
      </w:pPr>
    </w:p>
    <w:p w14:paraId="4B7B1806" w14:textId="77777777" w:rsidR="009C249A" w:rsidRDefault="009C249A" w:rsidP="00D046E4">
      <w:pPr>
        <w:spacing w:after="0" w:line="240" w:lineRule="auto"/>
        <w:jc w:val="both"/>
      </w:pPr>
      <w:r>
        <w:t xml:space="preserve">V rámci plánovaných informačních, konzultačních, analytických a dalších odborných </w:t>
      </w:r>
      <w:r w:rsidRPr="009225FC">
        <w:rPr>
          <w:b/>
        </w:rPr>
        <w:t>činností</w:t>
      </w:r>
      <w:r>
        <w:t xml:space="preserve"> bude CZERA zabezpečovat:</w:t>
      </w:r>
    </w:p>
    <w:p w14:paraId="4C5579D1" w14:textId="77777777" w:rsidR="009C249A" w:rsidRDefault="009C249A" w:rsidP="00D046E4">
      <w:pPr>
        <w:spacing w:after="0" w:line="240" w:lineRule="auto"/>
        <w:jc w:val="both"/>
      </w:pPr>
    </w:p>
    <w:p w14:paraId="062F2663" w14:textId="2F2EFB9D" w:rsidR="009C249A" w:rsidRDefault="009C249A" w:rsidP="009C1FB7">
      <w:pPr>
        <w:pStyle w:val="Odstavecseseznamem"/>
        <w:numPr>
          <w:ilvl w:val="0"/>
          <w:numId w:val="9"/>
        </w:numPr>
        <w:spacing w:line="240" w:lineRule="auto"/>
        <w:ind w:left="357" w:hanging="357"/>
        <w:contextualSpacing w:val="0"/>
        <w:jc w:val="both"/>
      </w:pPr>
      <w:r w:rsidRPr="00621C2B">
        <w:rPr>
          <w:b/>
        </w:rPr>
        <w:t>Aktivity Národního informačního centra pro evropský výzkum</w:t>
      </w:r>
      <w:r w:rsidRPr="00621C2B">
        <w:t xml:space="preserve"> při TC AV</w:t>
      </w:r>
      <w:r w:rsidR="007D625C">
        <w:t xml:space="preserve"> ČR (dále jen „NICER“) – </w:t>
      </w:r>
      <w:r w:rsidRPr="00621C2B">
        <w:t xml:space="preserve">NICER bude zabezpečovat zejména služby tzv. „Národních kontaktních bodů“ (dále jen „NCP“) pro FP9, a to v rozsahu a struktuře definované </w:t>
      </w:r>
      <w:r w:rsidR="007D625C">
        <w:t>Evropskou komisí</w:t>
      </w:r>
      <w:r w:rsidRPr="00621C2B">
        <w:t xml:space="preserve">. Aktivity NICER současně zahrnou rovněž celou řadu vzájemně integrovaných a komplementárních služeb poskytovaných národní komunitě </w:t>
      </w:r>
      <w:proofErr w:type="spellStart"/>
      <w:r w:rsidRPr="00621C2B">
        <w:t>VaVaI</w:t>
      </w:r>
      <w:proofErr w:type="spellEnd"/>
      <w:r w:rsidRPr="00621C2B">
        <w:t xml:space="preserve"> v ČR, </w:t>
      </w:r>
      <w:r w:rsidR="007D625C">
        <w:t xml:space="preserve">a to </w:t>
      </w:r>
      <w:r w:rsidRPr="00621C2B">
        <w:t xml:space="preserve">včetně firemního sektoru, </w:t>
      </w:r>
      <w:r w:rsidR="007D625C">
        <w:t>což</w:t>
      </w:r>
      <w:r w:rsidRPr="00621C2B">
        <w:t xml:space="preserve"> ve sv</w:t>
      </w:r>
      <w:r w:rsidR="007D625C">
        <w:t>ém důsledku podstatně usnadní a</w:t>
      </w:r>
      <w:r w:rsidRPr="00621C2B">
        <w:t xml:space="preserve"> podpoří hlubší integraci ČR v ERA, a to primárně </w:t>
      </w:r>
      <w:r w:rsidR="007D625C">
        <w:t>prostřednictvím</w:t>
      </w:r>
      <w:r w:rsidRPr="00621C2B">
        <w:t xml:space="preserve"> intenzivnější účast</w:t>
      </w:r>
      <w:r w:rsidR="007D625C">
        <w:t>i</w:t>
      </w:r>
      <w:r w:rsidRPr="00621C2B">
        <w:t xml:space="preserve"> výzkumných institucí a podniků ČR v FP9 ve srovnání s předcházejícími rámcovými programy EU. </w:t>
      </w:r>
      <w:r w:rsidR="007D625C">
        <w:t>Příslušná s</w:t>
      </w:r>
      <w:r w:rsidRPr="00621C2B">
        <w:t>polup</w:t>
      </w:r>
      <w:r w:rsidR="007D625C">
        <w:t xml:space="preserve">ráce se </w:t>
      </w:r>
      <w:proofErr w:type="spellStart"/>
      <w:r w:rsidR="007D625C">
        <w:t>stakeholdery</w:t>
      </w:r>
      <w:proofErr w:type="spellEnd"/>
      <w:r w:rsidR="007D625C">
        <w:t xml:space="preserve"> </w:t>
      </w:r>
      <w:proofErr w:type="spellStart"/>
      <w:r w:rsidRPr="00621C2B">
        <w:t>VaVaI</w:t>
      </w:r>
      <w:proofErr w:type="spellEnd"/>
      <w:r w:rsidRPr="00621C2B">
        <w:t xml:space="preserve"> bude probíhat na národní úrovni ČR i EU</w:t>
      </w:r>
      <w:r>
        <w:t xml:space="preserve"> </w:t>
      </w:r>
      <w:r w:rsidRPr="00B65B0C">
        <w:t>a zahrne níže uvedené okruhy aktivit</w:t>
      </w:r>
      <w:r>
        <w:t>.</w:t>
      </w:r>
    </w:p>
    <w:p w14:paraId="59E0672D" w14:textId="77777777" w:rsidR="009C249A" w:rsidRDefault="009C249A" w:rsidP="00D046E4">
      <w:pPr>
        <w:pStyle w:val="Odstavecseseznamem"/>
        <w:numPr>
          <w:ilvl w:val="0"/>
          <w:numId w:val="0"/>
        </w:numPr>
        <w:spacing w:line="240" w:lineRule="auto"/>
        <w:ind w:left="360"/>
        <w:contextualSpacing w:val="0"/>
        <w:jc w:val="both"/>
      </w:pPr>
    </w:p>
    <w:p w14:paraId="7D4D61BE" w14:textId="03256C80" w:rsidR="007D625C" w:rsidRDefault="009C249A" w:rsidP="007D625C">
      <w:pPr>
        <w:pStyle w:val="Odstavecseseznamem"/>
        <w:numPr>
          <w:ilvl w:val="0"/>
          <w:numId w:val="21"/>
        </w:numPr>
        <w:spacing w:line="240" w:lineRule="auto"/>
        <w:contextualSpacing w:val="0"/>
        <w:jc w:val="both"/>
      </w:pPr>
      <w:r w:rsidRPr="00B65B0C">
        <w:t xml:space="preserve">Komplexní informační činnosti pro zapojení do FP9 a dalších inciativ, resp. programů mezinárodní spolupráce ve </w:t>
      </w:r>
      <w:proofErr w:type="spellStart"/>
      <w:r w:rsidRPr="00B65B0C">
        <w:t>VaVaI</w:t>
      </w:r>
      <w:proofErr w:type="spellEnd"/>
      <w:r w:rsidRPr="00B65B0C">
        <w:t xml:space="preserve"> a zajištění informovanosti o </w:t>
      </w:r>
      <w:proofErr w:type="spellStart"/>
      <w:r w:rsidRPr="00B65B0C">
        <w:t>VaVaI</w:t>
      </w:r>
      <w:proofErr w:type="spellEnd"/>
      <w:r w:rsidRPr="00B65B0C">
        <w:t xml:space="preserve"> v</w:t>
      </w:r>
      <w:r w:rsidR="007D625C">
        <w:t> </w:t>
      </w:r>
      <w:r w:rsidRPr="00B65B0C">
        <w:t>ERA</w:t>
      </w:r>
      <w:r w:rsidR="007D625C">
        <w:t>;</w:t>
      </w:r>
    </w:p>
    <w:p w14:paraId="02947F95" w14:textId="77777777" w:rsidR="007D625C" w:rsidRDefault="007D625C" w:rsidP="007D625C">
      <w:pPr>
        <w:pStyle w:val="Odstavecseseznamem"/>
        <w:numPr>
          <w:ilvl w:val="0"/>
          <w:numId w:val="0"/>
        </w:numPr>
        <w:spacing w:line="240" w:lineRule="auto"/>
        <w:ind w:left="700"/>
        <w:contextualSpacing w:val="0"/>
        <w:jc w:val="both"/>
      </w:pPr>
    </w:p>
    <w:p w14:paraId="0619A95E" w14:textId="5CA72460" w:rsidR="007D625C" w:rsidRDefault="009C249A" w:rsidP="007D625C">
      <w:pPr>
        <w:pStyle w:val="Odstavecseseznamem"/>
        <w:numPr>
          <w:ilvl w:val="0"/>
          <w:numId w:val="21"/>
        </w:numPr>
        <w:spacing w:line="240" w:lineRule="auto"/>
        <w:contextualSpacing w:val="0"/>
        <w:jc w:val="both"/>
      </w:pPr>
      <w:r w:rsidRPr="00B65B0C">
        <w:t xml:space="preserve">Školicí aktivity, </w:t>
      </w:r>
      <w:proofErr w:type="spellStart"/>
      <w:r w:rsidRPr="00B65B0C">
        <w:t>mentoring</w:t>
      </w:r>
      <w:proofErr w:type="spellEnd"/>
      <w:r w:rsidRPr="00B65B0C">
        <w:t xml:space="preserve"> a expertní činnosti zvyšující připravenost řešitelských týmů z</w:t>
      </w:r>
      <w:r w:rsidR="007D625C">
        <w:t> ČR pro</w:t>
      </w:r>
      <w:r w:rsidRPr="00B65B0C">
        <w:t xml:space="preserve"> zapojení do projektů FP9 a do dalších iniciativ, resp. programů mezinárodní spolupráce ve </w:t>
      </w:r>
      <w:proofErr w:type="spellStart"/>
      <w:r w:rsidRPr="00B65B0C">
        <w:t>VaVaI</w:t>
      </w:r>
      <w:proofErr w:type="spellEnd"/>
      <w:r w:rsidR="007D625C">
        <w:t>;</w:t>
      </w:r>
    </w:p>
    <w:p w14:paraId="402AA719" w14:textId="77777777" w:rsidR="007D625C" w:rsidRDefault="007D625C" w:rsidP="007D625C">
      <w:pPr>
        <w:pStyle w:val="Odstavecseseznamem"/>
        <w:numPr>
          <w:ilvl w:val="0"/>
          <w:numId w:val="0"/>
        </w:numPr>
        <w:spacing w:line="240" w:lineRule="auto"/>
        <w:ind w:left="700"/>
        <w:contextualSpacing w:val="0"/>
        <w:jc w:val="both"/>
      </w:pPr>
    </w:p>
    <w:p w14:paraId="5FA14956" w14:textId="0153DC2E" w:rsidR="007D625C" w:rsidRDefault="009C249A" w:rsidP="007D625C">
      <w:pPr>
        <w:pStyle w:val="Odstavecseseznamem"/>
        <w:numPr>
          <w:ilvl w:val="0"/>
          <w:numId w:val="21"/>
        </w:numPr>
        <w:spacing w:line="240" w:lineRule="auto"/>
        <w:contextualSpacing w:val="0"/>
        <w:jc w:val="both"/>
      </w:pPr>
      <w:r w:rsidRPr="00B65B0C">
        <w:t>Konzultační činnosti – individuální konzultační podpor</w:t>
      </w:r>
      <w:r w:rsidR="00FA5FF1">
        <w:t>a</w:t>
      </w:r>
      <w:r w:rsidRPr="00B65B0C">
        <w:t xml:space="preserve"> předkladatele návrhu, resp. řešitele projektu FP9 v průběhu celého životního cyklu přípravy a realizace projektu</w:t>
      </w:r>
      <w:r w:rsidR="007D625C">
        <w:t>;</w:t>
      </w:r>
    </w:p>
    <w:p w14:paraId="687FC8F3" w14:textId="77777777" w:rsidR="007D625C" w:rsidRDefault="007D625C" w:rsidP="007D625C">
      <w:pPr>
        <w:pStyle w:val="Odstavecseseznamem"/>
        <w:numPr>
          <w:ilvl w:val="0"/>
          <w:numId w:val="0"/>
        </w:numPr>
        <w:spacing w:line="240" w:lineRule="auto"/>
        <w:ind w:left="700"/>
        <w:contextualSpacing w:val="0"/>
        <w:jc w:val="both"/>
      </w:pPr>
    </w:p>
    <w:p w14:paraId="5DEEF055" w14:textId="7259535B" w:rsidR="007D625C" w:rsidRDefault="009C249A" w:rsidP="007D625C">
      <w:pPr>
        <w:pStyle w:val="Odstavecseseznamem"/>
        <w:numPr>
          <w:ilvl w:val="0"/>
          <w:numId w:val="21"/>
        </w:numPr>
        <w:spacing w:line="240" w:lineRule="auto"/>
        <w:contextualSpacing w:val="0"/>
        <w:jc w:val="both"/>
      </w:pPr>
      <w:r w:rsidRPr="00B65B0C">
        <w:t xml:space="preserve">Monitoring a vyhodnocování zapojení českých výzkumných organizací a podniků do rámcových programů EU a </w:t>
      </w:r>
      <w:r w:rsidR="007D625C">
        <w:t>zajištění</w:t>
      </w:r>
      <w:r w:rsidRPr="00B65B0C">
        <w:t xml:space="preserve"> příslušných datových zdrojů a datové a analytické podpory činností NCP</w:t>
      </w:r>
      <w:r w:rsidR="007D625C">
        <w:t>;</w:t>
      </w:r>
    </w:p>
    <w:p w14:paraId="7C25941B" w14:textId="77777777" w:rsidR="007D625C" w:rsidRDefault="007D625C" w:rsidP="007D625C">
      <w:pPr>
        <w:pStyle w:val="Odstavecseseznamem"/>
        <w:numPr>
          <w:ilvl w:val="0"/>
          <w:numId w:val="0"/>
        </w:numPr>
        <w:spacing w:line="240" w:lineRule="auto"/>
        <w:ind w:left="700"/>
        <w:contextualSpacing w:val="0"/>
        <w:jc w:val="both"/>
      </w:pPr>
    </w:p>
    <w:p w14:paraId="64825AF2" w14:textId="105DA29B" w:rsidR="007D625C" w:rsidRDefault="009C249A" w:rsidP="007D625C">
      <w:pPr>
        <w:pStyle w:val="Odstavecseseznamem"/>
        <w:numPr>
          <w:ilvl w:val="0"/>
          <w:numId w:val="21"/>
        </w:numPr>
        <w:spacing w:line="240" w:lineRule="auto"/>
        <w:contextualSpacing w:val="0"/>
        <w:jc w:val="both"/>
      </w:pPr>
      <w:r w:rsidRPr="00B65B0C">
        <w:t>Podpora diseminace výsledků projektů FP9 a jejich popularizace ve společnosti</w:t>
      </w:r>
      <w:r w:rsidR="007D625C">
        <w:t>;</w:t>
      </w:r>
    </w:p>
    <w:p w14:paraId="1347EEB8" w14:textId="77777777" w:rsidR="007D625C" w:rsidRDefault="007D625C" w:rsidP="007D625C">
      <w:pPr>
        <w:pStyle w:val="Odstavecseseznamem"/>
        <w:numPr>
          <w:ilvl w:val="0"/>
          <w:numId w:val="0"/>
        </w:numPr>
        <w:spacing w:line="240" w:lineRule="auto"/>
        <w:ind w:left="700"/>
        <w:contextualSpacing w:val="0"/>
        <w:jc w:val="both"/>
      </w:pPr>
    </w:p>
    <w:p w14:paraId="0558090D" w14:textId="27CE75CD" w:rsidR="007D625C" w:rsidRDefault="009C249A" w:rsidP="007D625C">
      <w:pPr>
        <w:pStyle w:val="Odstavecseseznamem"/>
        <w:numPr>
          <w:ilvl w:val="0"/>
          <w:numId w:val="21"/>
        </w:numPr>
        <w:spacing w:line="240" w:lineRule="auto"/>
        <w:contextualSpacing w:val="0"/>
        <w:jc w:val="both"/>
      </w:pPr>
      <w:r w:rsidRPr="00B65B0C">
        <w:t>Expertní podpora orgánům státní správy, delegátům a zástupcům ČR v orgánech ERA</w:t>
      </w:r>
      <w:r w:rsidR="007D625C">
        <w:t>;</w:t>
      </w:r>
    </w:p>
    <w:p w14:paraId="03AF36A0" w14:textId="77777777" w:rsidR="007D625C" w:rsidRDefault="007D625C" w:rsidP="007D625C">
      <w:pPr>
        <w:pStyle w:val="Odstavecseseznamem"/>
        <w:numPr>
          <w:ilvl w:val="0"/>
          <w:numId w:val="0"/>
        </w:numPr>
        <w:spacing w:line="240" w:lineRule="auto"/>
        <w:ind w:left="700"/>
        <w:contextualSpacing w:val="0"/>
        <w:jc w:val="both"/>
      </w:pPr>
    </w:p>
    <w:p w14:paraId="457AFF5E" w14:textId="3CF931CD" w:rsidR="007D625C" w:rsidRDefault="009C249A" w:rsidP="007D625C">
      <w:pPr>
        <w:pStyle w:val="Odstavecseseznamem"/>
        <w:numPr>
          <w:ilvl w:val="0"/>
          <w:numId w:val="21"/>
        </w:numPr>
        <w:spacing w:line="240" w:lineRule="auto"/>
        <w:contextualSpacing w:val="0"/>
        <w:jc w:val="both"/>
      </w:pPr>
      <w:r w:rsidRPr="001E3F5C">
        <w:lastRenderedPageBreak/>
        <w:t>Zvyšování a prohlubování kvalifikace NCP a spolupráce s mezinárodní sítí NCP</w:t>
      </w:r>
      <w:r w:rsidR="007D625C">
        <w:t>;</w:t>
      </w:r>
    </w:p>
    <w:p w14:paraId="674AD5CE" w14:textId="77777777" w:rsidR="007D625C" w:rsidRDefault="007D625C" w:rsidP="007D625C">
      <w:pPr>
        <w:pStyle w:val="Odstavecseseznamem"/>
        <w:numPr>
          <w:ilvl w:val="0"/>
          <w:numId w:val="0"/>
        </w:numPr>
        <w:spacing w:line="240" w:lineRule="auto"/>
        <w:ind w:left="700"/>
        <w:contextualSpacing w:val="0"/>
        <w:jc w:val="both"/>
      </w:pPr>
    </w:p>
    <w:p w14:paraId="4E3B04DE" w14:textId="3B75C4C1" w:rsidR="009C249A" w:rsidRDefault="007D625C" w:rsidP="007D625C">
      <w:pPr>
        <w:pStyle w:val="Odstavecseseznamem"/>
        <w:numPr>
          <w:ilvl w:val="0"/>
          <w:numId w:val="21"/>
        </w:numPr>
        <w:spacing w:line="240" w:lineRule="auto"/>
        <w:contextualSpacing w:val="0"/>
        <w:jc w:val="both"/>
      </w:pPr>
      <w:r>
        <w:t>Expertní p</w:t>
      </w:r>
      <w:r w:rsidR="009C249A" w:rsidRPr="001E3F5C">
        <w:t>odpora přípravy předsednictví ČR v Radě EU</w:t>
      </w:r>
      <w:r w:rsidR="009C249A">
        <w:t>.</w:t>
      </w:r>
    </w:p>
    <w:p w14:paraId="6FB0D705" w14:textId="77777777" w:rsidR="008055CB" w:rsidRDefault="008055CB" w:rsidP="008055CB">
      <w:pPr>
        <w:pStyle w:val="Odstavecseseznamem"/>
        <w:numPr>
          <w:ilvl w:val="0"/>
          <w:numId w:val="0"/>
        </w:numPr>
        <w:spacing w:line="240" w:lineRule="auto"/>
        <w:ind w:left="700"/>
        <w:contextualSpacing w:val="0"/>
        <w:jc w:val="both"/>
      </w:pPr>
    </w:p>
    <w:p w14:paraId="77DB5B37" w14:textId="59B8B94C" w:rsidR="009C249A" w:rsidRDefault="007D625C" w:rsidP="00D046E4">
      <w:pPr>
        <w:pStyle w:val="Odstavecseseznamem"/>
        <w:numPr>
          <w:ilvl w:val="0"/>
          <w:numId w:val="9"/>
        </w:numPr>
        <w:spacing w:line="240" w:lineRule="auto"/>
        <w:contextualSpacing w:val="0"/>
        <w:jc w:val="both"/>
      </w:pPr>
      <w:r>
        <w:rPr>
          <w:b/>
        </w:rPr>
        <w:t>Aktivity</w:t>
      </w:r>
      <w:r w:rsidR="009C249A" w:rsidRPr="009814D1">
        <w:rPr>
          <w:b/>
        </w:rPr>
        <w:t xml:space="preserve"> </w:t>
      </w:r>
      <w:r>
        <w:rPr>
          <w:b/>
        </w:rPr>
        <w:t>NKC</w:t>
      </w:r>
      <w:r>
        <w:t xml:space="preserve"> – </w:t>
      </w:r>
      <w:r w:rsidR="009C249A">
        <w:t xml:space="preserve">NKC </w:t>
      </w:r>
      <w:r w:rsidR="009C249A" w:rsidRPr="001E3F5C">
        <w:t xml:space="preserve">v rámci projektu sdílených činností </w:t>
      </w:r>
      <w:r>
        <w:t>zabezpečí</w:t>
      </w:r>
      <w:r w:rsidR="009C249A" w:rsidRPr="001E3F5C">
        <w:t xml:space="preserve"> aktivity </w:t>
      </w:r>
      <w:r w:rsidR="009C249A" w:rsidRPr="007D625C">
        <w:t xml:space="preserve">NCP pro oblast genderové rovnosti a genderového </w:t>
      </w:r>
      <w:proofErr w:type="spellStart"/>
      <w:r w:rsidR="009C249A" w:rsidRPr="007D625C">
        <w:t>mainstreamingu</w:t>
      </w:r>
      <w:proofErr w:type="spellEnd"/>
      <w:r w:rsidR="009C249A" w:rsidRPr="007D625C">
        <w:t xml:space="preserve"> v</w:t>
      </w:r>
      <w:r>
        <w:t xml:space="preserve"> projektech </w:t>
      </w:r>
      <w:r w:rsidR="009C249A" w:rsidRPr="007D625C">
        <w:t>FP9.</w:t>
      </w:r>
      <w:r w:rsidR="009C249A" w:rsidRPr="001E3F5C">
        <w:t xml:space="preserve"> </w:t>
      </w:r>
      <w:r w:rsidR="009C249A" w:rsidRPr="009814D1">
        <w:t xml:space="preserve">NKC je jediným specializovaným pracovištěm v ČR, </w:t>
      </w:r>
      <w:r>
        <w:t>jež</w:t>
      </w:r>
      <w:r w:rsidR="009C249A" w:rsidRPr="009814D1">
        <w:t xml:space="preserve"> se věnuje problematice genderové rovnosti, resp. genderového </w:t>
      </w:r>
      <w:proofErr w:type="spellStart"/>
      <w:r w:rsidR="009C249A" w:rsidRPr="009814D1">
        <w:t>mainstreamingu</w:t>
      </w:r>
      <w:proofErr w:type="spellEnd"/>
      <w:r w:rsidR="009C249A" w:rsidRPr="009814D1">
        <w:t xml:space="preserve"> ve </w:t>
      </w:r>
      <w:proofErr w:type="spellStart"/>
      <w:r w:rsidR="009C249A" w:rsidRPr="009814D1">
        <w:t>VaVaI</w:t>
      </w:r>
      <w:proofErr w:type="spellEnd"/>
      <w:r w:rsidR="00CE44EE">
        <w:t>,</w:t>
      </w:r>
      <w:r w:rsidR="009C249A" w:rsidRPr="009814D1">
        <w:t xml:space="preserve"> a zajišťuje </w:t>
      </w:r>
      <w:r>
        <w:t xml:space="preserve">také </w:t>
      </w:r>
      <w:r w:rsidR="009C249A" w:rsidRPr="009814D1">
        <w:t>mezinárodní spolupráci ČR v této oblasti na úrovni EU. NKC naváže na svoji dlouholetou expertízu na tomto poli budovanou od roku 2001, a zajistí návaznost vykonávaných podpůrných služeb a aktivit pro výzkumné organizace, orgány státní správy ČR</w:t>
      </w:r>
      <w:r>
        <w:t>, ale</w:t>
      </w:r>
      <w:r w:rsidR="009C249A" w:rsidRPr="009814D1">
        <w:t xml:space="preserve"> i širokou akademickou obec v oblasti genderové rovnosti ve </w:t>
      </w:r>
      <w:proofErr w:type="spellStart"/>
      <w:r w:rsidR="009C249A" w:rsidRPr="009814D1">
        <w:t>VaVaI</w:t>
      </w:r>
      <w:proofErr w:type="spellEnd"/>
      <w:r w:rsidR="009C249A" w:rsidRPr="009814D1">
        <w:t>.</w:t>
      </w:r>
      <w:r w:rsidR="009C249A">
        <w:t xml:space="preserve"> </w:t>
      </w:r>
      <w:r w:rsidR="009C249A" w:rsidRPr="001E3F5C">
        <w:t xml:space="preserve">Cílem NKC bude v tomto ohledu budování kapacit pro účast </w:t>
      </w:r>
      <w:r>
        <w:t xml:space="preserve">ČR </w:t>
      </w:r>
      <w:r w:rsidR="009C249A" w:rsidRPr="001E3F5C">
        <w:t xml:space="preserve">v FP9 a zabezpečení podpůrných služeb </w:t>
      </w:r>
      <w:r>
        <w:t>k</w:t>
      </w:r>
      <w:r w:rsidR="009C249A" w:rsidRPr="001E3F5C">
        <w:t xml:space="preserve"> zapojení výzkumných organizací ČR do ERA. </w:t>
      </w:r>
      <w:r w:rsidR="009C249A">
        <w:t>Hlavní okruhy aktivit</w:t>
      </w:r>
      <w:r>
        <w:t xml:space="preserve"> zahrnou</w:t>
      </w:r>
      <w:r w:rsidR="009C249A">
        <w:t>:</w:t>
      </w:r>
    </w:p>
    <w:p w14:paraId="354733DC" w14:textId="77777777" w:rsidR="009C249A" w:rsidRDefault="009C249A" w:rsidP="00D046E4">
      <w:pPr>
        <w:pStyle w:val="Odstavecseseznamem"/>
        <w:numPr>
          <w:ilvl w:val="0"/>
          <w:numId w:val="0"/>
        </w:numPr>
        <w:spacing w:line="240" w:lineRule="auto"/>
        <w:ind w:left="360"/>
        <w:contextualSpacing w:val="0"/>
        <w:jc w:val="both"/>
      </w:pPr>
    </w:p>
    <w:p w14:paraId="079D4189" w14:textId="487BDD38" w:rsidR="009C249A" w:rsidRDefault="009C249A" w:rsidP="007D625C">
      <w:pPr>
        <w:pStyle w:val="Odstavecseseznamem"/>
        <w:numPr>
          <w:ilvl w:val="0"/>
          <w:numId w:val="31"/>
        </w:numPr>
        <w:spacing w:line="240" w:lineRule="auto"/>
        <w:ind w:left="720"/>
        <w:contextualSpacing w:val="0"/>
        <w:jc w:val="both"/>
      </w:pPr>
      <w:r w:rsidRPr="00B65B0C">
        <w:t xml:space="preserve">Komplexní informační činnosti </w:t>
      </w:r>
      <w:r>
        <w:t>v oblasti podmínek účasti v FP9 v oblasti genderových otá</w:t>
      </w:r>
      <w:r w:rsidR="007D625C">
        <w:t>zek (plány genderové rovnosti apo</w:t>
      </w:r>
      <w:r>
        <w:t>d.)</w:t>
      </w:r>
      <w:r w:rsidR="007D625C">
        <w:t>;</w:t>
      </w:r>
    </w:p>
    <w:p w14:paraId="637511B4" w14:textId="77777777" w:rsidR="00D046E4" w:rsidRDefault="00D046E4" w:rsidP="007D625C">
      <w:pPr>
        <w:pStyle w:val="Odstavecseseznamem"/>
        <w:numPr>
          <w:ilvl w:val="0"/>
          <w:numId w:val="0"/>
        </w:numPr>
        <w:spacing w:line="240" w:lineRule="auto"/>
        <w:ind w:left="230"/>
        <w:contextualSpacing w:val="0"/>
        <w:jc w:val="both"/>
      </w:pPr>
    </w:p>
    <w:p w14:paraId="36E7EA9B" w14:textId="52E280E3" w:rsidR="009C249A" w:rsidRDefault="009C249A" w:rsidP="007D625C">
      <w:pPr>
        <w:pStyle w:val="Odstavecseseznamem"/>
        <w:numPr>
          <w:ilvl w:val="0"/>
          <w:numId w:val="31"/>
        </w:numPr>
        <w:spacing w:line="240" w:lineRule="auto"/>
        <w:ind w:left="720"/>
        <w:contextualSpacing w:val="0"/>
        <w:jc w:val="both"/>
      </w:pPr>
      <w:r w:rsidRPr="00B65B0C">
        <w:t xml:space="preserve">Školicí aktivity a expertní činnosti </w:t>
      </w:r>
      <w:r>
        <w:t xml:space="preserve">v oblasti genderové rovnosti ve </w:t>
      </w:r>
      <w:proofErr w:type="spellStart"/>
      <w:r>
        <w:t>VaVaI</w:t>
      </w:r>
      <w:proofErr w:type="spellEnd"/>
      <w:r>
        <w:t xml:space="preserve"> </w:t>
      </w:r>
      <w:r w:rsidRPr="00B65B0C">
        <w:t xml:space="preserve">zvyšující připravenost řešitelských týmů </w:t>
      </w:r>
      <w:r w:rsidR="00D046E4">
        <w:t>z ČR k zapojení do projektů FP9</w:t>
      </w:r>
      <w:r w:rsidR="007D625C">
        <w:t>;</w:t>
      </w:r>
    </w:p>
    <w:p w14:paraId="1D3517FC" w14:textId="77777777" w:rsidR="00D046E4" w:rsidRDefault="00D046E4" w:rsidP="007D625C">
      <w:pPr>
        <w:pStyle w:val="Odstavecseseznamem"/>
        <w:numPr>
          <w:ilvl w:val="0"/>
          <w:numId w:val="0"/>
        </w:numPr>
        <w:spacing w:line="240" w:lineRule="auto"/>
        <w:ind w:left="230"/>
        <w:contextualSpacing w:val="0"/>
        <w:jc w:val="both"/>
      </w:pPr>
    </w:p>
    <w:p w14:paraId="7A1FFADF" w14:textId="5677729C" w:rsidR="009C249A" w:rsidRDefault="009C249A" w:rsidP="007D625C">
      <w:pPr>
        <w:pStyle w:val="Odstavecseseznamem"/>
        <w:numPr>
          <w:ilvl w:val="0"/>
          <w:numId w:val="31"/>
        </w:numPr>
        <w:spacing w:line="240" w:lineRule="auto"/>
        <w:ind w:left="720"/>
        <w:contextualSpacing w:val="0"/>
        <w:jc w:val="both"/>
      </w:pPr>
      <w:r w:rsidRPr="00B65B0C">
        <w:t xml:space="preserve">Konzultační činnosti – individuální konzultační podpora předkladatele návrhu, resp. řešitele projektu FP9 </w:t>
      </w:r>
      <w:r>
        <w:t xml:space="preserve">v oblasti genderové rovnosti ve </w:t>
      </w:r>
      <w:proofErr w:type="spellStart"/>
      <w:r>
        <w:t>VaVaI</w:t>
      </w:r>
      <w:proofErr w:type="spellEnd"/>
      <w:r w:rsidR="007D625C">
        <w:t>;</w:t>
      </w:r>
    </w:p>
    <w:p w14:paraId="5A84A507" w14:textId="77777777" w:rsidR="00D046E4" w:rsidRDefault="00D046E4" w:rsidP="007D625C">
      <w:pPr>
        <w:pStyle w:val="Odstavecseseznamem"/>
        <w:numPr>
          <w:ilvl w:val="0"/>
          <w:numId w:val="0"/>
        </w:numPr>
        <w:spacing w:line="240" w:lineRule="auto"/>
        <w:ind w:left="230"/>
        <w:contextualSpacing w:val="0"/>
        <w:jc w:val="both"/>
      </w:pPr>
    </w:p>
    <w:p w14:paraId="37E8308D" w14:textId="78E9467C" w:rsidR="009C249A" w:rsidRDefault="009C249A" w:rsidP="007D625C">
      <w:pPr>
        <w:pStyle w:val="Odstavecseseznamem"/>
        <w:numPr>
          <w:ilvl w:val="0"/>
          <w:numId w:val="31"/>
        </w:numPr>
        <w:spacing w:line="240" w:lineRule="auto"/>
        <w:ind w:left="720"/>
        <w:contextualSpacing w:val="0"/>
        <w:jc w:val="both"/>
      </w:pPr>
      <w:r w:rsidRPr="001E3F5C">
        <w:t>Zvyšování a prohlubování kvalifikace NCP a spolupráce s mezinárodní sítí NCP</w:t>
      </w:r>
      <w:r>
        <w:t xml:space="preserve"> v o</w:t>
      </w:r>
      <w:r w:rsidR="007D625C">
        <w:t>blasti genderové rovnosti v FP9;</w:t>
      </w:r>
    </w:p>
    <w:p w14:paraId="2DBBEBD7" w14:textId="77777777" w:rsidR="00D046E4" w:rsidRDefault="00D046E4" w:rsidP="007D625C">
      <w:pPr>
        <w:pStyle w:val="Odstavecseseznamem"/>
        <w:numPr>
          <w:ilvl w:val="0"/>
          <w:numId w:val="0"/>
        </w:numPr>
        <w:spacing w:line="240" w:lineRule="auto"/>
        <w:ind w:left="230"/>
        <w:contextualSpacing w:val="0"/>
        <w:jc w:val="both"/>
      </w:pPr>
    </w:p>
    <w:p w14:paraId="619B6EA8" w14:textId="2841EA13" w:rsidR="009C249A" w:rsidRDefault="009C249A" w:rsidP="007D625C">
      <w:pPr>
        <w:pStyle w:val="Odstavecseseznamem"/>
        <w:numPr>
          <w:ilvl w:val="0"/>
          <w:numId w:val="31"/>
        </w:numPr>
        <w:spacing w:line="240" w:lineRule="auto"/>
        <w:ind w:left="720"/>
        <w:contextualSpacing w:val="0"/>
        <w:jc w:val="both"/>
      </w:pPr>
      <w:r w:rsidRPr="009814D1">
        <w:t xml:space="preserve">Expertní podpora orgánů státní správy ČR v oblasti genderové rovnosti ve </w:t>
      </w:r>
      <w:proofErr w:type="spellStart"/>
      <w:r w:rsidRPr="009814D1">
        <w:t>VaVaI</w:t>
      </w:r>
      <w:proofErr w:type="spellEnd"/>
      <w:r w:rsidR="007D625C">
        <w:t>;</w:t>
      </w:r>
    </w:p>
    <w:p w14:paraId="1D5358F8" w14:textId="77777777" w:rsidR="00D046E4" w:rsidRDefault="00D046E4" w:rsidP="007D625C">
      <w:pPr>
        <w:pStyle w:val="Odstavecseseznamem"/>
        <w:numPr>
          <w:ilvl w:val="0"/>
          <w:numId w:val="0"/>
        </w:numPr>
        <w:spacing w:line="240" w:lineRule="auto"/>
        <w:ind w:left="230"/>
        <w:contextualSpacing w:val="0"/>
        <w:jc w:val="both"/>
      </w:pPr>
    </w:p>
    <w:p w14:paraId="22F11047" w14:textId="03BDAB74" w:rsidR="009C249A" w:rsidRDefault="009C249A" w:rsidP="007D625C">
      <w:pPr>
        <w:pStyle w:val="Odstavecseseznamem"/>
        <w:numPr>
          <w:ilvl w:val="0"/>
          <w:numId w:val="31"/>
        </w:numPr>
        <w:spacing w:line="240" w:lineRule="auto"/>
        <w:ind w:left="720"/>
        <w:contextualSpacing w:val="0"/>
        <w:jc w:val="both"/>
      </w:pPr>
      <w:r w:rsidRPr="009814D1">
        <w:t xml:space="preserve">Expertní podpora pro plnění závazků ČR v oblasti genderové rovnosti ve </w:t>
      </w:r>
      <w:proofErr w:type="spellStart"/>
      <w:r w:rsidRPr="009814D1">
        <w:t>VaVaI</w:t>
      </w:r>
      <w:proofErr w:type="spellEnd"/>
      <w:r>
        <w:t xml:space="preserve"> na evropské úrovni</w:t>
      </w:r>
      <w:r w:rsidR="007D625C">
        <w:t>.</w:t>
      </w:r>
    </w:p>
    <w:p w14:paraId="150A4731" w14:textId="77777777" w:rsidR="009C249A" w:rsidRPr="001E3F5C" w:rsidRDefault="009C249A" w:rsidP="00D046E4">
      <w:pPr>
        <w:spacing w:after="0" w:line="240" w:lineRule="auto"/>
        <w:jc w:val="both"/>
        <w:rPr>
          <w:rFonts w:eastAsiaTheme="minorHAnsi"/>
        </w:rPr>
      </w:pPr>
    </w:p>
    <w:p w14:paraId="0072887A" w14:textId="6D806F27" w:rsidR="009C249A" w:rsidRPr="001E3F5C" w:rsidRDefault="009C249A" w:rsidP="00D046E4">
      <w:pPr>
        <w:pStyle w:val="Odstavecseseznamem"/>
        <w:numPr>
          <w:ilvl w:val="0"/>
          <w:numId w:val="9"/>
        </w:numPr>
        <w:spacing w:line="240" w:lineRule="auto"/>
        <w:contextualSpacing w:val="0"/>
        <w:jc w:val="both"/>
      </w:pPr>
      <w:r w:rsidRPr="00BE0EB5">
        <w:rPr>
          <w:b/>
        </w:rPr>
        <w:t>Aktivity E</w:t>
      </w:r>
      <w:r>
        <w:rPr>
          <w:b/>
        </w:rPr>
        <w:t>URAXESS</w:t>
      </w:r>
      <w:r w:rsidRPr="00BE0EB5">
        <w:rPr>
          <w:b/>
        </w:rPr>
        <w:t xml:space="preserve"> ČR</w:t>
      </w:r>
      <w:r w:rsidR="007D625C">
        <w:rPr>
          <w:b/>
        </w:rPr>
        <w:t xml:space="preserve"> </w:t>
      </w:r>
      <w:r w:rsidR="007D625C">
        <w:t>–</w:t>
      </w:r>
      <w:r>
        <w:t xml:space="preserve"> EURAXESS ČR </w:t>
      </w:r>
      <w:r w:rsidR="007D625C">
        <w:t>je sítí</w:t>
      </w:r>
      <w:r w:rsidRPr="00652384">
        <w:t xml:space="preserve"> konzultačních kanceláří poskytujících vysoce kvalifikované informace související se vstupními podmínkami do ČR a se všemi praktickými aspekty života v ČR.</w:t>
      </w:r>
      <w:r>
        <w:t xml:space="preserve"> </w:t>
      </w:r>
      <w:r w:rsidRPr="00652384">
        <w:t xml:space="preserve">Prostřednictvím služeb, </w:t>
      </w:r>
      <w:r w:rsidR="00E4479C">
        <w:t>jež</w:t>
      </w:r>
      <w:r w:rsidRPr="00652384">
        <w:t xml:space="preserve"> EURAXESS v ČR poskytuje, přicházejí do ČR zahraniční </w:t>
      </w:r>
      <w:r w:rsidR="00E4479C">
        <w:t>vědci,</w:t>
      </w:r>
      <w:r w:rsidRPr="00652384">
        <w:t xml:space="preserve"> </w:t>
      </w:r>
      <w:r w:rsidR="00E4479C">
        <w:t xml:space="preserve">a to </w:t>
      </w:r>
      <w:r w:rsidRPr="00652384">
        <w:t>nezatížení vstupními administrativními překážkami, a</w:t>
      </w:r>
      <w:r w:rsidR="00E4479C">
        <w:t> </w:t>
      </w:r>
      <w:r w:rsidRPr="00652384">
        <w:t xml:space="preserve">mohou tedy vytvářet společně s českými kolegy vysoce konkurenceschopné vědecké týmy, které jsou schopné </w:t>
      </w:r>
      <w:r w:rsidR="00E4479C">
        <w:t xml:space="preserve">i </w:t>
      </w:r>
      <w:r w:rsidRPr="00652384">
        <w:t xml:space="preserve">úspěšně vstupovat do mezinárodních projektů </w:t>
      </w:r>
      <w:proofErr w:type="spellStart"/>
      <w:r w:rsidRPr="00652384">
        <w:t>VaVaI</w:t>
      </w:r>
      <w:proofErr w:type="spellEnd"/>
      <w:r w:rsidRPr="00652384">
        <w:t xml:space="preserve">. Vytváření multikulturních projektových týmů je </w:t>
      </w:r>
      <w:r w:rsidR="00E4479C">
        <w:t>přitom</w:t>
      </w:r>
      <w:r w:rsidRPr="00652384">
        <w:t xml:space="preserve"> i jedním ze základních požadavků současné dotační politiky v rámci EU a </w:t>
      </w:r>
      <w:r w:rsidR="00E4479C">
        <w:t xml:space="preserve">v </w:t>
      </w:r>
      <w:r w:rsidRPr="00652384">
        <w:t>ČR může v tomto ohledu plně využívat stávajícího zázemí EURAXESS ČR a jeho plně funkční vazby na celoevropskou síť EURAXESS.</w:t>
      </w:r>
    </w:p>
    <w:p w14:paraId="6E318438" w14:textId="77777777" w:rsidR="009C249A" w:rsidRDefault="009C249A" w:rsidP="00E4479C">
      <w:pPr>
        <w:pStyle w:val="Nadpis1"/>
        <w:numPr>
          <w:ilvl w:val="0"/>
          <w:numId w:val="3"/>
        </w:numPr>
        <w:spacing w:before="240" w:after="240" w:line="240" w:lineRule="auto"/>
        <w:ind w:left="431" w:hanging="431"/>
        <w:jc w:val="both"/>
      </w:pPr>
      <w:bookmarkStart w:id="11" w:name="_Toc40123715"/>
      <w:bookmarkStart w:id="12" w:name="_Toc55466811"/>
      <w:r>
        <w:t>VÝCHODISKA</w:t>
      </w:r>
      <w:bookmarkEnd w:id="11"/>
      <w:bookmarkEnd w:id="12"/>
    </w:p>
    <w:p w14:paraId="7CAA5D7D" w14:textId="77777777" w:rsidR="009C249A" w:rsidRDefault="009C249A" w:rsidP="00E4479C">
      <w:pPr>
        <w:pStyle w:val="Nadpis2"/>
      </w:pPr>
      <w:bookmarkStart w:id="13" w:name="_Toc40123716"/>
      <w:bookmarkStart w:id="14" w:name="_Toc55466812"/>
      <w:r>
        <w:t>Zdůvodnění potřebnosti projektu</w:t>
      </w:r>
      <w:bookmarkEnd w:id="13"/>
      <w:bookmarkEnd w:id="14"/>
    </w:p>
    <w:p w14:paraId="2ED17C12" w14:textId="58EAD0B2" w:rsidR="009C249A" w:rsidRDefault="009C249A" w:rsidP="00D046E4">
      <w:pPr>
        <w:spacing w:after="0" w:line="240" w:lineRule="auto"/>
        <w:jc w:val="both"/>
      </w:pPr>
      <w:r>
        <w:t xml:space="preserve">Vynakládanými prostředky na </w:t>
      </w:r>
      <w:proofErr w:type="spellStart"/>
      <w:r w:rsidR="003F059A">
        <w:t>VaVaI</w:t>
      </w:r>
      <w:proofErr w:type="spellEnd"/>
      <w:r>
        <w:t>, co se týká jejich procentuálního podílu na hrubém domácím produktu, se ČR dlouhodobě řadí do první desítky členských států EU. Podle řady ukazatelů však ČR dlouhod</w:t>
      </w:r>
      <w:r w:rsidR="00B17C63">
        <w:t>obě zaostává</w:t>
      </w:r>
      <w:r w:rsidR="00E4479C">
        <w:t>,</w:t>
      </w:r>
      <w:r>
        <w:t xml:space="preserve"> co do schopnosti</w:t>
      </w:r>
      <w:r w:rsidR="0047347A">
        <w:t xml:space="preserve"> využít své plné kapacity</w:t>
      </w:r>
      <w:r>
        <w:t xml:space="preserve"> zapojení se do rámcových programů EU, a náleží</w:t>
      </w:r>
      <w:r w:rsidR="00205062">
        <w:t xml:space="preserve"> v tomto ohledu</w:t>
      </w:r>
      <w:r>
        <w:t xml:space="preserve"> do poslední desítky členských států EU. ČR je v konečném důsledku čistým plátcem do rámcových programů EU, protože z jejich rozpočtových prostředků není schopna získávat zpět podíl, který by na základě příspěvků ČR do rozpočtu EU měla očekávat. Bilance návratnosti vynaložených výdajů proto vyznívá pro ČR negativně. Nedostatečná intenzita zapojení výzkumných organizací a podniků ČR do projektů </w:t>
      </w:r>
      <w:r>
        <w:lastRenderedPageBreak/>
        <w:t xml:space="preserve">rámcových programů EU má </w:t>
      </w:r>
      <w:r w:rsidR="00E4479C">
        <w:t>přitom</w:t>
      </w:r>
      <w:r>
        <w:t xml:space="preserve"> dlouhodobě negativní dopad i na míru internacionalizace českého </w:t>
      </w:r>
      <w:proofErr w:type="spellStart"/>
      <w:r>
        <w:t>VaVaI</w:t>
      </w:r>
      <w:proofErr w:type="spellEnd"/>
      <w:r>
        <w:t xml:space="preserve"> a nepříznivě ovlivňuje i jeho kvalitu a výkonnost.</w:t>
      </w:r>
    </w:p>
    <w:p w14:paraId="43553034" w14:textId="77777777" w:rsidR="00E4479C" w:rsidRDefault="00E4479C" w:rsidP="00D046E4">
      <w:pPr>
        <w:spacing w:after="0" w:line="240" w:lineRule="auto"/>
        <w:jc w:val="both"/>
      </w:pPr>
    </w:p>
    <w:p w14:paraId="2E084D7B" w14:textId="48DF8909" w:rsidR="009C249A" w:rsidRDefault="009C249A" w:rsidP="00D046E4">
      <w:pPr>
        <w:spacing w:after="0" w:line="240" w:lineRule="auto"/>
        <w:jc w:val="both"/>
      </w:pPr>
      <w:r>
        <w:t xml:space="preserve">V návaznosti na cíle stanovené Inovační strategií ČR pro léta 2019 až 2030 a Národní politikou </w:t>
      </w:r>
      <w:proofErr w:type="spellStart"/>
      <w:r w:rsidR="00ED4EF4">
        <w:t>VaVaI</w:t>
      </w:r>
      <w:proofErr w:type="spellEnd"/>
      <w:r>
        <w:t xml:space="preserve"> ČR pro l</w:t>
      </w:r>
      <w:r w:rsidR="00ED4EF4">
        <w:t>éta</w:t>
      </w:r>
      <w:r>
        <w:t xml:space="preserve"> 2021+ je proto nezbytné přiblížit charakteristiky účasti ČR v rámcových programech EU</w:t>
      </w:r>
      <w:r w:rsidR="00ED4EF4">
        <w:t xml:space="preserve"> </w:t>
      </w:r>
      <w:r>
        <w:t xml:space="preserve">– a </w:t>
      </w:r>
      <w:r w:rsidR="00ED4EF4">
        <w:t>od roku 2021</w:t>
      </w:r>
      <w:r>
        <w:t xml:space="preserve"> v </w:t>
      </w:r>
      <w:r w:rsidR="00970F25">
        <w:rPr>
          <w:rFonts w:eastAsia="Verdana"/>
        </w:rPr>
        <w:t xml:space="preserve">FP9 </w:t>
      </w:r>
      <w:r>
        <w:t xml:space="preserve">– mnohem blíže k charakteristikám účastí znalostně a technologicky nejvyspělejších členských států EU. Tento cíl si žádá, kromě kýženého rozvoje synergií mezi evropskými a národními programy </w:t>
      </w:r>
      <w:proofErr w:type="spellStart"/>
      <w:r>
        <w:t>VaVaI</w:t>
      </w:r>
      <w:proofErr w:type="spellEnd"/>
      <w:r>
        <w:t>, realizovanými v rámci ČR, zejména zásadní zvýšení intenzity zapojení týmů výzkumných organizací a podniků ČR do projektů FP9 – ve srovnání s uplynulým obdobím. K dosažení tohoto cíle je přitom, kromě zvýšené motivace výzkumných organizací a podniků ČR, nezbytná rovněž posílená podpora ze strany orgánů státní správy ČR, která bude poskytnuta zprostředkovaně předkládaným projektem sdílených činností.</w:t>
      </w:r>
    </w:p>
    <w:p w14:paraId="4D8A4168" w14:textId="77777777" w:rsidR="00D046E4" w:rsidRDefault="00D046E4" w:rsidP="00D046E4">
      <w:pPr>
        <w:spacing w:after="0" w:line="240" w:lineRule="auto"/>
        <w:jc w:val="both"/>
      </w:pPr>
    </w:p>
    <w:p w14:paraId="0F912D72" w14:textId="664FBA5A" w:rsidR="009C249A" w:rsidRPr="00B813C4" w:rsidRDefault="009C249A" w:rsidP="00D046E4">
      <w:pPr>
        <w:spacing w:after="0" w:line="240" w:lineRule="auto"/>
        <w:jc w:val="both"/>
      </w:pPr>
      <w:r>
        <w:t>V návaznosti na Evropskou strategii genderové rovnosti 2020</w:t>
      </w:r>
      <w:r w:rsidR="00ED4EF4">
        <w:t>–</w:t>
      </w:r>
      <w:r>
        <w:t xml:space="preserve">2025 zavádí FP9 v oblasti genderové rovnosti nové požadavky týkající se pravidel účasti, což bude vyžadovat zvýšenou expertní podporu pro české žadatele a NCP, a to jak v oblasti zavádění plánů genderové rovnosti, tak </w:t>
      </w:r>
      <w:r w:rsidR="00ED4EF4">
        <w:t xml:space="preserve">i </w:t>
      </w:r>
      <w:r>
        <w:t xml:space="preserve">v oblasti genderové dimenze v obsahu výzkumu. Zároveň bude vznikat potřeba pro expertní podporu orgánů státní a veřejné správy v oblasti genderové rovnosti v návaznosti </w:t>
      </w:r>
      <w:r w:rsidR="00ED4EF4">
        <w:t>na právě projednávané, resp. již implementované politiky na české národní a evropské úrovni.</w:t>
      </w:r>
    </w:p>
    <w:p w14:paraId="4F892603" w14:textId="77777777" w:rsidR="009C249A" w:rsidRDefault="009C249A" w:rsidP="00ED4EF4">
      <w:pPr>
        <w:pStyle w:val="Nadpis2"/>
      </w:pPr>
      <w:bookmarkStart w:id="15" w:name="_Toc40123725"/>
      <w:bookmarkStart w:id="16" w:name="_Toc55466813"/>
      <w:r w:rsidRPr="00F363F5">
        <w:t>Soulad se souvisícími právními předpisy</w:t>
      </w:r>
      <w:r>
        <w:t xml:space="preserve"> a s činností řešitele projektu</w:t>
      </w:r>
      <w:bookmarkEnd w:id="16"/>
    </w:p>
    <w:p w14:paraId="5B841263" w14:textId="2BF65ECA" w:rsidR="009C249A" w:rsidRDefault="009C249A" w:rsidP="00D046E4">
      <w:pPr>
        <w:spacing w:after="0" w:line="240" w:lineRule="auto"/>
        <w:jc w:val="both"/>
        <w:rPr>
          <w:rFonts w:eastAsia="Verdana"/>
        </w:rPr>
      </w:pPr>
      <w:r>
        <w:t xml:space="preserve">MŠMT jako předkladatel návrhu projektu sdílených činností vykonává v rámci ČR </w:t>
      </w:r>
      <w:r w:rsidRPr="000960F7">
        <w:t>roli gestora mezinárodní spolupráce ČR ve výzkumu a vývoji</w:t>
      </w:r>
      <w:r>
        <w:t xml:space="preserve"> v souladu s </w:t>
      </w:r>
      <w:proofErr w:type="spellStart"/>
      <w:r>
        <w:t>ust</w:t>
      </w:r>
      <w:proofErr w:type="spellEnd"/>
      <w:r>
        <w:t xml:space="preserve">. </w:t>
      </w:r>
      <w:r w:rsidRPr="00ED6E07">
        <w:rPr>
          <w:rFonts w:eastAsia="Verdana"/>
        </w:rPr>
        <w:t>§ 7 odst. 1 zákona č. 2/1969 Sb., o zřízení ministerstev a jiných ústř</w:t>
      </w:r>
      <w:r>
        <w:rPr>
          <w:rFonts w:eastAsia="Verdana"/>
        </w:rPr>
        <w:t xml:space="preserve">edních orgánů státní správy, a současně </w:t>
      </w:r>
      <w:proofErr w:type="spellStart"/>
      <w:r>
        <w:rPr>
          <w:rFonts w:eastAsia="Verdana"/>
        </w:rPr>
        <w:t>ust</w:t>
      </w:r>
      <w:proofErr w:type="spellEnd"/>
      <w:r>
        <w:rPr>
          <w:rFonts w:eastAsia="Verdana"/>
        </w:rPr>
        <w:t>.</w:t>
      </w:r>
      <w:r w:rsidRPr="00ED6E07">
        <w:rPr>
          <w:rFonts w:eastAsia="Verdana"/>
        </w:rPr>
        <w:t xml:space="preserve"> § 33 odst. 2 zákona o podpoře výzkumu, experimentálního vývoje a inovací.</w:t>
      </w:r>
      <w:r>
        <w:rPr>
          <w:rFonts w:eastAsia="Verdana"/>
        </w:rPr>
        <w:t xml:space="preserve"> </w:t>
      </w:r>
      <w:r w:rsidRPr="000960F7">
        <w:rPr>
          <w:rFonts w:eastAsia="Verdana"/>
          <w:b/>
        </w:rPr>
        <w:t xml:space="preserve">Jako ústřední orgán státní správy ČR </w:t>
      </w:r>
      <w:r>
        <w:rPr>
          <w:rFonts w:eastAsia="Verdana"/>
          <w:b/>
        </w:rPr>
        <w:t>s gescí</w:t>
      </w:r>
      <w:r w:rsidRPr="000960F7">
        <w:rPr>
          <w:rFonts w:eastAsia="Verdana"/>
          <w:b/>
        </w:rPr>
        <w:t xml:space="preserve"> za výkon výše uvedených agend </w:t>
      </w:r>
      <w:r>
        <w:rPr>
          <w:rFonts w:eastAsia="Verdana"/>
          <w:b/>
        </w:rPr>
        <w:t xml:space="preserve">tak </w:t>
      </w:r>
      <w:r w:rsidRPr="000960F7">
        <w:rPr>
          <w:rFonts w:eastAsia="Verdana"/>
          <w:b/>
        </w:rPr>
        <w:t>MŠMT předkládá návrh projektu sdílených činností CZE</w:t>
      </w:r>
      <w:r>
        <w:rPr>
          <w:rFonts w:eastAsia="Verdana"/>
          <w:b/>
        </w:rPr>
        <w:t>RA</w:t>
      </w:r>
      <w:r w:rsidRPr="000960F7">
        <w:rPr>
          <w:rFonts w:eastAsia="Verdana"/>
          <w:b/>
        </w:rPr>
        <w:t>.</w:t>
      </w:r>
      <w:r>
        <w:rPr>
          <w:rFonts w:eastAsia="Verdana"/>
        </w:rPr>
        <w:t xml:space="preserve"> </w:t>
      </w:r>
    </w:p>
    <w:p w14:paraId="74C23CDF" w14:textId="77777777" w:rsidR="009C249A" w:rsidRDefault="009C249A" w:rsidP="00D046E4">
      <w:pPr>
        <w:spacing w:after="0" w:line="240" w:lineRule="auto"/>
        <w:jc w:val="both"/>
      </w:pPr>
    </w:p>
    <w:p w14:paraId="5AA64034" w14:textId="502EDF51" w:rsidR="009C249A" w:rsidRDefault="009C249A" w:rsidP="00D046E4">
      <w:pPr>
        <w:spacing w:after="0" w:line="240" w:lineRule="auto"/>
        <w:jc w:val="both"/>
      </w:pPr>
      <w:r>
        <w:t xml:space="preserve">Projekt sdílených činností bude realizován primárně v souladu s </w:t>
      </w:r>
      <w:proofErr w:type="spellStart"/>
      <w:r w:rsidRPr="008538B1">
        <w:t>ust</w:t>
      </w:r>
      <w:proofErr w:type="spellEnd"/>
      <w:r w:rsidRPr="008538B1">
        <w:t xml:space="preserve">. § 2 odst. 2 písm. e), § 3 odst. 2 písm. e) a § 4 odst. 1 písm. e) </w:t>
      </w:r>
      <w:r w:rsidRPr="004C0FB7">
        <w:rPr>
          <w:b/>
        </w:rPr>
        <w:t>zákona o podpoře výzkumu, experimentálního vývoje a inovací</w:t>
      </w:r>
      <w:r>
        <w:t>, na základě kterého bude MŠMT posky</w:t>
      </w:r>
      <w:r w:rsidR="00ED4EF4">
        <w:t>tovat realizátorovi projektu, tzn</w:t>
      </w:r>
      <w:r>
        <w:t>.</w:t>
      </w:r>
      <w:r w:rsidR="00ED4EF4">
        <w:t>,</w:t>
      </w:r>
      <w:r>
        <w:t xml:space="preserve"> </w:t>
      </w:r>
      <w:r w:rsidR="00970F25">
        <w:t>TC AV</w:t>
      </w:r>
      <w:r w:rsidR="00ED4EF4">
        <w:t xml:space="preserve"> </w:t>
      </w:r>
      <w:r w:rsidR="00970F25">
        <w:t>ČR</w:t>
      </w:r>
      <w:r>
        <w:t>, účelovou podporu, a další aplikovanou legislativou, jako např. z</w:t>
      </w:r>
      <w:r w:rsidRPr="00B26F58">
        <w:t>ákon</w:t>
      </w:r>
      <w:r>
        <w:t>em</w:t>
      </w:r>
      <w:r w:rsidRPr="00B26F58">
        <w:t xml:space="preserve"> č. 218</w:t>
      </w:r>
      <w:r w:rsidR="00970F25">
        <w:t>/2000 Sb., o </w:t>
      </w:r>
      <w:r w:rsidRPr="00B26F58">
        <w:t>rozpočtových pravidlech a o změně některých souvisejících zákonů (rozpočtová pravidla)</w:t>
      </w:r>
      <w:r>
        <w:t>, anebo z</w:t>
      </w:r>
      <w:r w:rsidRPr="002D147A">
        <w:t>ákon</w:t>
      </w:r>
      <w:r>
        <w:t>em</w:t>
      </w:r>
      <w:r w:rsidRPr="002D147A">
        <w:t xml:space="preserve"> č. 134/2016 Sb., o zadávání veřejných zakázek</w:t>
      </w:r>
      <w:r w:rsidR="003A1994">
        <w:t>.</w:t>
      </w:r>
    </w:p>
    <w:p w14:paraId="36F9FB36" w14:textId="77777777" w:rsidR="009C249A" w:rsidRDefault="009C249A" w:rsidP="00D046E4">
      <w:pPr>
        <w:spacing w:after="0" w:line="240" w:lineRule="auto"/>
        <w:jc w:val="both"/>
      </w:pPr>
    </w:p>
    <w:p w14:paraId="2F2704CF" w14:textId="6A5399DD" w:rsidR="009C249A" w:rsidRPr="00B813C4" w:rsidRDefault="00ED4EF4" w:rsidP="00D046E4">
      <w:pPr>
        <w:spacing w:after="0" w:line="240" w:lineRule="auto"/>
        <w:jc w:val="both"/>
        <w:rPr>
          <w:b/>
        </w:rPr>
      </w:pPr>
      <w:r>
        <w:t xml:space="preserve">Co do </w:t>
      </w:r>
      <w:r w:rsidR="009C249A">
        <w:t xml:space="preserve">souladu projektu sdílených činností s činností řešitelů projektu, </w:t>
      </w:r>
      <w:r w:rsidR="009C249A" w:rsidRPr="00B813C4">
        <w:rPr>
          <w:b/>
        </w:rPr>
        <w:t>TC AV</w:t>
      </w:r>
      <w:r>
        <w:rPr>
          <w:b/>
        </w:rPr>
        <w:t xml:space="preserve"> </w:t>
      </w:r>
      <w:r w:rsidR="009C249A" w:rsidRPr="00B813C4">
        <w:rPr>
          <w:b/>
        </w:rPr>
        <w:t>ČR</w:t>
      </w:r>
      <w:r>
        <w:rPr>
          <w:b/>
        </w:rPr>
        <w:t xml:space="preserve"> </w:t>
      </w:r>
      <w:r w:rsidR="009C249A" w:rsidRPr="00B813C4">
        <w:t xml:space="preserve">dlouhodobě zajišťuje a rozvíjí aktivity a služby vyplývající z pozice národního informačního, konzultačního, školicího a v neposlední řadě </w:t>
      </w:r>
      <w:r>
        <w:t>i</w:t>
      </w:r>
      <w:r w:rsidR="009C249A" w:rsidRPr="00B813C4">
        <w:t xml:space="preserve"> analyticko-monitorovacího pracoviště pro otázky evropského </w:t>
      </w:r>
      <w:proofErr w:type="spellStart"/>
      <w:r w:rsidR="009C249A" w:rsidRPr="00B813C4">
        <w:t>VaVaI</w:t>
      </w:r>
      <w:proofErr w:type="spellEnd"/>
      <w:r w:rsidR="009C249A" w:rsidRPr="00B813C4">
        <w:t xml:space="preserve">. Služby Národních kontaktních pracovníků ČR (NCP) pro rámcové programy EU jsou </w:t>
      </w:r>
      <w:r>
        <w:t xml:space="preserve">ze strany </w:t>
      </w:r>
      <w:r w:rsidR="009C249A" w:rsidRPr="00B813C4">
        <w:t>TC AV</w:t>
      </w:r>
      <w:r>
        <w:t xml:space="preserve"> </w:t>
      </w:r>
      <w:r w:rsidR="009C249A" w:rsidRPr="00B813C4">
        <w:t xml:space="preserve">ČR kontinuálně poskytovány, resp. rozvíjeny v souladu s vývojem v rámci ERA, potřebami klientů a požadavky Evropské komise </w:t>
      </w:r>
      <w:r>
        <w:t xml:space="preserve">kladenými </w:t>
      </w:r>
      <w:r w:rsidR="009C249A" w:rsidRPr="00B813C4">
        <w:t>na fungování sítě NCP již o</w:t>
      </w:r>
      <w:r>
        <w:t>d 5. rámcového programu EU, který</w:t>
      </w:r>
      <w:r w:rsidR="009C249A" w:rsidRPr="00B813C4">
        <w:t xml:space="preserve"> byl zahájen </w:t>
      </w:r>
      <w:r>
        <w:t xml:space="preserve">v </w:t>
      </w:r>
      <w:r w:rsidR="009C249A" w:rsidRPr="00B813C4">
        <w:t>roce 1998. TC AV</w:t>
      </w:r>
      <w:r>
        <w:t xml:space="preserve"> </w:t>
      </w:r>
      <w:r w:rsidR="009C249A" w:rsidRPr="00B813C4">
        <w:t xml:space="preserve">ČR </w:t>
      </w:r>
      <w:r>
        <w:t xml:space="preserve">poté </w:t>
      </w:r>
      <w:r w:rsidR="009C249A" w:rsidRPr="00B813C4">
        <w:t>od roku 2005 zajišť</w:t>
      </w:r>
      <w:r w:rsidR="009C249A">
        <w:t>ovalo</w:t>
      </w:r>
      <w:r w:rsidR="009C249A" w:rsidRPr="00B813C4">
        <w:t xml:space="preserve"> i fungování České styčné kanceláře pro výzkum, vývoj a inovace (CZELO), </w:t>
      </w:r>
      <w:r>
        <w:t>která</w:t>
      </w:r>
      <w:r w:rsidR="009C249A" w:rsidRPr="00B813C4">
        <w:t xml:space="preserve"> využívá svého specifického postavení v Bruselu pro zprostředková</w:t>
      </w:r>
      <w:r>
        <w:t>vá</w:t>
      </w:r>
      <w:r w:rsidR="009C249A" w:rsidRPr="00B813C4">
        <w:t>ní aktuálních informací využitelných pro intenzivnější zapojování českých subjektů do rámcových programů EU a</w:t>
      </w:r>
      <w:r w:rsidR="0067650B">
        <w:t xml:space="preserve"> také</w:t>
      </w:r>
      <w:r w:rsidR="009C249A" w:rsidRPr="00B813C4">
        <w:t xml:space="preserve"> napomáhá propagaci výsledků dosažených českými pracovišti v mezinárodní spolupráci ve </w:t>
      </w:r>
      <w:proofErr w:type="spellStart"/>
      <w:r w:rsidR="009C249A" w:rsidRPr="00B813C4">
        <w:t>VaVaI</w:t>
      </w:r>
      <w:proofErr w:type="spellEnd"/>
      <w:r w:rsidR="009C249A" w:rsidRPr="00B813C4">
        <w:t>. Služby TC AV</w:t>
      </w:r>
      <w:r w:rsidR="0067650B">
        <w:t xml:space="preserve"> </w:t>
      </w:r>
      <w:r w:rsidR="009C249A" w:rsidRPr="00B813C4">
        <w:t>ČR jsou poskytovány jeho klientům bez ohledu na typ organizace. TC AV</w:t>
      </w:r>
      <w:r w:rsidR="0067650B">
        <w:t xml:space="preserve"> </w:t>
      </w:r>
      <w:r w:rsidR="009C249A" w:rsidRPr="00B813C4">
        <w:t xml:space="preserve">ČR je vysoce respektovaným a </w:t>
      </w:r>
      <w:r w:rsidR="0067650B">
        <w:t xml:space="preserve">také </w:t>
      </w:r>
      <w:r w:rsidR="009C249A" w:rsidRPr="00B813C4">
        <w:t>vyhledávaným partnerem v mezinárodních projektech a</w:t>
      </w:r>
      <w:r w:rsidR="0067650B">
        <w:t> </w:t>
      </w:r>
      <w:r w:rsidR="009C249A" w:rsidRPr="00B813C4">
        <w:t>sítích</w:t>
      </w:r>
      <w:r w:rsidR="0067650B">
        <w:t xml:space="preserve"> </w:t>
      </w:r>
      <w:proofErr w:type="spellStart"/>
      <w:r w:rsidR="0067650B">
        <w:t>VaVaI</w:t>
      </w:r>
      <w:proofErr w:type="spellEnd"/>
      <w:r w:rsidR="009C249A">
        <w:t>, zejména sítích NCP</w:t>
      </w:r>
      <w:r w:rsidR="009C249A" w:rsidRPr="00B813C4">
        <w:t>, v nichž úzce spolupracuje se zahraničními organizacemi poskytujícími na národních úrovních obdobné služby a podílí se na práci odborných poradních skupin na národní i evropské úrovni.</w:t>
      </w:r>
    </w:p>
    <w:p w14:paraId="4B4FC815" w14:textId="77777777" w:rsidR="009C249A" w:rsidRPr="00B813C4" w:rsidRDefault="009C249A" w:rsidP="00D046E4">
      <w:pPr>
        <w:spacing w:after="0" w:line="240" w:lineRule="auto"/>
        <w:jc w:val="both"/>
      </w:pPr>
    </w:p>
    <w:p w14:paraId="4EBBAB10" w14:textId="463CA28E" w:rsidR="009C249A" w:rsidRDefault="0067650B" w:rsidP="00D046E4">
      <w:pPr>
        <w:spacing w:after="0" w:line="240" w:lineRule="auto"/>
        <w:jc w:val="both"/>
      </w:pPr>
      <w:r>
        <w:rPr>
          <w:b/>
        </w:rPr>
        <w:lastRenderedPageBreak/>
        <w:t>NKC</w:t>
      </w:r>
      <w:r w:rsidR="009C249A" w:rsidRPr="00B813C4">
        <w:t xml:space="preserve">, jako </w:t>
      </w:r>
      <w:r w:rsidR="009C249A">
        <w:t>výzkumné oddělení</w:t>
      </w:r>
      <w:r w:rsidR="009C249A" w:rsidRPr="00B813C4">
        <w:t xml:space="preserve"> Sociologického ústavu AV ČR, </w:t>
      </w:r>
      <w:proofErr w:type="spellStart"/>
      <w:proofErr w:type="gramStart"/>
      <w:r w:rsidR="009C249A" w:rsidRPr="00B813C4">
        <w:t>v.v.</w:t>
      </w:r>
      <w:proofErr w:type="gramEnd"/>
      <w:r>
        <w:t>i</w:t>
      </w:r>
      <w:proofErr w:type="spellEnd"/>
      <w:r w:rsidR="009C249A" w:rsidRPr="00B813C4">
        <w:t>., je unikátní specializovan</w:t>
      </w:r>
      <w:r>
        <w:t>é pracoviště</w:t>
      </w:r>
      <w:r w:rsidR="009C249A" w:rsidRPr="00B813C4">
        <w:t xml:space="preserve"> zaměřen</w:t>
      </w:r>
      <w:r>
        <w:t>é</w:t>
      </w:r>
      <w:r w:rsidR="009C249A" w:rsidRPr="00B813C4">
        <w:t xml:space="preserve"> na problematiku genderových otázek ve </w:t>
      </w:r>
      <w:proofErr w:type="spellStart"/>
      <w:r w:rsidR="009C249A" w:rsidRPr="00B813C4">
        <w:t>VaVaI</w:t>
      </w:r>
      <w:proofErr w:type="spellEnd"/>
      <w:r w:rsidR="009C249A" w:rsidRPr="00B813C4">
        <w:t xml:space="preserve"> v ČR, jakožto i v regionu střední a východní Evropy. </w:t>
      </w:r>
      <w:r w:rsidR="009C249A">
        <w:t>NKC funguje od roku 2001 a expertní podporu v oblasti genderové rovnosti v </w:t>
      </w:r>
      <w:r>
        <w:t>ERA</w:t>
      </w:r>
      <w:r w:rsidR="009C249A">
        <w:t xml:space="preserve"> poskytuje </w:t>
      </w:r>
      <w:r>
        <w:t xml:space="preserve">již </w:t>
      </w:r>
      <w:r w:rsidR="009C249A">
        <w:t xml:space="preserve">od </w:t>
      </w:r>
      <w:r>
        <w:t>6. rámcového</w:t>
      </w:r>
      <w:r w:rsidR="00D07531">
        <w:t xml:space="preserve"> program</w:t>
      </w:r>
      <w:r>
        <w:t>u EU</w:t>
      </w:r>
      <w:r w:rsidR="009C249A">
        <w:t xml:space="preserve">, kdy byly </w:t>
      </w:r>
      <w:r>
        <w:t xml:space="preserve">vůbec </w:t>
      </w:r>
      <w:r w:rsidR="009C249A">
        <w:t xml:space="preserve">poprvé zavedeny požadavky na uchazeče v této oblasti. </w:t>
      </w:r>
      <w:r w:rsidR="009C249A" w:rsidRPr="00B813C4">
        <w:t>NKC realizuje evropské a národní studie, které slouží jako podklad pro zpracovávání expertíz a návrhů opatření pro státní správu, i jako návrh pro institucionální řešení na straně výzkumných organizací v ČR. NKC poskytuje školení a tréninky týkající se ošetření genderových o</w:t>
      </w:r>
      <w:r>
        <w:t xml:space="preserve">tázek v rámcových programech EU, a to </w:t>
      </w:r>
      <w:r w:rsidR="009C249A" w:rsidRPr="00B813C4">
        <w:t>v celém cyklu</w:t>
      </w:r>
      <w:r>
        <w:t xml:space="preserve"> –</w:t>
      </w:r>
      <w:r w:rsidR="009C249A" w:rsidRPr="00B813C4">
        <w:t xml:space="preserve"> od přípravy po management realizovaných projektů. Dlouhodobě poskytuje podporu výzkumným </w:t>
      </w:r>
      <w:r>
        <w:t>institucím</w:t>
      </w:r>
      <w:r w:rsidR="009C249A" w:rsidRPr="00B813C4">
        <w:t xml:space="preserve"> zaměřenou na problematiku genderové rovnosti </w:t>
      </w:r>
      <w:r>
        <w:t xml:space="preserve">i </w:t>
      </w:r>
      <w:r w:rsidR="009C249A" w:rsidRPr="00B813C4">
        <w:t xml:space="preserve">její implementaci prostřednictvím plánů genderové rovnosti, a rozvoj lidských zdrojů pro </w:t>
      </w:r>
      <w:proofErr w:type="spellStart"/>
      <w:r w:rsidR="009C249A" w:rsidRPr="00B813C4">
        <w:t>VaVaI</w:t>
      </w:r>
      <w:proofErr w:type="spellEnd"/>
      <w:r w:rsidR="009C249A" w:rsidRPr="00B813C4">
        <w:t xml:space="preserve"> prostřednictvím </w:t>
      </w:r>
      <w:r>
        <w:t xml:space="preserve">ocenění </w:t>
      </w:r>
      <w:r w:rsidR="009C249A" w:rsidRPr="00B813C4">
        <w:t xml:space="preserve">tzv. „HR Excellence in </w:t>
      </w:r>
      <w:proofErr w:type="spellStart"/>
      <w:r w:rsidR="009C249A" w:rsidRPr="00B813C4">
        <w:t>Research</w:t>
      </w:r>
      <w:proofErr w:type="spellEnd"/>
      <w:r w:rsidR="009C249A" w:rsidRPr="00B813C4">
        <w:t xml:space="preserve"> </w:t>
      </w:r>
      <w:proofErr w:type="spellStart"/>
      <w:r w:rsidR="009C249A" w:rsidRPr="00B813C4">
        <w:t>Award</w:t>
      </w:r>
      <w:proofErr w:type="spellEnd"/>
      <w:r w:rsidR="009C249A" w:rsidRPr="00B813C4">
        <w:t xml:space="preserve">“. NKC provozuje Komunitu pro změnu čítající </w:t>
      </w:r>
      <w:r>
        <w:t xml:space="preserve">již </w:t>
      </w:r>
      <w:r w:rsidR="009C249A" w:rsidRPr="00B813C4">
        <w:t xml:space="preserve">více než </w:t>
      </w:r>
      <w:r w:rsidR="009C249A">
        <w:t>150</w:t>
      </w:r>
      <w:r w:rsidR="009C249A" w:rsidRPr="00B813C4">
        <w:t xml:space="preserve"> zástupců a zástupkyň českých výzkum</w:t>
      </w:r>
      <w:r w:rsidR="00C61E08">
        <w:t>ných organizací, která slouží k </w:t>
      </w:r>
      <w:r w:rsidR="009C249A" w:rsidRPr="00B813C4">
        <w:t xml:space="preserve">výměně zkušeností, budování institucionálních kapacit v uvedené oblasti a k přenosu dobré praxe ze zahraničí. NKC dlouhodobě spolupracuje s orgány </w:t>
      </w:r>
      <w:r w:rsidR="009C249A">
        <w:t xml:space="preserve">státní a </w:t>
      </w:r>
      <w:r w:rsidR="00C61E08">
        <w:t>veřejné správy ČR a </w:t>
      </w:r>
      <w:r>
        <w:t xml:space="preserve">i </w:t>
      </w:r>
      <w:r w:rsidR="00C61E08">
        <w:t>s </w:t>
      </w:r>
      <w:r w:rsidR="009C249A" w:rsidRPr="00B813C4">
        <w:t>dalšími institucemi veřejného výzkumného sektoru ČR</w:t>
      </w:r>
      <w:r>
        <w:t>, a to předně</w:t>
      </w:r>
      <w:r w:rsidR="009C249A" w:rsidRPr="00B813C4">
        <w:t xml:space="preserve"> formou konzultací, přípravy podkladů a návrhů doporučení, a dále i členstvím v pracovních, poradních a expertních skupinách. V neposlední řadě NKC zajišťuje </w:t>
      </w:r>
      <w:r>
        <w:t>i</w:t>
      </w:r>
      <w:r w:rsidR="009C249A" w:rsidRPr="00B813C4">
        <w:t xml:space="preserve"> naplňování priorit ERA v oblasti genderové rovnosti ve </w:t>
      </w:r>
      <w:proofErr w:type="spellStart"/>
      <w:r w:rsidR="009C249A" w:rsidRPr="00B813C4">
        <w:t>VaVaI</w:t>
      </w:r>
      <w:proofErr w:type="spellEnd"/>
      <w:r w:rsidR="009C249A" w:rsidRPr="00B813C4">
        <w:t xml:space="preserve">. Vedoucí NKC Marcela Linková je předsedkyní </w:t>
      </w:r>
      <w:proofErr w:type="spellStart"/>
      <w:r w:rsidR="009C249A" w:rsidRPr="0067650B">
        <w:rPr>
          <w:i/>
        </w:rPr>
        <w:t>Standing</w:t>
      </w:r>
      <w:proofErr w:type="spellEnd"/>
      <w:r w:rsidR="009C249A" w:rsidRPr="0067650B">
        <w:rPr>
          <w:i/>
        </w:rPr>
        <w:t xml:space="preserve"> </w:t>
      </w:r>
      <w:proofErr w:type="spellStart"/>
      <w:r w:rsidR="009C249A" w:rsidRPr="0067650B">
        <w:rPr>
          <w:i/>
        </w:rPr>
        <w:t>Working</w:t>
      </w:r>
      <w:proofErr w:type="spellEnd"/>
      <w:r w:rsidR="009C249A" w:rsidRPr="0067650B">
        <w:rPr>
          <w:i/>
        </w:rPr>
        <w:t xml:space="preserve"> Group on Gender in </w:t>
      </w:r>
      <w:proofErr w:type="spellStart"/>
      <w:r w:rsidR="009C249A" w:rsidRPr="0067650B">
        <w:rPr>
          <w:i/>
        </w:rPr>
        <w:t>Research</w:t>
      </w:r>
      <w:proofErr w:type="spellEnd"/>
      <w:r w:rsidR="009C249A" w:rsidRPr="0067650B">
        <w:rPr>
          <w:i/>
        </w:rPr>
        <w:t xml:space="preserve"> and Innovation</w:t>
      </w:r>
      <w:r w:rsidR="009C249A" w:rsidRPr="00B813C4">
        <w:t xml:space="preserve"> při výboru ERAC (</w:t>
      </w:r>
      <w:proofErr w:type="spellStart"/>
      <w:r w:rsidR="009C249A" w:rsidRPr="00B813C4">
        <w:rPr>
          <w:i/>
        </w:rPr>
        <w:t>European</w:t>
      </w:r>
      <w:proofErr w:type="spellEnd"/>
      <w:r w:rsidR="009C249A" w:rsidRPr="00B813C4">
        <w:rPr>
          <w:i/>
        </w:rPr>
        <w:t xml:space="preserve"> </w:t>
      </w:r>
      <w:proofErr w:type="spellStart"/>
      <w:r w:rsidR="009C249A" w:rsidRPr="00B813C4">
        <w:rPr>
          <w:i/>
        </w:rPr>
        <w:t>Research</w:t>
      </w:r>
      <w:proofErr w:type="spellEnd"/>
      <w:r w:rsidR="009C249A" w:rsidRPr="00B813C4">
        <w:rPr>
          <w:i/>
        </w:rPr>
        <w:t xml:space="preserve"> Area and Innovation </w:t>
      </w:r>
      <w:proofErr w:type="spellStart"/>
      <w:r w:rsidR="009C249A" w:rsidRPr="00B813C4">
        <w:rPr>
          <w:i/>
        </w:rPr>
        <w:t>Committee</w:t>
      </w:r>
      <w:proofErr w:type="spellEnd"/>
      <w:r w:rsidR="009C249A" w:rsidRPr="00B813C4">
        <w:t>).</w:t>
      </w:r>
    </w:p>
    <w:p w14:paraId="109E7210" w14:textId="77777777" w:rsidR="009C249A" w:rsidRPr="00B813C4" w:rsidRDefault="009C249A" w:rsidP="00D046E4">
      <w:pPr>
        <w:spacing w:after="0" w:line="240" w:lineRule="auto"/>
        <w:jc w:val="both"/>
      </w:pPr>
    </w:p>
    <w:p w14:paraId="1111B162" w14:textId="51AF27F6" w:rsidR="009C249A" w:rsidRDefault="009C249A" w:rsidP="00D046E4">
      <w:pPr>
        <w:spacing w:after="0" w:line="240" w:lineRule="auto"/>
        <w:jc w:val="both"/>
      </w:pPr>
      <w:r w:rsidRPr="0067650B">
        <w:t xml:space="preserve">Středisko společných činností AV ČR, </w:t>
      </w:r>
      <w:proofErr w:type="spellStart"/>
      <w:proofErr w:type="gramStart"/>
      <w:r w:rsidRPr="0067650B">
        <w:t>v.v.</w:t>
      </w:r>
      <w:proofErr w:type="gramEnd"/>
      <w:r w:rsidRPr="0067650B">
        <w:t>i</w:t>
      </w:r>
      <w:proofErr w:type="spellEnd"/>
      <w:r w:rsidRPr="0067650B">
        <w:t>.,</w:t>
      </w:r>
      <w:r w:rsidRPr="00B813C4">
        <w:rPr>
          <w:b/>
        </w:rPr>
        <w:t xml:space="preserve"> </w:t>
      </w:r>
      <w:r w:rsidRPr="00B813C4">
        <w:t xml:space="preserve">jehož činnost spočívá zejména v infrastrukturní podpoře </w:t>
      </w:r>
      <w:proofErr w:type="spellStart"/>
      <w:r w:rsidRPr="00B813C4">
        <w:t>VaVaI</w:t>
      </w:r>
      <w:proofErr w:type="spellEnd"/>
      <w:r w:rsidRPr="00B813C4">
        <w:t xml:space="preserve">, bylo MŠMT pověřeno, aby se stalo hlavním koordinátorem </w:t>
      </w:r>
      <w:r>
        <w:t xml:space="preserve">sítě </w:t>
      </w:r>
      <w:r w:rsidRPr="00B813C4">
        <w:t xml:space="preserve">EURAXESS v ČR. </w:t>
      </w:r>
      <w:r w:rsidRPr="0067650B">
        <w:rPr>
          <w:b/>
        </w:rPr>
        <w:t>EURAXESS ČR</w:t>
      </w:r>
      <w:r w:rsidRPr="00B813C4">
        <w:t xml:space="preserve"> již 15 let představuje nepostradatelné pracoviště, na které se spoléhají všechny výzkumné </w:t>
      </w:r>
      <w:r w:rsidR="0067650B">
        <w:t>instituce</w:t>
      </w:r>
      <w:r w:rsidRPr="00B813C4">
        <w:t xml:space="preserve"> ČR, jež se rozhodnou do pracovního poměru přijmout pracovníka</w:t>
      </w:r>
      <w:r w:rsidR="0067650B">
        <w:t xml:space="preserve"> ze zahraničí</w:t>
      </w:r>
      <w:r w:rsidRPr="00B813C4">
        <w:t xml:space="preserve">. Tým EURAXESS ČR disponuje jedinečným know-how, </w:t>
      </w:r>
      <w:r w:rsidR="0067650B">
        <w:t>jež</w:t>
      </w:r>
      <w:r w:rsidRPr="00B813C4">
        <w:t xml:space="preserve"> od roku 2005 neustále rozvíjí. EURAXESS ČR je partnerem Ministerstva zahraničních věcí a Ministerstva vnitra, se kterými již řadu let úzce spolupracuje v otázkách mezinárodní vědecké mobility. EURAXESS ČR má mj. </w:t>
      </w:r>
      <w:r w:rsidR="0067650B">
        <w:t xml:space="preserve">i </w:t>
      </w:r>
      <w:r w:rsidRPr="00B813C4">
        <w:t xml:space="preserve">vytvořenou síť kompetentních regionálních spolupracovníků a pokrývá agendu související s mezinárodní mobilitou pracovníků ve </w:t>
      </w:r>
      <w:proofErr w:type="spellStart"/>
      <w:r w:rsidRPr="00B813C4">
        <w:t>VaVaI</w:t>
      </w:r>
      <w:proofErr w:type="spellEnd"/>
      <w:r w:rsidRPr="00B813C4">
        <w:t xml:space="preserve"> v rámci celé ČR. Evropská komise dlouhodobě hodnotí EURAXESS ČR jako</w:t>
      </w:r>
      <w:r w:rsidR="0067650B">
        <w:t>žto</w:t>
      </w:r>
      <w:r w:rsidRPr="00B813C4">
        <w:t xml:space="preserve"> jednoho ze svých vůbec nejaktivnějších členů. EURAXESS ČR pravidelně poskytuje členům svého řešitelského týmu školení na mezinárodní úrovni a využívá jejich zkušeností při tvorbě politiky mobility vědeckých pracovníků.</w:t>
      </w:r>
    </w:p>
    <w:p w14:paraId="6ECEAA9B" w14:textId="29F128A6" w:rsidR="009C249A" w:rsidRDefault="009C249A" w:rsidP="0067650B">
      <w:pPr>
        <w:pStyle w:val="Nadpis2"/>
      </w:pPr>
      <w:bookmarkStart w:id="17" w:name="_Toc55466814"/>
      <w:r>
        <w:t>Návaznost projektu na strategické a koncepční dokumenty</w:t>
      </w:r>
      <w:bookmarkEnd w:id="15"/>
      <w:bookmarkEnd w:id="17"/>
    </w:p>
    <w:p w14:paraId="3EF35EA2" w14:textId="15CA0C64" w:rsidR="009C249A" w:rsidRDefault="009C249A" w:rsidP="00D046E4">
      <w:pPr>
        <w:spacing w:after="0" w:line="240" w:lineRule="auto"/>
        <w:jc w:val="both"/>
      </w:pPr>
      <w:r>
        <w:t xml:space="preserve">Projekt sdílených činností bude implementován </w:t>
      </w:r>
      <w:r w:rsidRPr="00B26F58">
        <w:rPr>
          <w:b/>
        </w:rPr>
        <w:t>v souladu s</w:t>
      </w:r>
      <w:r>
        <w:rPr>
          <w:b/>
        </w:rPr>
        <w:t>e</w:t>
      </w:r>
      <w:r w:rsidRPr="00B26F58">
        <w:rPr>
          <w:b/>
        </w:rPr>
        <w:t xml:space="preserve"> strategickými a koncepčními dokumenty </w:t>
      </w:r>
      <w:r>
        <w:rPr>
          <w:b/>
        </w:rPr>
        <w:t xml:space="preserve">vlády ČR </w:t>
      </w:r>
      <w:r w:rsidRPr="00B26F58">
        <w:rPr>
          <w:b/>
        </w:rPr>
        <w:t xml:space="preserve">stanovujícími </w:t>
      </w:r>
      <w:r>
        <w:rPr>
          <w:b/>
        </w:rPr>
        <w:t>politické směřování, co do rozvoje</w:t>
      </w:r>
      <w:r w:rsidRPr="00B26F58">
        <w:rPr>
          <w:b/>
        </w:rPr>
        <w:t xml:space="preserve"> agendy výzkumu, vývoje a inovací v ČR</w:t>
      </w:r>
      <w:r>
        <w:t xml:space="preserve">. Primárně se jedná o </w:t>
      </w:r>
      <w:r w:rsidRPr="004C0FB7">
        <w:t>Inovační strategii ČR pro léta 2019 až 2030</w:t>
      </w:r>
      <w:r>
        <w:t xml:space="preserve">, která byla schválena usnesením vlády ČR </w:t>
      </w:r>
      <w:r w:rsidRPr="00C3690F">
        <w:t>ze dne 4. února 2019 č. 104</w:t>
      </w:r>
      <w:r>
        <w:t xml:space="preserve">, jako zastřešující dokument stanovující priority pro rozvoj národní ekonomiky ČR v nadcházejícím desetiletí tak, aby se ČR postupně zařadila mezi nejvyspělejší ekonomiky světa. Projekt sdílených činností bude dále realizován </w:t>
      </w:r>
      <w:r w:rsidR="0067650B">
        <w:t xml:space="preserve">rovněž </w:t>
      </w:r>
      <w:r>
        <w:t xml:space="preserve">v souladu s Národní politikou </w:t>
      </w:r>
      <w:proofErr w:type="spellStart"/>
      <w:r w:rsidR="0067650B">
        <w:t>VaVaI</w:t>
      </w:r>
      <w:proofErr w:type="spellEnd"/>
      <w:r>
        <w:t xml:space="preserve"> ČR pro léta 2021+, </w:t>
      </w:r>
      <w:r w:rsidR="0067650B">
        <w:t>která</w:t>
      </w:r>
      <w:r>
        <w:t xml:space="preserve"> byla schválena usnesením vlády ČR </w:t>
      </w:r>
      <w:r w:rsidRPr="00C3690F">
        <w:t>ze dne 20. července 2020 č. 759</w:t>
      </w:r>
      <w:r>
        <w:t xml:space="preserve"> a podrobněji, resp. na vyšší úrovni detailu rozpracovává cíle a opatření Inovační strategie</w:t>
      </w:r>
      <w:r w:rsidRPr="004C0FB7">
        <w:t xml:space="preserve"> ČR pro léta 2019 až 2030</w:t>
      </w:r>
      <w:r>
        <w:t xml:space="preserve">, co do agendy </w:t>
      </w:r>
      <w:proofErr w:type="spellStart"/>
      <w:r w:rsidR="0067650B">
        <w:t>VaVaI</w:t>
      </w:r>
      <w:proofErr w:type="spellEnd"/>
      <w:r w:rsidR="0067650B">
        <w:t>. Projekt sdílených činností bude realizován i</w:t>
      </w:r>
      <w:r>
        <w:t xml:space="preserve"> v návaznosti na Strategii pro rovnost žen a mužů na léta 2021</w:t>
      </w:r>
      <w:r w:rsidR="0067650B">
        <w:t>–</w:t>
      </w:r>
      <w:r>
        <w:t xml:space="preserve">2030, </w:t>
      </w:r>
      <w:r w:rsidR="0067650B">
        <w:t>která je v současné době v přípravě pro</w:t>
      </w:r>
      <w:r>
        <w:t> p</w:t>
      </w:r>
      <w:r w:rsidR="00FF0D31">
        <w:t xml:space="preserve">ředložení vládě </w:t>
      </w:r>
      <w:r w:rsidR="0067650B">
        <w:t xml:space="preserve">ČR </w:t>
      </w:r>
      <w:r w:rsidR="00FF0D31">
        <w:t>ke schválení, a </w:t>
      </w:r>
      <w:r w:rsidR="0067650B">
        <w:t>v návaznosti na Agendu 2030 Organizace spojených národů</w:t>
      </w:r>
      <w:r>
        <w:t xml:space="preserve"> a </w:t>
      </w:r>
      <w:r w:rsidR="0067650B">
        <w:t>C</w:t>
      </w:r>
      <w:r>
        <w:t>íle udržitelného rozvoje.</w:t>
      </w:r>
    </w:p>
    <w:p w14:paraId="19824D10" w14:textId="77777777" w:rsidR="009C249A" w:rsidRDefault="009C249A" w:rsidP="0067650B">
      <w:pPr>
        <w:pStyle w:val="Nadpis3"/>
        <w:spacing w:before="240" w:after="240" w:line="240" w:lineRule="auto"/>
        <w:ind w:left="669"/>
        <w:jc w:val="both"/>
      </w:pPr>
      <w:bookmarkStart w:id="18" w:name="_Toc40123726"/>
      <w:bookmarkStart w:id="19" w:name="_Toc55466815"/>
      <w:r>
        <w:t>Inovační strategie ČR pro léta 2019 až 2030</w:t>
      </w:r>
      <w:bookmarkEnd w:id="18"/>
      <w:bookmarkEnd w:id="19"/>
    </w:p>
    <w:p w14:paraId="36D31AFB" w14:textId="77777777" w:rsidR="009C249A" w:rsidRDefault="009C249A" w:rsidP="00D046E4">
      <w:pPr>
        <w:spacing w:after="0" w:line="240" w:lineRule="auto"/>
        <w:jc w:val="both"/>
      </w:pPr>
      <w:r>
        <w:t xml:space="preserve">Co do souladu s </w:t>
      </w:r>
      <w:r w:rsidRPr="003C4A28">
        <w:t>Inovační strategi</w:t>
      </w:r>
      <w:r>
        <w:t>í</w:t>
      </w:r>
      <w:r w:rsidRPr="003C4A28">
        <w:t xml:space="preserve"> ČR pro léta 2019 až 2030</w:t>
      </w:r>
      <w:r>
        <w:t xml:space="preserve">, projekt sdílených činností bude přispívat zejména k naplňování cílů pilířů </w:t>
      </w:r>
      <w:r w:rsidRPr="004C0FB7">
        <w:rPr>
          <w:b/>
        </w:rPr>
        <w:t>„</w:t>
      </w:r>
      <w:proofErr w:type="spellStart"/>
      <w:r w:rsidRPr="004C0FB7">
        <w:rPr>
          <w:b/>
          <w:i/>
        </w:rPr>
        <w:t>The</w:t>
      </w:r>
      <w:proofErr w:type="spellEnd"/>
      <w:r w:rsidRPr="004C0FB7">
        <w:rPr>
          <w:b/>
          <w:i/>
        </w:rPr>
        <w:t xml:space="preserve"> Country </w:t>
      </w:r>
      <w:proofErr w:type="spellStart"/>
      <w:r w:rsidRPr="004C0FB7">
        <w:rPr>
          <w:b/>
          <w:i/>
        </w:rPr>
        <w:t>for</w:t>
      </w:r>
      <w:proofErr w:type="spellEnd"/>
      <w:r w:rsidRPr="004C0FB7">
        <w:rPr>
          <w:b/>
          <w:i/>
        </w:rPr>
        <w:t xml:space="preserve"> R&amp;D: Financování a hodnocení výzkumu a vývoje</w:t>
      </w:r>
      <w:r w:rsidRPr="004C0FB7">
        <w:rPr>
          <w:b/>
        </w:rPr>
        <w:t>“</w:t>
      </w:r>
      <w:r>
        <w:t xml:space="preserve"> a </w:t>
      </w:r>
      <w:r w:rsidRPr="004C0FB7">
        <w:rPr>
          <w:b/>
        </w:rPr>
        <w:t>„</w:t>
      </w:r>
      <w:proofErr w:type="spellStart"/>
      <w:r w:rsidRPr="004C0FB7">
        <w:rPr>
          <w:b/>
          <w:i/>
        </w:rPr>
        <w:t>The</w:t>
      </w:r>
      <w:proofErr w:type="spellEnd"/>
      <w:r w:rsidRPr="004C0FB7">
        <w:rPr>
          <w:b/>
          <w:i/>
        </w:rPr>
        <w:t xml:space="preserve"> Country </w:t>
      </w:r>
      <w:proofErr w:type="spellStart"/>
      <w:r w:rsidRPr="004C0FB7">
        <w:rPr>
          <w:b/>
          <w:i/>
        </w:rPr>
        <w:t>for</w:t>
      </w:r>
      <w:proofErr w:type="spellEnd"/>
      <w:r w:rsidRPr="004C0FB7">
        <w:rPr>
          <w:b/>
          <w:i/>
        </w:rPr>
        <w:t xml:space="preserve"> Excellence: Inovační a výzkumná centra</w:t>
      </w:r>
      <w:r w:rsidRPr="004C0FB7">
        <w:rPr>
          <w:b/>
        </w:rPr>
        <w:t>“</w:t>
      </w:r>
      <w:r>
        <w:t xml:space="preserve">. Projekt </w:t>
      </w:r>
      <w:r>
        <w:lastRenderedPageBreak/>
        <w:t>sdílených činností v tomto ohledu představuje jeden z „</w:t>
      </w:r>
      <w:r w:rsidRPr="003C4A28">
        <w:rPr>
          <w:i/>
        </w:rPr>
        <w:t>režim</w:t>
      </w:r>
      <w:r>
        <w:rPr>
          <w:i/>
        </w:rPr>
        <w:t>ů</w:t>
      </w:r>
      <w:r w:rsidRPr="003C4A28">
        <w:rPr>
          <w:i/>
        </w:rPr>
        <w:t xml:space="preserve"> národní podpory pro tuzemské organizace pro čerpání zdrojů z </w:t>
      </w:r>
      <w:proofErr w:type="spellStart"/>
      <w:r w:rsidRPr="003C4A28">
        <w:rPr>
          <w:i/>
        </w:rPr>
        <w:t>Horizon</w:t>
      </w:r>
      <w:proofErr w:type="spellEnd"/>
      <w:r w:rsidRPr="003C4A28">
        <w:rPr>
          <w:i/>
        </w:rPr>
        <w:t xml:space="preserve"> </w:t>
      </w:r>
      <w:proofErr w:type="spellStart"/>
      <w:r w:rsidRPr="003C4A28">
        <w:rPr>
          <w:i/>
        </w:rPr>
        <w:t>Europe</w:t>
      </w:r>
      <w:proofErr w:type="spellEnd"/>
      <w:r w:rsidRPr="003C4A28">
        <w:rPr>
          <w:i/>
        </w:rPr>
        <w:t xml:space="preserve"> a ak</w:t>
      </w:r>
      <w:r>
        <w:rPr>
          <w:i/>
        </w:rPr>
        <w:t>tivní mezinárodní vědní politiku</w:t>
      </w:r>
      <w:r w:rsidRPr="003C4A28">
        <w:rPr>
          <w:i/>
        </w:rPr>
        <w:t xml:space="preserve"> směrem k EU pro zvýšení účasti ČR v konsorciálních projektech</w:t>
      </w:r>
      <w:r>
        <w:t>“, resp. instrumentů, které napomohou „</w:t>
      </w:r>
      <w:r w:rsidRPr="006D3945">
        <w:rPr>
          <w:i/>
        </w:rPr>
        <w:t>zapojení klíčových evropských programů pro rozvoj excelentních výzkumných center</w:t>
      </w:r>
      <w:r>
        <w:t>“ v ČR.</w:t>
      </w:r>
    </w:p>
    <w:p w14:paraId="452C864B" w14:textId="77777777" w:rsidR="009C249A" w:rsidRDefault="009C249A" w:rsidP="009C1FB7">
      <w:pPr>
        <w:pStyle w:val="Nadpis3"/>
        <w:spacing w:before="240" w:after="240" w:line="240" w:lineRule="auto"/>
        <w:ind w:left="669"/>
        <w:jc w:val="both"/>
      </w:pPr>
      <w:bookmarkStart w:id="20" w:name="_Toc40123727"/>
      <w:bookmarkStart w:id="21" w:name="_Toc55466816"/>
      <w:r>
        <w:t>Národní politika výzkumu, vývoje a inovací ČR pro léta 2021+</w:t>
      </w:r>
      <w:bookmarkEnd w:id="20"/>
      <w:bookmarkEnd w:id="21"/>
    </w:p>
    <w:p w14:paraId="5828BE91" w14:textId="4F3AC664" w:rsidR="009C249A" w:rsidRPr="00FC61AE" w:rsidRDefault="009C249A" w:rsidP="00D046E4">
      <w:pPr>
        <w:spacing w:after="0" w:line="240" w:lineRule="auto"/>
        <w:jc w:val="both"/>
        <w:rPr>
          <w:rFonts w:cstheme="minorHAnsi"/>
          <w:color w:val="000000"/>
        </w:rPr>
      </w:pPr>
      <w:r>
        <w:t xml:space="preserve">Co se týká souladu s Národní politikou </w:t>
      </w:r>
      <w:proofErr w:type="spellStart"/>
      <w:r w:rsidR="0067650B">
        <w:t>VaVaI</w:t>
      </w:r>
      <w:proofErr w:type="spellEnd"/>
      <w:r>
        <w:t xml:space="preserve"> ČR pro léta 2021+, projekt sdílených činností </w:t>
      </w:r>
      <w:r w:rsidR="0067650B">
        <w:t>bude přispívat</w:t>
      </w:r>
      <w:r>
        <w:t xml:space="preserve"> k naplňování </w:t>
      </w:r>
      <w:r>
        <w:rPr>
          <w:b/>
        </w:rPr>
        <w:t xml:space="preserve">cíle 2 </w:t>
      </w:r>
      <w:r w:rsidR="002056B6" w:rsidRPr="002056B6">
        <w:t>„</w:t>
      </w:r>
      <w:r w:rsidRPr="0067650B">
        <w:rPr>
          <w:i/>
          <w:szCs w:val="28"/>
        </w:rPr>
        <w:t>Podpořit výzkumné organizace ve vytváření motivujících pracovních podmínek a rozvoj potenciálu lidí napříč celým spektrem výzkum</w:t>
      </w:r>
      <w:r w:rsidR="00FF0D31" w:rsidRPr="0067650B">
        <w:rPr>
          <w:i/>
          <w:szCs w:val="28"/>
        </w:rPr>
        <w:t>u a </w:t>
      </w:r>
      <w:r w:rsidRPr="0067650B">
        <w:rPr>
          <w:i/>
          <w:szCs w:val="28"/>
        </w:rPr>
        <w:t>vývoje</w:t>
      </w:r>
      <w:r w:rsidR="002056B6">
        <w:rPr>
          <w:szCs w:val="28"/>
        </w:rPr>
        <w:t>“</w:t>
      </w:r>
      <w:r w:rsidRPr="00274CF3">
        <w:rPr>
          <w:szCs w:val="28"/>
        </w:rPr>
        <w:t xml:space="preserve">, a </w:t>
      </w:r>
      <w:r>
        <w:rPr>
          <w:szCs w:val="28"/>
        </w:rPr>
        <w:t xml:space="preserve">jeho dílčího </w:t>
      </w:r>
      <w:r w:rsidRPr="00FF62AE">
        <w:rPr>
          <w:b/>
          <w:szCs w:val="28"/>
        </w:rPr>
        <w:t>podcíle 2.1</w:t>
      </w:r>
      <w:r>
        <w:rPr>
          <w:szCs w:val="28"/>
        </w:rPr>
        <w:t xml:space="preserve"> „</w:t>
      </w:r>
      <w:r w:rsidRPr="0067650B">
        <w:rPr>
          <w:i/>
          <w:szCs w:val="28"/>
        </w:rPr>
        <w:t>Vytvořit systém podpory rozvoje potenciálu lidí na institucionální úrovni</w:t>
      </w:r>
      <w:r>
        <w:rPr>
          <w:szCs w:val="28"/>
        </w:rPr>
        <w:t>“ a</w:t>
      </w:r>
      <w:r w:rsidR="0067650B">
        <w:rPr>
          <w:szCs w:val="28"/>
        </w:rPr>
        <w:t> </w:t>
      </w:r>
      <w:r>
        <w:rPr>
          <w:szCs w:val="28"/>
        </w:rPr>
        <w:t xml:space="preserve">2.3 </w:t>
      </w:r>
      <w:r w:rsidRPr="00274CF3">
        <w:rPr>
          <w:szCs w:val="28"/>
        </w:rPr>
        <w:t>„</w:t>
      </w:r>
      <w:r w:rsidRPr="0067650B">
        <w:rPr>
          <w:i/>
          <w:szCs w:val="28"/>
        </w:rPr>
        <w:t>Vytvářet podmínky pro kombinaci výzkumné práce a rodičovství a pro uplatnění žen po mateřské a žen či mužů po rodičovské dovolené</w:t>
      </w:r>
      <w:r w:rsidRPr="00274CF3">
        <w:rPr>
          <w:szCs w:val="28"/>
        </w:rPr>
        <w:t>“</w:t>
      </w:r>
      <w:r>
        <w:rPr>
          <w:szCs w:val="28"/>
        </w:rPr>
        <w:t xml:space="preserve">. Z hlediska specifických opatření bude projekt přispívat k realizaci </w:t>
      </w:r>
      <w:r w:rsidR="0067650B">
        <w:t>o</w:t>
      </w:r>
      <w:r w:rsidRPr="00274CF3">
        <w:t>patření 10</w:t>
      </w:r>
      <w:r>
        <w:t>, tj.</w:t>
      </w:r>
      <w:r w:rsidRPr="00274CF3">
        <w:t xml:space="preserve"> </w:t>
      </w:r>
      <w:r w:rsidR="0067650B">
        <w:t>„</w:t>
      </w:r>
      <w:r w:rsidRPr="00274CF3">
        <w:rPr>
          <w:i/>
        </w:rPr>
        <w:t>Vytvoření prostředí pro růst motivace k výzkumné kariéře</w:t>
      </w:r>
      <w:r w:rsidR="0067650B">
        <w:rPr>
          <w:i/>
        </w:rPr>
        <w:t>“</w:t>
      </w:r>
      <w:r>
        <w:t xml:space="preserve"> </w:t>
      </w:r>
      <w:r w:rsidR="0067650B">
        <w:t>a o</w:t>
      </w:r>
      <w:r w:rsidRPr="00274CF3">
        <w:t>patření 12</w:t>
      </w:r>
      <w:r>
        <w:t>, tj.</w:t>
      </w:r>
      <w:r w:rsidRPr="00274CF3">
        <w:t xml:space="preserve"> </w:t>
      </w:r>
      <w:r>
        <w:t>„</w:t>
      </w:r>
      <w:r w:rsidRPr="0067650B">
        <w:rPr>
          <w:i/>
        </w:rPr>
        <w:t>Vy</w:t>
      </w:r>
      <w:r w:rsidRPr="00274CF3">
        <w:rPr>
          <w:i/>
        </w:rPr>
        <w:t>tváření podmínek pro kombinaci výzkumné práce a</w:t>
      </w:r>
      <w:r>
        <w:rPr>
          <w:i/>
        </w:rPr>
        <w:t xml:space="preserve"> </w:t>
      </w:r>
      <w:r w:rsidRPr="00274CF3">
        <w:rPr>
          <w:i/>
        </w:rPr>
        <w:t>rodičovství a</w:t>
      </w:r>
      <w:r w:rsidR="00E81B9A">
        <w:rPr>
          <w:i/>
        </w:rPr>
        <w:t> </w:t>
      </w:r>
      <w:r w:rsidRPr="00274CF3">
        <w:rPr>
          <w:i/>
        </w:rPr>
        <w:t>pro uplatnění žen po mateřské dovolené</w:t>
      </w:r>
      <w:r>
        <w:t>“. D</w:t>
      </w:r>
      <w:r w:rsidRPr="00274CF3">
        <w:rPr>
          <w:szCs w:val="28"/>
        </w:rPr>
        <w:t>ále</w:t>
      </w:r>
      <w:r w:rsidR="00FF0D31">
        <w:rPr>
          <w:szCs w:val="28"/>
        </w:rPr>
        <w:t xml:space="preserve"> </w:t>
      </w:r>
      <w:r w:rsidR="00E81B9A">
        <w:rPr>
          <w:szCs w:val="28"/>
        </w:rPr>
        <w:t>se jedná</w:t>
      </w:r>
      <w:r w:rsidR="00FF0D31">
        <w:rPr>
          <w:szCs w:val="28"/>
        </w:rPr>
        <w:t xml:space="preserve"> o </w:t>
      </w:r>
      <w:r>
        <w:rPr>
          <w:szCs w:val="28"/>
        </w:rPr>
        <w:t>naplňování</w:t>
      </w:r>
      <w:r w:rsidRPr="00274CF3">
        <w:rPr>
          <w:szCs w:val="28"/>
        </w:rPr>
        <w:t xml:space="preserve"> </w:t>
      </w:r>
      <w:r w:rsidRPr="004C0FB7">
        <w:rPr>
          <w:b/>
        </w:rPr>
        <w:t>cíle 3</w:t>
      </w:r>
      <w:r>
        <w:t xml:space="preserve"> „</w:t>
      </w:r>
      <w:r w:rsidR="002056B6">
        <w:rPr>
          <w:bCs/>
          <w:i/>
        </w:rPr>
        <w:t>Z</w:t>
      </w:r>
      <w:r w:rsidRPr="00C12F11">
        <w:rPr>
          <w:bCs/>
          <w:i/>
        </w:rPr>
        <w:t xml:space="preserve">výšit kvalitu a mezinárodní excelenci výzkumu a vývoje v ČR, dosáhnout zvýšení otevřenosti a atraktivity ČR pro mezinárodní výzkum a vývoj a zintenzivnit integraci </w:t>
      </w:r>
      <w:proofErr w:type="spellStart"/>
      <w:r w:rsidRPr="00C12F11">
        <w:rPr>
          <w:bCs/>
          <w:i/>
        </w:rPr>
        <w:t>VaVaI</w:t>
      </w:r>
      <w:proofErr w:type="spellEnd"/>
      <w:r w:rsidRPr="00C12F11">
        <w:rPr>
          <w:bCs/>
          <w:i/>
        </w:rPr>
        <w:t xml:space="preserve"> ČR do Evropského výzkumného prostoru</w:t>
      </w:r>
      <w:r>
        <w:rPr>
          <w:bCs/>
        </w:rPr>
        <w:t xml:space="preserve">“ a jeho dílčího </w:t>
      </w:r>
      <w:r w:rsidRPr="004C0FB7">
        <w:rPr>
          <w:b/>
          <w:bCs/>
        </w:rPr>
        <w:t>podcíle 3.1</w:t>
      </w:r>
      <w:r w:rsidR="002056B6">
        <w:rPr>
          <w:bCs/>
        </w:rPr>
        <w:t xml:space="preserve">, </w:t>
      </w:r>
      <w:r>
        <w:rPr>
          <w:bCs/>
        </w:rPr>
        <w:t>„</w:t>
      </w:r>
      <w:r w:rsidR="002056B6">
        <w:rPr>
          <w:i/>
        </w:rPr>
        <w:t>P</w:t>
      </w:r>
      <w:r w:rsidRPr="00C12F11">
        <w:rPr>
          <w:i/>
        </w:rPr>
        <w:t>odpořit zapojení výzkumných týmů do Horizontu Evropa, obou</w:t>
      </w:r>
      <w:r w:rsidR="00FF0D31">
        <w:rPr>
          <w:i/>
        </w:rPr>
        <w:t>strannou mezinárodní mobilitu a </w:t>
      </w:r>
      <w:r w:rsidRPr="00C12F11">
        <w:rPr>
          <w:i/>
        </w:rPr>
        <w:t>mezinárodní spolupráci výzkumných organizací a podniků</w:t>
      </w:r>
      <w:r>
        <w:t xml:space="preserve">“, resp. dalšího z dílčích </w:t>
      </w:r>
      <w:r w:rsidRPr="004C0FB7">
        <w:rPr>
          <w:b/>
        </w:rPr>
        <w:t>podcílů 3.4</w:t>
      </w:r>
      <w:r>
        <w:t xml:space="preserve"> „</w:t>
      </w:r>
      <w:r w:rsidR="002056B6">
        <w:rPr>
          <w:i/>
        </w:rPr>
        <w:t>E</w:t>
      </w:r>
      <w:r w:rsidRPr="00C12F11">
        <w:rPr>
          <w:i/>
        </w:rPr>
        <w:t>fektivně prosazovat prioritní orientace, resp. témata českého výzkumu a inovací v</w:t>
      </w:r>
      <w:r>
        <w:rPr>
          <w:i/>
        </w:rPr>
        <w:t> </w:t>
      </w:r>
      <w:r w:rsidRPr="00C12F11">
        <w:rPr>
          <w:i/>
        </w:rPr>
        <w:t>pracovních programech implementujících rámcový program EU pro výzkum a inovace Horizont Evropa (2021–2027)</w:t>
      </w:r>
      <w:r w:rsidR="00D046E4">
        <w:t>“.</w:t>
      </w:r>
      <w:r w:rsidR="00E81B9A">
        <w:t xml:space="preserve"> P</w:t>
      </w:r>
      <w:r>
        <w:t xml:space="preserve">rojekt sdílených činností bude realizován </w:t>
      </w:r>
      <w:r w:rsidR="00E81B9A">
        <w:t xml:space="preserve">dále </w:t>
      </w:r>
      <w:r>
        <w:t xml:space="preserve">v přímé návaznosti na </w:t>
      </w:r>
      <w:r>
        <w:rPr>
          <w:b/>
        </w:rPr>
        <w:t>opatření</w:t>
      </w:r>
      <w:r w:rsidRPr="004C0FB7">
        <w:rPr>
          <w:b/>
        </w:rPr>
        <w:t xml:space="preserve"> 13</w:t>
      </w:r>
      <w:r>
        <w:t xml:space="preserve"> </w:t>
      </w:r>
      <w:r w:rsidRPr="00AA05FA">
        <w:t>„</w:t>
      </w:r>
      <w:r w:rsidRPr="00AA05FA">
        <w:rPr>
          <w:rFonts w:cstheme="minorHAnsi"/>
          <w:bCs/>
          <w:i/>
          <w:color w:val="000000"/>
        </w:rPr>
        <w:t>Zapojení výzkumných týmů do Horizontu Evropa, případně dalších programů EU, oboustranná mezinárodní mobilita a mezinárodní spolupráce výzkumných organizací a</w:t>
      </w:r>
      <w:r>
        <w:rPr>
          <w:rFonts w:cstheme="minorHAnsi"/>
          <w:bCs/>
          <w:i/>
          <w:color w:val="000000"/>
        </w:rPr>
        <w:t> </w:t>
      </w:r>
      <w:r w:rsidRPr="00AA05FA">
        <w:rPr>
          <w:rFonts w:cstheme="minorHAnsi"/>
          <w:bCs/>
          <w:i/>
          <w:color w:val="000000"/>
        </w:rPr>
        <w:t>podniků, a podpora systémového zpřístupňování výsledků vědy a výzkumu</w:t>
      </w:r>
      <w:r>
        <w:rPr>
          <w:rFonts w:cstheme="minorHAnsi"/>
          <w:bCs/>
          <w:color w:val="000000"/>
        </w:rPr>
        <w:t>“, které předjímá „</w:t>
      </w:r>
      <w:r>
        <w:rPr>
          <w:rFonts w:cstheme="minorHAnsi"/>
          <w:bCs/>
          <w:i/>
          <w:color w:val="000000"/>
        </w:rPr>
        <w:t>přípravu</w:t>
      </w:r>
      <w:r w:rsidRPr="00AA05FA">
        <w:rPr>
          <w:rFonts w:cstheme="minorHAnsi"/>
          <w:bCs/>
          <w:i/>
          <w:color w:val="000000"/>
        </w:rPr>
        <w:t>, předložení vládě ČR ke schválení a implementace tzv. „projektu sdílených činností“ v období let 2021–2027 zaměřeného na prohloubení integrace výzkumného a inovačního systému ČR do Evropského výzkumného prostoru a podporu mezinárodní spolupráce výzkumných organizací a podniků ČR ve výzkumu, vývoji a inovacích</w:t>
      </w:r>
      <w:r>
        <w:rPr>
          <w:rFonts w:cstheme="minorHAnsi"/>
          <w:bCs/>
          <w:color w:val="000000"/>
        </w:rPr>
        <w:t>“. Vzhledem k významu v rovině víceúrovňového a včasného</w:t>
      </w:r>
      <w:r w:rsidRPr="00AA05FA">
        <w:rPr>
          <w:rFonts w:cstheme="minorHAnsi"/>
          <w:bCs/>
          <w:color w:val="000000"/>
        </w:rPr>
        <w:t xml:space="preserve"> přenos</w:t>
      </w:r>
      <w:r>
        <w:rPr>
          <w:rFonts w:cstheme="minorHAnsi"/>
          <w:bCs/>
          <w:color w:val="000000"/>
        </w:rPr>
        <w:t>u</w:t>
      </w:r>
      <w:r w:rsidRPr="00AA05FA">
        <w:rPr>
          <w:rFonts w:cstheme="minorHAnsi"/>
          <w:bCs/>
          <w:color w:val="000000"/>
        </w:rPr>
        <w:t xml:space="preserve"> informací o dění v evropské politice výzkumu</w:t>
      </w:r>
      <w:r>
        <w:rPr>
          <w:rFonts w:cstheme="minorHAnsi"/>
          <w:bCs/>
          <w:color w:val="000000"/>
        </w:rPr>
        <w:t xml:space="preserve">, bude projekt sdílených činností přispívat i k provádění </w:t>
      </w:r>
      <w:r w:rsidRPr="004C0FB7">
        <w:rPr>
          <w:rFonts w:cstheme="minorHAnsi"/>
          <w:b/>
          <w:bCs/>
          <w:color w:val="000000"/>
        </w:rPr>
        <w:t>opatření 16</w:t>
      </w:r>
      <w:r w:rsidRPr="00FC61AE">
        <w:rPr>
          <w:rFonts w:cstheme="minorHAnsi"/>
          <w:color w:val="000000"/>
        </w:rPr>
        <w:t xml:space="preserve"> </w:t>
      </w:r>
      <w:r>
        <w:rPr>
          <w:rFonts w:cstheme="minorHAnsi"/>
          <w:color w:val="000000"/>
        </w:rPr>
        <w:t>„</w:t>
      </w:r>
      <w:r w:rsidRPr="00AA05FA">
        <w:rPr>
          <w:rFonts w:cstheme="minorHAnsi"/>
          <w:bCs/>
          <w:i/>
          <w:color w:val="000000"/>
        </w:rPr>
        <w:t>Zabezpečení koordinovaného zastoupení ČR v programovém výboru rámcového programu EU pro výzkum a inovace Horizont Evropa (2021-2027) za účelem efektivního prosazování priorit ČR, které vyplývají z prioritních orientací českého výzkumu a inovací</w:t>
      </w:r>
      <w:r>
        <w:rPr>
          <w:rFonts w:cstheme="minorHAnsi"/>
          <w:bCs/>
          <w:color w:val="000000"/>
        </w:rPr>
        <w:t>“, které</w:t>
      </w:r>
      <w:r w:rsidRPr="00AA05FA">
        <w:rPr>
          <w:rFonts w:cstheme="minorHAnsi"/>
          <w:bCs/>
          <w:color w:val="000000"/>
        </w:rPr>
        <w:t xml:space="preserve"> </w:t>
      </w:r>
      <w:r>
        <w:rPr>
          <w:rFonts w:cstheme="minorHAnsi"/>
          <w:bCs/>
          <w:color w:val="000000"/>
        </w:rPr>
        <w:t>předjímá „</w:t>
      </w:r>
      <w:r w:rsidRPr="004C0FB7">
        <w:rPr>
          <w:rFonts w:cstheme="minorHAnsi"/>
          <w:i/>
          <w:color w:val="000000"/>
        </w:rPr>
        <w:t>zajištění činnosti delegátů ČR vybraných a</w:t>
      </w:r>
      <w:r w:rsidR="00E81B9A">
        <w:rPr>
          <w:rFonts w:cstheme="minorHAnsi"/>
          <w:i/>
          <w:color w:val="000000"/>
        </w:rPr>
        <w:t> </w:t>
      </w:r>
      <w:r w:rsidRPr="004C0FB7">
        <w:rPr>
          <w:rFonts w:cstheme="minorHAnsi"/>
          <w:i/>
          <w:color w:val="000000"/>
        </w:rPr>
        <w:t xml:space="preserve">nominovaných v roce 2020 do programového výboru rámcového programu EU pro výzkum a inovace Horizont Evropa (2021-2027) ve spolupráci s relevantními </w:t>
      </w:r>
      <w:proofErr w:type="spellStart"/>
      <w:r w:rsidRPr="004C0FB7">
        <w:rPr>
          <w:rFonts w:cstheme="minorHAnsi"/>
          <w:i/>
          <w:color w:val="000000"/>
        </w:rPr>
        <w:t>stakeholdery</w:t>
      </w:r>
      <w:proofErr w:type="spellEnd"/>
      <w:r w:rsidRPr="004C0FB7">
        <w:rPr>
          <w:rFonts w:cstheme="minorHAnsi"/>
          <w:i/>
          <w:color w:val="000000"/>
        </w:rPr>
        <w:t xml:space="preserve"> ČR</w:t>
      </w:r>
      <w:r>
        <w:rPr>
          <w:rFonts w:cstheme="minorHAnsi"/>
          <w:color w:val="000000"/>
        </w:rPr>
        <w:t>“.</w:t>
      </w:r>
    </w:p>
    <w:p w14:paraId="2E2399EB" w14:textId="77777777" w:rsidR="009C249A" w:rsidRDefault="009C249A" w:rsidP="00E81B9A">
      <w:pPr>
        <w:pStyle w:val="Nadpis2"/>
      </w:pPr>
      <w:bookmarkStart w:id="22" w:name="_Toc40123736"/>
      <w:bookmarkStart w:id="23" w:name="_Toc55466817"/>
      <w:r>
        <w:t>Cílová skupina</w:t>
      </w:r>
      <w:bookmarkEnd w:id="22"/>
      <w:r>
        <w:t xml:space="preserve"> projektu</w:t>
      </w:r>
      <w:bookmarkEnd w:id="23"/>
    </w:p>
    <w:p w14:paraId="26D48CA9" w14:textId="7CB55DFB" w:rsidR="009C249A" w:rsidRDefault="009C249A" w:rsidP="00393FC4">
      <w:pPr>
        <w:spacing w:after="0" w:line="240" w:lineRule="auto"/>
        <w:jc w:val="both"/>
      </w:pPr>
      <w:r>
        <w:t xml:space="preserve">Uživateli služeb poskytovaných v rámci projektu sdílených činností budou zejména </w:t>
      </w:r>
      <w:r w:rsidRPr="000960F7">
        <w:rPr>
          <w:b/>
        </w:rPr>
        <w:t xml:space="preserve">výzkumné </w:t>
      </w:r>
      <w:r>
        <w:rPr>
          <w:b/>
        </w:rPr>
        <w:t xml:space="preserve">a vzdělávací </w:t>
      </w:r>
      <w:r w:rsidRPr="000960F7">
        <w:rPr>
          <w:b/>
        </w:rPr>
        <w:t xml:space="preserve">instituce </w:t>
      </w:r>
      <w:r>
        <w:t>(</w:t>
      </w:r>
      <w:r w:rsidR="00E81B9A">
        <w:t xml:space="preserve">zejména </w:t>
      </w:r>
      <w:r>
        <w:t xml:space="preserve">vysoké školy, ústavy Akademie věd ČR, výzkumné instituce veřejnoprávní a soukromoprávní povahy všeobecně; </w:t>
      </w:r>
      <w:r w:rsidR="00E81B9A">
        <w:t xml:space="preserve">dále </w:t>
      </w:r>
      <w:r>
        <w:t xml:space="preserve">na úrovni jednotlivců </w:t>
      </w:r>
      <w:r w:rsidR="00E81B9A">
        <w:t xml:space="preserve">poté </w:t>
      </w:r>
      <w:r>
        <w:t xml:space="preserve">výzkumní pracovníci, manažeři a specialisté projektové podpory na </w:t>
      </w:r>
      <w:r w:rsidR="00E81B9A">
        <w:t>vysokých školách</w:t>
      </w:r>
      <w:r>
        <w:t xml:space="preserve"> a</w:t>
      </w:r>
      <w:r w:rsidRPr="0034499F">
        <w:t xml:space="preserve"> </w:t>
      </w:r>
      <w:r>
        <w:t xml:space="preserve">výzkumných organizacích a </w:t>
      </w:r>
      <w:r w:rsidR="00E81B9A">
        <w:t xml:space="preserve">i </w:t>
      </w:r>
      <w:r>
        <w:t xml:space="preserve">další odborníci </w:t>
      </w:r>
      <w:r w:rsidR="00E81B9A">
        <w:t xml:space="preserve">ve </w:t>
      </w:r>
      <w:proofErr w:type="spellStart"/>
      <w:r w:rsidR="00E81B9A">
        <w:t>VaVaI</w:t>
      </w:r>
      <w:proofErr w:type="spellEnd"/>
      <w:r>
        <w:t xml:space="preserve">), </w:t>
      </w:r>
      <w:r w:rsidRPr="00385392">
        <w:rPr>
          <w:b/>
        </w:rPr>
        <w:t xml:space="preserve">inovační podniky </w:t>
      </w:r>
      <w:r>
        <w:rPr>
          <w:b/>
        </w:rPr>
        <w:t xml:space="preserve">zapojující se do mezinárodní výzkumné spolupráce </w:t>
      </w:r>
      <w:r w:rsidRPr="00385392">
        <w:rPr>
          <w:b/>
        </w:rPr>
        <w:t>a</w:t>
      </w:r>
      <w:r>
        <w:t xml:space="preserve"> </w:t>
      </w:r>
      <w:r w:rsidRPr="00703D20">
        <w:rPr>
          <w:b/>
        </w:rPr>
        <w:t>orgány státní správy ČR</w:t>
      </w:r>
      <w:r>
        <w:t>.</w:t>
      </w:r>
    </w:p>
    <w:p w14:paraId="43250364" w14:textId="77777777" w:rsidR="009C249A" w:rsidRDefault="009C249A" w:rsidP="00E81B9A">
      <w:pPr>
        <w:pStyle w:val="Nadpis2"/>
      </w:pPr>
      <w:bookmarkStart w:id="24" w:name="_Toc55466818"/>
      <w:r>
        <w:t>Očekávané přínosy projektu</w:t>
      </w:r>
      <w:bookmarkEnd w:id="24"/>
    </w:p>
    <w:p w14:paraId="5C09D583" w14:textId="2C2E7277" w:rsidR="009C249A" w:rsidRDefault="009C249A" w:rsidP="00D046E4">
      <w:pPr>
        <w:spacing w:after="0" w:line="240" w:lineRule="auto"/>
        <w:jc w:val="both"/>
      </w:pPr>
      <w:r w:rsidRPr="00093E07">
        <w:t xml:space="preserve">Projektem sdílených činností budou reflektovány všechny aspekty související s potřebami kladenými na intenzivní zapojení ČR do mezinárodní spolupráce ve </w:t>
      </w:r>
      <w:proofErr w:type="spellStart"/>
      <w:r w:rsidRPr="00093E07">
        <w:t>VaVaI</w:t>
      </w:r>
      <w:proofErr w:type="spellEnd"/>
      <w:r w:rsidRPr="00093E07">
        <w:t xml:space="preserve"> se stěžejním důrazem kladeným na problematiku FP9.</w:t>
      </w:r>
      <w:r>
        <w:t xml:space="preserve"> Co do podpory rozvoje mezinárodní spolupráce ČR ve </w:t>
      </w:r>
      <w:proofErr w:type="spellStart"/>
      <w:r w:rsidR="00E81B9A">
        <w:t>VaVaI</w:t>
      </w:r>
      <w:proofErr w:type="spellEnd"/>
      <w:r>
        <w:t xml:space="preserve">, napomůže realizace projektu sdílených činností podstatným způsobem </w:t>
      </w:r>
      <w:r w:rsidRPr="00E85491">
        <w:rPr>
          <w:b/>
        </w:rPr>
        <w:t xml:space="preserve">zintenzivnit zapojení </w:t>
      </w:r>
      <w:r w:rsidR="00E81B9A">
        <w:rPr>
          <w:b/>
        </w:rPr>
        <w:t xml:space="preserve">výzkumných subjektů </w:t>
      </w:r>
      <w:r w:rsidRPr="00E85491">
        <w:rPr>
          <w:b/>
        </w:rPr>
        <w:t xml:space="preserve">ČR </w:t>
      </w:r>
      <w:r>
        <w:rPr>
          <w:b/>
        </w:rPr>
        <w:t>do</w:t>
      </w:r>
      <w:r w:rsidRPr="00E85491">
        <w:rPr>
          <w:b/>
        </w:rPr>
        <w:t xml:space="preserve"> FP9 v</w:t>
      </w:r>
      <w:r>
        <w:rPr>
          <w:b/>
        </w:rPr>
        <w:t xml:space="preserve"> porovnání </w:t>
      </w:r>
      <w:r w:rsidRPr="00E85491">
        <w:rPr>
          <w:b/>
        </w:rPr>
        <w:t>s jeho předchůdci</w:t>
      </w:r>
      <w:r>
        <w:t xml:space="preserve">. </w:t>
      </w:r>
      <w:bookmarkStart w:id="25" w:name="_Toc40123737"/>
      <w:r w:rsidRPr="00043F80">
        <w:t xml:space="preserve">Systematickou </w:t>
      </w:r>
      <w:r w:rsidRPr="00043F80">
        <w:lastRenderedPageBreak/>
        <w:t xml:space="preserve">informační, konzultační, poradenskou a analytickou činností bude </w:t>
      </w:r>
      <w:r w:rsidR="00E81B9A">
        <w:t>zajištěn</w:t>
      </w:r>
      <w:r w:rsidRPr="00043F80">
        <w:t xml:space="preserve"> efektivní přenos informací o evropských iniciativách a</w:t>
      </w:r>
      <w:r w:rsidR="007C6412">
        <w:t xml:space="preserve"> programech </w:t>
      </w:r>
      <w:proofErr w:type="spellStart"/>
      <w:r w:rsidR="007C6412">
        <w:t>VaVaI</w:t>
      </w:r>
      <w:proofErr w:type="spellEnd"/>
      <w:r w:rsidR="007C6412">
        <w:t xml:space="preserve"> na výzkumná a </w:t>
      </w:r>
      <w:r w:rsidRPr="00043F80">
        <w:t xml:space="preserve">inovační pracoviště v ČR, mající potenciál podílet se na řešení projektů </w:t>
      </w:r>
      <w:proofErr w:type="spellStart"/>
      <w:r w:rsidRPr="00043F80">
        <w:t>VaVaI</w:t>
      </w:r>
      <w:proofErr w:type="spellEnd"/>
      <w:r w:rsidRPr="00043F80">
        <w:t xml:space="preserve"> podporovaných v rámci těchto programů</w:t>
      </w:r>
      <w:r w:rsidR="00E81B9A">
        <w:t>,</w:t>
      </w:r>
      <w:r w:rsidRPr="00043F80">
        <w:t xml:space="preserve"> a také organizacím, které se již na řešení mezinárodních projektů podílejí. </w:t>
      </w:r>
    </w:p>
    <w:p w14:paraId="0050DA09" w14:textId="77777777" w:rsidR="009C249A" w:rsidRDefault="009C249A" w:rsidP="00E81B9A">
      <w:pPr>
        <w:pStyle w:val="Nadpis1"/>
        <w:numPr>
          <w:ilvl w:val="0"/>
          <w:numId w:val="3"/>
        </w:numPr>
        <w:spacing w:before="240" w:after="240" w:line="240" w:lineRule="auto"/>
        <w:ind w:left="431" w:hanging="431"/>
        <w:jc w:val="both"/>
      </w:pPr>
      <w:bookmarkStart w:id="26" w:name="_Toc55466819"/>
      <w:r>
        <w:t>REALIZACE</w:t>
      </w:r>
      <w:bookmarkEnd w:id="25"/>
      <w:bookmarkEnd w:id="26"/>
    </w:p>
    <w:p w14:paraId="38C93DC6" w14:textId="77777777" w:rsidR="009C249A" w:rsidRDefault="009C249A" w:rsidP="00E81B9A">
      <w:pPr>
        <w:pStyle w:val="Nadpis2"/>
      </w:pPr>
      <w:bookmarkStart w:id="27" w:name="_Toc55466820"/>
      <w:r>
        <w:t>Popis projektových aktivit</w:t>
      </w:r>
      <w:bookmarkEnd w:id="27"/>
    </w:p>
    <w:p w14:paraId="1B5398BE" w14:textId="517C8A1B" w:rsidR="009C249A" w:rsidRDefault="009C249A" w:rsidP="00393FC4">
      <w:pPr>
        <w:spacing w:after="0" w:line="240" w:lineRule="auto"/>
        <w:jc w:val="both"/>
      </w:pPr>
      <w:r>
        <w:t xml:space="preserve">CZERA bude realizovat své aktivity v rámci </w:t>
      </w:r>
      <w:r w:rsidR="00E81B9A">
        <w:t>3</w:t>
      </w:r>
      <w:r>
        <w:t xml:space="preserve"> vzájemně synergických a komplementárních modulů, pokrývajících </w:t>
      </w:r>
      <w:r w:rsidR="00E81B9A">
        <w:t xml:space="preserve">věcně příslušné </w:t>
      </w:r>
      <w:r>
        <w:t xml:space="preserve">okruhy </w:t>
      </w:r>
      <w:r w:rsidR="00E81B9A">
        <w:t>agend.</w:t>
      </w:r>
    </w:p>
    <w:p w14:paraId="711781A5" w14:textId="7B8C53EC" w:rsidR="009C249A" w:rsidRDefault="009C249A" w:rsidP="00E81B9A">
      <w:pPr>
        <w:pStyle w:val="Nadpis3"/>
        <w:spacing w:before="240" w:after="240" w:line="240" w:lineRule="auto"/>
        <w:ind w:left="669"/>
        <w:jc w:val="both"/>
      </w:pPr>
      <w:bookmarkStart w:id="28" w:name="_Toc55466821"/>
      <w:r w:rsidRPr="00093E07">
        <w:t>M</w:t>
      </w:r>
      <w:r>
        <w:t>odul</w:t>
      </w:r>
      <w:r w:rsidRPr="00093E07">
        <w:t xml:space="preserve"> 1: </w:t>
      </w:r>
      <w:r w:rsidR="00E81B9A">
        <w:t xml:space="preserve">Národní informační centrum pro evropský výzkum </w:t>
      </w:r>
      <w:r w:rsidRPr="00093E07">
        <w:t>(NICER)</w:t>
      </w:r>
      <w:bookmarkEnd w:id="28"/>
    </w:p>
    <w:p w14:paraId="72E3DCEA" w14:textId="49D18672" w:rsidR="009C249A" w:rsidRDefault="009C249A" w:rsidP="00393FC4">
      <w:pPr>
        <w:spacing w:after="0" w:line="240" w:lineRule="auto"/>
        <w:jc w:val="both"/>
      </w:pPr>
      <w:r w:rsidRPr="00093E07">
        <w:t xml:space="preserve">V rámci projektu sdílených činností budou </w:t>
      </w:r>
      <w:r w:rsidR="00E81B9A">
        <w:t>v první řadě zabezpečeny</w:t>
      </w:r>
      <w:r w:rsidRPr="00093E07">
        <w:t xml:space="preserve"> </w:t>
      </w:r>
      <w:r w:rsidR="00E81B9A">
        <w:t>činnosti</w:t>
      </w:r>
      <w:r w:rsidRPr="00093E07">
        <w:t xml:space="preserve"> NICER. NICER bude </w:t>
      </w:r>
      <w:r w:rsidR="00E81B9A">
        <w:t>zajišťovat</w:t>
      </w:r>
      <w:r w:rsidRPr="00093E07">
        <w:t xml:space="preserve"> zejména služby NCP</w:t>
      </w:r>
      <w:r w:rsidR="00E81B9A">
        <w:t xml:space="preserve"> pro FP9</w:t>
      </w:r>
      <w:r w:rsidRPr="00093E07">
        <w:t xml:space="preserve"> a to v rozsahu a struktuře definované </w:t>
      </w:r>
      <w:r w:rsidR="00E81B9A">
        <w:t>Evropskou komisí</w:t>
      </w:r>
      <w:r w:rsidRPr="00093E07">
        <w:t xml:space="preserve">. Aktivity NICER současně zahrnou </w:t>
      </w:r>
      <w:r w:rsidR="00E81B9A">
        <w:t>i</w:t>
      </w:r>
      <w:r w:rsidRPr="00093E07">
        <w:t xml:space="preserve"> řadu vzájemně integrovaných a komplementárních služeb poskytovaných národní komunitě </w:t>
      </w:r>
      <w:proofErr w:type="spellStart"/>
      <w:r w:rsidRPr="00093E07">
        <w:t>VaVaI</w:t>
      </w:r>
      <w:proofErr w:type="spellEnd"/>
      <w:r w:rsidRPr="00093E07">
        <w:t xml:space="preserve"> v ČR, včetně firemního sektoru, jež ve svém důsledku podstatně usnadní a podpoří hlubší integraci ČR v rámci ERA, a to primárně skrze intenzivnější účast výzkumných institucí a podniků ČR v FP9 ve srovnání s předcházej</w:t>
      </w:r>
      <w:r w:rsidR="00E81B9A">
        <w:t>ícími rámcovými programy EU</w:t>
      </w:r>
      <w:r w:rsidRPr="00093E07">
        <w:t xml:space="preserve">. Spolupráce se </w:t>
      </w:r>
      <w:proofErr w:type="spellStart"/>
      <w:r w:rsidRPr="00093E07">
        <w:t>stakeholdery</w:t>
      </w:r>
      <w:proofErr w:type="spellEnd"/>
      <w:r w:rsidRPr="00093E07">
        <w:t xml:space="preserve"> </w:t>
      </w:r>
      <w:proofErr w:type="spellStart"/>
      <w:r w:rsidRPr="00093E07">
        <w:t>VaVaI</w:t>
      </w:r>
      <w:proofErr w:type="spellEnd"/>
      <w:r w:rsidRPr="00093E07">
        <w:t xml:space="preserve"> bude probíhat na národní úrovni ČR i EU a zahrne níže uvedené okruhy aktivit.</w:t>
      </w:r>
    </w:p>
    <w:p w14:paraId="2E8A87C7" w14:textId="1565F612" w:rsidR="009C249A" w:rsidRPr="00D32DC0" w:rsidRDefault="009C249A" w:rsidP="00B109EB">
      <w:pPr>
        <w:spacing w:before="240" w:after="240" w:line="240" w:lineRule="auto"/>
        <w:jc w:val="both"/>
        <w:rPr>
          <w:b/>
        </w:rPr>
      </w:pPr>
      <w:r w:rsidRPr="00D32DC0">
        <w:rPr>
          <w:b/>
        </w:rPr>
        <w:t xml:space="preserve">A. Komplexní informační činnosti pro zapojení do FP9 a dalších inciativ, resp. programů mezinárodní spolupráce ve </w:t>
      </w:r>
      <w:proofErr w:type="spellStart"/>
      <w:r w:rsidRPr="00D32DC0">
        <w:rPr>
          <w:b/>
        </w:rPr>
        <w:t>VaVaI</w:t>
      </w:r>
      <w:proofErr w:type="spellEnd"/>
      <w:r w:rsidRPr="00D32DC0">
        <w:rPr>
          <w:b/>
        </w:rPr>
        <w:t xml:space="preserve"> a zajiš</w:t>
      </w:r>
      <w:r w:rsidR="007C6412" w:rsidRPr="00D32DC0">
        <w:rPr>
          <w:b/>
        </w:rPr>
        <w:t>tění všeobecné informovanosti o </w:t>
      </w:r>
      <w:proofErr w:type="spellStart"/>
      <w:r w:rsidRPr="00D32DC0">
        <w:rPr>
          <w:b/>
        </w:rPr>
        <w:t>VaVaI</w:t>
      </w:r>
      <w:proofErr w:type="spellEnd"/>
      <w:r w:rsidRPr="00D32DC0">
        <w:rPr>
          <w:b/>
        </w:rPr>
        <w:t xml:space="preserve"> v ERA </w:t>
      </w:r>
    </w:p>
    <w:p w14:paraId="58F97FFA" w14:textId="77777777" w:rsidR="009C249A" w:rsidRDefault="009C249A" w:rsidP="00393FC4">
      <w:pPr>
        <w:spacing w:after="0" w:line="240" w:lineRule="auto"/>
        <w:jc w:val="both"/>
      </w:pPr>
      <w:r w:rsidRPr="00093E07">
        <w:t xml:space="preserve">V rámci tohoto okruhu se aktivity NICER zaměří předně na poskytování vysoce kvalifikovaných a detailních informací o FP9 a jejich šíření relevantními komunikačními prostředky do prostředí českého </w:t>
      </w:r>
      <w:proofErr w:type="spellStart"/>
      <w:r w:rsidRPr="00093E07">
        <w:t>VaVaI</w:t>
      </w:r>
      <w:proofErr w:type="spellEnd"/>
      <w:r w:rsidRPr="00093E07">
        <w:t xml:space="preserve">. NICER bude tyto informace </w:t>
      </w:r>
      <w:proofErr w:type="spellStart"/>
      <w:r w:rsidRPr="00093E07">
        <w:t>diseminovat</w:t>
      </w:r>
      <w:proofErr w:type="spellEnd"/>
      <w:r w:rsidRPr="00093E07">
        <w:t xml:space="preserve"> zejména následujícími kanály:</w:t>
      </w:r>
    </w:p>
    <w:p w14:paraId="76776AFF" w14:textId="77777777" w:rsidR="00393FC4" w:rsidRPr="00093E07" w:rsidRDefault="00393FC4" w:rsidP="00393FC4">
      <w:pPr>
        <w:spacing w:after="0" w:line="240" w:lineRule="auto"/>
        <w:jc w:val="both"/>
      </w:pPr>
    </w:p>
    <w:p w14:paraId="488C972C" w14:textId="73F1B62C" w:rsidR="009C249A" w:rsidRDefault="009C249A" w:rsidP="00393FC4">
      <w:pPr>
        <w:numPr>
          <w:ilvl w:val="0"/>
          <w:numId w:val="10"/>
        </w:numPr>
        <w:spacing w:after="0" w:line="240" w:lineRule="auto"/>
        <w:jc w:val="both"/>
      </w:pPr>
      <w:r w:rsidRPr="00093E07">
        <w:rPr>
          <w:b/>
        </w:rPr>
        <w:t>Národní webový portál pro FP9</w:t>
      </w:r>
      <w:r w:rsidRPr="00093E07">
        <w:t xml:space="preserve"> a ostatní mezinárodní inciativy a programy </w:t>
      </w:r>
      <w:proofErr w:type="spellStart"/>
      <w:r w:rsidRPr="00093E07">
        <w:t>VaVaI</w:t>
      </w:r>
      <w:proofErr w:type="spellEnd"/>
      <w:r w:rsidRPr="00093E07">
        <w:t xml:space="preserve">, které jsou implementovány v rámci ERA – Webový portál bude plně reflektovat strukturu FP9 a přinášet veškeré informace o FP9, jeho pilířích, pracovních programech, výzvách, jakož i podmínkách účasti a dalších specifických aspektech FP9. Webový portál bude obsahovat mj. i speciální sekci pro zveřejňování informací o projektech FP9 s účastí českých řešitelů, významných výsledcích </w:t>
      </w:r>
      <w:proofErr w:type="spellStart"/>
      <w:r w:rsidRPr="00093E07">
        <w:t>VaVaI</w:t>
      </w:r>
      <w:proofErr w:type="spellEnd"/>
      <w:r w:rsidRPr="00093E07">
        <w:t xml:space="preserve"> dosažených českými řešiteli v projektech FP9 a příkladech dobré praxe účasti českých řešitelů v projektech mezinárodní spolupráce ve </w:t>
      </w:r>
      <w:proofErr w:type="spellStart"/>
      <w:r w:rsidRPr="00093E07">
        <w:t>VaVaI</w:t>
      </w:r>
      <w:proofErr w:type="spellEnd"/>
      <w:r w:rsidRPr="00093E07">
        <w:t xml:space="preserve"> a FP9 zejména. Webový portál bude paralelně k česko-jazyčné verzi veden i v anglickém jazyce. Součástí webového portálu bude mj. i strukturované úložiště ve formě intranetu, který bude přístupný registrovaným uživatelům a bude obsahovat důležité dokumenty, které vzejdou z jednání zástupců ČR, </w:t>
      </w:r>
      <w:r w:rsidR="00C61E08">
        <w:t>již</w:t>
      </w:r>
      <w:r w:rsidRPr="00093E07">
        <w:t xml:space="preserve"> budou nominováni do implementačních orgánů FP9 (zejména jednotlivých konfigurací programového výboru FP9 apod.).</w:t>
      </w:r>
    </w:p>
    <w:p w14:paraId="5E50A43B" w14:textId="77777777" w:rsidR="00393FC4" w:rsidRPr="00093E07" w:rsidRDefault="00393FC4" w:rsidP="00393FC4">
      <w:pPr>
        <w:spacing w:after="0" w:line="240" w:lineRule="auto"/>
        <w:ind w:left="360"/>
        <w:jc w:val="both"/>
      </w:pPr>
    </w:p>
    <w:p w14:paraId="3F3088B4" w14:textId="77777777" w:rsidR="009C249A" w:rsidRDefault="009C249A" w:rsidP="00393FC4">
      <w:pPr>
        <w:numPr>
          <w:ilvl w:val="0"/>
          <w:numId w:val="10"/>
        </w:numPr>
        <w:spacing w:after="0" w:line="240" w:lineRule="auto"/>
        <w:jc w:val="both"/>
      </w:pPr>
      <w:r w:rsidRPr="00093E07">
        <w:rPr>
          <w:b/>
        </w:rPr>
        <w:t>Časopis Echo</w:t>
      </w:r>
      <w:r w:rsidRPr="00093E07">
        <w:t xml:space="preserve"> vydávaný v tištěné a elektronické formě – Časopis bude přinášet aktuální informace o vývoji v rámci ERA, a to včetně perspektivy zapojení ČR do FP9, významných výsledcích </w:t>
      </w:r>
      <w:proofErr w:type="spellStart"/>
      <w:r w:rsidRPr="00093E07">
        <w:t>VaVaI</w:t>
      </w:r>
      <w:proofErr w:type="spellEnd"/>
      <w:r w:rsidRPr="00093E07">
        <w:t xml:space="preserve"> dosažených (nejen) českými vědci a inovátory v rámci ERA, se stěžejním důrazem kladeným na FP9. Časopis bude publikován ve čtvrtletní periodě.</w:t>
      </w:r>
    </w:p>
    <w:p w14:paraId="56B96557" w14:textId="77777777" w:rsidR="00393FC4" w:rsidRPr="00093E07" w:rsidRDefault="00393FC4" w:rsidP="00393FC4">
      <w:pPr>
        <w:spacing w:after="0" w:line="240" w:lineRule="auto"/>
        <w:ind w:left="360"/>
        <w:jc w:val="both"/>
      </w:pPr>
    </w:p>
    <w:p w14:paraId="4B455966" w14:textId="77777777" w:rsidR="009C249A" w:rsidRDefault="009C249A" w:rsidP="00393FC4">
      <w:pPr>
        <w:numPr>
          <w:ilvl w:val="0"/>
          <w:numId w:val="10"/>
        </w:numPr>
        <w:spacing w:after="0" w:line="240" w:lineRule="auto"/>
        <w:jc w:val="both"/>
      </w:pPr>
      <w:r w:rsidRPr="00093E07">
        <w:rPr>
          <w:b/>
        </w:rPr>
        <w:t>Elektronický zpravodaj o FP9</w:t>
      </w:r>
      <w:r w:rsidRPr="00093E07">
        <w:t xml:space="preserve"> – Zpravodaj bude určen k šíření nejaktuálnějších informací o implementaci FP9 a registrovaným odběratelům bude zasílán v měsíční periodě.</w:t>
      </w:r>
    </w:p>
    <w:p w14:paraId="2171A8C1" w14:textId="77777777" w:rsidR="00393FC4" w:rsidRPr="00093E07" w:rsidRDefault="00393FC4" w:rsidP="00393FC4">
      <w:pPr>
        <w:spacing w:after="0" w:line="240" w:lineRule="auto"/>
        <w:ind w:left="360"/>
        <w:jc w:val="both"/>
      </w:pPr>
    </w:p>
    <w:p w14:paraId="54F759B9" w14:textId="77777777" w:rsidR="009C249A" w:rsidRPr="00093E07" w:rsidRDefault="009C249A" w:rsidP="00393FC4">
      <w:pPr>
        <w:numPr>
          <w:ilvl w:val="0"/>
          <w:numId w:val="10"/>
        </w:numPr>
        <w:spacing w:after="0" w:line="240" w:lineRule="auto"/>
        <w:jc w:val="both"/>
      </w:pPr>
      <w:r w:rsidRPr="00093E07">
        <w:rPr>
          <w:b/>
        </w:rPr>
        <w:t>Sociální sítě</w:t>
      </w:r>
      <w:r w:rsidRPr="00093E07">
        <w:t xml:space="preserve"> </w:t>
      </w:r>
      <w:proofErr w:type="spellStart"/>
      <w:r w:rsidRPr="00093E07">
        <w:t>Facebook</w:t>
      </w:r>
      <w:proofErr w:type="spellEnd"/>
      <w:r w:rsidRPr="00093E07">
        <w:t xml:space="preserve">, </w:t>
      </w:r>
      <w:proofErr w:type="spellStart"/>
      <w:r w:rsidRPr="00093E07">
        <w:t>Twitter</w:t>
      </w:r>
      <w:proofErr w:type="spellEnd"/>
      <w:r w:rsidRPr="00093E07">
        <w:t xml:space="preserve"> a </w:t>
      </w:r>
      <w:proofErr w:type="spellStart"/>
      <w:r w:rsidRPr="00093E07">
        <w:t>Linked</w:t>
      </w:r>
      <w:proofErr w:type="spellEnd"/>
      <w:r w:rsidRPr="00093E07">
        <w:t>-In pro rychlé informování o dění v ERA.</w:t>
      </w:r>
    </w:p>
    <w:p w14:paraId="6DF0FD0C" w14:textId="77777777" w:rsidR="00CF0CD1" w:rsidRDefault="00CF0CD1" w:rsidP="00393FC4">
      <w:pPr>
        <w:spacing w:after="0" w:line="240" w:lineRule="auto"/>
        <w:jc w:val="both"/>
      </w:pPr>
    </w:p>
    <w:p w14:paraId="03DEB05B" w14:textId="77777777" w:rsidR="00F679E0" w:rsidRDefault="00F679E0" w:rsidP="00393FC4">
      <w:pPr>
        <w:spacing w:after="0" w:line="240" w:lineRule="auto"/>
        <w:jc w:val="both"/>
      </w:pPr>
    </w:p>
    <w:p w14:paraId="3BB28190" w14:textId="77777777" w:rsidR="009C249A" w:rsidRDefault="009C249A" w:rsidP="00393FC4">
      <w:pPr>
        <w:spacing w:after="0" w:line="240" w:lineRule="auto"/>
        <w:jc w:val="both"/>
      </w:pPr>
      <w:r w:rsidRPr="00093E07">
        <w:lastRenderedPageBreak/>
        <w:t xml:space="preserve">Kromě včasných </w:t>
      </w:r>
      <w:r w:rsidRPr="00093E07">
        <w:rPr>
          <w:b/>
        </w:rPr>
        <w:t>informací o aktuálních a nově připravovaných možnostech zapojení do FP9</w:t>
      </w:r>
      <w:r w:rsidRPr="00093E07">
        <w:t xml:space="preserve">, včetně výzev vyhlašovaných v rámci implementačních nástrojů partnerství nebo misí FP9 a návazných evropských iniciativ a programů </w:t>
      </w:r>
      <w:proofErr w:type="spellStart"/>
      <w:r w:rsidRPr="00093E07">
        <w:t>VaVaI</w:t>
      </w:r>
      <w:proofErr w:type="spellEnd"/>
      <w:r w:rsidRPr="00093E07">
        <w:t xml:space="preserve">, bude tým NICER poskytovat i </w:t>
      </w:r>
      <w:r w:rsidRPr="00093E07">
        <w:rPr>
          <w:b/>
        </w:rPr>
        <w:t>informace o finančních, právních, administrativních a dalších pravidlech a specifických aspektech zapojení do FP9</w:t>
      </w:r>
      <w:r w:rsidRPr="00093E07">
        <w:t xml:space="preserve">, a to včetně uplatňování principů otevřené vědy, etiky ve </w:t>
      </w:r>
      <w:proofErr w:type="spellStart"/>
      <w:r w:rsidRPr="00093E07">
        <w:t>VaVaI</w:t>
      </w:r>
      <w:proofErr w:type="spellEnd"/>
      <w:r w:rsidRPr="00093E07">
        <w:t xml:space="preserve">, společensky odpovědného </w:t>
      </w:r>
      <w:proofErr w:type="spellStart"/>
      <w:r w:rsidRPr="00093E07">
        <w:t>VaVaI</w:t>
      </w:r>
      <w:proofErr w:type="spellEnd"/>
      <w:r w:rsidRPr="00093E07">
        <w:t xml:space="preserve">, genderové dimenze ve </w:t>
      </w:r>
      <w:proofErr w:type="spellStart"/>
      <w:r w:rsidRPr="00093E07">
        <w:t>VaVaI</w:t>
      </w:r>
      <w:proofErr w:type="spellEnd"/>
      <w:r w:rsidRPr="00093E07">
        <w:t xml:space="preserve"> (ve spolupráci s NKC) a dalších aspektů, na které je v rámci FP9 kladen stěžejní důraz.</w:t>
      </w:r>
    </w:p>
    <w:p w14:paraId="6E35D240" w14:textId="77777777" w:rsidR="008055CB" w:rsidRDefault="008055CB" w:rsidP="00393FC4">
      <w:pPr>
        <w:spacing w:after="0" w:line="240" w:lineRule="auto"/>
        <w:jc w:val="both"/>
      </w:pPr>
    </w:p>
    <w:p w14:paraId="788C7D03" w14:textId="0094FF88" w:rsidR="009C249A" w:rsidRDefault="009C249A" w:rsidP="00393FC4">
      <w:pPr>
        <w:spacing w:after="0" w:line="240" w:lineRule="auto"/>
        <w:jc w:val="both"/>
      </w:pPr>
      <w:r w:rsidRPr="00093E07">
        <w:t xml:space="preserve">NICER bude organizovat </w:t>
      </w:r>
      <w:r w:rsidRPr="00093E07">
        <w:rPr>
          <w:b/>
        </w:rPr>
        <w:t>národní informační dny k vyhlašovaným výzvám FP9</w:t>
      </w:r>
      <w:r w:rsidRPr="00093E07">
        <w:t xml:space="preserve">, a to včetně výzev vyhlašovaných v rámci implementace partnerství a misí FP9, a to za účasti relevantních zástupců </w:t>
      </w:r>
      <w:r w:rsidR="00B109EB">
        <w:t>Evropské komise</w:t>
      </w:r>
      <w:r w:rsidRPr="00093E07">
        <w:t>. Přid</w:t>
      </w:r>
      <w:r w:rsidR="00B109EB">
        <w:t>anou hodnotou těchto akcí bude taktéž</w:t>
      </w:r>
      <w:r w:rsidRPr="00093E07">
        <w:t xml:space="preserve"> prezentace zkušeností úspěšných řešitelů projektů FP9 z ČR i zahraničí a zprostředkování zkušeností a doporučení ze strany hodnoti</w:t>
      </w:r>
      <w:r w:rsidR="00393FC4">
        <w:t xml:space="preserve">telů evropských projektů </w:t>
      </w:r>
      <w:proofErr w:type="spellStart"/>
      <w:r w:rsidR="00393FC4">
        <w:t>VaVaI</w:t>
      </w:r>
      <w:proofErr w:type="spellEnd"/>
      <w:r w:rsidR="00393FC4">
        <w:t>.</w:t>
      </w:r>
    </w:p>
    <w:p w14:paraId="691D18C6" w14:textId="77777777" w:rsidR="00393FC4" w:rsidRPr="00093E07" w:rsidRDefault="00393FC4" w:rsidP="00393FC4">
      <w:pPr>
        <w:spacing w:after="0" w:line="240" w:lineRule="auto"/>
        <w:jc w:val="both"/>
      </w:pPr>
    </w:p>
    <w:p w14:paraId="0E2E4BCF" w14:textId="77777777" w:rsidR="009C249A" w:rsidRDefault="009C249A" w:rsidP="00393FC4">
      <w:pPr>
        <w:spacing w:after="0" w:line="240" w:lineRule="auto"/>
        <w:jc w:val="both"/>
      </w:pPr>
      <w:r w:rsidRPr="00093E07">
        <w:t xml:space="preserve">NICER bude pokračovat ve </w:t>
      </w:r>
      <w:r w:rsidRPr="00093E07">
        <w:rPr>
          <w:b/>
        </w:rPr>
        <w:t>spolupráci s</w:t>
      </w:r>
      <w:r w:rsidRPr="00093E07">
        <w:t> </w:t>
      </w:r>
      <w:r w:rsidRPr="00093E07">
        <w:rPr>
          <w:b/>
        </w:rPr>
        <w:t xml:space="preserve">nadnárodními sítěmi NCP a </w:t>
      </w:r>
      <w:proofErr w:type="spellStart"/>
      <w:r w:rsidRPr="00093E07">
        <w:rPr>
          <w:b/>
        </w:rPr>
        <w:t>Enterprise</w:t>
      </w:r>
      <w:proofErr w:type="spellEnd"/>
      <w:r w:rsidRPr="00093E07">
        <w:rPr>
          <w:b/>
        </w:rPr>
        <w:t xml:space="preserve"> </w:t>
      </w:r>
      <w:proofErr w:type="spellStart"/>
      <w:r w:rsidRPr="00093E07">
        <w:rPr>
          <w:b/>
        </w:rPr>
        <w:t>Europe</w:t>
      </w:r>
      <w:proofErr w:type="spellEnd"/>
      <w:r w:rsidRPr="00093E07">
        <w:rPr>
          <w:b/>
        </w:rPr>
        <w:t xml:space="preserve"> Network </w:t>
      </w:r>
      <w:r w:rsidRPr="00093E07">
        <w:t xml:space="preserve">(dále jen „EEN“) a pomůže vyhledávání partnerů pro společné mezinárodní projekty </w:t>
      </w:r>
      <w:proofErr w:type="spellStart"/>
      <w:r w:rsidRPr="00093E07">
        <w:t>VaVaI</w:t>
      </w:r>
      <w:proofErr w:type="spellEnd"/>
      <w:r w:rsidRPr="00093E07">
        <w:t xml:space="preserve"> a při propagaci potenciálu českých pracovišť </w:t>
      </w:r>
      <w:proofErr w:type="spellStart"/>
      <w:r w:rsidRPr="00093E07">
        <w:t>VaVaI</w:t>
      </w:r>
      <w:proofErr w:type="spellEnd"/>
      <w:r w:rsidRPr="00093E07">
        <w:t xml:space="preserve"> v zahraničí. Podpora vyhledávání partnerů do společných projektů </w:t>
      </w:r>
      <w:proofErr w:type="spellStart"/>
      <w:r w:rsidRPr="00093E07">
        <w:t>VaVaI</w:t>
      </w:r>
      <w:proofErr w:type="spellEnd"/>
      <w:r w:rsidRPr="00093E07">
        <w:t xml:space="preserve"> se uskuteční zejména prostřednictvím </w:t>
      </w:r>
      <w:r w:rsidRPr="00093E07">
        <w:rPr>
          <w:b/>
        </w:rPr>
        <w:t xml:space="preserve">mezinárodních kooperačních setkání podniků a výzkumných organizací </w:t>
      </w:r>
      <w:r w:rsidRPr="00093E07">
        <w:t>pořádaných sítí NCP a sítí EEN, jejichž vzájemná spolupráce by se v dalším programovém období měla ještě dále prohloubit. NICER budou velmi úzce spolupracovat i s</w:t>
      </w:r>
      <w:r>
        <w:t xml:space="preserve"> projektem sdílených činností </w:t>
      </w:r>
      <w:r w:rsidRPr="00093E07">
        <w:t xml:space="preserve">CZELO, a to zejména, co do diseminace výsledků projektů mezinárodní spolupráce ve </w:t>
      </w:r>
      <w:proofErr w:type="spellStart"/>
      <w:r w:rsidRPr="00093E07">
        <w:t>VaVaI</w:t>
      </w:r>
      <w:proofErr w:type="spellEnd"/>
      <w:r w:rsidRPr="00093E07">
        <w:t xml:space="preserve"> s českou účastí.</w:t>
      </w:r>
    </w:p>
    <w:p w14:paraId="3842EE31" w14:textId="77777777" w:rsidR="00393FC4" w:rsidRPr="00093E07" w:rsidRDefault="00393FC4" w:rsidP="00393FC4">
      <w:pPr>
        <w:spacing w:after="0" w:line="240" w:lineRule="auto"/>
        <w:jc w:val="both"/>
      </w:pPr>
    </w:p>
    <w:p w14:paraId="3CD6D099" w14:textId="77777777" w:rsidR="009C249A" w:rsidRPr="00093E07" w:rsidRDefault="009C249A" w:rsidP="00393FC4">
      <w:pPr>
        <w:spacing w:after="0" w:line="240" w:lineRule="auto"/>
        <w:jc w:val="both"/>
      </w:pPr>
      <w:r w:rsidRPr="00093E07">
        <w:t xml:space="preserve">NICER bude mj. nadále posilovat spolupráci a synergie s relevantními národními poskytovateli podpory na </w:t>
      </w:r>
      <w:proofErr w:type="spellStart"/>
      <w:r w:rsidRPr="00093E07">
        <w:t>VaVaI</w:t>
      </w:r>
      <w:proofErr w:type="spellEnd"/>
      <w:r w:rsidRPr="00093E07">
        <w:t xml:space="preserve"> a s administrátory ostatních mezinárodních schémat na podporu </w:t>
      </w:r>
      <w:proofErr w:type="spellStart"/>
      <w:r w:rsidRPr="00093E07">
        <w:t>VaVaI</w:t>
      </w:r>
      <w:proofErr w:type="spellEnd"/>
      <w:r w:rsidRPr="00093E07">
        <w:t xml:space="preserve"> (nad rámec FP9). NICER tak bude poskytovat základní </w:t>
      </w:r>
      <w:r w:rsidRPr="00093E07">
        <w:rPr>
          <w:b/>
        </w:rPr>
        <w:t xml:space="preserve">informace o příležitostech a financování mezinárodní spolupráce ve </w:t>
      </w:r>
      <w:proofErr w:type="spellStart"/>
      <w:r w:rsidRPr="00093E07">
        <w:rPr>
          <w:b/>
        </w:rPr>
        <w:t>VaVaI</w:t>
      </w:r>
      <w:proofErr w:type="spellEnd"/>
      <w:r w:rsidRPr="00093E07">
        <w:rPr>
          <w:b/>
        </w:rPr>
        <w:t xml:space="preserve"> nad rámec spolupráce realizované v FP9</w:t>
      </w:r>
      <w:r w:rsidRPr="00093E07">
        <w:t xml:space="preserve"> (např. COST, EUREKA, iniciativy Společného programování, bilaterální spolupráce ČR ve </w:t>
      </w:r>
      <w:proofErr w:type="spellStart"/>
      <w:r w:rsidRPr="00093E07">
        <w:t>VaVaI</w:t>
      </w:r>
      <w:proofErr w:type="spellEnd"/>
      <w:r w:rsidRPr="00093E07">
        <w:t xml:space="preserve"> apod.).</w:t>
      </w:r>
    </w:p>
    <w:p w14:paraId="506FD7F8" w14:textId="77777777" w:rsidR="009C249A" w:rsidRPr="00D32DC0" w:rsidRDefault="009C249A" w:rsidP="00B109EB">
      <w:pPr>
        <w:spacing w:before="240" w:after="240" w:line="240" w:lineRule="auto"/>
        <w:jc w:val="both"/>
        <w:rPr>
          <w:b/>
        </w:rPr>
      </w:pPr>
      <w:r w:rsidRPr="00D32DC0">
        <w:rPr>
          <w:b/>
        </w:rPr>
        <w:t xml:space="preserve">B. Školicí aktivity, </w:t>
      </w:r>
      <w:proofErr w:type="spellStart"/>
      <w:r w:rsidRPr="00D32DC0">
        <w:rPr>
          <w:b/>
        </w:rPr>
        <w:t>mentoring</w:t>
      </w:r>
      <w:proofErr w:type="spellEnd"/>
      <w:r w:rsidRPr="00D32DC0">
        <w:rPr>
          <w:b/>
        </w:rPr>
        <w:t xml:space="preserve"> a expertní činnosti zvyšující připravenost řešitelských týmů z ČR k zapojení do projektů FP9 a do dalších iniciativ, resp. programů mezinárodní spolupráce ve </w:t>
      </w:r>
      <w:proofErr w:type="spellStart"/>
      <w:r w:rsidRPr="00D32DC0">
        <w:rPr>
          <w:b/>
        </w:rPr>
        <w:t>VaVaI</w:t>
      </w:r>
      <w:proofErr w:type="spellEnd"/>
    </w:p>
    <w:p w14:paraId="0D1054B6" w14:textId="77777777" w:rsidR="009C249A" w:rsidRDefault="009C249A" w:rsidP="00393FC4">
      <w:pPr>
        <w:spacing w:after="0" w:line="240" w:lineRule="auto"/>
        <w:jc w:val="both"/>
      </w:pPr>
      <w:r w:rsidRPr="00093E07">
        <w:t xml:space="preserve">NICER nabídne široké spektrum </w:t>
      </w:r>
      <w:r w:rsidRPr="00093E07">
        <w:rPr>
          <w:b/>
        </w:rPr>
        <w:t>specializovaných školicích aktivit</w:t>
      </w:r>
      <w:r w:rsidRPr="00093E07">
        <w:t xml:space="preserve"> pro různé cílové skupiny – např. výzkumní pracovníci se záměrem přípravy účasti v návrhu projektu FP9, malé a střední podniky, potenciální žadatelé o granty ERC a MSCA, potenciální hodnotitelé návrhů projektů FP9, projektoví a finanční manažeři výzkumných organizací apod. Kromě NCP budou školiteli rovněž zkušení hodnotitelé návrhů projektů rámcových programů EU pro </w:t>
      </w:r>
      <w:proofErr w:type="spellStart"/>
      <w:r w:rsidRPr="00093E07">
        <w:t>VaVaI</w:t>
      </w:r>
      <w:proofErr w:type="spellEnd"/>
      <w:r w:rsidRPr="00093E07">
        <w:t xml:space="preserve"> a i účastníci mezinárodních projektů </w:t>
      </w:r>
      <w:proofErr w:type="spellStart"/>
      <w:r w:rsidRPr="00093E07">
        <w:t>VaVaI</w:t>
      </w:r>
      <w:proofErr w:type="spellEnd"/>
      <w:r w:rsidRPr="00093E07">
        <w:t>.</w:t>
      </w:r>
    </w:p>
    <w:p w14:paraId="63209C88" w14:textId="77777777" w:rsidR="00393FC4" w:rsidRPr="00093E07" w:rsidRDefault="00393FC4" w:rsidP="00393FC4">
      <w:pPr>
        <w:spacing w:after="0" w:line="240" w:lineRule="auto"/>
        <w:jc w:val="both"/>
      </w:pPr>
    </w:p>
    <w:p w14:paraId="66A55D29" w14:textId="0CD5F23A" w:rsidR="009C249A" w:rsidRDefault="009C249A" w:rsidP="00393FC4">
      <w:pPr>
        <w:spacing w:after="0" w:line="240" w:lineRule="auto"/>
        <w:jc w:val="both"/>
      </w:pPr>
      <w:r w:rsidRPr="00093E07">
        <w:t xml:space="preserve">Školicí aktivity budou realizovány na základě předem definovaných </w:t>
      </w:r>
      <w:r w:rsidRPr="00093E07">
        <w:rPr>
          <w:b/>
        </w:rPr>
        <w:t>modulů</w:t>
      </w:r>
      <w:r w:rsidRPr="00093E07">
        <w:t xml:space="preserve">, jež si bude moci zájemce zkombinovat podle profesního zájmu a potřeb a které budou obsahově aktualizovány podle nejaktuálnějšího vývoje v rámci ERA. Školení budou pro definovaný max. počet zájemců </w:t>
      </w:r>
      <w:r w:rsidR="00B109EB">
        <w:t>kvůli praktickému</w:t>
      </w:r>
      <w:r w:rsidRPr="00093E07">
        <w:t xml:space="preserve"> zaměření a interaktivit</w:t>
      </w:r>
      <w:r w:rsidR="00B109EB">
        <w:t>ě</w:t>
      </w:r>
      <w:r w:rsidRPr="00093E07">
        <w:t>. Nabídka školicích modulů bude zahrnovat</w:t>
      </w:r>
      <w:r>
        <w:t xml:space="preserve"> témata</w:t>
      </w:r>
      <w:r w:rsidRPr="00093E07">
        <w:t>:</w:t>
      </w:r>
    </w:p>
    <w:p w14:paraId="7521F4B1" w14:textId="77777777" w:rsidR="00393FC4" w:rsidRPr="00093E07" w:rsidRDefault="00393FC4" w:rsidP="00393FC4">
      <w:pPr>
        <w:spacing w:after="0" w:line="240" w:lineRule="auto"/>
        <w:jc w:val="both"/>
      </w:pPr>
    </w:p>
    <w:p w14:paraId="56056927" w14:textId="77777777" w:rsidR="009C249A" w:rsidRDefault="009C249A" w:rsidP="00B109EB">
      <w:pPr>
        <w:numPr>
          <w:ilvl w:val="0"/>
          <w:numId w:val="32"/>
        </w:numPr>
        <w:spacing w:after="0" w:line="240" w:lineRule="auto"/>
        <w:ind w:left="360"/>
        <w:jc w:val="both"/>
      </w:pPr>
      <w:r w:rsidRPr="00AA750A">
        <w:t xml:space="preserve">Příprava </w:t>
      </w:r>
      <w:proofErr w:type="spellStart"/>
      <w:r w:rsidRPr="00AA750A">
        <w:t>kolaborativního</w:t>
      </w:r>
      <w:proofErr w:type="spellEnd"/>
      <w:r w:rsidRPr="00AA750A">
        <w:t xml:space="preserve"> projektu FP9;</w:t>
      </w:r>
    </w:p>
    <w:p w14:paraId="32B52662" w14:textId="77777777" w:rsidR="00393FC4" w:rsidRPr="00AA750A" w:rsidRDefault="00393FC4" w:rsidP="00B109EB">
      <w:pPr>
        <w:spacing w:after="0" w:line="240" w:lineRule="auto"/>
        <w:jc w:val="both"/>
      </w:pPr>
    </w:p>
    <w:p w14:paraId="289FEC97" w14:textId="77777777" w:rsidR="009C249A" w:rsidRDefault="009C249A" w:rsidP="00B109EB">
      <w:pPr>
        <w:numPr>
          <w:ilvl w:val="0"/>
          <w:numId w:val="32"/>
        </w:numPr>
        <w:spacing w:after="0" w:line="240" w:lineRule="auto"/>
        <w:ind w:left="360"/>
        <w:jc w:val="both"/>
      </w:pPr>
      <w:r w:rsidRPr="00AA750A">
        <w:t>Administrativní a finanční řízení projektu FP9;</w:t>
      </w:r>
    </w:p>
    <w:p w14:paraId="6A8E4FA5" w14:textId="77777777" w:rsidR="00393FC4" w:rsidRPr="00AA750A" w:rsidRDefault="00393FC4" w:rsidP="00B109EB">
      <w:pPr>
        <w:spacing w:after="0" w:line="240" w:lineRule="auto"/>
        <w:jc w:val="both"/>
      </w:pPr>
    </w:p>
    <w:p w14:paraId="1A441428" w14:textId="77777777" w:rsidR="009C249A" w:rsidRDefault="009C249A" w:rsidP="00B109EB">
      <w:pPr>
        <w:numPr>
          <w:ilvl w:val="0"/>
          <w:numId w:val="32"/>
        </w:numPr>
        <w:spacing w:after="0" w:line="240" w:lineRule="auto"/>
        <w:ind w:left="360"/>
        <w:jc w:val="both"/>
      </w:pPr>
      <w:r w:rsidRPr="00AA750A">
        <w:t>Příprava projektu ERC (</w:t>
      </w:r>
      <w:proofErr w:type="spellStart"/>
      <w:r w:rsidRPr="00AA750A">
        <w:rPr>
          <w:i/>
        </w:rPr>
        <w:t>European</w:t>
      </w:r>
      <w:proofErr w:type="spellEnd"/>
      <w:r w:rsidRPr="00AA750A">
        <w:rPr>
          <w:i/>
        </w:rPr>
        <w:t xml:space="preserve"> </w:t>
      </w:r>
      <w:proofErr w:type="spellStart"/>
      <w:r w:rsidRPr="00AA750A">
        <w:rPr>
          <w:i/>
        </w:rPr>
        <w:t>Research</w:t>
      </w:r>
      <w:proofErr w:type="spellEnd"/>
      <w:r w:rsidRPr="00AA750A">
        <w:rPr>
          <w:i/>
        </w:rPr>
        <w:t xml:space="preserve"> </w:t>
      </w:r>
      <w:proofErr w:type="spellStart"/>
      <w:r w:rsidRPr="00AA750A">
        <w:rPr>
          <w:i/>
        </w:rPr>
        <w:t>Council</w:t>
      </w:r>
      <w:proofErr w:type="spellEnd"/>
      <w:r w:rsidRPr="00AA750A">
        <w:t>);</w:t>
      </w:r>
    </w:p>
    <w:p w14:paraId="7092692B" w14:textId="77777777" w:rsidR="00393FC4" w:rsidRPr="00AA750A" w:rsidRDefault="00393FC4" w:rsidP="00B109EB">
      <w:pPr>
        <w:spacing w:after="0" w:line="240" w:lineRule="auto"/>
        <w:jc w:val="both"/>
      </w:pPr>
    </w:p>
    <w:p w14:paraId="40C5F7F5" w14:textId="77777777" w:rsidR="009C249A" w:rsidRDefault="009C249A" w:rsidP="00B109EB">
      <w:pPr>
        <w:numPr>
          <w:ilvl w:val="0"/>
          <w:numId w:val="32"/>
        </w:numPr>
        <w:spacing w:after="0" w:line="240" w:lineRule="auto"/>
        <w:ind w:left="360"/>
        <w:jc w:val="both"/>
      </w:pPr>
      <w:r w:rsidRPr="00AA750A">
        <w:t>Příprava projektu MSCA (</w:t>
      </w:r>
      <w:r w:rsidRPr="00AA750A">
        <w:rPr>
          <w:i/>
        </w:rPr>
        <w:t xml:space="preserve">Marie </w:t>
      </w:r>
      <w:proofErr w:type="spellStart"/>
      <w:r w:rsidRPr="00AA750A">
        <w:rPr>
          <w:i/>
        </w:rPr>
        <w:t>Skłodowska</w:t>
      </w:r>
      <w:proofErr w:type="spellEnd"/>
      <w:r w:rsidRPr="00AA750A">
        <w:rPr>
          <w:i/>
        </w:rPr>
        <w:t xml:space="preserve">-Curie </w:t>
      </w:r>
      <w:proofErr w:type="spellStart"/>
      <w:r w:rsidRPr="00AA750A">
        <w:rPr>
          <w:i/>
        </w:rPr>
        <w:t>Actions</w:t>
      </w:r>
      <w:proofErr w:type="spellEnd"/>
      <w:r w:rsidRPr="00AA750A">
        <w:t>);</w:t>
      </w:r>
    </w:p>
    <w:p w14:paraId="3BD99CF8" w14:textId="77777777" w:rsidR="00393FC4" w:rsidRPr="00AA750A" w:rsidRDefault="00393FC4" w:rsidP="00B109EB">
      <w:pPr>
        <w:spacing w:after="0" w:line="240" w:lineRule="auto"/>
        <w:jc w:val="both"/>
      </w:pPr>
    </w:p>
    <w:p w14:paraId="05C6390A" w14:textId="6FE8DEEF" w:rsidR="009C249A" w:rsidRDefault="009C249A" w:rsidP="00B109EB">
      <w:pPr>
        <w:numPr>
          <w:ilvl w:val="0"/>
          <w:numId w:val="32"/>
        </w:numPr>
        <w:spacing w:after="0" w:line="240" w:lineRule="auto"/>
        <w:ind w:left="360"/>
        <w:jc w:val="both"/>
      </w:pPr>
      <w:r w:rsidRPr="00AA750A">
        <w:t>Příprava projektu EIC</w:t>
      </w:r>
      <w:r w:rsidR="00B109EB">
        <w:t xml:space="preserve"> (</w:t>
      </w:r>
      <w:proofErr w:type="spellStart"/>
      <w:r w:rsidR="00B109EB" w:rsidRPr="00B109EB">
        <w:rPr>
          <w:i/>
        </w:rPr>
        <w:t>European</w:t>
      </w:r>
      <w:proofErr w:type="spellEnd"/>
      <w:r w:rsidR="00B109EB" w:rsidRPr="00B109EB">
        <w:rPr>
          <w:i/>
        </w:rPr>
        <w:t xml:space="preserve"> Innovation </w:t>
      </w:r>
      <w:proofErr w:type="spellStart"/>
      <w:r w:rsidR="00B109EB" w:rsidRPr="00B109EB">
        <w:rPr>
          <w:i/>
        </w:rPr>
        <w:t>Council</w:t>
      </w:r>
      <w:proofErr w:type="spellEnd"/>
      <w:r w:rsidR="00B109EB">
        <w:t>)</w:t>
      </w:r>
      <w:r w:rsidRPr="00AA750A">
        <w:t>;</w:t>
      </w:r>
    </w:p>
    <w:p w14:paraId="2667A3CC" w14:textId="77777777" w:rsidR="00393FC4" w:rsidRPr="00AA750A" w:rsidRDefault="00393FC4" w:rsidP="00B109EB">
      <w:pPr>
        <w:spacing w:after="0" w:line="240" w:lineRule="auto"/>
        <w:jc w:val="both"/>
      </w:pPr>
    </w:p>
    <w:p w14:paraId="2086EF9B" w14:textId="77777777" w:rsidR="009C249A" w:rsidRDefault="009C249A" w:rsidP="00B109EB">
      <w:pPr>
        <w:numPr>
          <w:ilvl w:val="0"/>
          <w:numId w:val="32"/>
        </w:numPr>
        <w:spacing w:after="0" w:line="240" w:lineRule="auto"/>
        <w:ind w:left="360"/>
        <w:jc w:val="both"/>
      </w:pPr>
      <w:r w:rsidRPr="00AA750A">
        <w:lastRenderedPageBreak/>
        <w:t>Problematika IPR a grantových smluv projektů FP9;</w:t>
      </w:r>
    </w:p>
    <w:p w14:paraId="71038A72" w14:textId="77777777" w:rsidR="00393FC4" w:rsidRPr="00AA750A" w:rsidRDefault="00393FC4" w:rsidP="00B109EB">
      <w:pPr>
        <w:spacing w:after="0" w:line="240" w:lineRule="auto"/>
        <w:jc w:val="both"/>
      </w:pPr>
    </w:p>
    <w:p w14:paraId="73A2BEE9" w14:textId="77777777" w:rsidR="009C249A" w:rsidRDefault="009C249A" w:rsidP="00B109EB">
      <w:pPr>
        <w:numPr>
          <w:ilvl w:val="0"/>
          <w:numId w:val="32"/>
        </w:numPr>
        <w:spacing w:after="0" w:line="240" w:lineRule="auto"/>
        <w:ind w:left="360"/>
        <w:jc w:val="both"/>
      </w:pPr>
      <w:r w:rsidRPr="00AA750A">
        <w:t>Koordinace projektu FP9;</w:t>
      </w:r>
    </w:p>
    <w:p w14:paraId="2FE3203D" w14:textId="77777777" w:rsidR="00393FC4" w:rsidRPr="00AA750A" w:rsidRDefault="00393FC4" w:rsidP="00B109EB">
      <w:pPr>
        <w:spacing w:after="0" w:line="240" w:lineRule="auto"/>
        <w:jc w:val="both"/>
      </w:pPr>
    </w:p>
    <w:p w14:paraId="4582D3ED" w14:textId="77777777" w:rsidR="009C249A" w:rsidRDefault="009C249A" w:rsidP="00B109EB">
      <w:pPr>
        <w:numPr>
          <w:ilvl w:val="0"/>
          <w:numId w:val="32"/>
        </w:numPr>
        <w:spacing w:after="0" w:line="240" w:lineRule="auto"/>
        <w:ind w:left="360"/>
        <w:jc w:val="both"/>
      </w:pPr>
      <w:r w:rsidRPr="00AA750A">
        <w:t>Komunikace a diseminace výsledků projektu FP9;</w:t>
      </w:r>
    </w:p>
    <w:p w14:paraId="3758A27F" w14:textId="77777777" w:rsidR="00393FC4" w:rsidRPr="00AA750A" w:rsidRDefault="00393FC4" w:rsidP="00B109EB">
      <w:pPr>
        <w:spacing w:after="0" w:line="240" w:lineRule="auto"/>
        <w:jc w:val="both"/>
      </w:pPr>
    </w:p>
    <w:p w14:paraId="4708F880" w14:textId="77777777" w:rsidR="009C249A" w:rsidRDefault="009C249A" w:rsidP="00B109EB">
      <w:pPr>
        <w:numPr>
          <w:ilvl w:val="0"/>
          <w:numId w:val="32"/>
        </w:numPr>
        <w:spacing w:after="0" w:line="240" w:lineRule="auto"/>
        <w:ind w:left="360"/>
        <w:jc w:val="both"/>
      </w:pPr>
      <w:r w:rsidRPr="00AA750A">
        <w:t>Hodnocení návrhů projektu FP9 – proškolení potenciálních zájemců o hodnocení.</w:t>
      </w:r>
    </w:p>
    <w:p w14:paraId="21CFCFC5" w14:textId="77777777" w:rsidR="008055CB" w:rsidRDefault="008055CB" w:rsidP="008055CB">
      <w:pPr>
        <w:spacing w:after="0" w:line="240" w:lineRule="auto"/>
        <w:ind w:left="360"/>
        <w:jc w:val="both"/>
      </w:pPr>
    </w:p>
    <w:p w14:paraId="0AC6BC6A" w14:textId="5AC5BFFC" w:rsidR="00F57250" w:rsidRDefault="009C249A" w:rsidP="00393FC4">
      <w:pPr>
        <w:spacing w:after="0" w:line="240" w:lineRule="auto"/>
        <w:jc w:val="both"/>
      </w:pPr>
      <w:r w:rsidRPr="00093E07">
        <w:t xml:space="preserve">Kromě standardních </w:t>
      </w:r>
      <w:r w:rsidR="00B109EB">
        <w:rPr>
          <w:b/>
        </w:rPr>
        <w:t>„on-</w:t>
      </w:r>
      <w:proofErr w:type="spellStart"/>
      <w:r w:rsidR="00B109EB">
        <w:rPr>
          <w:b/>
        </w:rPr>
        <w:t>site</w:t>
      </w:r>
      <w:proofErr w:type="spellEnd"/>
      <w:r w:rsidR="00B109EB">
        <w:rPr>
          <w:b/>
        </w:rPr>
        <w:t>“ a</w:t>
      </w:r>
      <w:r>
        <w:rPr>
          <w:b/>
        </w:rPr>
        <w:t xml:space="preserve"> on-line </w:t>
      </w:r>
      <w:r w:rsidRPr="00093E07">
        <w:rPr>
          <w:b/>
        </w:rPr>
        <w:t>školení</w:t>
      </w:r>
      <w:r w:rsidRPr="00093E07">
        <w:t xml:space="preserve"> bude rozvíjen </w:t>
      </w:r>
      <w:r w:rsidR="00B109EB">
        <w:t>také</w:t>
      </w:r>
      <w:r w:rsidRPr="00093E07">
        <w:t xml:space="preserve"> koncept </w:t>
      </w:r>
      <w:r w:rsidRPr="00093E07">
        <w:rPr>
          <w:b/>
        </w:rPr>
        <w:t>e-</w:t>
      </w:r>
      <w:proofErr w:type="spellStart"/>
      <w:r w:rsidR="00C90536">
        <w:rPr>
          <w:b/>
        </w:rPr>
        <w:t>l</w:t>
      </w:r>
      <w:r w:rsidRPr="00093E07">
        <w:rPr>
          <w:b/>
        </w:rPr>
        <w:t>earningových</w:t>
      </w:r>
      <w:proofErr w:type="spellEnd"/>
      <w:r w:rsidRPr="00093E07">
        <w:rPr>
          <w:b/>
        </w:rPr>
        <w:t xml:space="preserve"> videí</w:t>
      </w:r>
      <w:r w:rsidR="00B109EB">
        <w:t xml:space="preserve">, a to </w:t>
      </w:r>
      <w:r w:rsidRPr="00093E07">
        <w:t>s cílem přiblížit zájemcům především administrativní a finanční aspekty související s přípravou návrhů projektů FP9 a sa</w:t>
      </w:r>
      <w:r w:rsidR="00F57250">
        <w:t>motnou účastí v projektech FP9.</w:t>
      </w:r>
    </w:p>
    <w:p w14:paraId="263A8A34" w14:textId="77777777" w:rsidR="00F57250" w:rsidRDefault="00F57250" w:rsidP="00393FC4">
      <w:pPr>
        <w:spacing w:after="0" w:line="240" w:lineRule="auto"/>
        <w:jc w:val="both"/>
      </w:pPr>
    </w:p>
    <w:p w14:paraId="09623F63" w14:textId="0536E6A2" w:rsidR="009C249A" w:rsidRDefault="009C249A" w:rsidP="00393FC4">
      <w:pPr>
        <w:spacing w:after="0" w:line="240" w:lineRule="auto"/>
        <w:jc w:val="both"/>
      </w:pPr>
      <w:r w:rsidRPr="00093E07">
        <w:t xml:space="preserve">NICER bude nabízet i </w:t>
      </w:r>
      <w:r w:rsidRPr="00093E07">
        <w:rPr>
          <w:b/>
        </w:rPr>
        <w:t>školení na poptávku</w:t>
      </w:r>
      <w:r w:rsidRPr="00093E07">
        <w:t xml:space="preserve"> pro výzkumné a inovační organizace a instituce na základě těsnější a komplexnější spolupráce s jejich managementem a nabízené analýzy jejich potřeb.</w:t>
      </w:r>
    </w:p>
    <w:p w14:paraId="718F6C50" w14:textId="77777777" w:rsidR="00393FC4" w:rsidRPr="00093E07" w:rsidRDefault="00393FC4" w:rsidP="00393FC4">
      <w:pPr>
        <w:spacing w:after="0" w:line="240" w:lineRule="auto"/>
        <w:jc w:val="both"/>
      </w:pPr>
    </w:p>
    <w:p w14:paraId="70F5C9E9" w14:textId="6F6318E3" w:rsidR="009C249A" w:rsidRDefault="009C249A" w:rsidP="00393FC4">
      <w:pPr>
        <w:spacing w:after="0" w:line="240" w:lineRule="auto"/>
        <w:jc w:val="both"/>
      </w:pPr>
      <w:r w:rsidRPr="00093E07">
        <w:t xml:space="preserve">Zejména pro nové projektové manažery výzkumných a inovačních organizací a institucí budou realizovány </w:t>
      </w:r>
      <w:r w:rsidRPr="00093E07">
        <w:rPr>
          <w:b/>
        </w:rPr>
        <w:t>krátkodobé stáže</w:t>
      </w:r>
      <w:r w:rsidRPr="00093E07">
        <w:t xml:space="preserve"> v TC AV</w:t>
      </w:r>
      <w:r w:rsidR="00B109EB">
        <w:t xml:space="preserve"> </w:t>
      </w:r>
      <w:r w:rsidRPr="00093E07">
        <w:t>ČR, jejichž cílem bude zejména bližší seznámení se s problematikou FP9 a ERA všeobecně, poskytovanými službami NICER a navázání bližších osobních kontaktů pro další cílenou spolupráci.</w:t>
      </w:r>
    </w:p>
    <w:p w14:paraId="263B1DC5" w14:textId="77777777" w:rsidR="00393FC4" w:rsidRPr="00093E07" w:rsidRDefault="00393FC4" w:rsidP="00393FC4">
      <w:pPr>
        <w:spacing w:after="0" w:line="240" w:lineRule="auto"/>
        <w:jc w:val="both"/>
      </w:pPr>
    </w:p>
    <w:p w14:paraId="3560AD33" w14:textId="525FCBCA" w:rsidR="009C249A" w:rsidRDefault="009C249A" w:rsidP="00393FC4">
      <w:pPr>
        <w:spacing w:after="0" w:line="240" w:lineRule="auto"/>
        <w:jc w:val="both"/>
      </w:pPr>
      <w:r w:rsidRPr="00093E07">
        <w:t xml:space="preserve">Odborné veřejnosti budou zprostředkovány a diskutovány jak na úrovni expertních pracovních skupin (např. Pracovní skupina pro administrativní </w:t>
      </w:r>
      <w:r>
        <w:t xml:space="preserve">a finanční </w:t>
      </w:r>
      <w:r w:rsidRPr="00093E07">
        <w:t xml:space="preserve">řízení projektů koordinovaná NICER), tak </w:t>
      </w:r>
      <w:r w:rsidR="00B109EB">
        <w:t xml:space="preserve">rovněž </w:t>
      </w:r>
      <w:r w:rsidRPr="00093E07">
        <w:t xml:space="preserve">formou odborných diskuzních stolů, </w:t>
      </w:r>
      <w:r w:rsidRPr="00093E07">
        <w:rPr>
          <w:b/>
        </w:rPr>
        <w:t>výsledky expertní činnosti NICER</w:t>
      </w:r>
      <w:r w:rsidRPr="00093E07">
        <w:t>,</w:t>
      </w:r>
      <w:r w:rsidRPr="00093E07">
        <w:rPr>
          <w:b/>
        </w:rPr>
        <w:t xml:space="preserve"> </w:t>
      </w:r>
      <w:r w:rsidRPr="00093E07">
        <w:t xml:space="preserve">spočívající mj. </w:t>
      </w:r>
      <w:r w:rsidR="00B109EB">
        <w:t xml:space="preserve">i </w:t>
      </w:r>
      <w:r w:rsidRPr="00093E07">
        <w:t xml:space="preserve">v analýzách administrativních bariér, které mohou potenciálně komplikovat zapojení českých subjektů do FP9. Bude poskytována zpětná vazba </w:t>
      </w:r>
      <w:r w:rsidR="00B109EB">
        <w:t>Evropské komise</w:t>
      </w:r>
      <w:r w:rsidRPr="00093E07">
        <w:t xml:space="preserve"> s cílem dosáhnout odstranění problémů vyskytnuvších se při implementaci FP9.</w:t>
      </w:r>
    </w:p>
    <w:p w14:paraId="44F1C6D6" w14:textId="77777777" w:rsidR="00393FC4" w:rsidRPr="00093E07" w:rsidRDefault="00393FC4" w:rsidP="00393FC4">
      <w:pPr>
        <w:spacing w:after="0" w:line="240" w:lineRule="auto"/>
        <w:jc w:val="both"/>
      </w:pPr>
    </w:p>
    <w:p w14:paraId="58E7170D" w14:textId="77777777" w:rsidR="009C249A" w:rsidRPr="00093E07" w:rsidRDefault="009C249A" w:rsidP="00393FC4">
      <w:pPr>
        <w:spacing w:after="0" w:line="240" w:lineRule="auto"/>
        <w:jc w:val="both"/>
      </w:pPr>
      <w:r w:rsidRPr="00093E07">
        <w:t xml:space="preserve">Speciální pozornost bude věnována </w:t>
      </w:r>
      <w:r w:rsidRPr="00093E07">
        <w:rPr>
          <w:b/>
        </w:rPr>
        <w:t>aktivitám podporujícím rozvoj mladé generace vědců</w:t>
      </w:r>
      <w:r w:rsidRPr="00093E07">
        <w:t xml:space="preserve">, které budou zacíleny na základní orientaci v problematice evropských programů </w:t>
      </w:r>
      <w:proofErr w:type="spellStart"/>
      <w:r w:rsidRPr="00093E07">
        <w:t>VaVaI</w:t>
      </w:r>
      <w:proofErr w:type="spellEnd"/>
      <w:r w:rsidRPr="00093E07">
        <w:t xml:space="preserve"> (např. v rámci školení základů vědecké práce pořádaných AVČR), přičemž hlavní důraz bude kladen zejména na problematiku přípravy projektů ERC </w:t>
      </w:r>
      <w:proofErr w:type="spellStart"/>
      <w:r w:rsidRPr="00093E07">
        <w:t>Starting</w:t>
      </w:r>
      <w:proofErr w:type="spellEnd"/>
      <w:r w:rsidRPr="00093E07">
        <w:t xml:space="preserve"> </w:t>
      </w:r>
      <w:proofErr w:type="spellStart"/>
      <w:r w:rsidRPr="00093E07">
        <w:t>Grants</w:t>
      </w:r>
      <w:proofErr w:type="spellEnd"/>
      <w:r w:rsidRPr="00093E07">
        <w:t xml:space="preserve"> a </w:t>
      </w:r>
      <w:proofErr w:type="spellStart"/>
      <w:r w:rsidRPr="00093E07">
        <w:t>mobilitních</w:t>
      </w:r>
      <w:proofErr w:type="spellEnd"/>
      <w:r w:rsidRPr="00093E07">
        <w:t xml:space="preserve"> projektů MSCA.</w:t>
      </w:r>
    </w:p>
    <w:p w14:paraId="356FE2E4" w14:textId="77777777" w:rsidR="009C249A" w:rsidRPr="00D32DC0" w:rsidRDefault="009C249A" w:rsidP="00B109EB">
      <w:pPr>
        <w:spacing w:before="240" w:after="240" w:line="240" w:lineRule="auto"/>
        <w:jc w:val="both"/>
        <w:rPr>
          <w:b/>
        </w:rPr>
      </w:pPr>
      <w:r w:rsidRPr="00D32DC0">
        <w:rPr>
          <w:b/>
        </w:rPr>
        <w:t>C. Konzultační činnosti – individuální konzultační podpora předkladatele návrhu, resp. řešitele projektu FP9 v průběhu celého životního cyklu přípravy a realizace projektu FP9</w:t>
      </w:r>
    </w:p>
    <w:p w14:paraId="1E60A784" w14:textId="7F53DE7F" w:rsidR="009C249A" w:rsidRDefault="009C249A" w:rsidP="00393FC4">
      <w:pPr>
        <w:spacing w:after="0" w:line="240" w:lineRule="auto"/>
        <w:jc w:val="both"/>
      </w:pPr>
      <w:r w:rsidRPr="00093E07">
        <w:t xml:space="preserve">NICER v rámci svých aktivit poskytne </w:t>
      </w:r>
      <w:r w:rsidRPr="00093E07">
        <w:rPr>
          <w:b/>
        </w:rPr>
        <w:t>individualizovanou konzultační podporu</w:t>
      </w:r>
      <w:r w:rsidRPr="00093E07">
        <w:t xml:space="preserve"> zájemcům o účast v mezinárodních projektech </w:t>
      </w:r>
      <w:proofErr w:type="spellStart"/>
      <w:r w:rsidRPr="00093E07">
        <w:t>VaVaI</w:t>
      </w:r>
      <w:proofErr w:type="spellEnd"/>
      <w:r w:rsidRPr="00093E07">
        <w:t xml:space="preserve">, tj. klientům, kteří připravují návrh projektu pro FP9, a řešitelům projektů FP9, </w:t>
      </w:r>
      <w:r w:rsidR="00B109EB">
        <w:t>kteří</w:t>
      </w:r>
      <w:r w:rsidRPr="00093E07">
        <w:t xml:space="preserve"> již podporu získaly. Individuální asistence bude poskytována v různorodých oblastech přípravy a realizace projektu mezinárodní spolupráce ve </w:t>
      </w:r>
      <w:proofErr w:type="spellStart"/>
      <w:r w:rsidRPr="00093E07">
        <w:t>VaVaI</w:t>
      </w:r>
      <w:proofErr w:type="spellEnd"/>
      <w:r w:rsidRPr="00093E07">
        <w:t xml:space="preserve"> s tím, že stěžejní cílovou skupinou budou zejména klienti mající zájem aplikovat o podporu do výzev specifických implementačních nástrojů FP9:</w:t>
      </w:r>
    </w:p>
    <w:p w14:paraId="67C52A38" w14:textId="77777777" w:rsidR="00393FC4" w:rsidRPr="00093E07" w:rsidRDefault="00393FC4" w:rsidP="00393FC4">
      <w:pPr>
        <w:spacing w:after="0" w:line="240" w:lineRule="auto"/>
        <w:jc w:val="both"/>
      </w:pPr>
    </w:p>
    <w:p w14:paraId="19F4D21F" w14:textId="40211B67" w:rsidR="009C249A" w:rsidRDefault="009C249A" w:rsidP="00B109EB">
      <w:pPr>
        <w:pStyle w:val="Odstavecseseznamem"/>
        <w:numPr>
          <w:ilvl w:val="0"/>
          <w:numId w:val="33"/>
        </w:numPr>
        <w:spacing w:line="240" w:lineRule="auto"/>
        <w:ind w:left="360"/>
        <w:contextualSpacing w:val="0"/>
        <w:jc w:val="both"/>
      </w:pPr>
      <w:r w:rsidRPr="00D72340">
        <w:rPr>
          <w:b/>
        </w:rPr>
        <w:t>Posouzení vhodnosti projektového záměru pro FP9</w:t>
      </w:r>
      <w:r w:rsidRPr="00093E07">
        <w:t>, popř</w:t>
      </w:r>
      <w:r w:rsidR="00C90536">
        <w:t>. pro jinou iniciativu a </w:t>
      </w:r>
      <w:r w:rsidRPr="00093E07">
        <w:t xml:space="preserve">program mezinárodní spolupráce ve </w:t>
      </w:r>
      <w:proofErr w:type="spellStart"/>
      <w:r w:rsidRPr="00093E07">
        <w:t>VaVaI</w:t>
      </w:r>
      <w:proofErr w:type="spellEnd"/>
      <w:r w:rsidRPr="00093E07">
        <w:t>, včetn</w:t>
      </w:r>
      <w:r w:rsidR="00C90536">
        <w:t>ě seznámení se s podmínkami a s </w:t>
      </w:r>
      <w:r w:rsidRPr="00093E07">
        <w:t xml:space="preserve">pravidly účasti v daném nástroji podpory mezinárodní spolupráce ve </w:t>
      </w:r>
      <w:proofErr w:type="spellStart"/>
      <w:r w:rsidRPr="00093E07">
        <w:t>VaVaI</w:t>
      </w:r>
      <w:proofErr w:type="spellEnd"/>
      <w:r w:rsidRPr="00093E07">
        <w:t>;</w:t>
      </w:r>
    </w:p>
    <w:p w14:paraId="11F1A1E7" w14:textId="77777777" w:rsidR="00393FC4" w:rsidRPr="00093E07" w:rsidRDefault="00393FC4" w:rsidP="00B109EB">
      <w:pPr>
        <w:pStyle w:val="Odstavecseseznamem"/>
        <w:numPr>
          <w:ilvl w:val="0"/>
          <w:numId w:val="0"/>
        </w:numPr>
        <w:spacing w:line="240" w:lineRule="auto"/>
        <w:ind w:left="170"/>
        <w:contextualSpacing w:val="0"/>
        <w:jc w:val="both"/>
      </w:pPr>
    </w:p>
    <w:p w14:paraId="54B45CB5" w14:textId="77777777" w:rsidR="009C249A" w:rsidRDefault="009C249A" w:rsidP="00B109EB">
      <w:pPr>
        <w:pStyle w:val="Odstavecseseznamem"/>
        <w:numPr>
          <w:ilvl w:val="0"/>
          <w:numId w:val="33"/>
        </w:numPr>
        <w:spacing w:line="240" w:lineRule="auto"/>
        <w:ind w:left="360"/>
        <w:contextualSpacing w:val="0"/>
        <w:jc w:val="both"/>
      </w:pPr>
      <w:r w:rsidRPr="00D72340">
        <w:rPr>
          <w:b/>
        </w:rPr>
        <w:t>Asistence při vyhledání vhodného nástroje / výzvy / téma pracovního programu FP9</w:t>
      </w:r>
      <w:r w:rsidRPr="00093E07">
        <w:t xml:space="preserve"> v oblasti odborného zájmu a kompetencí klienta;</w:t>
      </w:r>
    </w:p>
    <w:p w14:paraId="7DDCE28C" w14:textId="77777777" w:rsidR="00393FC4" w:rsidRPr="00093E07" w:rsidRDefault="00393FC4" w:rsidP="00B109EB">
      <w:pPr>
        <w:pStyle w:val="Odstavecseseznamem"/>
        <w:numPr>
          <w:ilvl w:val="0"/>
          <w:numId w:val="0"/>
        </w:numPr>
        <w:spacing w:line="240" w:lineRule="auto"/>
        <w:ind w:left="170"/>
        <w:contextualSpacing w:val="0"/>
        <w:jc w:val="both"/>
      </w:pPr>
    </w:p>
    <w:p w14:paraId="357D8603" w14:textId="77777777" w:rsidR="009C249A" w:rsidRDefault="009C249A" w:rsidP="00B109EB">
      <w:pPr>
        <w:pStyle w:val="Odstavecseseznamem"/>
        <w:numPr>
          <w:ilvl w:val="0"/>
          <w:numId w:val="33"/>
        </w:numPr>
        <w:spacing w:line="240" w:lineRule="auto"/>
        <w:ind w:left="360"/>
        <w:contextualSpacing w:val="0"/>
        <w:jc w:val="both"/>
      </w:pPr>
      <w:r w:rsidRPr="00D72340">
        <w:rPr>
          <w:b/>
        </w:rPr>
        <w:t xml:space="preserve">Asistence s vyhledáním zahraničních partnerů </w:t>
      </w:r>
      <w:r w:rsidRPr="00093E07">
        <w:t>pro spolupráci</w:t>
      </w:r>
      <w:r w:rsidRPr="00D72340">
        <w:rPr>
          <w:b/>
        </w:rPr>
        <w:t xml:space="preserve"> </w:t>
      </w:r>
      <w:r w:rsidRPr="00093E07">
        <w:t xml:space="preserve">v projektu mezinárodní spolupráce ve </w:t>
      </w:r>
      <w:proofErr w:type="spellStart"/>
      <w:r w:rsidRPr="00093E07">
        <w:t>VaVaI</w:t>
      </w:r>
      <w:proofErr w:type="spellEnd"/>
      <w:r w:rsidRPr="00093E07">
        <w:t xml:space="preserve"> a pro-aktivní nabídka potenciálu českých pracovišť </w:t>
      </w:r>
      <w:proofErr w:type="spellStart"/>
      <w:r w:rsidRPr="00093E07">
        <w:t>VaVaI</w:t>
      </w:r>
      <w:proofErr w:type="spellEnd"/>
      <w:r w:rsidRPr="00093E07">
        <w:t xml:space="preserve"> v zahraničí – pomoc s přípravou kooperačního profilu pro databáze typu „Partner </w:t>
      </w:r>
      <w:proofErr w:type="spellStart"/>
      <w:r w:rsidRPr="00093E07">
        <w:t>Search</w:t>
      </w:r>
      <w:proofErr w:type="spellEnd"/>
      <w:r w:rsidRPr="00093E07">
        <w:t>“, a to např. na „</w:t>
      </w:r>
      <w:proofErr w:type="spellStart"/>
      <w:r w:rsidRPr="00093E07">
        <w:t>Funding</w:t>
      </w:r>
      <w:proofErr w:type="spellEnd"/>
      <w:r w:rsidRPr="00093E07">
        <w:t xml:space="preserve"> and </w:t>
      </w:r>
      <w:proofErr w:type="spellStart"/>
      <w:r w:rsidRPr="00093E07">
        <w:t>Tenders</w:t>
      </w:r>
      <w:proofErr w:type="spellEnd"/>
      <w:r w:rsidRPr="00093E07">
        <w:t>“ portálu EK a v databázi sítě EEN, a/nebo „</w:t>
      </w:r>
      <w:proofErr w:type="spellStart"/>
      <w:r w:rsidRPr="00093E07">
        <w:t>flash</w:t>
      </w:r>
      <w:proofErr w:type="spellEnd"/>
      <w:r w:rsidRPr="00093E07">
        <w:t>“ prezentace pro účast na mezinárodních partnerských burzách pořádaných sítěmi NCP anebo EEN;</w:t>
      </w:r>
    </w:p>
    <w:p w14:paraId="0C705DA8" w14:textId="77777777" w:rsidR="009C249A" w:rsidRDefault="009C249A" w:rsidP="00B109EB">
      <w:pPr>
        <w:pStyle w:val="Odstavecseseznamem"/>
        <w:numPr>
          <w:ilvl w:val="0"/>
          <w:numId w:val="33"/>
        </w:numPr>
        <w:spacing w:line="240" w:lineRule="auto"/>
        <w:ind w:left="360"/>
        <w:contextualSpacing w:val="0"/>
        <w:jc w:val="both"/>
      </w:pPr>
      <w:r w:rsidRPr="00D72340">
        <w:rPr>
          <w:b/>
        </w:rPr>
        <w:lastRenderedPageBreak/>
        <w:t>Zpracování rešerše financovaných projektů z předchozích výzev FP9</w:t>
      </w:r>
      <w:r w:rsidRPr="00093E07">
        <w:t>, včetně složení řešitelských konsorcií, v oblastech tematicky relevantních projektovému záměru klienta (tj. umožní mj. lépe identifikovat existující „</w:t>
      </w:r>
      <w:proofErr w:type="spellStart"/>
      <w:r w:rsidRPr="00093E07">
        <w:t>research</w:t>
      </w:r>
      <w:proofErr w:type="spellEnd"/>
      <w:r w:rsidRPr="00093E07">
        <w:t xml:space="preserve"> </w:t>
      </w:r>
      <w:proofErr w:type="spellStart"/>
      <w:r w:rsidRPr="00093E07">
        <w:t>gaps</w:t>
      </w:r>
      <w:proofErr w:type="spellEnd"/>
      <w:r w:rsidRPr="00093E07">
        <w:t>“, žádoucí návaznosti anebo naopak eliminovat nežádoucí překryvy či duplicity apod.);</w:t>
      </w:r>
    </w:p>
    <w:p w14:paraId="209E2EA9" w14:textId="77777777" w:rsidR="00B109EB" w:rsidRPr="00093E07" w:rsidRDefault="00B109EB" w:rsidP="00B109EB">
      <w:pPr>
        <w:pStyle w:val="Odstavecseseznamem"/>
        <w:numPr>
          <w:ilvl w:val="0"/>
          <w:numId w:val="0"/>
        </w:numPr>
        <w:spacing w:line="240" w:lineRule="auto"/>
        <w:ind w:left="170"/>
        <w:contextualSpacing w:val="0"/>
        <w:jc w:val="both"/>
      </w:pPr>
    </w:p>
    <w:p w14:paraId="325279EB" w14:textId="707361A1" w:rsidR="009C249A" w:rsidRDefault="009C249A" w:rsidP="00B109EB">
      <w:pPr>
        <w:pStyle w:val="Odstavecseseznamem"/>
        <w:numPr>
          <w:ilvl w:val="0"/>
          <w:numId w:val="33"/>
        </w:numPr>
        <w:spacing w:line="240" w:lineRule="auto"/>
        <w:ind w:left="360"/>
        <w:contextualSpacing w:val="0"/>
        <w:jc w:val="both"/>
      </w:pPr>
      <w:r w:rsidRPr="00D72340">
        <w:rPr>
          <w:b/>
        </w:rPr>
        <w:t>Komplexní asistence poskytovaná klientovi při přípravě projektu FP9</w:t>
      </w:r>
      <w:r w:rsidRPr="00093E07">
        <w:t xml:space="preserve"> – konzultace administrativních, finančních a právních aspektů projektu, a to včetně otázek souvisejících s IPR, otevřeným přístupem k publikacím i datům, společensky odpovědným </w:t>
      </w:r>
      <w:proofErr w:type="spellStart"/>
      <w:r w:rsidRPr="00093E07">
        <w:t>VaVaI</w:t>
      </w:r>
      <w:proofErr w:type="spellEnd"/>
      <w:r w:rsidRPr="00093E07">
        <w:t xml:space="preserve">, etikou ve </w:t>
      </w:r>
      <w:proofErr w:type="spellStart"/>
      <w:r w:rsidRPr="00093E07">
        <w:t>VaVaI</w:t>
      </w:r>
      <w:proofErr w:type="spellEnd"/>
      <w:r w:rsidRPr="00093E07">
        <w:t>, genderovými</w:t>
      </w:r>
      <w:r w:rsidR="00C90536">
        <w:t xml:space="preserve"> aspekty ve </w:t>
      </w:r>
      <w:proofErr w:type="spellStart"/>
      <w:r w:rsidR="00C90536">
        <w:t>VaVaI</w:t>
      </w:r>
      <w:proofErr w:type="spellEnd"/>
      <w:r w:rsidR="00C90536">
        <w:t>, komunikací a </w:t>
      </w:r>
      <w:r w:rsidRPr="00093E07">
        <w:t xml:space="preserve">diseminací výsledků </w:t>
      </w:r>
      <w:proofErr w:type="spellStart"/>
      <w:r w:rsidRPr="00093E07">
        <w:t>VaVaI</w:t>
      </w:r>
      <w:proofErr w:type="spellEnd"/>
      <w:r w:rsidRPr="00093E07">
        <w:t xml:space="preserve"> apod., posouzení návrhu či dílčích částí projektu z hlediska splnění požadavků na výzvu i pravidla účasti (např. sestavení konsorcia, aplikace rozpočtových pravidel, celková konzistentnost a srozumitelnost návrhu projektu apod.);</w:t>
      </w:r>
    </w:p>
    <w:p w14:paraId="1D2E51FD" w14:textId="77777777" w:rsidR="00393FC4" w:rsidRPr="00093E07" w:rsidRDefault="00393FC4" w:rsidP="00B109EB">
      <w:pPr>
        <w:pStyle w:val="Odstavecseseznamem"/>
        <w:numPr>
          <w:ilvl w:val="0"/>
          <w:numId w:val="0"/>
        </w:numPr>
        <w:spacing w:line="240" w:lineRule="auto"/>
        <w:ind w:left="170"/>
        <w:contextualSpacing w:val="0"/>
        <w:jc w:val="both"/>
      </w:pPr>
    </w:p>
    <w:p w14:paraId="4921AE91" w14:textId="339C0236" w:rsidR="009C249A" w:rsidRPr="00393FC4" w:rsidRDefault="009C249A" w:rsidP="00B109EB">
      <w:pPr>
        <w:pStyle w:val="Odstavecseseznamem"/>
        <w:numPr>
          <w:ilvl w:val="0"/>
          <w:numId w:val="33"/>
        </w:numPr>
        <w:spacing w:line="240" w:lineRule="auto"/>
        <w:ind w:left="360"/>
        <w:contextualSpacing w:val="0"/>
        <w:jc w:val="both"/>
      </w:pPr>
      <w:r w:rsidRPr="00093E07">
        <w:t xml:space="preserve">Zvláštní pozornost bude věnována </w:t>
      </w:r>
      <w:r w:rsidRPr="00D72340">
        <w:rPr>
          <w:b/>
        </w:rPr>
        <w:t>práci s žadateli při přípravě individuálních projektů ERC</w:t>
      </w:r>
      <w:r w:rsidRPr="00093E07">
        <w:t>, kde byl již vytvořen i komplexní systém podpory, od posouzení vhodnosti záměru až po přípravu na pohovor v B</w:t>
      </w:r>
      <w:r w:rsidR="00C90536">
        <w:t>ruselu; a dále také žadatelům o </w:t>
      </w:r>
      <w:r w:rsidRPr="00093E07">
        <w:t xml:space="preserve">podporu z nástrojů </w:t>
      </w:r>
      <w:r w:rsidRPr="00D72340">
        <w:rPr>
          <w:b/>
        </w:rPr>
        <w:t xml:space="preserve">MSCA, EIC Akcelerátor, </w:t>
      </w:r>
      <w:proofErr w:type="spellStart"/>
      <w:r w:rsidRPr="00D72340">
        <w:rPr>
          <w:b/>
        </w:rPr>
        <w:t>Widening</w:t>
      </w:r>
      <w:proofErr w:type="spellEnd"/>
      <w:r w:rsidRPr="00D72340">
        <w:rPr>
          <w:b/>
        </w:rPr>
        <w:t xml:space="preserve"> a koordinátorům konsorciálních projektů FP9</w:t>
      </w:r>
      <w:r w:rsidRPr="00B109EB">
        <w:t>;</w:t>
      </w:r>
    </w:p>
    <w:p w14:paraId="150C2A50" w14:textId="77777777" w:rsidR="00393FC4" w:rsidRPr="00093E07" w:rsidRDefault="00393FC4" w:rsidP="00B109EB">
      <w:pPr>
        <w:pStyle w:val="Odstavecseseznamem"/>
        <w:numPr>
          <w:ilvl w:val="0"/>
          <w:numId w:val="0"/>
        </w:numPr>
        <w:spacing w:line="240" w:lineRule="auto"/>
        <w:ind w:left="170"/>
        <w:contextualSpacing w:val="0"/>
        <w:jc w:val="both"/>
      </w:pPr>
    </w:p>
    <w:p w14:paraId="356D2628" w14:textId="77777777" w:rsidR="009C249A" w:rsidRDefault="009C249A" w:rsidP="00B109EB">
      <w:pPr>
        <w:pStyle w:val="Odstavecseseznamem"/>
        <w:numPr>
          <w:ilvl w:val="0"/>
          <w:numId w:val="33"/>
        </w:numPr>
        <w:spacing w:line="240" w:lineRule="auto"/>
        <w:ind w:left="360"/>
        <w:contextualSpacing w:val="0"/>
        <w:jc w:val="both"/>
      </w:pPr>
      <w:r w:rsidRPr="00D72340">
        <w:rPr>
          <w:b/>
        </w:rPr>
        <w:t>Komplexní asistence ve fázi řešení projektu</w:t>
      </w:r>
      <w:r w:rsidRPr="00093E07">
        <w:t xml:space="preserve"> zahrne pomoc a řešení problémů např. při vykazování nákladů, přípravě průběžných / závěrečných zpráv o řešení projektu, asistence při řešení problémů v řešitelském konsorcium souvisejících s konsorciálními smlouvami, IPR apod.;</w:t>
      </w:r>
    </w:p>
    <w:p w14:paraId="0EBFE98D" w14:textId="77777777" w:rsidR="00393FC4" w:rsidRPr="00093E07" w:rsidRDefault="00393FC4" w:rsidP="00B109EB">
      <w:pPr>
        <w:pStyle w:val="Odstavecseseznamem"/>
        <w:numPr>
          <w:ilvl w:val="0"/>
          <w:numId w:val="0"/>
        </w:numPr>
        <w:spacing w:line="240" w:lineRule="auto"/>
        <w:ind w:left="170"/>
        <w:contextualSpacing w:val="0"/>
        <w:jc w:val="both"/>
      </w:pPr>
    </w:p>
    <w:p w14:paraId="1FAA51D7" w14:textId="77777777" w:rsidR="009C249A" w:rsidRDefault="009C249A" w:rsidP="00B109EB">
      <w:pPr>
        <w:pStyle w:val="Odstavecseseznamem"/>
        <w:numPr>
          <w:ilvl w:val="0"/>
          <w:numId w:val="33"/>
        </w:numPr>
        <w:spacing w:line="240" w:lineRule="auto"/>
        <w:ind w:left="360"/>
        <w:contextualSpacing w:val="0"/>
        <w:jc w:val="both"/>
      </w:pPr>
      <w:r w:rsidRPr="00D72340">
        <w:rPr>
          <w:b/>
        </w:rPr>
        <w:t>Pro</w:t>
      </w:r>
      <w:r w:rsidRPr="00093E07">
        <w:t xml:space="preserve"> </w:t>
      </w:r>
      <w:r w:rsidRPr="00D72340">
        <w:rPr>
          <w:b/>
        </w:rPr>
        <w:t>podniky – a zejména pro malé a střední podniky bude zajištěno personalizované poradenství, konzultace a </w:t>
      </w:r>
      <w:proofErr w:type="spellStart"/>
      <w:r w:rsidRPr="00D72340">
        <w:rPr>
          <w:b/>
        </w:rPr>
        <w:t>mentoring</w:t>
      </w:r>
      <w:proofErr w:type="spellEnd"/>
      <w:r w:rsidRPr="00093E07">
        <w:t xml:space="preserve"> sítě EEN k projektům podporovaným z nástrojů EIC v rámci FP9 a i projektům podporovaným v rámci programů mezinárodní spolupráce ve </w:t>
      </w:r>
      <w:proofErr w:type="spellStart"/>
      <w:r w:rsidRPr="00093E07">
        <w:t>VaVaI</w:t>
      </w:r>
      <w:proofErr w:type="spellEnd"/>
      <w:r w:rsidRPr="00093E07">
        <w:t xml:space="preserve"> implementovaným za účelem podpory aplikovaného výzkumu, experimentálního vývoje a inovací v podnikatelské sféře – zejména programy EUREKA a </w:t>
      </w:r>
      <w:proofErr w:type="spellStart"/>
      <w:r w:rsidRPr="00093E07">
        <w:t>Eurostars</w:t>
      </w:r>
      <w:proofErr w:type="spellEnd"/>
      <w:r w:rsidRPr="00093E07">
        <w:t>;</w:t>
      </w:r>
    </w:p>
    <w:p w14:paraId="6F70DE49" w14:textId="77777777" w:rsidR="00B109EB" w:rsidRDefault="00B109EB" w:rsidP="00B109EB">
      <w:pPr>
        <w:pStyle w:val="Odstavecseseznamem"/>
        <w:numPr>
          <w:ilvl w:val="0"/>
          <w:numId w:val="0"/>
        </w:numPr>
        <w:spacing w:line="240" w:lineRule="auto"/>
        <w:ind w:left="360"/>
        <w:contextualSpacing w:val="0"/>
        <w:jc w:val="both"/>
      </w:pPr>
    </w:p>
    <w:p w14:paraId="3121C3AE" w14:textId="77777777" w:rsidR="009C249A" w:rsidRDefault="009C249A" w:rsidP="00B109EB">
      <w:pPr>
        <w:pStyle w:val="Odstavecseseznamem"/>
        <w:numPr>
          <w:ilvl w:val="0"/>
          <w:numId w:val="33"/>
        </w:numPr>
        <w:spacing w:line="240" w:lineRule="auto"/>
        <w:ind w:left="360"/>
        <w:contextualSpacing w:val="0"/>
        <w:jc w:val="both"/>
      </w:pPr>
      <w:r w:rsidRPr="00093E07">
        <w:t xml:space="preserve">Ve spolupráci s NKC budou klientům poskytovány v neposlední řadě rovněž </w:t>
      </w:r>
      <w:r w:rsidRPr="00D72340">
        <w:rPr>
          <w:b/>
        </w:rPr>
        <w:t>konzultace k požadavkům na</w:t>
      </w:r>
      <w:r w:rsidRPr="00093E07">
        <w:t xml:space="preserve"> </w:t>
      </w:r>
      <w:r w:rsidRPr="00D72340">
        <w:rPr>
          <w:b/>
        </w:rPr>
        <w:t xml:space="preserve">ošetření genderové rovnosti ve </w:t>
      </w:r>
      <w:proofErr w:type="spellStart"/>
      <w:r w:rsidRPr="00D72340">
        <w:rPr>
          <w:b/>
        </w:rPr>
        <w:t>VaVaI</w:t>
      </w:r>
      <w:proofErr w:type="spellEnd"/>
      <w:r w:rsidRPr="00D72340">
        <w:rPr>
          <w:b/>
        </w:rPr>
        <w:t xml:space="preserve"> v projektech FP9</w:t>
      </w:r>
      <w:r w:rsidRPr="00093E07">
        <w:t xml:space="preserve"> – návazně na legislativní ustanovení a pravidla realizace FP9;</w:t>
      </w:r>
    </w:p>
    <w:p w14:paraId="168E3A59" w14:textId="77777777" w:rsidR="00393FC4" w:rsidRPr="00093E07" w:rsidRDefault="00393FC4" w:rsidP="00B109EB">
      <w:pPr>
        <w:pStyle w:val="Odstavecseseznamem"/>
        <w:numPr>
          <w:ilvl w:val="0"/>
          <w:numId w:val="0"/>
        </w:numPr>
        <w:spacing w:line="240" w:lineRule="auto"/>
        <w:ind w:left="170"/>
        <w:contextualSpacing w:val="0"/>
        <w:jc w:val="both"/>
      </w:pPr>
    </w:p>
    <w:p w14:paraId="38C3A778" w14:textId="5D4FE3E1" w:rsidR="009C249A" w:rsidRDefault="009C249A" w:rsidP="00B109EB">
      <w:pPr>
        <w:pStyle w:val="Odstavecseseznamem"/>
        <w:numPr>
          <w:ilvl w:val="0"/>
          <w:numId w:val="33"/>
        </w:numPr>
        <w:spacing w:line="240" w:lineRule="auto"/>
        <w:ind w:left="360"/>
        <w:contextualSpacing w:val="0"/>
        <w:jc w:val="both"/>
      </w:pPr>
      <w:r w:rsidRPr="00093E07">
        <w:t xml:space="preserve">NICER bude nabízet taktéž </w:t>
      </w:r>
      <w:r w:rsidRPr="00D72340">
        <w:rPr>
          <w:b/>
        </w:rPr>
        <w:t>personalizované poradenství pro výzkumné organizace či jejich organizační součásti se solidním, ale prozatím ne zcela využitým potenciálem pro zapojení do FP9 –</w:t>
      </w:r>
      <w:r w:rsidRPr="00093E07">
        <w:t xml:space="preserve"> ve spolupráci s managementem výzkumné instituce se bude jednat např. o vytvoření profilu a priorit pro mezinár</w:t>
      </w:r>
      <w:r w:rsidR="00393FC4">
        <w:t xml:space="preserve">odní spolupráci ve </w:t>
      </w:r>
      <w:proofErr w:type="spellStart"/>
      <w:r w:rsidR="00393FC4">
        <w:t>VaVaI</w:t>
      </w:r>
      <w:proofErr w:type="spellEnd"/>
      <w:r w:rsidR="00393FC4">
        <w:t xml:space="preserve"> apod.;</w:t>
      </w:r>
    </w:p>
    <w:p w14:paraId="69613009" w14:textId="77777777" w:rsidR="00393FC4" w:rsidRPr="00093E07" w:rsidRDefault="00393FC4" w:rsidP="00B109EB">
      <w:pPr>
        <w:pStyle w:val="Odstavecseseznamem"/>
        <w:numPr>
          <w:ilvl w:val="0"/>
          <w:numId w:val="0"/>
        </w:numPr>
        <w:spacing w:line="240" w:lineRule="auto"/>
        <w:ind w:left="170"/>
        <w:contextualSpacing w:val="0"/>
        <w:jc w:val="both"/>
      </w:pPr>
    </w:p>
    <w:p w14:paraId="2661EDCA" w14:textId="77777777" w:rsidR="009C249A" w:rsidRPr="00093E07" w:rsidRDefault="009C249A" w:rsidP="00B109EB">
      <w:pPr>
        <w:pStyle w:val="Odstavecseseznamem"/>
        <w:numPr>
          <w:ilvl w:val="0"/>
          <w:numId w:val="33"/>
        </w:numPr>
        <w:spacing w:line="240" w:lineRule="auto"/>
        <w:ind w:left="360"/>
        <w:contextualSpacing w:val="0"/>
        <w:jc w:val="both"/>
      </w:pPr>
      <w:r w:rsidRPr="00093E07">
        <w:t>Rozvíjena bude i</w:t>
      </w:r>
      <w:r w:rsidRPr="00D72340">
        <w:rPr>
          <w:b/>
        </w:rPr>
        <w:t xml:space="preserve"> spolupráce a výměna zkušeností s pracovišti projektové podpory výzkumných organizací</w:t>
      </w:r>
      <w:r w:rsidRPr="00093E07">
        <w:t xml:space="preserve"> ČR a dalšími pracovišti informační a konzultační služby v oblasti mezinárodní spolupráce ve </w:t>
      </w:r>
      <w:proofErr w:type="spellStart"/>
      <w:r w:rsidRPr="00093E07">
        <w:t>VaVaI</w:t>
      </w:r>
      <w:proofErr w:type="spellEnd"/>
      <w:r w:rsidRPr="00093E07">
        <w:t>.</w:t>
      </w:r>
    </w:p>
    <w:p w14:paraId="213E7F81" w14:textId="2929AAA5" w:rsidR="009C249A" w:rsidRPr="00D32DC0" w:rsidRDefault="009C249A" w:rsidP="00B109EB">
      <w:pPr>
        <w:spacing w:before="240" w:after="240" w:line="240" w:lineRule="auto"/>
        <w:jc w:val="both"/>
        <w:rPr>
          <w:b/>
        </w:rPr>
      </w:pPr>
      <w:r w:rsidRPr="00D32DC0">
        <w:rPr>
          <w:b/>
        </w:rPr>
        <w:t xml:space="preserve">D. Monitoring a vyhodnocování zapojení českých výzkumných organizací a podniků do rámcových programů EU a </w:t>
      </w:r>
      <w:r w:rsidR="00B109EB" w:rsidRPr="00D32DC0">
        <w:rPr>
          <w:b/>
        </w:rPr>
        <w:t>zajištění</w:t>
      </w:r>
      <w:r w:rsidRPr="00D32DC0">
        <w:rPr>
          <w:b/>
        </w:rPr>
        <w:t xml:space="preserve"> příslušných datových zdrojů a datové a analytické podpory činností NCP</w:t>
      </w:r>
    </w:p>
    <w:p w14:paraId="5D0602B3" w14:textId="36826AD4" w:rsidR="00393FC4" w:rsidRDefault="009C249A" w:rsidP="00393FC4">
      <w:pPr>
        <w:spacing w:after="0" w:line="240" w:lineRule="auto"/>
        <w:jc w:val="both"/>
      </w:pPr>
      <w:r w:rsidRPr="00093E07">
        <w:t xml:space="preserve">NICER bude zabezpečovat </w:t>
      </w:r>
      <w:r w:rsidRPr="00093E07">
        <w:rPr>
          <w:b/>
        </w:rPr>
        <w:t>monitoring účasti výzkumných organizací a podniků ČR v FP9 jakož i v předcházejících rámcových programech EU,</w:t>
      </w:r>
      <w:r w:rsidRPr="00093E07">
        <w:t xml:space="preserve"> zpracovávat</w:t>
      </w:r>
      <w:r w:rsidRPr="00093E07">
        <w:rPr>
          <w:b/>
        </w:rPr>
        <w:t xml:space="preserve"> </w:t>
      </w:r>
      <w:r w:rsidRPr="00093E07">
        <w:t xml:space="preserve">přehledy, resp. analýzy zapojení ČR a dalších států do FP9 a podílet se na tvorbě strategických studií a podkladů pro otázky související s ERA, </w:t>
      </w:r>
      <w:r w:rsidR="00B109EB">
        <w:t>jež</w:t>
      </w:r>
      <w:r w:rsidRPr="00093E07">
        <w:t xml:space="preserve"> usnadní strategické rozhodování a formulaci priorit pro efektivní řízení politiky v souvislosti se zapojováním ČR do programů mezinárodní spolupráce ve </w:t>
      </w:r>
      <w:proofErr w:type="spellStart"/>
      <w:r w:rsidRPr="00093E07">
        <w:t>VaVaI</w:t>
      </w:r>
      <w:proofErr w:type="spellEnd"/>
      <w:r w:rsidRPr="00093E07">
        <w:t>. V závislosti na kvalitě a dostupnosti datových zdrojů se bude NICER podílet mj. i na analýzách výstupů vzniklých z řešení projektů FP9, a to zejména publikačních výstupů, popř. i výstupů, které se týkají</w:t>
      </w:r>
      <w:r w:rsidR="00393FC4">
        <w:t xml:space="preserve"> průmyslově právní ochrany IPR.</w:t>
      </w:r>
    </w:p>
    <w:p w14:paraId="5264CAA6" w14:textId="4AA2734E" w:rsidR="009C249A" w:rsidRDefault="009C249A" w:rsidP="00393FC4">
      <w:pPr>
        <w:spacing w:after="0" w:line="240" w:lineRule="auto"/>
        <w:jc w:val="both"/>
      </w:pPr>
      <w:r w:rsidRPr="00093E07">
        <w:lastRenderedPageBreak/>
        <w:t>Činnosti související s monitoringem účasti ČR v FP9 a analýzou výstupů budou zaměřeny na:</w:t>
      </w:r>
    </w:p>
    <w:p w14:paraId="27D3A92A" w14:textId="77777777" w:rsidR="00B109EB" w:rsidRPr="00093E07" w:rsidRDefault="00B109EB" w:rsidP="00393FC4">
      <w:pPr>
        <w:spacing w:after="0" w:line="240" w:lineRule="auto"/>
        <w:jc w:val="both"/>
      </w:pPr>
    </w:p>
    <w:p w14:paraId="62C41C4F" w14:textId="77777777" w:rsidR="009C249A" w:rsidRDefault="009C249A" w:rsidP="00B109EB">
      <w:pPr>
        <w:pStyle w:val="Odstavecseseznamem"/>
        <w:numPr>
          <w:ilvl w:val="0"/>
          <w:numId w:val="34"/>
        </w:numPr>
        <w:spacing w:line="240" w:lineRule="auto"/>
        <w:ind w:left="360"/>
        <w:contextualSpacing w:val="0"/>
        <w:jc w:val="both"/>
      </w:pPr>
      <w:r w:rsidRPr="00D72340">
        <w:rPr>
          <w:b/>
        </w:rPr>
        <w:t>Odborné analýzy, stanoviska a podkladové studie</w:t>
      </w:r>
      <w:r w:rsidRPr="00093E07">
        <w:t xml:space="preserve"> a další dokumenty týkající se účasti ČR a dalších zúčastněných států v FP9 pro orgány státní správy ČR i další externí zájemce – např. manažery výzkumných organizací, managementy podniků, představitele národních technologických platforem, projektové manažery a pracovníky projektové podpory apod. – na základě jejich zadání a požadavků – např. analýzy podle výzkumných sektorů a podle typů účastnických subjektů, účastnická a finanční úspěšnost, regionální rozdělení apod.;</w:t>
      </w:r>
    </w:p>
    <w:p w14:paraId="002CAF99" w14:textId="77777777" w:rsidR="00393FC4" w:rsidRPr="00093E07" w:rsidRDefault="00393FC4" w:rsidP="00B109EB">
      <w:pPr>
        <w:pStyle w:val="Odstavecseseznamem"/>
        <w:numPr>
          <w:ilvl w:val="0"/>
          <w:numId w:val="0"/>
        </w:numPr>
        <w:spacing w:line="240" w:lineRule="auto"/>
        <w:contextualSpacing w:val="0"/>
        <w:jc w:val="both"/>
      </w:pPr>
    </w:p>
    <w:p w14:paraId="57EA9444" w14:textId="77777777" w:rsidR="009C249A" w:rsidRDefault="009C249A" w:rsidP="00B109EB">
      <w:pPr>
        <w:pStyle w:val="Odstavecseseznamem"/>
        <w:numPr>
          <w:ilvl w:val="0"/>
          <w:numId w:val="34"/>
        </w:numPr>
        <w:spacing w:line="240" w:lineRule="auto"/>
        <w:ind w:left="360"/>
        <w:contextualSpacing w:val="0"/>
        <w:jc w:val="both"/>
      </w:pPr>
      <w:r w:rsidRPr="00D72340">
        <w:rPr>
          <w:b/>
        </w:rPr>
        <w:t>Odborné analýzy o účasti ČR v FP9 pro potřeby delegátů / NCP ČR do programového výboru FP9</w:t>
      </w:r>
      <w:r w:rsidRPr="00093E07">
        <w:t>, co do zajišťování podkladů pro jednání programového výboru, přednáškovou činnost v rámci národních informačních dní pořádaných NICER k aspektům FP9 apod.;</w:t>
      </w:r>
    </w:p>
    <w:p w14:paraId="4D594358" w14:textId="77777777" w:rsidR="00393FC4" w:rsidRPr="00093E07" w:rsidRDefault="00393FC4" w:rsidP="00B109EB">
      <w:pPr>
        <w:pStyle w:val="Odstavecseseznamem"/>
        <w:numPr>
          <w:ilvl w:val="0"/>
          <w:numId w:val="0"/>
        </w:numPr>
        <w:spacing w:line="240" w:lineRule="auto"/>
        <w:contextualSpacing w:val="0"/>
        <w:jc w:val="both"/>
      </w:pPr>
    </w:p>
    <w:p w14:paraId="02F25F34" w14:textId="77777777" w:rsidR="009C249A" w:rsidRDefault="009C249A" w:rsidP="00B109EB">
      <w:pPr>
        <w:pStyle w:val="Odstavecseseznamem"/>
        <w:numPr>
          <w:ilvl w:val="0"/>
          <w:numId w:val="34"/>
        </w:numPr>
        <w:spacing w:line="240" w:lineRule="auto"/>
        <w:ind w:left="360"/>
        <w:contextualSpacing w:val="0"/>
        <w:jc w:val="both"/>
      </w:pPr>
      <w:r w:rsidRPr="00D72340">
        <w:rPr>
          <w:b/>
        </w:rPr>
        <w:t xml:space="preserve">Odborné analýzy výstupů vzniklých z řešení projektů FP9, </w:t>
      </w:r>
      <w:r w:rsidRPr="00093E07">
        <w:t>a to zejména publikačních výstupů, popř. i výstupů, které se týkají průmyslově právní ochrany IPR;</w:t>
      </w:r>
    </w:p>
    <w:p w14:paraId="74795ABD" w14:textId="77777777" w:rsidR="00393FC4" w:rsidRPr="00093E07" w:rsidRDefault="00393FC4" w:rsidP="00B109EB">
      <w:pPr>
        <w:pStyle w:val="Odstavecseseznamem"/>
        <w:numPr>
          <w:ilvl w:val="0"/>
          <w:numId w:val="0"/>
        </w:numPr>
        <w:spacing w:line="240" w:lineRule="auto"/>
        <w:contextualSpacing w:val="0"/>
        <w:jc w:val="both"/>
      </w:pPr>
    </w:p>
    <w:p w14:paraId="1D4309BD" w14:textId="4FF9671C" w:rsidR="009C249A" w:rsidRDefault="009C249A" w:rsidP="00B109EB">
      <w:pPr>
        <w:pStyle w:val="Odstavecseseznamem"/>
        <w:numPr>
          <w:ilvl w:val="0"/>
          <w:numId w:val="34"/>
        </w:numPr>
        <w:spacing w:line="240" w:lineRule="auto"/>
        <w:ind w:left="360"/>
        <w:contextualSpacing w:val="0"/>
        <w:jc w:val="both"/>
      </w:pPr>
      <w:r w:rsidRPr="00D72340">
        <w:rPr>
          <w:b/>
        </w:rPr>
        <w:t>Spolupráce s oddělením strategických studií TC AV</w:t>
      </w:r>
      <w:r w:rsidR="00F10FF9">
        <w:rPr>
          <w:b/>
        </w:rPr>
        <w:t xml:space="preserve"> </w:t>
      </w:r>
      <w:r w:rsidRPr="00D72340">
        <w:rPr>
          <w:b/>
        </w:rPr>
        <w:t>ČR</w:t>
      </w:r>
      <w:r w:rsidRPr="00093E07">
        <w:t xml:space="preserve"> jakožto s realizátorem projektu sdílených činností zaměřeného na rozvoj a využívání strategické inteligence pro přípravu, tvorbu a implementaci politiky </w:t>
      </w:r>
      <w:proofErr w:type="spellStart"/>
      <w:r w:rsidRPr="00093E07">
        <w:t>VaVaI</w:t>
      </w:r>
      <w:proofErr w:type="spellEnd"/>
      <w:r w:rsidRPr="00093E07">
        <w:t xml:space="preserve"> – spolupráce na zpracovávání systémových analýz ve </w:t>
      </w:r>
      <w:proofErr w:type="spellStart"/>
      <w:r w:rsidRPr="00093E07">
        <w:t>VaVaI</w:t>
      </w:r>
      <w:proofErr w:type="spellEnd"/>
      <w:r w:rsidRPr="00093E07">
        <w:t xml:space="preserve">, na jejichž základě se připravují koncepční podklady pro přijímání informovaných politických rozhodování orgánů státní správy ČR, regionálních samospráv nebo orgánů EU při formulaci politiky </w:t>
      </w:r>
      <w:proofErr w:type="spellStart"/>
      <w:r w:rsidRPr="00093E07">
        <w:t>VaVaI</w:t>
      </w:r>
      <w:proofErr w:type="spellEnd"/>
      <w:r w:rsidRPr="00093E07">
        <w:t>.</w:t>
      </w:r>
    </w:p>
    <w:p w14:paraId="6E9AEFBB" w14:textId="77777777" w:rsidR="00393FC4" w:rsidRPr="00093E07" w:rsidRDefault="00393FC4" w:rsidP="00393FC4">
      <w:pPr>
        <w:pStyle w:val="Odstavecseseznamem"/>
        <w:numPr>
          <w:ilvl w:val="0"/>
          <w:numId w:val="0"/>
        </w:numPr>
        <w:spacing w:line="240" w:lineRule="auto"/>
        <w:ind w:left="720"/>
        <w:contextualSpacing w:val="0"/>
        <w:jc w:val="both"/>
      </w:pPr>
    </w:p>
    <w:p w14:paraId="48EBC880" w14:textId="466DB0F2" w:rsidR="00393FC4" w:rsidRDefault="009C249A" w:rsidP="00393FC4">
      <w:pPr>
        <w:spacing w:after="0" w:line="240" w:lineRule="auto"/>
        <w:jc w:val="both"/>
      </w:pPr>
      <w:r w:rsidRPr="00093E07">
        <w:t>Klíčovým a zcela nezbytným předpokladem pro vykonávání agendy monitoringu účasti v FP9,</w:t>
      </w:r>
      <w:r w:rsidR="00792E33">
        <w:t xml:space="preserve"> včetně analýz výstupů FP9 (a rovněž </w:t>
      </w:r>
      <w:r w:rsidRPr="00093E07">
        <w:t>předchozích rámcových programů EU), je</w:t>
      </w:r>
      <w:r w:rsidRPr="00093E07">
        <w:rPr>
          <w:b/>
        </w:rPr>
        <w:t xml:space="preserve"> </w:t>
      </w:r>
      <w:r w:rsidR="00792E33">
        <w:rPr>
          <w:b/>
        </w:rPr>
        <w:t>zabezpečení</w:t>
      </w:r>
      <w:r w:rsidRPr="00093E07">
        <w:rPr>
          <w:b/>
        </w:rPr>
        <w:t xml:space="preserve"> plného pří</w:t>
      </w:r>
      <w:r w:rsidR="00792E33">
        <w:rPr>
          <w:b/>
        </w:rPr>
        <w:t>stupu k datovým zdrojům Evropské komise</w:t>
      </w:r>
      <w:r w:rsidRPr="00093E07">
        <w:t xml:space="preserve">, </w:t>
      </w:r>
      <w:r w:rsidR="00792E33">
        <w:t>které</w:t>
      </w:r>
      <w:r w:rsidRPr="00093E07">
        <w:t xml:space="preserve"> budou obsahovat aktuální informace vztahující se k návrhům projektů a žadatelům, grantovým dohodám a příjemcům finanční podpory z FP9, výstupům projektů FP9 a k dalším informacím souvisejícím s FP9</w:t>
      </w:r>
      <w:r w:rsidRPr="00093E07">
        <w:rPr>
          <w:i/>
        </w:rPr>
        <w:t>.</w:t>
      </w:r>
      <w:r w:rsidRPr="00093E07">
        <w:t xml:space="preserve"> V současnosti jsou hlavními nástroji využívanými NICER relační databáze </w:t>
      </w:r>
      <w:proofErr w:type="spellStart"/>
      <w:r w:rsidRPr="00093E07">
        <w:t>eCORDA</w:t>
      </w:r>
      <w:proofErr w:type="spellEnd"/>
      <w:r w:rsidRPr="00093E07">
        <w:t xml:space="preserve"> (</w:t>
      </w:r>
      <w:proofErr w:type="spellStart"/>
      <w:r w:rsidRPr="00093E07">
        <w:rPr>
          <w:i/>
        </w:rPr>
        <w:t>External</w:t>
      </w:r>
      <w:proofErr w:type="spellEnd"/>
      <w:r w:rsidRPr="00093E07">
        <w:rPr>
          <w:i/>
        </w:rPr>
        <w:t xml:space="preserve"> </w:t>
      </w:r>
      <w:proofErr w:type="spellStart"/>
      <w:r w:rsidRPr="00093E07">
        <w:rPr>
          <w:i/>
        </w:rPr>
        <w:t>Common</w:t>
      </w:r>
      <w:proofErr w:type="spellEnd"/>
      <w:r w:rsidRPr="00093E07">
        <w:rPr>
          <w:i/>
        </w:rPr>
        <w:t xml:space="preserve"> </w:t>
      </w:r>
      <w:proofErr w:type="spellStart"/>
      <w:r w:rsidRPr="00093E07">
        <w:rPr>
          <w:i/>
        </w:rPr>
        <w:t>Research</w:t>
      </w:r>
      <w:proofErr w:type="spellEnd"/>
      <w:r w:rsidRPr="00093E07">
        <w:rPr>
          <w:i/>
        </w:rPr>
        <w:t xml:space="preserve"> Data </w:t>
      </w:r>
      <w:proofErr w:type="spellStart"/>
      <w:r w:rsidRPr="00093E07">
        <w:rPr>
          <w:i/>
        </w:rPr>
        <w:t>Warehouse</w:t>
      </w:r>
      <w:proofErr w:type="spellEnd"/>
      <w:r w:rsidRPr="00093E07">
        <w:t>), které spravuje EK. Pro vytváření analýz a k monitoringu účasti ČR v FP9 budou využity tak</w:t>
      </w:r>
      <w:r w:rsidR="00792E33">
        <w:t>t</w:t>
      </w:r>
      <w:r w:rsidRPr="00093E07">
        <w:t>é</w:t>
      </w:r>
      <w:r w:rsidR="00792E33">
        <w:t>ž</w:t>
      </w:r>
      <w:r w:rsidRPr="00093E07">
        <w:t xml:space="preserve"> další zdroje dat poskytované v oblastech </w:t>
      </w:r>
      <w:proofErr w:type="spellStart"/>
      <w:r w:rsidRPr="00093E07">
        <w:t>VaVaI</w:t>
      </w:r>
      <w:proofErr w:type="spellEnd"/>
      <w:r w:rsidRPr="00093E07">
        <w:t xml:space="preserve"> – data z databáze CORDIS, data o předešlých rámcových programech EU dostupná </w:t>
      </w:r>
      <w:r w:rsidR="00792E33">
        <w:t>z interaktivní vizualizace Evropské komise</w:t>
      </w:r>
      <w:r w:rsidRPr="00093E07">
        <w:t xml:space="preserve"> </w:t>
      </w:r>
      <w:proofErr w:type="spellStart"/>
      <w:r w:rsidRPr="00093E07">
        <w:t>Ho</w:t>
      </w:r>
      <w:r w:rsidR="00792E33">
        <w:t>rizon</w:t>
      </w:r>
      <w:proofErr w:type="spellEnd"/>
      <w:r w:rsidR="00792E33">
        <w:t xml:space="preserve"> </w:t>
      </w:r>
      <w:proofErr w:type="spellStart"/>
      <w:r w:rsidR="00792E33">
        <w:t>Dashboard</w:t>
      </w:r>
      <w:proofErr w:type="spellEnd"/>
      <w:r w:rsidR="00792E33">
        <w:t>, data dostupná v</w:t>
      </w:r>
      <w:r w:rsidRPr="00093E07">
        <w:t xml:space="preserve"> EU Open Data </w:t>
      </w:r>
      <w:proofErr w:type="spellStart"/>
      <w:r w:rsidRPr="00093E07">
        <w:t>Portal</w:t>
      </w:r>
      <w:proofErr w:type="spellEnd"/>
      <w:r w:rsidRPr="00093E07">
        <w:t>, data, resp. analýzy Českého statistického úřadu, data ARES (</w:t>
      </w:r>
      <w:r w:rsidRPr="00093E07">
        <w:rPr>
          <w:i/>
        </w:rPr>
        <w:t>Administrativní registr ekonomických subjektů Ministerstva financí</w:t>
      </w:r>
      <w:r w:rsidRPr="00093E07">
        <w:t xml:space="preserve">), data </w:t>
      </w:r>
      <w:r w:rsidR="00792E33">
        <w:t xml:space="preserve">EUROSTAT, data OECD, data </w:t>
      </w:r>
      <w:r w:rsidRPr="00093E07">
        <w:t xml:space="preserve">dostupná z Informačního systému výzkumu, experimentálního vývoje a inovací (IS </w:t>
      </w:r>
      <w:proofErr w:type="spellStart"/>
      <w:r w:rsidRPr="00093E07">
        <w:t>VaVaI</w:t>
      </w:r>
      <w:proofErr w:type="spellEnd"/>
      <w:r w:rsidRPr="00093E07">
        <w:t>) a další data dostupná z on-line zdrojů a odborných periodik v tištěné a elektronické podobě.</w:t>
      </w:r>
    </w:p>
    <w:p w14:paraId="4560EC7F" w14:textId="77777777" w:rsidR="00393FC4" w:rsidRPr="00093E07" w:rsidRDefault="00393FC4" w:rsidP="00393FC4">
      <w:pPr>
        <w:spacing w:after="0" w:line="240" w:lineRule="auto"/>
        <w:jc w:val="both"/>
      </w:pPr>
    </w:p>
    <w:p w14:paraId="053780D6" w14:textId="77777777" w:rsidR="009C249A" w:rsidRDefault="009C249A" w:rsidP="00393FC4">
      <w:pPr>
        <w:spacing w:after="0" w:line="240" w:lineRule="auto"/>
        <w:jc w:val="both"/>
      </w:pPr>
      <w:r w:rsidRPr="00093E07">
        <w:t xml:space="preserve">Základem pro tvorbu </w:t>
      </w:r>
      <w:r w:rsidRPr="00093E07">
        <w:rPr>
          <w:b/>
        </w:rPr>
        <w:t>analýz</w:t>
      </w:r>
      <w:r w:rsidRPr="00093E07">
        <w:t xml:space="preserve"> a monitoring účasti ČR a dalších zúčastněných států FP9 a analýz výstupů projektů FP9 s využitím výše uvedených databází, resp. zdrojů dat, budou statistické analýzy četnosti a úspěšnosti v FP9, analýzy faktorů, jež úspěšnost ovlivňují, návrhy indikátorů umožňujících mezinárodní komparativní analýzy a jejich implementace, formování indikátorů měřících vazbu mezi účastí a investicemi do </w:t>
      </w:r>
      <w:proofErr w:type="spellStart"/>
      <w:r w:rsidRPr="00093E07">
        <w:t>VaVaI</w:t>
      </w:r>
      <w:proofErr w:type="spellEnd"/>
      <w:r w:rsidRPr="00093E07">
        <w:t xml:space="preserve"> apod. NICER bude při těchto analýzách a monitoringu využívat </w:t>
      </w:r>
      <w:r w:rsidRPr="00093E07">
        <w:rPr>
          <w:b/>
        </w:rPr>
        <w:t>statistických a zobrazovacích metod</w:t>
      </w:r>
      <w:r w:rsidRPr="00093E07">
        <w:t xml:space="preserve">, jimiž jsou např. vícerozměrná statistika, data </w:t>
      </w:r>
      <w:proofErr w:type="spellStart"/>
      <w:r w:rsidRPr="00093E07">
        <w:t>mining</w:t>
      </w:r>
      <w:proofErr w:type="spellEnd"/>
      <w:r w:rsidRPr="00093E07">
        <w:t>, GIS metody či síťové analýzy, a indikátorů napomáhajících určit nejen kvantitu, ale i kvalitu účasti ČR a dalších zemí v FP9. Monitoring účasti v FP9, analýzy zapojení ČR a ostatních států do FP9 a analýzy výstupů projektů FP9 budou podle vhodnosti reflektovat dokumenty EK související s hodnocením FP9.</w:t>
      </w:r>
    </w:p>
    <w:p w14:paraId="325DAE29" w14:textId="77777777" w:rsidR="00393FC4" w:rsidRPr="00093E07" w:rsidRDefault="00393FC4" w:rsidP="00393FC4">
      <w:pPr>
        <w:spacing w:after="0" w:line="240" w:lineRule="auto"/>
        <w:jc w:val="both"/>
      </w:pPr>
    </w:p>
    <w:p w14:paraId="3281DD51" w14:textId="77777777" w:rsidR="009C249A" w:rsidRPr="00093E07" w:rsidRDefault="009C249A" w:rsidP="00393FC4">
      <w:pPr>
        <w:spacing w:after="0" w:line="240" w:lineRule="auto"/>
        <w:jc w:val="both"/>
      </w:pPr>
      <w:r w:rsidRPr="00093E07">
        <w:t xml:space="preserve">NICER bude nadále pokračovat ve spolupráci se strukturami EK, jakými jsou např. </w:t>
      </w:r>
      <w:proofErr w:type="spellStart"/>
      <w:r w:rsidRPr="00093E07">
        <w:rPr>
          <w:b/>
        </w:rPr>
        <w:t>European</w:t>
      </w:r>
      <w:proofErr w:type="spellEnd"/>
      <w:r w:rsidRPr="00093E07">
        <w:rPr>
          <w:b/>
        </w:rPr>
        <w:t xml:space="preserve"> </w:t>
      </w:r>
      <w:proofErr w:type="spellStart"/>
      <w:r w:rsidRPr="00093E07">
        <w:rPr>
          <w:b/>
        </w:rPr>
        <w:t>Evaluation</w:t>
      </w:r>
      <w:proofErr w:type="spellEnd"/>
      <w:r w:rsidRPr="00093E07">
        <w:rPr>
          <w:b/>
        </w:rPr>
        <w:t xml:space="preserve"> Network</w:t>
      </w:r>
      <w:r w:rsidRPr="00093E07">
        <w:t xml:space="preserve"> či </w:t>
      </w:r>
      <w:proofErr w:type="spellStart"/>
      <w:r w:rsidRPr="00093E07">
        <w:rPr>
          <w:b/>
        </w:rPr>
        <w:t>eCORDA</w:t>
      </w:r>
      <w:proofErr w:type="spellEnd"/>
      <w:r w:rsidRPr="00093E07">
        <w:rPr>
          <w:b/>
        </w:rPr>
        <w:t xml:space="preserve"> User Group</w:t>
      </w:r>
      <w:r w:rsidRPr="00093E07">
        <w:t xml:space="preserve">, jež mají v gesci hodnocení zapojení členských států EU do ERA a rámcových programů EU pro </w:t>
      </w:r>
      <w:proofErr w:type="spellStart"/>
      <w:r w:rsidRPr="00093E07">
        <w:t>VaVaI</w:t>
      </w:r>
      <w:proofErr w:type="spellEnd"/>
      <w:r w:rsidRPr="00093E07">
        <w:t>, připravují ve věcně příslušné oblasti strategické dokumenty anebo jsou odpovědné za vytváření, shromažďování a validaci dat pro účely následných hodnotících a monitorovacích procesů a analýz.</w:t>
      </w:r>
    </w:p>
    <w:p w14:paraId="3B1443A5" w14:textId="77777777" w:rsidR="009C249A" w:rsidRDefault="009C249A" w:rsidP="00393FC4">
      <w:pPr>
        <w:spacing w:after="0" w:line="240" w:lineRule="auto"/>
        <w:jc w:val="both"/>
      </w:pPr>
    </w:p>
    <w:p w14:paraId="1373D4E8" w14:textId="77777777" w:rsidR="009C249A" w:rsidRPr="00D32DC0" w:rsidRDefault="009C249A" w:rsidP="00792E33">
      <w:pPr>
        <w:spacing w:before="240" w:after="240" w:line="240" w:lineRule="auto"/>
        <w:jc w:val="both"/>
        <w:rPr>
          <w:b/>
        </w:rPr>
      </w:pPr>
      <w:r w:rsidRPr="00D32DC0">
        <w:rPr>
          <w:b/>
        </w:rPr>
        <w:lastRenderedPageBreak/>
        <w:t>E. Podpora diseminace výsledků projektů FP9 a jejich popularizace ve společnosti</w:t>
      </w:r>
    </w:p>
    <w:p w14:paraId="7B14C3D4" w14:textId="7D7938F8" w:rsidR="009C249A" w:rsidRDefault="009C249A" w:rsidP="00393FC4">
      <w:pPr>
        <w:spacing w:after="0" w:line="240" w:lineRule="auto"/>
        <w:jc w:val="both"/>
      </w:pPr>
      <w:r w:rsidRPr="00093E07">
        <w:t xml:space="preserve">Jednou z forem podpory zvyšování účasti výzkumných organizací a podniků ČR v projektech mezinárodní spolupráce ve </w:t>
      </w:r>
      <w:proofErr w:type="spellStart"/>
      <w:r w:rsidRPr="00093E07">
        <w:t>VaVaI</w:t>
      </w:r>
      <w:proofErr w:type="spellEnd"/>
      <w:r w:rsidRPr="00093E07">
        <w:t xml:space="preserve"> je podpora </w:t>
      </w:r>
      <w:r w:rsidRPr="00093E07">
        <w:rPr>
          <w:b/>
        </w:rPr>
        <w:t xml:space="preserve">diseminace výsledků projektů </w:t>
      </w:r>
      <w:proofErr w:type="spellStart"/>
      <w:r w:rsidRPr="00093E07">
        <w:rPr>
          <w:b/>
        </w:rPr>
        <w:t>VaVaI</w:t>
      </w:r>
      <w:proofErr w:type="spellEnd"/>
      <w:r w:rsidRPr="00093E07">
        <w:rPr>
          <w:b/>
        </w:rPr>
        <w:t xml:space="preserve"> a jejich popularizace</w:t>
      </w:r>
      <w:r w:rsidRPr="00093E07">
        <w:t xml:space="preserve"> ve společnosti ve světle jejich socioekonomických přínosů a dopadů. Takovéto činnosti napomáhají informovat výzkumnou komunitu, podnikatelské subjekty, jakož i širokou laickou veřejnost o výsledcích </w:t>
      </w:r>
      <w:proofErr w:type="spellStart"/>
      <w:r w:rsidRPr="00093E07">
        <w:t>VaVaI</w:t>
      </w:r>
      <w:proofErr w:type="spellEnd"/>
      <w:r w:rsidRPr="00093E07">
        <w:t xml:space="preserve">, podporují marketing mezinárodní spolupráce ve </w:t>
      </w:r>
      <w:proofErr w:type="spellStart"/>
      <w:r w:rsidRPr="00093E07">
        <w:t>VaVaI</w:t>
      </w:r>
      <w:proofErr w:type="spellEnd"/>
      <w:r w:rsidRPr="00093E07">
        <w:t xml:space="preserve"> a důležitost zapojení do rámcových programů EU. NICER bude poskytovat aktuální informace o výsledcích významných mezinárodních projektů </w:t>
      </w:r>
      <w:proofErr w:type="spellStart"/>
      <w:r w:rsidRPr="00093E07">
        <w:t>VaVaI</w:t>
      </w:r>
      <w:proofErr w:type="spellEnd"/>
      <w:r w:rsidRPr="00093E07">
        <w:t xml:space="preserve"> a dále také šířit povědomí o zapojení výzkumných organizací a podniků ČR do projektů FP9 s cílem zvýšení motivace na straně vědecké a průmyslové komunity a dalších relevantních aktérů k vyšší účasti v FP9. Za tímto účelem se bude NICER zaměřovat zejména na níže uvedené aktivity:</w:t>
      </w:r>
    </w:p>
    <w:p w14:paraId="0C536E70" w14:textId="77777777" w:rsidR="00393FC4" w:rsidRPr="00093E07" w:rsidRDefault="00393FC4" w:rsidP="00393FC4">
      <w:pPr>
        <w:spacing w:after="0" w:line="240" w:lineRule="auto"/>
        <w:jc w:val="both"/>
      </w:pPr>
    </w:p>
    <w:p w14:paraId="12F7CC3C" w14:textId="77777777" w:rsidR="009C249A" w:rsidRDefault="009C249A" w:rsidP="00792E33">
      <w:pPr>
        <w:numPr>
          <w:ilvl w:val="0"/>
          <w:numId w:val="35"/>
        </w:numPr>
        <w:spacing w:after="0" w:line="240" w:lineRule="auto"/>
        <w:ind w:left="360"/>
        <w:jc w:val="both"/>
      </w:pPr>
      <w:r w:rsidRPr="00093E07">
        <w:rPr>
          <w:b/>
        </w:rPr>
        <w:t>Informační moduly na národním webovém portálu pro FP9</w:t>
      </w:r>
      <w:r w:rsidRPr="00093E07">
        <w:t>, jež budou přinášet aktuální informace týkající významných projektů FP9, zejména s účastí českých partnerů a aplikací jejich výsledků v praxi;</w:t>
      </w:r>
    </w:p>
    <w:p w14:paraId="77C07DB3" w14:textId="77777777" w:rsidR="00393FC4" w:rsidRPr="00093E07" w:rsidRDefault="00393FC4" w:rsidP="00792E33">
      <w:pPr>
        <w:spacing w:after="0" w:line="240" w:lineRule="auto"/>
        <w:ind w:left="360"/>
        <w:jc w:val="both"/>
      </w:pPr>
    </w:p>
    <w:p w14:paraId="372448AD" w14:textId="77777777" w:rsidR="009C249A" w:rsidRDefault="009C249A" w:rsidP="00792E33">
      <w:pPr>
        <w:numPr>
          <w:ilvl w:val="0"/>
          <w:numId w:val="35"/>
        </w:numPr>
        <w:spacing w:after="0" w:line="240" w:lineRule="auto"/>
        <w:ind w:left="360"/>
        <w:jc w:val="both"/>
      </w:pPr>
      <w:r w:rsidRPr="00093E07">
        <w:rPr>
          <w:b/>
        </w:rPr>
        <w:t>Organizace akcí</w:t>
      </w:r>
      <w:r w:rsidRPr="00093E07">
        <w:t xml:space="preserve"> </w:t>
      </w:r>
      <w:r w:rsidRPr="00093E07">
        <w:rPr>
          <w:b/>
        </w:rPr>
        <w:t xml:space="preserve">na podporu diseminace výsledků projektů FP9 a jejich popularizace </w:t>
      </w:r>
      <w:r w:rsidRPr="00093E07">
        <w:t>– konference, workshopy, semináře, přednášky, diskuzní setkání s představiteli výzkumné a inovační komunity a řešiteli projektů FP9;</w:t>
      </w:r>
    </w:p>
    <w:p w14:paraId="2EA33304" w14:textId="77777777" w:rsidR="00393FC4" w:rsidRPr="00093E07" w:rsidRDefault="00393FC4" w:rsidP="00792E33">
      <w:pPr>
        <w:spacing w:after="0" w:line="240" w:lineRule="auto"/>
        <w:ind w:left="360"/>
        <w:jc w:val="both"/>
      </w:pPr>
    </w:p>
    <w:p w14:paraId="059C0F3E" w14:textId="77777777" w:rsidR="009C249A" w:rsidRDefault="009C249A" w:rsidP="00792E33">
      <w:pPr>
        <w:numPr>
          <w:ilvl w:val="0"/>
          <w:numId w:val="35"/>
        </w:numPr>
        <w:spacing w:after="0" w:line="240" w:lineRule="auto"/>
        <w:ind w:left="360"/>
        <w:jc w:val="both"/>
      </w:pPr>
      <w:r w:rsidRPr="00093E07">
        <w:rPr>
          <w:b/>
        </w:rPr>
        <w:t xml:space="preserve">Příspěvky na sociální sítě </w:t>
      </w:r>
      <w:r w:rsidRPr="00093E07">
        <w:t xml:space="preserve">– </w:t>
      </w:r>
      <w:proofErr w:type="spellStart"/>
      <w:r w:rsidRPr="00093E07">
        <w:t>Facebook</w:t>
      </w:r>
      <w:proofErr w:type="spellEnd"/>
      <w:r w:rsidRPr="00093E07">
        <w:t xml:space="preserve">, </w:t>
      </w:r>
      <w:proofErr w:type="spellStart"/>
      <w:r w:rsidRPr="00093E07">
        <w:t>Twitter</w:t>
      </w:r>
      <w:proofErr w:type="spellEnd"/>
      <w:r w:rsidRPr="00093E07">
        <w:t xml:space="preserve">, </w:t>
      </w:r>
      <w:proofErr w:type="spellStart"/>
      <w:r w:rsidRPr="00093E07">
        <w:t>YouTube</w:t>
      </w:r>
      <w:proofErr w:type="spellEnd"/>
      <w:r w:rsidRPr="00093E07">
        <w:t xml:space="preserve"> a </w:t>
      </w:r>
      <w:proofErr w:type="spellStart"/>
      <w:r w:rsidRPr="00093E07">
        <w:t>Linked</w:t>
      </w:r>
      <w:proofErr w:type="spellEnd"/>
      <w:r w:rsidRPr="00093E07">
        <w:t>-In;</w:t>
      </w:r>
    </w:p>
    <w:p w14:paraId="45E8E503" w14:textId="77777777" w:rsidR="00393FC4" w:rsidRPr="00093E07" w:rsidRDefault="00393FC4" w:rsidP="00792E33">
      <w:pPr>
        <w:spacing w:after="0" w:line="240" w:lineRule="auto"/>
        <w:ind w:left="360"/>
        <w:jc w:val="both"/>
      </w:pPr>
    </w:p>
    <w:p w14:paraId="0738E914" w14:textId="77777777" w:rsidR="009C249A" w:rsidRDefault="009C249A" w:rsidP="00792E33">
      <w:pPr>
        <w:numPr>
          <w:ilvl w:val="0"/>
          <w:numId w:val="35"/>
        </w:numPr>
        <w:spacing w:after="0" w:line="240" w:lineRule="auto"/>
        <w:ind w:left="360"/>
        <w:jc w:val="both"/>
      </w:pPr>
      <w:r w:rsidRPr="00093E07">
        <w:rPr>
          <w:b/>
        </w:rPr>
        <w:t>Spolupráce s médii</w:t>
      </w:r>
      <w:r w:rsidRPr="00093E07">
        <w:t xml:space="preserve"> – spolupráce se specializovanými vědeckými žurnalisty.</w:t>
      </w:r>
    </w:p>
    <w:p w14:paraId="12A685A6" w14:textId="77777777" w:rsidR="00393FC4" w:rsidRPr="00093E07" w:rsidRDefault="00393FC4" w:rsidP="00393FC4">
      <w:pPr>
        <w:spacing w:after="0" w:line="240" w:lineRule="auto"/>
        <w:ind w:left="720"/>
        <w:jc w:val="both"/>
      </w:pPr>
    </w:p>
    <w:p w14:paraId="4B44C276" w14:textId="77777777" w:rsidR="009C249A" w:rsidRPr="00093E07" w:rsidRDefault="009C249A" w:rsidP="00393FC4">
      <w:pPr>
        <w:spacing w:after="0" w:line="240" w:lineRule="auto"/>
        <w:jc w:val="both"/>
      </w:pPr>
      <w:r w:rsidRPr="00093E07">
        <w:t xml:space="preserve">Vzhledem k tomu, že význam </w:t>
      </w:r>
      <w:r w:rsidRPr="00093E07">
        <w:rPr>
          <w:b/>
        </w:rPr>
        <w:t>vědecké diplomacie</w:t>
      </w:r>
      <w:r w:rsidRPr="00093E07">
        <w:t xml:space="preserve">, tedy strategické propagace </w:t>
      </w:r>
      <w:proofErr w:type="spellStart"/>
      <w:r w:rsidRPr="00093E07">
        <w:t>VaVaI</w:t>
      </w:r>
      <w:proofErr w:type="spellEnd"/>
      <w:r w:rsidRPr="00093E07">
        <w:t xml:space="preserve">, nadále roste a rozvíjení sítí vědeckých diplomatů je celosvětovým trendem, bude NICER mj. i rozvíjet spolupráci (např. sdílením informací, přípravou relevantních pracovních dokumentů apod.) se zastupitelskými úřady ČR v zahraničí, které v hostitelských zemích zabezpečují kontakty pro český </w:t>
      </w:r>
      <w:proofErr w:type="spellStart"/>
      <w:r w:rsidRPr="00093E07">
        <w:t>VaVaI</w:t>
      </w:r>
      <w:proofErr w:type="spellEnd"/>
      <w:r w:rsidRPr="00093E07">
        <w:t xml:space="preserve">, propagují výsledky českého </w:t>
      </w:r>
      <w:proofErr w:type="spellStart"/>
      <w:r w:rsidRPr="00093E07">
        <w:t>VaVaI</w:t>
      </w:r>
      <w:proofErr w:type="spellEnd"/>
      <w:r w:rsidRPr="00093E07">
        <w:t xml:space="preserve"> v zahraničí, podporují vznik nových projektů </w:t>
      </w:r>
      <w:proofErr w:type="spellStart"/>
      <w:r w:rsidRPr="00093E07">
        <w:t>VaVaI</w:t>
      </w:r>
      <w:proofErr w:type="spellEnd"/>
      <w:r w:rsidRPr="00093E07">
        <w:t xml:space="preserve"> a podporují spolupráci mezi akademickým a firemním sektorem ve </w:t>
      </w:r>
      <w:proofErr w:type="spellStart"/>
      <w:r w:rsidRPr="00093E07">
        <w:t>VaVaI</w:t>
      </w:r>
      <w:proofErr w:type="spellEnd"/>
      <w:r w:rsidRPr="00093E07">
        <w:t>.</w:t>
      </w:r>
    </w:p>
    <w:p w14:paraId="19633762" w14:textId="77777777" w:rsidR="009C249A" w:rsidRPr="00D32DC0" w:rsidRDefault="009C249A" w:rsidP="00211558">
      <w:pPr>
        <w:spacing w:before="240" w:after="240" w:line="240" w:lineRule="auto"/>
        <w:jc w:val="both"/>
        <w:rPr>
          <w:b/>
        </w:rPr>
      </w:pPr>
      <w:r w:rsidRPr="00D32DC0">
        <w:rPr>
          <w:b/>
        </w:rPr>
        <w:t>F. Expertní podpora orgánům státní správy, delegátům a zástupcům ČR v orgánech ERA</w:t>
      </w:r>
    </w:p>
    <w:p w14:paraId="3E274091" w14:textId="6F50A5D5" w:rsidR="009C249A" w:rsidRDefault="009C249A" w:rsidP="00393FC4">
      <w:pPr>
        <w:spacing w:after="0" w:line="240" w:lineRule="auto"/>
        <w:jc w:val="both"/>
      </w:pPr>
      <w:r w:rsidRPr="00093E07">
        <w:t xml:space="preserve">Aktivní zapojení orgánů státní správy ČR do formování ERA a účinné prosazování zájmů ČR ve výzkumné a inovační politice EU vyžaduje vysoce kvalitní datovou a informační základnu o potřebách a prioritách českého </w:t>
      </w:r>
      <w:proofErr w:type="spellStart"/>
      <w:r w:rsidRPr="00093E07">
        <w:t>VaVaI</w:t>
      </w:r>
      <w:proofErr w:type="spellEnd"/>
      <w:r w:rsidRPr="00093E07">
        <w:t xml:space="preserve">. Cílem projektu sdílených činností bude tak poskytovat </w:t>
      </w:r>
      <w:r w:rsidRPr="00093E07">
        <w:rPr>
          <w:b/>
        </w:rPr>
        <w:t xml:space="preserve">odborné analytické zázemí pro strategické rozhodování orgánů státní správy ČR, co se týká rozvoje mezinárodní spolupráce ČR ve </w:t>
      </w:r>
      <w:proofErr w:type="spellStart"/>
      <w:r w:rsidRPr="00093E07">
        <w:rPr>
          <w:b/>
        </w:rPr>
        <w:t>VaVaI</w:t>
      </w:r>
      <w:proofErr w:type="spellEnd"/>
      <w:r w:rsidRPr="00093E07">
        <w:rPr>
          <w:b/>
        </w:rPr>
        <w:t>.</w:t>
      </w:r>
      <w:r w:rsidRPr="00093E07">
        <w:t xml:space="preserve"> Na vyžádání orgánů státní správy ČR budou ze strany NICER ve spolupráci s oddělením strategických studií TC AV</w:t>
      </w:r>
      <w:r w:rsidR="00211558">
        <w:t xml:space="preserve"> </w:t>
      </w:r>
      <w:r w:rsidRPr="00093E07">
        <w:t xml:space="preserve">ČR poskytovány specifické analýzy, hodnotící, výhledové nebo návrhové studie pro tvůrce politiky </w:t>
      </w:r>
      <w:proofErr w:type="spellStart"/>
      <w:r w:rsidRPr="00093E07">
        <w:t>VaVaI</w:t>
      </w:r>
      <w:proofErr w:type="spellEnd"/>
      <w:r w:rsidRPr="00093E07">
        <w:t xml:space="preserve"> v ČR, delegáty a NCP ČR do programového výboru FP9, jakož i zástupce ČR v dalších expertních pracovních skupinách EK (např. pracovní skupiny k misím a k partnerstvím FP9) a v dalších strukturách evropské politiky </w:t>
      </w:r>
      <w:proofErr w:type="spellStart"/>
      <w:r w:rsidRPr="00093E07">
        <w:t>VaVaI</w:t>
      </w:r>
      <w:proofErr w:type="spellEnd"/>
      <w:r w:rsidRPr="00093E07">
        <w:t>.</w:t>
      </w:r>
    </w:p>
    <w:p w14:paraId="56CD9F7E" w14:textId="77777777" w:rsidR="00393FC4" w:rsidRPr="00093E07" w:rsidRDefault="00393FC4" w:rsidP="00393FC4">
      <w:pPr>
        <w:spacing w:after="0" w:line="240" w:lineRule="auto"/>
        <w:jc w:val="both"/>
      </w:pPr>
    </w:p>
    <w:p w14:paraId="1C4CE512" w14:textId="4B2196B4" w:rsidR="009C249A" w:rsidRPr="00093E07" w:rsidRDefault="009C249A" w:rsidP="00393FC4">
      <w:pPr>
        <w:spacing w:after="0" w:line="240" w:lineRule="auto"/>
        <w:jc w:val="both"/>
      </w:pPr>
      <w:r w:rsidRPr="00093E07">
        <w:t xml:space="preserve">Významným prvkem rozvoje mezinárodní spolupráce ve </w:t>
      </w:r>
      <w:proofErr w:type="spellStart"/>
      <w:r w:rsidRPr="00093E07">
        <w:t>VaVaI</w:t>
      </w:r>
      <w:proofErr w:type="spellEnd"/>
      <w:r w:rsidRPr="00093E07">
        <w:t xml:space="preserve"> je i spolupráce poskytovatelů podpory na </w:t>
      </w:r>
      <w:proofErr w:type="spellStart"/>
      <w:r w:rsidRPr="00093E07">
        <w:t>VaVaI</w:t>
      </w:r>
      <w:proofErr w:type="spellEnd"/>
      <w:r w:rsidRPr="00093E07">
        <w:t xml:space="preserve"> z partnerských zemí při </w:t>
      </w:r>
      <w:r w:rsidRPr="00093E07">
        <w:rPr>
          <w:b/>
        </w:rPr>
        <w:t xml:space="preserve">realizaci společných programů </w:t>
      </w:r>
      <w:proofErr w:type="spellStart"/>
      <w:r w:rsidRPr="00093E07">
        <w:rPr>
          <w:b/>
        </w:rPr>
        <w:t>VaVaI</w:t>
      </w:r>
      <w:proofErr w:type="spellEnd"/>
      <w:r w:rsidRPr="00093E07">
        <w:rPr>
          <w:b/>
        </w:rPr>
        <w:t>, jež naplní společné potřeby a priority.</w:t>
      </w:r>
      <w:r w:rsidRPr="00093E07">
        <w:t xml:space="preserve"> Cílem je efektivní využití národních veřejných zdrojů při realizaci projektů </w:t>
      </w:r>
      <w:proofErr w:type="spellStart"/>
      <w:r w:rsidRPr="00093E07">
        <w:t>VaVaI</w:t>
      </w:r>
      <w:proofErr w:type="spellEnd"/>
      <w:r w:rsidRPr="00093E07">
        <w:t xml:space="preserve"> společného zájmu. Maximální snahou je rovněž efektivní </w:t>
      </w:r>
      <w:r w:rsidRPr="00093E07">
        <w:rPr>
          <w:b/>
        </w:rPr>
        <w:t>využití synergií mezi programy realizovanými na národní a evropské úrovni</w:t>
      </w:r>
      <w:r w:rsidRPr="00093E07">
        <w:t xml:space="preserve"> (zejména FP9, Operační programy anebo iniciativy Společného programování). NICER si proto klade za svůj cíl posílit informační z</w:t>
      </w:r>
      <w:r w:rsidR="00211558">
        <w:t>ázemí MŠMT a</w:t>
      </w:r>
      <w:r w:rsidRPr="00093E07">
        <w:t xml:space="preserve"> </w:t>
      </w:r>
      <w:r w:rsidR="00211558">
        <w:t xml:space="preserve">i </w:t>
      </w:r>
      <w:r w:rsidRPr="00093E07">
        <w:t xml:space="preserve">dalších poskytovatelů </w:t>
      </w:r>
      <w:r w:rsidR="00211558">
        <w:t xml:space="preserve">ČR </w:t>
      </w:r>
      <w:r w:rsidRPr="00093E07">
        <w:t xml:space="preserve">pro jejich informované a strategické rozhodování o prioritách českého </w:t>
      </w:r>
      <w:proofErr w:type="spellStart"/>
      <w:r w:rsidRPr="00093E07">
        <w:t>VaVaI</w:t>
      </w:r>
      <w:proofErr w:type="spellEnd"/>
      <w:r w:rsidRPr="00093E07">
        <w:t xml:space="preserve"> v oblasti rozvoje mezinárodní spolupráce ve </w:t>
      </w:r>
      <w:proofErr w:type="spellStart"/>
      <w:r w:rsidRPr="00093E07">
        <w:t>VaVaI</w:t>
      </w:r>
      <w:proofErr w:type="spellEnd"/>
      <w:r w:rsidRPr="00093E07">
        <w:t>. Připravo</w:t>
      </w:r>
      <w:r w:rsidR="00211558">
        <w:t>vané podklady poskytnou MŠMT a</w:t>
      </w:r>
      <w:r w:rsidRPr="00093E07">
        <w:t xml:space="preserve"> dalším orgánům státní správy informace pro přijímání rozhodnutí o zacílení společných programových nástrojů pro mezinárodní podporu </w:t>
      </w:r>
      <w:proofErr w:type="spellStart"/>
      <w:r w:rsidRPr="00093E07">
        <w:t>VaVaI</w:t>
      </w:r>
      <w:proofErr w:type="spellEnd"/>
      <w:r w:rsidRPr="00093E07">
        <w:t>.</w:t>
      </w:r>
    </w:p>
    <w:p w14:paraId="158D0B57" w14:textId="77777777" w:rsidR="009C249A" w:rsidRPr="00D32DC0" w:rsidRDefault="009C249A" w:rsidP="00211558">
      <w:pPr>
        <w:spacing w:before="240" w:after="240" w:line="240" w:lineRule="auto"/>
        <w:jc w:val="both"/>
        <w:rPr>
          <w:b/>
        </w:rPr>
      </w:pPr>
      <w:r w:rsidRPr="00D32DC0">
        <w:rPr>
          <w:b/>
        </w:rPr>
        <w:lastRenderedPageBreak/>
        <w:t>G. Zvyšování a prohlubování kvalifikace NCP a spolupráce s mezinárodní sítí NCP</w:t>
      </w:r>
    </w:p>
    <w:p w14:paraId="4A364847" w14:textId="5759DBD6" w:rsidR="009C249A" w:rsidRDefault="009C249A" w:rsidP="00393FC4">
      <w:pPr>
        <w:spacing w:after="0" w:line="240" w:lineRule="auto"/>
        <w:jc w:val="both"/>
      </w:pPr>
      <w:r w:rsidRPr="00093E07">
        <w:t xml:space="preserve">V rámci projektu sdílených činností se NICER zapojí do aktivit směřujících k </w:t>
      </w:r>
      <w:r w:rsidRPr="00093E07">
        <w:rPr>
          <w:b/>
        </w:rPr>
        <w:t>zvyšování, resp. prohlubování kvalifikace NCP</w:t>
      </w:r>
      <w:r w:rsidRPr="00093E07">
        <w:t xml:space="preserve"> formou aktivního zapojení do projektů NCP</w:t>
      </w:r>
      <w:r w:rsidR="00211558">
        <w:t xml:space="preserve"> sítí financovaných ze strany Evropské komise</w:t>
      </w:r>
      <w:r w:rsidRPr="00093E07">
        <w:t xml:space="preserve"> z rámcového programu EU, jejichž hlavním cílem je </w:t>
      </w:r>
      <w:r w:rsidR="00211558">
        <w:t>zvýšit kvalitu</w:t>
      </w:r>
      <w:r w:rsidRPr="00093E07">
        <w:t xml:space="preserve"> práce NCP a odborných kompetencí NCP formou školení, spolupráce a výměnou zkušeností – tj. aktivní účast na odborných školeních, včetně školení souvisejících s pokročilým rozvojem analyticko-statistických metod, školeních projektového řízení či zdokonalování prezentačních a publikačních dovedností. Praktické zkušenosti s realizací projektů FP9 budou získávány i na stážích u úspěšných řešitelů projektů FP9.</w:t>
      </w:r>
    </w:p>
    <w:p w14:paraId="1F7F98F9" w14:textId="77777777" w:rsidR="009C249A" w:rsidRPr="00D32DC0" w:rsidRDefault="009C249A" w:rsidP="00211558">
      <w:pPr>
        <w:spacing w:before="240" w:after="240" w:line="240" w:lineRule="auto"/>
        <w:jc w:val="both"/>
        <w:rPr>
          <w:b/>
        </w:rPr>
      </w:pPr>
      <w:r w:rsidRPr="00D32DC0">
        <w:rPr>
          <w:b/>
        </w:rPr>
        <w:t>H. Podpora přípravy předsednictví ČR v Radě EU</w:t>
      </w:r>
    </w:p>
    <w:p w14:paraId="3FB84B8C" w14:textId="4709C6B7" w:rsidR="009C249A" w:rsidRPr="00093E07" w:rsidRDefault="009C249A" w:rsidP="00393FC4">
      <w:pPr>
        <w:spacing w:after="0" w:line="240" w:lineRule="auto"/>
        <w:jc w:val="both"/>
      </w:pPr>
      <w:r w:rsidRPr="00093E07">
        <w:t xml:space="preserve">Předsednictví ČR v Radě EU (dále jen „CZ PRES“) je stanoveno na 2. pol. roku 2022 a bude součástí společného osmnáctiměsíčního programu předsednictví 3 členských států EU, jimiž budou od ledna 2022 postupně předsednictví Francie, ČR a Švédska. Příprava programu CZ PRES </w:t>
      </w:r>
      <w:r w:rsidR="00211558">
        <w:t>bude zahájena ve spolupráci s Evropskou komisí</w:t>
      </w:r>
      <w:r w:rsidRPr="00093E07">
        <w:t xml:space="preserve"> v podstatném časovém předstihu před samotným zahájením CZ PRES. NICER </w:t>
      </w:r>
      <w:r w:rsidR="00211558">
        <w:t>bude</w:t>
      </w:r>
      <w:r w:rsidRPr="00093E07">
        <w:t xml:space="preserve"> v tomto kontextu spolupracovat na přípravě společného programu předsednického tria v agendě </w:t>
      </w:r>
      <w:proofErr w:type="spellStart"/>
      <w:r w:rsidRPr="00093E07">
        <w:t>VaVaI</w:t>
      </w:r>
      <w:proofErr w:type="spellEnd"/>
      <w:r w:rsidR="00211558">
        <w:t>, co</w:t>
      </w:r>
      <w:r w:rsidRPr="00093E07">
        <w:t xml:space="preserve"> </w:t>
      </w:r>
      <w:r w:rsidR="00211558">
        <w:t xml:space="preserve">se týká </w:t>
      </w:r>
      <w:r w:rsidRPr="00093E07">
        <w:t>příprav</w:t>
      </w:r>
      <w:r w:rsidR="00211558">
        <w:t>y</w:t>
      </w:r>
      <w:r w:rsidRPr="00093E07">
        <w:t xml:space="preserve"> strategických a analytických dokumentů pro účely CZ PRES.</w:t>
      </w:r>
    </w:p>
    <w:p w14:paraId="08408899" w14:textId="58493055" w:rsidR="009C249A" w:rsidRPr="006275F9" w:rsidRDefault="009C249A" w:rsidP="00D32DC0">
      <w:pPr>
        <w:pStyle w:val="Nadpis3"/>
        <w:spacing w:before="240" w:after="240" w:line="240" w:lineRule="auto"/>
        <w:ind w:left="669" w:right="-142"/>
        <w:jc w:val="both"/>
        <w:rPr>
          <w:caps/>
        </w:rPr>
      </w:pPr>
      <w:bookmarkStart w:id="29" w:name="_Toc50708003"/>
      <w:bookmarkStart w:id="30" w:name="_Toc55466822"/>
      <w:r>
        <w:t xml:space="preserve">Modul 2: </w:t>
      </w:r>
      <w:bookmarkEnd w:id="29"/>
      <w:r w:rsidR="00D32DC0">
        <w:t>Národní informační centrum pro genderové otázky v evropském výzkumu</w:t>
      </w:r>
      <w:bookmarkEnd w:id="30"/>
      <w:r w:rsidR="00D32DC0">
        <w:t xml:space="preserve"> </w:t>
      </w:r>
    </w:p>
    <w:p w14:paraId="2EC518CB" w14:textId="4B90F2C3" w:rsidR="009C249A" w:rsidRDefault="009C249A" w:rsidP="00393FC4">
      <w:pPr>
        <w:spacing w:after="0" w:line="240" w:lineRule="auto"/>
        <w:jc w:val="both"/>
      </w:pPr>
      <w:r w:rsidRPr="006275F9">
        <w:t xml:space="preserve">Genderová rovnost je jednou z klíčových oblastí nynějších snah o zvyšování kvality vědeckého poznání a modernizace výzkumných institucí. Genderová rovnost a genderový </w:t>
      </w:r>
      <w:proofErr w:type="spellStart"/>
      <w:r w:rsidRPr="006275F9">
        <w:t>mainstreaming</w:t>
      </w:r>
      <w:proofErr w:type="spellEnd"/>
      <w:r w:rsidRPr="006275F9">
        <w:t xml:space="preserve"> jsou jedněmi z 5 priorit ERA.</w:t>
      </w:r>
      <w:r w:rsidRPr="006275F9">
        <w:rPr>
          <w:b/>
        </w:rPr>
        <w:t xml:space="preserve"> </w:t>
      </w:r>
      <w:r w:rsidRPr="006275F9">
        <w:t xml:space="preserve">Genderová rovnost a integrace genderové dimenze do </w:t>
      </w:r>
      <w:proofErr w:type="spellStart"/>
      <w:r w:rsidRPr="006275F9">
        <w:t>VaVaI</w:t>
      </w:r>
      <w:proofErr w:type="spellEnd"/>
      <w:r w:rsidRPr="006275F9">
        <w:t xml:space="preserve"> je průřezovou prioritou končícího rámcového programu EU pro výzkum a inovace Horizontu 2020 (2014</w:t>
      </w:r>
      <w:r w:rsidR="00D32DC0">
        <w:t>–</w:t>
      </w:r>
      <w:r w:rsidRPr="006275F9">
        <w:t xml:space="preserve">2020) a i součástí hodnocení předkládaných návrhů projektů. Nově ustavená Evropská komise genderovou rovnost zahrnula mezi své zásadní priority. </w:t>
      </w:r>
      <w:r w:rsidRPr="006275F9">
        <w:rPr>
          <w:b/>
        </w:rPr>
        <w:t>FP9 obsahuje genderovou rovnost jako</w:t>
      </w:r>
      <w:r w:rsidR="00D32DC0">
        <w:rPr>
          <w:b/>
        </w:rPr>
        <w:t>žto</w:t>
      </w:r>
      <w:r w:rsidRPr="006275F9">
        <w:rPr>
          <w:b/>
        </w:rPr>
        <w:t xml:space="preserve"> průřezové téma</w:t>
      </w:r>
      <w:r w:rsidRPr="006275F9">
        <w:t xml:space="preserve"> </w:t>
      </w:r>
      <w:r>
        <w:t>a zároveň zavádí požadavek plánů genderové rovnosti pro uchazeče o podporu po úvodním přechodném období</w:t>
      </w:r>
      <w:r w:rsidRPr="006275F9">
        <w:t xml:space="preserve">. Roste tedy </w:t>
      </w:r>
      <w:r w:rsidR="00D32DC0">
        <w:t xml:space="preserve">i </w:t>
      </w:r>
      <w:r>
        <w:t xml:space="preserve">nutnost </w:t>
      </w:r>
      <w:r w:rsidR="00D2623D">
        <w:t>budování kapacit v </w:t>
      </w:r>
      <w:r w:rsidRPr="006275F9">
        <w:t>této oblasti v ČR,</w:t>
      </w:r>
      <w:r w:rsidR="00D32DC0">
        <w:t xml:space="preserve"> a to</w:t>
      </w:r>
      <w:r w:rsidRPr="006275F9">
        <w:t xml:space="preserve"> jak na straně výzkumných organizací a výzkumných pracovníků, kteří se projektů rámcových programů EU účastní, tak i orgánů státní správy ČR</w:t>
      </w:r>
      <w:r>
        <w:t xml:space="preserve"> </w:t>
      </w:r>
      <w:r w:rsidR="00D32DC0">
        <w:t>a</w:t>
      </w:r>
      <w:r>
        <w:t xml:space="preserve"> NCP</w:t>
      </w:r>
      <w:r w:rsidRPr="006275F9">
        <w:t>.</w:t>
      </w:r>
    </w:p>
    <w:p w14:paraId="69624C9D" w14:textId="77777777" w:rsidR="00393FC4" w:rsidRPr="006275F9" w:rsidRDefault="00393FC4" w:rsidP="00393FC4">
      <w:pPr>
        <w:spacing w:after="0" w:line="240" w:lineRule="auto"/>
        <w:jc w:val="both"/>
      </w:pPr>
    </w:p>
    <w:p w14:paraId="092C99B2" w14:textId="77777777" w:rsidR="009C249A" w:rsidRDefault="009C249A" w:rsidP="00393FC4">
      <w:pPr>
        <w:spacing w:after="0" w:line="240" w:lineRule="auto"/>
        <w:jc w:val="both"/>
      </w:pPr>
      <w:r w:rsidRPr="006275F9">
        <w:t>Podle každoročně zpracovávaného indexu rovnosti zveřejněného ze strany</w:t>
      </w:r>
      <w:r w:rsidRPr="006275F9">
        <w:rPr>
          <w:i/>
        </w:rPr>
        <w:t xml:space="preserve"> </w:t>
      </w:r>
      <w:proofErr w:type="spellStart"/>
      <w:r w:rsidRPr="006275F9">
        <w:rPr>
          <w:i/>
        </w:rPr>
        <w:t>European</w:t>
      </w:r>
      <w:proofErr w:type="spellEnd"/>
      <w:r w:rsidRPr="006275F9">
        <w:rPr>
          <w:i/>
        </w:rPr>
        <w:t xml:space="preserve"> Institute </w:t>
      </w:r>
      <w:proofErr w:type="spellStart"/>
      <w:r w:rsidRPr="006275F9">
        <w:rPr>
          <w:i/>
        </w:rPr>
        <w:t>for</w:t>
      </w:r>
      <w:proofErr w:type="spellEnd"/>
      <w:r w:rsidRPr="006275F9">
        <w:rPr>
          <w:i/>
        </w:rPr>
        <w:t xml:space="preserve"> Gender </w:t>
      </w:r>
      <w:proofErr w:type="spellStart"/>
      <w:r w:rsidRPr="006275F9">
        <w:rPr>
          <w:i/>
        </w:rPr>
        <w:t>Equality</w:t>
      </w:r>
      <w:proofErr w:type="spellEnd"/>
      <w:r w:rsidRPr="006275F9">
        <w:t xml:space="preserve"> (EIGE) se v porovnání s ostatními členskými státy EU nachází ČR v oblasti genderové rovnosti pod evropským průměrem. Celkově ji náleží 21. místo a přes určitý posun se od roku 2005 v hodnocení dokonce propadla o 4 příčky. </w:t>
      </w:r>
      <w:r w:rsidRPr="006275F9">
        <w:rPr>
          <w:b/>
        </w:rPr>
        <w:t xml:space="preserve">NKC je jediným specializovaným pracovištěm v ČR, které se věnuje problematice genderové rovnosti, resp. genderového </w:t>
      </w:r>
      <w:proofErr w:type="spellStart"/>
      <w:r w:rsidRPr="006275F9">
        <w:rPr>
          <w:b/>
        </w:rPr>
        <w:t>mainstreamingu</w:t>
      </w:r>
      <w:proofErr w:type="spellEnd"/>
      <w:r w:rsidRPr="006275F9">
        <w:rPr>
          <w:b/>
        </w:rPr>
        <w:t xml:space="preserve"> ve </w:t>
      </w:r>
      <w:proofErr w:type="spellStart"/>
      <w:r w:rsidRPr="006275F9">
        <w:rPr>
          <w:b/>
        </w:rPr>
        <w:t>VaVaI</w:t>
      </w:r>
      <w:proofErr w:type="spellEnd"/>
      <w:r w:rsidRPr="006275F9">
        <w:t xml:space="preserve"> a zajišťuje mezinárodní spolupráci ČR v této oblasti na úrovni EU. NKC naváže na svoji dlouholetou expertízu na tomto poli budovanou od roku 2001, a zajistí tak návaznost vykonávaných podpůrných služeb a aktivit pro výzkumné organizace, orgány státní správy ČR i širokou akademickou obec v oblasti genderové rovnosti ve </w:t>
      </w:r>
      <w:proofErr w:type="spellStart"/>
      <w:r w:rsidRPr="006275F9">
        <w:t>VaVaI</w:t>
      </w:r>
      <w:proofErr w:type="spellEnd"/>
      <w:r w:rsidRPr="006275F9">
        <w:t>.</w:t>
      </w:r>
    </w:p>
    <w:p w14:paraId="7B2220D6" w14:textId="77777777" w:rsidR="00393FC4" w:rsidRPr="006275F9" w:rsidRDefault="00393FC4" w:rsidP="00393FC4">
      <w:pPr>
        <w:spacing w:after="0" w:line="240" w:lineRule="auto"/>
        <w:jc w:val="both"/>
      </w:pPr>
    </w:p>
    <w:p w14:paraId="17266870" w14:textId="494F54EE" w:rsidR="009C249A" w:rsidRPr="006275F9" w:rsidRDefault="009C249A" w:rsidP="00393FC4">
      <w:pPr>
        <w:spacing w:after="0" w:line="240" w:lineRule="auto"/>
        <w:jc w:val="both"/>
      </w:pPr>
      <w:r w:rsidRPr="006275F9">
        <w:t xml:space="preserve">NKC v rámci projektu sdílených činností zajistí aktivity </w:t>
      </w:r>
      <w:r w:rsidRPr="006275F9">
        <w:rPr>
          <w:b/>
        </w:rPr>
        <w:t xml:space="preserve">NCP pro oblast genderové rovnosti a genderového </w:t>
      </w:r>
      <w:proofErr w:type="spellStart"/>
      <w:r w:rsidRPr="006275F9">
        <w:rPr>
          <w:b/>
        </w:rPr>
        <w:t>mainstreamingu</w:t>
      </w:r>
      <w:proofErr w:type="spellEnd"/>
      <w:r w:rsidRPr="006275F9">
        <w:rPr>
          <w:b/>
        </w:rPr>
        <w:t xml:space="preserve"> v FP9.</w:t>
      </w:r>
      <w:r w:rsidRPr="006275F9">
        <w:t xml:space="preserve"> Cílem NKC bude v tomto ohledu budování kapacit pro účast v FP9 a zabezpečení podpůrných služeb pro zapojení výzkumných organizací ČR do ERA. V této oblasti staví NKC na své dlouholeté zkušenosti a zaměřuje se na poskytování školení, tréninků a konzultací, co do naplňování požadavků kladených na genderovou rovnost v rámcových programech EU při přípravě návrhů projektů, které implementují plány genderové rovnosti. Pro tento účel byla v roce 2015 zřízena i národní informační síť </w:t>
      </w:r>
      <w:r w:rsidRPr="006275F9">
        <w:rPr>
          <w:i/>
        </w:rPr>
        <w:t>Pracovní skupina pro změnu (od roku 2020 pod názvem Komunita pro změnu)</w:t>
      </w:r>
      <w:r w:rsidRPr="006275F9">
        <w:t xml:space="preserve"> NKC, jejímž cílem je budování věcně příslušných kapacit uchazečů z ČR, transfer zkušeností a sdílení dobré praxe v rámci ČR. V</w:t>
      </w:r>
      <w:r w:rsidR="00D32DC0">
        <w:t> </w:t>
      </w:r>
      <w:r w:rsidRPr="006275F9">
        <w:t>této oblasti bude přitom NKC spolupracovat s TC AV</w:t>
      </w:r>
      <w:r w:rsidR="00D32DC0">
        <w:t xml:space="preserve"> </w:t>
      </w:r>
      <w:r w:rsidRPr="006275F9">
        <w:t>ČR a s dalšími aktéry v ČR i EU.</w:t>
      </w:r>
    </w:p>
    <w:p w14:paraId="37813E3F" w14:textId="77777777" w:rsidR="009C249A" w:rsidRPr="006275F9" w:rsidRDefault="009C249A" w:rsidP="00393FC4">
      <w:pPr>
        <w:spacing w:after="0" w:line="240" w:lineRule="auto"/>
        <w:jc w:val="both"/>
      </w:pPr>
    </w:p>
    <w:p w14:paraId="743DBB25" w14:textId="77777777" w:rsidR="009C249A" w:rsidRPr="00D32DC0" w:rsidRDefault="009C249A" w:rsidP="00D32DC0">
      <w:pPr>
        <w:spacing w:before="240" w:after="240" w:line="240" w:lineRule="auto"/>
        <w:jc w:val="both"/>
        <w:rPr>
          <w:b/>
        </w:rPr>
      </w:pPr>
      <w:r w:rsidRPr="00D32DC0">
        <w:rPr>
          <w:b/>
        </w:rPr>
        <w:lastRenderedPageBreak/>
        <w:t xml:space="preserve">A. Expertní podpora výzkumných organizací ČR v oblasti genderové rovnosti ve </w:t>
      </w:r>
      <w:proofErr w:type="spellStart"/>
      <w:r w:rsidRPr="00D32DC0">
        <w:rPr>
          <w:b/>
        </w:rPr>
        <w:t>VaVaI</w:t>
      </w:r>
      <w:proofErr w:type="spellEnd"/>
    </w:p>
    <w:p w14:paraId="0B05A08E" w14:textId="6418BF0D" w:rsidR="009C249A" w:rsidRDefault="009C249A" w:rsidP="00393FC4">
      <w:pPr>
        <w:spacing w:after="0" w:line="240" w:lineRule="auto"/>
        <w:jc w:val="both"/>
      </w:pPr>
      <w:r w:rsidRPr="006275F9">
        <w:t xml:space="preserve">NKC dlouhodobě spolupracuje s výzkumnými organizacemi ČR na zkvalitňování pracovních podmínek akademiků, jež jim napomohou dosahovat excelentních výsledků </w:t>
      </w:r>
      <w:proofErr w:type="spellStart"/>
      <w:r w:rsidRPr="006275F9">
        <w:t>VaVaI</w:t>
      </w:r>
      <w:proofErr w:type="spellEnd"/>
      <w:r w:rsidRPr="006275F9">
        <w:t xml:space="preserve">. Za účelem posílení mezinárodní konkurenceschopnosti výzkumných organizací ČR a jejich zatraktivnění pro zahraniční pracovníky a zabránění „odlivu mozků“ pomáhá NKC výzkumným organizacím ČR slaďovat pracovní podmínky na domácích institucích s mezinárodními standardy a dobrou praxí. Pro tyto účely bude NKC i nadále organizovat činnosti </w:t>
      </w:r>
      <w:r w:rsidRPr="006275F9">
        <w:rPr>
          <w:b/>
        </w:rPr>
        <w:t>Komunity pro změnu.</w:t>
      </w:r>
      <w:r w:rsidRPr="006275F9">
        <w:t xml:space="preserve"> Komunita pro změnu sdružuje osoby z výzkumných organizací z celé ČR, které se aktivně podílejí na systematické podpoře genderové rovnosti </w:t>
      </w:r>
      <w:r w:rsidR="00D32DC0">
        <w:t>a</w:t>
      </w:r>
      <w:r w:rsidRPr="006275F9">
        <w:t xml:space="preserve">nebo mají zájem začít realizovat projekty kulturní a institucionální změny. Členové Komunity mají možnost vzájemně sdílet zkušenosti z praxe, rozvíjet svoji genderovou expertízu a kompetence a získávat praktické rady, resp. inspiraci pro vlastní činnosti. Aktuálně má Komunita pro změnu přes </w:t>
      </w:r>
      <w:r>
        <w:t>150</w:t>
      </w:r>
      <w:r w:rsidRPr="006275F9">
        <w:t xml:space="preserve"> členů z celé ČR a její činnost je vedena a koordinována NKC.</w:t>
      </w:r>
    </w:p>
    <w:p w14:paraId="33BA8C18" w14:textId="77777777" w:rsidR="00393FC4" w:rsidRPr="006275F9" w:rsidRDefault="00393FC4" w:rsidP="00393FC4">
      <w:pPr>
        <w:spacing w:after="0" w:line="240" w:lineRule="auto"/>
        <w:jc w:val="both"/>
      </w:pPr>
    </w:p>
    <w:p w14:paraId="31A3F5EF" w14:textId="77777777" w:rsidR="009C249A" w:rsidRDefault="009C249A" w:rsidP="00393FC4">
      <w:pPr>
        <w:spacing w:after="0" w:line="240" w:lineRule="auto"/>
        <w:jc w:val="both"/>
      </w:pPr>
      <w:r w:rsidRPr="006275F9">
        <w:t xml:space="preserve">NKC v rámci projektu sdílených činností zajistí </w:t>
      </w:r>
      <w:r w:rsidRPr="006275F9">
        <w:rPr>
          <w:b/>
        </w:rPr>
        <w:t xml:space="preserve">komplexní podporu výzkumných organizací v oblasti rozvoje lidských zdrojů pro </w:t>
      </w:r>
      <w:proofErr w:type="spellStart"/>
      <w:r w:rsidRPr="006275F9">
        <w:rPr>
          <w:b/>
        </w:rPr>
        <w:t>VaVaI</w:t>
      </w:r>
      <w:proofErr w:type="spellEnd"/>
      <w:r w:rsidRPr="006275F9">
        <w:rPr>
          <w:b/>
        </w:rPr>
        <w:t xml:space="preserve"> a genderové rovnosti </w:t>
      </w:r>
      <w:r w:rsidRPr="006275F9">
        <w:t xml:space="preserve">prostřednictvím přístupu kulturní a institucionální změny a genderového </w:t>
      </w:r>
      <w:proofErr w:type="spellStart"/>
      <w:r w:rsidRPr="006275F9">
        <w:t>mainstreamingu</w:t>
      </w:r>
      <w:proofErr w:type="spellEnd"/>
      <w:r w:rsidRPr="006275F9">
        <w:t>, a to následujícími formami:</w:t>
      </w:r>
    </w:p>
    <w:p w14:paraId="5059F4FE" w14:textId="77777777" w:rsidR="00D32DC0" w:rsidRPr="006275F9" w:rsidRDefault="00D32DC0" w:rsidP="00393FC4">
      <w:pPr>
        <w:spacing w:after="0" w:line="240" w:lineRule="auto"/>
        <w:jc w:val="both"/>
      </w:pPr>
    </w:p>
    <w:p w14:paraId="01511C9D" w14:textId="77777777" w:rsidR="009C249A" w:rsidRDefault="009C249A" w:rsidP="00D32DC0">
      <w:pPr>
        <w:pStyle w:val="Odstavecseseznamem"/>
        <w:numPr>
          <w:ilvl w:val="0"/>
          <w:numId w:val="36"/>
        </w:numPr>
        <w:spacing w:line="240" w:lineRule="auto"/>
        <w:ind w:left="360"/>
        <w:jc w:val="both"/>
      </w:pPr>
      <w:r w:rsidRPr="006275F9">
        <w:t xml:space="preserve">Informační servis a organizace </w:t>
      </w:r>
      <w:r w:rsidRPr="00D32DC0">
        <w:rPr>
          <w:b/>
        </w:rPr>
        <w:t xml:space="preserve">školení, workshopů a seminářů s cílem šířit povědomí o problematice rozvoje lidských zdrojů s ohledem na genderovou rovnost ve </w:t>
      </w:r>
      <w:proofErr w:type="spellStart"/>
      <w:r w:rsidRPr="00D32DC0">
        <w:rPr>
          <w:b/>
        </w:rPr>
        <w:t>VaVaI</w:t>
      </w:r>
      <w:proofErr w:type="spellEnd"/>
      <w:r w:rsidRPr="006275F9">
        <w:t xml:space="preserve"> a nabídka praktických doporučení, jak institucionální změnu ve výzkumných organizacích prakticky implementovat, včetně naplnění principů potřebných k zisku tzv. „HR Excellence in </w:t>
      </w:r>
      <w:proofErr w:type="spellStart"/>
      <w:r w:rsidRPr="006275F9">
        <w:t>Research</w:t>
      </w:r>
      <w:proofErr w:type="spellEnd"/>
      <w:r w:rsidRPr="006275F9">
        <w:t xml:space="preserve"> </w:t>
      </w:r>
      <w:proofErr w:type="spellStart"/>
      <w:r w:rsidRPr="006275F9">
        <w:t>Award</w:t>
      </w:r>
      <w:proofErr w:type="spellEnd"/>
      <w:r w:rsidRPr="006275F9">
        <w:t>“;</w:t>
      </w:r>
    </w:p>
    <w:p w14:paraId="169D5142" w14:textId="77777777" w:rsidR="00393FC4" w:rsidRPr="006275F9" w:rsidRDefault="00393FC4" w:rsidP="00D32DC0">
      <w:pPr>
        <w:spacing w:after="0" w:line="240" w:lineRule="auto"/>
        <w:ind w:left="360"/>
        <w:jc w:val="both"/>
      </w:pPr>
    </w:p>
    <w:p w14:paraId="245D96FE" w14:textId="388FD443" w:rsidR="009C249A" w:rsidRDefault="009C249A" w:rsidP="00D32DC0">
      <w:pPr>
        <w:pStyle w:val="Odstavecseseznamem"/>
        <w:numPr>
          <w:ilvl w:val="0"/>
          <w:numId w:val="36"/>
        </w:numPr>
        <w:spacing w:line="240" w:lineRule="auto"/>
        <w:ind w:left="360"/>
        <w:jc w:val="both"/>
      </w:pPr>
      <w:r w:rsidRPr="006275F9">
        <w:t xml:space="preserve">Informační servis a organizace </w:t>
      </w:r>
      <w:r w:rsidRPr="00D32DC0">
        <w:rPr>
          <w:b/>
        </w:rPr>
        <w:t>školení, workshopů, seminářů a tréninků „na pozvání“</w:t>
      </w:r>
      <w:r w:rsidRPr="006275F9">
        <w:t xml:space="preserve"> </w:t>
      </w:r>
      <w:r w:rsidRPr="00D32DC0">
        <w:rPr>
          <w:b/>
        </w:rPr>
        <w:t>přímo ve výzkumných organizacích</w:t>
      </w:r>
      <w:r w:rsidRPr="006275F9">
        <w:t>, jež jsou přip</w:t>
      </w:r>
      <w:r w:rsidR="00D2623D">
        <w:t>raveny na míru s </w:t>
      </w:r>
      <w:r w:rsidRPr="006275F9">
        <w:t>ohledem na konkrétní požadavky a potřeby zvoucí výzkumné organizace a jsou zaměřeny na začínající i zkušené výzkumné pracovníky, management i administrativní aparát výzkumných organizací;</w:t>
      </w:r>
    </w:p>
    <w:p w14:paraId="2C4310F8" w14:textId="77777777" w:rsidR="00393FC4" w:rsidRPr="006275F9" w:rsidRDefault="00393FC4" w:rsidP="00D32DC0">
      <w:pPr>
        <w:spacing w:after="0" w:line="240" w:lineRule="auto"/>
        <w:ind w:left="360"/>
        <w:jc w:val="both"/>
      </w:pPr>
    </w:p>
    <w:p w14:paraId="16B22E3F" w14:textId="62A6B7FA" w:rsidR="009C249A" w:rsidRDefault="009C249A" w:rsidP="00D32DC0">
      <w:pPr>
        <w:pStyle w:val="Odstavecseseznamem"/>
        <w:numPr>
          <w:ilvl w:val="0"/>
          <w:numId w:val="36"/>
        </w:numPr>
        <w:spacing w:line="240" w:lineRule="auto"/>
        <w:ind w:left="360"/>
        <w:jc w:val="both"/>
      </w:pPr>
      <w:r w:rsidRPr="006275F9">
        <w:t xml:space="preserve">Podpora při </w:t>
      </w:r>
      <w:r w:rsidRPr="00D32DC0">
        <w:rPr>
          <w:b/>
        </w:rPr>
        <w:t xml:space="preserve">nastavování vnitřních institucionálních procesů a implementaci opatření a plánů genderové rovnosti ve </w:t>
      </w:r>
      <w:proofErr w:type="spellStart"/>
      <w:r w:rsidRPr="00D32DC0">
        <w:rPr>
          <w:b/>
        </w:rPr>
        <w:t>VaVaI</w:t>
      </w:r>
      <w:proofErr w:type="spellEnd"/>
      <w:r w:rsidRPr="006275F9">
        <w:t xml:space="preserve"> ve výzkumných organizacích, včetně poskytování průběžných konzultací při přípravě plánů genderové rovnosti a při implementaci principů obsažených v rámci </w:t>
      </w:r>
      <w:proofErr w:type="spellStart"/>
      <w:r w:rsidRPr="00D32DC0">
        <w:rPr>
          <w:i/>
        </w:rPr>
        <w:t>European</w:t>
      </w:r>
      <w:proofErr w:type="spellEnd"/>
      <w:r w:rsidRPr="00D32DC0">
        <w:rPr>
          <w:i/>
        </w:rPr>
        <w:t xml:space="preserve"> Charter </w:t>
      </w:r>
      <w:proofErr w:type="spellStart"/>
      <w:r w:rsidRPr="00D32DC0">
        <w:rPr>
          <w:i/>
        </w:rPr>
        <w:t>for</w:t>
      </w:r>
      <w:proofErr w:type="spellEnd"/>
      <w:r w:rsidRPr="00D32DC0">
        <w:rPr>
          <w:i/>
        </w:rPr>
        <w:t xml:space="preserve"> </w:t>
      </w:r>
      <w:proofErr w:type="spellStart"/>
      <w:r w:rsidRPr="00D32DC0">
        <w:rPr>
          <w:i/>
        </w:rPr>
        <w:t>Researchers</w:t>
      </w:r>
      <w:proofErr w:type="spellEnd"/>
      <w:r w:rsidRPr="006275F9">
        <w:t xml:space="preserve"> a </w:t>
      </w:r>
      <w:proofErr w:type="spellStart"/>
      <w:r w:rsidRPr="00D32DC0">
        <w:rPr>
          <w:i/>
        </w:rPr>
        <w:t>Code</w:t>
      </w:r>
      <w:proofErr w:type="spellEnd"/>
      <w:r w:rsidRPr="00D32DC0">
        <w:rPr>
          <w:i/>
        </w:rPr>
        <w:t xml:space="preserve"> </w:t>
      </w:r>
      <w:proofErr w:type="spellStart"/>
      <w:r w:rsidRPr="00D32DC0">
        <w:rPr>
          <w:i/>
        </w:rPr>
        <w:t>of</w:t>
      </w:r>
      <w:proofErr w:type="spellEnd"/>
      <w:r w:rsidRPr="00D32DC0">
        <w:rPr>
          <w:i/>
        </w:rPr>
        <w:t xml:space="preserve"> </w:t>
      </w:r>
      <w:proofErr w:type="spellStart"/>
      <w:r w:rsidRPr="00D32DC0">
        <w:rPr>
          <w:i/>
        </w:rPr>
        <w:t>Conduct</w:t>
      </w:r>
      <w:proofErr w:type="spellEnd"/>
      <w:r w:rsidRPr="00D32DC0">
        <w:rPr>
          <w:i/>
        </w:rPr>
        <w:t xml:space="preserve"> </w:t>
      </w:r>
      <w:proofErr w:type="spellStart"/>
      <w:r w:rsidRPr="00D32DC0">
        <w:rPr>
          <w:i/>
        </w:rPr>
        <w:t>for</w:t>
      </w:r>
      <w:proofErr w:type="spellEnd"/>
      <w:r w:rsidRPr="00D32DC0">
        <w:rPr>
          <w:i/>
        </w:rPr>
        <w:t xml:space="preserve"> </w:t>
      </w:r>
      <w:proofErr w:type="spellStart"/>
      <w:r w:rsidRPr="00D32DC0">
        <w:rPr>
          <w:i/>
        </w:rPr>
        <w:t>Recruitment</w:t>
      </w:r>
      <w:proofErr w:type="spellEnd"/>
      <w:r w:rsidRPr="00D32DC0">
        <w:rPr>
          <w:i/>
        </w:rPr>
        <w:t xml:space="preserve"> </w:t>
      </w:r>
      <w:proofErr w:type="spellStart"/>
      <w:r w:rsidRPr="00D32DC0">
        <w:rPr>
          <w:i/>
        </w:rPr>
        <w:t>of</w:t>
      </w:r>
      <w:proofErr w:type="spellEnd"/>
      <w:r w:rsidRPr="00D32DC0">
        <w:rPr>
          <w:i/>
        </w:rPr>
        <w:t xml:space="preserve"> </w:t>
      </w:r>
      <w:proofErr w:type="spellStart"/>
      <w:r w:rsidRPr="00D32DC0">
        <w:rPr>
          <w:i/>
        </w:rPr>
        <w:t>Researchers</w:t>
      </w:r>
      <w:proofErr w:type="spellEnd"/>
      <w:r w:rsidRPr="006275F9">
        <w:t xml:space="preserve">, jejichž aplikace vede k získání tzv. „HR Excellence in </w:t>
      </w:r>
      <w:proofErr w:type="spellStart"/>
      <w:r w:rsidRPr="006275F9">
        <w:t>Research</w:t>
      </w:r>
      <w:proofErr w:type="spellEnd"/>
      <w:r w:rsidRPr="006275F9">
        <w:t xml:space="preserve"> </w:t>
      </w:r>
      <w:proofErr w:type="spellStart"/>
      <w:r w:rsidRPr="006275F9">
        <w:t>Award</w:t>
      </w:r>
      <w:proofErr w:type="spellEnd"/>
      <w:r w:rsidRPr="006275F9">
        <w:t>“;</w:t>
      </w:r>
    </w:p>
    <w:p w14:paraId="23EEB238" w14:textId="77777777" w:rsidR="00393FC4" w:rsidRPr="006275F9" w:rsidRDefault="00393FC4" w:rsidP="00D32DC0">
      <w:pPr>
        <w:spacing w:after="0" w:line="240" w:lineRule="auto"/>
        <w:ind w:left="360"/>
        <w:jc w:val="both"/>
      </w:pPr>
    </w:p>
    <w:p w14:paraId="6BB8CF30" w14:textId="38701496" w:rsidR="009C249A" w:rsidRDefault="009C249A" w:rsidP="00D32DC0">
      <w:pPr>
        <w:pStyle w:val="Odstavecseseznamem"/>
        <w:numPr>
          <w:ilvl w:val="0"/>
          <w:numId w:val="36"/>
        </w:numPr>
        <w:spacing w:line="240" w:lineRule="auto"/>
        <w:ind w:left="360"/>
        <w:jc w:val="both"/>
      </w:pPr>
      <w:r w:rsidRPr="006275F9">
        <w:t xml:space="preserve">Příprava a </w:t>
      </w:r>
      <w:r w:rsidRPr="00D32DC0">
        <w:rPr>
          <w:b/>
        </w:rPr>
        <w:t xml:space="preserve">sdílení domácí a zahraniční dobré praxe v oblasti implementace principů kulturní a institucionální změny </w:t>
      </w:r>
      <w:r w:rsidR="00D32DC0">
        <w:rPr>
          <w:b/>
        </w:rPr>
        <w:t xml:space="preserve">výzkumných organizací, a to </w:t>
      </w:r>
      <w:r w:rsidRPr="00D32DC0">
        <w:rPr>
          <w:b/>
        </w:rPr>
        <w:t xml:space="preserve">prostřednictvím plánů genderové rovnosti a genderového </w:t>
      </w:r>
      <w:proofErr w:type="spellStart"/>
      <w:r w:rsidRPr="00D32DC0">
        <w:rPr>
          <w:b/>
        </w:rPr>
        <w:t>mainstreamingu</w:t>
      </w:r>
      <w:proofErr w:type="spellEnd"/>
      <w:r w:rsidRPr="006275F9">
        <w:t xml:space="preserve">, včetně diseminace metodické příručky průběžně aktualizované v souladu se současnými požadavky, </w:t>
      </w:r>
      <w:r w:rsidR="00D32DC0">
        <w:t>které</w:t>
      </w:r>
      <w:r w:rsidRPr="006275F9">
        <w:t xml:space="preserve"> jsou kladeny v oblasti rozvoje lidských zdrojů pro </w:t>
      </w:r>
      <w:proofErr w:type="spellStart"/>
      <w:r w:rsidRPr="006275F9">
        <w:t>VaVaI</w:t>
      </w:r>
      <w:proofErr w:type="spellEnd"/>
      <w:r w:rsidRPr="006275F9">
        <w:t xml:space="preserve"> a zároveň reflektují vývoj na úrovni EU.</w:t>
      </w:r>
    </w:p>
    <w:p w14:paraId="1737C3B2" w14:textId="77777777" w:rsidR="00393FC4" w:rsidRPr="006275F9" w:rsidRDefault="00393FC4" w:rsidP="00393FC4">
      <w:pPr>
        <w:spacing w:after="0" w:line="240" w:lineRule="auto"/>
        <w:ind w:left="720"/>
        <w:jc w:val="both"/>
      </w:pPr>
    </w:p>
    <w:p w14:paraId="637B7E41" w14:textId="77777777" w:rsidR="009C249A" w:rsidRDefault="009C249A" w:rsidP="00393FC4">
      <w:pPr>
        <w:spacing w:after="0" w:line="240" w:lineRule="auto"/>
        <w:jc w:val="both"/>
      </w:pPr>
      <w:r w:rsidRPr="006275F9">
        <w:t xml:space="preserve">V návaznosti na výše uvedené NKC v rámci implementace projektu sdílených činností zajistí pro výzkumné organizace také veškerý </w:t>
      </w:r>
      <w:r w:rsidRPr="006275F9">
        <w:rPr>
          <w:b/>
        </w:rPr>
        <w:t xml:space="preserve">informační, konzultační a poradenský servis, který souvisí s naplněním požadavků kladených na genderová témata v projektech FP9 </w:t>
      </w:r>
      <w:r w:rsidRPr="006275F9">
        <w:t xml:space="preserve">a jenž velmi úzce souvisí mj. i s výše uvedeným nastavením institucionálních procesů a implementací opatření a plánů genderové rovnosti ve </w:t>
      </w:r>
      <w:proofErr w:type="spellStart"/>
      <w:r w:rsidRPr="006275F9">
        <w:t>VaVaI</w:t>
      </w:r>
      <w:proofErr w:type="spellEnd"/>
      <w:r w:rsidRPr="006275F9">
        <w:t xml:space="preserve"> ve výzkumných organizacích. Uvedené činnosti budou zabezpečeny zejména následujícími formami:</w:t>
      </w:r>
    </w:p>
    <w:p w14:paraId="515B43BA" w14:textId="77777777" w:rsidR="00393FC4" w:rsidRPr="006275F9" w:rsidRDefault="00393FC4" w:rsidP="00393FC4">
      <w:pPr>
        <w:spacing w:after="0" w:line="240" w:lineRule="auto"/>
        <w:jc w:val="both"/>
      </w:pPr>
    </w:p>
    <w:p w14:paraId="1C47DCCC" w14:textId="77777777" w:rsidR="009C249A" w:rsidRDefault="009C249A" w:rsidP="00D32DC0">
      <w:pPr>
        <w:pStyle w:val="Odstavecseseznamem"/>
        <w:numPr>
          <w:ilvl w:val="0"/>
          <w:numId w:val="37"/>
        </w:numPr>
        <w:spacing w:line="240" w:lineRule="auto"/>
        <w:ind w:left="360"/>
        <w:jc w:val="both"/>
      </w:pPr>
      <w:r w:rsidRPr="00D32DC0">
        <w:rPr>
          <w:b/>
        </w:rPr>
        <w:t xml:space="preserve">Informační servis poskytovaný v rámci národních informačních dní organizovaných NICER k vyhlašovaným výzvám FP9 </w:t>
      </w:r>
      <w:r w:rsidRPr="006275F9">
        <w:t>za účelem obeznámení potenciálních uchazečů o podporu s genderovými aspekty výzev FP9, jež je potřeba při podávání návrhů projektů FP9 plnohodnotně zohlednit;</w:t>
      </w:r>
    </w:p>
    <w:p w14:paraId="35421C06" w14:textId="77777777" w:rsidR="00393FC4" w:rsidRPr="006275F9" w:rsidRDefault="00393FC4" w:rsidP="00D32DC0">
      <w:pPr>
        <w:pStyle w:val="Odstavecseseznamem"/>
        <w:numPr>
          <w:ilvl w:val="0"/>
          <w:numId w:val="0"/>
        </w:numPr>
        <w:spacing w:line="240" w:lineRule="auto"/>
        <w:ind w:left="354"/>
        <w:contextualSpacing w:val="0"/>
        <w:jc w:val="both"/>
      </w:pPr>
    </w:p>
    <w:p w14:paraId="509FC33C" w14:textId="77777777" w:rsidR="009C249A" w:rsidRDefault="009C249A" w:rsidP="00D32DC0">
      <w:pPr>
        <w:pStyle w:val="Odstavecseseznamem"/>
        <w:numPr>
          <w:ilvl w:val="0"/>
          <w:numId w:val="37"/>
        </w:numPr>
        <w:spacing w:line="240" w:lineRule="auto"/>
        <w:ind w:left="360"/>
        <w:jc w:val="both"/>
      </w:pPr>
      <w:r w:rsidRPr="00D32DC0">
        <w:rPr>
          <w:b/>
        </w:rPr>
        <w:lastRenderedPageBreak/>
        <w:t>Individuální konzultační podpora jednotlivým týmům zapojujícím se do projektů FP9</w:t>
      </w:r>
      <w:r w:rsidRPr="006275F9">
        <w:t xml:space="preserve"> anebo HR oddělením výzkumných organizací po dobu trvání všech etap životního cyklu projektu FP9, od přípravy jeho návrhu, přes jeho realizaci až po jeho závěrečnou evaluaci;</w:t>
      </w:r>
    </w:p>
    <w:p w14:paraId="4439E9C5" w14:textId="77777777" w:rsidR="00393FC4" w:rsidRPr="006275F9" w:rsidRDefault="00393FC4" w:rsidP="00D32DC0">
      <w:pPr>
        <w:pStyle w:val="Odstavecseseznamem"/>
        <w:numPr>
          <w:ilvl w:val="0"/>
          <w:numId w:val="0"/>
        </w:numPr>
        <w:spacing w:line="240" w:lineRule="auto"/>
        <w:ind w:left="354"/>
        <w:contextualSpacing w:val="0"/>
        <w:jc w:val="both"/>
      </w:pPr>
    </w:p>
    <w:p w14:paraId="6E820815" w14:textId="559894BA" w:rsidR="009C249A" w:rsidRPr="006275F9" w:rsidRDefault="009C249A" w:rsidP="00D32DC0">
      <w:pPr>
        <w:pStyle w:val="Odstavecseseznamem"/>
        <w:numPr>
          <w:ilvl w:val="0"/>
          <w:numId w:val="37"/>
        </w:numPr>
        <w:spacing w:line="240" w:lineRule="auto"/>
        <w:ind w:left="360"/>
        <w:jc w:val="both"/>
      </w:pPr>
      <w:r w:rsidRPr="006275F9">
        <w:t>Diseminace informací o výsledcích významných</w:t>
      </w:r>
      <w:r w:rsidR="00CE4661">
        <w:t xml:space="preserve"> mezinárodních projektů </w:t>
      </w:r>
      <w:proofErr w:type="spellStart"/>
      <w:r w:rsidR="00CE4661">
        <w:t>VaVaI</w:t>
      </w:r>
      <w:proofErr w:type="spellEnd"/>
      <w:r w:rsidR="00CE4661">
        <w:t xml:space="preserve"> v </w:t>
      </w:r>
      <w:r w:rsidRPr="006275F9">
        <w:t xml:space="preserve">kontextu </w:t>
      </w:r>
      <w:r w:rsidRPr="00D32DC0">
        <w:rPr>
          <w:b/>
        </w:rPr>
        <w:t xml:space="preserve">šíření povědomí o důležitosti genderových otázek ve </w:t>
      </w:r>
      <w:proofErr w:type="spellStart"/>
      <w:r w:rsidRPr="00D32DC0">
        <w:rPr>
          <w:b/>
        </w:rPr>
        <w:t>VaVaI</w:t>
      </w:r>
      <w:proofErr w:type="spellEnd"/>
      <w:r w:rsidRPr="006275F9">
        <w:t xml:space="preserve"> v mezinárodním prostředí, zejména v rámci FP9.</w:t>
      </w:r>
    </w:p>
    <w:p w14:paraId="0DD100DC" w14:textId="77777777" w:rsidR="009C249A" w:rsidRPr="00D32DC0" w:rsidRDefault="009C249A" w:rsidP="00D32DC0">
      <w:pPr>
        <w:spacing w:before="240" w:after="240" w:line="240" w:lineRule="auto"/>
        <w:jc w:val="both"/>
        <w:rPr>
          <w:b/>
        </w:rPr>
      </w:pPr>
      <w:r w:rsidRPr="00D32DC0">
        <w:rPr>
          <w:b/>
        </w:rPr>
        <w:t xml:space="preserve">B. Expertní podpora orgánů státní správy ČR v oblasti genderové rovnosti ve </w:t>
      </w:r>
      <w:proofErr w:type="spellStart"/>
      <w:r w:rsidRPr="00D32DC0">
        <w:rPr>
          <w:b/>
        </w:rPr>
        <w:t>VaVaI</w:t>
      </w:r>
      <w:proofErr w:type="spellEnd"/>
    </w:p>
    <w:p w14:paraId="6B5035A4" w14:textId="77777777" w:rsidR="009C249A" w:rsidRDefault="009C249A" w:rsidP="00393FC4">
      <w:pPr>
        <w:spacing w:after="0" w:line="240" w:lineRule="auto"/>
        <w:jc w:val="both"/>
      </w:pPr>
      <w:r w:rsidRPr="006275F9">
        <w:t xml:space="preserve">NKC bude poskytovat </w:t>
      </w:r>
      <w:r w:rsidRPr="006275F9">
        <w:rPr>
          <w:b/>
        </w:rPr>
        <w:t>analytickou a expertní oporu orgánům státní správy ČR</w:t>
      </w:r>
      <w:r w:rsidRPr="006275F9">
        <w:t xml:space="preserve"> v oblastech, které souvisejí s problematikou genderové rovnosti ve </w:t>
      </w:r>
      <w:proofErr w:type="spellStart"/>
      <w:r w:rsidRPr="006275F9">
        <w:t>VaVaI</w:t>
      </w:r>
      <w:proofErr w:type="spellEnd"/>
      <w:r w:rsidRPr="006275F9">
        <w:t xml:space="preserve">, a to prostřednictvím konzultací, přípravou podkladových materiálů o příkladech zahraniční dobré praxe implementace principů kulturní a institucionální změny a genderového </w:t>
      </w:r>
      <w:proofErr w:type="spellStart"/>
      <w:r w:rsidRPr="006275F9">
        <w:t>mainstreamingu</w:t>
      </w:r>
      <w:proofErr w:type="spellEnd"/>
      <w:r w:rsidRPr="006275F9">
        <w:t xml:space="preserve"> a informováním o nejnovějším vývoji na úrovni EU v agendách rozvoje lidských zdrojů a genderové rovnosti ve </w:t>
      </w:r>
      <w:proofErr w:type="spellStart"/>
      <w:r w:rsidRPr="006275F9">
        <w:t>VaVaI</w:t>
      </w:r>
      <w:proofErr w:type="spellEnd"/>
      <w:r w:rsidRPr="006275F9">
        <w:t>. NKC bude realizovat zejména následující aktivity:</w:t>
      </w:r>
    </w:p>
    <w:p w14:paraId="2F542C5A" w14:textId="77777777" w:rsidR="00D32DC0" w:rsidRPr="006275F9" w:rsidRDefault="00D32DC0" w:rsidP="00393FC4">
      <w:pPr>
        <w:spacing w:after="0" w:line="240" w:lineRule="auto"/>
        <w:jc w:val="both"/>
      </w:pPr>
    </w:p>
    <w:p w14:paraId="0FD7AD2B" w14:textId="77777777" w:rsidR="009C249A" w:rsidRDefault="009C249A" w:rsidP="00D32DC0">
      <w:pPr>
        <w:pStyle w:val="Odstavecseseznamem"/>
        <w:numPr>
          <w:ilvl w:val="0"/>
          <w:numId w:val="38"/>
        </w:numPr>
        <w:spacing w:line="240" w:lineRule="auto"/>
        <w:ind w:left="360"/>
        <w:jc w:val="both"/>
      </w:pPr>
      <w:r w:rsidRPr="00D32DC0">
        <w:rPr>
          <w:b/>
        </w:rPr>
        <w:t>Spolupráce s orgány stání správy ČR v oblasti tvorby a naplňování veřejných politik ČR, co se týká genderové rovnosti</w:t>
      </w:r>
      <w:r w:rsidRPr="006275F9">
        <w:t xml:space="preserve"> </w:t>
      </w:r>
      <w:r w:rsidRPr="00D32DC0">
        <w:rPr>
          <w:b/>
        </w:rPr>
        <w:t xml:space="preserve">ve </w:t>
      </w:r>
      <w:proofErr w:type="spellStart"/>
      <w:r w:rsidRPr="00D32DC0">
        <w:rPr>
          <w:b/>
        </w:rPr>
        <w:t>VaVaI</w:t>
      </w:r>
      <w:proofErr w:type="spellEnd"/>
      <w:r w:rsidRPr="006275F9">
        <w:t xml:space="preserve"> – NKC se bude zapojovat do konzultací legislativy a dalších strategických, resp. koncepčních dokumentů se vztahem k agendám </w:t>
      </w:r>
      <w:proofErr w:type="spellStart"/>
      <w:r w:rsidRPr="006275F9">
        <w:t>VaVaI</w:t>
      </w:r>
      <w:proofErr w:type="spellEnd"/>
      <w:r w:rsidRPr="006275F9">
        <w:t xml:space="preserve"> na úrovni ČR, tak i EU, a poskytovat věcně příslušným orgánům státní správy ČR podněty, podklady a stanoviska k problematice genderové rovnosti ve </w:t>
      </w:r>
      <w:proofErr w:type="spellStart"/>
      <w:r w:rsidRPr="006275F9">
        <w:t>VaVaI</w:t>
      </w:r>
      <w:proofErr w:type="spellEnd"/>
      <w:r w:rsidRPr="006275F9">
        <w:t xml:space="preserve"> na základě analýz v dané oblasti NKC realizovaných;</w:t>
      </w:r>
    </w:p>
    <w:p w14:paraId="373997EB" w14:textId="77777777" w:rsidR="00393FC4" w:rsidRPr="006275F9" w:rsidRDefault="00393FC4" w:rsidP="00D32DC0">
      <w:pPr>
        <w:pStyle w:val="Odstavecseseznamem"/>
        <w:numPr>
          <w:ilvl w:val="0"/>
          <w:numId w:val="0"/>
        </w:numPr>
        <w:spacing w:line="240" w:lineRule="auto"/>
        <w:ind w:left="360"/>
        <w:contextualSpacing w:val="0"/>
        <w:jc w:val="both"/>
      </w:pPr>
    </w:p>
    <w:p w14:paraId="06B55535" w14:textId="77777777" w:rsidR="009C249A" w:rsidRDefault="009C249A" w:rsidP="00D32DC0">
      <w:pPr>
        <w:pStyle w:val="Odstavecseseznamem"/>
        <w:numPr>
          <w:ilvl w:val="0"/>
          <w:numId w:val="38"/>
        </w:numPr>
        <w:spacing w:line="240" w:lineRule="auto"/>
        <w:ind w:left="360"/>
        <w:jc w:val="both"/>
      </w:pPr>
      <w:r w:rsidRPr="00D32DC0">
        <w:rPr>
          <w:b/>
        </w:rPr>
        <w:t xml:space="preserve">Národní konference ke genderové rovnosti ve </w:t>
      </w:r>
      <w:proofErr w:type="spellStart"/>
      <w:r w:rsidRPr="00D32DC0">
        <w:rPr>
          <w:b/>
        </w:rPr>
        <w:t>VaVaI</w:t>
      </w:r>
      <w:proofErr w:type="spellEnd"/>
      <w:r w:rsidRPr="00D32DC0">
        <w:rPr>
          <w:b/>
        </w:rPr>
        <w:t xml:space="preserve"> </w:t>
      </w:r>
      <w:r w:rsidRPr="006275F9">
        <w:t xml:space="preserve">– NKC bude jednou za dva roky organizovat národní konference, které budou mapovat a představovat aktivity výzkumných organizací v oblasti genderové rovnosti ve </w:t>
      </w:r>
      <w:proofErr w:type="spellStart"/>
      <w:r w:rsidRPr="006275F9">
        <w:t>VaVaI</w:t>
      </w:r>
      <w:proofErr w:type="spellEnd"/>
      <w:r w:rsidRPr="006275F9">
        <w:t xml:space="preserve">, zprostředkovávat diskuzní platformu pro výměnu zkušeností v zavádění principu gender </w:t>
      </w:r>
      <w:proofErr w:type="spellStart"/>
      <w:r w:rsidRPr="006275F9">
        <w:t>mainstreamingu</w:t>
      </w:r>
      <w:proofErr w:type="spellEnd"/>
      <w:r w:rsidRPr="006275F9">
        <w:t xml:space="preserve"> a dalších opatření v rámci výzkumných organizací a seznamovat s evropským kontextem a vývojem v dané oblasti;</w:t>
      </w:r>
    </w:p>
    <w:p w14:paraId="3785D6C8" w14:textId="77777777" w:rsidR="00393FC4" w:rsidRPr="006275F9" w:rsidRDefault="00393FC4" w:rsidP="00D32DC0">
      <w:pPr>
        <w:pStyle w:val="Odstavecseseznamem"/>
        <w:numPr>
          <w:ilvl w:val="0"/>
          <w:numId w:val="0"/>
        </w:numPr>
        <w:spacing w:line="240" w:lineRule="auto"/>
        <w:ind w:left="360"/>
        <w:contextualSpacing w:val="0"/>
        <w:jc w:val="both"/>
      </w:pPr>
    </w:p>
    <w:p w14:paraId="0F667C86" w14:textId="4FD20742" w:rsidR="009C249A" w:rsidRDefault="009C249A" w:rsidP="00D32DC0">
      <w:pPr>
        <w:pStyle w:val="Odstavecseseznamem"/>
        <w:numPr>
          <w:ilvl w:val="0"/>
          <w:numId w:val="38"/>
        </w:numPr>
        <w:spacing w:line="240" w:lineRule="auto"/>
        <w:ind w:left="360"/>
        <w:jc w:val="both"/>
      </w:pPr>
      <w:r w:rsidRPr="00D32DC0">
        <w:rPr>
          <w:b/>
        </w:rPr>
        <w:t xml:space="preserve">Osvětové činnosti v oblasti genderové dimenze </w:t>
      </w:r>
      <w:proofErr w:type="spellStart"/>
      <w:r w:rsidRPr="00D32DC0">
        <w:rPr>
          <w:b/>
        </w:rPr>
        <w:t>VaVaI</w:t>
      </w:r>
      <w:proofErr w:type="spellEnd"/>
      <w:r w:rsidRPr="00D32DC0">
        <w:rPr>
          <w:b/>
        </w:rPr>
        <w:t xml:space="preserve"> jakožto součásti společensky odpovědného </w:t>
      </w:r>
      <w:proofErr w:type="spellStart"/>
      <w:r w:rsidRPr="00D32DC0">
        <w:rPr>
          <w:b/>
        </w:rPr>
        <w:t>VaVaI</w:t>
      </w:r>
      <w:proofErr w:type="spellEnd"/>
      <w:r w:rsidRPr="00D32DC0">
        <w:rPr>
          <w:b/>
        </w:rPr>
        <w:t xml:space="preserve"> </w:t>
      </w:r>
      <w:r w:rsidRPr="006275F9">
        <w:t xml:space="preserve">– NKC bude realizovat informační a vzdělávací kampaň k důležitosti genderové dimenze ve </w:t>
      </w:r>
      <w:proofErr w:type="spellStart"/>
      <w:r w:rsidRPr="006275F9">
        <w:t>VaVaI</w:t>
      </w:r>
      <w:proofErr w:type="spellEnd"/>
      <w:r w:rsidRPr="006275F9">
        <w:t xml:space="preserve"> jako součásti společensky odpovědného </w:t>
      </w:r>
      <w:proofErr w:type="spellStart"/>
      <w:r w:rsidRPr="006275F9">
        <w:t>VaVaI</w:t>
      </w:r>
      <w:proofErr w:type="spellEnd"/>
      <w:r w:rsidRPr="006275F9">
        <w:t xml:space="preserve"> a budování důvěry společnosti ve výsledky </w:t>
      </w:r>
      <w:proofErr w:type="spellStart"/>
      <w:r w:rsidRPr="006275F9">
        <w:t>VaVaI</w:t>
      </w:r>
      <w:proofErr w:type="spellEnd"/>
      <w:r w:rsidRPr="006275F9">
        <w:t xml:space="preserve"> z pohledu genderové dimenze ve </w:t>
      </w:r>
      <w:proofErr w:type="spellStart"/>
      <w:r w:rsidRPr="006275F9">
        <w:t>VaVaI</w:t>
      </w:r>
      <w:proofErr w:type="spellEnd"/>
      <w:r w:rsidRPr="006275F9">
        <w:t>, a to formou popularizačních aktivit pro odbornou</w:t>
      </w:r>
      <w:r w:rsidR="00D32DC0">
        <w:t>, jakož</w:t>
      </w:r>
      <w:r w:rsidRPr="006275F9">
        <w:t xml:space="preserve"> i širší veřejnost (např. </w:t>
      </w:r>
      <w:r>
        <w:t xml:space="preserve">aktualizace informačního portálu, </w:t>
      </w:r>
      <w:r w:rsidRPr="006275F9">
        <w:t xml:space="preserve">přednášky, debatní setkání, kampaně, výstavy, včetně zapojení do </w:t>
      </w:r>
      <w:r w:rsidR="00D32DC0">
        <w:t>Mezinárodního dne žen ve vědě Organizace spojených národů</w:t>
      </w:r>
      <w:r w:rsidRPr="006275F9">
        <w:t xml:space="preserve"> či organizace Noci vědců a vědkyň apod.);</w:t>
      </w:r>
    </w:p>
    <w:p w14:paraId="248D8A47" w14:textId="77777777" w:rsidR="00393FC4" w:rsidRPr="006275F9" w:rsidRDefault="00393FC4" w:rsidP="00D32DC0">
      <w:pPr>
        <w:pStyle w:val="Odstavecseseznamem"/>
        <w:numPr>
          <w:ilvl w:val="0"/>
          <w:numId w:val="0"/>
        </w:numPr>
        <w:spacing w:line="240" w:lineRule="auto"/>
        <w:ind w:left="360"/>
        <w:contextualSpacing w:val="0"/>
        <w:jc w:val="both"/>
      </w:pPr>
    </w:p>
    <w:p w14:paraId="1BBCB107" w14:textId="77777777" w:rsidR="009C249A" w:rsidRDefault="009C249A" w:rsidP="00D32DC0">
      <w:pPr>
        <w:pStyle w:val="Odstavecseseznamem"/>
        <w:numPr>
          <w:ilvl w:val="0"/>
          <w:numId w:val="38"/>
        </w:numPr>
        <w:spacing w:line="240" w:lineRule="auto"/>
        <w:ind w:left="360"/>
        <w:jc w:val="both"/>
      </w:pPr>
      <w:r w:rsidRPr="00D32DC0">
        <w:rPr>
          <w:b/>
        </w:rPr>
        <w:t>Cena Milady Paulové</w:t>
      </w:r>
      <w:r w:rsidRPr="006275F9">
        <w:t xml:space="preserve"> – NKC bude nadále spolupracovat s MŠMT na udílení Ceny Milady Paulové, ať už co se týká návrhu oboru, ve kterém se Cena Milady Paulové v každoroční periodě uděluje (tj. významná výročí či tematická zaměření významných milníků z pohledu působení žen ve </w:t>
      </w:r>
      <w:proofErr w:type="spellStart"/>
      <w:r w:rsidRPr="006275F9">
        <w:t>VaVaI</w:t>
      </w:r>
      <w:proofErr w:type="spellEnd"/>
      <w:r w:rsidRPr="006275F9">
        <w:t>), tak i diseminace informací o Ceně Milady Paulové a marketingu jejího významu v rámci výzkumné komunity ČR, práce hodnotící komise, která doporučuje laureátku z nominovaných uchazeček, a spolupráce na přípravě slavnostního ceremoniálu a komunikace / PR přínosu nominovaných žen vědkyň a laureátky Ceny Milady Paulové.</w:t>
      </w:r>
    </w:p>
    <w:p w14:paraId="64FE948A" w14:textId="77777777" w:rsidR="00393FC4" w:rsidRPr="006275F9" w:rsidRDefault="00393FC4" w:rsidP="00393FC4">
      <w:pPr>
        <w:pStyle w:val="Odstavecseseznamem"/>
        <w:numPr>
          <w:ilvl w:val="0"/>
          <w:numId w:val="0"/>
        </w:numPr>
        <w:spacing w:line="240" w:lineRule="auto"/>
        <w:ind w:left="720"/>
        <w:contextualSpacing w:val="0"/>
        <w:jc w:val="both"/>
      </w:pPr>
    </w:p>
    <w:p w14:paraId="22CCD789" w14:textId="77777777" w:rsidR="009C249A" w:rsidRPr="006275F9" w:rsidRDefault="009C249A" w:rsidP="00393FC4">
      <w:pPr>
        <w:spacing w:after="0" w:line="240" w:lineRule="auto"/>
        <w:jc w:val="both"/>
      </w:pPr>
      <w:r w:rsidRPr="006275F9">
        <w:t xml:space="preserve">NKC bude svůj informační servis v oblasti genderových otázek ve </w:t>
      </w:r>
      <w:proofErr w:type="spellStart"/>
      <w:r w:rsidRPr="006275F9">
        <w:t>VaVaI</w:t>
      </w:r>
      <w:proofErr w:type="spellEnd"/>
      <w:r w:rsidRPr="006275F9">
        <w:t xml:space="preserve"> poskytovat v českém i v anglickém jazyce. Pro tyto účely bude spravovat informační portál</w:t>
      </w:r>
      <w:hyperlink r:id="rId8">
        <w:r w:rsidRPr="006275F9">
          <w:rPr>
            <w:rStyle w:val="Hypertextovodkaz"/>
          </w:rPr>
          <w:t xml:space="preserve"> </w:t>
        </w:r>
      </w:hyperlink>
      <w:hyperlink r:id="rId9">
        <w:r w:rsidRPr="006275F9">
          <w:rPr>
            <w:rStyle w:val="Hypertextovodkaz"/>
            <w:b/>
          </w:rPr>
          <w:t>www.genderaveda.cz</w:t>
        </w:r>
      </w:hyperlink>
      <w:r w:rsidRPr="006275F9">
        <w:t xml:space="preserve">, který bude hlavním </w:t>
      </w:r>
      <w:r w:rsidRPr="006275F9">
        <w:rPr>
          <w:b/>
        </w:rPr>
        <w:t>komunikačním kanálem NKC</w:t>
      </w:r>
      <w:r w:rsidRPr="006275F9">
        <w:t xml:space="preserve">. O své činnosti a vývoji na poli genderové rovnosti ve </w:t>
      </w:r>
      <w:proofErr w:type="spellStart"/>
      <w:r w:rsidRPr="006275F9">
        <w:t>VaVaI</w:t>
      </w:r>
      <w:proofErr w:type="spellEnd"/>
      <w:r w:rsidRPr="006275F9">
        <w:t xml:space="preserve"> bude NKC informovat i na sociálních sítích </w:t>
      </w:r>
      <w:proofErr w:type="spellStart"/>
      <w:r w:rsidRPr="006275F9">
        <w:t>Facebook</w:t>
      </w:r>
      <w:proofErr w:type="spellEnd"/>
      <w:r w:rsidRPr="006275F9">
        <w:t xml:space="preserve">, </w:t>
      </w:r>
      <w:proofErr w:type="spellStart"/>
      <w:r w:rsidRPr="006275F9">
        <w:t>Instagram</w:t>
      </w:r>
      <w:proofErr w:type="spellEnd"/>
      <w:r w:rsidRPr="006275F9">
        <w:t xml:space="preserve">, </w:t>
      </w:r>
      <w:proofErr w:type="spellStart"/>
      <w:r w:rsidRPr="006275F9">
        <w:t>Twitter</w:t>
      </w:r>
      <w:proofErr w:type="spellEnd"/>
      <w:r w:rsidRPr="006275F9">
        <w:t xml:space="preserve">, </w:t>
      </w:r>
      <w:proofErr w:type="spellStart"/>
      <w:r w:rsidRPr="006275F9">
        <w:t>YouTube</w:t>
      </w:r>
      <w:proofErr w:type="spellEnd"/>
      <w:r w:rsidRPr="006275F9">
        <w:t xml:space="preserve"> a </w:t>
      </w:r>
      <w:proofErr w:type="spellStart"/>
      <w:r w:rsidRPr="006275F9">
        <w:t>Linked</w:t>
      </w:r>
      <w:proofErr w:type="spellEnd"/>
      <w:r w:rsidRPr="006275F9">
        <w:t xml:space="preserve">-In. V neposlední řadě bude NKC spolupracovat rovněž s médii za účelem překonání přetrvávajícího stereotypního vnímání </w:t>
      </w:r>
      <w:proofErr w:type="spellStart"/>
      <w:r w:rsidRPr="006275F9">
        <w:t>VaVaI</w:t>
      </w:r>
      <w:proofErr w:type="spellEnd"/>
      <w:r w:rsidRPr="006275F9">
        <w:t xml:space="preserve"> jako převážně domény mužů.</w:t>
      </w:r>
    </w:p>
    <w:p w14:paraId="27756FB9" w14:textId="77777777" w:rsidR="009C249A" w:rsidRDefault="009C249A" w:rsidP="00393FC4">
      <w:pPr>
        <w:spacing w:after="0" w:line="240" w:lineRule="auto"/>
        <w:jc w:val="both"/>
      </w:pPr>
    </w:p>
    <w:p w14:paraId="201A40C3" w14:textId="77777777" w:rsidR="00000612" w:rsidRDefault="00000612" w:rsidP="00393FC4">
      <w:pPr>
        <w:spacing w:after="0" w:line="240" w:lineRule="auto"/>
        <w:jc w:val="both"/>
      </w:pPr>
    </w:p>
    <w:p w14:paraId="2A332C51" w14:textId="77777777" w:rsidR="00000612" w:rsidRPr="006275F9" w:rsidRDefault="00000612" w:rsidP="00393FC4">
      <w:pPr>
        <w:spacing w:after="0" w:line="240" w:lineRule="auto"/>
        <w:jc w:val="both"/>
      </w:pPr>
    </w:p>
    <w:p w14:paraId="5F4BD496" w14:textId="77777777" w:rsidR="009C249A" w:rsidRPr="00000612" w:rsidRDefault="009C249A" w:rsidP="00000612">
      <w:pPr>
        <w:spacing w:before="240" w:after="240" w:line="240" w:lineRule="auto"/>
        <w:jc w:val="both"/>
        <w:rPr>
          <w:b/>
        </w:rPr>
      </w:pPr>
      <w:r w:rsidRPr="00000612">
        <w:rPr>
          <w:b/>
        </w:rPr>
        <w:lastRenderedPageBreak/>
        <w:t xml:space="preserve">C. Expertní podpora pro plnění závazků ČR v oblasti genderové rovnosti ve </w:t>
      </w:r>
      <w:proofErr w:type="spellStart"/>
      <w:r w:rsidRPr="00000612">
        <w:rPr>
          <w:b/>
        </w:rPr>
        <w:t>VaVaI</w:t>
      </w:r>
      <w:proofErr w:type="spellEnd"/>
    </w:p>
    <w:p w14:paraId="3220A7C6" w14:textId="63C0A078" w:rsidR="009C249A" w:rsidRDefault="009C249A" w:rsidP="00A62EE5">
      <w:pPr>
        <w:spacing w:after="0" w:line="240" w:lineRule="auto"/>
        <w:jc w:val="both"/>
      </w:pPr>
      <w:r w:rsidRPr="006275F9">
        <w:t xml:space="preserve">NKC se dlouhodobě účastní práce evropských poradních orgánů pro další rozvoj ERA, a to prostřednictvím </w:t>
      </w:r>
      <w:r w:rsidR="00000612">
        <w:t>zapojení</w:t>
      </w:r>
      <w:r w:rsidRPr="006275F9">
        <w:t xml:space="preserve"> Mgr. Marcely Linkové, Ph.D. Od pol. roku 2017 působí Mgr. Marcela Linková, Ph.D. jako předsedkyně </w:t>
      </w:r>
      <w:r w:rsidRPr="006275F9">
        <w:rPr>
          <w:b/>
        </w:rPr>
        <w:t xml:space="preserve">ERAC </w:t>
      </w:r>
      <w:proofErr w:type="spellStart"/>
      <w:r w:rsidRPr="006275F9">
        <w:rPr>
          <w:b/>
        </w:rPr>
        <w:t>Standing</w:t>
      </w:r>
      <w:proofErr w:type="spellEnd"/>
      <w:r w:rsidRPr="006275F9">
        <w:rPr>
          <w:b/>
        </w:rPr>
        <w:t xml:space="preserve"> </w:t>
      </w:r>
      <w:proofErr w:type="spellStart"/>
      <w:r w:rsidRPr="006275F9">
        <w:rPr>
          <w:b/>
        </w:rPr>
        <w:t>Working</w:t>
      </w:r>
      <w:proofErr w:type="spellEnd"/>
      <w:r w:rsidRPr="006275F9">
        <w:rPr>
          <w:b/>
        </w:rPr>
        <w:t xml:space="preserve"> Group on Gender in </w:t>
      </w:r>
      <w:proofErr w:type="spellStart"/>
      <w:r w:rsidRPr="006275F9">
        <w:rPr>
          <w:b/>
        </w:rPr>
        <w:t>Research</w:t>
      </w:r>
      <w:proofErr w:type="spellEnd"/>
      <w:r w:rsidRPr="006275F9">
        <w:rPr>
          <w:b/>
        </w:rPr>
        <w:t xml:space="preserve"> and Innovation</w:t>
      </w:r>
      <w:r w:rsidRPr="006275F9">
        <w:t xml:space="preserve"> (dále jen „SWG GRI“). V této pozici mj. koordinuje činnosti SWG GRI, zajišťuje plnění Pracovního programu SWG GRI, připravuje návrhy pozičních dokumentů a stanovisek, koordinuje práci podskupin SWG GRI a zajišťuje koordinaci a spolupráci s dalšími skupinami pro ERA prostřednictvím svého členství v </w:t>
      </w:r>
      <w:proofErr w:type="spellStart"/>
      <w:r w:rsidRPr="006275F9">
        <w:rPr>
          <w:i/>
        </w:rPr>
        <w:t>European</w:t>
      </w:r>
      <w:proofErr w:type="spellEnd"/>
      <w:r w:rsidRPr="006275F9">
        <w:rPr>
          <w:i/>
        </w:rPr>
        <w:t xml:space="preserve"> </w:t>
      </w:r>
      <w:proofErr w:type="spellStart"/>
      <w:r w:rsidRPr="006275F9">
        <w:rPr>
          <w:i/>
        </w:rPr>
        <w:t>Research</w:t>
      </w:r>
      <w:proofErr w:type="spellEnd"/>
      <w:r w:rsidRPr="006275F9">
        <w:rPr>
          <w:i/>
        </w:rPr>
        <w:t xml:space="preserve"> Area and Innovation </w:t>
      </w:r>
      <w:proofErr w:type="spellStart"/>
      <w:r w:rsidRPr="006275F9">
        <w:rPr>
          <w:i/>
        </w:rPr>
        <w:t>Committee</w:t>
      </w:r>
      <w:proofErr w:type="spellEnd"/>
      <w:r w:rsidRPr="006275F9">
        <w:t xml:space="preserve"> (ERAC) </w:t>
      </w:r>
      <w:proofErr w:type="spellStart"/>
      <w:r w:rsidRPr="006275F9">
        <w:rPr>
          <w:i/>
        </w:rPr>
        <w:t>Steering</w:t>
      </w:r>
      <w:proofErr w:type="spellEnd"/>
      <w:r w:rsidRPr="006275F9">
        <w:rPr>
          <w:i/>
        </w:rPr>
        <w:t xml:space="preserve"> </w:t>
      </w:r>
      <w:proofErr w:type="spellStart"/>
      <w:r w:rsidRPr="006275F9">
        <w:rPr>
          <w:i/>
        </w:rPr>
        <w:t>Board</w:t>
      </w:r>
      <w:proofErr w:type="spellEnd"/>
      <w:r w:rsidRPr="006275F9">
        <w:t xml:space="preserve">. Zabezpečuje zároveň i vzdělávací a osvětové aktivity vůči skupinám pro ERA a dalším </w:t>
      </w:r>
      <w:proofErr w:type="spellStart"/>
      <w:r w:rsidRPr="006275F9">
        <w:t>stakeholderům</w:t>
      </w:r>
      <w:proofErr w:type="spellEnd"/>
      <w:r w:rsidRPr="006275F9">
        <w:t xml:space="preserve"> na úrovni EU. V této pozici úzce spolupra</w:t>
      </w:r>
      <w:r w:rsidR="00000612">
        <w:t>cuje s Generálním ředitelství Evropské komise</w:t>
      </w:r>
      <w:r w:rsidRPr="006275F9">
        <w:t xml:space="preserve"> pro výzkum a inovace (DG RTD) </w:t>
      </w:r>
      <w:r w:rsidR="00000612">
        <w:t>za účelem</w:t>
      </w:r>
      <w:r w:rsidRPr="006275F9">
        <w:t xml:space="preserve"> koordinovat politiky genderové rovnosti ve </w:t>
      </w:r>
      <w:proofErr w:type="spellStart"/>
      <w:r w:rsidRPr="006275F9">
        <w:t>VaVaI</w:t>
      </w:r>
      <w:proofErr w:type="spellEnd"/>
      <w:r w:rsidRPr="006275F9">
        <w:t>. Prostřednictvím členství a předsednictví v SWG GRI dochází k</w:t>
      </w:r>
      <w:r w:rsidR="00000612">
        <w:t> </w:t>
      </w:r>
      <w:r w:rsidRPr="006275F9">
        <w:t xml:space="preserve">přenosu dobré praxe a transferu znalostí z ostatních členských států EU do ČR. Po revizi evropské poradní struktury v roce 2020 bude NKC nadále zajišťovat expertní podporu MŠMT v oblasti genderové rovnosti, diverzity a inkluze ve </w:t>
      </w:r>
      <w:proofErr w:type="spellStart"/>
      <w:r w:rsidRPr="006275F9">
        <w:t>VaVaI</w:t>
      </w:r>
      <w:proofErr w:type="spellEnd"/>
      <w:r w:rsidRPr="006275F9">
        <w:t>. NKC bude dále působit i v poradních a ex</w:t>
      </w:r>
      <w:r w:rsidR="00000612">
        <w:t>pertních orgánech Evropské komise</w:t>
      </w:r>
      <w:r w:rsidRPr="006275F9">
        <w:t xml:space="preserve"> a Evropského institutu pro genderovou rovnost.</w:t>
      </w:r>
    </w:p>
    <w:p w14:paraId="55F5ED85" w14:textId="77777777" w:rsidR="009C249A" w:rsidRPr="006275F9" w:rsidRDefault="009C249A" w:rsidP="00000612">
      <w:pPr>
        <w:pStyle w:val="Nadpis3"/>
        <w:spacing w:before="240" w:after="240" w:line="240" w:lineRule="auto"/>
        <w:ind w:left="669"/>
        <w:jc w:val="both"/>
      </w:pPr>
      <w:bookmarkStart w:id="31" w:name="_Toc55466823"/>
      <w:r>
        <w:t xml:space="preserve">Modul 3: </w:t>
      </w:r>
      <w:r w:rsidRPr="006275F9">
        <w:t>EURAXESS ČR</w:t>
      </w:r>
      <w:bookmarkEnd w:id="31"/>
    </w:p>
    <w:p w14:paraId="337F5B6E" w14:textId="53F6AF5C" w:rsidR="009C249A" w:rsidRDefault="00B7740D" w:rsidP="00F354F3">
      <w:pPr>
        <w:spacing w:after="0" w:line="240" w:lineRule="auto"/>
        <w:jc w:val="both"/>
      </w:pPr>
      <w:r>
        <w:t>Roku 2005 oslovila Evropská komise</w:t>
      </w:r>
      <w:r w:rsidR="009C249A" w:rsidRPr="006275F9">
        <w:t xml:space="preserve"> členské státy EU a vyzvala je k vytvoření sítě tzv. „center pro mobilitu“. Původní idea spočívala v konkrétní formě pomoci odstraňování administrativních překážek v hostitelských zemích, jež často značně negativně ovlivňovaly přirozenou mobilitu výzkumných pracovníků v rámci ERA a snižovaly globální konkurenceschopnost ERA. Do této evrops</w:t>
      </w:r>
      <w:r w:rsidR="00F354F3">
        <w:t>ké iniciativy se zapojila i ČR.</w:t>
      </w:r>
    </w:p>
    <w:p w14:paraId="6CC0E779" w14:textId="77777777" w:rsidR="00F354F3" w:rsidRPr="006275F9" w:rsidRDefault="00F354F3" w:rsidP="00F354F3">
      <w:pPr>
        <w:spacing w:after="0" w:line="240" w:lineRule="auto"/>
        <w:jc w:val="both"/>
      </w:pPr>
    </w:p>
    <w:p w14:paraId="287F6B14" w14:textId="4C9053B5" w:rsidR="009C249A" w:rsidRDefault="009C249A" w:rsidP="00F354F3">
      <w:pPr>
        <w:spacing w:after="0" w:line="240" w:lineRule="auto"/>
        <w:jc w:val="both"/>
      </w:pPr>
      <w:r w:rsidRPr="006275F9">
        <w:t xml:space="preserve">MŠMT pověřilo Středisko společných činností AV ČR, </w:t>
      </w:r>
      <w:proofErr w:type="spellStart"/>
      <w:proofErr w:type="gramStart"/>
      <w:r w:rsidRPr="006275F9">
        <w:t>v.v.</w:t>
      </w:r>
      <w:proofErr w:type="gramEnd"/>
      <w:r w:rsidRPr="006275F9">
        <w:t>i</w:t>
      </w:r>
      <w:proofErr w:type="spellEnd"/>
      <w:r w:rsidRPr="006275F9">
        <w:t xml:space="preserve">. vypracováním projektu </w:t>
      </w:r>
      <w:r w:rsidRPr="006275F9">
        <w:rPr>
          <w:b/>
        </w:rPr>
        <w:t>„Českého centra pro mobilitu“</w:t>
      </w:r>
      <w:r w:rsidR="00B7740D">
        <w:t xml:space="preserve">, který byl předložen Evropské komisi, kterážto </w:t>
      </w:r>
      <w:r w:rsidRPr="006275F9">
        <w:t>jej finančně podpořila na období let 2005 až 2007. V letech 2008 až 2017 poskytlo finanční podporu na provoz centra pro</w:t>
      </w:r>
      <w:r w:rsidR="00B7740D">
        <w:t xml:space="preserve"> mezinárodní mobilitu již MŠMT </w:t>
      </w:r>
      <w:r w:rsidRPr="006275F9">
        <w:t>v rámci programů EUPRO a EUPRO II. Dotace z programů EUPRO a</w:t>
      </w:r>
      <w:r w:rsidR="00B7740D">
        <w:t> EUPRO II byly zároveň využity také</w:t>
      </w:r>
      <w:r w:rsidRPr="006275F9">
        <w:t xml:space="preserve"> k systematickému rozšíření činností centra na regionální úroveň v podobě tzv. „Regionálních spolupracujících míst“ (dále jen „RSM“), která pracují při vybraných vysokých školách v rámci celé ČR a zabezpečují identickou agendu jako centrum pro mobilitu v Praze, pouze na regionální úrovni ČR. V roce 2009 České centrum pro mobilitu změnilo svůj původní název na </w:t>
      </w:r>
      <w:r w:rsidRPr="006275F9">
        <w:rPr>
          <w:b/>
        </w:rPr>
        <w:t xml:space="preserve">„EURAXESS ČR“ </w:t>
      </w:r>
      <w:r w:rsidRPr="006275F9">
        <w:t xml:space="preserve">z důvodu sjednocení svého názvu s dalšími </w:t>
      </w:r>
      <w:proofErr w:type="spellStart"/>
      <w:r w:rsidRPr="006275F9">
        <w:t>mobilitními</w:t>
      </w:r>
      <w:proofErr w:type="spellEnd"/>
      <w:r w:rsidRPr="006275F9">
        <w:t xml:space="preserve"> centry v Evropě, která jsou zastřešena celoevropskou sítí EURAXESS. Ak</w:t>
      </w:r>
      <w:r w:rsidR="00B7740D">
        <w:t>tuálně se jedná o 502 těchto</w:t>
      </w:r>
      <w:r w:rsidRPr="006275F9">
        <w:t xml:space="preserve"> center EURAXESS provozo</w:t>
      </w:r>
      <w:r w:rsidR="00F354F3">
        <w:t>vaných ve 40 evropských zemích.</w:t>
      </w:r>
    </w:p>
    <w:p w14:paraId="47D4357F" w14:textId="77777777" w:rsidR="00F354F3" w:rsidRPr="006275F9" w:rsidRDefault="00F354F3" w:rsidP="00F354F3">
      <w:pPr>
        <w:spacing w:after="0" w:line="240" w:lineRule="auto"/>
        <w:jc w:val="both"/>
      </w:pPr>
    </w:p>
    <w:p w14:paraId="7B860753" w14:textId="77777777" w:rsidR="009C249A" w:rsidRDefault="009C249A" w:rsidP="00F354F3">
      <w:pPr>
        <w:spacing w:after="0" w:line="240" w:lineRule="auto"/>
        <w:jc w:val="both"/>
      </w:pPr>
      <w:r w:rsidRPr="006275F9">
        <w:t xml:space="preserve">V uplynulých letech </w:t>
      </w:r>
      <w:r w:rsidRPr="006275F9">
        <w:rPr>
          <w:b/>
        </w:rPr>
        <w:t>mezinárodní mobilita výzkumných pracovníků v rámci ČR</w:t>
      </w:r>
      <w:r w:rsidRPr="006275F9">
        <w:t xml:space="preserve"> vykazovala neustále vzrůstající tendenci. Příliv zahraničních pracovníků do ČR zesílil i vzhledem k nově vzniklým velkým výzkumným infrastrukturám a výzkumně-vývojovým centrům a nejen v těchto kapacitách výzkumných organizací ČR je již naprostou samozřejmostí, že součástí týmů jsou rovněž odborníci ze zahraničí. EURAXESS ČR je přirozeným nositelem infrastrukturní podpory takovýchto výzkumných pracovníků a představuje zcela nepostradatelné pracoviště, jehož tým </w:t>
      </w:r>
      <w:r w:rsidRPr="006275F9">
        <w:rPr>
          <w:b/>
        </w:rPr>
        <w:t>denně pomáhá zahraničním odborníkům při vstupu do ČR a v záležitostech, jež souvisí s jejich pobytem v ČR.</w:t>
      </w:r>
      <w:r w:rsidRPr="006275F9">
        <w:t xml:space="preserve"> Zároveň jsou služby této sítě k dispozici také zaměstnavatelům těchto výzkumných pracovníků. Asistence a metodická pomoc se stala pro vědce, přicházející do ČR ze zahraničí, i jejich tuzemské zaměstnavatele, stěžejním prvkem a neodmyslitelnou oporou v mnohdy náročných administrativních procesech, jež zaměstnávání zahraničních pracovníků v ČR přináší.</w:t>
      </w:r>
    </w:p>
    <w:p w14:paraId="4CF1623C" w14:textId="77777777" w:rsidR="00F354F3" w:rsidRPr="006275F9" w:rsidRDefault="00F354F3" w:rsidP="00F354F3">
      <w:pPr>
        <w:spacing w:after="0" w:line="240" w:lineRule="auto"/>
        <w:jc w:val="both"/>
      </w:pPr>
    </w:p>
    <w:p w14:paraId="614AB038" w14:textId="77777777" w:rsidR="009C249A" w:rsidRDefault="009C249A" w:rsidP="00F354F3">
      <w:pPr>
        <w:spacing w:after="0" w:line="240" w:lineRule="auto"/>
        <w:jc w:val="both"/>
        <w:rPr>
          <w:b/>
        </w:rPr>
      </w:pPr>
      <w:r w:rsidRPr="006275F9">
        <w:t xml:space="preserve">EURAXESS ČR představuje síť konzultačních kanceláří poskytujících vysoce </w:t>
      </w:r>
      <w:r w:rsidRPr="006275F9">
        <w:rPr>
          <w:b/>
        </w:rPr>
        <w:t xml:space="preserve">kvalifikované informace související se vstupními podmínkami do ČR a se všemi praktickými aspekty života v ČR. </w:t>
      </w:r>
    </w:p>
    <w:p w14:paraId="635268F1" w14:textId="77777777" w:rsidR="00F354F3" w:rsidRPr="006275F9" w:rsidRDefault="00F354F3" w:rsidP="00F354F3">
      <w:pPr>
        <w:spacing w:after="0" w:line="240" w:lineRule="auto"/>
        <w:jc w:val="both"/>
      </w:pPr>
    </w:p>
    <w:p w14:paraId="735992CD" w14:textId="77777777" w:rsidR="009C249A" w:rsidRDefault="009C249A" w:rsidP="00F354F3">
      <w:pPr>
        <w:spacing w:after="0" w:line="240" w:lineRule="auto"/>
        <w:jc w:val="both"/>
      </w:pPr>
      <w:r w:rsidRPr="006275F9">
        <w:lastRenderedPageBreak/>
        <w:t xml:space="preserve">Pokud dospěje výzkumná organizace k rozhodnutí zaměstnat odborníka ze zahraničí a tento nabídku přijme, </w:t>
      </w:r>
      <w:r w:rsidRPr="006275F9">
        <w:rPr>
          <w:b/>
        </w:rPr>
        <w:t>EURAXESS ČR již od počátku asistuje v legislativním procesu</w:t>
      </w:r>
      <w:r w:rsidRPr="006275F9">
        <w:t xml:space="preserve"> "Povolení k dlouhodobému pobytu za účelem vědeckého výzkumu", je v kontaktu se zaměstnavatelem i se samotným vědcem ještě v době jeho pobytu v domovské zemi, ve spolupráci s příslušným zastupitelským úřadem koordinuje postup při podávání jeho žádosti, má k dispozici veškeré nezbytné formuláře, spolupracuje s Ministerstvem vnitra při sledování každého jednotlivého případu a zastupuje na základě plné moci tohoto vědce při nutných úkonech na území ČR.</w:t>
      </w:r>
    </w:p>
    <w:p w14:paraId="71BEE64B" w14:textId="77777777" w:rsidR="00F354F3" w:rsidRPr="006275F9" w:rsidRDefault="00F354F3" w:rsidP="00F354F3">
      <w:pPr>
        <w:spacing w:after="0" w:line="240" w:lineRule="auto"/>
        <w:jc w:val="both"/>
      </w:pPr>
    </w:p>
    <w:p w14:paraId="7EA5B835" w14:textId="77777777" w:rsidR="009C249A" w:rsidRPr="006275F9" w:rsidRDefault="009C249A" w:rsidP="00B7740D">
      <w:pPr>
        <w:spacing w:after="120" w:line="240" w:lineRule="auto"/>
        <w:rPr>
          <w:b/>
        </w:rPr>
      </w:pPr>
      <w:r w:rsidRPr="006275F9">
        <w:rPr>
          <w:b/>
        </w:rPr>
        <w:t>Statistika využívání služeb EURAXESS ČR (vznesené dotazy)</w:t>
      </w:r>
    </w:p>
    <w:p w14:paraId="1E4D2110" w14:textId="77777777" w:rsidR="009C249A" w:rsidRPr="006275F9" w:rsidRDefault="009C249A" w:rsidP="00D046E4">
      <w:pPr>
        <w:spacing w:line="240" w:lineRule="auto"/>
      </w:pPr>
      <w:r w:rsidRPr="006275F9">
        <w:rPr>
          <w:noProof/>
        </w:rPr>
        <w:drawing>
          <wp:inline distT="0" distB="0" distL="0" distR="0" wp14:anchorId="7C1EB911" wp14:editId="41AEAE1F">
            <wp:extent cx="4584700" cy="27559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584700" cy="2755900"/>
                    </a:xfrm>
                    <a:prstGeom prst="rect">
                      <a:avLst/>
                    </a:prstGeom>
                    <a:ln/>
                  </pic:spPr>
                </pic:pic>
              </a:graphicData>
            </a:graphic>
          </wp:inline>
        </w:drawing>
      </w:r>
    </w:p>
    <w:p w14:paraId="69D5D183" w14:textId="77777777" w:rsidR="00B7740D" w:rsidRDefault="00B7740D" w:rsidP="00B7740D">
      <w:pPr>
        <w:spacing w:after="0" w:line="240" w:lineRule="auto"/>
        <w:rPr>
          <w:b/>
        </w:rPr>
      </w:pPr>
    </w:p>
    <w:p w14:paraId="0C1599F1" w14:textId="77777777" w:rsidR="009C249A" w:rsidRPr="006275F9" w:rsidRDefault="009C249A" w:rsidP="00B7740D">
      <w:pPr>
        <w:spacing w:after="120" w:line="240" w:lineRule="auto"/>
        <w:rPr>
          <w:b/>
        </w:rPr>
      </w:pPr>
      <w:r w:rsidRPr="006275F9">
        <w:rPr>
          <w:b/>
        </w:rPr>
        <w:t>Statistika osobních asistencí EURAXESS ČR (návštěvy na úřadech)</w:t>
      </w:r>
    </w:p>
    <w:p w14:paraId="504F9100" w14:textId="77777777" w:rsidR="009C249A" w:rsidRPr="006275F9" w:rsidRDefault="009C249A" w:rsidP="00D046E4">
      <w:pPr>
        <w:spacing w:line="240" w:lineRule="auto"/>
      </w:pPr>
      <w:r w:rsidRPr="006275F9">
        <w:rPr>
          <w:noProof/>
        </w:rPr>
        <w:drawing>
          <wp:inline distT="0" distB="0" distL="0" distR="0" wp14:anchorId="655AB94B" wp14:editId="648370DF">
            <wp:extent cx="4584700" cy="27559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584700" cy="2755900"/>
                    </a:xfrm>
                    <a:prstGeom prst="rect">
                      <a:avLst/>
                    </a:prstGeom>
                    <a:ln/>
                  </pic:spPr>
                </pic:pic>
              </a:graphicData>
            </a:graphic>
          </wp:inline>
        </w:drawing>
      </w:r>
    </w:p>
    <w:p w14:paraId="525D1A3C" w14:textId="1A77E263" w:rsidR="009C249A" w:rsidRPr="006275F9" w:rsidRDefault="009C249A" w:rsidP="00B7740D">
      <w:pPr>
        <w:spacing w:before="240" w:after="0" w:line="240" w:lineRule="auto"/>
        <w:jc w:val="both"/>
      </w:pPr>
      <w:r w:rsidRPr="006275F9">
        <w:t xml:space="preserve">Standardem služeb poskytovaných EURAXESS ČR je </w:t>
      </w:r>
      <w:r w:rsidRPr="006275F9">
        <w:rPr>
          <w:b/>
        </w:rPr>
        <w:t>vysoce</w:t>
      </w:r>
      <w:r w:rsidRPr="006275F9">
        <w:t xml:space="preserve"> </w:t>
      </w:r>
      <w:r w:rsidRPr="006275F9">
        <w:rPr>
          <w:b/>
        </w:rPr>
        <w:t>individualizovaná výpomoc</w:t>
      </w:r>
      <w:r w:rsidRPr="006275F9">
        <w:t>, osobní asistence, tlumočení, jakož i další služby související s jednáním na úřadovnách Odboru azylové a migrační politiky Ministerstva vnitra a Cizinecké policie, které jsou pro cizince, kteří působí v ČR opakovaně, nevyhnutelné. Kromě toho EURAXESS ČR řeší i dotazy a specifické požadavky zahraničních výzkumných pracovníků spojené s praktickými aspekty života v ČR a jejich integrac</w:t>
      </w:r>
      <w:r w:rsidR="00B7740D">
        <w:t xml:space="preserve">í do života v hostitelské zemi a to </w:t>
      </w:r>
      <w:r w:rsidRPr="006275F9">
        <w:t xml:space="preserve">včetně výzkumné komunity. EURAXESS ČR napomáhá při orientaci v systému státní sociální podpory, ve zdravotním pojištění, v daňovém </w:t>
      </w:r>
      <w:r w:rsidRPr="006275F9">
        <w:lastRenderedPageBreak/>
        <w:t xml:space="preserve">systému, v možnostech ubytování, lékařské péče, situace na pracovním trhu, školních zařízení pro děti apod. a komunikuje s příslušnými institucemi, v jejichž gesci je daná agenda řešena.  </w:t>
      </w:r>
    </w:p>
    <w:p w14:paraId="0434B26E" w14:textId="77777777" w:rsidR="00B7740D" w:rsidRDefault="00B7740D" w:rsidP="00F354F3">
      <w:pPr>
        <w:spacing w:after="0" w:line="240" w:lineRule="auto"/>
        <w:jc w:val="both"/>
      </w:pPr>
    </w:p>
    <w:p w14:paraId="7D74E1F2" w14:textId="0EAA657D" w:rsidR="009C249A" w:rsidRDefault="009C249A" w:rsidP="00F354F3">
      <w:pPr>
        <w:spacing w:after="0" w:line="240" w:lineRule="auto"/>
        <w:jc w:val="both"/>
      </w:pPr>
      <w:r w:rsidRPr="006275F9">
        <w:t xml:space="preserve">EURAXESS ČR současně vyvíjí snahy o lepší integraci zahraničních výzkumných pracovníků prostřednictvím </w:t>
      </w:r>
      <w:r w:rsidRPr="006275F9">
        <w:rPr>
          <w:b/>
        </w:rPr>
        <w:t>organizace kulturně-společenských akcí</w:t>
      </w:r>
      <w:r w:rsidRPr="006275F9">
        <w:t>, jejichž náplní je uvedení do české historie, kultury a zvyklostí, nevyjímaje konverzaci v</w:t>
      </w:r>
      <w:r w:rsidR="00F354F3">
        <w:t xml:space="preserve"> českém jazyce.</w:t>
      </w:r>
    </w:p>
    <w:p w14:paraId="6C04C946" w14:textId="77777777" w:rsidR="00F354F3" w:rsidRPr="006275F9" w:rsidRDefault="00F354F3" w:rsidP="00F354F3">
      <w:pPr>
        <w:spacing w:after="0" w:line="240" w:lineRule="auto"/>
        <w:jc w:val="both"/>
      </w:pPr>
    </w:p>
    <w:p w14:paraId="725BB6D3" w14:textId="77777777" w:rsidR="009C249A" w:rsidRPr="006275F9" w:rsidRDefault="009C249A" w:rsidP="00F354F3">
      <w:pPr>
        <w:spacing w:after="0" w:line="240" w:lineRule="auto"/>
        <w:jc w:val="both"/>
      </w:pPr>
      <w:r w:rsidRPr="006275F9">
        <w:t xml:space="preserve">EURAXESS ČR zvyšuje informovanost o otázkách mezinárodní vědecké mobility, organizuje tematické semináře, školení a workshopy na aktuální témata s ní související, provozuje rovněž </w:t>
      </w:r>
      <w:r w:rsidRPr="006275F9">
        <w:rPr>
          <w:b/>
        </w:rPr>
        <w:t>unikátní portál</w:t>
      </w:r>
      <w:r w:rsidRPr="006275F9">
        <w:t xml:space="preserve"> věnovaný mezinárodní mobilitě </w:t>
      </w:r>
      <w:r w:rsidRPr="006275F9">
        <w:rPr>
          <w:b/>
        </w:rPr>
        <w:t>www.euraxess.cz</w:t>
      </w:r>
      <w:r w:rsidRPr="006275F9">
        <w:t xml:space="preserve">, jehož součástí je množství praktických informací souvisejících s pobytem zahraničního vědce v ČR či sekce EURAXESS </w:t>
      </w:r>
      <w:proofErr w:type="spellStart"/>
      <w:r w:rsidRPr="006275F9">
        <w:t>Jobs</w:t>
      </w:r>
      <w:proofErr w:type="spellEnd"/>
      <w:r w:rsidRPr="006275F9">
        <w:t xml:space="preserve"> &amp; </w:t>
      </w:r>
      <w:proofErr w:type="spellStart"/>
      <w:r w:rsidRPr="006275F9">
        <w:t>Funding</w:t>
      </w:r>
      <w:proofErr w:type="spellEnd"/>
      <w:r w:rsidRPr="006275F9">
        <w:t xml:space="preserve"> s možností vyhledávání i zadávání volných pozic ve vědeckých týmech v ERA.</w:t>
      </w:r>
    </w:p>
    <w:p w14:paraId="5EEFC0A7" w14:textId="72AD4DAB" w:rsidR="009C249A" w:rsidRDefault="009C249A" w:rsidP="00F354F3">
      <w:pPr>
        <w:spacing w:after="0" w:line="240" w:lineRule="auto"/>
        <w:jc w:val="both"/>
      </w:pPr>
      <w:r w:rsidRPr="006275F9">
        <w:t xml:space="preserve">Součástí činnosti EURAXESS ČR je rovněž </w:t>
      </w:r>
      <w:r w:rsidRPr="006275F9">
        <w:rPr>
          <w:b/>
        </w:rPr>
        <w:t>monitorování administrativních bariér</w:t>
      </w:r>
      <w:r w:rsidRPr="006275F9">
        <w:t>, na jehož základě vstupují pracovníci kanceláře EURAXESS ČR do jednání s jednotlivými resorty, načež flexibilně vyjednávají pro přicházející výzkumné pracovníky co nejsnazší vstupní podmínky do ČR a veškerý další sociální ser</w:t>
      </w:r>
      <w:r w:rsidR="00F354F3">
        <w:t>vis.</w:t>
      </w:r>
    </w:p>
    <w:p w14:paraId="4C0B9058" w14:textId="77777777" w:rsidR="00F354F3" w:rsidRPr="006275F9" w:rsidRDefault="00F354F3" w:rsidP="00F354F3">
      <w:pPr>
        <w:spacing w:after="0" w:line="240" w:lineRule="auto"/>
        <w:jc w:val="both"/>
      </w:pPr>
    </w:p>
    <w:p w14:paraId="7D8980D2" w14:textId="3F479A09" w:rsidR="00F354F3" w:rsidRDefault="009C249A" w:rsidP="00F354F3">
      <w:pPr>
        <w:spacing w:after="0" w:line="240" w:lineRule="auto"/>
        <w:jc w:val="both"/>
      </w:pPr>
      <w:r w:rsidRPr="006275F9">
        <w:t xml:space="preserve">V současné době působí ve 40 evropských zemích více než 500 center EURAXESS. Hlavním koordinátorem sítě je i nadále </w:t>
      </w:r>
      <w:r w:rsidR="00B7740D">
        <w:t>Evropská komise</w:t>
      </w:r>
      <w:r w:rsidRPr="006275F9">
        <w:t xml:space="preserve">. </w:t>
      </w:r>
      <w:r w:rsidRPr="006275F9">
        <w:rPr>
          <w:b/>
        </w:rPr>
        <w:t>EURAXESS ČR se řadí dlouhodobě mezi velmi aktivní členy celoevropské sítě EURAXESS a v rámci této sítě slouží i jako příklad dobré praxe</w:t>
      </w:r>
      <w:r w:rsidRPr="006275F9">
        <w:t>, a to zejména pro velmi konkrétní pomoc a nadstandardní osobní přístup v rámci asistencí na úřadech,</w:t>
      </w:r>
      <w:r w:rsidR="00B7740D">
        <w:t xml:space="preserve"> avšak</w:t>
      </w:r>
      <w:r w:rsidRPr="006275F9">
        <w:t xml:space="preserve"> </w:t>
      </w:r>
      <w:r w:rsidR="00B7740D">
        <w:t>i</w:t>
      </w:r>
      <w:r w:rsidRPr="006275F9">
        <w:t xml:space="preserve"> v oblasti organizace zajímavých a nápaditých integračních aktivit pro vědc</w:t>
      </w:r>
      <w:r w:rsidR="00F354F3">
        <w:t>e i jejich rodinné příslušníky.</w:t>
      </w:r>
    </w:p>
    <w:p w14:paraId="22C858E5" w14:textId="77777777" w:rsidR="00F354F3" w:rsidRPr="006275F9" w:rsidRDefault="00F354F3" w:rsidP="00F354F3">
      <w:pPr>
        <w:spacing w:after="0" w:line="240" w:lineRule="auto"/>
        <w:jc w:val="both"/>
      </w:pPr>
    </w:p>
    <w:p w14:paraId="6812BB22" w14:textId="38ED1719" w:rsidR="009C249A" w:rsidRPr="006275F9" w:rsidRDefault="009C249A" w:rsidP="00F354F3">
      <w:pPr>
        <w:spacing w:after="0" w:line="240" w:lineRule="auto"/>
        <w:jc w:val="both"/>
      </w:pPr>
      <w:r w:rsidRPr="006275F9">
        <w:t xml:space="preserve">Prostřednictvím služeb, které EURAXESS v ČR poskytuje, přicházejí do ČR zahraniční vědci, nezatížení vstupními administrativními překážkami, a mohou tedy vytvářet společně s českými kolegy vysoce konkurenceschopné vědecké týmy, které jsou schopné úspěšně vstupovat do mezinárodních projektů </w:t>
      </w:r>
      <w:proofErr w:type="spellStart"/>
      <w:r w:rsidRPr="006275F9">
        <w:t>VaVaI</w:t>
      </w:r>
      <w:proofErr w:type="spellEnd"/>
      <w:r w:rsidRPr="006275F9">
        <w:t xml:space="preserve">. Vytváření multikulturních projektových týmů je poté i jedním ze základních požadavků současné dotační politiky v rámci EU a </w:t>
      </w:r>
      <w:r w:rsidR="00B7740D">
        <w:t xml:space="preserve">v </w:t>
      </w:r>
      <w:r w:rsidRPr="006275F9">
        <w:t xml:space="preserve">ČR může v tomto ohledu plně </w:t>
      </w:r>
      <w:r w:rsidRPr="006275F9">
        <w:rPr>
          <w:b/>
        </w:rPr>
        <w:t>využívat stávajícího zázemí EURAXESS ČR</w:t>
      </w:r>
      <w:r w:rsidRPr="006275F9">
        <w:t xml:space="preserve"> a jeho plně funkční vazby na celoevropskou síť EURAXESS.</w:t>
      </w:r>
    </w:p>
    <w:p w14:paraId="5AFBAB07" w14:textId="77777777" w:rsidR="009C249A" w:rsidRDefault="009C249A" w:rsidP="00B7740D">
      <w:pPr>
        <w:pStyle w:val="Nadpis2"/>
      </w:pPr>
      <w:bookmarkStart w:id="32" w:name="_Toc40123746"/>
      <w:bookmarkStart w:id="33" w:name="_Toc55466824"/>
      <w:r>
        <w:t>Časový harmonogram realizace projektu</w:t>
      </w:r>
      <w:bookmarkEnd w:id="32"/>
      <w:bookmarkEnd w:id="33"/>
    </w:p>
    <w:p w14:paraId="03DD0E14" w14:textId="12E40942" w:rsidR="009C249A" w:rsidRDefault="009C249A" w:rsidP="00F354F3">
      <w:pPr>
        <w:spacing w:after="0" w:line="240" w:lineRule="auto"/>
        <w:jc w:val="both"/>
      </w:pPr>
      <w:r>
        <w:t>Projekt sdílených činností</w:t>
      </w:r>
      <w:r w:rsidR="00B7740D">
        <w:t xml:space="preserve"> </w:t>
      </w:r>
      <w:r>
        <w:t xml:space="preserve">bude realizován </w:t>
      </w:r>
      <w:r w:rsidRPr="001E6E04">
        <w:rPr>
          <w:b/>
        </w:rPr>
        <w:t>ode dne 1. ledna 2021 do dne 31. prosince 2027</w:t>
      </w:r>
      <w:r>
        <w:t xml:space="preserve">. Způsobilost výdajů, které budou vynaloženy při implementaci projektu sdílených činností, bude odpovídat stejnému časového rozpětí. Přípustná </w:t>
      </w:r>
      <w:r w:rsidR="00B7740D">
        <w:t>proto</w:t>
      </w:r>
      <w:r>
        <w:t xml:space="preserve"> v tomto ohledu bude eventuálně tak</w:t>
      </w:r>
      <w:r w:rsidR="00B7740D">
        <w:t>t</w:t>
      </w:r>
      <w:r>
        <w:t>é</w:t>
      </w:r>
      <w:r w:rsidR="00B7740D">
        <w:t>ž</w:t>
      </w:r>
      <w:r>
        <w:t xml:space="preserve"> retrospektivní </w:t>
      </w:r>
      <w:r w:rsidRPr="001E6E04">
        <w:rPr>
          <w:b/>
        </w:rPr>
        <w:t>způsobilost výdajů</w:t>
      </w:r>
      <w:r>
        <w:t xml:space="preserve"> vynaložených v rámci projektu sdílených činností, </w:t>
      </w:r>
      <w:r w:rsidR="00B7740D">
        <w:t>a to ode dne 1. ledna 2021 (tj.</w:t>
      </w:r>
      <w:r>
        <w:t xml:space="preserve"> pro případ, pokud by projekt sdílených činností nebyl vládou ČR schválen do dne 31. prosince 2020).</w:t>
      </w:r>
    </w:p>
    <w:p w14:paraId="6C89B2C3" w14:textId="77777777" w:rsidR="00F354F3" w:rsidRDefault="00F354F3" w:rsidP="00F354F3">
      <w:pPr>
        <w:spacing w:after="0" w:line="240" w:lineRule="auto"/>
        <w:jc w:val="both"/>
      </w:pPr>
    </w:p>
    <w:p w14:paraId="715D1C22" w14:textId="14D72DF8" w:rsidR="009C249A" w:rsidRDefault="009C249A" w:rsidP="00F354F3">
      <w:pPr>
        <w:spacing w:after="0" w:line="240" w:lineRule="auto"/>
        <w:jc w:val="both"/>
      </w:pPr>
      <w:r>
        <w:t xml:space="preserve">Projekt sdílených činností bude, co se týká zahájení </w:t>
      </w:r>
      <w:r w:rsidR="00B7740D">
        <w:t>implementace</w:t>
      </w:r>
      <w:r>
        <w:t xml:space="preserve"> jednotlivých aktivit v rámci jednotlivých modulů CZERA, </w:t>
      </w:r>
      <w:r w:rsidR="00B7740D">
        <w:t>realizován</w:t>
      </w:r>
      <w:r>
        <w:t xml:space="preserve"> tak, aby</w:t>
      </w:r>
      <w:r w:rsidR="00B7740D">
        <w:t xml:space="preserve"> již</w:t>
      </w:r>
      <w:r>
        <w:t xml:space="preserve"> </w:t>
      </w:r>
      <w:r w:rsidRPr="00FB160B">
        <w:rPr>
          <w:b/>
        </w:rPr>
        <w:t xml:space="preserve">od </w:t>
      </w:r>
      <w:r w:rsidR="00B7740D">
        <w:rPr>
          <w:b/>
        </w:rPr>
        <w:t xml:space="preserve">samého </w:t>
      </w:r>
      <w:r w:rsidRPr="00FB160B">
        <w:rPr>
          <w:b/>
        </w:rPr>
        <w:t xml:space="preserve">počátku jeho implementace byly </w:t>
      </w:r>
      <w:r>
        <w:rPr>
          <w:b/>
        </w:rPr>
        <w:t xml:space="preserve">postupně </w:t>
      </w:r>
      <w:r w:rsidRPr="00FB160B">
        <w:rPr>
          <w:b/>
        </w:rPr>
        <w:t xml:space="preserve">naplňovány všechny klíčové </w:t>
      </w:r>
      <w:r>
        <w:rPr>
          <w:b/>
        </w:rPr>
        <w:t>agendy</w:t>
      </w:r>
      <w:r w:rsidRPr="00FB160B">
        <w:rPr>
          <w:b/>
        </w:rPr>
        <w:t xml:space="preserve"> </w:t>
      </w:r>
      <w:r w:rsidRPr="0026469C">
        <w:rPr>
          <w:b/>
        </w:rPr>
        <w:t>obsažené v portfoliu projektových aktivit CZERA</w:t>
      </w:r>
      <w:r w:rsidR="00B7740D">
        <w:rPr>
          <w:b/>
        </w:rPr>
        <w:t>,</w:t>
      </w:r>
      <w:r>
        <w:rPr>
          <w:b/>
        </w:rPr>
        <w:t xml:space="preserve"> a to v návaznosti na ukončení realizace stávajících projektů zajišťujících odpovídající agendy, </w:t>
      </w:r>
      <w:r w:rsidR="00FC7C93">
        <w:rPr>
          <w:b/>
        </w:rPr>
        <w:t>které</w:t>
      </w:r>
      <w:r>
        <w:rPr>
          <w:b/>
        </w:rPr>
        <w:t xml:space="preserve"> js</w:t>
      </w:r>
      <w:r w:rsidR="00FC7C93">
        <w:rPr>
          <w:b/>
        </w:rPr>
        <w:t>ou financovány MŠMT z</w:t>
      </w:r>
      <w:r>
        <w:rPr>
          <w:b/>
        </w:rPr>
        <w:t xml:space="preserve"> programu </w:t>
      </w:r>
      <w:r w:rsidRPr="00FC7C93">
        <w:rPr>
          <w:b/>
          <w:caps/>
        </w:rPr>
        <w:t>Inter-Excellence</w:t>
      </w:r>
      <w:r>
        <w:rPr>
          <w:b/>
        </w:rPr>
        <w:t xml:space="preserve">, podprogramu </w:t>
      </w:r>
      <w:r w:rsidRPr="00FC7C93">
        <w:rPr>
          <w:b/>
          <w:caps/>
        </w:rPr>
        <w:t>Inter-Inform</w:t>
      </w:r>
      <w:r>
        <w:rPr>
          <w:b/>
        </w:rPr>
        <w:t>.</w:t>
      </w:r>
      <w:r>
        <w:t xml:space="preserve"> </w:t>
      </w:r>
      <w:r w:rsidR="00FC7C93">
        <w:t>Očekává</w:t>
      </w:r>
      <w:r>
        <w:t xml:space="preserve"> se, že zintenzivnění nabídky služeb poskytovaných ze strany CZERA vyv</w:t>
      </w:r>
      <w:r w:rsidR="00FC7C93">
        <w:t>olá na straně cílové, resp.</w:t>
      </w:r>
      <w:r>
        <w:t xml:space="preserve"> uživatelské komunity </w:t>
      </w:r>
      <w:r w:rsidR="00FC7C93">
        <w:t>rovněž</w:t>
      </w:r>
      <w:r>
        <w:t xml:space="preserve"> vyšší poptávku. Od roku 2022 je proto plánováno rozšíření týmu zabezpečujícího modul NICER o</w:t>
      </w:r>
      <w:r w:rsidR="0076550A">
        <w:t> </w:t>
      </w:r>
      <w:r>
        <w:t xml:space="preserve">dalších 2,2 </w:t>
      </w:r>
      <w:r w:rsidR="00FC7C93">
        <w:t xml:space="preserve">FTE </w:t>
      </w:r>
      <w:r>
        <w:t xml:space="preserve">pracovníků, a to do cílového stavu celkem </w:t>
      </w:r>
      <w:r w:rsidRPr="00FC7C93">
        <w:rPr>
          <w:b/>
        </w:rPr>
        <w:t>27 FTE</w:t>
      </w:r>
      <w:r w:rsidR="00FC7C93">
        <w:rPr>
          <w:b/>
        </w:rPr>
        <w:t xml:space="preserve"> </w:t>
      </w:r>
      <w:r w:rsidR="00FC7C93" w:rsidRPr="00FC7C93">
        <w:t>pracovníků</w:t>
      </w:r>
      <w:r>
        <w:rPr>
          <w:b/>
        </w:rPr>
        <w:t xml:space="preserve">. Celkové kapacity CZERA v roce 2022 budou </w:t>
      </w:r>
      <w:r w:rsidR="00FC7C93">
        <w:rPr>
          <w:b/>
        </w:rPr>
        <w:t xml:space="preserve">činit </w:t>
      </w:r>
      <w:r>
        <w:rPr>
          <w:b/>
        </w:rPr>
        <w:t>32,65 FTE</w:t>
      </w:r>
      <w:r w:rsidR="00FC7C93">
        <w:rPr>
          <w:b/>
        </w:rPr>
        <w:t xml:space="preserve"> pracovníků</w:t>
      </w:r>
      <w:r>
        <w:rPr>
          <w:b/>
        </w:rPr>
        <w:t xml:space="preserve">, od roku 2023 </w:t>
      </w:r>
      <w:r w:rsidR="00FC7C93">
        <w:rPr>
          <w:b/>
        </w:rPr>
        <w:t>poté</w:t>
      </w:r>
      <w:r>
        <w:rPr>
          <w:b/>
        </w:rPr>
        <w:t xml:space="preserve"> 38 FTE</w:t>
      </w:r>
      <w:r w:rsidR="00FC7C93">
        <w:rPr>
          <w:b/>
        </w:rPr>
        <w:t xml:space="preserve"> pracovníků</w:t>
      </w:r>
      <w:r w:rsidRPr="00FC7C93">
        <w:t>.</w:t>
      </w:r>
    </w:p>
    <w:p w14:paraId="19E039E2" w14:textId="77777777" w:rsidR="009C249A" w:rsidRDefault="009C249A" w:rsidP="00FC7C93">
      <w:pPr>
        <w:pStyle w:val="Nadpis2"/>
      </w:pPr>
      <w:bookmarkStart w:id="34" w:name="_Toc40123738"/>
      <w:bookmarkStart w:id="35" w:name="_Toc55466825"/>
      <w:r>
        <w:lastRenderedPageBreak/>
        <w:t>Očekávané výsledky a výstupy projektu</w:t>
      </w:r>
      <w:bookmarkEnd w:id="34"/>
      <w:bookmarkEnd w:id="35"/>
    </w:p>
    <w:p w14:paraId="7AE20FB2" w14:textId="77777777" w:rsidR="00FC7C93" w:rsidRDefault="009C249A" w:rsidP="00F354F3">
      <w:pPr>
        <w:spacing w:after="0" w:line="240" w:lineRule="auto"/>
        <w:jc w:val="both"/>
      </w:pPr>
      <w:r w:rsidRPr="00B476D4">
        <w:t>Realizace projektu sdílených činností</w:t>
      </w:r>
      <w:r>
        <w:t xml:space="preserve"> </w:t>
      </w:r>
      <w:r w:rsidRPr="00B476D4">
        <w:t>CZE</w:t>
      </w:r>
      <w:r w:rsidR="00FC7C93">
        <w:t>RA</w:t>
      </w:r>
      <w:r>
        <w:t xml:space="preserve"> dále rozvine a posílí komplementární aktivity a</w:t>
      </w:r>
      <w:r w:rsidR="00FC7C93">
        <w:t> </w:t>
      </w:r>
      <w:r>
        <w:t>portfolio služeb napomáhající</w:t>
      </w:r>
      <w:r w:rsidR="00FC7C93">
        <w:t>ch</w:t>
      </w:r>
      <w:r>
        <w:t xml:space="preserve"> </w:t>
      </w:r>
      <w:r w:rsidRPr="00E75DAF">
        <w:t>hlubší integrac</w:t>
      </w:r>
      <w:r>
        <w:t>i</w:t>
      </w:r>
      <w:r w:rsidRPr="00E75DAF">
        <w:t xml:space="preserve"> ČR </w:t>
      </w:r>
      <w:r w:rsidR="00FC7C93">
        <w:t>v rámci</w:t>
      </w:r>
      <w:r w:rsidRPr="00E75DAF">
        <w:t xml:space="preserve"> </w:t>
      </w:r>
      <w:r>
        <w:t>ERA.</w:t>
      </w:r>
      <w:r w:rsidRPr="00E75DAF">
        <w:t xml:space="preserve"> </w:t>
      </w:r>
      <w:r>
        <w:t>Partnerská pracoviště jsou v oblasti svých odborných kompetencí respektovanými</w:t>
      </w:r>
      <w:r w:rsidRPr="006C2CFF">
        <w:t xml:space="preserve"> vedoucí</w:t>
      </w:r>
      <w:r>
        <w:t>mi</w:t>
      </w:r>
      <w:r w:rsidRPr="006C2CFF">
        <w:t xml:space="preserve"> informační</w:t>
      </w:r>
      <w:r>
        <w:t>mi</w:t>
      </w:r>
      <w:r w:rsidRPr="006C2CFF">
        <w:t>, konzultační</w:t>
      </w:r>
      <w:r>
        <w:t>mi</w:t>
      </w:r>
      <w:r w:rsidRPr="006C2CFF">
        <w:t xml:space="preserve"> a školicí</w:t>
      </w:r>
      <w:r>
        <w:t xml:space="preserve">mi pracovišti jak na národní, tak </w:t>
      </w:r>
      <w:r w:rsidR="00FC7C93">
        <w:t xml:space="preserve">také </w:t>
      </w:r>
      <w:r>
        <w:t>mezinárodní úrovni.</w:t>
      </w:r>
      <w:r w:rsidRPr="006C2CFF">
        <w:t xml:space="preserve"> </w:t>
      </w:r>
      <w:r w:rsidRPr="0066603E">
        <w:t>České výzkumné subjekty</w:t>
      </w:r>
      <w:r>
        <w:t>, včetně inovačních podniků,</w:t>
      </w:r>
      <w:r w:rsidRPr="0066603E">
        <w:t xml:space="preserve"> budou mít díky kapacitám </w:t>
      </w:r>
      <w:r>
        <w:t xml:space="preserve">CZERA </w:t>
      </w:r>
      <w:r w:rsidRPr="0066603E">
        <w:t xml:space="preserve">možnost snadněji se zapojovat </w:t>
      </w:r>
      <w:r w:rsidR="00FC7C93">
        <w:t xml:space="preserve">do implementačních nástrojů FP9, </w:t>
      </w:r>
      <w:r w:rsidRPr="0066603E">
        <w:t>i dalších evropských iniciativ a programů zaměřených na podporu mezinárodní spolupráce</w:t>
      </w:r>
      <w:r w:rsidR="00FC7C93">
        <w:t xml:space="preserve"> ve </w:t>
      </w:r>
      <w:proofErr w:type="spellStart"/>
      <w:r w:rsidR="00FC7C93">
        <w:t>VaVaI</w:t>
      </w:r>
      <w:proofErr w:type="spellEnd"/>
      <w:r w:rsidRPr="0066603E">
        <w:t xml:space="preserve">. </w:t>
      </w:r>
    </w:p>
    <w:p w14:paraId="6D0F60A3" w14:textId="77777777" w:rsidR="00FC7C93" w:rsidRDefault="00FC7C93" w:rsidP="00F354F3">
      <w:pPr>
        <w:spacing w:after="0" w:line="240" w:lineRule="auto"/>
        <w:jc w:val="both"/>
      </w:pPr>
    </w:p>
    <w:p w14:paraId="45D53786" w14:textId="1C2729A0" w:rsidR="009C249A" w:rsidRDefault="009C249A" w:rsidP="00F354F3">
      <w:pPr>
        <w:spacing w:after="0" w:line="240" w:lineRule="auto"/>
        <w:jc w:val="both"/>
        <w:rPr>
          <w:bCs/>
        </w:rPr>
      </w:pPr>
      <w:r>
        <w:t>Budou zdokonaleny</w:t>
      </w:r>
      <w:r w:rsidRPr="00723A75">
        <w:rPr>
          <w:bCs/>
        </w:rPr>
        <w:t xml:space="preserve"> informační prostředk</w:t>
      </w:r>
      <w:r>
        <w:rPr>
          <w:bCs/>
        </w:rPr>
        <w:t>y</w:t>
      </w:r>
      <w:r w:rsidRPr="00723A75">
        <w:rPr>
          <w:bCs/>
        </w:rPr>
        <w:t xml:space="preserve"> (informační portál</w:t>
      </w:r>
      <w:r>
        <w:rPr>
          <w:bCs/>
        </w:rPr>
        <w:t>y</w:t>
      </w:r>
      <w:r w:rsidRPr="00723A75">
        <w:rPr>
          <w:bCs/>
        </w:rPr>
        <w:t>, on-line nástroj</w:t>
      </w:r>
      <w:r>
        <w:rPr>
          <w:bCs/>
        </w:rPr>
        <w:t>e</w:t>
      </w:r>
      <w:r w:rsidR="00FC7C93">
        <w:rPr>
          <w:bCs/>
        </w:rPr>
        <w:t xml:space="preserve"> a e-</w:t>
      </w:r>
      <w:proofErr w:type="spellStart"/>
      <w:r w:rsidR="00FC7C93">
        <w:rPr>
          <w:bCs/>
        </w:rPr>
        <w:t>learningové</w:t>
      </w:r>
      <w:proofErr w:type="spellEnd"/>
      <w:r w:rsidRPr="00723A75">
        <w:rPr>
          <w:bCs/>
        </w:rPr>
        <w:t xml:space="preserve"> aktivit</w:t>
      </w:r>
      <w:r>
        <w:rPr>
          <w:bCs/>
        </w:rPr>
        <w:t>y</w:t>
      </w:r>
      <w:r w:rsidRPr="00723A75">
        <w:rPr>
          <w:bCs/>
        </w:rPr>
        <w:t>) využívan</w:t>
      </w:r>
      <w:r>
        <w:rPr>
          <w:bCs/>
        </w:rPr>
        <w:t>é</w:t>
      </w:r>
      <w:r w:rsidR="0076550A">
        <w:rPr>
          <w:bCs/>
        </w:rPr>
        <w:t xml:space="preserve"> pro poradenskou a </w:t>
      </w:r>
      <w:r w:rsidRPr="00723A75">
        <w:rPr>
          <w:bCs/>
        </w:rPr>
        <w:t>školicí činnost</w:t>
      </w:r>
      <w:r>
        <w:rPr>
          <w:bCs/>
        </w:rPr>
        <w:t xml:space="preserve">. </w:t>
      </w:r>
      <w:r w:rsidRPr="00723A75">
        <w:rPr>
          <w:bCs/>
        </w:rPr>
        <w:t>Budou rozvíjeny nové nástroje a metody jak v oblasti zvyšování připravenosti zdejších týmů pro účast v rámcových programech EU, tak i v oblasti analyticko-monitorovací.</w:t>
      </w:r>
    </w:p>
    <w:p w14:paraId="2574983A" w14:textId="77777777" w:rsidR="00FC7C93" w:rsidRPr="00723A75" w:rsidRDefault="00FC7C93" w:rsidP="00F354F3">
      <w:pPr>
        <w:spacing w:after="0" w:line="240" w:lineRule="auto"/>
        <w:jc w:val="both"/>
        <w:rPr>
          <w:b/>
          <w:bCs/>
        </w:rPr>
      </w:pPr>
    </w:p>
    <w:p w14:paraId="1FBFF79C" w14:textId="66B6E43F" w:rsidR="009C249A" w:rsidRDefault="009C249A" w:rsidP="00F354F3">
      <w:pPr>
        <w:spacing w:after="0" w:line="240" w:lineRule="auto"/>
        <w:jc w:val="both"/>
      </w:pPr>
      <w:r w:rsidRPr="00723A75">
        <w:rPr>
          <w:bCs/>
        </w:rPr>
        <w:t xml:space="preserve">Výstupy projektu budou sloužit všem zájemcům o účast v mezinárodní spolupráci bez ohledu na odborný sektor </w:t>
      </w:r>
      <w:r w:rsidR="00FC7C93">
        <w:rPr>
          <w:bCs/>
        </w:rPr>
        <w:t>či</w:t>
      </w:r>
      <w:r w:rsidRPr="00723A75">
        <w:rPr>
          <w:bCs/>
        </w:rPr>
        <w:t xml:space="preserve"> typ organizace.</w:t>
      </w:r>
      <w:r>
        <w:rPr>
          <w:bCs/>
        </w:rPr>
        <w:t xml:space="preserve"> Klíčovým výstupem </w:t>
      </w:r>
      <w:r w:rsidRPr="0066603E">
        <w:t xml:space="preserve">realizace projektu sdílených činností bude </w:t>
      </w:r>
      <w:r w:rsidRPr="0066603E">
        <w:rPr>
          <w:b/>
        </w:rPr>
        <w:t>intenzivnější účast ČR v FP9, v porovnání s předchozími rámcovými programy EU</w:t>
      </w:r>
      <w:r w:rsidR="00F354F3">
        <w:t>.</w:t>
      </w:r>
    </w:p>
    <w:p w14:paraId="53057780" w14:textId="77777777" w:rsidR="00F354F3" w:rsidRPr="00723A75" w:rsidRDefault="00F354F3" w:rsidP="00F354F3">
      <w:pPr>
        <w:spacing w:after="0" w:line="240" w:lineRule="auto"/>
        <w:jc w:val="both"/>
        <w:rPr>
          <w:bCs/>
        </w:rPr>
      </w:pPr>
    </w:p>
    <w:p w14:paraId="228ACCAD" w14:textId="0C13086E" w:rsidR="009C249A" w:rsidRPr="00FC7C93" w:rsidRDefault="009C249A" w:rsidP="00F354F3">
      <w:pPr>
        <w:spacing w:after="0" w:line="240" w:lineRule="auto"/>
        <w:jc w:val="both"/>
      </w:pPr>
      <w:r>
        <w:t>Bude posíleno</w:t>
      </w:r>
      <w:r w:rsidR="00FC7C93">
        <w:t xml:space="preserve"> rovněž</w:t>
      </w:r>
      <w:r w:rsidRPr="00723A75">
        <w:rPr>
          <w:bCs/>
        </w:rPr>
        <w:t xml:space="preserve"> </w:t>
      </w:r>
      <w:r w:rsidRPr="00723A75">
        <w:rPr>
          <w:b/>
          <w:bCs/>
        </w:rPr>
        <w:t xml:space="preserve">informační zázemí a poskytování podpory orgánům státní správy, delegátům a zástupcům </w:t>
      </w:r>
      <w:r w:rsidR="00FC7C93">
        <w:rPr>
          <w:b/>
          <w:bCs/>
        </w:rPr>
        <w:t xml:space="preserve">ČR </w:t>
      </w:r>
      <w:r w:rsidRPr="00723A75">
        <w:rPr>
          <w:b/>
          <w:bCs/>
        </w:rPr>
        <w:t>v</w:t>
      </w:r>
      <w:r w:rsidR="00FC7C93">
        <w:rPr>
          <w:b/>
          <w:bCs/>
        </w:rPr>
        <w:t> </w:t>
      </w:r>
      <w:r w:rsidRPr="00723A75">
        <w:rPr>
          <w:b/>
          <w:bCs/>
        </w:rPr>
        <w:t>orgánech</w:t>
      </w:r>
      <w:r w:rsidR="00FC7C93">
        <w:rPr>
          <w:b/>
          <w:bCs/>
        </w:rPr>
        <w:t xml:space="preserve"> ustavených v rámci</w:t>
      </w:r>
      <w:r w:rsidRPr="00723A75">
        <w:rPr>
          <w:b/>
          <w:bCs/>
        </w:rPr>
        <w:t xml:space="preserve"> ERA </w:t>
      </w:r>
      <w:r w:rsidR="00FC7C93">
        <w:rPr>
          <w:b/>
          <w:bCs/>
        </w:rPr>
        <w:t>pro</w:t>
      </w:r>
      <w:r w:rsidRPr="00723A75">
        <w:rPr>
          <w:b/>
          <w:bCs/>
        </w:rPr>
        <w:t xml:space="preserve"> jejich informované strategické rozhodování</w:t>
      </w:r>
      <w:r w:rsidR="00FC7C93" w:rsidRPr="00FC7C93">
        <w:rPr>
          <w:bCs/>
        </w:rPr>
        <w:t>.</w:t>
      </w:r>
      <w:r w:rsidR="00FC7C93">
        <w:t xml:space="preserve"> P</w:t>
      </w:r>
      <w:r>
        <w:t xml:space="preserve">rojekt </w:t>
      </w:r>
      <w:r w:rsidR="00FC7C93">
        <w:t>sdílených činností CZERA v </w:t>
      </w:r>
      <w:r w:rsidR="00FC7C93" w:rsidRPr="00FC7C93">
        <w:t xml:space="preserve">tomto ohledu </w:t>
      </w:r>
      <w:r w:rsidRPr="00FC7C93">
        <w:t>poskytne analýzy a podklady pro posílení účasti ČR v ERA</w:t>
      </w:r>
      <w:r w:rsidR="00F354F3" w:rsidRPr="00FC7C93">
        <w:t>.</w:t>
      </w:r>
    </w:p>
    <w:p w14:paraId="24AA4B2E" w14:textId="77777777" w:rsidR="00F354F3" w:rsidRPr="00723A75" w:rsidRDefault="00F354F3" w:rsidP="00F354F3">
      <w:pPr>
        <w:spacing w:after="0" w:line="240" w:lineRule="auto"/>
        <w:jc w:val="both"/>
        <w:rPr>
          <w:b/>
          <w:bCs/>
        </w:rPr>
      </w:pPr>
    </w:p>
    <w:p w14:paraId="41DADABF" w14:textId="53FE1A11" w:rsidR="009C249A" w:rsidRDefault="009C249A" w:rsidP="00F354F3">
      <w:pPr>
        <w:spacing w:after="0" w:line="240" w:lineRule="auto"/>
        <w:jc w:val="both"/>
      </w:pPr>
      <w:r>
        <w:t>Projekt bude reflektovat</w:t>
      </w:r>
      <w:r w:rsidRPr="00B476D4">
        <w:rPr>
          <w:b/>
        </w:rPr>
        <w:t xml:space="preserve"> </w:t>
      </w:r>
      <w:r w:rsidRPr="00B476D4">
        <w:t xml:space="preserve">nejaktuálnější vývoj v ERA, včetně rostoucího důrazu na </w:t>
      </w:r>
      <w:r w:rsidRPr="00723A75">
        <w:rPr>
          <w:b/>
        </w:rPr>
        <w:t xml:space="preserve">efektivnější využívání synergií mezi jednotlivými iniciativami a programy </w:t>
      </w:r>
      <w:proofErr w:type="spellStart"/>
      <w:r w:rsidRPr="00723A75">
        <w:rPr>
          <w:b/>
        </w:rPr>
        <w:t>VaVaI</w:t>
      </w:r>
      <w:proofErr w:type="spellEnd"/>
      <w:r w:rsidRPr="00723A75">
        <w:rPr>
          <w:b/>
        </w:rPr>
        <w:t xml:space="preserve"> </w:t>
      </w:r>
      <w:r w:rsidR="00FC7C93">
        <w:rPr>
          <w:b/>
        </w:rPr>
        <w:t>implementovanými</w:t>
      </w:r>
      <w:r w:rsidRPr="00723A75">
        <w:rPr>
          <w:b/>
        </w:rPr>
        <w:t xml:space="preserve"> na evropské a národní</w:t>
      </w:r>
      <w:r w:rsidR="00FC7C93">
        <w:rPr>
          <w:b/>
        </w:rPr>
        <w:t>ch</w:t>
      </w:r>
      <w:r w:rsidRPr="00723A75">
        <w:rPr>
          <w:b/>
        </w:rPr>
        <w:t xml:space="preserve"> úrovn</w:t>
      </w:r>
      <w:r w:rsidR="00FC7C93">
        <w:rPr>
          <w:b/>
        </w:rPr>
        <w:t>ích</w:t>
      </w:r>
      <w:r w:rsidRPr="00723A75">
        <w:rPr>
          <w:b/>
        </w:rPr>
        <w:t xml:space="preserve"> členských států EU</w:t>
      </w:r>
      <w:r w:rsidRPr="00B476D4">
        <w:t>. Patřičná pozornost bude věnována přechodu k systému nových evropských partnerství veřejných sektorů a veřejného sektoru se sektorem soukromým</w:t>
      </w:r>
      <w:r w:rsidR="00FC7C93">
        <w:t>,</w:t>
      </w:r>
      <w:r w:rsidRPr="00B476D4">
        <w:t xml:space="preserve"> i řešení naléhavých socioekonomických výzev, jak budou formulovány v misích </w:t>
      </w:r>
      <w:r w:rsidR="00FC7C93">
        <w:t>FP9</w:t>
      </w:r>
      <w:r w:rsidRPr="00B476D4">
        <w:t xml:space="preserve">. Konzultační a informační podpora bude poskytována </w:t>
      </w:r>
      <w:r w:rsidR="00FC7C93">
        <w:t>i</w:t>
      </w:r>
      <w:r w:rsidRPr="00B476D4">
        <w:t xml:space="preserve"> zájemcům o nové formy a nástroje podpory inovací nabízené prostřednictv</w:t>
      </w:r>
      <w:r w:rsidR="00FC7C93">
        <w:t xml:space="preserve">ím Evropské inovační rady (EIC) nebo skrze nástroje </w:t>
      </w:r>
      <w:r w:rsidRPr="00B476D4">
        <w:t>Evropského inovačního a technologického institutu (EIT).</w:t>
      </w:r>
      <w:r w:rsidR="00FC7C93">
        <w:t xml:space="preserve"> Všeobecné věcné cíle, resp.</w:t>
      </w:r>
      <w:r>
        <w:t xml:space="preserve"> výstupy</w:t>
      </w:r>
      <w:r w:rsidR="00FC7C93">
        <w:t xml:space="preserve"> projektu</w:t>
      </w:r>
      <w:r w:rsidRPr="00B476D4">
        <w:t xml:space="preserve"> </w:t>
      </w:r>
      <w:r>
        <w:t xml:space="preserve">jsou </w:t>
      </w:r>
      <w:r w:rsidRPr="00B476D4">
        <w:t xml:space="preserve">konkretizovány </w:t>
      </w:r>
      <w:r w:rsidR="00FC7C93">
        <w:t xml:space="preserve">klíčovými </w:t>
      </w:r>
      <w:r w:rsidRPr="00B476D4">
        <w:t>výkonnostními indikátory</w:t>
      </w:r>
      <w:r w:rsidR="00FC7C93">
        <w:t xml:space="preserve"> (viz dále)</w:t>
      </w:r>
      <w:r>
        <w:t>.</w:t>
      </w:r>
    </w:p>
    <w:p w14:paraId="560EED7B" w14:textId="77777777" w:rsidR="00F354F3" w:rsidRPr="00B476D4" w:rsidRDefault="00F354F3" w:rsidP="00F354F3">
      <w:pPr>
        <w:spacing w:after="0" w:line="240" w:lineRule="auto"/>
        <w:jc w:val="both"/>
      </w:pPr>
    </w:p>
    <w:p w14:paraId="04069952" w14:textId="1FBB4E22" w:rsidR="009C249A" w:rsidRPr="00723A75" w:rsidRDefault="009C249A" w:rsidP="00F354F3">
      <w:pPr>
        <w:spacing w:after="0" w:line="240" w:lineRule="auto"/>
        <w:jc w:val="both"/>
        <w:rPr>
          <w:b/>
          <w:bCs/>
        </w:rPr>
      </w:pPr>
      <w:r>
        <w:t xml:space="preserve">Důležitým výstupem projektu </w:t>
      </w:r>
      <w:r w:rsidR="00FC7C93">
        <w:t xml:space="preserve">sdílených činností CZERA </w:t>
      </w:r>
      <w:r>
        <w:t xml:space="preserve">bude </w:t>
      </w:r>
      <w:r w:rsidR="00FC7C93">
        <w:t>také</w:t>
      </w:r>
      <w:r>
        <w:t xml:space="preserve"> </w:t>
      </w:r>
      <w:r w:rsidRPr="00F254D0">
        <w:rPr>
          <w:b/>
        </w:rPr>
        <w:t xml:space="preserve">posílení </w:t>
      </w:r>
      <w:r w:rsidRPr="00723A75">
        <w:rPr>
          <w:b/>
          <w:bCs/>
        </w:rPr>
        <w:t xml:space="preserve">akcí a aktivit na propagaci výsledků vzniklých z řešení projektů </w:t>
      </w:r>
      <w:r w:rsidR="00FC7C93">
        <w:rPr>
          <w:b/>
          <w:bCs/>
        </w:rPr>
        <w:t>FP9</w:t>
      </w:r>
      <w:r>
        <w:rPr>
          <w:b/>
          <w:bCs/>
        </w:rPr>
        <w:t xml:space="preserve"> </w:t>
      </w:r>
      <w:r w:rsidRPr="00723A75">
        <w:rPr>
          <w:bCs/>
        </w:rPr>
        <w:t>a p</w:t>
      </w:r>
      <w:r w:rsidRPr="00B476D4">
        <w:rPr>
          <w:bCs/>
        </w:rPr>
        <w:t>rohloubení spolupráce r</w:t>
      </w:r>
      <w:r w:rsidR="0076550A">
        <w:rPr>
          <w:bCs/>
        </w:rPr>
        <w:t>elevantních pracovních skupin a </w:t>
      </w:r>
      <w:r w:rsidRPr="00B476D4">
        <w:rPr>
          <w:bCs/>
        </w:rPr>
        <w:t xml:space="preserve">sítí v oblasti </w:t>
      </w:r>
      <w:proofErr w:type="spellStart"/>
      <w:r w:rsidRPr="00B476D4">
        <w:rPr>
          <w:bCs/>
        </w:rPr>
        <w:t>VaVaI</w:t>
      </w:r>
      <w:proofErr w:type="spellEnd"/>
      <w:r>
        <w:rPr>
          <w:bCs/>
        </w:rPr>
        <w:t>.</w:t>
      </w:r>
    </w:p>
    <w:p w14:paraId="013A9B11" w14:textId="77777777" w:rsidR="009C249A" w:rsidRDefault="009C249A" w:rsidP="00FC7C93">
      <w:pPr>
        <w:pStyle w:val="Nadpis1"/>
        <w:numPr>
          <w:ilvl w:val="0"/>
          <w:numId w:val="3"/>
        </w:numPr>
        <w:spacing w:before="240" w:after="240" w:line="240" w:lineRule="auto"/>
        <w:ind w:left="431" w:hanging="431"/>
        <w:jc w:val="both"/>
      </w:pPr>
      <w:bookmarkStart w:id="36" w:name="_Toc40123747"/>
      <w:bookmarkStart w:id="37" w:name="_Toc55466826"/>
      <w:r>
        <w:t>FINANČNÍ NÁKLADY</w:t>
      </w:r>
      <w:bookmarkEnd w:id="36"/>
      <w:bookmarkEnd w:id="37"/>
    </w:p>
    <w:p w14:paraId="08B94D02" w14:textId="77777777" w:rsidR="005F2654" w:rsidRDefault="005F2654" w:rsidP="005F2654">
      <w:pPr>
        <w:spacing w:after="0" w:line="240" w:lineRule="auto"/>
        <w:jc w:val="both"/>
      </w:pPr>
      <w:r>
        <w:t>Rozpočet předkládaného návrhu projektu sdílených činností vychází z kalkulací a z odborných odhadů podložených údaji o aktuálních nákladech projektů řešitelů, tzn., TC AV ČR, NKC a EURAXESS ČR, podílejících se na projektu sdílených činností, zajišťujících obdobné služby v ČR nyní, tj. z jejich zkušeností s realizací informačních, školicích, konzultačních, analyticko-monitorovacích, propagačních a diseminačních aktivit. Předmětem podpory, která bude MŠMT poskytována na základě předkládaného záměru, jsou 3 výše popsané moduly.</w:t>
      </w:r>
    </w:p>
    <w:p w14:paraId="457B0643" w14:textId="77777777" w:rsidR="005F2654" w:rsidRDefault="005F2654" w:rsidP="005F2654">
      <w:pPr>
        <w:spacing w:after="0" w:line="240" w:lineRule="auto"/>
      </w:pPr>
    </w:p>
    <w:p w14:paraId="1C6E0BBE" w14:textId="77777777" w:rsidR="00132375" w:rsidRDefault="00132375" w:rsidP="005F2654">
      <w:pPr>
        <w:spacing w:after="0" w:line="240" w:lineRule="auto"/>
      </w:pPr>
    </w:p>
    <w:p w14:paraId="44C53936" w14:textId="77777777" w:rsidR="00132375" w:rsidRDefault="00132375" w:rsidP="005F2654">
      <w:pPr>
        <w:spacing w:after="0" w:line="240" w:lineRule="auto"/>
      </w:pPr>
    </w:p>
    <w:p w14:paraId="5D30A781" w14:textId="77777777" w:rsidR="00132375" w:rsidRDefault="00132375" w:rsidP="005F2654">
      <w:pPr>
        <w:spacing w:after="0" w:line="240" w:lineRule="auto"/>
      </w:pPr>
    </w:p>
    <w:p w14:paraId="2E96E65E" w14:textId="77777777" w:rsidR="00132375" w:rsidRDefault="00132375" w:rsidP="005F2654">
      <w:pPr>
        <w:spacing w:after="0" w:line="240" w:lineRule="auto"/>
      </w:pPr>
    </w:p>
    <w:p w14:paraId="6E106A34" w14:textId="77777777" w:rsidR="00132375" w:rsidRDefault="00132375" w:rsidP="005F2654">
      <w:pPr>
        <w:spacing w:after="0" w:line="240" w:lineRule="auto"/>
      </w:pPr>
    </w:p>
    <w:p w14:paraId="06C746BA" w14:textId="77777777" w:rsidR="00132375" w:rsidRDefault="00132375" w:rsidP="005F2654">
      <w:pPr>
        <w:spacing w:after="0" w:line="240" w:lineRule="auto"/>
      </w:pPr>
    </w:p>
    <w:p w14:paraId="25F10E89" w14:textId="77777777" w:rsidR="00132375" w:rsidRDefault="00132375" w:rsidP="005F2654">
      <w:pPr>
        <w:spacing w:after="0" w:line="240" w:lineRule="auto"/>
      </w:pPr>
    </w:p>
    <w:p w14:paraId="2BC763C1" w14:textId="77777777" w:rsidR="00132375" w:rsidRDefault="00132375" w:rsidP="005F2654">
      <w:pPr>
        <w:spacing w:after="0" w:line="240" w:lineRule="auto"/>
      </w:pPr>
    </w:p>
    <w:p w14:paraId="1BAC04FE" w14:textId="77777777" w:rsidR="005F2654" w:rsidRPr="00D120A5" w:rsidRDefault="005F2654" w:rsidP="005F2654">
      <w:pPr>
        <w:spacing w:line="240" w:lineRule="auto"/>
        <w:jc w:val="both"/>
        <w:rPr>
          <w:b/>
          <w:sz w:val="24"/>
        </w:rPr>
      </w:pPr>
      <w:bookmarkStart w:id="38" w:name="_Toc50708007"/>
      <w:bookmarkStart w:id="39" w:name="_Toc54244210"/>
      <w:r w:rsidRPr="00D120A5">
        <w:rPr>
          <w:b/>
          <w:sz w:val="24"/>
        </w:rPr>
        <w:lastRenderedPageBreak/>
        <w:t>Souhrnný rozpočet</w:t>
      </w:r>
    </w:p>
    <w:p w14:paraId="31485725" w14:textId="77777777" w:rsidR="005F2654" w:rsidRPr="00A120E3" w:rsidRDefault="005F2654" w:rsidP="005F2654">
      <w:pPr>
        <w:keepNext/>
        <w:spacing w:line="240" w:lineRule="auto"/>
        <w:jc w:val="both"/>
        <w:rPr>
          <w:b/>
          <w:bCs/>
          <w:color w:val="000000"/>
        </w:rPr>
      </w:pPr>
      <w:r w:rsidRPr="00A120E3">
        <w:rPr>
          <w:b/>
          <w:bCs/>
          <w:color w:val="000000"/>
        </w:rPr>
        <w:t>Náklady / 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5F2654" w:rsidRPr="008A3624" w14:paraId="23381629" w14:textId="77777777" w:rsidTr="00095948">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F43FC3C" w14:textId="2B7270A3" w:rsidR="005F2654" w:rsidRPr="00B42CB1" w:rsidRDefault="005F2654" w:rsidP="00B42CB1">
            <w:pPr>
              <w:spacing w:after="0" w:line="240" w:lineRule="auto"/>
              <w:jc w:val="center"/>
              <w:rPr>
                <w:b/>
                <w:bCs/>
                <w:color w:val="000000"/>
                <w:sz w:val="16"/>
                <w:szCs w:val="16"/>
              </w:rPr>
            </w:pPr>
            <w:r w:rsidRPr="00B42CB1">
              <w:rPr>
                <w:b/>
                <w:bCs/>
                <w:color w:val="000000"/>
                <w:sz w:val="16"/>
                <w:szCs w:val="16"/>
              </w:rPr>
              <w:t>Kategorie</w:t>
            </w:r>
            <w:r w:rsidR="009D5A02">
              <w:rPr>
                <w:b/>
                <w:bCs/>
                <w:color w:val="000000"/>
                <w:sz w:val="16"/>
                <w:szCs w:val="16"/>
              </w:rPr>
              <w:t xml:space="preserve"> </w:t>
            </w:r>
            <w:r w:rsidRPr="00B42CB1">
              <w:rPr>
                <w:b/>
                <w:bCs/>
                <w:color w:val="000000"/>
                <w:sz w:val="16"/>
                <w:szCs w:val="16"/>
              </w:rPr>
              <w:t>/</w:t>
            </w:r>
            <w:r w:rsidR="009D5A02">
              <w:rPr>
                <w:b/>
                <w:bCs/>
                <w:color w:val="000000"/>
                <w:sz w:val="16"/>
                <w:szCs w:val="16"/>
              </w:rPr>
              <w:t xml:space="preserve"> </w:t>
            </w:r>
            <w:r w:rsidRPr="00B42CB1">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2E3062D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14B975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BF8920F"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2A08138E"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12E2FAB7"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28B906F0"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5D4BF177" w14:textId="77777777" w:rsidR="005F2654" w:rsidRPr="00B42CB1" w:rsidRDefault="005F2654" w:rsidP="00B42CB1">
            <w:pPr>
              <w:spacing w:after="0" w:line="240" w:lineRule="auto"/>
              <w:jc w:val="center"/>
              <w:rPr>
                <w:b/>
                <w:bCs/>
                <w:color w:val="000000"/>
                <w:sz w:val="16"/>
                <w:szCs w:val="16"/>
              </w:rPr>
            </w:pPr>
            <w:r w:rsidRPr="00B42CB1">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457B389F" w14:textId="24624B7D" w:rsidR="005F2654" w:rsidRPr="00B42CB1" w:rsidRDefault="00E91637" w:rsidP="00B42CB1">
            <w:pPr>
              <w:spacing w:after="0" w:line="240" w:lineRule="auto"/>
              <w:jc w:val="center"/>
              <w:rPr>
                <w:b/>
                <w:bCs/>
                <w:color w:val="000000"/>
                <w:sz w:val="16"/>
                <w:szCs w:val="16"/>
              </w:rPr>
            </w:pPr>
            <w:r>
              <w:rPr>
                <w:b/>
                <w:bCs/>
                <w:color w:val="000000"/>
                <w:sz w:val="16"/>
                <w:szCs w:val="16"/>
              </w:rPr>
              <w:t>CELKEM</w:t>
            </w:r>
          </w:p>
        </w:tc>
      </w:tr>
      <w:tr w:rsidR="00E91637" w:rsidRPr="008A3624" w14:paraId="402513CE" w14:textId="77777777" w:rsidTr="00095948">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tcPr>
          <w:p w14:paraId="39B6FA09" w14:textId="7124572B" w:rsidR="00E91637" w:rsidRPr="00B42CB1" w:rsidRDefault="00E91637" w:rsidP="00E91637">
            <w:pPr>
              <w:spacing w:after="0" w:line="240" w:lineRule="auto"/>
              <w:jc w:val="center"/>
              <w:rPr>
                <w:b/>
                <w:bCs/>
                <w:color w:val="000000"/>
                <w:sz w:val="16"/>
                <w:szCs w:val="16"/>
              </w:rPr>
            </w:pPr>
            <w:r w:rsidRPr="00B42CB1">
              <w:rPr>
                <w:b/>
                <w:bCs/>
                <w:color w:val="000000"/>
                <w:sz w:val="16"/>
                <w:szCs w:val="16"/>
              </w:rPr>
              <w:t xml:space="preserve">1. Osobní náklady </w:t>
            </w:r>
            <w:r w:rsidRPr="00B42CB1">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hideMark/>
          </w:tcPr>
          <w:p w14:paraId="3BA30EA0"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3 779 101</w:t>
            </w:r>
          </w:p>
        </w:tc>
        <w:tc>
          <w:tcPr>
            <w:tcW w:w="958" w:type="dxa"/>
            <w:tcBorders>
              <w:top w:val="nil"/>
              <w:left w:val="nil"/>
              <w:bottom w:val="single" w:sz="4" w:space="0" w:color="auto"/>
              <w:right w:val="single" w:sz="4" w:space="0" w:color="auto"/>
            </w:tcBorders>
            <w:shd w:val="clear" w:color="auto" w:fill="auto"/>
            <w:noWrap/>
            <w:vAlign w:val="center"/>
            <w:hideMark/>
          </w:tcPr>
          <w:p w14:paraId="7974E46B" w14:textId="77777777" w:rsidR="00E91637" w:rsidRPr="00B42CB1" w:rsidRDefault="00E91637" w:rsidP="00E91637">
            <w:pPr>
              <w:spacing w:after="0" w:line="240" w:lineRule="auto"/>
              <w:jc w:val="center"/>
              <w:rPr>
                <w:color w:val="000000"/>
                <w:sz w:val="16"/>
                <w:szCs w:val="16"/>
              </w:rPr>
            </w:pPr>
            <w:r w:rsidRPr="00B42CB1">
              <w:rPr>
                <w:color w:val="000000"/>
                <w:sz w:val="16"/>
                <w:szCs w:val="16"/>
              </w:rPr>
              <w:t>27 169 075</w:t>
            </w:r>
          </w:p>
        </w:tc>
        <w:tc>
          <w:tcPr>
            <w:tcW w:w="958" w:type="dxa"/>
            <w:tcBorders>
              <w:top w:val="nil"/>
              <w:left w:val="nil"/>
              <w:bottom w:val="single" w:sz="4" w:space="0" w:color="auto"/>
              <w:right w:val="single" w:sz="4" w:space="0" w:color="auto"/>
            </w:tcBorders>
            <w:shd w:val="clear" w:color="auto" w:fill="auto"/>
            <w:noWrap/>
            <w:vAlign w:val="center"/>
            <w:hideMark/>
          </w:tcPr>
          <w:p w14:paraId="146BC3F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32 233 693</w:t>
            </w:r>
          </w:p>
        </w:tc>
        <w:tc>
          <w:tcPr>
            <w:tcW w:w="958" w:type="dxa"/>
            <w:tcBorders>
              <w:top w:val="nil"/>
              <w:left w:val="nil"/>
              <w:bottom w:val="single" w:sz="4" w:space="0" w:color="auto"/>
              <w:right w:val="single" w:sz="4" w:space="0" w:color="auto"/>
            </w:tcBorders>
            <w:shd w:val="clear" w:color="auto" w:fill="auto"/>
            <w:noWrap/>
            <w:vAlign w:val="center"/>
            <w:hideMark/>
          </w:tcPr>
          <w:p w14:paraId="0549FEE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33 161 532</w:t>
            </w:r>
          </w:p>
        </w:tc>
        <w:tc>
          <w:tcPr>
            <w:tcW w:w="958" w:type="dxa"/>
            <w:tcBorders>
              <w:top w:val="nil"/>
              <w:left w:val="nil"/>
              <w:bottom w:val="single" w:sz="4" w:space="0" w:color="auto"/>
              <w:right w:val="single" w:sz="4" w:space="0" w:color="auto"/>
            </w:tcBorders>
            <w:shd w:val="clear" w:color="auto" w:fill="auto"/>
            <w:noWrap/>
            <w:vAlign w:val="center"/>
            <w:hideMark/>
          </w:tcPr>
          <w:p w14:paraId="02C4966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34 127 032</w:t>
            </w:r>
          </w:p>
        </w:tc>
        <w:tc>
          <w:tcPr>
            <w:tcW w:w="958" w:type="dxa"/>
            <w:tcBorders>
              <w:top w:val="nil"/>
              <w:left w:val="nil"/>
              <w:bottom w:val="single" w:sz="4" w:space="0" w:color="auto"/>
              <w:right w:val="single" w:sz="4" w:space="0" w:color="auto"/>
            </w:tcBorders>
            <w:shd w:val="clear" w:color="auto" w:fill="auto"/>
            <w:noWrap/>
            <w:vAlign w:val="center"/>
            <w:hideMark/>
          </w:tcPr>
          <w:p w14:paraId="4ACB710B"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35 008 956</w:t>
            </w:r>
          </w:p>
        </w:tc>
        <w:tc>
          <w:tcPr>
            <w:tcW w:w="958" w:type="dxa"/>
            <w:tcBorders>
              <w:top w:val="nil"/>
              <w:left w:val="nil"/>
              <w:bottom w:val="single" w:sz="4" w:space="0" w:color="auto"/>
              <w:right w:val="single" w:sz="4" w:space="0" w:color="auto"/>
            </w:tcBorders>
            <w:shd w:val="clear" w:color="auto" w:fill="auto"/>
            <w:noWrap/>
            <w:vAlign w:val="center"/>
            <w:hideMark/>
          </w:tcPr>
          <w:p w14:paraId="79BC9B98"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35 858 456</w:t>
            </w:r>
          </w:p>
        </w:tc>
        <w:tc>
          <w:tcPr>
            <w:tcW w:w="1120" w:type="dxa"/>
            <w:tcBorders>
              <w:top w:val="nil"/>
              <w:left w:val="nil"/>
              <w:bottom w:val="single" w:sz="4" w:space="0" w:color="auto"/>
              <w:right w:val="single" w:sz="4" w:space="0" w:color="auto"/>
            </w:tcBorders>
            <w:shd w:val="clear" w:color="000000" w:fill="F2F2F2"/>
            <w:noWrap/>
            <w:vAlign w:val="center"/>
            <w:hideMark/>
          </w:tcPr>
          <w:p w14:paraId="53AA1CF0"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201 337 845</w:t>
            </w:r>
          </w:p>
        </w:tc>
      </w:tr>
      <w:tr w:rsidR="00E91637" w:rsidRPr="008A3624" w14:paraId="121E6994" w14:textId="77777777" w:rsidTr="00095948">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9759FE6" w14:textId="77777777" w:rsidR="00E91637" w:rsidRPr="00B42CB1" w:rsidRDefault="00E91637" w:rsidP="00E91637">
            <w:pPr>
              <w:spacing w:after="0" w:line="240" w:lineRule="auto"/>
              <w:jc w:val="center"/>
              <w:rPr>
                <w:b/>
                <w:bCs/>
                <w:sz w:val="16"/>
                <w:szCs w:val="16"/>
              </w:rPr>
            </w:pPr>
            <w:r w:rsidRPr="00B42CB1">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6084212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150 000</w:t>
            </w:r>
          </w:p>
        </w:tc>
        <w:tc>
          <w:tcPr>
            <w:tcW w:w="958" w:type="dxa"/>
            <w:tcBorders>
              <w:top w:val="nil"/>
              <w:left w:val="nil"/>
              <w:bottom w:val="single" w:sz="4" w:space="0" w:color="auto"/>
              <w:right w:val="single" w:sz="4" w:space="0" w:color="auto"/>
            </w:tcBorders>
            <w:shd w:val="clear" w:color="auto" w:fill="auto"/>
            <w:noWrap/>
            <w:vAlign w:val="center"/>
            <w:hideMark/>
          </w:tcPr>
          <w:p w14:paraId="47F7E26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800 000</w:t>
            </w:r>
          </w:p>
        </w:tc>
        <w:tc>
          <w:tcPr>
            <w:tcW w:w="958" w:type="dxa"/>
            <w:tcBorders>
              <w:top w:val="nil"/>
              <w:left w:val="nil"/>
              <w:bottom w:val="single" w:sz="4" w:space="0" w:color="auto"/>
              <w:right w:val="single" w:sz="4" w:space="0" w:color="auto"/>
            </w:tcBorders>
            <w:shd w:val="clear" w:color="auto" w:fill="auto"/>
            <w:noWrap/>
            <w:vAlign w:val="center"/>
            <w:hideMark/>
          </w:tcPr>
          <w:p w14:paraId="0BB4729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810 000</w:t>
            </w:r>
          </w:p>
        </w:tc>
        <w:tc>
          <w:tcPr>
            <w:tcW w:w="958" w:type="dxa"/>
            <w:tcBorders>
              <w:top w:val="nil"/>
              <w:left w:val="nil"/>
              <w:bottom w:val="single" w:sz="4" w:space="0" w:color="auto"/>
              <w:right w:val="single" w:sz="4" w:space="0" w:color="auto"/>
            </w:tcBorders>
            <w:shd w:val="clear" w:color="auto" w:fill="auto"/>
            <w:noWrap/>
            <w:vAlign w:val="center"/>
            <w:hideMark/>
          </w:tcPr>
          <w:p w14:paraId="249CCC0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820 000</w:t>
            </w:r>
          </w:p>
        </w:tc>
        <w:tc>
          <w:tcPr>
            <w:tcW w:w="958" w:type="dxa"/>
            <w:tcBorders>
              <w:top w:val="nil"/>
              <w:left w:val="nil"/>
              <w:bottom w:val="single" w:sz="4" w:space="0" w:color="auto"/>
              <w:right w:val="single" w:sz="4" w:space="0" w:color="auto"/>
            </w:tcBorders>
            <w:shd w:val="clear" w:color="auto" w:fill="auto"/>
            <w:noWrap/>
            <w:vAlign w:val="center"/>
            <w:hideMark/>
          </w:tcPr>
          <w:p w14:paraId="2E4C9CE3"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830 000</w:t>
            </w:r>
          </w:p>
        </w:tc>
        <w:tc>
          <w:tcPr>
            <w:tcW w:w="958" w:type="dxa"/>
            <w:tcBorders>
              <w:top w:val="nil"/>
              <w:left w:val="nil"/>
              <w:bottom w:val="single" w:sz="4" w:space="0" w:color="auto"/>
              <w:right w:val="single" w:sz="4" w:space="0" w:color="auto"/>
            </w:tcBorders>
            <w:shd w:val="clear" w:color="auto" w:fill="auto"/>
            <w:noWrap/>
            <w:vAlign w:val="center"/>
            <w:hideMark/>
          </w:tcPr>
          <w:p w14:paraId="4C2B709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840 000</w:t>
            </w:r>
          </w:p>
        </w:tc>
        <w:tc>
          <w:tcPr>
            <w:tcW w:w="958" w:type="dxa"/>
            <w:tcBorders>
              <w:top w:val="nil"/>
              <w:left w:val="nil"/>
              <w:bottom w:val="single" w:sz="4" w:space="0" w:color="auto"/>
              <w:right w:val="single" w:sz="4" w:space="0" w:color="auto"/>
            </w:tcBorders>
            <w:shd w:val="clear" w:color="auto" w:fill="auto"/>
            <w:noWrap/>
            <w:vAlign w:val="center"/>
            <w:hideMark/>
          </w:tcPr>
          <w:p w14:paraId="398BB05E" w14:textId="77777777" w:rsidR="00E91637" w:rsidRPr="00B42CB1" w:rsidRDefault="00E91637" w:rsidP="00E91637">
            <w:pPr>
              <w:spacing w:after="0" w:line="240" w:lineRule="auto"/>
              <w:jc w:val="center"/>
              <w:rPr>
                <w:color w:val="000000"/>
                <w:sz w:val="16"/>
                <w:szCs w:val="16"/>
              </w:rPr>
            </w:pPr>
            <w:r w:rsidRPr="00B42CB1">
              <w:rPr>
                <w:color w:val="000000"/>
                <w:sz w:val="16"/>
                <w:szCs w:val="16"/>
              </w:rPr>
              <w:t>845 000</w:t>
            </w:r>
          </w:p>
        </w:tc>
        <w:tc>
          <w:tcPr>
            <w:tcW w:w="1120" w:type="dxa"/>
            <w:tcBorders>
              <w:top w:val="nil"/>
              <w:left w:val="nil"/>
              <w:bottom w:val="single" w:sz="4" w:space="0" w:color="auto"/>
              <w:right w:val="single" w:sz="4" w:space="0" w:color="auto"/>
            </w:tcBorders>
            <w:shd w:val="clear" w:color="000000" w:fill="F2F2F2"/>
            <w:noWrap/>
            <w:vAlign w:val="center"/>
            <w:hideMark/>
          </w:tcPr>
          <w:p w14:paraId="3EF9D99E"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5 095 000</w:t>
            </w:r>
          </w:p>
        </w:tc>
      </w:tr>
      <w:tr w:rsidR="00E91637" w:rsidRPr="008A3624" w14:paraId="40DD3A27" w14:textId="77777777" w:rsidTr="00095948">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3C50AD0" w14:textId="77777777" w:rsidR="00E91637" w:rsidRPr="00B42CB1" w:rsidRDefault="00E91637" w:rsidP="00E91637">
            <w:pPr>
              <w:spacing w:after="0" w:line="240" w:lineRule="auto"/>
              <w:jc w:val="center"/>
              <w:rPr>
                <w:b/>
                <w:bCs/>
                <w:sz w:val="16"/>
                <w:szCs w:val="16"/>
              </w:rPr>
            </w:pPr>
            <w:r w:rsidRPr="00B42CB1">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293CA24F" w14:textId="77777777" w:rsidR="00E91637" w:rsidRPr="00B42CB1" w:rsidRDefault="00E91637" w:rsidP="00E91637">
            <w:pPr>
              <w:spacing w:after="0" w:line="240" w:lineRule="auto"/>
              <w:jc w:val="center"/>
              <w:rPr>
                <w:color w:val="000000"/>
                <w:sz w:val="16"/>
                <w:szCs w:val="16"/>
              </w:rPr>
            </w:pPr>
            <w:r w:rsidRPr="00B42CB1">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162B74E3" w14:textId="77777777" w:rsidR="00E91637" w:rsidRPr="00B42CB1" w:rsidRDefault="00E91637" w:rsidP="00E91637">
            <w:pPr>
              <w:spacing w:after="0" w:line="240" w:lineRule="auto"/>
              <w:jc w:val="center"/>
              <w:rPr>
                <w:color w:val="000000"/>
                <w:sz w:val="16"/>
                <w:szCs w:val="16"/>
              </w:rPr>
            </w:pPr>
            <w:r w:rsidRPr="00B42CB1">
              <w:rPr>
                <w:color w:val="000000"/>
                <w:sz w:val="16"/>
                <w:szCs w:val="16"/>
              </w:rPr>
              <w:t>3 360 000</w:t>
            </w:r>
          </w:p>
        </w:tc>
        <w:tc>
          <w:tcPr>
            <w:tcW w:w="958" w:type="dxa"/>
            <w:tcBorders>
              <w:top w:val="nil"/>
              <w:left w:val="nil"/>
              <w:bottom w:val="single" w:sz="4" w:space="0" w:color="auto"/>
              <w:right w:val="single" w:sz="4" w:space="0" w:color="auto"/>
            </w:tcBorders>
            <w:shd w:val="clear" w:color="auto" w:fill="auto"/>
            <w:noWrap/>
            <w:vAlign w:val="center"/>
            <w:hideMark/>
          </w:tcPr>
          <w:p w14:paraId="1C2FE72F"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4 375 000</w:t>
            </w:r>
          </w:p>
        </w:tc>
        <w:tc>
          <w:tcPr>
            <w:tcW w:w="958" w:type="dxa"/>
            <w:tcBorders>
              <w:top w:val="nil"/>
              <w:left w:val="nil"/>
              <w:bottom w:val="single" w:sz="4" w:space="0" w:color="auto"/>
              <w:right w:val="single" w:sz="4" w:space="0" w:color="auto"/>
            </w:tcBorders>
            <w:shd w:val="clear" w:color="auto" w:fill="auto"/>
            <w:noWrap/>
            <w:vAlign w:val="center"/>
            <w:hideMark/>
          </w:tcPr>
          <w:p w14:paraId="74C4AAD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4 430 000</w:t>
            </w:r>
          </w:p>
        </w:tc>
        <w:tc>
          <w:tcPr>
            <w:tcW w:w="958" w:type="dxa"/>
            <w:tcBorders>
              <w:top w:val="nil"/>
              <w:left w:val="nil"/>
              <w:bottom w:val="single" w:sz="4" w:space="0" w:color="auto"/>
              <w:right w:val="single" w:sz="4" w:space="0" w:color="auto"/>
            </w:tcBorders>
            <w:shd w:val="clear" w:color="auto" w:fill="auto"/>
            <w:noWrap/>
            <w:vAlign w:val="center"/>
            <w:hideMark/>
          </w:tcPr>
          <w:p w14:paraId="37DA35B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4 490 000</w:t>
            </w:r>
          </w:p>
        </w:tc>
        <w:tc>
          <w:tcPr>
            <w:tcW w:w="958" w:type="dxa"/>
            <w:tcBorders>
              <w:top w:val="nil"/>
              <w:left w:val="nil"/>
              <w:bottom w:val="single" w:sz="4" w:space="0" w:color="auto"/>
              <w:right w:val="single" w:sz="4" w:space="0" w:color="auto"/>
            </w:tcBorders>
            <w:shd w:val="clear" w:color="auto" w:fill="auto"/>
            <w:noWrap/>
            <w:vAlign w:val="center"/>
            <w:hideMark/>
          </w:tcPr>
          <w:p w14:paraId="494ACDC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4 540 000</w:t>
            </w:r>
          </w:p>
        </w:tc>
        <w:tc>
          <w:tcPr>
            <w:tcW w:w="958" w:type="dxa"/>
            <w:tcBorders>
              <w:top w:val="nil"/>
              <w:left w:val="nil"/>
              <w:bottom w:val="single" w:sz="4" w:space="0" w:color="auto"/>
              <w:right w:val="single" w:sz="4" w:space="0" w:color="auto"/>
            </w:tcBorders>
            <w:shd w:val="clear" w:color="auto" w:fill="auto"/>
            <w:noWrap/>
            <w:vAlign w:val="center"/>
            <w:hideMark/>
          </w:tcPr>
          <w:p w14:paraId="55C5E6AC" w14:textId="77777777" w:rsidR="00E91637" w:rsidRPr="00B42CB1" w:rsidRDefault="00E91637" w:rsidP="00E91637">
            <w:pPr>
              <w:spacing w:after="0" w:line="240" w:lineRule="auto"/>
              <w:jc w:val="center"/>
              <w:rPr>
                <w:color w:val="000000"/>
                <w:sz w:val="16"/>
                <w:szCs w:val="16"/>
              </w:rPr>
            </w:pPr>
            <w:r w:rsidRPr="00B42CB1">
              <w:rPr>
                <w:color w:val="000000"/>
                <w:sz w:val="16"/>
                <w:szCs w:val="16"/>
              </w:rPr>
              <w:t>4 710 000</w:t>
            </w:r>
          </w:p>
        </w:tc>
        <w:tc>
          <w:tcPr>
            <w:tcW w:w="1120" w:type="dxa"/>
            <w:tcBorders>
              <w:top w:val="nil"/>
              <w:left w:val="nil"/>
              <w:bottom w:val="single" w:sz="4" w:space="0" w:color="auto"/>
              <w:right w:val="single" w:sz="4" w:space="0" w:color="auto"/>
            </w:tcBorders>
            <w:shd w:val="clear" w:color="000000" w:fill="F2F2F2"/>
            <w:noWrap/>
            <w:vAlign w:val="center"/>
            <w:hideMark/>
          </w:tcPr>
          <w:p w14:paraId="242F2CFA"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26 495 000</w:t>
            </w:r>
          </w:p>
        </w:tc>
      </w:tr>
      <w:tr w:rsidR="00E91637" w:rsidRPr="008A3624" w14:paraId="70E2D054" w14:textId="77777777" w:rsidTr="00095948">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020CC104"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 Doplňkové náklady</w:t>
            </w:r>
            <w:r w:rsidRPr="00B42CB1">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3E55579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1 092 275</w:t>
            </w:r>
          </w:p>
        </w:tc>
        <w:tc>
          <w:tcPr>
            <w:tcW w:w="958" w:type="dxa"/>
            <w:tcBorders>
              <w:top w:val="nil"/>
              <w:left w:val="nil"/>
              <w:bottom w:val="single" w:sz="4" w:space="0" w:color="auto"/>
              <w:right w:val="single" w:sz="4" w:space="0" w:color="auto"/>
            </w:tcBorders>
            <w:shd w:val="clear" w:color="auto" w:fill="auto"/>
            <w:noWrap/>
            <w:vAlign w:val="center"/>
            <w:hideMark/>
          </w:tcPr>
          <w:p w14:paraId="6B0D60D1" w14:textId="77777777" w:rsidR="00E91637" w:rsidRPr="00B42CB1" w:rsidRDefault="00E91637" w:rsidP="00E91637">
            <w:pPr>
              <w:spacing w:after="0" w:line="240" w:lineRule="auto"/>
              <w:jc w:val="center"/>
              <w:rPr>
                <w:color w:val="000000"/>
                <w:sz w:val="16"/>
                <w:szCs w:val="16"/>
              </w:rPr>
            </w:pPr>
            <w:r w:rsidRPr="00B42CB1">
              <w:rPr>
                <w:color w:val="000000"/>
                <w:sz w:val="16"/>
                <w:szCs w:val="16"/>
              </w:rPr>
              <w:t>7 632 269</w:t>
            </w:r>
          </w:p>
        </w:tc>
        <w:tc>
          <w:tcPr>
            <w:tcW w:w="958" w:type="dxa"/>
            <w:tcBorders>
              <w:top w:val="nil"/>
              <w:left w:val="nil"/>
              <w:bottom w:val="single" w:sz="4" w:space="0" w:color="auto"/>
              <w:right w:val="single" w:sz="4" w:space="0" w:color="auto"/>
            </w:tcBorders>
            <w:shd w:val="clear" w:color="auto" w:fill="auto"/>
            <w:noWrap/>
            <w:vAlign w:val="center"/>
            <w:hideMark/>
          </w:tcPr>
          <w:p w14:paraId="7B482E87"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9 152 173</w:t>
            </w:r>
          </w:p>
        </w:tc>
        <w:tc>
          <w:tcPr>
            <w:tcW w:w="958" w:type="dxa"/>
            <w:tcBorders>
              <w:top w:val="nil"/>
              <w:left w:val="nil"/>
              <w:bottom w:val="single" w:sz="4" w:space="0" w:color="auto"/>
              <w:right w:val="single" w:sz="4" w:space="0" w:color="auto"/>
            </w:tcBorders>
            <w:shd w:val="clear" w:color="auto" w:fill="auto"/>
            <w:noWrap/>
            <w:vAlign w:val="center"/>
            <w:hideMark/>
          </w:tcPr>
          <w:p w14:paraId="1B2DF3F2"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9 397 883</w:t>
            </w:r>
          </w:p>
        </w:tc>
        <w:tc>
          <w:tcPr>
            <w:tcW w:w="958" w:type="dxa"/>
            <w:tcBorders>
              <w:top w:val="nil"/>
              <w:left w:val="nil"/>
              <w:bottom w:val="single" w:sz="4" w:space="0" w:color="auto"/>
              <w:right w:val="single" w:sz="4" w:space="0" w:color="auto"/>
            </w:tcBorders>
            <w:shd w:val="clear" w:color="auto" w:fill="auto"/>
            <w:noWrap/>
            <w:vAlign w:val="center"/>
            <w:hideMark/>
          </w:tcPr>
          <w:p w14:paraId="4CF44AFA"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9 654 258</w:t>
            </w:r>
          </w:p>
        </w:tc>
        <w:tc>
          <w:tcPr>
            <w:tcW w:w="958" w:type="dxa"/>
            <w:tcBorders>
              <w:top w:val="nil"/>
              <w:left w:val="nil"/>
              <w:bottom w:val="single" w:sz="4" w:space="0" w:color="auto"/>
              <w:right w:val="single" w:sz="4" w:space="0" w:color="auto"/>
            </w:tcBorders>
            <w:shd w:val="clear" w:color="auto" w:fill="auto"/>
            <w:noWrap/>
            <w:vAlign w:val="center"/>
            <w:hideMark/>
          </w:tcPr>
          <w:p w14:paraId="52ED3E46" w14:textId="77777777" w:rsidR="00E91637" w:rsidRPr="00B42CB1" w:rsidRDefault="00E91637" w:rsidP="00E91637">
            <w:pPr>
              <w:spacing w:after="0" w:line="240" w:lineRule="auto"/>
              <w:jc w:val="center"/>
              <w:rPr>
                <w:color w:val="000000"/>
                <w:sz w:val="16"/>
                <w:szCs w:val="16"/>
              </w:rPr>
            </w:pPr>
            <w:r w:rsidRPr="00B42CB1">
              <w:rPr>
                <w:color w:val="000000"/>
                <w:sz w:val="16"/>
                <w:szCs w:val="16"/>
              </w:rPr>
              <w:t>9 887 239</w:t>
            </w:r>
          </w:p>
        </w:tc>
        <w:tc>
          <w:tcPr>
            <w:tcW w:w="958" w:type="dxa"/>
            <w:tcBorders>
              <w:top w:val="nil"/>
              <w:left w:val="nil"/>
              <w:bottom w:val="single" w:sz="4" w:space="0" w:color="auto"/>
              <w:right w:val="single" w:sz="4" w:space="0" w:color="auto"/>
            </w:tcBorders>
            <w:shd w:val="clear" w:color="auto" w:fill="auto"/>
            <w:noWrap/>
            <w:vAlign w:val="center"/>
            <w:hideMark/>
          </w:tcPr>
          <w:p w14:paraId="727ADB05" w14:textId="77777777" w:rsidR="00E91637" w:rsidRPr="00B42CB1" w:rsidRDefault="00E91637" w:rsidP="00E91637">
            <w:pPr>
              <w:spacing w:after="0" w:line="240" w:lineRule="auto"/>
              <w:jc w:val="center"/>
              <w:rPr>
                <w:color w:val="000000"/>
                <w:sz w:val="16"/>
                <w:szCs w:val="16"/>
              </w:rPr>
            </w:pPr>
            <w:r w:rsidRPr="00B42CB1">
              <w:rPr>
                <w:color w:val="000000"/>
                <w:sz w:val="16"/>
                <w:szCs w:val="16"/>
              </w:rPr>
              <w:t>10 142 114</w:t>
            </w:r>
          </w:p>
        </w:tc>
        <w:tc>
          <w:tcPr>
            <w:tcW w:w="1120" w:type="dxa"/>
            <w:tcBorders>
              <w:top w:val="nil"/>
              <w:left w:val="nil"/>
              <w:bottom w:val="single" w:sz="4" w:space="0" w:color="auto"/>
              <w:right w:val="single" w:sz="4" w:space="0" w:color="auto"/>
            </w:tcBorders>
            <w:shd w:val="clear" w:color="000000" w:fill="F2F2F2"/>
            <w:noWrap/>
            <w:vAlign w:val="center"/>
            <w:hideMark/>
          </w:tcPr>
          <w:p w14:paraId="6E31359E" w14:textId="77777777" w:rsidR="00E91637" w:rsidRPr="002354B1" w:rsidRDefault="00E91637" w:rsidP="00E91637">
            <w:pPr>
              <w:spacing w:after="0" w:line="240" w:lineRule="auto"/>
              <w:jc w:val="center"/>
              <w:rPr>
                <w:b/>
                <w:color w:val="000000"/>
                <w:sz w:val="16"/>
                <w:szCs w:val="16"/>
              </w:rPr>
            </w:pPr>
            <w:r w:rsidRPr="002354B1">
              <w:rPr>
                <w:b/>
                <w:color w:val="000000"/>
                <w:sz w:val="16"/>
                <w:szCs w:val="16"/>
              </w:rPr>
              <w:t>56 958 211</w:t>
            </w:r>
          </w:p>
        </w:tc>
      </w:tr>
      <w:tr w:rsidR="00E91637" w:rsidRPr="008A3624" w14:paraId="0575CE13" w14:textId="77777777" w:rsidTr="00095948">
        <w:trPr>
          <w:trHeight w:val="240"/>
        </w:trPr>
        <w:tc>
          <w:tcPr>
            <w:tcW w:w="1780" w:type="dxa"/>
            <w:vMerge/>
            <w:tcBorders>
              <w:top w:val="nil"/>
              <w:left w:val="single" w:sz="4" w:space="0" w:color="auto"/>
              <w:bottom w:val="single" w:sz="4" w:space="0" w:color="auto"/>
              <w:right w:val="single" w:sz="4" w:space="0" w:color="auto"/>
            </w:tcBorders>
            <w:vAlign w:val="center"/>
            <w:hideMark/>
          </w:tcPr>
          <w:p w14:paraId="485F0FF1" w14:textId="77777777" w:rsidR="00E91637" w:rsidRPr="00B42CB1" w:rsidRDefault="00E91637" w:rsidP="00E91637">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01F359E9"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FCCEC7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397E97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5E399F3"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5795C975"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85E609A"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7ACB848" w14:textId="77777777" w:rsidR="00E91637" w:rsidRPr="00B42CB1" w:rsidRDefault="00E91637" w:rsidP="00E91637">
            <w:pPr>
              <w:spacing w:after="0" w:line="240" w:lineRule="auto"/>
              <w:jc w:val="center"/>
              <w:rPr>
                <w:color w:val="0070C0"/>
                <w:sz w:val="16"/>
                <w:szCs w:val="16"/>
              </w:rPr>
            </w:pPr>
            <w:r w:rsidRPr="00B42CB1">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48266ECF" w14:textId="77777777" w:rsidR="00E91637" w:rsidRPr="002354B1" w:rsidRDefault="00E91637" w:rsidP="00E91637">
            <w:pPr>
              <w:spacing w:after="0" w:line="240" w:lineRule="auto"/>
              <w:jc w:val="center"/>
              <w:rPr>
                <w:b/>
                <w:color w:val="0070C0"/>
                <w:sz w:val="16"/>
                <w:szCs w:val="16"/>
              </w:rPr>
            </w:pPr>
            <w:r w:rsidRPr="002354B1">
              <w:rPr>
                <w:b/>
                <w:color w:val="0070C0"/>
                <w:sz w:val="16"/>
                <w:szCs w:val="16"/>
              </w:rPr>
              <w:t>25,00%</w:t>
            </w:r>
          </w:p>
        </w:tc>
      </w:tr>
      <w:tr w:rsidR="00E91637" w:rsidRPr="008A3624" w14:paraId="5978D45E" w14:textId="77777777" w:rsidTr="00095948">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136F5E56"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 CELKEM</w:t>
            </w:r>
          </w:p>
        </w:tc>
        <w:tc>
          <w:tcPr>
            <w:tcW w:w="980" w:type="dxa"/>
            <w:tcBorders>
              <w:top w:val="nil"/>
              <w:left w:val="nil"/>
              <w:bottom w:val="single" w:sz="4" w:space="0" w:color="auto"/>
              <w:right w:val="single" w:sz="4" w:space="0" w:color="auto"/>
            </w:tcBorders>
            <w:shd w:val="clear" w:color="000000" w:fill="F2F2F2"/>
            <w:noWrap/>
            <w:vAlign w:val="center"/>
            <w:hideMark/>
          </w:tcPr>
          <w:p w14:paraId="3282BBE5"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5 611 376</w:t>
            </w:r>
          </w:p>
        </w:tc>
        <w:tc>
          <w:tcPr>
            <w:tcW w:w="958" w:type="dxa"/>
            <w:tcBorders>
              <w:top w:val="nil"/>
              <w:left w:val="nil"/>
              <w:bottom w:val="single" w:sz="4" w:space="0" w:color="auto"/>
              <w:right w:val="single" w:sz="4" w:space="0" w:color="auto"/>
            </w:tcBorders>
            <w:shd w:val="clear" w:color="000000" w:fill="F2F2F2"/>
            <w:noWrap/>
            <w:vAlign w:val="center"/>
            <w:hideMark/>
          </w:tcPr>
          <w:p w14:paraId="5C6F11F0"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38 961 344</w:t>
            </w:r>
          </w:p>
        </w:tc>
        <w:tc>
          <w:tcPr>
            <w:tcW w:w="958" w:type="dxa"/>
            <w:tcBorders>
              <w:top w:val="nil"/>
              <w:left w:val="nil"/>
              <w:bottom w:val="single" w:sz="4" w:space="0" w:color="auto"/>
              <w:right w:val="single" w:sz="4" w:space="0" w:color="auto"/>
            </w:tcBorders>
            <w:shd w:val="clear" w:color="000000" w:fill="F2F2F2"/>
            <w:noWrap/>
            <w:vAlign w:val="center"/>
            <w:hideMark/>
          </w:tcPr>
          <w:p w14:paraId="2C10048C"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46 570 866</w:t>
            </w:r>
          </w:p>
        </w:tc>
        <w:tc>
          <w:tcPr>
            <w:tcW w:w="958" w:type="dxa"/>
            <w:tcBorders>
              <w:top w:val="nil"/>
              <w:left w:val="nil"/>
              <w:bottom w:val="single" w:sz="4" w:space="0" w:color="auto"/>
              <w:right w:val="single" w:sz="4" w:space="0" w:color="auto"/>
            </w:tcBorders>
            <w:shd w:val="clear" w:color="000000" w:fill="F2F2F2"/>
            <w:noWrap/>
            <w:vAlign w:val="center"/>
            <w:hideMark/>
          </w:tcPr>
          <w:p w14:paraId="7D8B38F6"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47 809 415</w:t>
            </w:r>
          </w:p>
        </w:tc>
        <w:tc>
          <w:tcPr>
            <w:tcW w:w="958" w:type="dxa"/>
            <w:tcBorders>
              <w:top w:val="nil"/>
              <w:left w:val="nil"/>
              <w:bottom w:val="single" w:sz="4" w:space="0" w:color="auto"/>
              <w:right w:val="single" w:sz="4" w:space="0" w:color="auto"/>
            </w:tcBorders>
            <w:shd w:val="clear" w:color="000000" w:fill="F2F2F2"/>
            <w:noWrap/>
            <w:vAlign w:val="center"/>
            <w:hideMark/>
          </w:tcPr>
          <w:p w14:paraId="611527DB"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49 101 290</w:t>
            </w:r>
          </w:p>
        </w:tc>
        <w:tc>
          <w:tcPr>
            <w:tcW w:w="958" w:type="dxa"/>
            <w:tcBorders>
              <w:top w:val="nil"/>
              <w:left w:val="nil"/>
              <w:bottom w:val="single" w:sz="4" w:space="0" w:color="auto"/>
              <w:right w:val="single" w:sz="4" w:space="0" w:color="auto"/>
            </w:tcBorders>
            <w:shd w:val="clear" w:color="000000" w:fill="F2F2F2"/>
            <w:noWrap/>
            <w:vAlign w:val="center"/>
            <w:hideMark/>
          </w:tcPr>
          <w:p w14:paraId="03A6EB62"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50 276 195</w:t>
            </w:r>
          </w:p>
        </w:tc>
        <w:tc>
          <w:tcPr>
            <w:tcW w:w="958" w:type="dxa"/>
            <w:tcBorders>
              <w:top w:val="nil"/>
              <w:left w:val="nil"/>
              <w:bottom w:val="single" w:sz="4" w:space="0" w:color="auto"/>
              <w:right w:val="single" w:sz="4" w:space="0" w:color="auto"/>
            </w:tcBorders>
            <w:shd w:val="clear" w:color="000000" w:fill="F2F2F2"/>
            <w:noWrap/>
            <w:vAlign w:val="center"/>
            <w:hideMark/>
          </w:tcPr>
          <w:p w14:paraId="35A0B484"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51 555 570</w:t>
            </w:r>
          </w:p>
        </w:tc>
        <w:tc>
          <w:tcPr>
            <w:tcW w:w="1120" w:type="dxa"/>
            <w:tcBorders>
              <w:top w:val="nil"/>
              <w:left w:val="nil"/>
              <w:bottom w:val="single" w:sz="4" w:space="0" w:color="auto"/>
              <w:right w:val="single" w:sz="4" w:space="0" w:color="auto"/>
            </w:tcBorders>
            <w:shd w:val="clear" w:color="000000" w:fill="F2F2F2"/>
            <w:noWrap/>
            <w:vAlign w:val="center"/>
            <w:hideMark/>
          </w:tcPr>
          <w:p w14:paraId="713A0258" w14:textId="77777777" w:rsidR="00E91637" w:rsidRPr="00B42CB1" w:rsidRDefault="00E91637" w:rsidP="00E91637">
            <w:pPr>
              <w:spacing w:after="0" w:line="240" w:lineRule="auto"/>
              <w:jc w:val="center"/>
              <w:rPr>
                <w:b/>
                <w:bCs/>
                <w:color w:val="000000"/>
                <w:sz w:val="16"/>
                <w:szCs w:val="16"/>
              </w:rPr>
            </w:pPr>
            <w:r w:rsidRPr="00B42CB1">
              <w:rPr>
                <w:b/>
                <w:bCs/>
                <w:color w:val="000000"/>
                <w:sz w:val="16"/>
                <w:szCs w:val="16"/>
              </w:rPr>
              <w:t>289 886 056</w:t>
            </w:r>
          </w:p>
        </w:tc>
      </w:tr>
    </w:tbl>
    <w:p w14:paraId="1370873E" w14:textId="77777777" w:rsidR="005F2654" w:rsidRPr="00A120E3" w:rsidRDefault="005F2654" w:rsidP="005F2654">
      <w:pPr>
        <w:keepNext/>
        <w:spacing w:before="240" w:after="240" w:line="240" w:lineRule="auto"/>
        <w:jc w:val="both"/>
        <w:rPr>
          <w:b/>
          <w:sz w:val="24"/>
        </w:rPr>
      </w:pPr>
      <w:r w:rsidRPr="00A120E3">
        <w:rPr>
          <w:b/>
          <w:sz w:val="24"/>
        </w:rPr>
        <w:t xml:space="preserve">Rozpočet příjemce: Technologické centrum AV </w:t>
      </w:r>
      <w:proofErr w:type="gramStart"/>
      <w:r w:rsidRPr="00A120E3">
        <w:rPr>
          <w:b/>
          <w:sz w:val="24"/>
        </w:rPr>
        <w:t xml:space="preserve">ČR, </w:t>
      </w:r>
      <w:proofErr w:type="spellStart"/>
      <w:r w:rsidRPr="00A120E3">
        <w:rPr>
          <w:b/>
          <w:sz w:val="24"/>
        </w:rPr>
        <w:t>z.s.</w:t>
      </w:r>
      <w:proofErr w:type="gramEnd"/>
      <w:r w:rsidRPr="00A120E3">
        <w:rPr>
          <w:b/>
          <w:sz w:val="24"/>
        </w:rPr>
        <w:t>p.o</w:t>
      </w:r>
      <w:proofErr w:type="spellEnd"/>
      <w:r w:rsidRPr="00A120E3">
        <w:rPr>
          <w:b/>
          <w:sz w:val="24"/>
        </w:rPr>
        <w:t>.</w:t>
      </w:r>
    </w:p>
    <w:p w14:paraId="5F010374" w14:textId="77777777" w:rsidR="005F2654" w:rsidRPr="00D120A5" w:rsidRDefault="005F2654" w:rsidP="005F2654">
      <w:pPr>
        <w:keepNext/>
        <w:spacing w:line="240" w:lineRule="auto"/>
        <w:jc w:val="both"/>
        <w:rPr>
          <w:b/>
          <w:bCs/>
          <w:color w:val="000000"/>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A65943" w:rsidRPr="00B42CB1" w14:paraId="6E6EE49E" w14:textId="77777777" w:rsidTr="0002348D">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4B72AC" w14:textId="0FD0D12D" w:rsidR="00A65943" w:rsidRPr="00A65943" w:rsidRDefault="00A65943" w:rsidP="00A65943">
            <w:pPr>
              <w:spacing w:after="0" w:line="240" w:lineRule="auto"/>
              <w:jc w:val="center"/>
              <w:rPr>
                <w:b/>
                <w:bCs/>
                <w:color w:val="000000"/>
                <w:sz w:val="16"/>
                <w:szCs w:val="16"/>
              </w:rPr>
            </w:pPr>
            <w:r w:rsidRPr="00A65943">
              <w:rPr>
                <w:b/>
                <w:bCs/>
                <w:color w:val="000000"/>
                <w:sz w:val="16"/>
                <w:szCs w:val="16"/>
              </w:rPr>
              <w:t>Kategorie</w:t>
            </w:r>
            <w:r w:rsidR="0002348D">
              <w:rPr>
                <w:b/>
                <w:bCs/>
                <w:color w:val="000000"/>
                <w:sz w:val="16"/>
                <w:szCs w:val="16"/>
              </w:rPr>
              <w:t xml:space="preserve"> </w:t>
            </w:r>
            <w:r w:rsidRPr="00A65943">
              <w:rPr>
                <w:b/>
                <w:bCs/>
                <w:color w:val="000000"/>
                <w:sz w:val="16"/>
                <w:szCs w:val="16"/>
              </w:rPr>
              <w:t>/</w:t>
            </w:r>
            <w:r w:rsidR="0002348D">
              <w:rPr>
                <w:b/>
                <w:bCs/>
                <w:color w:val="000000"/>
                <w:sz w:val="16"/>
                <w:szCs w:val="16"/>
              </w:rPr>
              <w:t xml:space="preserve"> </w:t>
            </w:r>
            <w:r w:rsidRPr="00A65943">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1A7B211B"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0B1BC83"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3D99ADCE"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BAD84D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5ACEED19"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F6AB79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C12F294"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0DF0EADD" w14:textId="77777777" w:rsidR="00A65943" w:rsidRPr="00A65943" w:rsidRDefault="00A65943" w:rsidP="00A65943">
            <w:pPr>
              <w:spacing w:after="0" w:line="240" w:lineRule="auto"/>
              <w:jc w:val="center"/>
              <w:rPr>
                <w:b/>
                <w:bCs/>
                <w:color w:val="000000"/>
                <w:sz w:val="16"/>
                <w:szCs w:val="16"/>
              </w:rPr>
            </w:pPr>
            <w:r w:rsidRPr="00A65943">
              <w:rPr>
                <w:b/>
                <w:bCs/>
                <w:color w:val="000000"/>
                <w:sz w:val="16"/>
                <w:szCs w:val="16"/>
              </w:rPr>
              <w:t>CELKEM</w:t>
            </w:r>
          </w:p>
        </w:tc>
      </w:tr>
      <w:bookmarkEnd w:id="38"/>
      <w:bookmarkEnd w:id="39"/>
      <w:tr w:rsidR="005F2654" w:rsidRPr="00716429" w14:paraId="1B29844B" w14:textId="77777777" w:rsidTr="0002348D">
        <w:trPr>
          <w:trHeight w:val="658"/>
        </w:trPr>
        <w:tc>
          <w:tcPr>
            <w:tcW w:w="17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4EE603E"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 xml:space="preserve">1. Osobní náklady </w:t>
            </w:r>
            <w:r w:rsidRPr="00A65943">
              <w:rPr>
                <w:b/>
                <w:bCs/>
                <w:color w:val="000000"/>
                <w:sz w:val="16"/>
                <w:szCs w:val="16"/>
              </w:rPr>
              <w:br/>
              <w:t>nebo výdaje</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7EF01F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772B399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23 461 000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504D6664"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24 423 000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445DF30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25 176 000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63403DAF"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25 981 000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328B57FD"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26 757 000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26BB5097"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27 446 000</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7B0F75DC"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153 244 000</w:t>
            </w:r>
          </w:p>
        </w:tc>
      </w:tr>
      <w:tr w:rsidR="005F2654" w:rsidRPr="00716429" w14:paraId="7596E707" w14:textId="77777777" w:rsidTr="0002348D">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2C4DF08" w14:textId="77777777" w:rsidR="005F2654" w:rsidRPr="00A65943" w:rsidRDefault="005F2654" w:rsidP="00A65943">
            <w:pPr>
              <w:spacing w:after="0" w:line="240" w:lineRule="auto"/>
              <w:jc w:val="center"/>
              <w:rPr>
                <w:b/>
                <w:bCs/>
                <w:sz w:val="16"/>
                <w:szCs w:val="16"/>
              </w:rPr>
            </w:pPr>
            <w:r w:rsidRPr="00A65943">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75ACE8B4"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0568477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800 000</w:t>
            </w:r>
          </w:p>
        </w:tc>
        <w:tc>
          <w:tcPr>
            <w:tcW w:w="958" w:type="dxa"/>
            <w:tcBorders>
              <w:top w:val="nil"/>
              <w:left w:val="nil"/>
              <w:bottom w:val="single" w:sz="4" w:space="0" w:color="auto"/>
              <w:right w:val="single" w:sz="4" w:space="0" w:color="auto"/>
            </w:tcBorders>
            <w:shd w:val="clear" w:color="auto" w:fill="auto"/>
            <w:noWrap/>
            <w:vAlign w:val="center"/>
            <w:hideMark/>
          </w:tcPr>
          <w:p w14:paraId="0C896BE2"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810 000</w:t>
            </w:r>
          </w:p>
        </w:tc>
        <w:tc>
          <w:tcPr>
            <w:tcW w:w="958" w:type="dxa"/>
            <w:tcBorders>
              <w:top w:val="nil"/>
              <w:left w:val="nil"/>
              <w:bottom w:val="single" w:sz="4" w:space="0" w:color="auto"/>
              <w:right w:val="single" w:sz="4" w:space="0" w:color="auto"/>
            </w:tcBorders>
            <w:shd w:val="clear" w:color="auto" w:fill="auto"/>
            <w:noWrap/>
            <w:vAlign w:val="center"/>
            <w:hideMark/>
          </w:tcPr>
          <w:p w14:paraId="0EFC6890"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820 000</w:t>
            </w:r>
          </w:p>
        </w:tc>
        <w:tc>
          <w:tcPr>
            <w:tcW w:w="958" w:type="dxa"/>
            <w:tcBorders>
              <w:top w:val="nil"/>
              <w:left w:val="nil"/>
              <w:bottom w:val="single" w:sz="4" w:space="0" w:color="auto"/>
              <w:right w:val="single" w:sz="4" w:space="0" w:color="auto"/>
            </w:tcBorders>
            <w:shd w:val="clear" w:color="auto" w:fill="auto"/>
            <w:noWrap/>
            <w:vAlign w:val="center"/>
            <w:hideMark/>
          </w:tcPr>
          <w:p w14:paraId="04441D4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830 000</w:t>
            </w:r>
          </w:p>
        </w:tc>
        <w:tc>
          <w:tcPr>
            <w:tcW w:w="958" w:type="dxa"/>
            <w:tcBorders>
              <w:top w:val="nil"/>
              <w:left w:val="nil"/>
              <w:bottom w:val="single" w:sz="4" w:space="0" w:color="auto"/>
              <w:right w:val="single" w:sz="4" w:space="0" w:color="auto"/>
            </w:tcBorders>
            <w:shd w:val="clear" w:color="auto" w:fill="auto"/>
            <w:noWrap/>
            <w:vAlign w:val="center"/>
            <w:hideMark/>
          </w:tcPr>
          <w:p w14:paraId="4423F2C7"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840 000</w:t>
            </w:r>
          </w:p>
        </w:tc>
        <w:tc>
          <w:tcPr>
            <w:tcW w:w="958" w:type="dxa"/>
            <w:tcBorders>
              <w:top w:val="nil"/>
              <w:left w:val="nil"/>
              <w:bottom w:val="single" w:sz="4" w:space="0" w:color="auto"/>
              <w:right w:val="single" w:sz="4" w:space="0" w:color="auto"/>
            </w:tcBorders>
            <w:shd w:val="clear" w:color="auto" w:fill="auto"/>
            <w:noWrap/>
            <w:vAlign w:val="center"/>
            <w:hideMark/>
          </w:tcPr>
          <w:p w14:paraId="322588CC" w14:textId="77777777" w:rsidR="005F2654" w:rsidRPr="00A65943" w:rsidRDefault="005F2654" w:rsidP="00A65943">
            <w:pPr>
              <w:spacing w:after="0" w:line="240" w:lineRule="auto"/>
              <w:jc w:val="center"/>
              <w:rPr>
                <w:color w:val="000000"/>
                <w:sz w:val="16"/>
                <w:szCs w:val="16"/>
              </w:rPr>
            </w:pPr>
            <w:r w:rsidRPr="00A65943">
              <w:rPr>
                <w:color w:val="000000"/>
                <w:sz w:val="16"/>
                <w:szCs w:val="16"/>
              </w:rPr>
              <w:t>845 000</w:t>
            </w:r>
          </w:p>
        </w:tc>
        <w:tc>
          <w:tcPr>
            <w:tcW w:w="1120" w:type="dxa"/>
            <w:tcBorders>
              <w:top w:val="nil"/>
              <w:left w:val="nil"/>
              <w:bottom w:val="single" w:sz="4" w:space="0" w:color="auto"/>
              <w:right w:val="single" w:sz="4" w:space="0" w:color="auto"/>
            </w:tcBorders>
            <w:shd w:val="clear" w:color="000000" w:fill="F2F2F2"/>
            <w:noWrap/>
            <w:vAlign w:val="center"/>
            <w:hideMark/>
          </w:tcPr>
          <w:p w14:paraId="64FDBF0B"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4 945 000</w:t>
            </w:r>
          </w:p>
        </w:tc>
      </w:tr>
      <w:tr w:rsidR="005F2654" w:rsidRPr="00716429" w14:paraId="3DDCBA8D" w14:textId="77777777" w:rsidTr="0002348D">
        <w:trPr>
          <w:trHeight w:val="958"/>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3929F62C" w14:textId="77777777" w:rsidR="005F2654" w:rsidRPr="00A65943" w:rsidRDefault="005F2654" w:rsidP="00A65943">
            <w:pPr>
              <w:spacing w:after="0" w:line="240" w:lineRule="auto"/>
              <w:jc w:val="center"/>
              <w:rPr>
                <w:b/>
                <w:bCs/>
                <w:sz w:val="16"/>
                <w:szCs w:val="16"/>
              </w:rPr>
            </w:pPr>
            <w:r w:rsidRPr="00A65943">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19D5CEED"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3A7024E0"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2 800 000</w:t>
            </w:r>
          </w:p>
        </w:tc>
        <w:tc>
          <w:tcPr>
            <w:tcW w:w="958" w:type="dxa"/>
            <w:tcBorders>
              <w:top w:val="nil"/>
              <w:left w:val="nil"/>
              <w:bottom w:val="single" w:sz="4" w:space="0" w:color="auto"/>
              <w:right w:val="single" w:sz="4" w:space="0" w:color="auto"/>
            </w:tcBorders>
            <w:shd w:val="clear" w:color="auto" w:fill="auto"/>
            <w:noWrap/>
            <w:vAlign w:val="center"/>
            <w:hideMark/>
          </w:tcPr>
          <w:p w14:paraId="7B4389DA"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2 850 000</w:t>
            </w:r>
          </w:p>
        </w:tc>
        <w:tc>
          <w:tcPr>
            <w:tcW w:w="958" w:type="dxa"/>
            <w:tcBorders>
              <w:top w:val="nil"/>
              <w:left w:val="nil"/>
              <w:bottom w:val="single" w:sz="4" w:space="0" w:color="auto"/>
              <w:right w:val="single" w:sz="4" w:space="0" w:color="auto"/>
            </w:tcBorders>
            <w:shd w:val="clear" w:color="auto" w:fill="auto"/>
            <w:noWrap/>
            <w:vAlign w:val="center"/>
            <w:hideMark/>
          </w:tcPr>
          <w:p w14:paraId="690C604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2 900 000</w:t>
            </w:r>
          </w:p>
        </w:tc>
        <w:tc>
          <w:tcPr>
            <w:tcW w:w="958" w:type="dxa"/>
            <w:tcBorders>
              <w:top w:val="nil"/>
              <w:left w:val="nil"/>
              <w:bottom w:val="single" w:sz="4" w:space="0" w:color="auto"/>
              <w:right w:val="single" w:sz="4" w:space="0" w:color="auto"/>
            </w:tcBorders>
            <w:shd w:val="clear" w:color="auto" w:fill="auto"/>
            <w:noWrap/>
            <w:vAlign w:val="center"/>
            <w:hideMark/>
          </w:tcPr>
          <w:p w14:paraId="1AD6C68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2 940 000</w:t>
            </w:r>
          </w:p>
        </w:tc>
        <w:tc>
          <w:tcPr>
            <w:tcW w:w="958" w:type="dxa"/>
            <w:tcBorders>
              <w:top w:val="nil"/>
              <w:left w:val="nil"/>
              <w:bottom w:val="single" w:sz="4" w:space="0" w:color="auto"/>
              <w:right w:val="single" w:sz="4" w:space="0" w:color="auto"/>
            </w:tcBorders>
            <w:shd w:val="clear" w:color="auto" w:fill="auto"/>
            <w:noWrap/>
            <w:vAlign w:val="center"/>
            <w:hideMark/>
          </w:tcPr>
          <w:p w14:paraId="3C8B2C78" w14:textId="77777777" w:rsidR="005F2654" w:rsidRPr="00A65943" w:rsidRDefault="005F2654" w:rsidP="00A65943">
            <w:pPr>
              <w:spacing w:after="0" w:line="240" w:lineRule="auto"/>
              <w:jc w:val="center"/>
              <w:rPr>
                <w:color w:val="000000"/>
                <w:sz w:val="16"/>
                <w:szCs w:val="16"/>
              </w:rPr>
            </w:pPr>
            <w:r w:rsidRPr="00A65943">
              <w:rPr>
                <w:color w:val="000000"/>
                <w:sz w:val="16"/>
                <w:szCs w:val="16"/>
              </w:rPr>
              <w:t>2 990 000</w:t>
            </w:r>
          </w:p>
        </w:tc>
        <w:tc>
          <w:tcPr>
            <w:tcW w:w="958" w:type="dxa"/>
            <w:tcBorders>
              <w:top w:val="nil"/>
              <w:left w:val="nil"/>
              <w:bottom w:val="single" w:sz="4" w:space="0" w:color="auto"/>
              <w:right w:val="single" w:sz="4" w:space="0" w:color="auto"/>
            </w:tcBorders>
            <w:shd w:val="clear" w:color="auto" w:fill="auto"/>
            <w:noWrap/>
            <w:vAlign w:val="center"/>
            <w:hideMark/>
          </w:tcPr>
          <w:p w14:paraId="4235C1FF" w14:textId="77777777" w:rsidR="005F2654" w:rsidRPr="00A65943" w:rsidRDefault="005F2654" w:rsidP="00A65943">
            <w:pPr>
              <w:spacing w:after="0" w:line="240" w:lineRule="auto"/>
              <w:jc w:val="center"/>
              <w:rPr>
                <w:color w:val="000000"/>
                <w:sz w:val="16"/>
                <w:szCs w:val="16"/>
              </w:rPr>
            </w:pPr>
            <w:r w:rsidRPr="00A65943">
              <w:rPr>
                <w:color w:val="000000"/>
                <w:sz w:val="16"/>
                <w:szCs w:val="16"/>
              </w:rPr>
              <w:t>3 160 000</w:t>
            </w:r>
          </w:p>
        </w:tc>
        <w:tc>
          <w:tcPr>
            <w:tcW w:w="1120" w:type="dxa"/>
            <w:tcBorders>
              <w:top w:val="nil"/>
              <w:left w:val="nil"/>
              <w:bottom w:val="single" w:sz="4" w:space="0" w:color="auto"/>
              <w:right w:val="single" w:sz="4" w:space="0" w:color="auto"/>
            </w:tcBorders>
            <w:shd w:val="clear" w:color="000000" w:fill="F2F2F2"/>
            <w:noWrap/>
            <w:vAlign w:val="center"/>
            <w:hideMark/>
          </w:tcPr>
          <w:p w14:paraId="23603BA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17 640 000</w:t>
            </w:r>
          </w:p>
        </w:tc>
      </w:tr>
      <w:tr w:rsidR="005F2654" w:rsidRPr="00716429" w14:paraId="56510042" w14:textId="77777777" w:rsidTr="0002348D">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7ED80F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 Doplňkové náklady</w:t>
            </w:r>
            <w:r w:rsidRPr="00A65943">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4D7AA54E" w14:textId="77777777" w:rsidR="005F2654" w:rsidRPr="00A65943" w:rsidRDefault="005F2654" w:rsidP="00A65943">
            <w:pPr>
              <w:spacing w:after="0" w:line="240" w:lineRule="auto"/>
              <w:jc w:val="center"/>
              <w:rPr>
                <w:color w:val="000000"/>
                <w:sz w:val="16"/>
                <w:szCs w:val="16"/>
              </w:rPr>
            </w:pPr>
            <w:r w:rsidRPr="00A65943">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75248609" w14:textId="77777777" w:rsidR="005F2654" w:rsidRPr="00A65943" w:rsidRDefault="005F2654" w:rsidP="00A65943">
            <w:pPr>
              <w:spacing w:after="0" w:line="240" w:lineRule="auto"/>
              <w:jc w:val="center"/>
              <w:rPr>
                <w:color w:val="000000"/>
                <w:sz w:val="16"/>
                <w:szCs w:val="16"/>
              </w:rPr>
            </w:pPr>
            <w:r w:rsidRPr="00A65943">
              <w:rPr>
                <w:color w:val="000000"/>
                <w:sz w:val="16"/>
                <w:szCs w:val="16"/>
              </w:rPr>
              <w:t>6 565 250</w:t>
            </w:r>
          </w:p>
        </w:tc>
        <w:tc>
          <w:tcPr>
            <w:tcW w:w="958" w:type="dxa"/>
            <w:tcBorders>
              <w:top w:val="nil"/>
              <w:left w:val="nil"/>
              <w:bottom w:val="single" w:sz="4" w:space="0" w:color="auto"/>
              <w:right w:val="single" w:sz="4" w:space="0" w:color="auto"/>
            </w:tcBorders>
            <w:shd w:val="clear" w:color="auto" w:fill="auto"/>
            <w:noWrap/>
            <w:vAlign w:val="center"/>
            <w:hideMark/>
          </w:tcPr>
          <w:p w14:paraId="15370C45" w14:textId="77777777" w:rsidR="005F2654" w:rsidRPr="00A65943" w:rsidRDefault="005F2654" w:rsidP="00A65943">
            <w:pPr>
              <w:spacing w:after="0" w:line="240" w:lineRule="auto"/>
              <w:jc w:val="center"/>
              <w:rPr>
                <w:color w:val="000000"/>
                <w:sz w:val="16"/>
                <w:szCs w:val="16"/>
              </w:rPr>
            </w:pPr>
            <w:r w:rsidRPr="00A65943">
              <w:rPr>
                <w:color w:val="000000"/>
                <w:sz w:val="16"/>
                <w:szCs w:val="16"/>
              </w:rPr>
              <w:t>6 818 250</w:t>
            </w:r>
          </w:p>
        </w:tc>
        <w:tc>
          <w:tcPr>
            <w:tcW w:w="958" w:type="dxa"/>
            <w:tcBorders>
              <w:top w:val="nil"/>
              <w:left w:val="nil"/>
              <w:bottom w:val="single" w:sz="4" w:space="0" w:color="auto"/>
              <w:right w:val="single" w:sz="4" w:space="0" w:color="auto"/>
            </w:tcBorders>
            <w:shd w:val="clear" w:color="auto" w:fill="auto"/>
            <w:noWrap/>
            <w:vAlign w:val="center"/>
            <w:hideMark/>
          </w:tcPr>
          <w:p w14:paraId="7BDE766C"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7 019 000</w:t>
            </w:r>
          </w:p>
        </w:tc>
        <w:tc>
          <w:tcPr>
            <w:tcW w:w="958" w:type="dxa"/>
            <w:tcBorders>
              <w:top w:val="nil"/>
              <w:left w:val="nil"/>
              <w:bottom w:val="single" w:sz="4" w:space="0" w:color="auto"/>
              <w:right w:val="single" w:sz="4" w:space="0" w:color="auto"/>
            </w:tcBorders>
            <w:shd w:val="clear" w:color="auto" w:fill="auto"/>
            <w:noWrap/>
            <w:vAlign w:val="center"/>
            <w:hideMark/>
          </w:tcPr>
          <w:p w14:paraId="207218C1"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7 230 250</w:t>
            </w:r>
          </w:p>
        </w:tc>
        <w:tc>
          <w:tcPr>
            <w:tcW w:w="958" w:type="dxa"/>
            <w:tcBorders>
              <w:top w:val="nil"/>
              <w:left w:val="nil"/>
              <w:bottom w:val="single" w:sz="4" w:space="0" w:color="auto"/>
              <w:right w:val="single" w:sz="4" w:space="0" w:color="auto"/>
            </w:tcBorders>
            <w:shd w:val="clear" w:color="auto" w:fill="auto"/>
            <w:noWrap/>
            <w:vAlign w:val="center"/>
            <w:hideMark/>
          </w:tcPr>
          <w:p w14:paraId="542C5FFB"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7 436 750</w:t>
            </w:r>
          </w:p>
        </w:tc>
        <w:tc>
          <w:tcPr>
            <w:tcW w:w="958" w:type="dxa"/>
            <w:tcBorders>
              <w:top w:val="nil"/>
              <w:left w:val="nil"/>
              <w:bottom w:val="single" w:sz="4" w:space="0" w:color="auto"/>
              <w:right w:val="single" w:sz="4" w:space="0" w:color="auto"/>
            </w:tcBorders>
            <w:shd w:val="clear" w:color="auto" w:fill="auto"/>
            <w:noWrap/>
            <w:vAlign w:val="center"/>
            <w:hideMark/>
          </w:tcPr>
          <w:p w14:paraId="456AFF0B" w14:textId="77777777" w:rsidR="005F2654" w:rsidRPr="00A65943" w:rsidRDefault="005F2654" w:rsidP="00A65943">
            <w:pPr>
              <w:spacing w:after="0" w:line="240" w:lineRule="auto"/>
              <w:jc w:val="center"/>
              <w:rPr>
                <w:color w:val="000000"/>
                <w:sz w:val="16"/>
                <w:szCs w:val="16"/>
              </w:rPr>
            </w:pPr>
            <w:r w:rsidRPr="00A65943">
              <w:rPr>
                <w:color w:val="000000"/>
                <w:sz w:val="16"/>
                <w:szCs w:val="16"/>
              </w:rPr>
              <w:t>7 651 500</w:t>
            </w:r>
          </w:p>
        </w:tc>
        <w:tc>
          <w:tcPr>
            <w:tcW w:w="1120" w:type="dxa"/>
            <w:tcBorders>
              <w:top w:val="nil"/>
              <w:left w:val="nil"/>
              <w:bottom w:val="single" w:sz="4" w:space="0" w:color="auto"/>
              <w:right w:val="single" w:sz="4" w:space="0" w:color="auto"/>
            </w:tcBorders>
            <w:shd w:val="clear" w:color="000000" w:fill="F2F2F2"/>
            <w:noWrap/>
            <w:vAlign w:val="center"/>
            <w:hideMark/>
          </w:tcPr>
          <w:p w14:paraId="34C72130"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42 721 000</w:t>
            </w:r>
          </w:p>
        </w:tc>
      </w:tr>
      <w:tr w:rsidR="005F2654" w:rsidRPr="00716429" w14:paraId="0D8C3B3A" w14:textId="77777777" w:rsidTr="0002348D">
        <w:trPr>
          <w:trHeight w:val="240"/>
        </w:trPr>
        <w:tc>
          <w:tcPr>
            <w:tcW w:w="1780" w:type="dxa"/>
            <w:vMerge/>
            <w:tcBorders>
              <w:top w:val="nil"/>
              <w:left w:val="single" w:sz="4" w:space="0" w:color="auto"/>
              <w:bottom w:val="single" w:sz="4" w:space="0" w:color="auto"/>
              <w:right w:val="single" w:sz="4" w:space="0" w:color="auto"/>
            </w:tcBorders>
            <w:vAlign w:val="center"/>
            <w:hideMark/>
          </w:tcPr>
          <w:p w14:paraId="7C83CB4D" w14:textId="77777777" w:rsidR="005F2654" w:rsidRPr="00A65943" w:rsidRDefault="005F2654" w:rsidP="00A65943">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671B3551" w14:textId="77777777" w:rsidR="005F2654" w:rsidRPr="00A65943" w:rsidRDefault="005F2654" w:rsidP="00A65943">
            <w:pPr>
              <w:spacing w:after="0" w:line="240" w:lineRule="auto"/>
              <w:jc w:val="center"/>
              <w:rPr>
                <w:color w:val="0070C0"/>
                <w:sz w:val="16"/>
                <w:szCs w:val="16"/>
              </w:rPr>
            </w:pPr>
            <w:r w:rsidRPr="00A65943">
              <w:rPr>
                <w:color w:val="0070C0"/>
                <w:sz w:val="16"/>
                <w:szCs w:val="16"/>
              </w:rPr>
              <w:t>0,00%</w:t>
            </w:r>
          </w:p>
        </w:tc>
        <w:tc>
          <w:tcPr>
            <w:tcW w:w="958" w:type="dxa"/>
            <w:tcBorders>
              <w:top w:val="nil"/>
              <w:left w:val="nil"/>
              <w:bottom w:val="single" w:sz="4" w:space="0" w:color="auto"/>
              <w:right w:val="single" w:sz="4" w:space="0" w:color="auto"/>
            </w:tcBorders>
            <w:shd w:val="clear" w:color="000000" w:fill="F2F2F2"/>
            <w:noWrap/>
            <w:vAlign w:val="center"/>
            <w:hideMark/>
          </w:tcPr>
          <w:p w14:paraId="19D95772"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1FC5CEC"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09859F88"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645D70E"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0582C33"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71A45A85" w14:textId="77777777" w:rsidR="005F2654" w:rsidRPr="00A65943" w:rsidRDefault="005F2654" w:rsidP="00A65943">
            <w:pPr>
              <w:spacing w:after="0" w:line="240" w:lineRule="auto"/>
              <w:jc w:val="center"/>
              <w:rPr>
                <w:color w:val="0070C0"/>
                <w:sz w:val="16"/>
                <w:szCs w:val="16"/>
              </w:rPr>
            </w:pPr>
            <w:r w:rsidRPr="00A65943">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493190C9" w14:textId="77777777" w:rsidR="005F2654" w:rsidRPr="00A65943" w:rsidRDefault="005F2654" w:rsidP="00A65943">
            <w:pPr>
              <w:spacing w:after="0" w:line="240" w:lineRule="auto"/>
              <w:jc w:val="center"/>
              <w:rPr>
                <w:b/>
                <w:bCs/>
                <w:color w:val="0070C0"/>
                <w:sz w:val="16"/>
                <w:szCs w:val="16"/>
              </w:rPr>
            </w:pPr>
            <w:r w:rsidRPr="00A65943">
              <w:rPr>
                <w:b/>
                <w:bCs/>
                <w:color w:val="0070C0"/>
                <w:sz w:val="16"/>
                <w:szCs w:val="16"/>
              </w:rPr>
              <w:t>25,00%</w:t>
            </w:r>
          </w:p>
        </w:tc>
      </w:tr>
      <w:tr w:rsidR="005F2654" w:rsidRPr="00716429" w14:paraId="3C74B9F4" w14:textId="77777777" w:rsidTr="0002348D">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57C8C921"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hideMark/>
          </w:tcPr>
          <w:p w14:paraId="4CD8E582"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0</w:t>
            </w:r>
          </w:p>
        </w:tc>
        <w:tc>
          <w:tcPr>
            <w:tcW w:w="958" w:type="dxa"/>
            <w:tcBorders>
              <w:top w:val="nil"/>
              <w:left w:val="nil"/>
              <w:bottom w:val="single" w:sz="4" w:space="0" w:color="auto"/>
              <w:right w:val="single" w:sz="4" w:space="0" w:color="auto"/>
            </w:tcBorders>
            <w:shd w:val="clear" w:color="000000" w:fill="F2F2F2"/>
            <w:noWrap/>
            <w:vAlign w:val="center"/>
            <w:hideMark/>
          </w:tcPr>
          <w:p w14:paraId="37E982F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33 626 250</w:t>
            </w:r>
          </w:p>
        </w:tc>
        <w:tc>
          <w:tcPr>
            <w:tcW w:w="958" w:type="dxa"/>
            <w:tcBorders>
              <w:top w:val="nil"/>
              <w:left w:val="nil"/>
              <w:bottom w:val="single" w:sz="4" w:space="0" w:color="auto"/>
              <w:right w:val="single" w:sz="4" w:space="0" w:color="auto"/>
            </w:tcBorders>
            <w:shd w:val="clear" w:color="000000" w:fill="F2F2F2"/>
            <w:noWrap/>
            <w:vAlign w:val="center"/>
            <w:hideMark/>
          </w:tcPr>
          <w:p w14:paraId="14533127"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34 901 250</w:t>
            </w:r>
          </w:p>
        </w:tc>
        <w:tc>
          <w:tcPr>
            <w:tcW w:w="958" w:type="dxa"/>
            <w:tcBorders>
              <w:top w:val="nil"/>
              <w:left w:val="nil"/>
              <w:bottom w:val="single" w:sz="4" w:space="0" w:color="auto"/>
              <w:right w:val="single" w:sz="4" w:space="0" w:color="auto"/>
            </w:tcBorders>
            <w:shd w:val="clear" w:color="000000" w:fill="F2F2F2"/>
            <w:noWrap/>
            <w:vAlign w:val="center"/>
            <w:hideMark/>
          </w:tcPr>
          <w:p w14:paraId="569167B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35 915 000</w:t>
            </w:r>
          </w:p>
        </w:tc>
        <w:tc>
          <w:tcPr>
            <w:tcW w:w="958" w:type="dxa"/>
            <w:tcBorders>
              <w:top w:val="nil"/>
              <w:left w:val="nil"/>
              <w:bottom w:val="single" w:sz="4" w:space="0" w:color="auto"/>
              <w:right w:val="single" w:sz="4" w:space="0" w:color="auto"/>
            </w:tcBorders>
            <w:shd w:val="clear" w:color="000000" w:fill="F2F2F2"/>
            <w:noWrap/>
            <w:vAlign w:val="center"/>
            <w:hideMark/>
          </w:tcPr>
          <w:p w14:paraId="2344499F"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36 981 250</w:t>
            </w:r>
          </w:p>
        </w:tc>
        <w:tc>
          <w:tcPr>
            <w:tcW w:w="958" w:type="dxa"/>
            <w:tcBorders>
              <w:top w:val="nil"/>
              <w:left w:val="nil"/>
              <w:bottom w:val="single" w:sz="4" w:space="0" w:color="auto"/>
              <w:right w:val="single" w:sz="4" w:space="0" w:color="auto"/>
            </w:tcBorders>
            <w:shd w:val="clear" w:color="000000" w:fill="F2F2F2"/>
            <w:noWrap/>
            <w:vAlign w:val="center"/>
            <w:hideMark/>
          </w:tcPr>
          <w:p w14:paraId="0DC91B74"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38 023 750</w:t>
            </w:r>
          </w:p>
        </w:tc>
        <w:tc>
          <w:tcPr>
            <w:tcW w:w="958" w:type="dxa"/>
            <w:tcBorders>
              <w:top w:val="nil"/>
              <w:left w:val="nil"/>
              <w:bottom w:val="single" w:sz="4" w:space="0" w:color="auto"/>
              <w:right w:val="single" w:sz="4" w:space="0" w:color="auto"/>
            </w:tcBorders>
            <w:shd w:val="clear" w:color="000000" w:fill="F2F2F2"/>
            <w:noWrap/>
            <w:vAlign w:val="center"/>
            <w:hideMark/>
          </w:tcPr>
          <w:p w14:paraId="772ED793"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39 102 500</w:t>
            </w:r>
          </w:p>
        </w:tc>
        <w:tc>
          <w:tcPr>
            <w:tcW w:w="1120" w:type="dxa"/>
            <w:tcBorders>
              <w:top w:val="nil"/>
              <w:left w:val="nil"/>
              <w:bottom w:val="single" w:sz="4" w:space="0" w:color="auto"/>
              <w:right w:val="single" w:sz="4" w:space="0" w:color="auto"/>
            </w:tcBorders>
            <w:shd w:val="clear" w:color="000000" w:fill="F2F2F2"/>
            <w:noWrap/>
            <w:vAlign w:val="center"/>
            <w:hideMark/>
          </w:tcPr>
          <w:p w14:paraId="5B112992" w14:textId="77777777" w:rsidR="005F2654" w:rsidRPr="00A65943" w:rsidRDefault="005F2654" w:rsidP="00A65943">
            <w:pPr>
              <w:spacing w:after="0" w:line="240" w:lineRule="auto"/>
              <w:jc w:val="center"/>
              <w:rPr>
                <w:b/>
                <w:bCs/>
                <w:color w:val="000000"/>
                <w:sz w:val="16"/>
                <w:szCs w:val="16"/>
              </w:rPr>
            </w:pPr>
            <w:r w:rsidRPr="00A65943">
              <w:rPr>
                <w:b/>
                <w:bCs/>
                <w:color w:val="000000"/>
                <w:sz w:val="16"/>
                <w:szCs w:val="16"/>
              </w:rPr>
              <w:t>218 550 000</w:t>
            </w:r>
          </w:p>
        </w:tc>
      </w:tr>
    </w:tbl>
    <w:p w14:paraId="21713390" w14:textId="77777777" w:rsidR="00381506" w:rsidRPr="00760BDB" w:rsidRDefault="00381506" w:rsidP="00381506">
      <w:pPr>
        <w:spacing w:before="240" w:after="240" w:line="240" w:lineRule="auto"/>
        <w:jc w:val="both"/>
        <w:rPr>
          <w:b/>
          <w:bCs/>
        </w:rPr>
      </w:pPr>
      <w:r>
        <w:rPr>
          <w:b/>
          <w:bCs/>
        </w:rPr>
        <w:t>Kategorie osobní náklady nebo výdaje</w:t>
      </w:r>
    </w:p>
    <w:p w14:paraId="7D06237B" w14:textId="59CB0497" w:rsidR="005F2654" w:rsidRDefault="005F2654" w:rsidP="005F2654">
      <w:pPr>
        <w:spacing w:after="0" w:line="240" w:lineRule="auto"/>
        <w:jc w:val="both"/>
      </w:pPr>
      <w:r w:rsidRPr="00895B63">
        <w:t>Náklady v této kategorii představují zejména mzdy kmenových zaměstnanců TC AV ČR a</w:t>
      </w:r>
      <w:r>
        <w:t xml:space="preserve"> dále </w:t>
      </w:r>
      <w:r w:rsidR="00CE476E">
        <w:t>odměny externí</w:t>
      </w:r>
      <w:r w:rsidR="001F7CCD">
        <w:t>ch</w:t>
      </w:r>
      <w:r w:rsidRPr="00895B63">
        <w:t xml:space="preserve"> odborníků (</w:t>
      </w:r>
      <w:r>
        <w:t xml:space="preserve">tzn., </w:t>
      </w:r>
      <w:r w:rsidRPr="00895B63">
        <w:t>dohody o pracovní činnosti), kteří se budou přímo podílet na projektu</w:t>
      </w:r>
      <w:r>
        <w:t>,</w:t>
      </w:r>
      <w:r w:rsidRPr="00895B63">
        <w:t xml:space="preserve"> </w:t>
      </w:r>
      <w:r>
        <w:t xml:space="preserve">a to </w:t>
      </w:r>
      <w:r w:rsidRPr="00895B63">
        <w:t>vč</w:t>
      </w:r>
      <w:r>
        <w:t>etně</w:t>
      </w:r>
      <w:r w:rsidRPr="00895B63">
        <w:t xml:space="preserve"> zákonných odvodů zdravotního a</w:t>
      </w:r>
      <w:r>
        <w:t> </w:t>
      </w:r>
      <w:r w:rsidRPr="00895B63">
        <w:t>sociálního pojištění, náhrad za dovolenou a náhradu za nemoc. Fond kulturních a sociálních potřeb TC AV ČR nevytváří.</w:t>
      </w:r>
    </w:p>
    <w:p w14:paraId="6F8C298E" w14:textId="77777777" w:rsidR="005F2654" w:rsidRDefault="005F2654" w:rsidP="005F2654">
      <w:pPr>
        <w:spacing w:after="0" w:line="240" w:lineRule="auto"/>
        <w:jc w:val="both"/>
      </w:pPr>
    </w:p>
    <w:p w14:paraId="6F2320CC" w14:textId="77777777" w:rsidR="005F2654" w:rsidRDefault="005F2654" w:rsidP="005F2654">
      <w:pPr>
        <w:spacing w:after="0" w:line="240" w:lineRule="auto"/>
        <w:jc w:val="both"/>
      </w:pPr>
      <w:r>
        <w:t>Dohody o provedení práce budou podle potřeby uzavírány s experty z ČR a ze zahraničí, kteří budou působit jako přednášející na vybraných plánovaných informačních a školicích akcích, přispívat do obsahové části odborných publikací nebo se budou na projektu podílet jako úzce specializovaní experti na daný problém (např. hodnotitelé mezinárodních projektů).</w:t>
      </w:r>
    </w:p>
    <w:p w14:paraId="31AE27D3" w14:textId="77777777" w:rsidR="005F2654" w:rsidRDefault="005F2654" w:rsidP="005F2654">
      <w:pPr>
        <w:spacing w:after="0" w:line="240" w:lineRule="auto"/>
        <w:jc w:val="both"/>
      </w:pPr>
    </w:p>
    <w:p w14:paraId="013A8AEB" w14:textId="77777777" w:rsidR="005F2654" w:rsidRDefault="005F2654" w:rsidP="005F2654">
      <w:pPr>
        <w:spacing w:after="0" w:line="240" w:lineRule="auto"/>
        <w:jc w:val="both"/>
      </w:pPr>
      <w:r>
        <w:t>Předpokládá se zahájení aktivit v rámci modulu od roku 2022 a na projektu by se měli podílet zaměstnanci s celkovými úvazky 27,0 FTE.</w:t>
      </w:r>
    </w:p>
    <w:p w14:paraId="1B4AAF9E" w14:textId="77777777" w:rsidR="00132375" w:rsidRDefault="00132375" w:rsidP="005F2654">
      <w:pPr>
        <w:spacing w:line="240" w:lineRule="auto"/>
        <w:jc w:val="both"/>
      </w:pPr>
    </w:p>
    <w:p w14:paraId="3E5D44AB" w14:textId="77777777" w:rsidR="005F2654" w:rsidRPr="00895B63" w:rsidRDefault="005F2654" w:rsidP="005F2654">
      <w:pPr>
        <w:spacing w:line="240" w:lineRule="auto"/>
        <w:jc w:val="both"/>
      </w:pPr>
      <w:r w:rsidRPr="00895B63">
        <w:lastRenderedPageBreak/>
        <w:t xml:space="preserve">V souladu s interními procesy a s pravidly projektů, kterých se TC AV ČR aktivně účastní, bude čas strávený na projektu evidován ve výkazu pracovní doby – tzv. </w:t>
      </w:r>
      <w:r>
        <w:t>„</w:t>
      </w:r>
      <w:proofErr w:type="spellStart"/>
      <w:r w:rsidRPr="00BC20B7">
        <w:rPr>
          <w:i/>
        </w:rPr>
        <w:t>time</w:t>
      </w:r>
      <w:proofErr w:type="spellEnd"/>
      <w:r w:rsidRPr="00BC20B7">
        <w:rPr>
          <w:i/>
        </w:rPr>
        <w:t xml:space="preserve"> </w:t>
      </w:r>
      <w:proofErr w:type="spellStart"/>
      <w:r w:rsidRPr="00BC20B7">
        <w:rPr>
          <w:i/>
        </w:rPr>
        <w:t>sheet</w:t>
      </w:r>
      <w:proofErr w:type="spellEnd"/>
      <w:r>
        <w:t>“</w:t>
      </w:r>
      <w:r w:rsidRPr="00895B63">
        <w:t xml:space="preserve">. </w:t>
      </w:r>
    </w:p>
    <w:p w14:paraId="1B202605" w14:textId="77777777" w:rsidR="005F2654" w:rsidRPr="001C3E82" w:rsidRDefault="005F2654" w:rsidP="005F2654">
      <w:pPr>
        <w:spacing w:before="240" w:after="240" w:line="240" w:lineRule="auto"/>
        <w:jc w:val="both"/>
        <w:rPr>
          <w:b/>
          <w:bCs/>
        </w:rPr>
      </w:pPr>
      <w:r>
        <w:rPr>
          <w:b/>
          <w:bCs/>
        </w:rPr>
        <w:t>Kategorie náklady nebo výdaje na pořízení hmotného a nehmotného majetku</w:t>
      </w:r>
    </w:p>
    <w:p w14:paraId="3B5F55C0" w14:textId="77777777" w:rsidR="005F2654" w:rsidRDefault="005F2654" w:rsidP="005F2654">
      <w:pPr>
        <w:spacing w:line="240" w:lineRule="auto"/>
        <w:jc w:val="both"/>
      </w:pPr>
      <w:r w:rsidRPr="00895B63">
        <w:t>Investiční prostředky budou použity na průběžnou obměnu a upgrade IT infrastruktury, aby byl umožněn bezpečný a funkční chod všec</w:t>
      </w:r>
      <w:r>
        <w:t>h systémů</w:t>
      </w:r>
      <w:r w:rsidRPr="00895B63">
        <w:t xml:space="preserve"> a kvalitní zpracování a záloha dat. </w:t>
      </w:r>
    </w:p>
    <w:p w14:paraId="5369689C" w14:textId="77777777" w:rsidR="005F2654" w:rsidRDefault="005F2654" w:rsidP="005F2654">
      <w:pPr>
        <w:spacing w:before="240" w:after="240" w:line="240" w:lineRule="auto"/>
        <w:jc w:val="both"/>
        <w:rPr>
          <w:b/>
          <w:bCs/>
        </w:rPr>
      </w:pPr>
      <w:r w:rsidRPr="001C3E82">
        <w:rPr>
          <w:b/>
          <w:bCs/>
        </w:rPr>
        <w:t>K</w:t>
      </w:r>
      <w:r>
        <w:rPr>
          <w:b/>
          <w:bCs/>
        </w:rPr>
        <w:t>ategorie provozní náklady nebo výdaje, náklady nebo výdaje na služby</w:t>
      </w:r>
    </w:p>
    <w:p w14:paraId="0DDF1BEA" w14:textId="77777777" w:rsidR="005F2654" w:rsidRDefault="005F2654" w:rsidP="005F2654">
      <w:pPr>
        <w:spacing w:before="240" w:after="240" w:line="240" w:lineRule="auto"/>
        <w:jc w:val="both"/>
        <w:rPr>
          <w:bCs/>
        </w:rPr>
      </w:pPr>
      <w:r w:rsidRPr="00716429">
        <w:rPr>
          <w:bCs/>
        </w:rPr>
        <w:t>Tuto kategorii představují:</w:t>
      </w:r>
    </w:p>
    <w:p w14:paraId="433EA16C" w14:textId="77777777" w:rsidR="005F2654" w:rsidRPr="00517C32" w:rsidRDefault="005F2654" w:rsidP="005F2654">
      <w:pPr>
        <w:spacing w:before="240" w:after="240" w:line="240" w:lineRule="auto"/>
        <w:jc w:val="both"/>
        <w:rPr>
          <w:bCs/>
          <w:u w:val="single"/>
        </w:rPr>
      </w:pPr>
      <w:r w:rsidRPr="00517C32">
        <w:rPr>
          <w:bCs/>
          <w:u w:val="single"/>
        </w:rPr>
        <w:t>Ostatní běžné výdaje a služby:</w:t>
      </w:r>
    </w:p>
    <w:p w14:paraId="54C375AA" w14:textId="77777777" w:rsidR="005F2654" w:rsidRDefault="005F2654" w:rsidP="005F2654">
      <w:pPr>
        <w:spacing w:after="0" w:line="240" w:lineRule="auto"/>
        <w:jc w:val="both"/>
      </w:pPr>
      <w:r>
        <w:t>Jsou určeny na nákup materiálu, zboží a podpůrných služeb, které jsou nezbytné pro plnění projektových cílů.</w:t>
      </w:r>
    </w:p>
    <w:p w14:paraId="6985D4E5" w14:textId="77777777" w:rsidR="005F2654" w:rsidRDefault="005F2654" w:rsidP="005F2654">
      <w:pPr>
        <w:spacing w:after="0" w:line="240" w:lineRule="auto"/>
        <w:jc w:val="both"/>
      </w:pPr>
    </w:p>
    <w:p w14:paraId="4E4542BC" w14:textId="77777777" w:rsidR="005F2654" w:rsidRDefault="005F2654" w:rsidP="005F2654">
      <w:pPr>
        <w:spacing w:after="0" w:line="240" w:lineRule="auto"/>
        <w:jc w:val="both"/>
      </w:pPr>
      <w:r>
        <w:t>Takto b</w:t>
      </w:r>
      <w:r w:rsidRPr="00895B63">
        <w:t xml:space="preserve">udou </w:t>
      </w:r>
      <w:r>
        <w:t>zabezpečována</w:t>
      </w:r>
      <w:r w:rsidRPr="00895B63">
        <w:t xml:space="preserve"> školení, semináře a konference věnované statistikám, analýzám a</w:t>
      </w:r>
      <w:r>
        <w:t> </w:t>
      </w:r>
      <w:r w:rsidRPr="00895B63">
        <w:t xml:space="preserve">politikám z oblasti </w:t>
      </w:r>
      <w:proofErr w:type="spellStart"/>
      <w:r w:rsidRPr="00895B63">
        <w:t>VaVaI</w:t>
      </w:r>
      <w:proofErr w:type="spellEnd"/>
      <w:r w:rsidRPr="00895B63">
        <w:t xml:space="preserve">. Významná část těchto akcí bude konána v konferenčním centru TC AV ČR, </w:t>
      </w:r>
      <w:r>
        <w:t>tj.</w:t>
      </w:r>
      <w:r w:rsidRPr="00895B63">
        <w:t xml:space="preserve"> bez přímých nákladů na nájemné prostor a technické vybavení, což představuje významnou úsporu. U akcí větších rozměrů bude nutno zajistit pronájem prostor mimo TC AV ČR, včetně technického zázemí. Součástí nákladů na organizování těchto akcí je přiměřené občerstvení úměrné délce trvání akce. Pokud se těchto akcí účastní externí řečník, bez nároku na honorář, mohou mu být proplaceny náklady souvi</w:t>
      </w:r>
      <w:r>
        <w:t>sející s jeho účastí na akci, tzn</w:t>
      </w:r>
      <w:r w:rsidRPr="00895B63">
        <w:t>.</w:t>
      </w:r>
      <w:r>
        <w:t>,</w:t>
      </w:r>
      <w:r w:rsidRPr="00895B63">
        <w:t xml:space="preserve"> doprava a</w:t>
      </w:r>
      <w:r>
        <w:t> </w:t>
      </w:r>
      <w:r w:rsidRPr="00895B63">
        <w:t>ubytování na nezbytně nutnou dobu. Pokud bude</w:t>
      </w:r>
      <w:r>
        <w:t xml:space="preserve"> řečník nárokovat honorář, budou náklady řešeny</w:t>
      </w:r>
      <w:r w:rsidRPr="00895B63">
        <w:t xml:space="preserve"> pomocí dohody o provedení práce (kategorie osobní náklady), bez nároku na náklady související s cestou na místo konání.</w:t>
      </w:r>
    </w:p>
    <w:p w14:paraId="521E1591" w14:textId="77777777" w:rsidR="005F2654" w:rsidRDefault="005F2654" w:rsidP="005F2654">
      <w:pPr>
        <w:spacing w:after="0" w:line="240" w:lineRule="auto"/>
        <w:jc w:val="both"/>
      </w:pPr>
    </w:p>
    <w:p w14:paraId="672E2B66" w14:textId="77777777" w:rsidR="005F2654" w:rsidRDefault="005F2654" w:rsidP="005F2654">
      <w:pPr>
        <w:spacing w:after="0" w:line="240" w:lineRule="auto"/>
        <w:jc w:val="both"/>
      </w:pPr>
      <w:r w:rsidRPr="00895B63">
        <w:t xml:space="preserve">Pro potřeby zajištění efektivity poskytovaných služeb bude využíván interní informační systém </w:t>
      </w:r>
      <w:proofErr w:type="spellStart"/>
      <w:r w:rsidRPr="00895B63">
        <w:t>Istec</w:t>
      </w:r>
      <w:proofErr w:type="spellEnd"/>
      <w:r w:rsidRPr="00895B63">
        <w:t xml:space="preserve">, </w:t>
      </w:r>
      <w:r>
        <w:t>ve kterém</w:t>
      </w:r>
      <w:r w:rsidRPr="00895B63">
        <w:t xml:space="preserve"> budou zaznamenány informace o poskytovaných individuálních konzultacích, pořádaných akcích, cestách a jednáních souvisejících s aktivitami projektu a </w:t>
      </w:r>
      <w:r>
        <w:t xml:space="preserve">rovněž </w:t>
      </w:r>
      <w:r w:rsidRPr="00895B63">
        <w:t>uchovány kompletní přehledy účastníků školicích a informačních akcí. Odpovídající podíl na celkových nákladech za provoz systému bude hrazen z této kategorie.</w:t>
      </w:r>
    </w:p>
    <w:p w14:paraId="7143CC15" w14:textId="77777777" w:rsidR="005F2654" w:rsidRDefault="005F2654" w:rsidP="005F2654">
      <w:pPr>
        <w:spacing w:after="0" w:line="240" w:lineRule="auto"/>
        <w:jc w:val="both"/>
      </w:pPr>
    </w:p>
    <w:p w14:paraId="50F92E46" w14:textId="77777777" w:rsidR="005F2654" w:rsidRDefault="005F2654" w:rsidP="005F2654">
      <w:pPr>
        <w:spacing w:after="0" w:line="240" w:lineRule="auto"/>
        <w:jc w:val="both"/>
      </w:pPr>
      <w:r>
        <w:t xml:space="preserve">Do této kategorie dále náleží náklady na správu odborných webových portálů k ERA/ </w:t>
      </w:r>
      <w:r w:rsidRPr="00753A5C">
        <w:t>národního webového portálu pro Program Horizont Evropa</w:t>
      </w:r>
      <w:r>
        <w:t xml:space="preserve">, poměrná část nákladů provozu hlavního webového portálu TC AV ČR, na němž budou zveřejňovány aktuality o aktivitách realizovaných v projektu a jeho výsledky, podíl nákladů web </w:t>
      </w:r>
      <w:proofErr w:type="spellStart"/>
      <w:r>
        <w:t>streamingu</w:t>
      </w:r>
      <w:proofErr w:type="spellEnd"/>
      <w:r>
        <w:t xml:space="preserve"> pořádaných informačních a školicích akcí, technické služby umožňující organizovat e-</w:t>
      </w:r>
      <w:proofErr w:type="spellStart"/>
      <w:r>
        <w:t>learning</w:t>
      </w:r>
      <w:proofErr w:type="spellEnd"/>
      <w:r>
        <w:t xml:space="preserve">, telekonference, správu a </w:t>
      </w:r>
      <w:proofErr w:type="spellStart"/>
      <w:r>
        <w:t>hosting</w:t>
      </w:r>
      <w:proofErr w:type="spellEnd"/>
      <w:r>
        <w:t xml:space="preserve"> odborných webů. Náleží sem i zajištění vydávání odborného periodika Echo, informačních brožur a letáků.</w:t>
      </w:r>
    </w:p>
    <w:p w14:paraId="02711BF5" w14:textId="77777777" w:rsidR="005F2654" w:rsidRDefault="005F2654" w:rsidP="005F2654">
      <w:pPr>
        <w:spacing w:after="0" w:line="240" w:lineRule="auto"/>
        <w:jc w:val="both"/>
      </w:pPr>
    </w:p>
    <w:p w14:paraId="484A4864" w14:textId="32F3692B" w:rsidR="005F2654" w:rsidRDefault="005F2654" w:rsidP="005F2654">
      <w:pPr>
        <w:spacing w:after="0" w:line="240" w:lineRule="auto"/>
        <w:jc w:val="both"/>
      </w:pPr>
      <w:r>
        <w:t>Zbývající náklady činí ostatní nákupy zboží a služeb, dále náklady na školení pro členy řešitelského týmu, audit projektu, nákup drobného hmotného a nehmotného majetku, výpočetní techniky (notebooky, webkamery, tiskárny) a spotřebního materiálu (např. tonery, papír, kancelářské potřeby) pro přímou potřebu projektu (resp. podíl z pořizovací ceny, který odpovídá poměru využití pro plnění cílů projektu), zajištění publicity, nákup odborných publikací a periodik (v tištěné anebo v elektronické podobě), nákup specializovaných analýz a úzce profilovaného poradenství, náklady související s přístupem do specializovaných databází a statistik, náklady na tlumočení, překlady a náklady na účastnické poplatky na specializovaných akcích či konferencích.</w:t>
      </w:r>
    </w:p>
    <w:p w14:paraId="64C7FB9F" w14:textId="77777777" w:rsidR="005F2654" w:rsidRDefault="005F2654" w:rsidP="005F2654">
      <w:pPr>
        <w:spacing w:before="240" w:after="240" w:line="240" w:lineRule="auto"/>
        <w:jc w:val="both"/>
        <w:rPr>
          <w:bCs/>
        </w:rPr>
      </w:pPr>
    </w:p>
    <w:p w14:paraId="670CE4B1" w14:textId="77777777" w:rsidR="005F2654" w:rsidRDefault="005F2654" w:rsidP="005F2654">
      <w:pPr>
        <w:spacing w:before="240" w:after="240" w:line="240" w:lineRule="auto"/>
        <w:jc w:val="both"/>
        <w:rPr>
          <w:bCs/>
        </w:rPr>
      </w:pPr>
    </w:p>
    <w:p w14:paraId="74AE43A6" w14:textId="77777777" w:rsidR="005F2654" w:rsidRPr="00517C32" w:rsidRDefault="005F2654" w:rsidP="005F2654">
      <w:pPr>
        <w:spacing w:before="240" w:after="240" w:line="240" w:lineRule="auto"/>
        <w:jc w:val="both"/>
        <w:rPr>
          <w:bCs/>
          <w:u w:val="single"/>
        </w:rPr>
      </w:pPr>
      <w:r w:rsidRPr="00517C32">
        <w:rPr>
          <w:bCs/>
          <w:u w:val="single"/>
        </w:rPr>
        <w:lastRenderedPageBreak/>
        <w:t>Cestovné:</w:t>
      </w:r>
    </w:p>
    <w:p w14:paraId="5C661FFA" w14:textId="41F3F6E5" w:rsidR="005F2654" w:rsidRPr="00895B63" w:rsidRDefault="005F2654" w:rsidP="005F2654">
      <w:pPr>
        <w:spacing w:after="0" w:line="240" w:lineRule="auto"/>
        <w:jc w:val="both"/>
      </w:pPr>
      <w:r>
        <w:t>Tato k</w:t>
      </w:r>
      <w:r w:rsidRPr="00895B63">
        <w:t>ategorie pokrývá náklady na cestovné zaměstnanců</w:t>
      </w:r>
      <w:r>
        <w:t>, a to včetně</w:t>
      </w:r>
      <w:r w:rsidRPr="00895B63">
        <w:t xml:space="preserve"> zákonného stravného a kapesného </w:t>
      </w:r>
      <w:r>
        <w:t>po</w:t>
      </w:r>
      <w:r w:rsidR="00DF5D41">
        <w:t>dle zákoníku</w:t>
      </w:r>
      <w:r w:rsidRPr="00895B63">
        <w:t xml:space="preserve"> práce a </w:t>
      </w:r>
      <w:r>
        <w:t>nezbytných</w:t>
      </w:r>
      <w:r w:rsidRPr="00895B63">
        <w:t xml:space="preserve"> vedlejších výdajů ve schváleném cestovním výkazu a cestovního připojištění. Počítá se s náklady na dopravu (</w:t>
      </w:r>
      <w:r>
        <w:t xml:space="preserve">tzn., </w:t>
      </w:r>
      <w:r w:rsidRPr="00895B63">
        <w:t xml:space="preserve">letenky, autobus, vlak, MHD a v odůvodněných případech </w:t>
      </w:r>
      <w:r>
        <w:t>také taxi</w:t>
      </w:r>
      <w:r w:rsidRPr="00895B63">
        <w:t xml:space="preserve">), </w:t>
      </w:r>
      <w:r>
        <w:t xml:space="preserve">případným ubytováním </w:t>
      </w:r>
      <w:r w:rsidRPr="00895B63">
        <w:t>a zahraničními dietami</w:t>
      </w:r>
      <w:r>
        <w:t>.</w:t>
      </w:r>
      <w:r w:rsidRPr="00895B63">
        <w:t xml:space="preserve"> Při pracovních cestách je všem zaměstnancům vypláceno stravné v souladu se zákonem č.</w:t>
      </w:r>
      <w:r>
        <w:t xml:space="preserve"> 262/2006 Sb., </w:t>
      </w:r>
      <w:r w:rsidRPr="00895B63">
        <w:t>zákoník práce</w:t>
      </w:r>
      <w:r>
        <w:t>, v platném znění</w:t>
      </w:r>
      <w:r w:rsidRPr="00895B63">
        <w:t xml:space="preserve"> a při z</w:t>
      </w:r>
      <w:r>
        <w:t>ahraničních pracovních cestách rovněž</w:t>
      </w:r>
      <w:r w:rsidRPr="00895B63">
        <w:t xml:space="preserve"> zákonné kapesné, které je součástí cestovních nákladů.</w:t>
      </w:r>
      <w:r>
        <w:t xml:space="preserve"> </w:t>
      </w:r>
      <w:r w:rsidRPr="00895B63">
        <w:t xml:space="preserve">Většina </w:t>
      </w:r>
      <w:r>
        <w:t xml:space="preserve">ze </w:t>
      </w:r>
      <w:r w:rsidRPr="00895B63">
        <w:t xml:space="preserve">zahraničních cest bude </w:t>
      </w:r>
      <w:r>
        <w:t xml:space="preserve">realizována </w:t>
      </w:r>
      <w:r w:rsidRPr="00895B63">
        <w:t>v rámci Evropy,</w:t>
      </w:r>
      <w:r>
        <w:t xml:space="preserve"> některé do třetích zemí.</w:t>
      </w:r>
    </w:p>
    <w:p w14:paraId="0AB41A26" w14:textId="77777777" w:rsidR="005F2654" w:rsidRPr="001C3E82" w:rsidRDefault="005F2654" w:rsidP="005F2654">
      <w:pPr>
        <w:spacing w:before="240" w:after="240" w:line="240" w:lineRule="auto"/>
        <w:jc w:val="both"/>
        <w:rPr>
          <w:b/>
          <w:bCs/>
        </w:rPr>
      </w:pPr>
      <w:r>
        <w:rPr>
          <w:b/>
          <w:bCs/>
        </w:rPr>
        <w:t>Kategorie doplňkové náklady nebo výdaje (režie)</w:t>
      </w:r>
    </w:p>
    <w:p w14:paraId="3A5BEB5D" w14:textId="248D410A" w:rsidR="005F2654" w:rsidRPr="00895B63" w:rsidRDefault="005F2654" w:rsidP="005F2654">
      <w:pPr>
        <w:spacing w:line="240" w:lineRule="auto"/>
        <w:jc w:val="both"/>
      </w:pPr>
      <w:r w:rsidRPr="00895B63">
        <w:t xml:space="preserve">Režijní náklady jsou rozpočtovány metodou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 xml:space="preserve">tzn., </w:t>
      </w:r>
      <w:r w:rsidRPr="00895B63">
        <w:t xml:space="preserve">bez investic). Režijní náklady projektu budou vynaloženy na zabezpečení materiálně-technických podmínek a </w:t>
      </w:r>
      <w:r>
        <w:t xml:space="preserve">na </w:t>
      </w:r>
      <w:r w:rsidRPr="00895B63">
        <w:t xml:space="preserve">vybavení pracovníků podílejících se na projektu, poměrnou část nákladů na údržbu a provoz budovy TC AV ČR, mzdy režijních </w:t>
      </w:r>
      <w:r w:rsidR="004C4DC7">
        <w:t>pracovníků (účetní</w:t>
      </w:r>
      <w:r w:rsidRPr="00895B63">
        <w:t>, hospodářská správa) a ostatní daňově uznatelné náklady související s provozem TC AV ČR (např. energie, voda, úklid, pojištění, zabezpečení</w:t>
      </w:r>
      <w:r>
        <w:t>, apod.</w:t>
      </w:r>
      <w:r w:rsidRPr="00895B63">
        <w:t>).</w:t>
      </w:r>
    </w:p>
    <w:p w14:paraId="6E4F971A" w14:textId="77777777" w:rsidR="005F2654" w:rsidRPr="00D120A5" w:rsidRDefault="005F2654" w:rsidP="005F2654">
      <w:pPr>
        <w:spacing w:before="240" w:after="240" w:line="240" w:lineRule="auto"/>
        <w:jc w:val="both"/>
        <w:rPr>
          <w:b/>
          <w:sz w:val="24"/>
        </w:rPr>
      </w:pPr>
      <w:r w:rsidRPr="00D120A5">
        <w:rPr>
          <w:b/>
          <w:sz w:val="24"/>
        </w:rPr>
        <w:t xml:space="preserve">Rozpočet dalšího účastníka: </w:t>
      </w:r>
      <w:r w:rsidRPr="00536577">
        <w:rPr>
          <w:b/>
          <w:sz w:val="24"/>
        </w:rPr>
        <w:t>Sociologick</w:t>
      </w:r>
      <w:r>
        <w:rPr>
          <w:b/>
          <w:sz w:val="24"/>
        </w:rPr>
        <w:t>y ústav</w:t>
      </w:r>
      <w:r w:rsidRPr="00536577">
        <w:rPr>
          <w:b/>
          <w:sz w:val="24"/>
        </w:rPr>
        <w:t xml:space="preserve"> AV ČR, </w:t>
      </w:r>
      <w:proofErr w:type="spellStart"/>
      <w:proofErr w:type="gramStart"/>
      <w:r w:rsidRPr="00536577">
        <w:rPr>
          <w:b/>
          <w:sz w:val="24"/>
        </w:rPr>
        <w:t>v.v.</w:t>
      </w:r>
      <w:proofErr w:type="gramEnd"/>
      <w:r w:rsidRPr="00536577">
        <w:rPr>
          <w:b/>
          <w:sz w:val="24"/>
        </w:rPr>
        <w:t>i</w:t>
      </w:r>
      <w:proofErr w:type="spellEnd"/>
      <w:r w:rsidRPr="00536577">
        <w:rPr>
          <w:b/>
          <w:sz w:val="24"/>
        </w:rPr>
        <w:t>.</w:t>
      </w:r>
    </w:p>
    <w:p w14:paraId="7E64A66B" w14:textId="77777777" w:rsidR="005F2654" w:rsidRPr="00D120A5" w:rsidRDefault="005F2654" w:rsidP="005F2654">
      <w:pPr>
        <w:spacing w:line="240" w:lineRule="auto"/>
        <w:jc w:val="both"/>
        <w:rPr>
          <w:b/>
          <w:sz w:val="24"/>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28" w:type="dxa"/>
        <w:tblCellMar>
          <w:left w:w="70" w:type="dxa"/>
          <w:right w:w="70" w:type="dxa"/>
        </w:tblCellMar>
        <w:tblLook w:val="04A0" w:firstRow="1" w:lastRow="0" w:firstColumn="1" w:lastColumn="0" w:noHBand="0" w:noVBand="1"/>
      </w:tblPr>
      <w:tblGrid>
        <w:gridCol w:w="1780"/>
        <w:gridCol w:w="980"/>
        <w:gridCol w:w="958"/>
        <w:gridCol w:w="958"/>
        <w:gridCol w:w="958"/>
        <w:gridCol w:w="958"/>
        <w:gridCol w:w="958"/>
        <w:gridCol w:w="958"/>
        <w:gridCol w:w="1120"/>
      </w:tblGrid>
      <w:tr w:rsidR="005F2654" w:rsidRPr="00716429" w14:paraId="0D8FDB37" w14:textId="77777777" w:rsidTr="00EF03B9">
        <w:trPr>
          <w:trHeight w:val="301"/>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6515F50" w14:textId="27A5109C" w:rsidR="005F2654" w:rsidRPr="003C6DA2" w:rsidRDefault="005F2654" w:rsidP="003C6DA2">
            <w:pPr>
              <w:spacing w:after="0" w:line="240" w:lineRule="auto"/>
              <w:jc w:val="center"/>
              <w:rPr>
                <w:b/>
                <w:bCs/>
                <w:color w:val="000000"/>
                <w:sz w:val="16"/>
                <w:szCs w:val="16"/>
              </w:rPr>
            </w:pPr>
            <w:r w:rsidRPr="003C6DA2">
              <w:rPr>
                <w:b/>
                <w:bCs/>
                <w:color w:val="000000"/>
                <w:sz w:val="16"/>
                <w:szCs w:val="16"/>
              </w:rPr>
              <w:t>Kategorie</w:t>
            </w:r>
            <w:r w:rsidR="002E3850">
              <w:rPr>
                <w:b/>
                <w:bCs/>
                <w:color w:val="000000"/>
                <w:sz w:val="16"/>
                <w:szCs w:val="16"/>
              </w:rPr>
              <w:t xml:space="preserve"> </w:t>
            </w:r>
            <w:r w:rsidRPr="003C6DA2">
              <w:rPr>
                <w:b/>
                <w:bCs/>
                <w:color w:val="000000"/>
                <w:sz w:val="16"/>
                <w:szCs w:val="16"/>
              </w:rPr>
              <w:t>/</w:t>
            </w:r>
            <w:r w:rsidR="002E3850">
              <w:rPr>
                <w:b/>
                <w:bCs/>
                <w:color w:val="000000"/>
                <w:sz w:val="16"/>
                <w:szCs w:val="16"/>
              </w:rPr>
              <w:t xml:space="preserve"> </w:t>
            </w:r>
            <w:r w:rsidRPr="003C6DA2">
              <w:rPr>
                <w:b/>
                <w:bCs/>
                <w:color w:val="000000"/>
                <w:sz w:val="16"/>
                <w:szCs w:val="16"/>
              </w:rPr>
              <w:t>Rok</w:t>
            </w:r>
          </w:p>
        </w:tc>
        <w:tc>
          <w:tcPr>
            <w:tcW w:w="980" w:type="dxa"/>
            <w:tcBorders>
              <w:top w:val="single" w:sz="4" w:space="0" w:color="auto"/>
              <w:left w:val="nil"/>
              <w:bottom w:val="single" w:sz="4" w:space="0" w:color="auto"/>
              <w:right w:val="single" w:sz="4" w:space="0" w:color="auto"/>
            </w:tcBorders>
            <w:shd w:val="clear" w:color="000000" w:fill="F2F2F2"/>
            <w:noWrap/>
            <w:vAlign w:val="center"/>
            <w:hideMark/>
          </w:tcPr>
          <w:p w14:paraId="2AC2776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16C51B7"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2022</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3387870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2023</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71544EE4"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2024</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4A637860"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2025</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650DE08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2026</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606C6DB8"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3ABA0648" w14:textId="608AF110" w:rsidR="005F2654" w:rsidRPr="003C6DA2" w:rsidRDefault="003C6DA2" w:rsidP="003C6DA2">
            <w:pPr>
              <w:spacing w:after="0" w:line="240" w:lineRule="auto"/>
              <w:jc w:val="center"/>
              <w:rPr>
                <w:b/>
                <w:bCs/>
                <w:color w:val="000000"/>
                <w:sz w:val="16"/>
                <w:szCs w:val="16"/>
              </w:rPr>
            </w:pPr>
            <w:r>
              <w:rPr>
                <w:b/>
                <w:bCs/>
                <w:color w:val="000000"/>
                <w:sz w:val="16"/>
                <w:szCs w:val="16"/>
              </w:rPr>
              <w:t>CELKEM</w:t>
            </w:r>
          </w:p>
        </w:tc>
      </w:tr>
      <w:tr w:rsidR="005F2654" w:rsidRPr="00716429" w14:paraId="3F093D2F" w14:textId="77777777" w:rsidTr="00EF03B9">
        <w:trPr>
          <w:trHeight w:val="482"/>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2D98566"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 xml:space="preserve">1. Osobní náklady </w:t>
            </w:r>
            <w:r w:rsidRPr="003C6DA2">
              <w:rPr>
                <w:b/>
                <w:bCs/>
                <w:color w:val="000000"/>
                <w:sz w:val="16"/>
                <w:szCs w:val="16"/>
              </w:rPr>
              <w:br/>
              <w:t>nebo výdaje</w:t>
            </w:r>
          </w:p>
        </w:tc>
        <w:tc>
          <w:tcPr>
            <w:tcW w:w="980" w:type="dxa"/>
            <w:tcBorders>
              <w:top w:val="nil"/>
              <w:left w:val="nil"/>
              <w:bottom w:val="single" w:sz="4" w:space="0" w:color="auto"/>
              <w:right w:val="single" w:sz="4" w:space="0" w:color="auto"/>
            </w:tcBorders>
            <w:shd w:val="clear" w:color="auto" w:fill="auto"/>
            <w:noWrap/>
            <w:vAlign w:val="center"/>
            <w:hideMark/>
          </w:tcPr>
          <w:p w14:paraId="4DDF91A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3 223 000</w:t>
            </w:r>
          </w:p>
        </w:tc>
        <w:tc>
          <w:tcPr>
            <w:tcW w:w="958" w:type="dxa"/>
            <w:tcBorders>
              <w:top w:val="nil"/>
              <w:left w:val="nil"/>
              <w:bottom w:val="single" w:sz="4" w:space="0" w:color="auto"/>
              <w:right w:val="single" w:sz="4" w:space="0" w:color="auto"/>
            </w:tcBorders>
            <w:shd w:val="clear" w:color="auto" w:fill="auto"/>
            <w:noWrap/>
            <w:vAlign w:val="center"/>
            <w:hideMark/>
          </w:tcPr>
          <w:p w14:paraId="14E3168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3 173 600</w:t>
            </w:r>
          </w:p>
        </w:tc>
        <w:tc>
          <w:tcPr>
            <w:tcW w:w="958" w:type="dxa"/>
            <w:tcBorders>
              <w:top w:val="nil"/>
              <w:left w:val="nil"/>
              <w:bottom w:val="single" w:sz="4" w:space="0" w:color="auto"/>
              <w:right w:val="single" w:sz="4" w:space="0" w:color="auto"/>
            </w:tcBorders>
            <w:shd w:val="clear" w:color="auto" w:fill="auto"/>
            <w:noWrap/>
            <w:vAlign w:val="center"/>
            <w:hideMark/>
          </w:tcPr>
          <w:p w14:paraId="66E3D34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3 432 500</w:t>
            </w:r>
          </w:p>
        </w:tc>
        <w:tc>
          <w:tcPr>
            <w:tcW w:w="958" w:type="dxa"/>
            <w:tcBorders>
              <w:top w:val="nil"/>
              <w:left w:val="nil"/>
              <w:bottom w:val="single" w:sz="4" w:space="0" w:color="auto"/>
              <w:right w:val="single" w:sz="4" w:space="0" w:color="auto"/>
            </w:tcBorders>
            <w:shd w:val="clear" w:color="auto" w:fill="auto"/>
            <w:noWrap/>
            <w:vAlign w:val="center"/>
            <w:hideMark/>
          </w:tcPr>
          <w:p w14:paraId="4D2CC792"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3 430 800</w:t>
            </w:r>
          </w:p>
        </w:tc>
        <w:tc>
          <w:tcPr>
            <w:tcW w:w="958" w:type="dxa"/>
            <w:tcBorders>
              <w:top w:val="nil"/>
              <w:left w:val="nil"/>
              <w:bottom w:val="single" w:sz="4" w:space="0" w:color="auto"/>
              <w:right w:val="single" w:sz="4" w:space="0" w:color="auto"/>
            </w:tcBorders>
            <w:shd w:val="clear" w:color="auto" w:fill="auto"/>
            <w:noWrap/>
            <w:vAlign w:val="center"/>
            <w:hideMark/>
          </w:tcPr>
          <w:p w14:paraId="49F10D2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3 591 300</w:t>
            </w:r>
          </w:p>
        </w:tc>
        <w:tc>
          <w:tcPr>
            <w:tcW w:w="958" w:type="dxa"/>
            <w:tcBorders>
              <w:top w:val="nil"/>
              <w:left w:val="nil"/>
              <w:bottom w:val="single" w:sz="4" w:space="0" w:color="auto"/>
              <w:right w:val="single" w:sz="4" w:space="0" w:color="auto"/>
            </w:tcBorders>
            <w:shd w:val="clear" w:color="auto" w:fill="auto"/>
            <w:noWrap/>
            <w:vAlign w:val="center"/>
            <w:hideMark/>
          </w:tcPr>
          <w:p w14:paraId="3F922DDE"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3 591 300</w:t>
            </w:r>
          </w:p>
        </w:tc>
        <w:tc>
          <w:tcPr>
            <w:tcW w:w="958" w:type="dxa"/>
            <w:tcBorders>
              <w:top w:val="nil"/>
              <w:left w:val="nil"/>
              <w:bottom w:val="single" w:sz="4" w:space="0" w:color="auto"/>
              <w:right w:val="single" w:sz="4" w:space="0" w:color="auto"/>
            </w:tcBorders>
            <w:shd w:val="clear" w:color="auto" w:fill="auto"/>
            <w:noWrap/>
            <w:vAlign w:val="center"/>
            <w:hideMark/>
          </w:tcPr>
          <w:p w14:paraId="65F666ED" w14:textId="77777777" w:rsidR="005F2654" w:rsidRPr="003C6DA2" w:rsidRDefault="005F2654" w:rsidP="003C6DA2">
            <w:pPr>
              <w:spacing w:after="0" w:line="240" w:lineRule="auto"/>
              <w:jc w:val="center"/>
              <w:rPr>
                <w:color w:val="000000"/>
                <w:sz w:val="16"/>
                <w:szCs w:val="16"/>
              </w:rPr>
            </w:pPr>
            <w:r w:rsidRPr="003C6DA2">
              <w:rPr>
                <w:color w:val="000000"/>
                <w:sz w:val="16"/>
                <w:szCs w:val="16"/>
              </w:rPr>
              <w:t>3 751 800</w:t>
            </w:r>
          </w:p>
        </w:tc>
        <w:tc>
          <w:tcPr>
            <w:tcW w:w="1120" w:type="dxa"/>
            <w:tcBorders>
              <w:top w:val="nil"/>
              <w:left w:val="nil"/>
              <w:bottom w:val="single" w:sz="4" w:space="0" w:color="auto"/>
              <w:right w:val="single" w:sz="4" w:space="0" w:color="auto"/>
            </w:tcBorders>
            <w:shd w:val="clear" w:color="000000" w:fill="F2F2F2"/>
            <w:noWrap/>
            <w:vAlign w:val="center"/>
            <w:hideMark/>
          </w:tcPr>
          <w:p w14:paraId="38D784A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24 194 300</w:t>
            </w:r>
          </w:p>
        </w:tc>
      </w:tr>
      <w:tr w:rsidR="005F2654" w:rsidRPr="00716429" w14:paraId="1F5E8FBD" w14:textId="77777777" w:rsidTr="00EF03B9">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607CFC3A" w14:textId="77777777" w:rsidR="005F2654" w:rsidRPr="003C6DA2" w:rsidRDefault="005F2654" w:rsidP="003C6DA2">
            <w:pPr>
              <w:spacing w:after="0" w:line="240" w:lineRule="auto"/>
              <w:jc w:val="center"/>
              <w:rPr>
                <w:b/>
                <w:bCs/>
                <w:sz w:val="16"/>
                <w:szCs w:val="16"/>
              </w:rPr>
            </w:pPr>
            <w:r w:rsidRPr="003C6DA2">
              <w:rPr>
                <w:b/>
                <w:bCs/>
                <w:sz w:val="16"/>
                <w:szCs w:val="16"/>
              </w:rPr>
              <w:t>2. Náklady nebo výdaje na pořízení hmotného a nehmotného majetku</w:t>
            </w:r>
          </w:p>
        </w:tc>
        <w:tc>
          <w:tcPr>
            <w:tcW w:w="980" w:type="dxa"/>
            <w:tcBorders>
              <w:top w:val="nil"/>
              <w:left w:val="nil"/>
              <w:bottom w:val="single" w:sz="4" w:space="0" w:color="auto"/>
              <w:right w:val="single" w:sz="4" w:space="0" w:color="auto"/>
            </w:tcBorders>
            <w:shd w:val="clear" w:color="auto" w:fill="auto"/>
            <w:noWrap/>
            <w:vAlign w:val="center"/>
            <w:hideMark/>
          </w:tcPr>
          <w:p w14:paraId="35E53A34"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150 000</w:t>
            </w:r>
          </w:p>
        </w:tc>
        <w:tc>
          <w:tcPr>
            <w:tcW w:w="958" w:type="dxa"/>
            <w:tcBorders>
              <w:top w:val="nil"/>
              <w:left w:val="nil"/>
              <w:bottom w:val="single" w:sz="4" w:space="0" w:color="auto"/>
              <w:right w:val="single" w:sz="4" w:space="0" w:color="auto"/>
            </w:tcBorders>
            <w:shd w:val="clear" w:color="auto" w:fill="auto"/>
            <w:noWrap/>
            <w:vAlign w:val="center"/>
            <w:hideMark/>
          </w:tcPr>
          <w:p w14:paraId="35F69D6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51016151"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3CFF45A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282000B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6EC85FA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180A1DC0" w14:textId="77777777" w:rsidR="005F2654" w:rsidRPr="003C6DA2" w:rsidRDefault="005F2654" w:rsidP="003C6DA2">
            <w:pPr>
              <w:spacing w:after="0" w:line="240" w:lineRule="auto"/>
              <w:jc w:val="center"/>
              <w:rPr>
                <w:color w:val="000000"/>
                <w:sz w:val="16"/>
                <w:szCs w:val="16"/>
              </w:rPr>
            </w:pPr>
            <w:r w:rsidRPr="003C6DA2">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hideMark/>
          </w:tcPr>
          <w:p w14:paraId="57241C4D"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150 000</w:t>
            </w:r>
          </w:p>
        </w:tc>
      </w:tr>
      <w:tr w:rsidR="005F2654" w:rsidRPr="00716429" w14:paraId="693B5E24" w14:textId="77777777" w:rsidTr="00EF03B9">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9BD105E" w14:textId="77777777" w:rsidR="005F2654" w:rsidRPr="003C6DA2" w:rsidRDefault="005F2654" w:rsidP="003C6DA2">
            <w:pPr>
              <w:spacing w:after="0" w:line="240" w:lineRule="auto"/>
              <w:jc w:val="center"/>
              <w:rPr>
                <w:b/>
                <w:bCs/>
                <w:sz w:val="16"/>
                <w:szCs w:val="16"/>
              </w:rPr>
            </w:pPr>
            <w:r w:rsidRPr="003C6DA2">
              <w:rPr>
                <w:b/>
                <w:bCs/>
                <w:sz w:val="16"/>
                <w:szCs w:val="16"/>
              </w:rPr>
              <w:t>3. Provozní náklady nebo výdaje, náklady nebo výdaje na služby</w:t>
            </w:r>
          </w:p>
        </w:tc>
        <w:tc>
          <w:tcPr>
            <w:tcW w:w="980" w:type="dxa"/>
            <w:tcBorders>
              <w:top w:val="nil"/>
              <w:left w:val="nil"/>
              <w:bottom w:val="single" w:sz="4" w:space="0" w:color="auto"/>
              <w:right w:val="single" w:sz="4" w:space="0" w:color="auto"/>
            </w:tcBorders>
            <w:shd w:val="clear" w:color="auto" w:fill="auto"/>
            <w:noWrap/>
            <w:vAlign w:val="center"/>
            <w:hideMark/>
          </w:tcPr>
          <w:p w14:paraId="35299D4C"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18843A7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560 000</w:t>
            </w:r>
          </w:p>
        </w:tc>
        <w:tc>
          <w:tcPr>
            <w:tcW w:w="958" w:type="dxa"/>
            <w:tcBorders>
              <w:top w:val="nil"/>
              <w:left w:val="nil"/>
              <w:bottom w:val="single" w:sz="4" w:space="0" w:color="auto"/>
              <w:right w:val="single" w:sz="4" w:space="0" w:color="auto"/>
            </w:tcBorders>
            <w:shd w:val="clear" w:color="auto" w:fill="auto"/>
            <w:noWrap/>
            <w:vAlign w:val="center"/>
            <w:hideMark/>
          </w:tcPr>
          <w:p w14:paraId="23C3902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585 000</w:t>
            </w:r>
          </w:p>
        </w:tc>
        <w:tc>
          <w:tcPr>
            <w:tcW w:w="958" w:type="dxa"/>
            <w:tcBorders>
              <w:top w:val="nil"/>
              <w:left w:val="nil"/>
              <w:bottom w:val="single" w:sz="4" w:space="0" w:color="auto"/>
              <w:right w:val="single" w:sz="4" w:space="0" w:color="auto"/>
            </w:tcBorders>
            <w:shd w:val="clear" w:color="auto" w:fill="auto"/>
            <w:noWrap/>
            <w:vAlign w:val="center"/>
            <w:hideMark/>
          </w:tcPr>
          <w:p w14:paraId="207D95AA"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CE35368"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8037C8D"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958" w:type="dxa"/>
            <w:tcBorders>
              <w:top w:val="nil"/>
              <w:left w:val="nil"/>
              <w:bottom w:val="single" w:sz="4" w:space="0" w:color="auto"/>
              <w:right w:val="single" w:sz="4" w:space="0" w:color="auto"/>
            </w:tcBorders>
            <w:shd w:val="clear" w:color="auto" w:fill="auto"/>
            <w:noWrap/>
            <w:vAlign w:val="center"/>
            <w:hideMark/>
          </w:tcPr>
          <w:p w14:paraId="08CDD071" w14:textId="77777777" w:rsidR="005F2654" w:rsidRPr="003C6DA2" w:rsidRDefault="005F2654" w:rsidP="003C6DA2">
            <w:pPr>
              <w:spacing w:after="0" w:line="240" w:lineRule="auto"/>
              <w:jc w:val="center"/>
              <w:rPr>
                <w:color w:val="000000"/>
                <w:sz w:val="16"/>
                <w:szCs w:val="16"/>
              </w:rPr>
            </w:pPr>
            <w:r w:rsidRPr="003C6DA2">
              <w:rPr>
                <w:color w:val="000000"/>
                <w:sz w:val="16"/>
                <w:szCs w:val="16"/>
              </w:rPr>
              <w:t>590 000</w:t>
            </w:r>
          </w:p>
        </w:tc>
        <w:tc>
          <w:tcPr>
            <w:tcW w:w="1120" w:type="dxa"/>
            <w:tcBorders>
              <w:top w:val="nil"/>
              <w:left w:val="nil"/>
              <w:bottom w:val="single" w:sz="4" w:space="0" w:color="auto"/>
              <w:right w:val="single" w:sz="4" w:space="0" w:color="auto"/>
            </w:tcBorders>
            <w:shd w:val="clear" w:color="000000" w:fill="F2F2F2"/>
            <w:noWrap/>
            <w:vAlign w:val="center"/>
            <w:hideMark/>
          </w:tcPr>
          <w:p w14:paraId="5AC240C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4 095 000</w:t>
            </w:r>
          </w:p>
        </w:tc>
      </w:tr>
      <w:tr w:rsidR="005F2654" w:rsidRPr="00716429" w14:paraId="32A226A1" w14:textId="77777777" w:rsidTr="00EF03B9">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25977B19"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Doplňkové náklady</w:t>
            </w:r>
            <w:r w:rsidRPr="003C6DA2">
              <w:rPr>
                <w:b/>
                <w:bCs/>
                <w:color w:val="000000"/>
                <w:sz w:val="16"/>
                <w:szCs w:val="16"/>
              </w:rPr>
              <w:br/>
              <w:t xml:space="preserve"> nebo výdaje (režie)</w:t>
            </w:r>
          </w:p>
        </w:tc>
        <w:tc>
          <w:tcPr>
            <w:tcW w:w="980" w:type="dxa"/>
            <w:tcBorders>
              <w:top w:val="nil"/>
              <w:left w:val="nil"/>
              <w:bottom w:val="single" w:sz="4" w:space="0" w:color="auto"/>
              <w:right w:val="single" w:sz="4" w:space="0" w:color="auto"/>
            </w:tcBorders>
            <w:shd w:val="clear" w:color="auto" w:fill="auto"/>
            <w:noWrap/>
            <w:vAlign w:val="center"/>
            <w:hideMark/>
          </w:tcPr>
          <w:p w14:paraId="3F5A36C3" w14:textId="77777777" w:rsidR="005F2654" w:rsidRPr="003C6DA2" w:rsidRDefault="005F2654" w:rsidP="003C6DA2">
            <w:pPr>
              <w:spacing w:after="0" w:line="240" w:lineRule="auto"/>
              <w:jc w:val="center"/>
              <w:rPr>
                <w:color w:val="000000"/>
                <w:sz w:val="16"/>
                <w:szCs w:val="16"/>
              </w:rPr>
            </w:pPr>
            <w:r w:rsidRPr="003C6DA2">
              <w:rPr>
                <w:color w:val="000000"/>
                <w:sz w:val="16"/>
                <w:szCs w:val="16"/>
              </w:rPr>
              <w:t>953 250</w:t>
            </w:r>
          </w:p>
        </w:tc>
        <w:tc>
          <w:tcPr>
            <w:tcW w:w="958" w:type="dxa"/>
            <w:tcBorders>
              <w:top w:val="nil"/>
              <w:left w:val="nil"/>
              <w:bottom w:val="single" w:sz="4" w:space="0" w:color="auto"/>
              <w:right w:val="single" w:sz="4" w:space="0" w:color="auto"/>
            </w:tcBorders>
            <w:shd w:val="clear" w:color="auto" w:fill="auto"/>
            <w:noWrap/>
            <w:vAlign w:val="center"/>
            <w:hideMark/>
          </w:tcPr>
          <w:p w14:paraId="02F3B807" w14:textId="77777777" w:rsidR="005F2654" w:rsidRPr="003C6DA2" w:rsidRDefault="005F2654" w:rsidP="003C6DA2">
            <w:pPr>
              <w:spacing w:after="0" w:line="240" w:lineRule="auto"/>
              <w:jc w:val="center"/>
              <w:rPr>
                <w:color w:val="000000"/>
                <w:sz w:val="16"/>
                <w:szCs w:val="16"/>
              </w:rPr>
            </w:pPr>
            <w:r w:rsidRPr="003C6DA2">
              <w:rPr>
                <w:color w:val="000000"/>
                <w:sz w:val="16"/>
                <w:szCs w:val="16"/>
              </w:rPr>
              <w:t>933 400</w:t>
            </w:r>
          </w:p>
        </w:tc>
        <w:tc>
          <w:tcPr>
            <w:tcW w:w="958" w:type="dxa"/>
            <w:tcBorders>
              <w:top w:val="nil"/>
              <w:left w:val="nil"/>
              <w:bottom w:val="single" w:sz="4" w:space="0" w:color="auto"/>
              <w:right w:val="single" w:sz="4" w:space="0" w:color="auto"/>
            </w:tcBorders>
            <w:shd w:val="clear" w:color="auto" w:fill="auto"/>
            <w:noWrap/>
            <w:vAlign w:val="center"/>
            <w:hideMark/>
          </w:tcPr>
          <w:p w14:paraId="5AE78835"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1 004 375</w:t>
            </w:r>
          </w:p>
        </w:tc>
        <w:tc>
          <w:tcPr>
            <w:tcW w:w="958" w:type="dxa"/>
            <w:tcBorders>
              <w:top w:val="nil"/>
              <w:left w:val="nil"/>
              <w:bottom w:val="single" w:sz="4" w:space="0" w:color="auto"/>
              <w:right w:val="single" w:sz="4" w:space="0" w:color="auto"/>
            </w:tcBorders>
            <w:shd w:val="clear" w:color="auto" w:fill="auto"/>
            <w:noWrap/>
            <w:vAlign w:val="center"/>
            <w:hideMark/>
          </w:tcPr>
          <w:p w14:paraId="7F6144C6"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1 005 200</w:t>
            </w:r>
          </w:p>
        </w:tc>
        <w:tc>
          <w:tcPr>
            <w:tcW w:w="958" w:type="dxa"/>
            <w:tcBorders>
              <w:top w:val="nil"/>
              <w:left w:val="nil"/>
              <w:bottom w:val="single" w:sz="4" w:space="0" w:color="auto"/>
              <w:right w:val="single" w:sz="4" w:space="0" w:color="auto"/>
            </w:tcBorders>
            <w:shd w:val="clear" w:color="auto" w:fill="auto"/>
            <w:noWrap/>
            <w:vAlign w:val="center"/>
            <w:hideMark/>
          </w:tcPr>
          <w:p w14:paraId="519869DF"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1 045 325</w:t>
            </w:r>
          </w:p>
        </w:tc>
        <w:tc>
          <w:tcPr>
            <w:tcW w:w="958" w:type="dxa"/>
            <w:tcBorders>
              <w:top w:val="nil"/>
              <w:left w:val="nil"/>
              <w:bottom w:val="single" w:sz="4" w:space="0" w:color="auto"/>
              <w:right w:val="single" w:sz="4" w:space="0" w:color="auto"/>
            </w:tcBorders>
            <w:shd w:val="clear" w:color="auto" w:fill="auto"/>
            <w:noWrap/>
            <w:vAlign w:val="center"/>
            <w:hideMark/>
          </w:tcPr>
          <w:p w14:paraId="5F227949"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1 045 325</w:t>
            </w:r>
          </w:p>
        </w:tc>
        <w:tc>
          <w:tcPr>
            <w:tcW w:w="958" w:type="dxa"/>
            <w:tcBorders>
              <w:top w:val="nil"/>
              <w:left w:val="nil"/>
              <w:bottom w:val="single" w:sz="4" w:space="0" w:color="auto"/>
              <w:right w:val="single" w:sz="4" w:space="0" w:color="auto"/>
            </w:tcBorders>
            <w:shd w:val="clear" w:color="auto" w:fill="auto"/>
            <w:noWrap/>
            <w:vAlign w:val="center"/>
            <w:hideMark/>
          </w:tcPr>
          <w:p w14:paraId="4893C73A" w14:textId="77777777" w:rsidR="005F2654" w:rsidRPr="003C6DA2" w:rsidRDefault="005F2654" w:rsidP="003C6DA2">
            <w:pPr>
              <w:spacing w:after="0" w:line="240" w:lineRule="auto"/>
              <w:jc w:val="center"/>
              <w:rPr>
                <w:color w:val="000000"/>
                <w:sz w:val="16"/>
                <w:szCs w:val="16"/>
              </w:rPr>
            </w:pPr>
            <w:r w:rsidRPr="003C6DA2">
              <w:rPr>
                <w:color w:val="000000"/>
                <w:sz w:val="16"/>
                <w:szCs w:val="16"/>
              </w:rPr>
              <w:t>1 085 450</w:t>
            </w:r>
          </w:p>
        </w:tc>
        <w:tc>
          <w:tcPr>
            <w:tcW w:w="1120" w:type="dxa"/>
            <w:tcBorders>
              <w:top w:val="nil"/>
              <w:left w:val="nil"/>
              <w:bottom w:val="single" w:sz="4" w:space="0" w:color="auto"/>
              <w:right w:val="single" w:sz="4" w:space="0" w:color="auto"/>
            </w:tcBorders>
            <w:shd w:val="clear" w:color="000000" w:fill="F2F2F2"/>
            <w:noWrap/>
            <w:vAlign w:val="center"/>
            <w:hideMark/>
          </w:tcPr>
          <w:p w14:paraId="684ED08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7 072 325</w:t>
            </w:r>
          </w:p>
        </w:tc>
      </w:tr>
      <w:tr w:rsidR="005F2654" w:rsidRPr="00716429" w14:paraId="73129A2E" w14:textId="77777777" w:rsidTr="00EF03B9">
        <w:trPr>
          <w:trHeight w:val="240"/>
        </w:trPr>
        <w:tc>
          <w:tcPr>
            <w:tcW w:w="1780" w:type="dxa"/>
            <w:vMerge/>
            <w:tcBorders>
              <w:top w:val="nil"/>
              <w:left w:val="single" w:sz="4" w:space="0" w:color="auto"/>
              <w:bottom w:val="single" w:sz="4" w:space="0" w:color="auto"/>
              <w:right w:val="single" w:sz="4" w:space="0" w:color="auto"/>
            </w:tcBorders>
            <w:vAlign w:val="center"/>
            <w:hideMark/>
          </w:tcPr>
          <w:p w14:paraId="11B0BDB1" w14:textId="77777777" w:rsidR="005F2654" w:rsidRPr="003C6DA2" w:rsidRDefault="005F2654" w:rsidP="003C6DA2">
            <w:pPr>
              <w:spacing w:after="0" w:line="240" w:lineRule="auto"/>
              <w:jc w:val="center"/>
              <w:rPr>
                <w:b/>
                <w:bCs/>
                <w:color w:val="000000"/>
                <w:sz w:val="16"/>
                <w:szCs w:val="16"/>
              </w:rPr>
            </w:pPr>
          </w:p>
        </w:tc>
        <w:tc>
          <w:tcPr>
            <w:tcW w:w="980" w:type="dxa"/>
            <w:tcBorders>
              <w:top w:val="nil"/>
              <w:left w:val="nil"/>
              <w:bottom w:val="single" w:sz="4" w:space="0" w:color="auto"/>
              <w:right w:val="single" w:sz="4" w:space="0" w:color="auto"/>
            </w:tcBorders>
            <w:shd w:val="clear" w:color="000000" w:fill="F2F2F2"/>
            <w:noWrap/>
            <w:vAlign w:val="center"/>
            <w:hideMark/>
          </w:tcPr>
          <w:p w14:paraId="4469E28D"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2D251E5B"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040A4874"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98A30E2"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6581FE0E"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46FC4284"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56909D37" w14:textId="77777777" w:rsidR="005F2654" w:rsidRPr="003C6DA2" w:rsidRDefault="005F2654" w:rsidP="003C6DA2">
            <w:pPr>
              <w:spacing w:after="0" w:line="240" w:lineRule="auto"/>
              <w:jc w:val="center"/>
              <w:rPr>
                <w:color w:val="0070C0"/>
                <w:sz w:val="16"/>
                <w:szCs w:val="16"/>
              </w:rPr>
            </w:pPr>
            <w:r w:rsidRPr="003C6DA2">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04EC29F7" w14:textId="77777777" w:rsidR="005F2654" w:rsidRPr="003C6DA2" w:rsidRDefault="005F2654" w:rsidP="003C6DA2">
            <w:pPr>
              <w:spacing w:after="0" w:line="240" w:lineRule="auto"/>
              <w:jc w:val="center"/>
              <w:rPr>
                <w:b/>
                <w:bCs/>
                <w:color w:val="0070C0"/>
                <w:sz w:val="16"/>
                <w:szCs w:val="16"/>
              </w:rPr>
            </w:pPr>
            <w:r w:rsidRPr="003C6DA2">
              <w:rPr>
                <w:b/>
                <w:bCs/>
                <w:color w:val="0070C0"/>
                <w:sz w:val="16"/>
                <w:szCs w:val="16"/>
              </w:rPr>
              <w:t>25,00%</w:t>
            </w:r>
          </w:p>
        </w:tc>
      </w:tr>
      <w:tr w:rsidR="005F2654" w:rsidRPr="00716429" w14:paraId="331EE9D8" w14:textId="77777777" w:rsidTr="00EF03B9">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2BB1D26B"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CELKEM</w:t>
            </w:r>
          </w:p>
        </w:tc>
        <w:tc>
          <w:tcPr>
            <w:tcW w:w="980" w:type="dxa"/>
            <w:tcBorders>
              <w:top w:val="nil"/>
              <w:left w:val="nil"/>
              <w:bottom w:val="single" w:sz="4" w:space="0" w:color="auto"/>
              <w:right w:val="single" w:sz="4" w:space="0" w:color="auto"/>
            </w:tcBorders>
            <w:shd w:val="clear" w:color="000000" w:fill="F2F2F2"/>
            <w:noWrap/>
            <w:vAlign w:val="center"/>
            <w:hideMark/>
          </w:tcPr>
          <w:p w14:paraId="5FE22883"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4 916 250</w:t>
            </w:r>
          </w:p>
        </w:tc>
        <w:tc>
          <w:tcPr>
            <w:tcW w:w="958" w:type="dxa"/>
            <w:tcBorders>
              <w:top w:val="nil"/>
              <w:left w:val="nil"/>
              <w:bottom w:val="single" w:sz="4" w:space="0" w:color="auto"/>
              <w:right w:val="single" w:sz="4" w:space="0" w:color="auto"/>
            </w:tcBorders>
            <w:shd w:val="clear" w:color="000000" w:fill="F2F2F2"/>
            <w:noWrap/>
            <w:vAlign w:val="center"/>
            <w:hideMark/>
          </w:tcPr>
          <w:p w14:paraId="02391B09"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4 667 000</w:t>
            </w:r>
          </w:p>
        </w:tc>
        <w:tc>
          <w:tcPr>
            <w:tcW w:w="958" w:type="dxa"/>
            <w:tcBorders>
              <w:top w:val="nil"/>
              <w:left w:val="nil"/>
              <w:bottom w:val="single" w:sz="4" w:space="0" w:color="auto"/>
              <w:right w:val="single" w:sz="4" w:space="0" w:color="auto"/>
            </w:tcBorders>
            <w:shd w:val="clear" w:color="000000" w:fill="F2F2F2"/>
            <w:noWrap/>
            <w:vAlign w:val="center"/>
            <w:hideMark/>
          </w:tcPr>
          <w:p w14:paraId="63CEDBE5"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5 021 875</w:t>
            </w:r>
          </w:p>
        </w:tc>
        <w:tc>
          <w:tcPr>
            <w:tcW w:w="958" w:type="dxa"/>
            <w:tcBorders>
              <w:top w:val="nil"/>
              <w:left w:val="nil"/>
              <w:bottom w:val="single" w:sz="4" w:space="0" w:color="auto"/>
              <w:right w:val="single" w:sz="4" w:space="0" w:color="auto"/>
            </w:tcBorders>
            <w:shd w:val="clear" w:color="000000" w:fill="F2F2F2"/>
            <w:noWrap/>
            <w:vAlign w:val="center"/>
            <w:hideMark/>
          </w:tcPr>
          <w:p w14:paraId="11D6BFCE"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5 026 000</w:t>
            </w:r>
          </w:p>
        </w:tc>
        <w:tc>
          <w:tcPr>
            <w:tcW w:w="958" w:type="dxa"/>
            <w:tcBorders>
              <w:top w:val="nil"/>
              <w:left w:val="nil"/>
              <w:bottom w:val="single" w:sz="4" w:space="0" w:color="auto"/>
              <w:right w:val="single" w:sz="4" w:space="0" w:color="auto"/>
            </w:tcBorders>
            <w:shd w:val="clear" w:color="000000" w:fill="F2F2F2"/>
            <w:noWrap/>
            <w:vAlign w:val="center"/>
            <w:hideMark/>
          </w:tcPr>
          <w:p w14:paraId="7689039F"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5 226 625</w:t>
            </w:r>
          </w:p>
        </w:tc>
        <w:tc>
          <w:tcPr>
            <w:tcW w:w="958" w:type="dxa"/>
            <w:tcBorders>
              <w:top w:val="nil"/>
              <w:left w:val="nil"/>
              <w:bottom w:val="single" w:sz="4" w:space="0" w:color="auto"/>
              <w:right w:val="single" w:sz="4" w:space="0" w:color="auto"/>
            </w:tcBorders>
            <w:shd w:val="clear" w:color="000000" w:fill="F2F2F2"/>
            <w:noWrap/>
            <w:vAlign w:val="center"/>
            <w:hideMark/>
          </w:tcPr>
          <w:p w14:paraId="015CD70A"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5 226 625</w:t>
            </w:r>
          </w:p>
        </w:tc>
        <w:tc>
          <w:tcPr>
            <w:tcW w:w="958" w:type="dxa"/>
            <w:tcBorders>
              <w:top w:val="nil"/>
              <w:left w:val="nil"/>
              <w:bottom w:val="single" w:sz="4" w:space="0" w:color="auto"/>
              <w:right w:val="single" w:sz="4" w:space="0" w:color="auto"/>
            </w:tcBorders>
            <w:shd w:val="clear" w:color="000000" w:fill="F2F2F2"/>
            <w:noWrap/>
            <w:vAlign w:val="center"/>
            <w:hideMark/>
          </w:tcPr>
          <w:p w14:paraId="61B239E0"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5 427 250</w:t>
            </w:r>
          </w:p>
        </w:tc>
        <w:tc>
          <w:tcPr>
            <w:tcW w:w="1120" w:type="dxa"/>
            <w:tcBorders>
              <w:top w:val="nil"/>
              <w:left w:val="nil"/>
              <w:bottom w:val="single" w:sz="4" w:space="0" w:color="auto"/>
              <w:right w:val="single" w:sz="4" w:space="0" w:color="auto"/>
            </w:tcBorders>
            <w:shd w:val="clear" w:color="000000" w:fill="F2F2F2"/>
            <w:noWrap/>
            <w:vAlign w:val="center"/>
            <w:hideMark/>
          </w:tcPr>
          <w:p w14:paraId="0D633CC4" w14:textId="77777777" w:rsidR="005F2654" w:rsidRPr="003C6DA2" w:rsidRDefault="005F2654" w:rsidP="003C6DA2">
            <w:pPr>
              <w:spacing w:after="0" w:line="240" w:lineRule="auto"/>
              <w:jc w:val="center"/>
              <w:rPr>
                <w:b/>
                <w:bCs/>
                <w:color w:val="000000"/>
                <w:sz w:val="16"/>
                <w:szCs w:val="16"/>
              </w:rPr>
            </w:pPr>
            <w:r w:rsidRPr="003C6DA2">
              <w:rPr>
                <w:b/>
                <w:bCs/>
                <w:color w:val="000000"/>
                <w:sz w:val="16"/>
                <w:szCs w:val="16"/>
              </w:rPr>
              <w:t>35 511 625</w:t>
            </w:r>
          </w:p>
        </w:tc>
      </w:tr>
    </w:tbl>
    <w:p w14:paraId="39787BB0" w14:textId="77777777" w:rsidR="004574C2" w:rsidRPr="00760BDB" w:rsidRDefault="004574C2" w:rsidP="004574C2">
      <w:pPr>
        <w:spacing w:before="240" w:after="240" w:line="240" w:lineRule="auto"/>
        <w:jc w:val="both"/>
        <w:rPr>
          <w:b/>
          <w:bCs/>
        </w:rPr>
      </w:pPr>
      <w:r>
        <w:rPr>
          <w:b/>
          <w:bCs/>
        </w:rPr>
        <w:t>Kategorie osobní náklady nebo výdaje</w:t>
      </w:r>
    </w:p>
    <w:p w14:paraId="7C457B32" w14:textId="77777777" w:rsidR="005F2654" w:rsidRDefault="005F2654" w:rsidP="005F2654">
      <w:pPr>
        <w:pStyle w:val="Default"/>
        <w:jc w:val="both"/>
        <w:rPr>
          <w:rFonts w:ascii="Arial" w:hAnsi="Arial" w:cs="Arial"/>
          <w:sz w:val="22"/>
        </w:rPr>
      </w:pPr>
      <w:r w:rsidRPr="009444BA">
        <w:rPr>
          <w:rFonts w:ascii="Arial" w:hAnsi="Arial" w:cs="Arial"/>
          <w:sz w:val="22"/>
        </w:rPr>
        <w:t xml:space="preserve">Náklady v této kategorii představují zejména mzdy kmenových zaměstnanců a zaměstnanců zaměstnaných výhradně na projekt, kteří se budou přímo podílet na aktivitách projektu, </w:t>
      </w:r>
      <w:r>
        <w:rPr>
          <w:rFonts w:ascii="Arial" w:hAnsi="Arial" w:cs="Arial"/>
          <w:sz w:val="22"/>
        </w:rPr>
        <w:t>a to včetně</w:t>
      </w:r>
      <w:r w:rsidRPr="009444BA">
        <w:rPr>
          <w:rFonts w:ascii="Arial" w:hAnsi="Arial" w:cs="Arial"/>
          <w:sz w:val="22"/>
        </w:rPr>
        <w:t xml:space="preserve"> zákonných odvodů zdravotního a sociálního pojištění, náhrad za dovolenou, náhrad za nemoc a osobní překážky v práci nebo </w:t>
      </w:r>
      <w:proofErr w:type="spellStart"/>
      <w:r w:rsidRPr="009444BA">
        <w:rPr>
          <w:rFonts w:ascii="Arial" w:hAnsi="Arial" w:cs="Arial"/>
          <w:sz w:val="22"/>
        </w:rPr>
        <w:t>indispoziční</w:t>
      </w:r>
      <w:proofErr w:type="spellEnd"/>
      <w:r w:rsidRPr="009444BA">
        <w:rPr>
          <w:rFonts w:ascii="Arial" w:hAnsi="Arial" w:cs="Arial"/>
          <w:sz w:val="22"/>
        </w:rPr>
        <w:t xml:space="preserve"> volno a příspěvek do Sociálního fondu a</w:t>
      </w:r>
      <w:r>
        <w:rPr>
          <w:rFonts w:ascii="Arial" w:hAnsi="Arial" w:cs="Arial"/>
          <w:sz w:val="22"/>
        </w:rPr>
        <w:t> </w:t>
      </w:r>
      <w:r w:rsidRPr="009444BA">
        <w:rPr>
          <w:rFonts w:ascii="Arial" w:hAnsi="Arial" w:cs="Arial"/>
          <w:sz w:val="22"/>
        </w:rPr>
        <w:t xml:space="preserve">dále </w:t>
      </w:r>
      <w:r>
        <w:rPr>
          <w:rFonts w:ascii="Arial" w:hAnsi="Arial" w:cs="Arial"/>
          <w:sz w:val="22"/>
        </w:rPr>
        <w:t xml:space="preserve">také </w:t>
      </w:r>
      <w:r w:rsidRPr="009444BA">
        <w:rPr>
          <w:rFonts w:ascii="Arial" w:hAnsi="Arial" w:cs="Arial"/>
          <w:sz w:val="22"/>
        </w:rPr>
        <w:t>doplňkově odměny externím odborníkům (dohody o provedení práce), kteří budou zabezpečovat externí expertní práce např. prostřednictvím vystoupení na akcích.</w:t>
      </w:r>
    </w:p>
    <w:p w14:paraId="10943337" w14:textId="77777777" w:rsidR="005F2654" w:rsidRPr="009444BA" w:rsidRDefault="005F2654" w:rsidP="005F2654">
      <w:pPr>
        <w:pStyle w:val="Default"/>
        <w:jc w:val="both"/>
        <w:rPr>
          <w:rFonts w:ascii="Arial" w:hAnsi="Arial" w:cs="Arial"/>
          <w:sz w:val="22"/>
        </w:rPr>
      </w:pPr>
    </w:p>
    <w:p w14:paraId="207D76CF" w14:textId="77777777" w:rsidR="005F2654" w:rsidRDefault="005F2654" w:rsidP="005F2654">
      <w:pPr>
        <w:spacing w:after="0" w:line="240" w:lineRule="auto"/>
        <w:jc w:val="both"/>
        <w:rPr>
          <w:rFonts w:eastAsiaTheme="minorHAnsi"/>
          <w:color w:val="000000"/>
          <w:szCs w:val="24"/>
          <w:lang w:eastAsia="en-US"/>
        </w:rPr>
      </w:pPr>
      <w:r w:rsidRPr="009444BA">
        <w:rPr>
          <w:rFonts w:eastAsiaTheme="minorHAnsi"/>
          <w:color w:val="000000"/>
          <w:szCs w:val="24"/>
          <w:lang w:eastAsia="en-US"/>
        </w:rPr>
        <w:t>Při aktivitách na projektu se počítá s úvazky na projektu ve výši 5,0 FTE v roce 2021, v roce 2022 ve výši 4,9 FTE a od roku 2023 ve výši 5,0 FTE.</w:t>
      </w:r>
    </w:p>
    <w:p w14:paraId="7A9C196C" w14:textId="77777777" w:rsidR="005F2654" w:rsidRDefault="005F2654" w:rsidP="005F2654">
      <w:pPr>
        <w:spacing w:before="240" w:after="240" w:line="240" w:lineRule="auto"/>
        <w:jc w:val="both"/>
        <w:rPr>
          <w:b/>
          <w:bCs/>
        </w:rPr>
      </w:pPr>
      <w:r>
        <w:rPr>
          <w:b/>
          <w:bCs/>
        </w:rPr>
        <w:t>Kategorie náklady nebo výdaje na pořízení hmotného a nehmotného majetku</w:t>
      </w:r>
    </w:p>
    <w:p w14:paraId="51883719" w14:textId="77777777" w:rsidR="005F2654" w:rsidRPr="003A023A" w:rsidRDefault="005F2654" w:rsidP="005F2654">
      <w:pPr>
        <w:spacing w:before="240" w:after="240" w:line="240" w:lineRule="auto"/>
        <w:jc w:val="both"/>
        <w:rPr>
          <w:b/>
          <w:bCs/>
        </w:rPr>
      </w:pPr>
      <w:r>
        <w:t>Investiční náklady budou dedikovány na úpravu webových stránek a vytvoření webové stránky pro genderové otázky FP9.</w:t>
      </w:r>
    </w:p>
    <w:p w14:paraId="71B6A574" w14:textId="77777777" w:rsidR="005F2654" w:rsidRDefault="005F2654" w:rsidP="005F2654">
      <w:pPr>
        <w:spacing w:before="240" w:after="240" w:line="240" w:lineRule="auto"/>
        <w:jc w:val="both"/>
        <w:rPr>
          <w:b/>
          <w:bCs/>
        </w:rPr>
      </w:pPr>
      <w:r w:rsidRPr="001C3E82">
        <w:rPr>
          <w:b/>
          <w:bCs/>
        </w:rPr>
        <w:lastRenderedPageBreak/>
        <w:t>K</w:t>
      </w:r>
      <w:r>
        <w:rPr>
          <w:b/>
          <w:bCs/>
        </w:rPr>
        <w:t>ategorie provozní náklady nebo výdaje, náklady nebo výdaje na služby</w:t>
      </w:r>
    </w:p>
    <w:p w14:paraId="06F63826" w14:textId="77777777" w:rsidR="005F2654" w:rsidRDefault="005F2654" w:rsidP="005F2654">
      <w:pPr>
        <w:spacing w:before="240" w:after="240" w:line="240" w:lineRule="auto"/>
        <w:jc w:val="both"/>
        <w:rPr>
          <w:bCs/>
        </w:rPr>
      </w:pPr>
      <w:r w:rsidRPr="00716429">
        <w:rPr>
          <w:bCs/>
        </w:rPr>
        <w:t>Tuto kategorii představují:</w:t>
      </w:r>
    </w:p>
    <w:p w14:paraId="2ED4B796" w14:textId="77777777" w:rsidR="005F2654" w:rsidRPr="00517C32" w:rsidRDefault="005F2654" w:rsidP="005F2654">
      <w:pPr>
        <w:spacing w:before="240" w:after="240" w:line="240" w:lineRule="auto"/>
        <w:jc w:val="both"/>
        <w:rPr>
          <w:bCs/>
          <w:u w:val="single"/>
        </w:rPr>
      </w:pPr>
      <w:r w:rsidRPr="00517C32">
        <w:rPr>
          <w:bCs/>
          <w:u w:val="single"/>
        </w:rPr>
        <w:t>Ostatní běžné výdaje a služby:</w:t>
      </w:r>
    </w:p>
    <w:p w14:paraId="3193CEA8" w14:textId="77777777" w:rsidR="005F2654" w:rsidRDefault="005F2654" w:rsidP="005F2654">
      <w:pPr>
        <w:spacing w:after="0" w:line="240" w:lineRule="auto"/>
        <w:jc w:val="both"/>
      </w:pPr>
      <w:r>
        <w:t>Tato položka je určena na nákup materiálu, zboží a podpůrných služeb, které jsou nezbytné pro plnění projektových cílů. Zejména se bude jednat o zajištění školení, seminářů a konferencí věnované problematice ERA a především rámcovému programu Horizontu Evropa.</w:t>
      </w:r>
    </w:p>
    <w:p w14:paraId="0E6BE2B8" w14:textId="77777777" w:rsidR="005F2654" w:rsidRDefault="005F2654" w:rsidP="005F2654">
      <w:pPr>
        <w:spacing w:after="0" w:line="240" w:lineRule="auto"/>
        <w:jc w:val="both"/>
      </w:pPr>
    </w:p>
    <w:p w14:paraId="5BE55E98" w14:textId="77777777" w:rsidR="005F2654" w:rsidRDefault="005F2654" w:rsidP="005F2654">
      <w:pPr>
        <w:spacing w:after="0" w:line="240" w:lineRule="auto"/>
        <w:jc w:val="both"/>
      </w:pPr>
      <w:r>
        <w:t xml:space="preserve">Do kategorie náleží i náklady na správu odborných webových portálů, kde jsou zveřejňovány aktuality o aktivitách, náklady na organizaci </w:t>
      </w:r>
      <w:proofErr w:type="spellStart"/>
      <w:r>
        <w:t>webinářů</w:t>
      </w:r>
      <w:proofErr w:type="spellEnd"/>
      <w:r>
        <w:t xml:space="preserve"> a telekonferencí a náklady na správu a </w:t>
      </w:r>
      <w:proofErr w:type="spellStart"/>
      <w:r>
        <w:t>hosting</w:t>
      </w:r>
      <w:proofErr w:type="spellEnd"/>
      <w:r>
        <w:t xml:space="preserve"> odborných webů.</w:t>
      </w:r>
    </w:p>
    <w:p w14:paraId="096ADE70" w14:textId="77777777" w:rsidR="005F2654" w:rsidRDefault="005F2654" w:rsidP="005F2654">
      <w:pPr>
        <w:spacing w:after="0" w:line="240" w:lineRule="auto"/>
        <w:jc w:val="both"/>
      </w:pPr>
    </w:p>
    <w:p w14:paraId="63E433C5" w14:textId="77777777" w:rsidR="005F2654" w:rsidRDefault="005F2654" w:rsidP="005F2654">
      <w:pPr>
        <w:spacing w:after="0" w:line="240" w:lineRule="auto"/>
        <w:jc w:val="both"/>
      </w:pPr>
      <w:r>
        <w:t xml:space="preserve">Další náklady jsou spojeny s vydáváním odborného </w:t>
      </w:r>
      <w:proofErr w:type="spellStart"/>
      <w:r w:rsidRPr="00291519">
        <w:t>newsletteru</w:t>
      </w:r>
      <w:proofErr w:type="spellEnd"/>
      <w:r>
        <w:t>, informačních brožur a letáků a jejich distribuci a propagaci. Konečně položka bude též pokrývat případné konferenční poplatky na účast na relevantních konferencích (viz cestovné níže).</w:t>
      </w:r>
    </w:p>
    <w:p w14:paraId="44A2F88A" w14:textId="77777777" w:rsidR="005F2654" w:rsidRPr="00517C32" w:rsidRDefault="005F2654" w:rsidP="005F2654">
      <w:pPr>
        <w:spacing w:before="240" w:after="240" w:line="240" w:lineRule="auto"/>
        <w:jc w:val="both"/>
        <w:rPr>
          <w:bCs/>
          <w:u w:val="single"/>
        </w:rPr>
      </w:pPr>
      <w:r w:rsidRPr="00517C32">
        <w:rPr>
          <w:bCs/>
          <w:u w:val="single"/>
        </w:rPr>
        <w:t>Cestovné:</w:t>
      </w:r>
    </w:p>
    <w:p w14:paraId="3B259628" w14:textId="69D6D3EC" w:rsidR="005F2654" w:rsidRPr="00B60CFB" w:rsidRDefault="005F2654" w:rsidP="005F2654">
      <w:pPr>
        <w:spacing w:before="240" w:after="240" w:line="240" w:lineRule="auto"/>
        <w:jc w:val="both"/>
        <w:rPr>
          <w:bCs/>
        </w:rPr>
      </w:pPr>
      <w:r>
        <w:t>Tato k</w:t>
      </w:r>
      <w:r w:rsidRPr="00895B63">
        <w:t>ategorie pokrývá náklady na cestovné zaměstnanců</w:t>
      </w:r>
      <w:r>
        <w:t>, a to včetně</w:t>
      </w:r>
      <w:r w:rsidRPr="00895B63">
        <w:t xml:space="preserve"> zákonného stravného a kapesného </w:t>
      </w:r>
      <w:r>
        <w:t>po</w:t>
      </w:r>
      <w:r w:rsidR="00DF5D41">
        <w:t>dle zákoníku</w:t>
      </w:r>
      <w:r w:rsidRPr="00895B63">
        <w:t xml:space="preserve"> práce a </w:t>
      </w:r>
      <w:r>
        <w:t>nezbytných</w:t>
      </w:r>
      <w:r w:rsidRPr="00895B63">
        <w:t xml:space="preserve"> vedlejších výdajů ve schváleném cestovním výkazu a cestovního připojištění. Počítá se s náklady na dopravu (</w:t>
      </w:r>
      <w:r>
        <w:t xml:space="preserve">tzn., </w:t>
      </w:r>
      <w:r w:rsidRPr="00895B63">
        <w:t xml:space="preserve">letenky, autobus, vlak, MHD a v odůvodněných případech </w:t>
      </w:r>
      <w:r>
        <w:t>také taxi</w:t>
      </w:r>
      <w:r w:rsidRPr="00895B63">
        <w:t xml:space="preserve">), </w:t>
      </w:r>
      <w:r>
        <w:t xml:space="preserve">případným ubytováním </w:t>
      </w:r>
      <w:r w:rsidRPr="00895B63">
        <w:t>a zahraničními dietami</w:t>
      </w:r>
      <w:r>
        <w:t>.</w:t>
      </w:r>
      <w:r w:rsidRPr="00895B63">
        <w:t xml:space="preserve"> Při pracovních cestách je všem zaměstnancům vypláceno stravné v souladu se zákonem č.</w:t>
      </w:r>
      <w:r>
        <w:t xml:space="preserve"> 262/2006 Sb., </w:t>
      </w:r>
      <w:r w:rsidRPr="00895B63">
        <w:t>zákoník práce</w:t>
      </w:r>
      <w:r>
        <w:t>, v platném znění</w:t>
      </w:r>
      <w:r w:rsidRPr="00895B63">
        <w:t xml:space="preserve"> a při z</w:t>
      </w:r>
      <w:r>
        <w:t>ahraničních pracovních cestách rovněž</w:t>
      </w:r>
      <w:r w:rsidRPr="00895B63">
        <w:t xml:space="preserve"> zákonné kapesné, které je součástí cestovních nákladů.</w:t>
      </w:r>
      <w:r>
        <w:t xml:space="preserve"> </w:t>
      </w:r>
      <w:r w:rsidRPr="00895B63">
        <w:t xml:space="preserve">Většina </w:t>
      </w:r>
      <w:r>
        <w:t xml:space="preserve">ze </w:t>
      </w:r>
      <w:r w:rsidRPr="00895B63">
        <w:t xml:space="preserve">zahraničních cest bude </w:t>
      </w:r>
      <w:r>
        <w:t xml:space="preserve">realizována </w:t>
      </w:r>
      <w:r w:rsidRPr="00895B63">
        <w:t>v rámci Evropy,</w:t>
      </w:r>
      <w:r>
        <w:t xml:space="preserve"> některé do třetích zemí.</w:t>
      </w:r>
    </w:p>
    <w:p w14:paraId="2BFE5612" w14:textId="77777777" w:rsidR="005F2654" w:rsidRPr="001C3E82" w:rsidRDefault="005F2654" w:rsidP="005F2654">
      <w:pPr>
        <w:spacing w:before="240" w:after="240" w:line="240" w:lineRule="auto"/>
        <w:jc w:val="both"/>
        <w:rPr>
          <w:b/>
          <w:bCs/>
        </w:rPr>
      </w:pPr>
      <w:r>
        <w:rPr>
          <w:b/>
          <w:bCs/>
        </w:rPr>
        <w:t>Kategorie doplňkové náklady nebo výdaje (režie)</w:t>
      </w:r>
    </w:p>
    <w:p w14:paraId="5738CCB3" w14:textId="77777777" w:rsidR="005F2654" w:rsidRDefault="005F2654" w:rsidP="005F2654">
      <w:pPr>
        <w:spacing w:after="0" w:line="240" w:lineRule="auto"/>
        <w:jc w:val="both"/>
      </w:pPr>
      <w:r>
        <w:t xml:space="preserve">Z této položky budou hrazeny náklady, které představují nezbytné náklady spojené s realizací projektu. </w:t>
      </w:r>
      <w:r w:rsidRPr="00895B63">
        <w:t>Re</w:t>
      </w:r>
      <w:r>
        <w:t>žijní náklady jsou rozpočtovány metodou</w:t>
      </w:r>
      <w:r w:rsidRPr="00895B63">
        <w:t xml:space="preserve">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tzn., bez investic). Jedná se o náklady na nájem kanceláře, vodné, stočné, paliva a energie, úklid, údržba, ostraha, telefony, IT služby apod.</w:t>
      </w:r>
    </w:p>
    <w:p w14:paraId="481D8E88" w14:textId="77777777" w:rsidR="005F2654" w:rsidRPr="00D120A5" w:rsidRDefault="005F2654" w:rsidP="005F2654">
      <w:pPr>
        <w:spacing w:before="240" w:after="240" w:line="240" w:lineRule="auto"/>
        <w:jc w:val="both"/>
        <w:rPr>
          <w:b/>
          <w:sz w:val="24"/>
        </w:rPr>
      </w:pPr>
      <w:r w:rsidRPr="00D120A5">
        <w:rPr>
          <w:b/>
          <w:sz w:val="24"/>
        </w:rPr>
        <w:t xml:space="preserve">Rozpočet dalšího účastníka: Středisko společných činností AV ČR, </w:t>
      </w:r>
      <w:proofErr w:type="spellStart"/>
      <w:proofErr w:type="gramStart"/>
      <w:r w:rsidRPr="00D120A5">
        <w:rPr>
          <w:b/>
          <w:sz w:val="24"/>
        </w:rPr>
        <w:t>v.v.</w:t>
      </w:r>
      <w:proofErr w:type="gramEnd"/>
      <w:r w:rsidRPr="00D120A5">
        <w:rPr>
          <w:b/>
          <w:sz w:val="24"/>
        </w:rPr>
        <w:t>i</w:t>
      </w:r>
      <w:proofErr w:type="spellEnd"/>
      <w:r w:rsidRPr="00D120A5">
        <w:rPr>
          <w:b/>
          <w:sz w:val="24"/>
        </w:rPr>
        <w:t>.</w:t>
      </w:r>
    </w:p>
    <w:p w14:paraId="30F1C3AF" w14:textId="77777777" w:rsidR="005F2654" w:rsidRPr="00D120A5" w:rsidRDefault="005F2654" w:rsidP="005F2654">
      <w:pPr>
        <w:spacing w:line="240" w:lineRule="auto"/>
        <w:jc w:val="both"/>
        <w:rPr>
          <w:b/>
          <w:sz w:val="24"/>
        </w:rPr>
      </w:pPr>
      <w:r w:rsidRPr="00D120A5">
        <w:rPr>
          <w:b/>
          <w:bCs/>
          <w:color w:val="000000"/>
        </w:rPr>
        <w:t>Náklady</w:t>
      </w:r>
      <w:r>
        <w:rPr>
          <w:b/>
          <w:bCs/>
          <w:color w:val="000000"/>
        </w:rPr>
        <w:t xml:space="preserve"> </w:t>
      </w:r>
      <w:r w:rsidRPr="00D120A5">
        <w:rPr>
          <w:b/>
          <w:bCs/>
          <w:color w:val="000000"/>
        </w:rPr>
        <w:t>/</w:t>
      </w:r>
      <w:r>
        <w:rPr>
          <w:b/>
          <w:bCs/>
          <w:color w:val="000000"/>
        </w:rPr>
        <w:t xml:space="preserve"> </w:t>
      </w:r>
      <w:r w:rsidRPr="00D120A5">
        <w:rPr>
          <w:b/>
          <w:bCs/>
          <w:color w:val="000000"/>
        </w:rPr>
        <w:t>výdaje v jednotlivých letech v Kč</w:t>
      </w:r>
    </w:p>
    <w:tbl>
      <w:tblPr>
        <w:tblW w:w="9639" w:type="dxa"/>
        <w:tblCellMar>
          <w:left w:w="70" w:type="dxa"/>
          <w:right w:w="70" w:type="dxa"/>
        </w:tblCellMar>
        <w:tblLook w:val="04A0" w:firstRow="1" w:lastRow="0" w:firstColumn="1" w:lastColumn="0" w:noHBand="0" w:noVBand="1"/>
      </w:tblPr>
      <w:tblGrid>
        <w:gridCol w:w="1780"/>
        <w:gridCol w:w="981"/>
        <w:gridCol w:w="958"/>
        <w:gridCol w:w="960"/>
        <w:gridCol w:w="960"/>
        <w:gridCol w:w="960"/>
        <w:gridCol w:w="960"/>
        <w:gridCol w:w="960"/>
        <w:gridCol w:w="1120"/>
      </w:tblGrid>
      <w:tr w:rsidR="00440DCB" w:rsidRPr="00440DCB" w14:paraId="71DFDAAC" w14:textId="77777777" w:rsidTr="00440DCB">
        <w:trPr>
          <w:trHeight w:val="300"/>
        </w:trPr>
        <w:tc>
          <w:tcPr>
            <w:tcW w:w="1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1D13381"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Kategorie / Rok</w:t>
            </w:r>
          </w:p>
        </w:tc>
        <w:tc>
          <w:tcPr>
            <w:tcW w:w="981" w:type="dxa"/>
            <w:tcBorders>
              <w:top w:val="single" w:sz="4" w:space="0" w:color="auto"/>
              <w:left w:val="nil"/>
              <w:bottom w:val="single" w:sz="4" w:space="0" w:color="auto"/>
              <w:right w:val="single" w:sz="4" w:space="0" w:color="auto"/>
            </w:tcBorders>
            <w:shd w:val="clear" w:color="000000" w:fill="F2F2F2"/>
            <w:noWrap/>
            <w:vAlign w:val="center"/>
            <w:hideMark/>
          </w:tcPr>
          <w:p w14:paraId="31B1D3C0"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2021</w:t>
            </w:r>
          </w:p>
        </w:tc>
        <w:tc>
          <w:tcPr>
            <w:tcW w:w="958" w:type="dxa"/>
            <w:tcBorders>
              <w:top w:val="single" w:sz="4" w:space="0" w:color="auto"/>
              <w:left w:val="nil"/>
              <w:bottom w:val="single" w:sz="4" w:space="0" w:color="auto"/>
              <w:right w:val="single" w:sz="4" w:space="0" w:color="auto"/>
            </w:tcBorders>
            <w:shd w:val="clear" w:color="000000" w:fill="F2F2F2"/>
            <w:noWrap/>
            <w:vAlign w:val="center"/>
            <w:hideMark/>
          </w:tcPr>
          <w:p w14:paraId="0E153835"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2022</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5F19F95B"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2023</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280096E"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2024</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4F66D9F"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2025</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7CD82A20"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2026</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0BD51BC2"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2027</w:t>
            </w:r>
          </w:p>
        </w:tc>
        <w:tc>
          <w:tcPr>
            <w:tcW w:w="1120" w:type="dxa"/>
            <w:tcBorders>
              <w:top w:val="single" w:sz="4" w:space="0" w:color="auto"/>
              <w:left w:val="nil"/>
              <w:bottom w:val="single" w:sz="4" w:space="0" w:color="auto"/>
              <w:right w:val="single" w:sz="4" w:space="0" w:color="auto"/>
            </w:tcBorders>
            <w:shd w:val="clear" w:color="000000" w:fill="F2F2F2"/>
            <w:noWrap/>
            <w:vAlign w:val="center"/>
            <w:hideMark/>
          </w:tcPr>
          <w:p w14:paraId="09969BB3" w14:textId="77777777" w:rsidR="00440DCB" w:rsidRPr="00440DCB" w:rsidRDefault="00440DCB" w:rsidP="00440DCB">
            <w:pPr>
              <w:spacing w:after="0" w:line="240" w:lineRule="auto"/>
              <w:jc w:val="center"/>
              <w:rPr>
                <w:b/>
                <w:bCs/>
                <w:color w:val="000000"/>
                <w:sz w:val="16"/>
                <w:szCs w:val="16"/>
              </w:rPr>
            </w:pPr>
            <w:r w:rsidRPr="00440DCB">
              <w:rPr>
                <w:b/>
                <w:bCs/>
                <w:color w:val="000000"/>
                <w:sz w:val="16"/>
                <w:szCs w:val="16"/>
              </w:rPr>
              <w:t>CELKEM</w:t>
            </w:r>
          </w:p>
        </w:tc>
      </w:tr>
      <w:tr w:rsidR="005F2654" w:rsidRPr="00716429" w14:paraId="075B4F8E" w14:textId="77777777" w:rsidTr="00440DCB">
        <w:trPr>
          <w:trHeight w:val="48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09F411A6"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 xml:space="preserve">1. Osobní náklady </w:t>
            </w:r>
            <w:r w:rsidRPr="00440DCB">
              <w:rPr>
                <w:b/>
                <w:bCs/>
                <w:color w:val="000000"/>
                <w:sz w:val="16"/>
                <w:szCs w:val="16"/>
              </w:rPr>
              <w:br/>
              <w:t>nebo výdaje</w:t>
            </w:r>
          </w:p>
        </w:tc>
        <w:tc>
          <w:tcPr>
            <w:tcW w:w="981" w:type="dxa"/>
            <w:tcBorders>
              <w:top w:val="nil"/>
              <w:left w:val="nil"/>
              <w:bottom w:val="single" w:sz="4" w:space="0" w:color="auto"/>
              <w:right w:val="single" w:sz="4" w:space="0" w:color="auto"/>
            </w:tcBorders>
            <w:shd w:val="clear" w:color="auto" w:fill="auto"/>
            <w:noWrap/>
            <w:vAlign w:val="center"/>
            <w:hideMark/>
          </w:tcPr>
          <w:p w14:paraId="7355C127" w14:textId="77777777" w:rsidR="005F2654" w:rsidRPr="00440DCB" w:rsidRDefault="005F2654" w:rsidP="00440DCB">
            <w:pPr>
              <w:spacing w:after="0" w:line="240" w:lineRule="auto"/>
              <w:jc w:val="center"/>
              <w:rPr>
                <w:color w:val="000000"/>
                <w:sz w:val="16"/>
                <w:szCs w:val="16"/>
              </w:rPr>
            </w:pPr>
            <w:r w:rsidRPr="00440DCB">
              <w:rPr>
                <w:color w:val="000000"/>
                <w:sz w:val="16"/>
                <w:szCs w:val="16"/>
              </w:rPr>
              <w:t>556 101</w:t>
            </w:r>
          </w:p>
        </w:tc>
        <w:tc>
          <w:tcPr>
            <w:tcW w:w="958" w:type="dxa"/>
            <w:tcBorders>
              <w:top w:val="nil"/>
              <w:left w:val="nil"/>
              <w:bottom w:val="single" w:sz="4" w:space="0" w:color="auto"/>
              <w:right w:val="single" w:sz="4" w:space="0" w:color="auto"/>
            </w:tcBorders>
            <w:shd w:val="clear" w:color="auto" w:fill="auto"/>
            <w:noWrap/>
            <w:vAlign w:val="center"/>
            <w:hideMark/>
          </w:tcPr>
          <w:p w14:paraId="3BDFE9AF" w14:textId="77777777" w:rsidR="005F2654" w:rsidRPr="00440DCB" w:rsidRDefault="005F2654" w:rsidP="00440DCB">
            <w:pPr>
              <w:spacing w:after="0" w:line="240" w:lineRule="auto"/>
              <w:jc w:val="center"/>
              <w:rPr>
                <w:color w:val="000000"/>
                <w:sz w:val="16"/>
                <w:szCs w:val="16"/>
              </w:rPr>
            </w:pPr>
            <w:r w:rsidRPr="00440DCB">
              <w:rPr>
                <w:color w:val="000000"/>
                <w:sz w:val="16"/>
                <w:szCs w:val="16"/>
              </w:rPr>
              <w:t>534 475</w:t>
            </w:r>
          </w:p>
        </w:tc>
        <w:tc>
          <w:tcPr>
            <w:tcW w:w="960" w:type="dxa"/>
            <w:tcBorders>
              <w:top w:val="nil"/>
              <w:left w:val="nil"/>
              <w:bottom w:val="single" w:sz="4" w:space="0" w:color="auto"/>
              <w:right w:val="single" w:sz="4" w:space="0" w:color="auto"/>
            </w:tcBorders>
            <w:shd w:val="clear" w:color="auto" w:fill="auto"/>
            <w:noWrap/>
            <w:vAlign w:val="center"/>
            <w:hideMark/>
          </w:tcPr>
          <w:p w14:paraId="1814A37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4 378 193</w:t>
            </w:r>
          </w:p>
        </w:tc>
        <w:tc>
          <w:tcPr>
            <w:tcW w:w="960" w:type="dxa"/>
            <w:tcBorders>
              <w:top w:val="nil"/>
              <w:left w:val="nil"/>
              <w:bottom w:val="single" w:sz="4" w:space="0" w:color="auto"/>
              <w:right w:val="single" w:sz="4" w:space="0" w:color="auto"/>
            </w:tcBorders>
            <w:shd w:val="clear" w:color="auto" w:fill="auto"/>
            <w:noWrap/>
            <w:vAlign w:val="center"/>
            <w:hideMark/>
          </w:tcPr>
          <w:p w14:paraId="6ACEB063"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4 554 732</w:t>
            </w:r>
          </w:p>
        </w:tc>
        <w:tc>
          <w:tcPr>
            <w:tcW w:w="960" w:type="dxa"/>
            <w:tcBorders>
              <w:top w:val="nil"/>
              <w:left w:val="nil"/>
              <w:bottom w:val="single" w:sz="4" w:space="0" w:color="auto"/>
              <w:right w:val="single" w:sz="4" w:space="0" w:color="auto"/>
            </w:tcBorders>
            <w:shd w:val="clear" w:color="auto" w:fill="auto"/>
            <w:noWrap/>
            <w:vAlign w:val="center"/>
            <w:hideMark/>
          </w:tcPr>
          <w:p w14:paraId="1651C8B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4 554 732</w:t>
            </w:r>
          </w:p>
        </w:tc>
        <w:tc>
          <w:tcPr>
            <w:tcW w:w="960" w:type="dxa"/>
            <w:tcBorders>
              <w:top w:val="nil"/>
              <w:left w:val="nil"/>
              <w:bottom w:val="single" w:sz="4" w:space="0" w:color="auto"/>
              <w:right w:val="single" w:sz="4" w:space="0" w:color="auto"/>
            </w:tcBorders>
            <w:shd w:val="clear" w:color="auto" w:fill="auto"/>
            <w:noWrap/>
            <w:vAlign w:val="center"/>
            <w:hideMark/>
          </w:tcPr>
          <w:p w14:paraId="5A8DECF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4 660 656</w:t>
            </w:r>
          </w:p>
        </w:tc>
        <w:tc>
          <w:tcPr>
            <w:tcW w:w="960" w:type="dxa"/>
            <w:tcBorders>
              <w:top w:val="nil"/>
              <w:left w:val="nil"/>
              <w:bottom w:val="single" w:sz="4" w:space="0" w:color="auto"/>
              <w:right w:val="single" w:sz="4" w:space="0" w:color="auto"/>
            </w:tcBorders>
            <w:shd w:val="clear" w:color="auto" w:fill="auto"/>
            <w:noWrap/>
            <w:vAlign w:val="center"/>
            <w:hideMark/>
          </w:tcPr>
          <w:p w14:paraId="11C8D3C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4 660 656</w:t>
            </w:r>
          </w:p>
        </w:tc>
        <w:tc>
          <w:tcPr>
            <w:tcW w:w="1120" w:type="dxa"/>
            <w:tcBorders>
              <w:top w:val="nil"/>
              <w:left w:val="nil"/>
              <w:bottom w:val="single" w:sz="4" w:space="0" w:color="auto"/>
              <w:right w:val="single" w:sz="4" w:space="0" w:color="auto"/>
            </w:tcBorders>
            <w:shd w:val="clear" w:color="000000" w:fill="F2F2F2"/>
            <w:noWrap/>
            <w:vAlign w:val="center"/>
            <w:hideMark/>
          </w:tcPr>
          <w:p w14:paraId="6071C339"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23 899 545</w:t>
            </w:r>
          </w:p>
        </w:tc>
      </w:tr>
      <w:tr w:rsidR="005F2654" w:rsidRPr="00716429" w14:paraId="4C426FE6" w14:textId="77777777" w:rsidTr="00440DCB">
        <w:trPr>
          <w:trHeight w:val="96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5507B900" w14:textId="77777777" w:rsidR="005F2654" w:rsidRPr="00440DCB" w:rsidRDefault="005F2654" w:rsidP="00440DCB">
            <w:pPr>
              <w:spacing w:after="0" w:line="240" w:lineRule="auto"/>
              <w:jc w:val="center"/>
              <w:rPr>
                <w:b/>
                <w:bCs/>
                <w:sz w:val="16"/>
                <w:szCs w:val="16"/>
              </w:rPr>
            </w:pPr>
            <w:r w:rsidRPr="00440DCB">
              <w:rPr>
                <w:b/>
                <w:bCs/>
                <w:sz w:val="16"/>
                <w:szCs w:val="16"/>
              </w:rPr>
              <w:t>2. Náklady nebo výdaje na pořízení hmotného a nehmotného majetku</w:t>
            </w:r>
          </w:p>
        </w:tc>
        <w:tc>
          <w:tcPr>
            <w:tcW w:w="981" w:type="dxa"/>
            <w:tcBorders>
              <w:top w:val="nil"/>
              <w:left w:val="nil"/>
              <w:bottom w:val="single" w:sz="4" w:space="0" w:color="auto"/>
              <w:right w:val="single" w:sz="4" w:space="0" w:color="auto"/>
            </w:tcBorders>
            <w:shd w:val="clear" w:color="auto" w:fill="auto"/>
            <w:noWrap/>
            <w:vAlign w:val="center"/>
            <w:hideMark/>
          </w:tcPr>
          <w:p w14:paraId="24511A9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56766B79"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805DF85"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345CADA2"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627E022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7259E5D"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1939037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1120" w:type="dxa"/>
            <w:tcBorders>
              <w:top w:val="nil"/>
              <w:left w:val="nil"/>
              <w:bottom w:val="single" w:sz="4" w:space="0" w:color="auto"/>
              <w:right w:val="single" w:sz="4" w:space="0" w:color="auto"/>
            </w:tcBorders>
            <w:shd w:val="clear" w:color="000000" w:fill="F2F2F2"/>
            <w:noWrap/>
            <w:vAlign w:val="center"/>
            <w:hideMark/>
          </w:tcPr>
          <w:p w14:paraId="3B47CAF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0</w:t>
            </w:r>
          </w:p>
        </w:tc>
      </w:tr>
      <w:tr w:rsidR="005F2654" w:rsidRPr="00716429" w14:paraId="557C9E92" w14:textId="77777777" w:rsidTr="00440DCB">
        <w:trPr>
          <w:trHeight w:val="720"/>
        </w:trPr>
        <w:tc>
          <w:tcPr>
            <w:tcW w:w="1780" w:type="dxa"/>
            <w:tcBorders>
              <w:top w:val="nil"/>
              <w:left w:val="single" w:sz="4" w:space="0" w:color="auto"/>
              <w:bottom w:val="single" w:sz="4" w:space="0" w:color="auto"/>
              <w:right w:val="single" w:sz="4" w:space="0" w:color="auto"/>
            </w:tcBorders>
            <w:shd w:val="clear" w:color="000000" w:fill="F2F2F2"/>
            <w:vAlign w:val="center"/>
            <w:hideMark/>
          </w:tcPr>
          <w:p w14:paraId="2BCBA24C" w14:textId="77777777" w:rsidR="005F2654" w:rsidRPr="00440DCB" w:rsidRDefault="005F2654" w:rsidP="00440DCB">
            <w:pPr>
              <w:spacing w:after="0" w:line="240" w:lineRule="auto"/>
              <w:jc w:val="center"/>
              <w:rPr>
                <w:b/>
                <w:bCs/>
                <w:sz w:val="16"/>
                <w:szCs w:val="16"/>
              </w:rPr>
            </w:pPr>
            <w:r w:rsidRPr="00440DCB">
              <w:rPr>
                <w:b/>
                <w:bCs/>
                <w:sz w:val="16"/>
                <w:szCs w:val="16"/>
              </w:rPr>
              <w:t>3. Provozní náklady nebo výdaje, náklady nebo výdaje na služby</w:t>
            </w:r>
          </w:p>
        </w:tc>
        <w:tc>
          <w:tcPr>
            <w:tcW w:w="981" w:type="dxa"/>
            <w:tcBorders>
              <w:top w:val="nil"/>
              <w:left w:val="nil"/>
              <w:bottom w:val="single" w:sz="4" w:space="0" w:color="auto"/>
              <w:right w:val="single" w:sz="4" w:space="0" w:color="auto"/>
            </w:tcBorders>
            <w:shd w:val="clear" w:color="auto" w:fill="auto"/>
            <w:noWrap/>
            <w:vAlign w:val="center"/>
            <w:hideMark/>
          </w:tcPr>
          <w:p w14:paraId="3E1E0BFC"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14:paraId="21BE9C3D" w14:textId="77777777" w:rsidR="005F2654" w:rsidRPr="00440DCB" w:rsidRDefault="005F2654" w:rsidP="00440DCB">
            <w:pPr>
              <w:spacing w:after="0" w:line="240" w:lineRule="auto"/>
              <w:jc w:val="center"/>
              <w:rPr>
                <w:color w:val="000000"/>
                <w:sz w:val="16"/>
                <w:szCs w:val="16"/>
              </w:rPr>
            </w:pPr>
            <w:r w:rsidRPr="00440DCB">
              <w:rPr>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center"/>
            <w:hideMark/>
          </w:tcPr>
          <w:p w14:paraId="287C93E6"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940 000</w:t>
            </w:r>
          </w:p>
        </w:tc>
        <w:tc>
          <w:tcPr>
            <w:tcW w:w="960" w:type="dxa"/>
            <w:tcBorders>
              <w:top w:val="nil"/>
              <w:left w:val="nil"/>
              <w:bottom w:val="single" w:sz="4" w:space="0" w:color="auto"/>
              <w:right w:val="single" w:sz="4" w:space="0" w:color="auto"/>
            </w:tcBorders>
            <w:shd w:val="clear" w:color="auto" w:fill="auto"/>
            <w:noWrap/>
            <w:vAlign w:val="center"/>
            <w:hideMark/>
          </w:tcPr>
          <w:p w14:paraId="4E4299D3"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940 000</w:t>
            </w:r>
          </w:p>
        </w:tc>
        <w:tc>
          <w:tcPr>
            <w:tcW w:w="960" w:type="dxa"/>
            <w:tcBorders>
              <w:top w:val="nil"/>
              <w:left w:val="nil"/>
              <w:bottom w:val="single" w:sz="4" w:space="0" w:color="auto"/>
              <w:right w:val="single" w:sz="4" w:space="0" w:color="auto"/>
            </w:tcBorders>
            <w:shd w:val="clear" w:color="auto" w:fill="auto"/>
            <w:noWrap/>
            <w:vAlign w:val="center"/>
            <w:hideMark/>
          </w:tcPr>
          <w:p w14:paraId="6C14012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960" w:type="dxa"/>
            <w:tcBorders>
              <w:top w:val="nil"/>
              <w:left w:val="nil"/>
              <w:bottom w:val="single" w:sz="4" w:space="0" w:color="auto"/>
              <w:right w:val="single" w:sz="4" w:space="0" w:color="auto"/>
            </w:tcBorders>
            <w:shd w:val="clear" w:color="auto" w:fill="auto"/>
            <w:noWrap/>
            <w:vAlign w:val="center"/>
            <w:hideMark/>
          </w:tcPr>
          <w:p w14:paraId="567C21C8"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960" w:type="dxa"/>
            <w:tcBorders>
              <w:top w:val="nil"/>
              <w:left w:val="nil"/>
              <w:bottom w:val="single" w:sz="4" w:space="0" w:color="auto"/>
              <w:right w:val="single" w:sz="4" w:space="0" w:color="auto"/>
            </w:tcBorders>
            <w:shd w:val="clear" w:color="auto" w:fill="auto"/>
            <w:noWrap/>
            <w:vAlign w:val="center"/>
            <w:hideMark/>
          </w:tcPr>
          <w:p w14:paraId="7328EAEB" w14:textId="77777777" w:rsidR="005F2654" w:rsidRPr="00440DCB" w:rsidRDefault="005F2654" w:rsidP="00440DCB">
            <w:pPr>
              <w:spacing w:after="0" w:line="240" w:lineRule="auto"/>
              <w:jc w:val="center"/>
              <w:rPr>
                <w:color w:val="000000"/>
                <w:sz w:val="16"/>
                <w:szCs w:val="16"/>
              </w:rPr>
            </w:pPr>
            <w:r w:rsidRPr="00440DCB">
              <w:rPr>
                <w:color w:val="000000"/>
                <w:sz w:val="16"/>
                <w:szCs w:val="16"/>
              </w:rPr>
              <w:t>960 000</w:t>
            </w:r>
          </w:p>
        </w:tc>
        <w:tc>
          <w:tcPr>
            <w:tcW w:w="1120" w:type="dxa"/>
            <w:tcBorders>
              <w:top w:val="nil"/>
              <w:left w:val="nil"/>
              <w:bottom w:val="single" w:sz="4" w:space="0" w:color="auto"/>
              <w:right w:val="single" w:sz="4" w:space="0" w:color="auto"/>
            </w:tcBorders>
            <w:shd w:val="clear" w:color="000000" w:fill="F2F2F2"/>
            <w:noWrap/>
            <w:vAlign w:val="center"/>
            <w:hideMark/>
          </w:tcPr>
          <w:p w14:paraId="03C91D7B"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4 760 000</w:t>
            </w:r>
          </w:p>
        </w:tc>
      </w:tr>
      <w:tr w:rsidR="005F2654" w:rsidRPr="00716429" w14:paraId="78E3009E" w14:textId="77777777" w:rsidTr="00440DCB">
        <w:trPr>
          <w:trHeight w:val="300"/>
        </w:trPr>
        <w:tc>
          <w:tcPr>
            <w:tcW w:w="1780" w:type="dxa"/>
            <w:vMerge w:val="restart"/>
            <w:tcBorders>
              <w:top w:val="nil"/>
              <w:left w:val="single" w:sz="4" w:space="0" w:color="auto"/>
              <w:bottom w:val="single" w:sz="4" w:space="0" w:color="auto"/>
              <w:right w:val="single" w:sz="4" w:space="0" w:color="auto"/>
            </w:tcBorders>
            <w:shd w:val="clear" w:color="000000" w:fill="F2F2F2"/>
            <w:vAlign w:val="center"/>
            <w:hideMark/>
          </w:tcPr>
          <w:p w14:paraId="28DC2B4B"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4. Doplňkové náklady</w:t>
            </w:r>
            <w:r w:rsidRPr="00440DCB">
              <w:rPr>
                <w:b/>
                <w:bCs/>
                <w:color w:val="000000"/>
                <w:sz w:val="16"/>
                <w:szCs w:val="16"/>
              </w:rPr>
              <w:br/>
              <w:t xml:space="preserve"> nebo výdaje (režie)</w:t>
            </w:r>
          </w:p>
        </w:tc>
        <w:tc>
          <w:tcPr>
            <w:tcW w:w="981" w:type="dxa"/>
            <w:tcBorders>
              <w:top w:val="nil"/>
              <w:left w:val="nil"/>
              <w:bottom w:val="single" w:sz="4" w:space="0" w:color="auto"/>
              <w:right w:val="single" w:sz="4" w:space="0" w:color="auto"/>
            </w:tcBorders>
            <w:shd w:val="clear" w:color="auto" w:fill="auto"/>
            <w:noWrap/>
            <w:vAlign w:val="center"/>
            <w:hideMark/>
          </w:tcPr>
          <w:p w14:paraId="2175B77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139 025</w:t>
            </w:r>
          </w:p>
        </w:tc>
        <w:tc>
          <w:tcPr>
            <w:tcW w:w="958" w:type="dxa"/>
            <w:tcBorders>
              <w:top w:val="nil"/>
              <w:left w:val="nil"/>
              <w:bottom w:val="single" w:sz="4" w:space="0" w:color="auto"/>
              <w:right w:val="single" w:sz="4" w:space="0" w:color="auto"/>
            </w:tcBorders>
            <w:shd w:val="clear" w:color="auto" w:fill="auto"/>
            <w:noWrap/>
            <w:vAlign w:val="center"/>
            <w:hideMark/>
          </w:tcPr>
          <w:p w14:paraId="3C0AF956"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133 619</w:t>
            </w:r>
          </w:p>
        </w:tc>
        <w:tc>
          <w:tcPr>
            <w:tcW w:w="960" w:type="dxa"/>
            <w:tcBorders>
              <w:top w:val="nil"/>
              <w:left w:val="nil"/>
              <w:bottom w:val="single" w:sz="4" w:space="0" w:color="auto"/>
              <w:right w:val="single" w:sz="4" w:space="0" w:color="auto"/>
            </w:tcBorders>
            <w:shd w:val="clear" w:color="auto" w:fill="auto"/>
            <w:noWrap/>
            <w:vAlign w:val="center"/>
            <w:hideMark/>
          </w:tcPr>
          <w:p w14:paraId="0C0C342F"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1 329 548</w:t>
            </w:r>
          </w:p>
        </w:tc>
        <w:tc>
          <w:tcPr>
            <w:tcW w:w="960" w:type="dxa"/>
            <w:tcBorders>
              <w:top w:val="nil"/>
              <w:left w:val="nil"/>
              <w:bottom w:val="single" w:sz="4" w:space="0" w:color="auto"/>
              <w:right w:val="single" w:sz="4" w:space="0" w:color="auto"/>
            </w:tcBorders>
            <w:shd w:val="clear" w:color="auto" w:fill="auto"/>
            <w:noWrap/>
            <w:vAlign w:val="center"/>
            <w:hideMark/>
          </w:tcPr>
          <w:p w14:paraId="4B3A9DA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1 373 683</w:t>
            </w:r>
          </w:p>
        </w:tc>
        <w:tc>
          <w:tcPr>
            <w:tcW w:w="960" w:type="dxa"/>
            <w:tcBorders>
              <w:top w:val="nil"/>
              <w:left w:val="nil"/>
              <w:bottom w:val="single" w:sz="4" w:space="0" w:color="auto"/>
              <w:right w:val="single" w:sz="4" w:space="0" w:color="auto"/>
            </w:tcBorders>
            <w:shd w:val="clear" w:color="auto" w:fill="auto"/>
            <w:noWrap/>
            <w:vAlign w:val="center"/>
            <w:hideMark/>
          </w:tcPr>
          <w:p w14:paraId="22BFF54E"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1 378 683</w:t>
            </w:r>
          </w:p>
        </w:tc>
        <w:tc>
          <w:tcPr>
            <w:tcW w:w="960" w:type="dxa"/>
            <w:tcBorders>
              <w:top w:val="nil"/>
              <w:left w:val="nil"/>
              <w:bottom w:val="single" w:sz="4" w:space="0" w:color="auto"/>
              <w:right w:val="single" w:sz="4" w:space="0" w:color="auto"/>
            </w:tcBorders>
            <w:shd w:val="clear" w:color="auto" w:fill="auto"/>
            <w:noWrap/>
            <w:vAlign w:val="center"/>
            <w:hideMark/>
          </w:tcPr>
          <w:p w14:paraId="393263B0"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1 405 164</w:t>
            </w:r>
          </w:p>
        </w:tc>
        <w:tc>
          <w:tcPr>
            <w:tcW w:w="960" w:type="dxa"/>
            <w:tcBorders>
              <w:top w:val="nil"/>
              <w:left w:val="nil"/>
              <w:bottom w:val="single" w:sz="4" w:space="0" w:color="auto"/>
              <w:right w:val="single" w:sz="4" w:space="0" w:color="auto"/>
            </w:tcBorders>
            <w:shd w:val="clear" w:color="auto" w:fill="auto"/>
            <w:noWrap/>
            <w:vAlign w:val="center"/>
            <w:hideMark/>
          </w:tcPr>
          <w:p w14:paraId="5D27332C" w14:textId="77777777" w:rsidR="005F2654" w:rsidRPr="00440DCB" w:rsidRDefault="005F2654" w:rsidP="00440DCB">
            <w:pPr>
              <w:spacing w:after="0" w:line="240" w:lineRule="auto"/>
              <w:jc w:val="center"/>
              <w:rPr>
                <w:color w:val="000000"/>
                <w:sz w:val="16"/>
                <w:szCs w:val="16"/>
              </w:rPr>
            </w:pPr>
            <w:r w:rsidRPr="00440DCB">
              <w:rPr>
                <w:color w:val="000000"/>
                <w:sz w:val="16"/>
                <w:szCs w:val="16"/>
              </w:rPr>
              <w:t>1 405 164</w:t>
            </w:r>
          </w:p>
        </w:tc>
        <w:tc>
          <w:tcPr>
            <w:tcW w:w="1120" w:type="dxa"/>
            <w:tcBorders>
              <w:top w:val="nil"/>
              <w:left w:val="nil"/>
              <w:bottom w:val="single" w:sz="4" w:space="0" w:color="auto"/>
              <w:right w:val="single" w:sz="4" w:space="0" w:color="auto"/>
            </w:tcBorders>
            <w:shd w:val="clear" w:color="000000" w:fill="F2F2F2"/>
            <w:noWrap/>
            <w:vAlign w:val="center"/>
            <w:hideMark/>
          </w:tcPr>
          <w:p w14:paraId="43E30FD4"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7 164 886</w:t>
            </w:r>
          </w:p>
        </w:tc>
      </w:tr>
      <w:tr w:rsidR="005F2654" w:rsidRPr="00716429" w14:paraId="6A9E873F" w14:textId="77777777" w:rsidTr="00440DCB">
        <w:trPr>
          <w:trHeight w:val="240"/>
        </w:trPr>
        <w:tc>
          <w:tcPr>
            <w:tcW w:w="1780" w:type="dxa"/>
            <w:vMerge/>
            <w:tcBorders>
              <w:top w:val="nil"/>
              <w:left w:val="single" w:sz="4" w:space="0" w:color="auto"/>
              <w:bottom w:val="single" w:sz="4" w:space="0" w:color="auto"/>
              <w:right w:val="single" w:sz="4" w:space="0" w:color="auto"/>
            </w:tcBorders>
            <w:vAlign w:val="center"/>
            <w:hideMark/>
          </w:tcPr>
          <w:p w14:paraId="379BADFA" w14:textId="77777777" w:rsidR="005F2654" w:rsidRPr="00440DCB" w:rsidRDefault="005F2654" w:rsidP="00440DCB">
            <w:pPr>
              <w:spacing w:after="0" w:line="240" w:lineRule="auto"/>
              <w:jc w:val="center"/>
              <w:rPr>
                <w:b/>
                <w:bCs/>
                <w:color w:val="000000"/>
                <w:sz w:val="16"/>
                <w:szCs w:val="16"/>
              </w:rPr>
            </w:pPr>
          </w:p>
        </w:tc>
        <w:tc>
          <w:tcPr>
            <w:tcW w:w="981" w:type="dxa"/>
            <w:tcBorders>
              <w:top w:val="nil"/>
              <w:left w:val="nil"/>
              <w:bottom w:val="single" w:sz="4" w:space="0" w:color="auto"/>
              <w:right w:val="single" w:sz="4" w:space="0" w:color="auto"/>
            </w:tcBorders>
            <w:shd w:val="clear" w:color="000000" w:fill="F2F2F2"/>
            <w:noWrap/>
            <w:vAlign w:val="center"/>
            <w:hideMark/>
          </w:tcPr>
          <w:p w14:paraId="6A6E1DF8"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58" w:type="dxa"/>
            <w:tcBorders>
              <w:top w:val="nil"/>
              <w:left w:val="nil"/>
              <w:bottom w:val="single" w:sz="4" w:space="0" w:color="auto"/>
              <w:right w:val="single" w:sz="4" w:space="0" w:color="auto"/>
            </w:tcBorders>
            <w:shd w:val="clear" w:color="000000" w:fill="F2F2F2"/>
            <w:noWrap/>
            <w:vAlign w:val="center"/>
            <w:hideMark/>
          </w:tcPr>
          <w:p w14:paraId="1D809E3E"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A43809F"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3AAA3445"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2EA4131C"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77DDD0E"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960" w:type="dxa"/>
            <w:tcBorders>
              <w:top w:val="nil"/>
              <w:left w:val="nil"/>
              <w:bottom w:val="single" w:sz="4" w:space="0" w:color="auto"/>
              <w:right w:val="single" w:sz="4" w:space="0" w:color="auto"/>
            </w:tcBorders>
            <w:shd w:val="clear" w:color="000000" w:fill="F2F2F2"/>
            <w:noWrap/>
            <w:vAlign w:val="center"/>
            <w:hideMark/>
          </w:tcPr>
          <w:p w14:paraId="629651A7" w14:textId="77777777" w:rsidR="005F2654" w:rsidRPr="00440DCB" w:rsidRDefault="005F2654" w:rsidP="00440DCB">
            <w:pPr>
              <w:spacing w:after="0" w:line="240" w:lineRule="auto"/>
              <w:jc w:val="center"/>
              <w:rPr>
                <w:color w:val="0070C0"/>
                <w:sz w:val="16"/>
                <w:szCs w:val="16"/>
              </w:rPr>
            </w:pPr>
            <w:r w:rsidRPr="00440DCB">
              <w:rPr>
                <w:color w:val="0070C0"/>
                <w:sz w:val="16"/>
                <w:szCs w:val="16"/>
              </w:rPr>
              <w:t>25,00%</w:t>
            </w:r>
          </w:p>
        </w:tc>
        <w:tc>
          <w:tcPr>
            <w:tcW w:w="1120" w:type="dxa"/>
            <w:tcBorders>
              <w:top w:val="nil"/>
              <w:left w:val="nil"/>
              <w:bottom w:val="single" w:sz="4" w:space="0" w:color="auto"/>
              <w:right w:val="single" w:sz="4" w:space="0" w:color="auto"/>
            </w:tcBorders>
            <w:shd w:val="clear" w:color="000000" w:fill="F2F2F2"/>
            <w:noWrap/>
            <w:vAlign w:val="center"/>
            <w:hideMark/>
          </w:tcPr>
          <w:p w14:paraId="3BC75F44" w14:textId="77777777" w:rsidR="005F2654" w:rsidRPr="00440DCB" w:rsidRDefault="005F2654" w:rsidP="00440DCB">
            <w:pPr>
              <w:spacing w:after="0" w:line="240" w:lineRule="auto"/>
              <w:jc w:val="center"/>
              <w:rPr>
                <w:b/>
                <w:bCs/>
                <w:color w:val="0070C0"/>
                <w:sz w:val="16"/>
                <w:szCs w:val="16"/>
              </w:rPr>
            </w:pPr>
            <w:r w:rsidRPr="00440DCB">
              <w:rPr>
                <w:b/>
                <w:bCs/>
                <w:color w:val="0070C0"/>
                <w:sz w:val="16"/>
                <w:szCs w:val="16"/>
              </w:rPr>
              <w:t>25,00%</w:t>
            </w:r>
          </w:p>
        </w:tc>
      </w:tr>
      <w:tr w:rsidR="005F2654" w:rsidRPr="00716429" w14:paraId="22B7F535" w14:textId="77777777" w:rsidTr="00440DCB">
        <w:trPr>
          <w:trHeight w:val="300"/>
        </w:trPr>
        <w:tc>
          <w:tcPr>
            <w:tcW w:w="1780" w:type="dxa"/>
            <w:tcBorders>
              <w:top w:val="nil"/>
              <w:left w:val="single" w:sz="4" w:space="0" w:color="auto"/>
              <w:bottom w:val="single" w:sz="4" w:space="0" w:color="auto"/>
              <w:right w:val="single" w:sz="4" w:space="0" w:color="auto"/>
            </w:tcBorders>
            <w:shd w:val="clear" w:color="000000" w:fill="F2F2F2"/>
            <w:noWrap/>
            <w:vAlign w:val="center"/>
            <w:hideMark/>
          </w:tcPr>
          <w:p w14:paraId="5EB76A0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CELKEM</w:t>
            </w:r>
          </w:p>
        </w:tc>
        <w:tc>
          <w:tcPr>
            <w:tcW w:w="981" w:type="dxa"/>
            <w:tcBorders>
              <w:top w:val="nil"/>
              <w:left w:val="nil"/>
              <w:bottom w:val="single" w:sz="4" w:space="0" w:color="auto"/>
              <w:right w:val="single" w:sz="4" w:space="0" w:color="auto"/>
            </w:tcBorders>
            <w:shd w:val="clear" w:color="000000" w:fill="F2F2F2"/>
            <w:noWrap/>
            <w:vAlign w:val="center"/>
            <w:hideMark/>
          </w:tcPr>
          <w:p w14:paraId="3D6B8F32"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695 126</w:t>
            </w:r>
          </w:p>
        </w:tc>
        <w:tc>
          <w:tcPr>
            <w:tcW w:w="958" w:type="dxa"/>
            <w:tcBorders>
              <w:top w:val="nil"/>
              <w:left w:val="nil"/>
              <w:bottom w:val="single" w:sz="4" w:space="0" w:color="auto"/>
              <w:right w:val="single" w:sz="4" w:space="0" w:color="auto"/>
            </w:tcBorders>
            <w:shd w:val="clear" w:color="000000" w:fill="F2F2F2"/>
            <w:noWrap/>
            <w:vAlign w:val="center"/>
            <w:hideMark/>
          </w:tcPr>
          <w:p w14:paraId="6261464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668 094</w:t>
            </w:r>
          </w:p>
        </w:tc>
        <w:tc>
          <w:tcPr>
            <w:tcW w:w="960" w:type="dxa"/>
            <w:tcBorders>
              <w:top w:val="nil"/>
              <w:left w:val="nil"/>
              <w:bottom w:val="single" w:sz="4" w:space="0" w:color="auto"/>
              <w:right w:val="single" w:sz="4" w:space="0" w:color="auto"/>
            </w:tcBorders>
            <w:shd w:val="clear" w:color="000000" w:fill="F2F2F2"/>
            <w:noWrap/>
            <w:vAlign w:val="center"/>
            <w:hideMark/>
          </w:tcPr>
          <w:p w14:paraId="48D21F2F"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6 647 741</w:t>
            </w:r>
          </w:p>
        </w:tc>
        <w:tc>
          <w:tcPr>
            <w:tcW w:w="960" w:type="dxa"/>
            <w:tcBorders>
              <w:top w:val="nil"/>
              <w:left w:val="nil"/>
              <w:bottom w:val="single" w:sz="4" w:space="0" w:color="auto"/>
              <w:right w:val="single" w:sz="4" w:space="0" w:color="auto"/>
            </w:tcBorders>
            <w:shd w:val="clear" w:color="000000" w:fill="F2F2F2"/>
            <w:noWrap/>
            <w:vAlign w:val="center"/>
            <w:hideMark/>
          </w:tcPr>
          <w:p w14:paraId="40031E8C"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6 868 415</w:t>
            </w:r>
          </w:p>
        </w:tc>
        <w:tc>
          <w:tcPr>
            <w:tcW w:w="960" w:type="dxa"/>
            <w:tcBorders>
              <w:top w:val="nil"/>
              <w:left w:val="nil"/>
              <w:bottom w:val="single" w:sz="4" w:space="0" w:color="auto"/>
              <w:right w:val="single" w:sz="4" w:space="0" w:color="auto"/>
            </w:tcBorders>
            <w:shd w:val="clear" w:color="000000" w:fill="F2F2F2"/>
            <w:noWrap/>
            <w:vAlign w:val="center"/>
            <w:hideMark/>
          </w:tcPr>
          <w:p w14:paraId="52B7BDD8"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6 893 415</w:t>
            </w:r>
          </w:p>
        </w:tc>
        <w:tc>
          <w:tcPr>
            <w:tcW w:w="960" w:type="dxa"/>
            <w:tcBorders>
              <w:top w:val="nil"/>
              <w:left w:val="nil"/>
              <w:bottom w:val="single" w:sz="4" w:space="0" w:color="auto"/>
              <w:right w:val="single" w:sz="4" w:space="0" w:color="auto"/>
            </w:tcBorders>
            <w:shd w:val="clear" w:color="000000" w:fill="F2F2F2"/>
            <w:noWrap/>
            <w:vAlign w:val="center"/>
            <w:hideMark/>
          </w:tcPr>
          <w:p w14:paraId="6DFAF144"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7 025 820</w:t>
            </w:r>
          </w:p>
        </w:tc>
        <w:tc>
          <w:tcPr>
            <w:tcW w:w="960" w:type="dxa"/>
            <w:tcBorders>
              <w:top w:val="nil"/>
              <w:left w:val="nil"/>
              <w:bottom w:val="single" w:sz="4" w:space="0" w:color="auto"/>
              <w:right w:val="single" w:sz="4" w:space="0" w:color="auto"/>
            </w:tcBorders>
            <w:shd w:val="clear" w:color="000000" w:fill="F2F2F2"/>
            <w:noWrap/>
            <w:vAlign w:val="center"/>
            <w:hideMark/>
          </w:tcPr>
          <w:p w14:paraId="4F06A9D3"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7 025 820</w:t>
            </w:r>
          </w:p>
        </w:tc>
        <w:tc>
          <w:tcPr>
            <w:tcW w:w="1120" w:type="dxa"/>
            <w:tcBorders>
              <w:top w:val="nil"/>
              <w:left w:val="nil"/>
              <w:bottom w:val="single" w:sz="4" w:space="0" w:color="auto"/>
              <w:right w:val="single" w:sz="4" w:space="0" w:color="auto"/>
            </w:tcBorders>
            <w:shd w:val="clear" w:color="000000" w:fill="F2F2F2"/>
            <w:noWrap/>
            <w:vAlign w:val="center"/>
            <w:hideMark/>
          </w:tcPr>
          <w:p w14:paraId="4DADE1B0" w14:textId="77777777" w:rsidR="005F2654" w:rsidRPr="00440DCB" w:rsidRDefault="005F2654" w:rsidP="00440DCB">
            <w:pPr>
              <w:spacing w:after="0" w:line="240" w:lineRule="auto"/>
              <w:jc w:val="center"/>
              <w:rPr>
                <w:b/>
                <w:bCs/>
                <w:color w:val="000000"/>
                <w:sz w:val="16"/>
                <w:szCs w:val="16"/>
              </w:rPr>
            </w:pPr>
            <w:r w:rsidRPr="00440DCB">
              <w:rPr>
                <w:b/>
                <w:bCs/>
                <w:color w:val="000000"/>
                <w:sz w:val="16"/>
                <w:szCs w:val="16"/>
              </w:rPr>
              <w:t>35 824 431</w:t>
            </w:r>
          </w:p>
        </w:tc>
      </w:tr>
    </w:tbl>
    <w:p w14:paraId="0646A4AF" w14:textId="77777777" w:rsidR="005F2654" w:rsidRDefault="005F2654" w:rsidP="005F2654">
      <w:pPr>
        <w:spacing w:before="240" w:after="240" w:line="240" w:lineRule="auto"/>
        <w:jc w:val="both"/>
        <w:rPr>
          <w:b/>
          <w:bCs/>
        </w:rPr>
      </w:pPr>
    </w:p>
    <w:p w14:paraId="232DE19F" w14:textId="77777777" w:rsidR="004574C2" w:rsidRPr="00760BDB" w:rsidRDefault="004574C2" w:rsidP="004574C2">
      <w:pPr>
        <w:spacing w:before="240" w:after="240" w:line="240" w:lineRule="auto"/>
        <w:jc w:val="both"/>
        <w:rPr>
          <w:b/>
          <w:bCs/>
        </w:rPr>
      </w:pPr>
      <w:r>
        <w:rPr>
          <w:b/>
          <w:bCs/>
        </w:rPr>
        <w:lastRenderedPageBreak/>
        <w:t>Kategorie osobní náklady nebo výdaje</w:t>
      </w:r>
    </w:p>
    <w:p w14:paraId="3152F13B" w14:textId="77777777" w:rsidR="005F2654" w:rsidRPr="00517C32" w:rsidRDefault="005F2654" w:rsidP="005F2654">
      <w:pPr>
        <w:spacing w:after="0" w:line="240" w:lineRule="auto"/>
        <w:jc w:val="both"/>
        <w:rPr>
          <w:i/>
          <w:u w:val="single"/>
        </w:rPr>
      </w:pPr>
      <w:r w:rsidRPr="00517C32">
        <w:rPr>
          <w:i/>
          <w:u w:val="single"/>
        </w:rPr>
        <w:t>2021 – 2022</w:t>
      </w:r>
    </w:p>
    <w:p w14:paraId="55FD2D6A" w14:textId="77777777" w:rsidR="005F2654" w:rsidRPr="007A4229" w:rsidRDefault="005F2654" w:rsidP="005F2654">
      <w:pPr>
        <w:spacing w:after="0" w:line="240" w:lineRule="auto"/>
        <w:jc w:val="both"/>
        <w:rPr>
          <w:i/>
        </w:rPr>
      </w:pPr>
    </w:p>
    <w:p w14:paraId="6CC41233" w14:textId="77777777" w:rsidR="005F2654" w:rsidRDefault="005F2654" w:rsidP="005F2654">
      <w:pPr>
        <w:spacing w:after="0" w:line="240" w:lineRule="auto"/>
        <w:jc w:val="both"/>
      </w:pPr>
      <w:r>
        <w:t>Osobní náklady na část pracovních úvazků zaměstnanců, podílejících se na řešení projektu, jež v současné době nejsou pokryty a jsou hrazeny institucí z jejího institucionálního rozpočtu. Osobní náklady jsou počítány z průměrné hrubé mzdy těchto zaměstnanců podle mzdového standardu organizace a zákonných odvodů (24,8 % sociální pojištění, 9 % zdravotní pojištění, 2 % sociální fond).</w:t>
      </w:r>
    </w:p>
    <w:p w14:paraId="38FB0E70" w14:textId="77777777" w:rsidR="005F2654" w:rsidRDefault="005F2654" w:rsidP="005F2654">
      <w:pPr>
        <w:spacing w:after="0" w:line="240" w:lineRule="auto"/>
        <w:jc w:val="both"/>
      </w:pPr>
    </w:p>
    <w:p w14:paraId="1265A559" w14:textId="77777777" w:rsidR="005F2654" w:rsidRPr="00517C32" w:rsidRDefault="005F2654" w:rsidP="005F2654">
      <w:pPr>
        <w:spacing w:after="0" w:line="240" w:lineRule="auto"/>
        <w:jc w:val="both"/>
        <w:rPr>
          <w:i/>
          <w:u w:val="single"/>
        </w:rPr>
      </w:pPr>
      <w:r w:rsidRPr="00517C32">
        <w:rPr>
          <w:i/>
          <w:u w:val="single"/>
        </w:rPr>
        <w:t>2023 – 2027</w:t>
      </w:r>
    </w:p>
    <w:p w14:paraId="608505D2" w14:textId="77777777" w:rsidR="005F2654" w:rsidRPr="007A4229" w:rsidRDefault="005F2654" w:rsidP="005F2654">
      <w:pPr>
        <w:spacing w:after="0" w:line="240" w:lineRule="auto"/>
        <w:jc w:val="both"/>
        <w:rPr>
          <w:i/>
        </w:rPr>
      </w:pPr>
    </w:p>
    <w:p w14:paraId="6A3D35DC" w14:textId="0BBEA139" w:rsidR="005F2654" w:rsidRDefault="005F2654" w:rsidP="005F2654">
      <w:pPr>
        <w:spacing w:after="0" w:line="240" w:lineRule="auto"/>
        <w:jc w:val="both"/>
      </w:pPr>
      <w:r>
        <w:t xml:space="preserve">Osobní náklady zahrnují náklady na zaměstnance podílející se na řešení projektu a příslušně odpovídající náklady na povinné zákonné odvody a příděl do sociálního fondu podle mzdového standardu organizace. Z této položky budou hrazeny osobní náklady ve výši 4,5 FTE pro kmenové zaměstnance podílející se na projektu. Z předchozích zkušeností se předpokládá, že tento počet úvazků je pro úspěšnou realizaci projektu a naplnění vytyčených cílů nezbytný. Tento počet zároveň odpovídá rozsahu vykonávané činnosti, předpokladu stále narůstajícího počtu zahraničních vědců přijíždějících do ČR a kvalitě poskytovaných, individualizovaných služeb. Z položky osobní náklady budou dále hrazeny i odměny pracovníkům zaměstnaným na dohodu o provedení práce či na dohodu o pracovní činnosti. Bude se jednat o členy týmu zaměstnané na dohodu o pracích konaných mimo pracovní poměr, o odměny pro kontaktní osoby v </w:t>
      </w:r>
      <w:r w:rsidR="00BF1A71">
        <w:t>krajích</w:t>
      </w:r>
      <w:r>
        <w:t>, odměny pro experty vystupující na seminářích a workshopech pořádaných v rámci projektu, pro odborné konzultanty, překladatele a jiné spolupracovníky. Zaměstnanci formou DPP či DPČ v souhrnu vytvoří další 1,5 FTE.</w:t>
      </w:r>
    </w:p>
    <w:p w14:paraId="42CC4FB5" w14:textId="77777777" w:rsidR="004574C2" w:rsidRDefault="004574C2" w:rsidP="004574C2">
      <w:pPr>
        <w:spacing w:before="240" w:after="240" w:line="240" w:lineRule="auto"/>
        <w:jc w:val="both"/>
        <w:rPr>
          <w:b/>
          <w:bCs/>
        </w:rPr>
      </w:pPr>
      <w:r>
        <w:rPr>
          <w:b/>
          <w:bCs/>
        </w:rPr>
        <w:t>Kategorie provozní náklady nebo výdaje, náklady nebo výdaje na služby</w:t>
      </w:r>
    </w:p>
    <w:p w14:paraId="6E26E773" w14:textId="77777777" w:rsidR="005F2654" w:rsidRPr="00325105" w:rsidRDefault="005F2654" w:rsidP="005F2654">
      <w:pPr>
        <w:spacing w:before="240" w:after="240" w:line="240" w:lineRule="auto"/>
        <w:jc w:val="both"/>
      </w:pPr>
      <w:r w:rsidRPr="00325105">
        <w:t>Tuto kategorii představují:</w:t>
      </w:r>
    </w:p>
    <w:p w14:paraId="658A05EF" w14:textId="77777777" w:rsidR="005F2654" w:rsidRPr="00517C32" w:rsidRDefault="005F2654" w:rsidP="005F2654">
      <w:pPr>
        <w:spacing w:before="240" w:after="240" w:line="240" w:lineRule="auto"/>
        <w:jc w:val="both"/>
        <w:rPr>
          <w:u w:val="single"/>
        </w:rPr>
      </w:pPr>
      <w:r w:rsidRPr="00517C32">
        <w:rPr>
          <w:u w:val="single"/>
        </w:rPr>
        <w:t>Ostatní běžné výdaje a služby:</w:t>
      </w:r>
    </w:p>
    <w:p w14:paraId="7B129609" w14:textId="77777777" w:rsidR="005F2654" w:rsidRDefault="005F2654" w:rsidP="005F2654">
      <w:pPr>
        <w:spacing w:after="0" w:line="240" w:lineRule="auto"/>
        <w:jc w:val="both"/>
      </w:pPr>
      <w:r>
        <w:t xml:space="preserve">Do této položky jsou zahrnuty náklady na realizaci vzdělávacích a kulturně-společenských aktivit pro zahraniční vědce, náklady na vzdělávání pracovníků EURAXESS ČR, náklady na tištěné materiály a jejich distribuci a náklady na správu webového portálu </w:t>
      </w:r>
      <w:hyperlink r:id="rId12" w:history="1">
        <w:r>
          <w:rPr>
            <w:rStyle w:val="Hypertextovodkaz"/>
          </w:rPr>
          <w:t>www.euraxess.cz</w:t>
        </w:r>
      </w:hyperlink>
      <w:r>
        <w:t>. Dále se jedná o náklady na činnost kanceláře EURAXESS ČR v Brně, která již 14 let úspěšně pracuje v rámci Jihomoravského centra pro mezinárodní mobilitu. Díky tomuto osvědčenému outsourcingu může EURAXESS ČR realizovat asistenční a konzultační služby pro brněnské vysoké školy a výzkumná pracoviště.</w:t>
      </w:r>
    </w:p>
    <w:p w14:paraId="1312CCE9" w14:textId="77777777" w:rsidR="005F2654" w:rsidRPr="00517C32" w:rsidRDefault="005F2654" w:rsidP="005F2654">
      <w:pPr>
        <w:spacing w:before="240" w:after="240" w:line="240" w:lineRule="auto"/>
        <w:jc w:val="both"/>
        <w:rPr>
          <w:u w:val="single"/>
        </w:rPr>
      </w:pPr>
      <w:r w:rsidRPr="00517C32">
        <w:rPr>
          <w:u w:val="single"/>
        </w:rPr>
        <w:t>Cestovné</w:t>
      </w:r>
    </w:p>
    <w:p w14:paraId="534BC103" w14:textId="77777777" w:rsidR="005F2654" w:rsidRDefault="005F2654" w:rsidP="005F2654">
      <w:pPr>
        <w:spacing w:after="0" w:line="240" w:lineRule="auto"/>
        <w:jc w:val="both"/>
      </w:pPr>
      <w:r>
        <w:t xml:space="preserve">Do této položky jsou zahrnuty náklady na cestovné vzniklé v přímé souvislosti s řešením projektu. Jedná se o náklady na tuzemské a zahraniční cestovné zaměstnanců při cestách v souvislosti s realizací projektu, tzn., náklady na tuzemské cestovné pracovníků EURAXESS ČR spojené s jejich účastí na vzdělávacích aktivitách, na kulturně-společenských akcích pro zahraniční vědce, na seminářích a workshopech pořádaných pro zástupce EURAXESS ČR, náklady na zahraniční cesty pracovníků EURAXESS ČR, spojené s účastí na vzdělávacích konferencích a dalších akcích týkajících se tématu mezinárodní mobility za účelem vzdělávání či propagace sítě EURAXESS ČR, náklady na zahraniční studijní cesty do úspěšných a dobře fungujících center mobility a na zahraniční pracovní schůzky řešící problematiku mezinárodní mobility ve </w:t>
      </w:r>
      <w:proofErr w:type="spellStart"/>
      <w:r>
        <w:t>VaVaI</w:t>
      </w:r>
      <w:proofErr w:type="spellEnd"/>
      <w:r>
        <w:t>.</w:t>
      </w:r>
    </w:p>
    <w:p w14:paraId="230581C1" w14:textId="77777777" w:rsidR="004574C2" w:rsidRPr="001C3E82" w:rsidRDefault="004574C2" w:rsidP="004574C2">
      <w:pPr>
        <w:keepNext/>
        <w:spacing w:before="240" w:after="240" w:line="240" w:lineRule="auto"/>
        <w:jc w:val="both"/>
        <w:rPr>
          <w:b/>
          <w:bCs/>
        </w:rPr>
      </w:pPr>
      <w:r>
        <w:rPr>
          <w:b/>
          <w:bCs/>
        </w:rPr>
        <w:lastRenderedPageBreak/>
        <w:t>Kategorie doplňkové náklady nebo výdaje (režie)</w:t>
      </w:r>
    </w:p>
    <w:p w14:paraId="6F589C22" w14:textId="3E21A028" w:rsidR="00CA2D74" w:rsidRPr="00CC21F9" w:rsidRDefault="005F2654" w:rsidP="005F2654">
      <w:pPr>
        <w:spacing w:after="0" w:line="240" w:lineRule="auto"/>
        <w:jc w:val="both"/>
      </w:pPr>
      <w:r>
        <w:t xml:space="preserve">Z této položky budou hrazeny náklady, které představují nezbytné náklady spojené s realizací projektu. </w:t>
      </w:r>
      <w:r w:rsidRPr="00895B63">
        <w:t>Re</w:t>
      </w:r>
      <w:r>
        <w:t>žijní náklady jsou rozpočtovány metodou</w:t>
      </w:r>
      <w:r w:rsidRPr="00895B63">
        <w:t xml:space="preserve"> </w:t>
      </w:r>
      <w:proofErr w:type="spellStart"/>
      <w:r w:rsidRPr="00342B64">
        <w:rPr>
          <w:i/>
        </w:rPr>
        <w:t>flat</w:t>
      </w:r>
      <w:proofErr w:type="spellEnd"/>
      <w:r w:rsidRPr="00342B64">
        <w:rPr>
          <w:i/>
        </w:rPr>
        <w:t xml:space="preserve"> </w:t>
      </w:r>
      <w:proofErr w:type="spellStart"/>
      <w:r w:rsidRPr="00342B64">
        <w:rPr>
          <w:i/>
        </w:rPr>
        <w:t>rate</w:t>
      </w:r>
      <w:proofErr w:type="spellEnd"/>
      <w:r w:rsidRPr="00895B63">
        <w:t xml:space="preserve"> ve výši 25</w:t>
      </w:r>
      <w:r>
        <w:t xml:space="preserve"> </w:t>
      </w:r>
      <w:r w:rsidRPr="00895B63">
        <w:t>% z přímých nákladů (</w:t>
      </w:r>
      <w:r>
        <w:t>tzn., bez investic). Jedná se o náklady na nájem kanceláře, vodné, stočné, paliva a energie, úklid, údržba, ostraha, telefony, IT služby apod.</w:t>
      </w:r>
    </w:p>
    <w:p w14:paraId="1A0FCF6F" w14:textId="7DA1C1C4" w:rsidR="009C249A" w:rsidRDefault="009C249A" w:rsidP="00684A1D">
      <w:pPr>
        <w:pStyle w:val="Nadpis1"/>
        <w:spacing w:before="240" w:after="240" w:line="240" w:lineRule="auto"/>
        <w:ind w:left="431" w:hanging="431"/>
      </w:pPr>
      <w:bookmarkStart w:id="40" w:name="_Toc40123748"/>
      <w:bookmarkStart w:id="41" w:name="_Toc55466827"/>
      <w:r>
        <w:t>IMPLEMENTACE</w:t>
      </w:r>
      <w:bookmarkEnd w:id="40"/>
      <w:bookmarkEnd w:id="41"/>
    </w:p>
    <w:p w14:paraId="6B9590D1" w14:textId="4B136610" w:rsidR="009C249A" w:rsidRDefault="009C249A" w:rsidP="00684A1D">
      <w:pPr>
        <w:spacing w:after="0" w:line="240" w:lineRule="auto"/>
        <w:jc w:val="both"/>
      </w:pPr>
      <w:r w:rsidRPr="002513A5">
        <w:t>Implementační struktura projektu sdílených činností</w:t>
      </w:r>
      <w:r w:rsidR="00345346">
        <w:t xml:space="preserve"> </w:t>
      </w:r>
      <w:r w:rsidRPr="002513A5">
        <w:t xml:space="preserve">bude sestávat z projektových orgánů, </w:t>
      </w:r>
      <w:r w:rsidR="00345346">
        <w:t>jež</w:t>
      </w:r>
      <w:r w:rsidRPr="002513A5">
        <w:t xml:space="preserve"> budou na pravidelné bázi in</w:t>
      </w:r>
      <w:r>
        <w:t>teragovat, a to z řídicího výboru a z v</w:t>
      </w:r>
      <w:r w:rsidRPr="002513A5">
        <w:t>ýkonného výboru.</w:t>
      </w:r>
      <w:r>
        <w:t xml:space="preserve"> </w:t>
      </w:r>
    </w:p>
    <w:p w14:paraId="63E1844E" w14:textId="77777777" w:rsidR="009C249A" w:rsidRDefault="009C249A" w:rsidP="00D046E4">
      <w:pPr>
        <w:spacing w:before="240" w:after="240" w:line="240" w:lineRule="auto"/>
      </w:pPr>
      <w:r w:rsidRPr="00500CF2">
        <w:rPr>
          <w:noProof/>
        </w:rPr>
        <w:drawing>
          <wp:inline distT="0" distB="0" distL="0" distR="0" wp14:anchorId="218E1A2B" wp14:editId="723C1C54">
            <wp:extent cx="5760720" cy="41452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4145280"/>
                    </a:xfrm>
                    <a:prstGeom prst="rect">
                      <a:avLst/>
                    </a:prstGeom>
                    <a:noFill/>
                    <a:ln>
                      <a:noFill/>
                    </a:ln>
                  </pic:spPr>
                </pic:pic>
              </a:graphicData>
            </a:graphic>
          </wp:inline>
        </w:drawing>
      </w:r>
    </w:p>
    <w:p w14:paraId="6CEA971C" w14:textId="77777777" w:rsidR="00A06753" w:rsidRPr="00A06753" w:rsidRDefault="00A06753" w:rsidP="00A06753">
      <w:pPr>
        <w:pStyle w:val="Odstavecseseznamem"/>
        <w:keepNext/>
        <w:keepLines/>
        <w:numPr>
          <w:ilvl w:val="0"/>
          <w:numId w:val="3"/>
        </w:numPr>
        <w:spacing w:before="240" w:after="240" w:line="240" w:lineRule="auto"/>
        <w:contextualSpacing w:val="0"/>
        <w:jc w:val="both"/>
        <w:outlineLvl w:val="1"/>
        <w:rPr>
          <w:rFonts w:eastAsia="Times New Roman"/>
          <w:b/>
          <w:vanish/>
          <w:sz w:val="24"/>
          <w:szCs w:val="26"/>
          <w:lang w:eastAsia="cs-CZ"/>
        </w:rPr>
      </w:pPr>
      <w:bookmarkStart w:id="42" w:name="_Toc54102634"/>
      <w:bookmarkStart w:id="43" w:name="_Toc54102669"/>
      <w:bookmarkStart w:id="44" w:name="_Toc54244214"/>
      <w:bookmarkStart w:id="45" w:name="_Toc54267799"/>
      <w:bookmarkStart w:id="46" w:name="_Toc54271066"/>
      <w:bookmarkStart w:id="47" w:name="_Toc54272992"/>
      <w:bookmarkStart w:id="48" w:name="_Toc54335795"/>
      <w:bookmarkStart w:id="49" w:name="_Toc55466828"/>
      <w:bookmarkEnd w:id="42"/>
      <w:bookmarkEnd w:id="43"/>
      <w:bookmarkEnd w:id="44"/>
      <w:bookmarkEnd w:id="45"/>
      <w:bookmarkEnd w:id="46"/>
      <w:bookmarkEnd w:id="47"/>
      <w:bookmarkEnd w:id="48"/>
      <w:bookmarkEnd w:id="49"/>
    </w:p>
    <w:p w14:paraId="5D9D9135" w14:textId="17492A5B" w:rsidR="009C249A" w:rsidRDefault="009C249A" w:rsidP="00A06753">
      <w:pPr>
        <w:pStyle w:val="Nadpis2"/>
      </w:pPr>
      <w:bookmarkStart w:id="50" w:name="_Toc55466829"/>
      <w:r>
        <w:t>Řídicí výbor</w:t>
      </w:r>
      <w:bookmarkEnd w:id="50"/>
    </w:p>
    <w:p w14:paraId="773EF61D" w14:textId="77777777" w:rsidR="00345346" w:rsidRDefault="00345346" w:rsidP="00345346">
      <w:pPr>
        <w:spacing w:after="0" w:line="240" w:lineRule="auto"/>
        <w:jc w:val="both"/>
      </w:pPr>
      <w:r w:rsidRPr="00DF4F29">
        <w:t xml:space="preserve">Řídicí výbor </w:t>
      </w:r>
      <w:r>
        <w:t xml:space="preserve">bude </w:t>
      </w:r>
      <w:r>
        <w:rPr>
          <w:b/>
        </w:rPr>
        <w:t>dohlížet</w:t>
      </w:r>
      <w:r w:rsidRPr="00B42E67">
        <w:rPr>
          <w:b/>
        </w:rPr>
        <w:t>, zda jsou</w:t>
      </w:r>
      <w:r w:rsidRPr="00DF4F29">
        <w:t xml:space="preserve"> </w:t>
      </w:r>
      <w:r w:rsidRPr="003A5717">
        <w:rPr>
          <w:b/>
        </w:rPr>
        <w:t>aktivity projektu sdílených činností realizovány plně v souladu s projektovým záměrem</w:t>
      </w:r>
      <w:r>
        <w:rPr>
          <w:b/>
        </w:rPr>
        <w:t xml:space="preserve"> a</w:t>
      </w:r>
      <w:r w:rsidRPr="003A5717">
        <w:rPr>
          <w:b/>
        </w:rPr>
        <w:t xml:space="preserve"> </w:t>
      </w:r>
      <w:r>
        <w:rPr>
          <w:b/>
        </w:rPr>
        <w:t xml:space="preserve">odpovídají i </w:t>
      </w:r>
      <w:r w:rsidRPr="003A5717">
        <w:rPr>
          <w:b/>
        </w:rPr>
        <w:t>potřeb</w:t>
      </w:r>
      <w:r>
        <w:rPr>
          <w:b/>
        </w:rPr>
        <w:t xml:space="preserve">ám </w:t>
      </w:r>
      <w:r w:rsidRPr="003A5717">
        <w:rPr>
          <w:b/>
        </w:rPr>
        <w:t>cílové / uživatelské komunity</w:t>
      </w:r>
      <w:r>
        <w:rPr>
          <w:b/>
        </w:rPr>
        <w:t xml:space="preserve"> </w:t>
      </w:r>
      <w:r w:rsidRPr="003A5717">
        <w:t>projektu sdílených činností</w:t>
      </w:r>
      <w:r w:rsidRPr="00DF4F29">
        <w:t xml:space="preserve">. </w:t>
      </w:r>
      <w:r>
        <w:t xml:space="preserve">V tomto ohledu bude moci řídicí výbor navrhovat modifikaci dílčích aktivit </w:t>
      </w:r>
      <w:r w:rsidRPr="003A5717">
        <w:t>projektu sdílených činností</w:t>
      </w:r>
      <w:r>
        <w:t xml:space="preserve"> tak, aby poptávku </w:t>
      </w:r>
      <w:r w:rsidRPr="003A5717">
        <w:t>cílové / uživatelské komunity</w:t>
      </w:r>
      <w:r>
        <w:t xml:space="preserve"> reflektovaly vhodnějším způsobem, pokud bude zjištěno, že jednotlivé aktivity </w:t>
      </w:r>
      <w:r w:rsidRPr="003A5717">
        <w:t>projektu sdílených činností</w:t>
      </w:r>
      <w:r>
        <w:t xml:space="preserve"> potřebám </w:t>
      </w:r>
      <w:r w:rsidRPr="003A5717">
        <w:t xml:space="preserve">cílové / uživatelské komunity </w:t>
      </w:r>
      <w:r>
        <w:t>plně neodpovídají.</w:t>
      </w:r>
      <w:r w:rsidRPr="003A5717">
        <w:t xml:space="preserve"> </w:t>
      </w:r>
      <w:r w:rsidRPr="003A5717">
        <w:rPr>
          <w:b/>
        </w:rPr>
        <w:t xml:space="preserve">Řídicí výbor se takto bude podílet na strategické </w:t>
      </w:r>
      <w:r>
        <w:rPr>
          <w:b/>
        </w:rPr>
        <w:t>orientaci</w:t>
      </w:r>
      <w:r w:rsidRPr="003A5717">
        <w:rPr>
          <w:b/>
        </w:rPr>
        <w:t xml:space="preserve"> projektu sdílených činností</w:t>
      </w:r>
      <w:r>
        <w:t>. Ve spolupráci s výkonným výborem bude vyhodnocovat efektivitu vykonávaných aktivit a navrhovat i jejich eventuální úpravy.</w:t>
      </w:r>
    </w:p>
    <w:p w14:paraId="45749D09" w14:textId="77777777" w:rsidR="00345346" w:rsidRDefault="00345346" w:rsidP="00345346">
      <w:pPr>
        <w:spacing w:after="0" w:line="240" w:lineRule="auto"/>
        <w:jc w:val="both"/>
      </w:pPr>
    </w:p>
    <w:p w14:paraId="25B94EB1" w14:textId="5B61A421" w:rsidR="00345346" w:rsidRDefault="00345346" w:rsidP="00345346">
      <w:pPr>
        <w:spacing w:after="0" w:line="240" w:lineRule="auto"/>
        <w:jc w:val="both"/>
      </w:pPr>
      <w:r w:rsidRPr="00DF4F29">
        <w:t>Řídicí výbor bude složen z</w:t>
      </w:r>
      <w:r>
        <w:t xml:space="preserve">e </w:t>
      </w:r>
      <w:r w:rsidRPr="003A5717">
        <w:rPr>
          <w:b/>
        </w:rPr>
        <w:t>zástupců</w:t>
      </w:r>
      <w:r w:rsidRPr="00DF4F29">
        <w:t xml:space="preserve"> </w:t>
      </w:r>
      <w:r w:rsidRPr="003A5717">
        <w:rPr>
          <w:b/>
        </w:rPr>
        <w:t xml:space="preserve">relevantních orgánů státní správy ČR odpovědných za tvorbu výzkumné politiky </w:t>
      </w:r>
      <w:r>
        <w:rPr>
          <w:b/>
        </w:rPr>
        <w:t>a její implementaci i z představitelů stěžejních výzkumných</w:t>
      </w:r>
      <w:r w:rsidRPr="003A5717">
        <w:rPr>
          <w:b/>
        </w:rPr>
        <w:t xml:space="preserve"> subjektů</w:t>
      </w:r>
      <w:r w:rsidRPr="00DF4F29">
        <w:t>.</w:t>
      </w:r>
      <w:r>
        <w:t xml:space="preserve"> Členy řídicího výboru tak budou zástupci </w:t>
      </w:r>
      <w:r w:rsidRPr="007C47B3">
        <w:t xml:space="preserve">MŠMT, </w:t>
      </w:r>
      <w:r>
        <w:t xml:space="preserve">Ministerstva průmyslu a obchodu, Rady pro výzkum, vývoj a inovace, České konference rektorů, Akademie věd ČR, Grantové agentury ČR a Technologické agentury ČR. Každou z uvedených institucí bude na fóru řídicího </w:t>
      </w:r>
      <w:r>
        <w:lastRenderedPageBreak/>
        <w:t xml:space="preserve">výboru reprezentovat vždy </w:t>
      </w:r>
      <w:r w:rsidRPr="001F54A0">
        <w:rPr>
          <w:b/>
        </w:rPr>
        <w:t>1</w:t>
      </w:r>
      <w:r>
        <w:rPr>
          <w:b/>
        </w:rPr>
        <w:t> </w:t>
      </w:r>
      <w:r w:rsidRPr="001F54A0">
        <w:rPr>
          <w:b/>
        </w:rPr>
        <w:t xml:space="preserve">zástupce s možností doplnění delegace o 1 </w:t>
      </w:r>
      <w:r>
        <w:rPr>
          <w:b/>
        </w:rPr>
        <w:t xml:space="preserve">dalšího </w:t>
      </w:r>
      <w:r w:rsidRPr="001F54A0">
        <w:rPr>
          <w:b/>
        </w:rPr>
        <w:t>experta</w:t>
      </w:r>
      <w:r>
        <w:t>. Předsedou řídicího výboru se stane zástupce MŠMT.</w:t>
      </w:r>
    </w:p>
    <w:p w14:paraId="510CAFC5" w14:textId="77777777" w:rsidR="00345346" w:rsidRDefault="00345346" w:rsidP="00345346">
      <w:pPr>
        <w:spacing w:after="0" w:line="240" w:lineRule="auto"/>
        <w:jc w:val="both"/>
      </w:pPr>
    </w:p>
    <w:p w14:paraId="136227AA" w14:textId="6EBFFFBD" w:rsidR="009C249A" w:rsidRPr="0091251B" w:rsidRDefault="00345346" w:rsidP="00345346">
      <w:pPr>
        <w:spacing w:after="0" w:line="240" w:lineRule="auto"/>
        <w:jc w:val="both"/>
      </w:pPr>
      <w:r w:rsidRPr="00DF4F29">
        <w:t xml:space="preserve">Řídicí výbor se bude scházet </w:t>
      </w:r>
      <w:r w:rsidRPr="001F54A0">
        <w:rPr>
          <w:b/>
        </w:rPr>
        <w:t>nejméně třikrát ročně</w:t>
      </w:r>
      <w:r>
        <w:t>, přičemž</w:t>
      </w:r>
      <w:r w:rsidRPr="00DF4F29">
        <w:t xml:space="preserve"> </w:t>
      </w:r>
      <w:r>
        <w:t>n</w:t>
      </w:r>
      <w:r w:rsidRPr="00DF4F29">
        <w:t xml:space="preserve">a </w:t>
      </w:r>
      <w:r>
        <w:t>zasedáních</w:t>
      </w:r>
      <w:r w:rsidRPr="00DF4F29">
        <w:t xml:space="preserve"> </w:t>
      </w:r>
      <w:r>
        <w:t xml:space="preserve">řídicího </w:t>
      </w:r>
      <w:r w:rsidRPr="00DF4F29">
        <w:t>v</w:t>
      </w:r>
      <w:r>
        <w:t>ýboru budou vždy vyhodnoceny činnosti realizované v rámci projektu sdílených činností za</w:t>
      </w:r>
      <w:r w:rsidRPr="00DF4F29">
        <w:t xml:space="preserve"> uplynulé období a </w:t>
      </w:r>
      <w:r>
        <w:t xml:space="preserve">odsouhlasen i plán aktivit pro </w:t>
      </w:r>
      <w:r w:rsidRPr="00DF4F29">
        <w:t>období</w:t>
      </w:r>
      <w:r>
        <w:t xml:space="preserve"> nadcházející</w:t>
      </w:r>
      <w:r w:rsidRPr="00DF4F29">
        <w:t>.</w:t>
      </w:r>
      <w:r>
        <w:t xml:space="preserve"> V tomto aspektu bude řídicí výbor úzce spolupracovat s výkonným výborem, kterýžto bude na jednání řídicího výboru předkládat periodické zprávy o realizovaných aktivitách a předkládat návrh aktivit pro budoucí období.</w:t>
      </w:r>
    </w:p>
    <w:p w14:paraId="26D0AA9A" w14:textId="77777777" w:rsidR="009C249A" w:rsidRDefault="009C249A" w:rsidP="00646A82">
      <w:pPr>
        <w:pStyle w:val="Nadpis2"/>
      </w:pPr>
      <w:bookmarkStart w:id="51" w:name="_Toc55466830"/>
      <w:r>
        <w:t>Výkonný výbor</w:t>
      </w:r>
      <w:bookmarkEnd w:id="51"/>
    </w:p>
    <w:p w14:paraId="4A83DF03" w14:textId="77777777" w:rsidR="00345346" w:rsidRDefault="00345346" w:rsidP="00345346">
      <w:pPr>
        <w:spacing w:after="0" w:line="240" w:lineRule="auto"/>
        <w:jc w:val="both"/>
      </w:pPr>
      <w:r w:rsidRPr="00DF4F29">
        <w:t xml:space="preserve">Výkonný výbor </w:t>
      </w:r>
      <w:r>
        <w:t xml:space="preserve">bude </w:t>
      </w:r>
      <w:r w:rsidRPr="00DF4F29">
        <w:t>koordin</w:t>
      </w:r>
      <w:r>
        <w:t>ovat</w:t>
      </w:r>
      <w:r w:rsidRPr="00DF4F29">
        <w:t xml:space="preserve"> a říd</w:t>
      </w:r>
      <w:r>
        <w:t>it</w:t>
      </w:r>
      <w:r w:rsidRPr="00DF4F29">
        <w:t xml:space="preserve"> realizaci jednotlivých aktivit projektu</w:t>
      </w:r>
      <w:r>
        <w:t xml:space="preserve"> sdílených činností,</w:t>
      </w:r>
      <w:r w:rsidRPr="00DF4F29">
        <w:t xml:space="preserve"> </w:t>
      </w:r>
      <w:r>
        <w:t xml:space="preserve">bude </w:t>
      </w:r>
      <w:r w:rsidRPr="004031ED">
        <w:rPr>
          <w:b/>
        </w:rPr>
        <w:t>zodpovídat za realizaci aktivit projektu sdílených činností v</w:t>
      </w:r>
      <w:r>
        <w:rPr>
          <w:b/>
        </w:rPr>
        <w:t xml:space="preserve"> souladu s projektovým záměrem,</w:t>
      </w:r>
      <w:r w:rsidRPr="004031ED">
        <w:rPr>
          <w:b/>
        </w:rPr>
        <w:t xml:space="preserve"> rozhodnutími </w:t>
      </w:r>
      <w:r>
        <w:rPr>
          <w:b/>
        </w:rPr>
        <w:t>ř</w:t>
      </w:r>
      <w:r w:rsidRPr="004031ED">
        <w:rPr>
          <w:b/>
        </w:rPr>
        <w:t>ídicího výboru</w:t>
      </w:r>
      <w:r>
        <w:rPr>
          <w:b/>
        </w:rPr>
        <w:t xml:space="preserve"> a </w:t>
      </w:r>
      <w:r w:rsidRPr="00B42E67">
        <w:rPr>
          <w:b/>
        </w:rPr>
        <w:t>potřebami cílové / uživatelské komunity</w:t>
      </w:r>
      <w:r>
        <w:t xml:space="preserve"> a takto bude plnit roli implementačního orgánu projektu. Výkonný výbor bude z</w:t>
      </w:r>
      <w:r w:rsidRPr="00DF4F29">
        <w:t>pracová</w:t>
      </w:r>
      <w:r>
        <w:t xml:space="preserve">vat </w:t>
      </w:r>
      <w:r>
        <w:rPr>
          <w:b/>
        </w:rPr>
        <w:t>periodické</w:t>
      </w:r>
      <w:r w:rsidRPr="004031ED">
        <w:rPr>
          <w:b/>
        </w:rPr>
        <w:t xml:space="preserve"> zprávy o </w:t>
      </w:r>
      <w:r>
        <w:rPr>
          <w:b/>
        </w:rPr>
        <w:t>realizaci</w:t>
      </w:r>
      <w:r w:rsidRPr="004031ED">
        <w:rPr>
          <w:b/>
        </w:rPr>
        <w:t xml:space="preserve"> projektu</w:t>
      </w:r>
      <w:r>
        <w:rPr>
          <w:b/>
        </w:rPr>
        <w:t xml:space="preserve"> sdílených činností</w:t>
      </w:r>
      <w:r>
        <w:t xml:space="preserve"> a</w:t>
      </w:r>
      <w:r w:rsidRPr="00DF4F29">
        <w:t xml:space="preserve"> předklád</w:t>
      </w:r>
      <w:r>
        <w:t>at je k projednání ř</w:t>
      </w:r>
      <w:r w:rsidRPr="00DF4F29">
        <w:t xml:space="preserve">ídicímu výboru a </w:t>
      </w:r>
      <w:r>
        <w:t>poskytovateli, tzn. MŠMT. Bude z</w:t>
      </w:r>
      <w:r w:rsidRPr="00DF4F29">
        <w:t>odpovědn</w:t>
      </w:r>
      <w:r>
        <w:t>ý</w:t>
      </w:r>
      <w:r w:rsidRPr="00DF4F29">
        <w:t xml:space="preserve"> za dodržování rozpočtu projektu a za efektivní hospodaření s</w:t>
      </w:r>
      <w:r>
        <w:t xml:space="preserve"> poskytnutými </w:t>
      </w:r>
      <w:r w:rsidRPr="00DF4F29">
        <w:t>finančními prostředky</w:t>
      </w:r>
      <w:r>
        <w:t xml:space="preserve"> podpory.</w:t>
      </w:r>
    </w:p>
    <w:p w14:paraId="242CE9A6" w14:textId="77777777" w:rsidR="00345346" w:rsidRDefault="00345346" w:rsidP="00345346">
      <w:pPr>
        <w:spacing w:after="0" w:line="240" w:lineRule="auto"/>
        <w:jc w:val="both"/>
      </w:pPr>
    </w:p>
    <w:p w14:paraId="5E1DF760" w14:textId="1ACECC39" w:rsidR="009C249A" w:rsidRDefault="00345346" w:rsidP="00345346">
      <w:pPr>
        <w:spacing w:after="0" w:line="240" w:lineRule="auto"/>
        <w:jc w:val="both"/>
      </w:pPr>
      <w:r>
        <w:t>Výkonný</w:t>
      </w:r>
      <w:r w:rsidRPr="00DF4F29">
        <w:t xml:space="preserve"> výbor bude složen z</w:t>
      </w:r>
      <w:r>
        <w:t xml:space="preserve"> </w:t>
      </w:r>
      <w:r>
        <w:rPr>
          <w:b/>
        </w:rPr>
        <w:t>příslušných</w:t>
      </w:r>
      <w:r w:rsidRPr="004031ED">
        <w:rPr>
          <w:b/>
        </w:rPr>
        <w:t xml:space="preserve"> zástupců příjemce</w:t>
      </w:r>
      <w:r>
        <w:t xml:space="preserve"> </w:t>
      </w:r>
      <w:r w:rsidRPr="00E24ED4">
        <w:rPr>
          <w:b/>
        </w:rPr>
        <w:t>a dalších účastníků projektu</w:t>
      </w:r>
      <w:r>
        <w:t xml:space="preserve">, tzn., </w:t>
      </w:r>
      <w:r w:rsidRPr="008E7972">
        <w:t xml:space="preserve">TC </w:t>
      </w:r>
      <w:r>
        <w:t>AV ČR –</w:t>
      </w:r>
      <w:r w:rsidRPr="008E7972">
        <w:t xml:space="preserve"> příjemce</w:t>
      </w:r>
      <w:r>
        <w:t>;</w:t>
      </w:r>
      <w:r w:rsidRPr="008E7972">
        <w:t xml:space="preserve"> </w:t>
      </w:r>
      <w:r>
        <w:t xml:space="preserve">a NKC a EURAXESS ČR – </w:t>
      </w:r>
      <w:r w:rsidRPr="008E7972">
        <w:t xml:space="preserve">další </w:t>
      </w:r>
      <w:r>
        <w:t xml:space="preserve">účastníci. </w:t>
      </w:r>
      <w:r w:rsidRPr="00DF4F29">
        <w:t xml:space="preserve">Výkonný výbor se bude scházet </w:t>
      </w:r>
      <w:r w:rsidRPr="009814E2">
        <w:rPr>
          <w:b/>
        </w:rPr>
        <w:t>nejméně třikrát ročně</w:t>
      </w:r>
      <w:r w:rsidRPr="00DF4F29">
        <w:t xml:space="preserve"> a na svých jednáních bude projednávat stav řešení projektu a navrhovat opatření</w:t>
      </w:r>
      <w:r>
        <w:t xml:space="preserve"> k projednání řídicím výborem</w:t>
      </w:r>
      <w:r w:rsidRPr="00DF4F29">
        <w:t xml:space="preserve"> </w:t>
      </w:r>
      <w:r>
        <w:t>s cílem</w:t>
      </w:r>
      <w:r w:rsidRPr="00DF4F29">
        <w:t xml:space="preserve"> zajištění efektivní, věcné a</w:t>
      </w:r>
      <w:r>
        <w:t> </w:t>
      </w:r>
      <w:r w:rsidRPr="00DF4F29">
        <w:t>časové návaznosti realizovaných aktivit</w:t>
      </w:r>
      <w:r>
        <w:t xml:space="preserve">, aby tyto v maximální možné míře naplňovaly poptávku </w:t>
      </w:r>
      <w:r w:rsidRPr="003A5717">
        <w:t>cílové / uživatelské komunity</w:t>
      </w:r>
      <w:r>
        <w:t xml:space="preserve"> projektu</w:t>
      </w:r>
      <w:r w:rsidRPr="00DF4F29">
        <w:t xml:space="preserve">. Výkonný výbor bude při </w:t>
      </w:r>
      <w:r>
        <w:t>realizaci projektu sdílených činností</w:t>
      </w:r>
      <w:r w:rsidRPr="00DF4F29">
        <w:t xml:space="preserve"> </w:t>
      </w:r>
      <w:r>
        <w:t>následovat návrhy a doporučení ř</w:t>
      </w:r>
      <w:r w:rsidRPr="00DF4F29">
        <w:t>ídicího výboru.</w:t>
      </w:r>
    </w:p>
    <w:p w14:paraId="598CD4D9" w14:textId="77777777" w:rsidR="00345346" w:rsidRDefault="00345346" w:rsidP="00345346">
      <w:pPr>
        <w:pStyle w:val="Nadpis1"/>
        <w:numPr>
          <w:ilvl w:val="0"/>
          <w:numId w:val="3"/>
        </w:numPr>
        <w:spacing w:before="240" w:after="240" w:line="240" w:lineRule="auto"/>
        <w:ind w:left="431" w:hanging="431"/>
        <w:jc w:val="both"/>
      </w:pPr>
      <w:bookmarkStart w:id="52" w:name="_Toc54089174"/>
      <w:bookmarkStart w:id="53" w:name="_Toc55466831"/>
      <w:r>
        <w:t>MONITORING a evaluace</w:t>
      </w:r>
      <w:bookmarkEnd w:id="52"/>
      <w:bookmarkEnd w:id="53"/>
    </w:p>
    <w:p w14:paraId="0ACE6D9D" w14:textId="77777777" w:rsidR="00345346" w:rsidRDefault="00345346" w:rsidP="00345346">
      <w:pPr>
        <w:spacing w:line="240" w:lineRule="auto"/>
        <w:jc w:val="both"/>
        <w:rPr>
          <w:rFonts w:eastAsia="Verdana"/>
        </w:rPr>
      </w:pPr>
      <w:r>
        <w:rPr>
          <w:rFonts w:eastAsia="Verdana"/>
        </w:rPr>
        <w:t xml:space="preserve">Projekt sdílených činností bude v průběhu realizace periodicky </w:t>
      </w:r>
      <w:r w:rsidRPr="00A20025">
        <w:rPr>
          <w:rFonts w:eastAsia="Verdana"/>
        </w:rPr>
        <w:t>monitorován</w:t>
      </w:r>
      <w:r>
        <w:rPr>
          <w:rFonts w:eastAsia="Verdana"/>
        </w:rPr>
        <w:t xml:space="preserve">, co do naplňování předjímaných aktivit, a evaluován, co se týká souladu realizovaných aktivit s cíli projektu, a to včetně </w:t>
      </w:r>
      <w:r w:rsidRPr="00A8660C">
        <w:rPr>
          <w:rFonts w:eastAsia="Verdana"/>
        </w:rPr>
        <w:t xml:space="preserve">kontroly čerpání a </w:t>
      </w:r>
      <w:r>
        <w:rPr>
          <w:rFonts w:eastAsia="Verdana"/>
        </w:rPr>
        <w:t>využití</w:t>
      </w:r>
      <w:r w:rsidRPr="00A8660C">
        <w:rPr>
          <w:rFonts w:eastAsia="Verdana"/>
        </w:rPr>
        <w:t xml:space="preserve"> </w:t>
      </w:r>
      <w:r>
        <w:rPr>
          <w:rFonts w:eastAsia="Verdana"/>
        </w:rPr>
        <w:t xml:space="preserve">finančních prostředků </w:t>
      </w:r>
      <w:r w:rsidRPr="00A8660C">
        <w:rPr>
          <w:rFonts w:eastAsia="Verdana"/>
        </w:rPr>
        <w:t>podpory</w:t>
      </w:r>
      <w:r>
        <w:rPr>
          <w:rFonts w:eastAsia="Verdana"/>
        </w:rPr>
        <w:t>.</w:t>
      </w:r>
    </w:p>
    <w:p w14:paraId="2C4FDF47" w14:textId="77777777" w:rsidR="00345346" w:rsidRPr="001534FC" w:rsidRDefault="00345346" w:rsidP="00345346">
      <w:pPr>
        <w:pStyle w:val="Nadpis2"/>
        <w:ind w:left="0" w:firstLine="0"/>
      </w:pPr>
      <w:r>
        <w:t xml:space="preserve"> </w:t>
      </w:r>
      <w:bookmarkStart w:id="54" w:name="_Toc54089175"/>
      <w:bookmarkStart w:id="55" w:name="_Toc55466832"/>
      <w:proofErr w:type="spellStart"/>
      <w:r w:rsidRPr="001534FC">
        <w:t>Progress</w:t>
      </w:r>
      <w:proofErr w:type="spellEnd"/>
      <w:r w:rsidRPr="001534FC">
        <w:t xml:space="preserve"> report</w:t>
      </w:r>
      <w:bookmarkEnd w:id="54"/>
      <w:bookmarkEnd w:id="55"/>
    </w:p>
    <w:p w14:paraId="0F3565F6" w14:textId="77777777" w:rsidR="00345346" w:rsidRDefault="00345346" w:rsidP="00345346">
      <w:pPr>
        <w:spacing w:after="0" w:line="240" w:lineRule="auto"/>
        <w:jc w:val="both"/>
      </w:pPr>
      <w:r>
        <w:t xml:space="preserve">První z periodických zpráv o realizaci projektu sdílených činností bude </w:t>
      </w:r>
      <w:proofErr w:type="spellStart"/>
      <w:r w:rsidRPr="00E24ED4">
        <w:rPr>
          <w:i/>
        </w:rPr>
        <w:t>progress</w:t>
      </w:r>
      <w:proofErr w:type="spellEnd"/>
      <w:r w:rsidRPr="00E24ED4">
        <w:rPr>
          <w:i/>
        </w:rPr>
        <w:t xml:space="preserve"> report</w:t>
      </w:r>
      <w:r>
        <w:t xml:space="preserve">. Tento bude vypracováván výkonným výborem a předkládán </w:t>
      </w:r>
      <w:r w:rsidRPr="00CD16C7">
        <w:rPr>
          <w:b/>
        </w:rPr>
        <w:t>třikrát ročně</w:t>
      </w:r>
      <w:r>
        <w:t xml:space="preserve"> řídicímu výboru. </w:t>
      </w:r>
      <w:proofErr w:type="spellStart"/>
      <w:r w:rsidRPr="00E24ED4">
        <w:rPr>
          <w:i/>
        </w:rPr>
        <w:t>Progress</w:t>
      </w:r>
      <w:proofErr w:type="spellEnd"/>
      <w:r w:rsidRPr="00E24ED4">
        <w:rPr>
          <w:i/>
        </w:rPr>
        <w:t xml:space="preserve"> report</w:t>
      </w:r>
      <w:r>
        <w:t xml:space="preserve"> bude zpravidla informovat o realizaci dílčích aktivit projektu sdílených činností, čerpání finančních prostředků podpory a o eventuálních návrzích na modifikaci dílčích aktivit </w:t>
      </w:r>
      <w:r w:rsidRPr="003A5717">
        <w:t>projektu sdílených činností</w:t>
      </w:r>
      <w:r>
        <w:t xml:space="preserve"> tak, aby lépe reflektovaly poptávku </w:t>
      </w:r>
      <w:r w:rsidRPr="003A5717">
        <w:t>cílové / uživatelské komunity</w:t>
      </w:r>
      <w:r>
        <w:t xml:space="preserve"> projektu.</w:t>
      </w:r>
    </w:p>
    <w:p w14:paraId="0E954691" w14:textId="77777777" w:rsidR="00345346" w:rsidRPr="001534FC" w:rsidRDefault="00345346" w:rsidP="00345346">
      <w:pPr>
        <w:pStyle w:val="Nadpis2"/>
        <w:ind w:left="0" w:firstLine="0"/>
      </w:pPr>
      <w:r>
        <w:t xml:space="preserve"> </w:t>
      </w:r>
      <w:bookmarkStart w:id="56" w:name="_Toc54089176"/>
      <w:bookmarkStart w:id="57" w:name="_Toc55466833"/>
      <w:proofErr w:type="spellStart"/>
      <w:r w:rsidRPr="001534FC">
        <w:t>Annual</w:t>
      </w:r>
      <w:proofErr w:type="spellEnd"/>
      <w:r w:rsidRPr="001534FC">
        <w:t xml:space="preserve"> report</w:t>
      </w:r>
      <w:bookmarkEnd w:id="56"/>
      <w:bookmarkEnd w:id="57"/>
    </w:p>
    <w:p w14:paraId="0FC0E4FF" w14:textId="77777777" w:rsidR="00345346" w:rsidRDefault="00345346" w:rsidP="00345346">
      <w:pPr>
        <w:pBdr>
          <w:top w:val="nil"/>
          <w:left w:val="nil"/>
          <w:bottom w:val="nil"/>
          <w:right w:val="nil"/>
          <w:between w:val="nil"/>
        </w:pBdr>
        <w:spacing w:after="0" w:line="240" w:lineRule="auto"/>
        <w:jc w:val="both"/>
        <w:rPr>
          <w:rFonts w:eastAsia="Verdana"/>
          <w:color w:val="000000"/>
        </w:rPr>
      </w:pPr>
      <w:r>
        <w:t xml:space="preserve">Druhou z periodických zpráv o realizaci projektu sdílených činností bude </w:t>
      </w:r>
      <w:proofErr w:type="spellStart"/>
      <w:r w:rsidRPr="00E24ED4">
        <w:rPr>
          <w:i/>
        </w:rPr>
        <w:t>annual</w:t>
      </w:r>
      <w:proofErr w:type="spellEnd"/>
      <w:r w:rsidRPr="00E24ED4">
        <w:rPr>
          <w:i/>
        </w:rPr>
        <w:t xml:space="preserve"> report</w:t>
      </w:r>
      <w:r>
        <w:t xml:space="preserve">, tzn., výroční zpráva. Výroční zpráva bude vypracována výkonným výborem a vždy </w:t>
      </w:r>
      <w:r w:rsidRPr="00A8660C">
        <w:rPr>
          <w:b/>
        </w:rPr>
        <w:t>jedenkrát ročně</w:t>
      </w:r>
      <w:r>
        <w:t xml:space="preserve"> předložena poskytovateli, tzn., MŠMT. Výroční zpráva bude shrnovat informace z </w:t>
      </w:r>
      <w:proofErr w:type="spellStart"/>
      <w:r w:rsidRPr="009E75B8">
        <w:rPr>
          <w:i/>
        </w:rPr>
        <w:t>progress</w:t>
      </w:r>
      <w:proofErr w:type="spellEnd"/>
      <w:r w:rsidRPr="009E75B8">
        <w:rPr>
          <w:i/>
        </w:rPr>
        <w:t xml:space="preserve"> reportů</w:t>
      </w:r>
      <w:r>
        <w:t xml:space="preserve"> vypracovaných v daném roce. Zároveň bude obsahovat i přehled čerpání finančních prostředků podpory poskytnuté ve sledovaném roce řešení projektu. Výroční z</w:t>
      </w:r>
      <w:r w:rsidRPr="00A8660C">
        <w:rPr>
          <w:rFonts w:eastAsia="Verdana"/>
          <w:color w:val="000000"/>
        </w:rPr>
        <w:t xml:space="preserve">práva </w:t>
      </w:r>
      <w:r>
        <w:rPr>
          <w:rFonts w:eastAsia="Verdana"/>
          <w:color w:val="000000"/>
        </w:rPr>
        <w:t>bude pro informaci předkládána p</w:t>
      </w:r>
      <w:r w:rsidRPr="00A8660C">
        <w:rPr>
          <w:rFonts w:eastAsia="Verdana"/>
          <w:color w:val="000000"/>
        </w:rPr>
        <w:t>oradě vedení MŠMT.</w:t>
      </w:r>
    </w:p>
    <w:p w14:paraId="761DC694" w14:textId="77777777" w:rsidR="00345346" w:rsidRPr="001534FC" w:rsidRDefault="00345346" w:rsidP="00345346">
      <w:pPr>
        <w:pStyle w:val="Nadpis2"/>
        <w:ind w:left="0" w:firstLine="0"/>
      </w:pPr>
      <w:r>
        <w:t xml:space="preserve"> </w:t>
      </w:r>
      <w:bookmarkStart w:id="58" w:name="_Toc54089177"/>
      <w:bookmarkStart w:id="59" w:name="_Toc55466834"/>
      <w:proofErr w:type="spellStart"/>
      <w:r w:rsidRPr="001534FC">
        <w:t>Evaluation</w:t>
      </w:r>
      <w:proofErr w:type="spellEnd"/>
      <w:r w:rsidRPr="001534FC">
        <w:t xml:space="preserve"> report</w:t>
      </w:r>
      <w:bookmarkEnd w:id="58"/>
      <w:bookmarkEnd w:id="59"/>
    </w:p>
    <w:p w14:paraId="6F580197" w14:textId="77777777" w:rsidR="00345346" w:rsidRDefault="00345346" w:rsidP="00345346">
      <w:pPr>
        <w:pBdr>
          <w:top w:val="nil"/>
          <w:left w:val="nil"/>
          <w:bottom w:val="nil"/>
          <w:right w:val="nil"/>
          <w:between w:val="nil"/>
        </w:pBdr>
        <w:spacing w:after="0" w:line="240" w:lineRule="auto"/>
        <w:jc w:val="both"/>
        <w:rPr>
          <w:rFonts w:eastAsia="Verdana"/>
          <w:color w:val="000000"/>
        </w:rPr>
      </w:pPr>
      <w:r>
        <w:t xml:space="preserve">Třetí z periodických zpráv o realizaci projektu sdílených činností bude </w:t>
      </w:r>
      <w:proofErr w:type="spellStart"/>
      <w:r w:rsidRPr="009E75B8">
        <w:rPr>
          <w:i/>
        </w:rPr>
        <w:t>evaluation</w:t>
      </w:r>
      <w:proofErr w:type="spellEnd"/>
      <w:r w:rsidRPr="009E75B8">
        <w:rPr>
          <w:i/>
        </w:rPr>
        <w:t xml:space="preserve"> report</w:t>
      </w:r>
      <w:r>
        <w:t xml:space="preserve">. Tato evaluační zpráva bude vypracována výkonným výborem </w:t>
      </w:r>
      <w:r>
        <w:rPr>
          <w:b/>
        </w:rPr>
        <w:t xml:space="preserve">v </w:t>
      </w:r>
      <w:r w:rsidRPr="00DC76F6">
        <w:rPr>
          <w:b/>
        </w:rPr>
        <w:t>4. čtvrtletí 2024 a 4. čtvrtletí 2027</w:t>
      </w:r>
      <w:r>
        <w:t xml:space="preserve">. </w:t>
      </w:r>
      <w:r w:rsidRPr="00A8660C">
        <w:rPr>
          <w:rFonts w:eastAsia="Verdana"/>
          <w:color w:val="000000"/>
        </w:rPr>
        <w:t xml:space="preserve">Na základě </w:t>
      </w:r>
      <w:r>
        <w:rPr>
          <w:rFonts w:eastAsia="Verdana"/>
          <w:color w:val="000000"/>
        </w:rPr>
        <w:t xml:space="preserve">evaluační zprávy </w:t>
      </w:r>
      <w:r w:rsidRPr="00A8660C">
        <w:rPr>
          <w:rFonts w:eastAsia="Verdana"/>
          <w:color w:val="000000"/>
        </w:rPr>
        <w:t xml:space="preserve">bude </w:t>
      </w:r>
      <w:r>
        <w:rPr>
          <w:rFonts w:eastAsia="Verdana"/>
          <w:color w:val="000000"/>
        </w:rPr>
        <w:t xml:space="preserve">pak </w:t>
      </w:r>
      <w:r w:rsidRPr="00A8660C">
        <w:rPr>
          <w:rFonts w:eastAsia="Verdana"/>
          <w:color w:val="000000"/>
        </w:rPr>
        <w:t>poskytovatel</w:t>
      </w:r>
      <w:r>
        <w:rPr>
          <w:rFonts w:eastAsia="Verdana"/>
          <w:color w:val="000000"/>
        </w:rPr>
        <w:t>, tzn., MŠMT,</w:t>
      </w:r>
      <w:r w:rsidRPr="00A8660C">
        <w:rPr>
          <w:rFonts w:eastAsia="Verdana"/>
          <w:color w:val="000000"/>
        </w:rPr>
        <w:t xml:space="preserve"> v souladu s</w:t>
      </w:r>
      <w:r>
        <w:rPr>
          <w:rFonts w:eastAsia="Verdana"/>
          <w:color w:val="000000"/>
        </w:rPr>
        <w:t> </w:t>
      </w:r>
      <w:proofErr w:type="spellStart"/>
      <w:r w:rsidRPr="00F52A84">
        <w:rPr>
          <w:rFonts w:eastAsia="Verdana"/>
          <w:color w:val="000000"/>
        </w:rPr>
        <w:t>ust</w:t>
      </w:r>
      <w:proofErr w:type="spellEnd"/>
      <w:r w:rsidRPr="00F52A84">
        <w:rPr>
          <w:rFonts w:eastAsia="Verdana"/>
          <w:color w:val="000000"/>
        </w:rPr>
        <w:t xml:space="preserve">. § 13 zákona </w:t>
      </w:r>
      <w:r w:rsidRPr="00F52A84">
        <w:rPr>
          <w:rFonts w:eastAsia="Verdana"/>
          <w:color w:val="000000"/>
        </w:rPr>
        <w:lastRenderedPageBreak/>
        <w:t>o podpoře výzkumu, experimentálního vývoje a inovací p</w:t>
      </w:r>
      <w:r>
        <w:rPr>
          <w:rFonts w:eastAsia="Verdana"/>
          <w:color w:val="000000"/>
        </w:rPr>
        <w:t>rovádět kontrolu</w:t>
      </w:r>
      <w:r w:rsidRPr="00A8660C">
        <w:rPr>
          <w:rFonts w:eastAsia="Verdana"/>
          <w:color w:val="000000"/>
        </w:rPr>
        <w:t xml:space="preserve"> soulad</w:t>
      </w:r>
      <w:r>
        <w:rPr>
          <w:rFonts w:eastAsia="Verdana"/>
          <w:color w:val="000000"/>
        </w:rPr>
        <w:t>u</w:t>
      </w:r>
      <w:r w:rsidRPr="00A8660C">
        <w:rPr>
          <w:rFonts w:eastAsia="Verdana"/>
          <w:color w:val="000000"/>
        </w:rPr>
        <w:t xml:space="preserve"> plnění cílů projektu, </w:t>
      </w:r>
      <w:r>
        <w:rPr>
          <w:rFonts w:eastAsia="Verdana"/>
          <w:color w:val="000000"/>
        </w:rPr>
        <w:t xml:space="preserve">a to </w:t>
      </w:r>
      <w:r w:rsidRPr="00A8660C">
        <w:rPr>
          <w:rFonts w:eastAsia="Verdana"/>
          <w:color w:val="000000"/>
        </w:rPr>
        <w:t xml:space="preserve">včetně kontroly čerpání a </w:t>
      </w:r>
      <w:r>
        <w:rPr>
          <w:rFonts w:eastAsia="Verdana"/>
          <w:color w:val="000000"/>
        </w:rPr>
        <w:t>využití</w:t>
      </w:r>
      <w:r w:rsidRPr="00A8660C">
        <w:rPr>
          <w:rFonts w:eastAsia="Verdana"/>
          <w:color w:val="000000"/>
        </w:rPr>
        <w:t xml:space="preserve"> </w:t>
      </w:r>
      <w:r>
        <w:rPr>
          <w:rFonts w:eastAsia="Verdana"/>
          <w:color w:val="000000"/>
        </w:rPr>
        <w:t xml:space="preserve">prostředků </w:t>
      </w:r>
      <w:r w:rsidRPr="00A8660C">
        <w:rPr>
          <w:rFonts w:eastAsia="Verdana"/>
          <w:color w:val="000000"/>
        </w:rPr>
        <w:t xml:space="preserve">podpory podle zásad </w:t>
      </w:r>
      <w:r>
        <w:rPr>
          <w:rFonts w:eastAsia="Verdana"/>
          <w:color w:val="000000"/>
        </w:rPr>
        <w:t>tzv. „3E“ (tzn., účelnost, efektivnost</w:t>
      </w:r>
      <w:r w:rsidRPr="00A8660C">
        <w:rPr>
          <w:rFonts w:eastAsia="Verdana"/>
          <w:color w:val="000000"/>
        </w:rPr>
        <w:t xml:space="preserve"> a</w:t>
      </w:r>
      <w:r>
        <w:rPr>
          <w:rFonts w:eastAsia="Verdana"/>
          <w:color w:val="000000"/>
        </w:rPr>
        <w:t> </w:t>
      </w:r>
      <w:r w:rsidRPr="00A8660C">
        <w:rPr>
          <w:rFonts w:eastAsia="Verdana"/>
          <w:color w:val="000000"/>
        </w:rPr>
        <w:t>hospodár</w:t>
      </w:r>
      <w:r>
        <w:rPr>
          <w:rFonts w:eastAsia="Verdana"/>
          <w:color w:val="000000"/>
        </w:rPr>
        <w:t>nost),</w:t>
      </w:r>
      <w:r w:rsidRPr="00A8660C">
        <w:rPr>
          <w:rFonts w:eastAsia="Verdana"/>
          <w:color w:val="000000"/>
        </w:rPr>
        <w:t xml:space="preserve"> se smlouvou o poskytnutí podpory. Poskytovatel bude</w:t>
      </w:r>
      <w:r>
        <w:rPr>
          <w:rFonts w:eastAsia="Verdana"/>
          <w:color w:val="000000"/>
        </w:rPr>
        <w:t xml:space="preserve"> </w:t>
      </w:r>
      <w:r w:rsidRPr="00A8660C">
        <w:rPr>
          <w:rFonts w:eastAsia="Verdana"/>
          <w:color w:val="000000"/>
        </w:rPr>
        <w:t xml:space="preserve">kontrolu provádět s využitím </w:t>
      </w:r>
      <w:r>
        <w:rPr>
          <w:rFonts w:eastAsia="Verdana"/>
          <w:color w:val="000000"/>
        </w:rPr>
        <w:t xml:space="preserve">nástroje </w:t>
      </w:r>
      <w:r w:rsidRPr="00A8660C">
        <w:rPr>
          <w:rFonts w:eastAsia="Verdana"/>
          <w:color w:val="000000"/>
        </w:rPr>
        <w:t>oponentního řízení</w:t>
      </w:r>
      <w:r>
        <w:rPr>
          <w:rFonts w:eastAsia="Verdana"/>
          <w:color w:val="000000"/>
        </w:rPr>
        <w:t xml:space="preserve"> s 2 nezávislými oponenty. Výsledky provedeného oponentního řízení budou pro informaci předloženy p</w:t>
      </w:r>
      <w:r w:rsidRPr="00A8660C">
        <w:rPr>
          <w:rFonts w:eastAsia="Verdana"/>
          <w:color w:val="000000"/>
        </w:rPr>
        <w:t>oradě vedení MŠMT</w:t>
      </w:r>
      <w:r>
        <w:rPr>
          <w:rFonts w:eastAsia="Verdana"/>
          <w:color w:val="000000"/>
        </w:rPr>
        <w:t xml:space="preserve"> a dále také pro informaci členů vlády ČR, a to v termínech do </w:t>
      </w:r>
      <w:r>
        <w:rPr>
          <w:noProof/>
        </w:rPr>
        <w:t>dne 30. června 2025 a 30. června 2028</w:t>
      </w:r>
      <w:r>
        <w:rPr>
          <w:rFonts w:eastAsia="Verdana"/>
          <w:color w:val="000000"/>
        </w:rPr>
        <w:t>.</w:t>
      </w:r>
    </w:p>
    <w:p w14:paraId="1E41F85E" w14:textId="77777777" w:rsidR="00345346" w:rsidRPr="001534FC" w:rsidRDefault="00345346" w:rsidP="00345346">
      <w:pPr>
        <w:pStyle w:val="Nadpis2"/>
        <w:ind w:left="0" w:firstLine="0"/>
      </w:pPr>
      <w:r>
        <w:t xml:space="preserve"> </w:t>
      </w:r>
      <w:bookmarkStart w:id="60" w:name="_Toc54089178"/>
      <w:bookmarkStart w:id="61" w:name="_Toc55466835"/>
      <w:r w:rsidRPr="001534FC">
        <w:t>Klíčové výkonnostní indikátory</w:t>
      </w:r>
      <w:bookmarkEnd w:id="60"/>
      <w:bookmarkEnd w:id="61"/>
    </w:p>
    <w:p w14:paraId="63E1E106" w14:textId="77777777" w:rsidR="00345346" w:rsidRDefault="00345346" w:rsidP="00F679E0">
      <w:pPr>
        <w:pBdr>
          <w:top w:val="nil"/>
          <w:left w:val="nil"/>
          <w:bottom w:val="nil"/>
          <w:right w:val="nil"/>
          <w:between w:val="nil"/>
        </w:pBdr>
        <w:spacing w:after="480" w:line="240" w:lineRule="auto"/>
        <w:jc w:val="both"/>
        <w:rPr>
          <w:rFonts w:eastAsia="Verdana"/>
          <w:color w:val="000000"/>
        </w:rPr>
      </w:pPr>
      <w:r>
        <w:rPr>
          <w:rFonts w:eastAsia="Verdana"/>
          <w:color w:val="000000"/>
        </w:rPr>
        <w:t>Jedním z monitorovacích</w:t>
      </w:r>
      <w:r w:rsidRPr="00D47611">
        <w:rPr>
          <w:rFonts w:eastAsia="Verdana"/>
          <w:color w:val="000000"/>
        </w:rPr>
        <w:t xml:space="preserve"> nástroj</w:t>
      </w:r>
      <w:r>
        <w:rPr>
          <w:rFonts w:eastAsia="Verdana"/>
          <w:color w:val="000000"/>
        </w:rPr>
        <w:t xml:space="preserve">ů realizace projektu sdílených činností bude rovněž </w:t>
      </w:r>
      <w:r w:rsidRPr="00F52A84">
        <w:rPr>
          <w:rFonts w:eastAsia="Verdana"/>
          <w:b/>
          <w:color w:val="000000"/>
        </w:rPr>
        <w:t>soubor</w:t>
      </w:r>
      <w:r w:rsidRPr="00D47611">
        <w:rPr>
          <w:rFonts w:eastAsia="Verdana"/>
          <w:b/>
          <w:color w:val="000000"/>
        </w:rPr>
        <w:t xml:space="preserve"> klíčov</w:t>
      </w:r>
      <w:r>
        <w:rPr>
          <w:rFonts w:eastAsia="Verdana"/>
          <w:b/>
          <w:color w:val="000000"/>
        </w:rPr>
        <w:t>ých</w:t>
      </w:r>
      <w:r w:rsidRPr="00D47611">
        <w:rPr>
          <w:rFonts w:eastAsia="Verdana"/>
          <w:b/>
          <w:color w:val="000000"/>
        </w:rPr>
        <w:t xml:space="preserve"> výkonnostní</w:t>
      </w:r>
      <w:r>
        <w:rPr>
          <w:rFonts w:eastAsia="Verdana"/>
          <w:b/>
          <w:color w:val="000000"/>
        </w:rPr>
        <w:t>ch</w:t>
      </w:r>
      <w:r w:rsidRPr="00D47611">
        <w:rPr>
          <w:rFonts w:eastAsia="Verdana"/>
          <w:b/>
          <w:color w:val="000000"/>
        </w:rPr>
        <w:t xml:space="preserve"> indikátorů</w:t>
      </w:r>
      <w:r>
        <w:rPr>
          <w:rFonts w:eastAsia="Verdana"/>
          <w:color w:val="000000"/>
        </w:rPr>
        <w:t xml:space="preserve"> (dále jen „</w:t>
      </w:r>
      <w:proofErr w:type="spellStart"/>
      <w:r>
        <w:rPr>
          <w:rFonts w:eastAsia="Verdana"/>
          <w:color w:val="000000"/>
        </w:rPr>
        <w:t>KPIs</w:t>
      </w:r>
      <w:proofErr w:type="spellEnd"/>
      <w:r>
        <w:rPr>
          <w:rFonts w:eastAsia="Verdana"/>
          <w:color w:val="000000"/>
        </w:rPr>
        <w:t xml:space="preserve">“). </w:t>
      </w:r>
      <w:r w:rsidRPr="00D47611">
        <w:rPr>
          <w:rFonts w:eastAsia="Verdana"/>
          <w:color w:val="000000"/>
        </w:rPr>
        <w:t>Monitorování</w:t>
      </w:r>
      <w:r>
        <w:rPr>
          <w:rFonts w:eastAsia="Verdana"/>
          <w:color w:val="000000"/>
        </w:rPr>
        <w:t xml:space="preserve"> plnění těchto </w:t>
      </w:r>
      <w:proofErr w:type="spellStart"/>
      <w:r>
        <w:rPr>
          <w:rFonts w:eastAsia="Verdana"/>
          <w:color w:val="000000"/>
        </w:rPr>
        <w:t>KPIs</w:t>
      </w:r>
      <w:proofErr w:type="spellEnd"/>
      <w:r>
        <w:rPr>
          <w:rFonts w:eastAsia="Verdana"/>
          <w:color w:val="000000"/>
        </w:rPr>
        <w:t xml:space="preserve"> bude probíhat každoročně a způsob jejich naplňování bude výkonný výbor předkládat k projednání řídicímu výboru a v rámci výroční zprávy i poskytovateli. Na základě vyhodnocení naplňování </w:t>
      </w:r>
      <w:proofErr w:type="spellStart"/>
      <w:r>
        <w:rPr>
          <w:rFonts w:eastAsia="Verdana"/>
          <w:color w:val="000000"/>
        </w:rPr>
        <w:t>KPIs</w:t>
      </w:r>
      <w:proofErr w:type="spellEnd"/>
      <w:r>
        <w:rPr>
          <w:rFonts w:eastAsia="Verdana"/>
          <w:color w:val="000000"/>
        </w:rPr>
        <w:t xml:space="preserve"> bude řídicí výbor a poskytovatel monitorovat aktivity realizované v rámci projektu, resp. sledovat, zda jsou aktivity realizovány v dostatečném rozsahu, kvalitě a intenzitě.</w:t>
      </w:r>
    </w:p>
    <w:tbl>
      <w:tblPr>
        <w:tblStyle w:val="Mkatabulky"/>
        <w:tblW w:w="0" w:type="auto"/>
        <w:tblLook w:val="04A0" w:firstRow="1" w:lastRow="0" w:firstColumn="1" w:lastColumn="0" w:noHBand="0" w:noVBand="1"/>
      </w:tblPr>
      <w:tblGrid>
        <w:gridCol w:w="3020"/>
        <w:gridCol w:w="3021"/>
        <w:gridCol w:w="3021"/>
      </w:tblGrid>
      <w:tr w:rsidR="009C249A" w:rsidRPr="0035152E" w14:paraId="486A82D4" w14:textId="77777777" w:rsidTr="009C249A">
        <w:tc>
          <w:tcPr>
            <w:tcW w:w="3020" w:type="dxa"/>
          </w:tcPr>
          <w:p w14:paraId="74E5F499" w14:textId="77777777" w:rsidR="009C249A" w:rsidRPr="007D0605" w:rsidRDefault="009C249A" w:rsidP="007D0605">
            <w:pPr>
              <w:spacing w:before="120" w:after="120"/>
              <w:jc w:val="center"/>
              <w:rPr>
                <w:b/>
              </w:rPr>
            </w:pPr>
            <w:r w:rsidRPr="007D0605">
              <w:rPr>
                <w:b/>
              </w:rPr>
              <w:t>Název KPI</w:t>
            </w:r>
          </w:p>
        </w:tc>
        <w:tc>
          <w:tcPr>
            <w:tcW w:w="3021" w:type="dxa"/>
          </w:tcPr>
          <w:p w14:paraId="34E5778F" w14:textId="77777777" w:rsidR="009C249A" w:rsidRPr="007D0605" w:rsidRDefault="009C249A" w:rsidP="007D0605">
            <w:pPr>
              <w:spacing w:before="120" w:after="120"/>
              <w:jc w:val="center"/>
              <w:rPr>
                <w:b/>
              </w:rPr>
            </w:pPr>
            <w:r w:rsidRPr="007D0605">
              <w:rPr>
                <w:b/>
              </w:rPr>
              <w:t>Kategorie KPI</w:t>
            </w:r>
          </w:p>
        </w:tc>
        <w:tc>
          <w:tcPr>
            <w:tcW w:w="3021" w:type="dxa"/>
          </w:tcPr>
          <w:p w14:paraId="62288B07" w14:textId="77777777" w:rsidR="009C249A" w:rsidRPr="007D0605" w:rsidRDefault="009C249A" w:rsidP="007D0605">
            <w:pPr>
              <w:spacing w:before="120" w:after="120"/>
              <w:jc w:val="center"/>
              <w:rPr>
                <w:b/>
              </w:rPr>
            </w:pPr>
            <w:r w:rsidRPr="007D0605">
              <w:rPr>
                <w:b/>
              </w:rPr>
              <w:t>Cílová hodnota KPI*</w:t>
            </w:r>
          </w:p>
        </w:tc>
      </w:tr>
      <w:tr w:rsidR="007D0605" w:rsidRPr="0035152E" w14:paraId="482621B9" w14:textId="77777777" w:rsidTr="00487574">
        <w:tc>
          <w:tcPr>
            <w:tcW w:w="9062" w:type="dxa"/>
            <w:gridSpan w:val="3"/>
            <w:vAlign w:val="center"/>
          </w:tcPr>
          <w:p w14:paraId="1762E634" w14:textId="7405BDC2" w:rsidR="007D0605" w:rsidRPr="007D0605" w:rsidRDefault="007D0605" w:rsidP="007D0605">
            <w:pPr>
              <w:spacing w:before="120" w:after="120"/>
              <w:jc w:val="center"/>
              <w:rPr>
                <w:b/>
              </w:rPr>
            </w:pPr>
            <w:r w:rsidRPr="007D0605">
              <w:rPr>
                <w:b/>
              </w:rPr>
              <w:t>MODUL 1 – NICER</w:t>
            </w:r>
          </w:p>
        </w:tc>
      </w:tr>
      <w:tr w:rsidR="009C249A" w:rsidRPr="0035152E" w14:paraId="4233BD58" w14:textId="77777777" w:rsidTr="009C249A">
        <w:tc>
          <w:tcPr>
            <w:tcW w:w="3020" w:type="dxa"/>
            <w:vAlign w:val="center"/>
          </w:tcPr>
          <w:p w14:paraId="79E87EF6" w14:textId="77777777" w:rsidR="009C249A" w:rsidRPr="007D0605" w:rsidRDefault="009C249A" w:rsidP="007D0605">
            <w:pPr>
              <w:spacing w:before="60" w:after="60"/>
            </w:pPr>
            <w:r w:rsidRPr="007D0605">
              <w:t>Organizace národních informačních akcí</w:t>
            </w:r>
          </w:p>
        </w:tc>
        <w:tc>
          <w:tcPr>
            <w:tcW w:w="3021" w:type="dxa"/>
            <w:vAlign w:val="center"/>
          </w:tcPr>
          <w:p w14:paraId="675B8B84" w14:textId="4B232785"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3E043360" w14:textId="5FFEAC78" w:rsidR="009C249A" w:rsidRPr="007D0605" w:rsidRDefault="009C249A" w:rsidP="00D046E4">
            <w:pPr>
              <w:spacing w:before="60" w:after="60"/>
              <w:jc w:val="center"/>
            </w:pPr>
            <w:r w:rsidRPr="007D0605">
              <w:t>30</w:t>
            </w:r>
            <w:r w:rsidR="007D0605">
              <w:t xml:space="preserve"> </w:t>
            </w:r>
            <w:r w:rsidRPr="007D0605">
              <w:t>/</w:t>
            </w:r>
            <w:r w:rsidR="007D0605">
              <w:t xml:space="preserve"> </w:t>
            </w:r>
            <w:r w:rsidRPr="007D0605">
              <w:t>rok</w:t>
            </w:r>
          </w:p>
        </w:tc>
      </w:tr>
      <w:tr w:rsidR="009C249A" w:rsidRPr="0035152E" w14:paraId="474E35BD" w14:textId="77777777" w:rsidTr="009C249A">
        <w:tc>
          <w:tcPr>
            <w:tcW w:w="3020" w:type="dxa"/>
            <w:vAlign w:val="center"/>
          </w:tcPr>
          <w:p w14:paraId="55F3C025" w14:textId="77777777" w:rsidR="009C249A" w:rsidRPr="007D0605" w:rsidRDefault="009C249A" w:rsidP="007D0605">
            <w:pPr>
              <w:spacing w:before="60" w:after="60"/>
            </w:pPr>
            <w:r w:rsidRPr="007D0605">
              <w:t>Organizace mezinárodních informačních akcí</w:t>
            </w:r>
          </w:p>
        </w:tc>
        <w:tc>
          <w:tcPr>
            <w:tcW w:w="3021" w:type="dxa"/>
            <w:vAlign w:val="center"/>
          </w:tcPr>
          <w:p w14:paraId="031F29DB" w14:textId="414A3C36"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5D9564F0" w14:textId="63292245" w:rsidR="009C249A" w:rsidRPr="007D0605" w:rsidRDefault="009C249A" w:rsidP="00D046E4">
            <w:pPr>
              <w:spacing w:before="60" w:after="60"/>
              <w:jc w:val="center"/>
            </w:pPr>
            <w:r w:rsidRPr="007D0605">
              <w:t>3</w:t>
            </w:r>
            <w:r w:rsidR="007D0605">
              <w:t xml:space="preserve"> </w:t>
            </w:r>
            <w:r w:rsidRPr="007D0605">
              <w:t>/</w:t>
            </w:r>
            <w:r w:rsidR="007D0605">
              <w:t xml:space="preserve"> </w:t>
            </w:r>
            <w:r w:rsidRPr="007D0605">
              <w:t>rok</w:t>
            </w:r>
          </w:p>
        </w:tc>
      </w:tr>
      <w:tr w:rsidR="009C249A" w:rsidRPr="0035152E" w14:paraId="4F0623F3" w14:textId="77777777" w:rsidTr="009C249A">
        <w:tc>
          <w:tcPr>
            <w:tcW w:w="3020" w:type="dxa"/>
            <w:vAlign w:val="center"/>
          </w:tcPr>
          <w:p w14:paraId="1E706961" w14:textId="7B631AD0" w:rsidR="009C249A" w:rsidRPr="007D0605" w:rsidRDefault="009C249A" w:rsidP="007D0605">
            <w:pPr>
              <w:spacing w:before="60" w:after="60"/>
            </w:pPr>
            <w:r w:rsidRPr="007D0605">
              <w:t>Počet prezentací na</w:t>
            </w:r>
            <w:r w:rsidR="007D0605">
              <w:t> </w:t>
            </w:r>
            <w:r w:rsidRPr="007D0605">
              <w:t>národních a</w:t>
            </w:r>
            <w:r w:rsidR="007D0605">
              <w:t> </w:t>
            </w:r>
            <w:r w:rsidRPr="007D0605">
              <w:t>mezinárodních akcích</w:t>
            </w:r>
          </w:p>
        </w:tc>
        <w:tc>
          <w:tcPr>
            <w:tcW w:w="3021" w:type="dxa"/>
            <w:vAlign w:val="center"/>
          </w:tcPr>
          <w:p w14:paraId="59878049" w14:textId="77777777" w:rsidR="009C249A" w:rsidRPr="007D0605" w:rsidRDefault="009C249A" w:rsidP="00D046E4">
            <w:pPr>
              <w:spacing w:before="60" w:after="60"/>
              <w:jc w:val="center"/>
            </w:pPr>
            <w:r w:rsidRPr="007D0605">
              <w:t>kvantitativní</w:t>
            </w:r>
          </w:p>
        </w:tc>
        <w:tc>
          <w:tcPr>
            <w:tcW w:w="3021" w:type="dxa"/>
            <w:vAlign w:val="center"/>
          </w:tcPr>
          <w:p w14:paraId="3E514663" w14:textId="78F84130" w:rsidR="009C249A" w:rsidRPr="007D0605" w:rsidRDefault="009C249A" w:rsidP="00D046E4">
            <w:pPr>
              <w:spacing w:before="60" w:after="60"/>
              <w:jc w:val="center"/>
            </w:pPr>
            <w:r w:rsidRPr="007D0605">
              <w:t>90</w:t>
            </w:r>
            <w:r w:rsidR="007D0605">
              <w:t xml:space="preserve"> </w:t>
            </w:r>
            <w:r w:rsidRPr="007D0605">
              <w:t>/</w:t>
            </w:r>
            <w:r w:rsidR="007D0605">
              <w:t xml:space="preserve"> </w:t>
            </w:r>
            <w:r w:rsidRPr="007D0605">
              <w:t>rok</w:t>
            </w:r>
          </w:p>
        </w:tc>
      </w:tr>
      <w:tr w:rsidR="009C249A" w:rsidRPr="0035152E" w14:paraId="2A958249" w14:textId="77777777" w:rsidTr="009C249A">
        <w:tc>
          <w:tcPr>
            <w:tcW w:w="3020" w:type="dxa"/>
            <w:vAlign w:val="center"/>
          </w:tcPr>
          <w:p w14:paraId="399DEEE7" w14:textId="77777777" w:rsidR="009C249A" w:rsidRPr="007D0605" w:rsidRDefault="009C249A" w:rsidP="007D0605">
            <w:pPr>
              <w:spacing w:before="60" w:after="60"/>
            </w:pPr>
            <w:r w:rsidRPr="007D0605">
              <w:t>Uspořádané specializované školicí aktivity</w:t>
            </w:r>
          </w:p>
        </w:tc>
        <w:tc>
          <w:tcPr>
            <w:tcW w:w="3021" w:type="dxa"/>
            <w:vAlign w:val="center"/>
          </w:tcPr>
          <w:p w14:paraId="7AE2F4A6" w14:textId="33BA4F1D"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6FD0713F" w14:textId="1938FBDA" w:rsidR="009C249A" w:rsidRPr="007D0605" w:rsidRDefault="009C249A" w:rsidP="00D046E4">
            <w:pPr>
              <w:spacing w:before="60" w:after="60"/>
              <w:jc w:val="center"/>
            </w:pPr>
            <w:r w:rsidRPr="007D0605">
              <w:t>20</w:t>
            </w:r>
            <w:r w:rsidR="007D0605">
              <w:t xml:space="preserve"> </w:t>
            </w:r>
            <w:r w:rsidRPr="007D0605">
              <w:t>/</w:t>
            </w:r>
            <w:r w:rsidR="007D0605">
              <w:t xml:space="preserve"> </w:t>
            </w:r>
            <w:r w:rsidRPr="007D0605">
              <w:t>rok</w:t>
            </w:r>
          </w:p>
        </w:tc>
      </w:tr>
      <w:tr w:rsidR="009C249A" w:rsidRPr="0035152E" w14:paraId="76F6ED57" w14:textId="77777777" w:rsidTr="009C249A">
        <w:tc>
          <w:tcPr>
            <w:tcW w:w="3020" w:type="dxa"/>
            <w:vAlign w:val="center"/>
          </w:tcPr>
          <w:p w14:paraId="44B402DC" w14:textId="48E05388" w:rsidR="009C249A" w:rsidRPr="007D0605" w:rsidRDefault="009C249A" w:rsidP="007D0605">
            <w:pPr>
              <w:spacing w:before="60" w:after="60"/>
            </w:pPr>
            <w:r w:rsidRPr="007D0605">
              <w:t>Poskytování krátkodobých stáží projektových manažerů v TC AV</w:t>
            </w:r>
            <w:r w:rsidR="007D0605">
              <w:t xml:space="preserve"> </w:t>
            </w:r>
            <w:r w:rsidRPr="007D0605">
              <w:t>ČR</w:t>
            </w:r>
          </w:p>
        </w:tc>
        <w:tc>
          <w:tcPr>
            <w:tcW w:w="3021" w:type="dxa"/>
            <w:vAlign w:val="center"/>
          </w:tcPr>
          <w:p w14:paraId="48DE91AE" w14:textId="299A624F"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D879F4C" w14:textId="5B15F7FE" w:rsidR="009C249A" w:rsidRPr="007D0605" w:rsidRDefault="009C249A" w:rsidP="00D046E4">
            <w:pPr>
              <w:spacing w:before="60" w:after="60"/>
              <w:jc w:val="center"/>
            </w:pPr>
            <w:r w:rsidRPr="007D0605">
              <w:t>5</w:t>
            </w:r>
            <w:r w:rsidR="007D0605">
              <w:t xml:space="preserve"> </w:t>
            </w:r>
            <w:r w:rsidRPr="007D0605">
              <w:t>/</w:t>
            </w:r>
            <w:r w:rsidR="007D0605">
              <w:t xml:space="preserve"> </w:t>
            </w:r>
            <w:r w:rsidRPr="007D0605">
              <w:t>rok</w:t>
            </w:r>
          </w:p>
        </w:tc>
      </w:tr>
      <w:tr w:rsidR="009C249A" w:rsidRPr="0035152E" w14:paraId="051CB442" w14:textId="77777777" w:rsidTr="009C249A">
        <w:tc>
          <w:tcPr>
            <w:tcW w:w="3020" w:type="dxa"/>
            <w:vAlign w:val="center"/>
          </w:tcPr>
          <w:p w14:paraId="79FC0E6D" w14:textId="06FFACD7" w:rsidR="009C249A" w:rsidRPr="007D0605" w:rsidRDefault="009C249A" w:rsidP="007D0605">
            <w:pPr>
              <w:spacing w:before="60" w:after="60"/>
            </w:pPr>
            <w:r w:rsidRPr="007D0605">
              <w:t>Poskytnuté individuální konzultace předkladatelům a</w:t>
            </w:r>
            <w:r w:rsidR="007D0605">
              <w:t> </w:t>
            </w:r>
            <w:r w:rsidRPr="007D0605">
              <w:t>řešitelům projektů v</w:t>
            </w:r>
            <w:r w:rsidR="007D0605">
              <w:t> </w:t>
            </w:r>
            <w:r w:rsidRPr="007D0605">
              <w:t>průběhu projektového cyklu</w:t>
            </w:r>
            <w:r w:rsidRPr="007D0605">
              <w:rPr>
                <w:rStyle w:val="Znakapoznpodarou"/>
              </w:rPr>
              <w:footnoteReference w:id="2"/>
            </w:r>
          </w:p>
        </w:tc>
        <w:tc>
          <w:tcPr>
            <w:tcW w:w="3021" w:type="dxa"/>
            <w:vAlign w:val="center"/>
          </w:tcPr>
          <w:p w14:paraId="55C2541F" w14:textId="37DD2A26"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B221217" w14:textId="2C6B41C5" w:rsidR="009C249A" w:rsidRPr="007D0605" w:rsidRDefault="009C249A" w:rsidP="00D046E4">
            <w:pPr>
              <w:spacing w:before="60" w:after="60"/>
              <w:jc w:val="center"/>
            </w:pPr>
            <w:r w:rsidRPr="007D0605">
              <w:t>300</w:t>
            </w:r>
            <w:r w:rsidR="007D0605">
              <w:t xml:space="preserve"> </w:t>
            </w:r>
            <w:r w:rsidRPr="007D0605">
              <w:t>/</w:t>
            </w:r>
            <w:r w:rsidR="007D0605">
              <w:t xml:space="preserve"> </w:t>
            </w:r>
            <w:r w:rsidRPr="007D0605">
              <w:t>rok</w:t>
            </w:r>
          </w:p>
        </w:tc>
      </w:tr>
      <w:tr w:rsidR="009C249A" w:rsidRPr="0035152E" w14:paraId="3BB0315D" w14:textId="77777777" w:rsidTr="009C249A">
        <w:tc>
          <w:tcPr>
            <w:tcW w:w="3020" w:type="dxa"/>
            <w:vAlign w:val="center"/>
          </w:tcPr>
          <w:p w14:paraId="393BE86C" w14:textId="77777777" w:rsidR="009C249A" w:rsidRPr="007D0605" w:rsidRDefault="009C249A" w:rsidP="007D0605">
            <w:pPr>
              <w:spacing w:before="60" w:after="60"/>
            </w:pPr>
            <w:r w:rsidRPr="007D0605">
              <w:t>Vypracované odborné analýzy a podkladové studie</w:t>
            </w:r>
          </w:p>
        </w:tc>
        <w:tc>
          <w:tcPr>
            <w:tcW w:w="3021" w:type="dxa"/>
            <w:vAlign w:val="center"/>
          </w:tcPr>
          <w:p w14:paraId="4A5043A9" w14:textId="77777777" w:rsidR="009C249A" w:rsidRPr="007D0605" w:rsidRDefault="009C249A" w:rsidP="00D046E4">
            <w:pPr>
              <w:spacing w:before="60" w:after="60"/>
              <w:jc w:val="center"/>
            </w:pPr>
            <w:r w:rsidRPr="007D0605">
              <w:t>kvantitativní</w:t>
            </w:r>
          </w:p>
        </w:tc>
        <w:tc>
          <w:tcPr>
            <w:tcW w:w="3021" w:type="dxa"/>
            <w:vAlign w:val="center"/>
          </w:tcPr>
          <w:p w14:paraId="04408EBA" w14:textId="4FA60C48" w:rsidR="009C249A" w:rsidRPr="007D0605" w:rsidRDefault="009C249A" w:rsidP="00D046E4">
            <w:pPr>
              <w:spacing w:before="60" w:after="60"/>
              <w:jc w:val="center"/>
            </w:pPr>
            <w:r w:rsidRPr="007D0605">
              <w:t>20</w:t>
            </w:r>
            <w:r w:rsidR="007D0605">
              <w:t xml:space="preserve"> </w:t>
            </w:r>
            <w:r w:rsidRPr="007D0605">
              <w:t>/</w:t>
            </w:r>
            <w:r w:rsidR="007D0605">
              <w:t xml:space="preserve"> </w:t>
            </w:r>
            <w:r w:rsidRPr="007D0605">
              <w:t>rok</w:t>
            </w:r>
          </w:p>
        </w:tc>
      </w:tr>
      <w:tr w:rsidR="009C249A" w:rsidRPr="0035152E" w14:paraId="62E70787" w14:textId="77777777" w:rsidTr="009C249A">
        <w:tc>
          <w:tcPr>
            <w:tcW w:w="3020" w:type="dxa"/>
            <w:vAlign w:val="center"/>
          </w:tcPr>
          <w:p w14:paraId="716294AC" w14:textId="0CBD42B4" w:rsidR="009C249A" w:rsidRPr="007D0605" w:rsidRDefault="009C249A" w:rsidP="007D0605">
            <w:pPr>
              <w:spacing w:before="60" w:after="60"/>
            </w:pPr>
            <w:r w:rsidRPr="007D0605">
              <w:t>Uspořádané akce na</w:t>
            </w:r>
            <w:r w:rsidR="007D0605">
              <w:t> </w:t>
            </w:r>
            <w:r w:rsidRPr="007D0605">
              <w:t>podporu diseminace výsledků projektů FP9</w:t>
            </w:r>
          </w:p>
        </w:tc>
        <w:tc>
          <w:tcPr>
            <w:tcW w:w="3021" w:type="dxa"/>
            <w:vAlign w:val="center"/>
          </w:tcPr>
          <w:p w14:paraId="6DEE8D28" w14:textId="77777777" w:rsidR="009C249A" w:rsidRPr="007D0605" w:rsidRDefault="009C249A" w:rsidP="00D046E4">
            <w:pPr>
              <w:spacing w:before="60" w:after="60"/>
              <w:jc w:val="center"/>
            </w:pPr>
            <w:r w:rsidRPr="007D0605">
              <w:t>kvantitativní</w:t>
            </w:r>
          </w:p>
        </w:tc>
        <w:tc>
          <w:tcPr>
            <w:tcW w:w="3021" w:type="dxa"/>
            <w:vAlign w:val="center"/>
          </w:tcPr>
          <w:p w14:paraId="73AA2F57" w14:textId="55EDD340" w:rsidR="009C249A" w:rsidRPr="007D0605" w:rsidRDefault="009C249A" w:rsidP="00D046E4">
            <w:pPr>
              <w:spacing w:before="60" w:after="60"/>
              <w:jc w:val="center"/>
            </w:pPr>
            <w:r w:rsidRPr="007D0605">
              <w:t>3</w:t>
            </w:r>
            <w:r w:rsidR="007D0605">
              <w:t xml:space="preserve"> </w:t>
            </w:r>
            <w:r w:rsidRPr="007D0605">
              <w:t>/</w:t>
            </w:r>
            <w:r w:rsidR="007D0605">
              <w:t xml:space="preserve"> </w:t>
            </w:r>
            <w:r w:rsidRPr="007D0605">
              <w:t>rok</w:t>
            </w:r>
          </w:p>
        </w:tc>
      </w:tr>
      <w:tr w:rsidR="009C249A" w:rsidRPr="0035152E" w14:paraId="6DD78019" w14:textId="77777777" w:rsidTr="009C249A">
        <w:tc>
          <w:tcPr>
            <w:tcW w:w="3020" w:type="dxa"/>
            <w:vAlign w:val="center"/>
          </w:tcPr>
          <w:p w14:paraId="5418A7AC" w14:textId="23C3F82E" w:rsidR="009C249A" w:rsidRPr="007D0605" w:rsidRDefault="009C249A" w:rsidP="007D0605">
            <w:pPr>
              <w:spacing w:before="60" w:after="60"/>
            </w:pPr>
            <w:r w:rsidRPr="007D0605">
              <w:t>Příspěvky na webovém portálu pro FP9 a</w:t>
            </w:r>
            <w:r w:rsidR="007D0605">
              <w:t> </w:t>
            </w:r>
            <w:r w:rsidRPr="007D0605">
              <w:t>na</w:t>
            </w:r>
            <w:r w:rsidR="007D0605">
              <w:t> </w:t>
            </w:r>
            <w:r w:rsidRPr="007D0605">
              <w:t>sociálních sítích</w:t>
            </w:r>
          </w:p>
        </w:tc>
        <w:tc>
          <w:tcPr>
            <w:tcW w:w="3021" w:type="dxa"/>
            <w:vAlign w:val="center"/>
          </w:tcPr>
          <w:p w14:paraId="50E56553" w14:textId="77777777" w:rsidR="009C249A" w:rsidRPr="007D0605" w:rsidRDefault="009C249A" w:rsidP="00D046E4">
            <w:pPr>
              <w:spacing w:before="60" w:after="60"/>
              <w:jc w:val="center"/>
            </w:pPr>
            <w:r w:rsidRPr="007D0605">
              <w:t>kvantitativní</w:t>
            </w:r>
          </w:p>
        </w:tc>
        <w:tc>
          <w:tcPr>
            <w:tcW w:w="3021" w:type="dxa"/>
            <w:vAlign w:val="center"/>
          </w:tcPr>
          <w:p w14:paraId="0B6CF3F4" w14:textId="28558978" w:rsidR="009C249A" w:rsidRPr="007D0605" w:rsidRDefault="007D0605" w:rsidP="00D046E4">
            <w:pPr>
              <w:spacing w:before="60" w:after="60"/>
              <w:jc w:val="center"/>
            </w:pPr>
            <w:r>
              <w:t>p</w:t>
            </w:r>
            <w:r w:rsidR="009C249A" w:rsidRPr="007D0605">
              <w:t>růběžné aktualizace</w:t>
            </w:r>
          </w:p>
        </w:tc>
      </w:tr>
      <w:tr w:rsidR="009C249A" w:rsidRPr="0035152E" w14:paraId="68F392B5" w14:textId="77777777" w:rsidTr="009C249A">
        <w:tc>
          <w:tcPr>
            <w:tcW w:w="3020" w:type="dxa"/>
            <w:vAlign w:val="center"/>
          </w:tcPr>
          <w:p w14:paraId="7F5A4294" w14:textId="665192FC" w:rsidR="009C249A" w:rsidRPr="007D0605" w:rsidRDefault="009C249A" w:rsidP="007D0605">
            <w:pPr>
              <w:spacing w:before="60" w:after="60"/>
            </w:pPr>
            <w:r w:rsidRPr="007D0605">
              <w:lastRenderedPageBreak/>
              <w:t>Účast v pracovních a</w:t>
            </w:r>
            <w:r w:rsidR="007D0605">
              <w:t> </w:t>
            </w:r>
            <w:r w:rsidRPr="007D0605">
              <w:t xml:space="preserve">expertních skupinách </w:t>
            </w:r>
            <w:r w:rsidR="007D0605">
              <w:t>Evropské komise</w:t>
            </w:r>
          </w:p>
        </w:tc>
        <w:tc>
          <w:tcPr>
            <w:tcW w:w="3021" w:type="dxa"/>
            <w:vAlign w:val="center"/>
          </w:tcPr>
          <w:p w14:paraId="44B91F93" w14:textId="77777777" w:rsidR="009C249A" w:rsidRPr="007D0605" w:rsidRDefault="009C249A" w:rsidP="00D046E4">
            <w:pPr>
              <w:spacing w:before="60" w:after="60"/>
              <w:jc w:val="center"/>
            </w:pPr>
            <w:r w:rsidRPr="007D0605">
              <w:t>kvantitativní</w:t>
            </w:r>
          </w:p>
        </w:tc>
        <w:tc>
          <w:tcPr>
            <w:tcW w:w="3021" w:type="dxa"/>
            <w:vAlign w:val="center"/>
          </w:tcPr>
          <w:p w14:paraId="0CFD3554" w14:textId="77777777" w:rsidR="009C249A" w:rsidRPr="007D0605" w:rsidRDefault="009C249A" w:rsidP="00D046E4">
            <w:pPr>
              <w:spacing w:before="60" w:after="60"/>
              <w:jc w:val="center"/>
            </w:pPr>
            <w:r w:rsidRPr="007D0605">
              <w:t>15</w:t>
            </w:r>
          </w:p>
        </w:tc>
      </w:tr>
      <w:tr w:rsidR="009C249A" w:rsidRPr="0035152E" w14:paraId="258BA113" w14:textId="77777777" w:rsidTr="009C249A">
        <w:tc>
          <w:tcPr>
            <w:tcW w:w="3020" w:type="dxa"/>
            <w:vAlign w:val="center"/>
          </w:tcPr>
          <w:p w14:paraId="6350169F" w14:textId="6483A583" w:rsidR="007D0605" w:rsidRPr="007D0605" w:rsidRDefault="009C249A" w:rsidP="00F679E0">
            <w:pPr>
              <w:spacing w:before="60" w:after="60"/>
            </w:pPr>
            <w:r w:rsidRPr="007D0605">
              <w:t>Účast v pracovních a</w:t>
            </w:r>
            <w:r w:rsidR="007D0605">
              <w:t> </w:t>
            </w:r>
            <w:r w:rsidRPr="007D0605">
              <w:t>expertních skupinách na</w:t>
            </w:r>
            <w:r w:rsidR="007D0605">
              <w:t> </w:t>
            </w:r>
            <w:r w:rsidRPr="007D0605">
              <w:t>národní úrovni</w:t>
            </w:r>
          </w:p>
        </w:tc>
        <w:tc>
          <w:tcPr>
            <w:tcW w:w="3021" w:type="dxa"/>
            <w:vAlign w:val="center"/>
          </w:tcPr>
          <w:p w14:paraId="1280CF0B" w14:textId="77777777" w:rsidR="009C249A" w:rsidRPr="007D0605" w:rsidRDefault="009C249A" w:rsidP="00D046E4">
            <w:pPr>
              <w:spacing w:before="60" w:after="60"/>
              <w:jc w:val="center"/>
            </w:pPr>
            <w:r w:rsidRPr="007D0605">
              <w:t>kvantitativní</w:t>
            </w:r>
          </w:p>
        </w:tc>
        <w:tc>
          <w:tcPr>
            <w:tcW w:w="3021" w:type="dxa"/>
            <w:vAlign w:val="center"/>
          </w:tcPr>
          <w:p w14:paraId="7293A771" w14:textId="77777777" w:rsidR="009C249A" w:rsidRPr="007D0605" w:rsidRDefault="009C249A" w:rsidP="00D046E4">
            <w:pPr>
              <w:spacing w:before="60" w:after="60"/>
              <w:jc w:val="center"/>
            </w:pPr>
            <w:r w:rsidRPr="007D0605">
              <w:t>20</w:t>
            </w:r>
          </w:p>
        </w:tc>
      </w:tr>
      <w:tr w:rsidR="007D0605" w:rsidRPr="0035152E" w14:paraId="54C85390" w14:textId="77777777" w:rsidTr="00487574">
        <w:tc>
          <w:tcPr>
            <w:tcW w:w="9062" w:type="dxa"/>
            <w:gridSpan w:val="3"/>
            <w:vAlign w:val="center"/>
          </w:tcPr>
          <w:p w14:paraId="5AAA5D40" w14:textId="068E9EFB" w:rsidR="007D0605" w:rsidRPr="007D0605" w:rsidRDefault="007D0605" w:rsidP="007D0605">
            <w:pPr>
              <w:spacing w:before="120" w:after="120"/>
              <w:jc w:val="center"/>
              <w:rPr>
                <w:b/>
              </w:rPr>
            </w:pPr>
            <w:r w:rsidRPr="007D0605">
              <w:rPr>
                <w:b/>
              </w:rPr>
              <w:t>MODUL 2 – NKC</w:t>
            </w:r>
          </w:p>
        </w:tc>
      </w:tr>
      <w:tr w:rsidR="009C249A" w:rsidRPr="0035152E" w14:paraId="2B2905EF" w14:textId="77777777" w:rsidTr="009C249A">
        <w:tc>
          <w:tcPr>
            <w:tcW w:w="3020" w:type="dxa"/>
            <w:vAlign w:val="center"/>
          </w:tcPr>
          <w:p w14:paraId="243AAA0F" w14:textId="77777777" w:rsidR="009C249A" w:rsidRPr="007D0605" w:rsidRDefault="009C249A" w:rsidP="007D0605">
            <w:pPr>
              <w:spacing w:before="60" w:after="60"/>
            </w:pPr>
            <w:r w:rsidRPr="007D0605">
              <w:t>Fungování a pravidelná aktualizace informačního online portálu</w:t>
            </w:r>
          </w:p>
        </w:tc>
        <w:tc>
          <w:tcPr>
            <w:tcW w:w="3021" w:type="dxa"/>
            <w:vAlign w:val="center"/>
          </w:tcPr>
          <w:p w14:paraId="799AC6C1" w14:textId="77777777" w:rsidR="009C249A" w:rsidRPr="007D0605" w:rsidRDefault="009C249A" w:rsidP="00D046E4">
            <w:pPr>
              <w:spacing w:before="60" w:after="60"/>
              <w:jc w:val="center"/>
            </w:pPr>
            <w:r w:rsidRPr="007D0605">
              <w:t>kvantitativní</w:t>
            </w:r>
          </w:p>
        </w:tc>
        <w:tc>
          <w:tcPr>
            <w:tcW w:w="3021" w:type="dxa"/>
            <w:vAlign w:val="center"/>
          </w:tcPr>
          <w:p w14:paraId="41C7DAFD" w14:textId="5328289D" w:rsidR="009C249A" w:rsidRPr="007D0605" w:rsidRDefault="007D0605" w:rsidP="00D046E4">
            <w:pPr>
              <w:spacing w:before="60" w:after="60"/>
              <w:jc w:val="center"/>
            </w:pPr>
            <w:r>
              <w:t>p</w:t>
            </w:r>
            <w:r w:rsidR="009C249A" w:rsidRPr="007D0605">
              <w:t>růběžná aktualizace</w:t>
            </w:r>
          </w:p>
        </w:tc>
      </w:tr>
      <w:tr w:rsidR="009C249A" w:rsidRPr="0035152E" w14:paraId="075AE828" w14:textId="77777777" w:rsidTr="009C249A">
        <w:tc>
          <w:tcPr>
            <w:tcW w:w="3020" w:type="dxa"/>
            <w:vAlign w:val="center"/>
          </w:tcPr>
          <w:p w14:paraId="5FD57C7C" w14:textId="77777777" w:rsidR="009C249A" w:rsidRPr="007D0605" w:rsidRDefault="009C249A" w:rsidP="007D0605">
            <w:pPr>
              <w:spacing w:before="60" w:after="60"/>
            </w:pPr>
            <w:r w:rsidRPr="007D0605">
              <w:t>Počet seminářů a školení pro Komunitu pro změnu, včetně online formátů</w:t>
            </w:r>
          </w:p>
        </w:tc>
        <w:tc>
          <w:tcPr>
            <w:tcW w:w="3021" w:type="dxa"/>
            <w:vAlign w:val="center"/>
          </w:tcPr>
          <w:p w14:paraId="1C159902" w14:textId="2610A6E9"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039BB427" w14:textId="179CCE77" w:rsidR="009C249A" w:rsidRPr="007D0605" w:rsidRDefault="009C249A" w:rsidP="00D046E4">
            <w:pPr>
              <w:spacing w:before="60" w:after="60"/>
              <w:jc w:val="center"/>
            </w:pPr>
            <w:r w:rsidRPr="007D0605">
              <w:t>4</w:t>
            </w:r>
            <w:r w:rsidR="007D0605">
              <w:t xml:space="preserve"> </w:t>
            </w:r>
            <w:r w:rsidRPr="007D0605">
              <w:t>/</w:t>
            </w:r>
            <w:r w:rsidR="007D0605">
              <w:t xml:space="preserve"> </w:t>
            </w:r>
            <w:r w:rsidRPr="007D0605">
              <w:t>rok</w:t>
            </w:r>
          </w:p>
        </w:tc>
      </w:tr>
      <w:tr w:rsidR="009C249A" w:rsidRPr="0035152E" w14:paraId="60493681" w14:textId="77777777" w:rsidTr="009C249A">
        <w:tc>
          <w:tcPr>
            <w:tcW w:w="3020" w:type="dxa"/>
            <w:vAlign w:val="center"/>
          </w:tcPr>
          <w:p w14:paraId="4588EB8C" w14:textId="1AC987FA" w:rsidR="009C249A" w:rsidRPr="007D0605" w:rsidRDefault="009C249A" w:rsidP="007D0605">
            <w:pPr>
              <w:spacing w:before="60" w:after="60"/>
            </w:pPr>
            <w:r w:rsidRPr="007D0605">
              <w:t>Veřejně dostupné školící moduly v oblasti implementace institucionálních změn prostřednictvím plánů genderové rovnost</w:t>
            </w:r>
            <w:r w:rsidR="007D0605">
              <w:t>i</w:t>
            </w:r>
          </w:p>
        </w:tc>
        <w:tc>
          <w:tcPr>
            <w:tcW w:w="3021" w:type="dxa"/>
            <w:vAlign w:val="center"/>
          </w:tcPr>
          <w:p w14:paraId="30C1295C" w14:textId="01A26964"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7D5C7D8B" w14:textId="3D228984" w:rsidR="009C249A" w:rsidRPr="007D0605" w:rsidRDefault="009C249A" w:rsidP="007D0605">
            <w:pPr>
              <w:spacing w:before="60" w:after="60"/>
              <w:jc w:val="center"/>
            </w:pPr>
            <w:r w:rsidRPr="007D0605">
              <w:t>4 moduly</w:t>
            </w:r>
            <w:r w:rsidR="007D0605">
              <w:t xml:space="preserve"> </w:t>
            </w:r>
            <w:r w:rsidRPr="007D0605">
              <w:t>/</w:t>
            </w:r>
            <w:r w:rsidR="007D0605">
              <w:t xml:space="preserve"> </w:t>
            </w:r>
            <w:r w:rsidRPr="007D0605">
              <w:t>rok v</w:t>
            </w:r>
            <w:r w:rsidR="007D0605">
              <w:t xml:space="preserve"> letech </w:t>
            </w:r>
            <w:r w:rsidRPr="007D0605">
              <w:t>2021 a</w:t>
            </w:r>
            <w:r w:rsidR="007D0605">
              <w:t> </w:t>
            </w:r>
            <w:r w:rsidRPr="007D0605">
              <w:t xml:space="preserve">2022, dále aktualizace </w:t>
            </w:r>
            <w:r w:rsidR="007D0605">
              <w:t>po</w:t>
            </w:r>
            <w:r w:rsidRPr="007D0605">
              <w:t>dle vývoje situace</w:t>
            </w:r>
          </w:p>
        </w:tc>
      </w:tr>
      <w:tr w:rsidR="009C249A" w:rsidRPr="0035152E" w14:paraId="12D3FF5C" w14:textId="77777777" w:rsidTr="009C249A">
        <w:tc>
          <w:tcPr>
            <w:tcW w:w="3020" w:type="dxa"/>
            <w:vAlign w:val="center"/>
          </w:tcPr>
          <w:p w14:paraId="73BCDA30" w14:textId="7A4AE112" w:rsidR="009C249A" w:rsidRPr="007D0605" w:rsidRDefault="007D0605" w:rsidP="007D0605">
            <w:pPr>
              <w:spacing w:before="60" w:after="60"/>
            </w:pPr>
            <w:r>
              <w:t>Počet veřejně dostupných školi</w:t>
            </w:r>
            <w:r w:rsidR="009C249A" w:rsidRPr="007D0605">
              <w:t>cích modulů v oblasti genderové rovnosti v</w:t>
            </w:r>
            <w:r>
              <w:t> </w:t>
            </w:r>
            <w:r w:rsidR="009C249A" w:rsidRPr="007D0605">
              <w:t>rámcovém programu Horizontu Evropa, včetně online formátů</w:t>
            </w:r>
          </w:p>
        </w:tc>
        <w:tc>
          <w:tcPr>
            <w:tcW w:w="3021" w:type="dxa"/>
            <w:vAlign w:val="center"/>
          </w:tcPr>
          <w:p w14:paraId="2F0B4FC9" w14:textId="77777777" w:rsidR="009C249A" w:rsidRPr="007D0605" w:rsidRDefault="009C249A" w:rsidP="00D046E4">
            <w:pPr>
              <w:spacing w:before="60" w:after="60"/>
              <w:jc w:val="center"/>
            </w:pPr>
            <w:r w:rsidRPr="007D0605">
              <w:t>kvantitativní</w:t>
            </w:r>
          </w:p>
        </w:tc>
        <w:tc>
          <w:tcPr>
            <w:tcW w:w="3021" w:type="dxa"/>
            <w:vAlign w:val="center"/>
          </w:tcPr>
          <w:p w14:paraId="60009EAB" w14:textId="6F1432A7" w:rsidR="009C249A" w:rsidRPr="007D0605" w:rsidRDefault="009C249A" w:rsidP="00D046E4">
            <w:pPr>
              <w:spacing w:before="60" w:after="60"/>
              <w:jc w:val="center"/>
            </w:pPr>
            <w:r w:rsidRPr="007D0605">
              <w:t>2</w:t>
            </w:r>
            <w:r w:rsidR="007D0605">
              <w:t xml:space="preserve"> </w:t>
            </w:r>
            <w:r w:rsidRPr="007D0605">
              <w:t>/</w:t>
            </w:r>
            <w:r w:rsidR="007D0605">
              <w:t xml:space="preserve"> </w:t>
            </w:r>
            <w:r w:rsidRPr="007D0605">
              <w:t>rok v</w:t>
            </w:r>
            <w:r w:rsidR="007D0605">
              <w:t xml:space="preserve"> letech </w:t>
            </w:r>
            <w:r w:rsidRPr="007D0605">
              <w:t xml:space="preserve">2021 a 2022 a dále aktualizace </w:t>
            </w:r>
            <w:r w:rsidR="007D0605">
              <w:t>po</w:t>
            </w:r>
            <w:r w:rsidRPr="007D0605">
              <w:t>dle vývoje situace</w:t>
            </w:r>
          </w:p>
        </w:tc>
      </w:tr>
      <w:tr w:rsidR="009C249A" w:rsidRPr="0035152E" w14:paraId="216AA038" w14:textId="77777777" w:rsidTr="009C249A">
        <w:tc>
          <w:tcPr>
            <w:tcW w:w="3020" w:type="dxa"/>
            <w:vAlign w:val="center"/>
          </w:tcPr>
          <w:p w14:paraId="69F81BD9" w14:textId="25A9579E" w:rsidR="009C249A" w:rsidRPr="007D0605" w:rsidRDefault="009C249A" w:rsidP="007D0605">
            <w:pPr>
              <w:spacing w:before="60" w:after="60"/>
            </w:pPr>
            <w:r w:rsidRPr="007D0605">
              <w:t>Počet individuálních konzultací pro české žadatele v oblasti genderových otázek v</w:t>
            </w:r>
            <w:r w:rsidR="007D0605">
              <w:t> </w:t>
            </w:r>
            <w:r w:rsidRPr="007D0605">
              <w:t>rámcovém programu Horizont</w:t>
            </w:r>
            <w:r w:rsidR="007D0605">
              <w:t>u</w:t>
            </w:r>
            <w:r w:rsidRPr="007D0605">
              <w:t xml:space="preserve"> Evropa</w:t>
            </w:r>
          </w:p>
        </w:tc>
        <w:tc>
          <w:tcPr>
            <w:tcW w:w="3021" w:type="dxa"/>
            <w:vAlign w:val="center"/>
          </w:tcPr>
          <w:p w14:paraId="6E515335" w14:textId="77777777" w:rsidR="009C249A" w:rsidRPr="007D0605" w:rsidRDefault="009C249A" w:rsidP="00D046E4">
            <w:pPr>
              <w:spacing w:before="60" w:after="60"/>
              <w:jc w:val="center"/>
            </w:pPr>
            <w:r w:rsidRPr="007D0605">
              <w:t>kvantitativní</w:t>
            </w:r>
          </w:p>
        </w:tc>
        <w:tc>
          <w:tcPr>
            <w:tcW w:w="3021" w:type="dxa"/>
            <w:vAlign w:val="center"/>
          </w:tcPr>
          <w:p w14:paraId="40F2105D" w14:textId="3419EAE4" w:rsidR="009C249A" w:rsidRPr="007D0605" w:rsidRDefault="009C249A" w:rsidP="00D046E4">
            <w:pPr>
              <w:spacing w:before="60" w:after="60"/>
              <w:jc w:val="center"/>
            </w:pPr>
            <w:r w:rsidRPr="007D0605">
              <w:t>10</w:t>
            </w:r>
            <w:r w:rsidR="007D0605">
              <w:t xml:space="preserve"> </w:t>
            </w:r>
            <w:r w:rsidRPr="007D0605">
              <w:t>/</w:t>
            </w:r>
            <w:r w:rsidR="007D0605">
              <w:t xml:space="preserve"> </w:t>
            </w:r>
            <w:r w:rsidRPr="007D0605">
              <w:t>rok</w:t>
            </w:r>
          </w:p>
        </w:tc>
      </w:tr>
      <w:tr w:rsidR="009C249A" w:rsidRPr="0035152E" w14:paraId="177522CC" w14:textId="77777777" w:rsidTr="009C249A">
        <w:tc>
          <w:tcPr>
            <w:tcW w:w="3020" w:type="dxa"/>
            <w:vAlign w:val="center"/>
          </w:tcPr>
          <w:p w14:paraId="1291556B" w14:textId="77777777" w:rsidR="009C249A" w:rsidRPr="007D0605" w:rsidRDefault="009C249A" w:rsidP="007D0605">
            <w:pPr>
              <w:spacing w:before="60" w:after="60"/>
            </w:pPr>
            <w:r w:rsidRPr="007D0605">
              <w:t>Realizace „in-house“ školení na vyžádání instituce</w:t>
            </w:r>
          </w:p>
        </w:tc>
        <w:tc>
          <w:tcPr>
            <w:tcW w:w="3021" w:type="dxa"/>
            <w:vAlign w:val="center"/>
          </w:tcPr>
          <w:p w14:paraId="6C86B1E0" w14:textId="11A950F1"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0662CD93" w14:textId="47B5E7E3" w:rsidR="009C249A" w:rsidRPr="007D0605" w:rsidRDefault="009C249A" w:rsidP="00D046E4">
            <w:pPr>
              <w:spacing w:before="60" w:after="60"/>
              <w:jc w:val="center"/>
            </w:pPr>
            <w:r w:rsidRPr="007D0605">
              <w:t>8</w:t>
            </w:r>
            <w:r w:rsidR="007D0605">
              <w:t xml:space="preserve"> </w:t>
            </w:r>
            <w:r w:rsidRPr="007D0605">
              <w:t>/</w:t>
            </w:r>
            <w:r w:rsidR="007D0605">
              <w:t xml:space="preserve"> </w:t>
            </w:r>
            <w:r w:rsidRPr="007D0605">
              <w:t>rok</w:t>
            </w:r>
          </w:p>
        </w:tc>
      </w:tr>
      <w:tr w:rsidR="009C249A" w:rsidRPr="0035152E" w14:paraId="0C436043" w14:textId="77777777" w:rsidTr="009C249A">
        <w:tc>
          <w:tcPr>
            <w:tcW w:w="3020" w:type="dxa"/>
            <w:vAlign w:val="center"/>
          </w:tcPr>
          <w:p w14:paraId="03C4ADE7" w14:textId="6C930769" w:rsidR="009C249A" w:rsidRPr="007D0605" w:rsidRDefault="009C249A" w:rsidP="007D0605">
            <w:pPr>
              <w:spacing w:before="60" w:after="60"/>
            </w:pPr>
            <w:r w:rsidRPr="007D0605">
              <w:t xml:space="preserve">Organizace národních </w:t>
            </w:r>
            <w:r w:rsidR="007D0605">
              <w:t xml:space="preserve">genderových </w:t>
            </w:r>
            <w:r w:rsidRPr="007D0605">
              <w:t>konferencí</w:t>
            </w:r>
          </w:p>
        </w:tc>
        <w:tc>
          <w:tcPr>
            <w:tcW w:w="3021" w:type="dxa"/>
            <w:vAlign w:val="center"/>
          </w:tcPr>
          <w:p w14:paraId="2B501677" w14:textId="656764DD"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3A7A98C4" w14:textId="77777777" w:rsidR="009C249A" w:rsidRPr="007D0605" w:rsidRDefault="009C249A" w:rsidP="00D046E4">
            <w:pPr>
              <w:spacing w:before="60" w:after="60"/>
              <w:jc w:val="center"/>
            </w:pPr>
            <w:r w:rsidRPr="007D0605">
              <w:t>1 za 2 roky</w:t>
            </w:r>
          </w:p>
        </w:tc>
      </w:tr>
      <w:tr w:rsidR="009C249A" w:rsidRPr="0035152E" w14:paraId="28029306" w14:textId="77777777" w:rsidTr="009C249A">
        <w:tc>
          <w:tcPr>
            <w:tcW w:w="3020" w:type="dxa"/>
            <w:vAlign w:val="center"/>
          </w:tcPr>
          <w:p w14:paraId="0FD0A1A4" w14:textId="13C5490A" w:rsidR="009C249A" w:rsidRPr="007D0605" w:rsidRDefault="009C249A" w:rsidP="007D0605">
            <w:pPr>
              <w:spacing w:before="60" w:after="60"/>
            </w:pPr>
            <w:r w:rsidRPr="007D0605">
              <w:t xml:space="preserve">Spolupráce </w:t>
            </w:r>
            <w:r w:rsidR="007D0605">
              <w:t xml:space="preserve">s MŠMT </w:t>
            </w:r>
            <w:r w:rsidRPr="007D0605">
              <w:t>na</w:t>
            </w:r>
            <w:r w:rsidR="007D0605">
              <w:t> </w:t>
            </w:r>
            <w:r w:rsidRPr="007D0605">
              <w:t>organizaci předávání Ceny Milady Paulové</w:t>
            </w:r>
          </w:p>
        </w:tc>
        <w:tc>
          <w:tcPr>
            <w:tcW w:w="3021" w:type="dxa"/>
            <w:vAlign w:val="center"/>
          </w:tcPr>
          <w:p w14:paraId="51D5C600" w14:textId="6033CFA7"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119DB66" w14:textId="52ED9984" w:rsidR="009C249A" w:rsidRPr="007D0605" w:rsidRDefault="009C249A" w:rsidP="00D046E4">
            <w:pPr>
              <w:spacing w:before="60" w:after="60"/>
              <w:jc w:val="center"/>
            </w:pPr>
            <w:r w:rsidRPr="007D0605">
              <w:t>1</w:t>
            </w:r>
            <w:r w:rsidR="007D0605">
              <w:t xml:space="preserve"> </w:t>
            </w:r>
            <w:r w:rsidRPr="007D0605">
              <w:t>/</w:t>
            </w:r>
            <w:r w:rsidR="007D0605">
              <w:t xml:space="preserve"> </w:t>
            </w:r>
            <w:r w:rsidRPr="007D0605">
              <w:t>rok</w:t>
            </w:r>
          </w:p>
        </w:tc>
      </w:tr>
      <w:tr w:rsidR="009C249A" w:rsidRPr="0035152E" w14:paraId="5C6011A1" w14:textId="77777777" w:rsidTr="009C249A">
        <w:tc>
          <w:tcPr>
            <w:tcW w:w="3020" w:type="dxa"/>
            <w:vAlign w:val="center"/>
          </w:tcPr>
          <w:p w14:paraId="05CF2526" w14:textId="2F3214DD" w:rsidR="009C249A" w:rsidRPr="007D0605" w:rsidRDefault="009C249A" w:rsidP="007D0605">
            <w:pPr>
              <w:spacing w:before="60" w:after="60"/>
            </w:pPr>
            <w:r w:rsidRPr="007D0605">
              <w:t>Účast v pracovních a</w:t>
            </w:r>
            <w:r w:rsidR="007D0605">
              <w:t> </w:t>
            </w:r>
            <w:r w:rsidRPr="007D0605">
              <w:t>poradních orgánech státní a veřejné správy</w:t>
            </w:r>
            <w:r w:rsidR="007D0605">
              <w:t xml:space="preserve"> ČR</w:t>
            </w:r>
          </w:p>
        </w:tc>
        <w:tc>
          <w:tcPr>
            <w:tcW w:w="3021" w:type="dxa"/>
            <w:vAlign w:val="center"/>
          </w:tcPr>
          <w:p w14:paraId="76D0DFB8" w14:textId="77777777" w:rsidR="009C249A" w:rsidRPr="007D0605" w:rsidRDefault="009C249A" w:rsidP="00D046E4">
            <w:pPr>
              <w:spacing w:before="60" w:after="60"/>
              <w:jc w:val="center"/>
            </w:pPr>
            <w:r w:rsidRPr="007D0605">
              <w:t>kvantitativní</w:t>
            </w:r>
          </w:p>
        </w:tc>
        <w:tc>
          <w:tcPr>
            <w:tcW w:w="3021" w:type="dxa"/>
            <w:vAlign w:val="center"/>
          </w:tcPr>
          <w:p w14:paraId="46238988" w14:textId="7BDB1680" w:rsidR="009C249A" w:rsidRPr="007D0605" w:rsidRDefault="009C249A" w:rsidP="00D046E4">
            <w:pPr>
              <w:spacing w:before="60" w:after="60"/>
              <w:jc w:val="center"/>
            </w:pPr>
            <w:r w:rsidRPr="007D0605">
              <w:t>2</w:t>
            </w:r>
            <w:r w:rsidR="007D0605">
              <w:t xml:space="preserve"> </w:t>
            </w:r>
            <w:r w:rsidRPr="007D0605">
              <w:t>/</w:t>
            </w:r>
            <w:r w:rsidR="007D0605">
              <w:t xml:space="preserve"> </w:t>
            </w:r>
            <w:r w:rsidRPr="007D0605">
              <w:t>rok</w:t>
            </w:r>
          </w:p>
        </w:tc>
      </w:tr>
      <w:tr w:rsidR="009C249A" w:rsidRPr="0035152E" w14:paraId="3BF3E89C" w14:textId="77777777" w:rsidTr="009C249A">
        <w:tc>
          <w:tcPr>
            <w:tcW w:w="3020" w:type="dxa"/>
            <w:vAlign w:val="center"/>
          </w:tcPr>
          <w:p w14:paraId="6C91248D" w14:textId="322A4F7C" w:rsidR="009C249A" w:rsidRPr="007D0605" w:rsidRDefault="009C249A" w:rsidP="007D0605">
            <w:pPr>
              <w:spacing w:before="60" w:after="60"/>
            </w:pPr>
            <w:r w:rsidRPr="007D0605">
              <w:t xml:space="preserve">Příprava podkladů a vstupů za ČR pro </w:t>
            </w:r>
            <w:r w:rsidR="007D0605">
              <w:t>úča</w:t>
            </w:r>
            <w:r w:rsidRPr="007D0605">
              <w:t xml:space="preserve">st </w:t>
            </w:r>
            <w:r w:rsidR="007D0605">
              <w:t xml:space="preserve">v </w:t>
            </w:r>
            <w:r w:rsidRPr="007D0605">
              <w:t xml:space="preserve">ERA </w:t>
            </w:r>
            <w:proofErr w:type="spellStart"/>
            <w:r w:rsidRPr="007D0605">
              <w:t>advisory</w:t>
            </w:r>
            <w:proofErr w:type="spellEnd"/>
            <w:r w:rsidRPr="007D0605">
              <w:t xml:space="preserve"> </w:t>
            </w:r>
            <w:proofErr w:type="spellStart"/>
            <w:r w:rsidRPr="007D0605">
              <w:t>structure</w:t>
            </w:r>
            <w:proofErr w:type="spellEnd"/>
            <w:r w:rsidRPr="007D0605">
              <w:t xml:space="preserve"> odpovědné za genderovou rovnost v ERA (nyní ERAC SWG GRI)</w:t>
            </w:r>
          </w:p>
        </w:tc>
        <w:tc>
          <w:tcPr>
            <w:tcW w:w="3021" w:type="dxa"/>
            <w:vAlign w:val="center"/>
          </w:tcPr>
          <w:p w14:paraId="173437FA" w14:textId="09404F14"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495423F2" w14:textId="71650F5A" w:rsidR="009C249A" w:rsidRPr="007D0605" w:rsidRDefault="009C249A" w:rsidP="00D046E4">
            <w:pPr>
              <w:spacing w:before="60" w:after="60"/>
              <w:jc w:val="center"/>
            </w:pPr>
            <w:r w:rsidRPr="007D0605">
              <w:t>4</w:t>
            </w:r>
            <w:r w:rsidR="007D0605">
              <w:t xml:space="preserve"> </w:t>
            </w:r>
            <w:r w:rsidRPr="007D0605">
              <w:t>/</w:t>
            </w:r>
            <w:r w:rsidR="007D0605">
              <w:t xml:space="preserve"> </w:t>
            </w:r>
            <w:r w:rsidRPr="007D0605">
              <w:t>rok</w:t>
            </w:r>
          </w:p>
        </w:tc>
      </w:tr>
      <w:tr w:rsidR="009C249A" w:rsidRPr="0035152E" w14:paraId="1A1D980D" w14:textId="77777777" w:rsidTr="009C249A">
        <w:tc>
          <w:tcPr>
            <w:tcW w:w="3020" w:type="dxa"/>
            <w:vAlign w:val="center"/>
          </w:tcPr>
          <w:p w14:paraId="172F7F84" w14:textId="77777777" w:rsidR="009C249A" w:rsidRPr="007D0605" w:rsidRDefault="009C249A" w:rsidP="007D0605">
            <w:pPr>
              <w:spacing w:before="60" w:after="60"/>
            </w:pPr>
            <w:r w:rsidRPr="007D0605">
              <w:lastRenderedPageBreak/>
              <w:t>Výkon předsednické funkce ERAC SWG GRI v období říjen 2020 až září 2023</w:t>
            </w:r>
          </w:p>
        </w:tc>
        <w:tc>
          <w:tcPr>
            <w:tcW w:w="3021" w:type="dxa"/>
            <w:vAlign w:val="center"/>
          </w:tcPr>
          <w:p w14:paraId="143BB270" w14:textId="217CF08F"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5139311A" w14:textId="33B4207F" w:rsidR="009C249A" w:rsidRPr="007D0605" w:rsidRDefault="009C249A" w:rsidP="00D046E4">
            <w:pPr>
              <w:spacing w:before="60" w:after="60"/>
              <w:jc w:val="center"/>
            </w:pPr>
            <w:r w:rsidRPr="007D0605">
              <w:t>1</w:t>
            </w:r>
            <w:r w:rsidR="007D0605">
              <w:t xml:space="preserve"> </w:t>
            </w:r>
            <w:r w:rsidRPr="007D0605">
              <w:t>/</w:t>
            </w:r>
            <w:r w:rsidR="007D0605">
              <w:t xml:space="preserve"> </w:t>
            </w:r>
            <w:r w:rsidRPr="007D0605">
              <w:t>rok</w:t>
            </w:r>
          </w:p>
        </w:tc>
      </w:tr>
      <w:tr w:rsidR="009C249A" w:rsidRPr="0035152E" w14:paraId="6C2F09F7" w14:textId="77777777" w:rsidTr="009C249A">
        <w:tc>
          <w:tcPr>
            <w:tcW w:w="3020" w:type="dxa"/>
            <w:vAlign w:val="center"/>
          </w:tcPr>
          <w:p w14:paraId="7C5EE9E2" w14:textId="2E5F4B52" w:rsidR="009C249A" w:rsidRPr="007D0605" w:rsidRDefault="009C249A" w:rsidP="007D0605">
            <w:pPr>
              <w:spacing w:before="60" w:after="60"/>
            </w:pPr>
            <w:r w:rsidRPr="007D0605">
              <w:t>Expertní podpora orgánů státní správy ČR v oblasti genderové rovnosti ve</w:t>
            </w:r>
            <w:r w:rsidR="007D0605">
              <w:t> </w:t>
            </w:r>
            <w:proofErr w:type="spellStart"/>
            <w:r w:rsidR="007D0605">
              <w:t>VaVaI</w:t>
            </w:r>
            <w:proofErr w:type="spellEnd"/>
          </w:p>
        </w:tc>
        <w:tc>
          <w:tcPr>
            <w:tcW w:w="3021" w:type="dxa"/>
            <w:vAlign w:val="center"/>
          </w:tcPr>
          <w:p w14:paraId="603F8806" w14:textId="240FC1F7"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00523104" w14:textId="4F51D99B" w:rsidR="009C249A" w:rsidRPr="007D0605" w:rsidRDefault="009C249A" w:rsidP="00D046E4">
            <w:pPr>
              <w:spacing w:before="60" w:after="60"/>
              <w:jc w:val="center"/>
            </w:pPr>
            <w:r w:rsidRPr="007D0605">
              <w:t>1</w:t>
            </w:r>
            <w:r w:rsidR="007D0605">
              <w:t xml:space="preserve"> </w:t>
            </w:r>
            <w:r w:rsidRPr="007D0605">
              <w:t>/</w:t>
            </w:r>
            <w:r w:rsidR="007D0605">
              <w:t xml:space="preserve"> </w:t>
            </w:r>
            <w:r w:rsidRPr="007D0605">
              <w:t>rok</w:t>
            </w:r>
          </w:p>
        </w:tc>
      </w:tr>
      <w:tr w:rsidR="007D0605" w:rsidRPr="0035152E" w14:paraId="0A39DF4F" w14:textId="77777777" w:rsidTr="00487574">
        <w:tc>
          <w:tcPr>
            <w:tcW w:w="9062" w:type="dxa"/>
            <w:gridSpan w:val="3"/>
            <w:vAlign w:val="center"/>
          </w:tcPr>
          <w:p w14:paraId="0A30B91A" w14:textId="0C7A2067" w:rsidR="007D0605" w:rsidRPr="007D0605" w:rsidRDefault="007D0605" w:rsidP="007D0605">
            <w:pPr>
              <w:spacing w:before="120" w:after="120"/>
              <w:jc w:val="center"/>
              <w:rPr>
                <w:b/>
              </w:rPr>
            </w:pPr>
            <w:r w:rsidRPr="007D0605">
              <w:rPr>
                <w:b/>
              </w:rPr>
              <w:t>MODUL 3</w:t>
            </w:r>
            <w:r>
              <w:rPr>
                <w:b/>
              </w:rPr>
              <w:t xml:space="preserve"> –</w:t>
            </w:r>
            <w:r w:rsidRPr="007D0605">
              <w:rPr>
                <w:b/>
              </w:rPr>
              <w:t xml:space="preserve"> EURAXESS ČR</w:t>
            </w:r>
          </w:p>
        </w:tc>
      </w:tr>
      <w:tr w:rsidR="009C249A" w:rsidRPr="0035152E" w14:paraId="10A28DFB" w14:textId="77777777" w:rsidTr="009C249A">
        <w:tc>
          <w:tcPr>
            <w:tcW w:w="3020" w:type="dxa"/>
            <w:vAlign w:val="center"/>
          </w:tcPr>
          <w:p w14:paraId="69388A67" w14:textId="74D7554E" w:rsidR="009C249A" w:rsidRPr="007D0605" w:rsidRDefault="009C249A" w:rsidP="007D0605">
            <w:pPr>
              <w:spacing w:before="60" w:after="60"/>
            </w:pPr>
            <w:r w:rsidRPr="007D0605">
              <w:t>Informační, konzultační a</w:t>
            </w:r>
            <w:r w:rsidR="007D0605">
              <w:t> </w:t>
            </w:r>
            <w:r w:rsidRPr="007D0605">
              <w:t xml:space="preserve">asistenční služby zahraničním </w:t>
            </w:r>
            <w:proofErr w:type="spellStart"/>
            <w:r w:rsidRPr="007D0605">
              <w:t>VaVaI</w:t>
            </w:r>
            <w:proofErr w:type="spellEnd"/>
            <w:r w:rsidRPr="007D0605">
              <w:t xml:space="preserve"> pracovníkům </w:t>
            </w:r>
          </w:p>
        </w:tc>
        <w:tc>
          <w:tcPr>
            <w:tcW w:w="3021" w:type="dxa"/>
            <w:vAlign w:val="center"/>
          </w:tcPr>
          <w:p w14:paraId="39226DCE" w14:textId="3AF8BBC0"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78DB5040" w14:textId="2278437E" w:rsidR="009C249A" w:rsidRPr="007D0605" w:rsidRDefault="009C249A" w:rsidP="007D0605">
            <w:pPr>
              <w:spacing w:before="60" w:after="60"/>
              <w:jc w:val="center"/>
            </w:pPr>
            <w:r w:rsidRPr="007D0605">
              <w:t>15000</w:t>
            </w:r>
            <w:r w:rsidR="007D0605">
              <w:t xml:space="preserve"> </w:t>
            </w:r>
            <w:r w:rsidRPr="007D0605">
              <w:t>/</w:t>
            </w:r>
            <w:r w:rsidR="007D0605">
              <w:t xml:space="preserve"> </w:t>
            </w:r>
            <w:r w:rsidRPr="007D0605">
              <w:t>rok</w:t>
            </w:r>
          </w:p>
        </w:tc>
      </w:tr>
      <w:tr w:rsidR="009C249A" w:rsidRPr="0035152E" w14:paraId="64ACF725" w14:textId="77777777" w:rsidTr="009C249A">
        <w:tc>
          <w:tcPr>
            <w:tcW w:w="3020" w:type="dxa"/>
            <w:vAlign w:val="center"/>
          </w:tcPr>
          <w:p w14:paraId="472D8ADC" w14:textId="77777777" w:rsidR="009C249A" w:rsidRPr="007D0605" w:rsidRDefault="009C249A" w:rsidP="007D0605">
            <w:pPr>
              <w:spacing w:before="60" w:after="60"/>
            </w:pPr>
            <w:r w:rsidRPr="007D0605">
              <w:t xml:space="preserve">Systémová a metodická pomoc </w:t>
            </w:r>
            <w:proofErr w:type="spellStart"/>
            <w:r w:rsidRPr="007D0605">
              <w:t>VaVaI</w:t>
            </w:r>
            <w:proofErr w:type="spellEnd"/>
            <w:r w:rsidRPr="007D0605">
              <w:t xml:space="preserve"> pracovištím při zaměstnávání zahraničních pracovníků </w:t>
            </w:r>
          </w:p>
        </w:tc>
        <w:tc>
          <w:tcPr>
            <w:tcW w:w="3021" w:type="dxa"/>
            <w:vAlign w:val="center"/>
          </w:tcPr>
          <w:p w14:paraId="3934E7FF" w14:textId="011D508D"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3DB505D1" w14:textId="716F1CBE" w:rsidR="009C249A" w:rsidRPr="007D0605" w:rsidRDefault="009C249A" w:rsidP="007D0605">
            <w:pPr>
              <w:spacing w:before="60" w:after="60"/>
              <w:jc w:val="center"/>
            </w:pPr>
            <w:r w:rsidRPr="007D0605">
              <w:t>10000</w:t>
            </w:r>
            <w:r w:rsidR="007D0605">
              <w:t xml:space="preserve"> </w:t>
            </w:r>
            <w:r w:rsidRPr="007D0605">
              <w:t>/</w:t>
            </w:r>
            <w:r w:rsidR="007D0605">
              <w:t xml:space="preserve"> </w:t>
            </w:r>
            <w:r w:rsidRPr="007D0605">
              <w:t>rok</w:t>
            </w:r>
          </w:p>
        </w:tc>
      </w:tr>
      <w:tr w:rsidR="009C249A" w:rsidRPr="0035152E" w14:paraId="76644C79" w14:textId="77777777" w:rsidTr="009C249A">
        <w:tc>
          <w:tcPr>
            <w:tcW w:w="3020" w:type="dxa"/>
            <w:vAlign w:val="center"/>
          </w:tcPr>
          <w:p w14:paraId="5A922693" w14:textId="77777777" w:rsidR="009C249A" w:rsidRPr="007D0605" w:rsidRDefault="009C249A" w:rsidP="007D0605">
            <w:pPr>
              <w:spacing w:before="60" w:after="60"/>
            </w:pPr>
            <w:r w:rsidRPr="007D0605">
              <w:t xml:space="preserve">Provoz informačního portálu www.euraxess.cz </w:t>
            </w:r>
          </w:p>
          <w:p w14:paraId="33DEB0F7" w14:textId="77777777" w:rsidR="009C249A" w:rsidRPr="007D0605" w:rsidRDefault="009C249A" w:rsidP="007D0605">
            <w:pPr>
              <w:spacing w:before="60" w:after="60"/>
            </w:pPr>
          </w:p>
        </w:tc>
        <w:tc>
          <w:tcPr>
            <w:tcW w:w="3021" w:type="dxa"/>
            <w:vAlign w:val="center"/>
          </w:tcPr>
          <w:p w14:paraId="0137CC3A" w14:textId="77777777" w:rsidR="009C249A" w:rsidRPr="007D0605" w:rsidRDefault="009C249A" w:rsidP="00D046E4">
            <w:pPr>
              <w:spacing w:before="60" w:after="60"/>
              <w:jc w:val="center"/>
            </w:pPr>
            <w:r w:rsidRPr="007D0605">
              <w:t>kvantitativní</w:t>
            </w:r>
          </w:p>
        </w:tc>
        <w:tc>
          <w:tcPr>
            <w:tcW w:w="3021" w:type="dxa"/>
            <w:vAlign w:val="center"/>
          </w:tcPr>
          <w:p w14:paraId="54A26E0A" w14:textId="0E09C64D" w:rsidR="009C249A" w:rsidRPr="007D0605" w:rsidRDefault="007D0605" w:rsidP="007D0605">
            <w:pPr>
              <w:spacing w:before="60" w:after="60"/>
              <w:jc w:val="center"/>
            </w:pPr>
            <w:r>
              <w:t>p</w:t>
            </w:r>
            <w:r w:rsidR="009C249A" w:rsidRPr="007D0605">
              <w:t>růběžné aktualizace</w:t>
            </w:r>
          </w:p>
        </w:tc>
      </w:tr>
      <w:tr w:rsidR="009C249A" w:rsidRPr="0035152E" w14:paraId="05939D1B" w14:textId="77777777" w:rsidTr="009C249A">
        <w:tc>
          <w:tcPr>
            <w:tcW w:w="3020" w:type="dxa"/>
            <w:vAlign w:val="center"/>
          </w:tcPr>
          <w:p w14:paraId="00D6B745" w14:textId="77777777" w:rsidR="009C249A" w:rsidRPr="007D0605" w:rsidRDefault="009C249A" w:rsidP="007D0605">
            <w:pPr>
              <w:spacing w:before="60" w:after="60"/>
            </w:pPr>
            <w:r w:rsidRPr="007D0605">
              <w:t xml:space="preserve">Uspořádání odborných seminářů </w:t>
            </w:r>
          </w:p>
        </w:tc>
        <w:tc>
          <w:tcPr>
            <w:tcW w:w="3021" w:type="dxa"/>
            <w:vAlign w:val="center"/>
          </w:tcPr>
          <w:p w14:paraId="4841888A" w14:textId="020E5560" w:rsidR="009C249A" w:rsidRPr="007D0605" w:rsidRDefault="009C249A" w:rsidP="00D046E4">
            <w:pPr>
              <w:spacing w:before="60" w:after="60"/>
              <w:jc w:val="center"/>
            </w:pPr>
            <w:r w:rsidRPr="007D0605">
              <w:t>kvantitativní</w:t>
            </w:r>
            <w:r w:rsidR="007D0605">
              <w:t xml:space="preserve"> </w:t>
            </w:r>
            <w:r w:rsidRPr="007D0605">
              <w:t>/</w:t>
            </w:r>
            <w:r w:rsidR="007D0605">
              <w:t xml:space="preserve"> </w:t>
            </w:r>
            <w:r w:rsidRPr="007D0605">
              <w:t>kvalitativní</w:t>
            </w:r>
          </w:p>
        </w:tc>
        <w:tc>
          <w:tcPr>
            <w:tcW w:w="3021" w:type="dxa"/>
            <w:vAlign w:val="center"/>
          </w:tcPr>
          <w:p w14:paraId="151FF200" w14:textId="424B75FB" w:rsidR="009C249A" w:rsidRPr="007D0605" w:rsidRDefault="007D0605" w:rsidP="007D0605">
            <w:pPr>
              <w:spacing w:before="60" w:after="60"/>
              <w:jc w:val="center"/>
            </w:pPr>
            <w:r>
              <w:t>3 /</w:t>
            </w:r>
            <w:r w:rsidR="009C249A" w:rsidRPr="007D0605">
              <w:t xml:space="preserve"> ro</w:t>
            </w:r>
            <w:r>
              <w:t>k</w:t>
            </w:r>
          </w:p>
        </w:tc>
      </w:tr>
      <w:tr w:rsidR="009C249A" w:rsidRPr="0035152E" w14:paraId="4D4FC074" w14:textId="77777777" w:rsidTr="009C249A">
        <w:tc>
          <w:tcPr>
            <w:tcW w:w="3020" w:type="dxa"/>
            <w:vAlign w:val="center"/>
          </w:tcPr>
          <w:p w14:paraId="0AFEC3A4" w14:textId="77777777" w:rsidR="009C249A" w:rsidRPr="007D0605" w:rsidRDefault="009C249A" w:rsidP="007D0605">
            <w:pPr>
              <w:spacing w:before="60" w:after="60"/>
            </w:pPr>
            <w:r w:rsidRPr="007D0605">
              <w:t xml:space="preserve">Školení pro regionální spolupracovníky </w:t>
            </w:r>
          </w:p>
        </w:tc>
        <w:tc>
          <w:tcPr>
            <w:tcW w:w="3021" w:type="dxa"/>
            <w:vAlign w:val="center"/>
          </w:tcPr>
          <w:p w14:paraId="6AA43235" w14:textId="77777777" w:rsidR="009C249A" w:rsidRPr="007D0605" w:rsidRDefault="009C249A" w:rsidP="00D046E4">
            <w:pPr>
              <w:spacing w:before="60" w:after="60"/>
              <w:jc w:val="center"/>
            </w:pPr>
            <w:r w:rsidRPr="007D0605">
              <w:t>kvantitativní/kvalitativní</w:t>
            </w:r>
          </w:p>
        </w:tc>
        <w:tc>
          <w:tcPr>
            <w:tcW w:w="3021" w:type="dxa"/>
            <w:vAlign w:val="center"/>
          </w:tcPr>
          <w:p w14:paraId="38270DF8" w14:textId="46D48374" w:rsidR="009C249A" w:rsidRPr="007D0605" w:rsidRDefault="009C249A" w:rsidP="007D0605">
            <w:pPr>
              <w:spacing w:before="60" w:after="60"/>
              <w:jc w:val="center"/>
            </w:pPr>
            <w:r w:rsidRPr="007D0605">
              <w:t xml:space="preserve">2 </w:t>
            </w:r>
            <w:r w:rsidR="007D0605">
              <w:t>/</w:t>
            </w:r>
            <w:r w:rsidRPr="007D0605">
              <w:t xml:space="preserve"> ro</w:t>
            </w:r>
            <w:r w:rsidR="007D0605">
              <w:t>k</w:t>
            </w:r>
          </w:p>
        </w:tc>
      </w:tr>
      <w:tr w:rsidR="009C249A" w:rsidRPr="0035152E" w14:paraId="0859412A" w14:textId="77777777" w:rsidTr="009C249A">
        <w:tc>
          <w:tcPr>
            <w:tcW w:w="3020" w:type="dxa"/>
            <w:vAlign w:val="center"/>
          </w:tcPr>
          <w:p w14:paraId="0797086C" w14:textId="77777777" w:rsidR="009C249A" w:rsidRPr="007D0605" w:rsidRDefault="009C249A" w:rsidP="007D0605">
            <w:pPr>
              <w:spacing w:before="60" w:after="60"/>
            </w:pPr>
            <w:r w:rsidRPr="007D0605">
              <w:t xml:space="preserve">Uspořádání integračních kurzů pro nově příchozí zahraniční výzkumníky </w:t>
            </w:r>
          </w:p>
        </w:tc>
        <w:tc>
          <w:tcPr>
            <w:tcW w:w="3021" w:type="dxa"/>
            <w:vAlign w:val="center"/>
          </w:tcPr>
          <w:p w14:paraId="482AC863" w14:textId="77777777" w:rsidR="009C249A" w:rsidRPr="007D0605" w:rsidRDefault="009C249A" w:rsidP="00D046E4">
            <w:pPr>
              <w:spacing w:before="60" w:after="60"/>
              <w:jc w:val="center"/>
            </w:pPr>
            <w:r w:rsidRPr="007D0605">
              <w:t>kvantitativní/kvalitativní</w:t>
            </w:r>
          </w:p>
        </w:tc>
        <w:tc>
          <w:tcPr>
            <w:tcW w:w="3021" w:type="dxa"/>
            <w:vAlign w:val="center"/>
          </w:tcPr>
          <w:p w14:paraId="2C565DCD" w14:textId="0C84CFEA" w:rsidR="009C249A" w:rsidRPr="007D0605" w:rsidRDefault="007D0605" w:rsidP="00D046E4">
            <w:pPr>
              <w:spacing w:before="60" w:after="60"/>
              <w:jc w:val="center"/>
            </w:pPr>
            <w:r>
              <w:t>2 / rok</w:t>
            </w:r>
          </w:p>
        </w:tc>
      </w:tr>
      <w:tr w:rsidR="009C249A" w:rsidRPr="0035152E" w14:paraId="6DBF6F3A" w14:textId="77777777" w:rsidTr="009C249A">
        <w:tc>
          <w:tcPr>
            <w:tcW w:w="3020" w:type="dxa"/>
            <w:vAlign w:val="center"/>
          </w:tcPr>
          <w:p w14:paraId="6325AADE" w14:textId="77777777" w:rsidR="009C249A" w:rsidRPr="007D0605" w:rsidRDefault="009C249A" w:rsidP="007D0605">
            <w:pPr>
              <w:spacing w:before="60" w:after="60"/>
            </w:pPr>
            <w:r w:rsidRPr="007D0605">
              <w:t xml:space="preserve">Pořádání konverzačních kurzů českého jazyka </w:t>
            </w:r>
          </w:p>
        </w:tc>
        <w:tc>
          <w:tcPr>
            <w:tcW w:w="3021" w:type="dxa"/>
            <w:vAlign w:val="center"/>
          </w:tcPr>
          <w:p w14:paraId="3718F2D9" w14:textId="77777777" w:rsidR="009C249A" w:rsidRPr="007D0605" w:rsidRDefault="009C249A" w:rsidP="00D046E4">
            <w:pPr>
              <w:spacing w:before="60" w:after="60"/>
              <w:jc w:val="center"/>
            </w:pPr>
            <w:r w:rsidRPr="007D0605">
              <w:t>kvantitativní/kvalitativní</w:t>
            </w:r>
          </w:p>
        </w:tc>
        <w:tc>
          <w:tcPr>
            <w:tcW w:w="3021" w:type="dxa"/>
            <w:vAlign w:val="center"/>
          </w:tcPr>
          <w:p w14:paraId="53292D65" w14:textId="14434F63" w:rsidR="009C249A" w:rsidRPr="007D0605" w:rsidRDefault="007D0605" w:rsidP="007D0605">
            <w:pPr>
              <w:spacing w:before="60" w:after="60"/>
              <w:jc w:val="center"/>
            </w:pPr>
            <w:r>
              <w:t>1 /</w:t>
            </w:r>
            <w:r w:rsidR="009C249A" w:rsidRPr="007D0605">
              <w:t xml:space="preserve"> týd</w:t>
            </w:r>
            <w:r>
              <w:t>e</w:t>
            </w:r>
            <w:r w:rsidR="009C249A" w:rsidRPr="007D0605">
              <w:t>n</w:t>
            </w:r>
          </w:p>
        </w:tc>
      </w:tr>
      <w:tr w:rsidR="009C249A" w:rsidRPr="0035152E" w14:paraId="39B9D430" w14:textId="77777777" w:rsidTr="009C249A">
        <w:tc>
          <w:tcPr>
            <w:tcW w:w="3020" w:type="dxa"/>
            <w:vAlign w:val="center"/>
          </w:tcPr>
          <w:p w14:paraId="641B07B8" w14:textId="77777777" w:rsidR="009C249A" w:rsidRPr="007D0605" w:rsidRDefault="009C249A" w:rsidP="007D0605">
            <w:pPr>
              <w:spacing w:before="60" w:after="60"/>
            </w:pPr>
            <w:r w:rsidRPr="007D0605">
              <w:t xml:space="preserve">Kulturně-společenská setkání </w:t>
            </w:r>
          </w:p>
        </w:tc>
        <w:tc>
          <w:tcPr>
            <w:tcW w:w="3021" w:type="dxa"/>
            <w:vAlign w:val="center"/>
          </w:tcPr>
          <w:p w14:paraId="7C03FD39" w14:textId="77777777" w:rsidR="009C249A" w:rsidRPr="007D0605" w:rsidRDefault="009C249A" w:rsidP="00D046E4">
            <w:pPr>
              <w:spacing w:before="60" w:after="60"/>
              <w:jc w:val="center"/>
            </w:pPr>
            <w:r w:rsidRPr="007D0605">
              <w:t>kvantitativní/kvalitativní</w:t>
            </w:r>
          </w:p>
        </w:tc>
        <w:tc>
          <w:tcPr>
            <w:tcW w:w="3021" w:type="dxa"/>
            <w:vAlign w:val="center"/>
          </w:tcPr>
          <w:p w14:paraId="40167CAD" w14:textId="18F9194A" w:rsidR="009C249A" w:rsidRPr="007D0605" w:rsidRDefault="007D0605" w:rsidP="007D0605">
            <w:pPr>
              <w:spacing w:before="60" w:after="60"/>
              <w:jc w:val="center"/>
            </w:pPr>
            <w:r>
              <w:t>3 /</w:t>
            </w:r>
            <w:r w:rsidR="009C249A" w:rsidRPr="007D0605">
              <w:t xml:space="preserve"> ro</w:t>
            </w:r>
            <w:r>
              <w:t>k</w:t>
            </w:r>
          </w:p>
        </w:tc>
      </w:tr>
    </w:tbl>
    <w:p w14:paraId="50BA7C12" w14:textId="77777777" w:rsidR="009C249A" w:rsidRDefault="009C249A" w:rsidP="00D046E4">
      <w:pPr>
        <w:pBdr>
          <w:top w:val="nil"/>
          <w:left w:val="nil"/>
          <w:bottom w:val="nil"/>
          <w:right w:val="nil"/>
          <w:between w:val="nil"/>
        </w:pBdr>
        <w:spacing w:after="0" w:line="240" w:lineRule="auto"/>
        <w:rPr>
          <w:rFonts w:eastAsia="Verdana"/>
          <w:color w:val="000000"/>
        </w:rPr>
      </w:pPr>
    </w:p>
    <w:p w14:paraId="13617365" w14:textId="4A3BCA94" w:rsidR="001F0128" w:rsidRPr="00AE5341" w:rsidRDefault="009C249A" w:rsidP="009116B3">
      <w:pPr>
        <w:pBdr>
          <w:top w:val="nil"/>
          <w:left w:val="nil"/>
          <w:bottom w:val="nil"/>
          <w:right w:val="nil"/>
          <w:between w:val="nil"/>
        </w:pBdr>
        <w:spacing w:after="0" w:line="240" w:lineRule="auto"/>
        <w:jc w:val="both"/>
        <w:rPr>
          <w:rFonts w:eastAsia="Verdana"/>
          <w:color w:val="000000"/>
        </w:rPr>
      </w:pPr>
      <w:r>
        <w:rPr>
          <w:i/>
          <w:sz w:val="20"/>
          <w:szCs w:val="20"/>
        </w:rPr>
        <w:t xml:space="preserve">* </w:t>
      </w:r>
      <w:r w:rsidRPr="008264F1">
        <w:rPr>
          <w:i/>
          <w:sz w:val="20"/>
          <w:szCs w:val="20"/>
        </w:rPr>
        <w:t>V případě kvalitativníh</w:t>
      </w:r>
      <w:r>
        <w:rPr>
          <w:i/>
          <w:sz w:val="20"/>
          <w:szCs w:val="20"/>
        </w:rPr>
        <w:t>o</w:t>
      </w:r>
      <w:r w:rsidRPr="008264F1">
        <w:rPr>
          <w:i/>
          <w:sz w:val="20"/>
          <w:szCs w:val="20"/>
        </w:rPr>
        <w:t xml:space="preserve"> indikátor</w:t>
      </w:r>
      <w:r>
        <w:rPr>
          <w:i/>
          <w:sz w:val="20"/>
          <w:szCs w:val="20"/>
        </w:rPr>
        <w:t>u</w:t>
      </w:r>
      <w:r w:rsidRPr="008264F1">
        <w:rPr>
          <w:i/>
          <w:sz w:val="20"/>
          <w:szCs w:val="20"/>
        </w:rPr>
        <w:t xml:space="preserve"> bude naplnění cílové hodnoty indikátoru doplněno </w:t>
      </w:r>
      <w:r>
        <w:rPr>
          <w:i/>
          <w:sz w:val="20"/>
          <w:szCs w:val="20"/>
        </w:rPr>
        <w:t xml:space="preserve">i </w:t>
      </w:r>
      <w:r w:rsidRPr="008264F1">
        <w:rPr>
          <w:i/>
          <w:sz w:val="20"/>
          <w:szCs w:val="20"/>
        </w:rPr>
        <w:t xml:space="preserve">o bližší </w:t>
      </w:r>
      <w:r>
        <w:rPr>
          <w:i/>
          <w:sz w:val="20"/>
          <w:szCs w:val="20"/>
        </w:rPr>
        <w:t xml:space="preserve">popisnou </w:t>
      </w:r>
      <w:r w:rsidRPr="008264F1">
        <w:rPr>
          <w:i/>
          <w:sz w:val="20"/>
          <w:szCs w:val="20"/>
        </w:rPr>
        <w:t>informaci</w:t>
      </w:r>
      <w:r>
        <w:rPr>
          <w:i/>
          <w:sz w:val="20"/>
          <w:szCs w:val="20"/>
        </w:rPr>
        <w:t xml:space="preserve"> o způsobu jejího naplnění. Tato informace bude obsažena ve výroční zprávě o řešení projektu. Bližší popisná informace bude doplňovat i způsob naplnění cílové hodnoty kvantitativního indikátoru.</w:t>
      </w:r>
    </w:p>
    <w:sectPr w:rsidR="001F0128" w:rsidRPr="00AE5341" w:rsidSect="00D24C31">
      <w:footerReference w:type="default" r:id="rId14"/>
      <w:footerReference w:type="first" r:id="rId15"/>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A0A5D" w14:textId="77777777" w:rsidR="00E37F55" w:rsidRDefault="00E37F55" w:rsidP="00973E09">
      <w:r>
        <w:separator/>
      </w:r>
    </w:p>
    <w:p w14:paraId="67BC6F12" w14:textId="77777777" w:rsidR="00E37F55" w:rsidRDefault="00E37F55" w:rsidP="00973E09"/>
  </w:endnote>
  <w:endnote w:type="continuationSeparator" w:id="0">
    <w:p w14:paraId="21413479" w14:textId="77777777" w:rsidR="00E37F55" w:rsidRDefault="00E37F55" w:rsidP="00973E09">
      <w:r>
        <w:continuationSeparator/>
      </w:r>
    </w:p>
    <w:p w14:paraId="5D86BF0D" w14:textId="77777777" w:rsidR="00E37F55" w:rsidRDefault="00E37F55" w:rsidP="00973E09"/>
  </w:endnote>
  <w:endnote w:type="continuationNotice" w:id="1">
    <w:p w14:paraId="0EF51DD4" w14:textId="77777777" w:rsidR="00E37F55" w:rsidRDefault="00E37F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32376"/>
      <w:docPartObj>
        <w:docPartGallery w:val="Page Numbers (Bottom of Page)"/>
        <w:docPartUnique/>
      </w:docPartObj>
    </w:sdtPr>
    <w:sdtEndPr/>
    <w:sdtContent>
      <w:p w14:paraId="5B3ABC5D" w14:textId="10D0F11F" w:rsidR="00E91637" w:rsidRDefault="00E91637">
        <w:pPr>
          <w:pStyle w:val="Zpat"/>
          <w:jc w:val="center"/>
        </w:pPr>
        <w:r>
          <w:fldChar w:fldCharType="begin"/>
        </w:r>
        <w:r>
          <w:instrText>PAGE   \* MERGEFORMAT</w:instrText>
        </w:r>
        <w:r>
          <w:fldChar w:fldCharType="separate"/>
        </w:r>
        <w:r w:rsidR="00611BAD">
          <w:rPr>
            <w:noProof/>
          </w:rPr>
          <w:t>2</w:t>
        </w:r>
        <w:r>
          <w:fldChar w:fldCharType="end"/>
        </w:r>
      </w:p>
    </w:sdtContent>
  </w:sdt>
  <w:p w14:paraId="7BD818DB" w14:textId="47881172" w:rsidR="00E91637" w:rsidRPr="00D05426" w:rsidRDefault="00E91637" w:rsidP="00973E09">
    <w:pPr>
      <w:pStyle w:val="Zpat"/>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2E33E" w14:textId="20EF0B48" w:rsidR="00E91637" w:rsidRPr="00BA6DEC" w:rsidRDefault="00E91637">
    <w:pPr>
      <w:pStyle w:val="Zpat"/>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38F08" w14:textId="77777777" w:rsidR="00E37F55" w:rsidRDefault="00E37F55" w:rsidP="00973E09">
      <w:r>
        <w:separator/>
      </w:r>
    </w:p>
  </w:footnote>
  <w:footnote w:type="continuationSeparator" w:id="0">
    <w:p w14:paraId="41280170" w14:textId="77777777" w:rsidR="00E37F55" w:rsidRDefault="00E37F55" w:rsidP="00973E09">
      <w:r>
        <w:continuationSeparator/>
      </w:r>
    </w:p>
  </w:footnote>
  <w:footnote w:type="continuationNotice" w:id="1">
    <w:p w14:paraId="48539DEA" w14:textId="77777777" w:rsidR="00E37F55" w:rsidRDefault="00E37F55">
      <w:pPr>
        <w:spacing w:after="0"/>
      </w:pPr>
    </w:p>
  </w:footnote>
  <w:footnote w:id="2">
    <w:p w14:paraId="71AEBB96" w14:textId="14C59DEF" w:rsidR="00E91637" w:rsidRPr="007D0605" w:rsidRDefault="00E91637" w:rsidP="009C249A">
      <w:pPr>
        <w:pStyle w:val="Textpoznpodarou"/>
        <w:rPr>
          <w:i/>
        </w:rPr>
      </w:pPr>
      <w:r w:rsidRPr="007D0605">
        <w:rPr>
          <w:rStyle w:val="Znakapoznpodarou"/>
          <w:i/>
        </w:rPr>
        <w:footnoteRef/>
      </w:r>
      <w:r w:rsidRPr="007D0605">
        <w:rPr>
          <w:i/>
        </w:rPr>
        <w:t xml:space="preserve"> Do tohoto počtu nejsou zahrnuty jednodušší odpovědi na telefonické a e-mailové dotazy.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DF4"/>
    <w:multiLevelType w:val="hybridMultilevel"/>
    <w:tmpl w:val="4EF231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5A632EA"/>
    <w:multiLevelType w:val="multilevel"/>
    <w:tmpl w:val="63A894B4"/>
    <w:lvl w:ilvl="0">
      <w:start w:val="1"/>
      <w:numFmt w:val="decimal"/>
      <w:lvlText w:val="%1"/>
      <w:lvlJc w:val="left"/>
      <w:pPr>
        <w:ind w:left="432" w:hanging="432"/>
      </w:pPr>
    </w:lvl>
    <w:lvl w:ilvl="1">
      <w:start w:val="1"/>
      <w:numFmt w:val="decimal"/>
      <w:pStyle w:val="Nadpis2"/>
      <w:lvlText w:val="%1.%2"/>
      <w:lvlJc w:val="left"/>
      <w:pPr>
        <w:ind w:left="2987" w:hanging="576"/>
      </w:pPr>
      <w:rPr>
        <w:lang w:val="cs-CZ"/>
      </w:rPr>
    </w:lvl>
    <w:lvl w:ilvl="2">
      <w:start w:val="1"/>
      <w:numFmt w:val="decimal"/>
      <w:pStyle w:val="Nadpis3"/>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A9A29BB"/>
    <w:multiLevelType w:val="hybridMultilevel"/>
    <w:tmpl w:val="237E0E94"/>
    <w:lvl w:ilvl="0" w:tplc="04050005">
      <w:start w:val="1"/>
      <w:numFmt w:val="bullet"/>
      <w:lvlText w:val=""/>
      <w:lvlJc w:val="left"/>
      <w:pPr>
        <w:ind w:left="1210" w:hanging="360"/>
      </w:pPr>
      <w:rPr>
        <w:rFonts w:ascii="Wingdings" w:hAnsi="Wingdings" w:hint="default"/>
      </w:rPr>
    </w:lvl>
    <w:lvl w:ilvl="1" w:tplc="04050003">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3" w15:restartNumberingAfterBreak="0">
    <w:nsid w:val="20DC4B09"/>
    <w:multiLevelType w:val="hybridMultilevel"/>
    <w:tmpl w:val="99C8F9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465018B"/>
    <w:multiLevelType w:val="hybridMultilevel"/>
    <w:tmpl w:val="C88AF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3012DE"/>
    <w:multiLevelType w:val="hybridMultilevel"/>
    <w:tmpl w:val="0E289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0A7914"/>
    <w:multiLevelType w:val="hybridMultilevel"/>
    <w:tmpl w:val="A44C70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39B6FC8"/>
    <w:multiLevelType w:val="hybridMultilevel"/>
    <w:tmpl w:val="1402F6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F2354E"/>
    <w:multiLevelType w:val="hybridMultilevel"/>
    <w:tmpl w:val="3DB82D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D76E80"/>
    <w:multiLevelType w:val="hybridMultilevel"/>
    <w:tmpl w:val="C4F0A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F56D37"/>
    <w:multiLevelType w:val="hybridMultilevel"/>
    <w:tmpl w:val="4B3474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FA4912"/>
    <w:multiLevelType w:val="hybridMultilevel"/>
    <w:tmpl w:val="09D20C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023A4B"/>
    <w:multiLevelType w:val="hybridMultilevel"/>
    <w:tmpl w:val="C896DD80"/>
    <w:lvl w:ilvl="0" w:tplc="8592A440">
      <w:start w:val="4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FE60050"/>
    <w:multiLevelType w:val="multilevel"/>
    <w:tmpl w:val="447A794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54516C1C"/>
    <w:multiLevelType w:val="hybridMultilevel"/>
    <w:tmpl w:val="85CE9E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E258DC"/>
    <w:multiLevelType w:val="hybridMultilevel"/>
    <w:tmpl w:val="01F6A4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A6F0F23"/>
    <w:multiLevelType w:val="hybridMultilevel"/>
    <w:tmpl w:val="C6541D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B700F74"/>
    <w:multiLevelType w:val="hybridMultilevel"/>
    <w:tmpl w:val="8CD07CCE"/>
    <w:lvl w:ilvl="0" w:tplc="04050001">
      <w:start w:val="1"/>
      <w:numFmt w:val="bullet"/>
      <w:lvlText w:val=""/>
      <w:lvlJc w:val="left"/>
      <w:pPr>
        <w:ind w:left="567" w:hanging="360"/>
      </w:pPr>
      <w:rPr>
        <w:rFonts w:ascii="Symbol" w:hAnsi="Symbol" w:hint="default"/>
      </w:rPr>
    </w:lvl>
    <w:lvl w:ilvl="1" w:tplc="04050003" w:tentative="1">
      <w:start w:val="1"/>
      <w:numFmt w:val="bullet"/>
      <w:lvlText w:val="o"/>
      <w:lvlJc w:val="left"/>
      <w:pPr>
        <w:ind w:left="1287" w:hanging="360"/>
      </w:pPr>
      <w:rPr>
        <w:rFonts w:ascii="Courier New" w:hAnsi="Courier New" w:cs="Courier New" w:hint="default"/>
      </w:rPr>
    </w:lvl>
    <w:lvl w:ilvl="2" w:tplc="04050005" w:tentative="1">
      <w:start w:val="1"/>
      <w:numFmt w:val="bullet"/>
      <w:lvlText w:val=""/>
      <w:lvlJc w:val="left"/>
      <w:pPr>
        <w:ind w:left="2007" w:hanging="360"/>
      </w:pPr>
      <w:rPr>
        <w:rFonts w:ascii="Wingdings" w:hAnsi="Wingdings" w:hint="default"/>
      </w:rPr>
    </w:lvl>
    <w:lvl w:ilvl="3" w:tplc="04050001" w:tentative="1">
      <w:start w:val="1"/>
      <w:numFmt w:val="bullet"/>
      <w:lvlText w:val=""/>
      <w:lvlJc w:val="left"/>
      <w:pPr>
        <w:ind w:left="2727" w:hanging="360"/>
      </w:pPr>
      <w:rPr>
        <w:rFonts w:ascii="Symbol" w:hAnsi="Symbol" w:hint="default"/>
      </w:rPr>
    </w:lvl>
    <w:lvl w:ilvl="4" w:tplc="04050003" w:tentative="1">
      <w:start w:val="1"/>
      <w:numFmt w:val="bullet"/>
      <w:lvlText w:val="o"/>
      <w:lvlJc w:val="left"/>
      <w:pPr>
        <w:ind w:left="3447" w:hanging="360"/>
      </w:pPr>
      <w:rPr>
        <w:rFonts w:ascii="Courier New" w:hAnsi="Courier New" w:cs="Courier New" w:hint="default"/>
      </w:rPr>
    </w:lvl>
    <w:lvl w:ilvl="5" w:tplc="04050005" w:tentative="1">
      <w:start w:val="1"/>
      <w:numFmt w:val="bullet"/>
      <w:lvlText w:val=""/>
      <w:lvlJc w:val="left"/>
      <w:pPr>
        <w:ind w:left="4167" w:hanging="360"/>
      </w:pPr>
      <w:rPr>
        <w:rFonts w:ascii="Wingdings" w:hAnsi="Wingdings" w:hint="default"/>
      </w:rPr>
    </w:lvl>
    <w:lvl w:ilvl="6" w:tplc="04050001" w:tentative="1">
      <w:start w:val="1"/>
      <w:numFmt w:val="bullet"/>
      <w:lvlText w:val=""/>
      <w:lvlJc w:val="left"/>
      <w:pPr>
        <w:ind w:left="4887" w:hanging="360"/>
      </w:pPr>
      <w:rPr>
        <w:rFonts w:ascii="Symbol" w:hAnsi="Symbol" w:hint="default"/>
      </w:rPr>
    </w:lvl>
    <w:lvl w:ilvl="7" w:tplc="04050003" w:tentative="1">
      <w:start w:val="1"/>
      <w:numFmt w:val="bullet"/>
      <w:lvlText w:val="o"/>
      <w:lvlJc w:val="left"/>
      <w:pPr>
        <w:ind w:left="5607" w:hanging="360"/>
      </w:pPr>
      <w:rPr>
        <w:rFonts w:ascii="Courier New" w:hAnsi="Courier New" w:cs="Courier New" w:hint="default"/>
      </w:rPr>
    </w:lvl>
    <w:lvl w:ilvl="8" w:tplc="04050005" w:tentative="1">
      <w:start w:val="1"/>
      <w:numFmt w:val="bullet"/>
      <w:lvlText w:val=""/>
      <w:lvlJc w:val="left"/>
      <w:pPr>
        <w:ind w:left="6327" w:hanging="360"/>
      </w:pPr>
      <w:rPr>
        <w:rFonts w:ascii="Wingdings" w:hAnsi="Wingdings" w:hint="default"/>
      </w:rPr>
    </w:lvl>
  </w:abstractNum>
  <w:abstractNum w:abstractNumId="20" w15:restartNumberingAfterBreak="0">
    <w:nsid w:val="5DBC4813"/>
    <w:multiLevelType w:val="hybridMultilevel"/>
    <w:tmpl w:val="702E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E176D6A"/>
    <w:multiLevelType w:val="hybridMultilevel"/>
    <w:tmpl w:val="662620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1A534F4"/>
    <w:multiLevelType w:val="multilevel"/>
    <w:tmpl w:val="7F763B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3DA6959"/>
    <w:multiLevelType w:val="hybridMultilevel"/>
    <w:tmpl w:val="32184F3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4030424"/>
    <w:multiLevelType w:val="hybridMultilevel"/>
    <w:tmpl w:val="012A03E6"/>
    <w:lvl w:ilvl="0" w:tplc="04050005">
      <w:start w:val="1"/>
      <w:numFmt w:val="bullet"/>
      <w:lvlText w:val=""/>
      <w:lvlJc w:val="left"/>
      <w:pPr>
        <w:ind w:left="1210" w:hanging="360"/>
      </w:pPr>
      <w:rPr>
        <w:rFonts w:ascii="Wingdings" w:hAnsi="Wingdings" w:hint="default"/>
      </w:rPr>
    </w:lvl>
    <w:lvl w:ilvl="1" w:tplc="04050003">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25" w15:restartNumberingAfterBreak="0">
    <w:nsid w:val="65BE672E"/>
    <w:multiLevelType w:val="hybridMultilevel"/>
    <w:tmpl w:val="500E99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FB1034"/>
    <w:multiLevelType w:val="hybridMultilevel"/>
    <w:tmpl w:val="FF7E1B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6D53422"/>
    <w:multiLevelType w:val="hybridMultilevel"/>
    <w:tmpl w:val="6E44AA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242BE8"/>
    <w:multiLevelType w:val="hybridMultilevel"/>
    <w:tmpl w:val="1C36C45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DD424D6"/>
    <w:multiLevelType w:val="hybridMultilevel"/>
    <w:tmpl w:val="C36A578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01C3A4C"/>
    <w:multiLevelType w:val="hybridMultilevel"/>
    <w:tmpl w:val="840AF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1948F2"/>
    <w:multiLevelType w:val="hybridMultilevel"/>
    <w:tmpl w:val="84CE70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8180549"/>
    <w:multiLevelType w:val="hybridMultilevel"/>
    <w:tmpl w:val="00B69E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7AF6034B"/>
    <w:multiLevelType w:val="hybridMultilevel"/>
    <w:tmpl w:val="568EDF4E"/>
    <w:lvl w:ilvl="0" w:tplc="04050005">
      <w:start w:val="1"/>
      <w:numFmt w:val="bullet"/>
      <w:lvlText w:val=""/>
      <w:lvlJc w:val="left"/>
      <w:pPr>
        <w:ind w:left="700" w:hanging="360"/>
      </w:pPr>
      <w:rPr>
        <w:rFonts w:ascii="Wingdings" w:hAnsi="Wingdings" w:hint="default"/>
      </w:rPr>
    </w:lvl>
    <w:lvl w:ilvl="1" w:tplc="04050005">
      <w:start w:val="1"/>
      <w:numFmt w:val="bullet"/>
      <w:lvlText w:val=""/>
      <w:lvlJc w:val="left"/>
      <w:pPr>
        <w:ind w:left="1420" w:hanging="360"/>
      </w:pPr>
      <w:rPr>
        <w:rFonts w:ascii="Wingdings" w:hAnsi="Wingdings"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34" w15:restartNumberingAfterBreak="0">
    <w:nsid w:val="7B055086"/>
    <w:multiLevelType w:val="hybridMultilevel"/>
    <w:tmpl w:val="EA6CF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612048"/>
    <w:multiLevelType w:val="multilevel"/>
    <w:tmpl w:val="0EF675A2"/>
    <w:lvl w:ilvl="0">
      <w:start w:val="5"/>
      <w:numFmt w:val="decimal"/>
      <w:pStyle w:val="Nadpi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7E926DE6"/>
    <w:multiLevelType w:val="hybridMultilevel"/>
    <w:tmpl w:val="9E3AB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32905"/>
    <w:multiLevelType w:val="hybridMultilevel"/>
    <w:tmpl w:val="BB9E1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1"/>
  </w:num>
  <w:num w:numId="4">
    <w:abstractNumId w:val="10"/>
  </w:num>
  <w:num w:numId="5">
    <w:abstractNumId w:val="26"/>
  </w:num>
  <w:num w:numId="6">
    <w:abstractNumId w:val="30"/>
  </w:num>
  <w:num w:numId="7">
    <w:abstractNumId w:val="19"/>
  </w:num>
  <w:num w:numId="8">
    <w:abstractNumId w:val="32"/>
  </w:num>
  <w:num w:numId="9">
    <w:abstractNumId w:val="17"/>
  </w:num>
  <w:num w:numId="10">
    <w:abstractNumId w:val="22"/>
  </w:num>
  <w:num w:numId="11">
    <w:abstractNumId w:val="15"/>
  </w:num>
  <w:num w:numId="12">
    <w:abstractNumId w:val="23"/>
  </w:num>
  <w:num w:numId="13">
    <w:abstractNumId w:val="7"/>
  </w:num>
  <w:num w:numId="14">
    <w:abstractNumId w:val="29"/>
  </w:num>
  <w:num w:numId="15">
    <w:abstractNumId w:val="6"/>
  </w:num>
  <w:num w:numId="16">
    <w:abstractNumId w:val="18"/>
  </w:num>
  <w:num w:numId="17">
    <w:abstractNumId w:val="28"/>
  </w:num>
  <w:num w:numId="18">
    <w:abstractNumId w:val="3"/>
  </w:num>
  <w:num w:numId="19">
    <w:abstractNumId w:val="21"/>
  </w:num>
  <w:num w:numId="20">
    <w:abstractNumId w:val="0"/>
  </w:num>
  <w:num w:numId="21">
    <w:abstractNumId w:val="33"/>
  </w:num>
  <w:num w:numId="22">
    <w:abstractNumId w:val="24"/>
  </w:num>
  <w:num w:numId="23">
    <w:abstractNumId w:val="9"/>
  </w:num>
  <w:num w:numId="24">
    <w:abstractNumId w:val="31"/>
  </w:num>
  <w:num w:numId="25">
    <w:abstractNumId w:val="16"/>
  </w:num>
  <w:num w:numId="26">
    <w:abstractNumId w:val="13"/>
  </w:num>
  <w:num w:numId="27">
    <w:abstractNumId w:val="27"/>
  </w:num>
  <w:num w:numId="28">
    <w:abstractNumId w:val="12"/>
  </w:num>
  <w:num w:numId="29">
    <w:abstractNumId w:val="25"/>
  </w:num>
  <w:num w:numId="30">
    <w:abstractNumId w:val="14"/>
  </w:num>
  <w:num w:numId="31">
    <w:abstractNumId w:val="2"/>
  </w:num>
  <w:num w:numId="32">
    <w:abstractNumId w:val="5"/>
  </w:num>
  <w:num w:numId="33">
    <w:abstractNumId w:val="11"/>
  </w:num>
  <w:num w:numId="34">
    <w:abstractNumId w:val="36"/>
  </w:num>
  <w:num w:numId="35">
    <w:abstractNumId w:val="20"/>
  </w:num>
  <w:num w:numId="36">
    <w:abstractNumId w:val="4"/>
  </w:num>
  <w:num w:numId="37">
    <w:abstractNumId w:val="34"/>
  </w:num>
  <w:num w:numId="38">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ocumentProtection w:edit="forms" w:enforcement="0"/>
  <w:defaultTabStop w:val="17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00612"/>
    <w:rsid w:val="00000B86"/>
    <w:rsid w:val="000034DD"/>
    <w:rsid w:val="00003F14"/>
    <w:rsid w:val="00006279"/>
    <w:rsid w:val="000111DF"/>
    <w:rsid w:val="00012838"/>
    <w:rsid w:val="00012DB3"/>
    <w:rsid w:val="0002348D"/>
    <w:rsid w:val="00025CD1"/>
    <w:rsid w:val="00026770"/>
    <w:rsid w:val="00032930"/>
    <w:rsid w:val="00033BF2"/>
    <w:rsid w:val="00033F6C"/>
    <w:rsid w:val="00034CA0"/>
    <w:rsid w:val="00035C75"/>
    <w:rsid w:val="00041297"/>
    <w:rsid w:val="0004325F"/>
    <w:rsid w:val="00043E99"/>
    <w:rsid w:val="00050CBA"/>
    <w:rsid w:val="00051993"/>
    <w:rsid w:val="00051F9D"/>
    <w:rsid w:val="0005311E"/>
    <w:rsid w:val="000543E8"/>
    <w:rsid w:val="00065458"/>
    <w:rsid w:val="00070F08"/>
    <w:rsid w:val="00080072"/>
    <w:rsid w:val="00086DCF"/>
    <w:rsid w:val="00092411"/>
    <w:rsid w:val="000934BA"/>
    <w:rsid w:val="00095494"/>
    <w:rsid w:val="00095948"/>
    <w:rsid w:val="000960F7"/>
    <w:rsid w:val="00096894"/>
    <w:rsid w:val="000A1EFC"/>
    <w:rsid w:val="000A364B"/>
    <w:rsid w:val="000A4E04"/>
    <w:rsid w:val="000A559D"/>
    <w:rsid w:val="000A6051"/>
    <w:rsid w:val="000A6203"/>
    <w:rsid w:val="000A6D83"/>
    <w:rsid w:val="000B010A"/>
    <w:rsid w:val="000B02BB"/>
    <w:rsid w:val="000B0DF6"/>
    <w:rsid w:val="000B1BA6"/>
    <w:rsid w:val="000B4303"/>
    <w:rsid w:val="000B561E"/>
    <w:rsid w:val="000B7ACD"/>
    <w:rsid w:val="000B7E3E"/>
    <w:rsid w:val="000C064E"/>
    <w:rsid w:val="000C22BF"/>
    <w:rsid w:val="000C2F78"/>
    <w:rsid w:val="000C45E5"/>
    <w:rsid w:val="000C476F"/>
    <w:rsid w:val="000D6B37"/>
    <w:rsid w:val="000E0284"/>
    <w:rsid w:val="000E2E32"/>
    <w:rsid w:val="000E3240"/>
    <w:rsid w:val="000F1D3B"/>
    <w:rsid w:val="000F23C3"/>
    <w:rsid w:val="000F515D"/>
    <w:rsid w:val="000F55BD"/>
    <w:rsid w:val="000F566E"/>
    <w:rsid w:val="00112785"/>
    <w:rsid w:val="001154B3"/>
    <w:rsid w:val="00115821"/>
    <w:rsid w:val="00115EC9"/>
    <w:rsid w:val="00120119"/>
    <w:rsid w:val="00126D8F"/>
    <w:rsid w:val="00131BB4"/>
    <w:rsid w:val="00132375"/>
    <w:rsid w:val="00133497"/>
    <w:rsid w:val="00134486"/>
    <w:rsid w:val="00142C47"/>
    <w:rsid w:val="00143B78"/>
    <w:rsid w:val="00151B3D"/>
    <w:rsid w:val="001534FC"/>
    <w:rsid w:val="001551A7"/>
    <w:rsid w:val="0016230B"/>
    <w:rsid w:val="0016475F"/>
    <w:rsid w:val="00175632"/>
    <w:rsid w:val="001757A7"/>
    <w:rsid w:val="00175D6B"/>
    <w:rsid w:val="00177285"/>
    <w:rsid w:val="0018468A"/>
    <w:rsid w:val="001854D3"/>
    <w:rsid w:val="00185972"/>
    <w:rsid w:val="00186897"/>
    <w:rsid w:val="00190617"/>
    <w:rsid w:val="0019074D"/>
    <w:rsid w:val="00194341"/>
    <w:rsid w:val="00197046"/>
    <w:rsid w:val="001A1186"/>
    <w:rsid w:val="001A463C"/>
    <w:rsid w:val="001A6828"/>
    <w:rsid w:val="001B5D1F"/>
    <w:rsid w:val="001B6C19"/>
    <w:rsid w:val="001C1CC9"/>
    <w:rsid w:val="001C3E82"/>
    <w:rsid w:val="001C6CC4"/>
    <w:rsid w:val="001D1C9E"/>
    <w:rsid w:val="001D1E8B"/>
    <w:rsid w:val="001D2F14"/>
    <w:rsid w:val="001D30BF"/>
    <w:rsid w:val="001D5C6D"/>
    <w:rsid w:val="001D7109"/>
    <w:rsid w:val="001E4523"/>
    <w:rsid w:val="001E497D"/>
    <w:rsid w:val="001E6E04"/>
    <w:rsid w:val="001F0128"/>
    <w:rsid w:val="001F0C84"/>
    <w:rsid w:val="001F54A0"/>
    <w:rsid w:val="001F622D"/>
    <w:rsid w:val="001F7CCD"/>
    <w:rsid w:val="002002B6"/>
    <w:rsid w:val="00202981"/>
    <w:rsid w:val="002032B6"/>
    <w:rsid w:val="00204DD4"/>
    <w:rsid w:val="00205062"/>
    <w:rsid w:val="002056B6"/>
    <w:rsid w:val="00210824"/>
    <w:rsid w:val="00211558"/>
    <w:rsid w:val="00213D6A"/>
    <w:rsid w:val="00215020"/>
    <w:rsid w:val="00217F74"/>
    <w:rsid w:val="0022208B"/>
    <w:rsid w:val="00225CF6"/>
    <w:rsid w:val="00227647"/>
    <w:rsid w:val="0023078C"/>
    <w:rsid w:val="00232F55"/>
    <w:rsid w:val="002341A3"/>
    <w:rsid w:val="002349F9"/>
    <w:rsid w:val="00234D44"/>
    <w:rsid w:val="00235489"/>
    <w:rsid w:val="002354B1"/>
    <w:rsid w:val="002359FD"/>
    <w:rsid w:val="00235AFB"/>
    <w:rsid w:val="002414CC"/>
    <w:rsid w:val="00241DD5"/>
    <w:rsid w:val="00242386"/>
    <w:rsid w:val="002440F1"/>
    <w:rsid w:val="002456D3"/>
    <w:rsid w:val="00245FE5"/>
    <w:rsid w:val="00247BEF"/>
    <w:rsid w:val="002513A5"/>
    <w:rsid w:val="00252A0A"/>
    <w:rsid w:val="0025337D"/>
    <w:rsid w:val="00253989"/>
    <w:rsid w:val="00261052"/>
    <w:rsid w:val="002621EB"/>
    <w:rsid w:val="00263E9B"/>
    <w:rsid w:val="002646E1"/>
    <w:rsid w:val="00265D6D"/>
    <w:rsid w:val="00266503"/>
    <w:rsid w:val="00272473"/>
    <w:rsid w:val="00273A75"/>
    <w:rsid w:val="00277794"/>
    <w:rsid w:val="0028568D"/>
    <w:rsid w:val="002879D6"/>
    <w:rsid w:val="00290D7B"/>
    <w:rsid w:val="00292724"/>
    <w:rsid w:val="002A2DC1"/>
    <w:rsid w:val="002A4BD5"/>
    <w:rsid w:val="002A7B41"/>
    <w:rsid w:val="002B599C"/>
    <w:rsid w:val="002B7457"/>
    <w:rsid w:val="002B7CBF"/>
    <w:rsid w:val="002C0049"/>
    <w:rsid w:val="002C1B15"/>
    <w:rsid w:val="002C3715"/>
    <w:rsid w:val="002C40EF"/>
    <w:rsid w:val="002D147A"/>
    <w:rsid w:val="002D22EC"/>
    <w:rsid w:val="002E3850"/>
    <w:rsid w:val="002E6D3A"/>
    <w:rsid w:val="002F1E44"/>
    <w:rsid w:val="002F28EE"/>
    <w:rsid w:val="002F7236"/>
    <w:rsid w:val="00301D5A"/>
    <w:rsid w:val="00304DF4"/>
    <w:rsid w:val="003067E4"/>
    <w:rsid w:val="00313EC5"/>
    <w:rsid w:val="00314CF5"/>
    <w:rsid w:val="00320E00"/>
    <w:rsid w:val="003244A1"/>
    <w:rsid w:val="003245E8"/>
    <w:rsid w:val="00324B8B"/>
    <w:rsid w:val="003301EF"/>
    <w:rsid w:val="00331442"/>
    <w:rsid w:val="00332BF0"/>
    <w:rsid w:val="00332C3A"/>
    <w:rsid w:val="00333408"/>
    <w:rsid w:val="00334DD3"/>
    <w:rsid w:val="00336F0D"/>
    <w:rsid w:val="00341926"/>
    <w:rsid w:val="00341BE3"/>
    <w:rsid w:val="00342B64"/>
    <w:rsid w:val="0034499F"/>
    <w:rsid w:val="00344AEA"/>
    <w:rsid w:val="00345346"/>
    <w:rsid w:val="00345422"/>
    <w:rsid w:val="0035152E"/>
    <w:rsid w:val="0035351E"/>
    <w:rsid w:val="003578DA"/>
    <w:rsid w:val="00360B57"/>
    <w:rsid w:val="00365C51"/>
    <w:rsid w:val="0037472F"/>
    <w:rsid w:val="0037523E"/>
    <w:rsid w:val="003770FA"/>
    <w:rsid w:val="00377E2F"/>
    <w:rsid w:val="00381506"/>
    <w:rsid w:val="00381939"/>
    <w:rsid w:val="0038308A"/>
    <w:rsid w:val="003838A7"/>
    <w:rsid w:val="003843CE"/>
    <w:rsid w:val="00385299"/>
    <w:rsid w:val="00385392"/>
    <w:rsid w:val="00385FA5"/>
    <w:rsid w:val="003865E5"/>
    <w:rsid w:val="00387C95"/>
    <w:rsid w:val="00392B79"/>
    <w:rsid w:val="00393FC4"/>
    <w:rsid w:val="00394C02"/>
    <w:rsid w:val="00396B8F"/>
    <w:rsid w:val="00397348"/>
    <w:rsid w:val="003978D9"/>
    <w:rsid w:val="003A140A"/>
    <w:rsid w:val="003A1994"/>
    <w:rsid w:val="003A23A8"/>
    <w:rsid w:val="003A5021"/>
    <w:rsid w:val="003A5717"/>
    <w:rsid w:val="003B2A0B"/>
    <w:rsid w:val="003B515D"/>
    <w:rsid w:val="003B5BB0"/>
    <w:rsid w:val="003B60E7"/>
    <w:rsid w:val="003C01BE"/>
    <w:rsid w:val="003C0AAF"/>
    <w:rsid w:val="003C4277"/>
    <w:rsid w:val="003C4A28"/>
    <w:rsid w:val="003C6DA2"/>
    <w:rsid w:val="003C7937"/>
    <w:rsid w:val="003D1272"/>
    <w:rsid w:val="003E1F80"/>
    <w:rsid w:val="003E2BC0"/>
    <w:rsid w:val="003E7BC3"/>
    <w:rsid w:val="003F059A"/>
    <w:rsid w:val="003F0696"/>
    <w:rsid w:val="003F38CC"/>
    <w:rsid w:val="00400688"/>
    <w:rsid w:val="00402CD7"/>
    <w:rsid w:val="004031ED"/>
    <w:rsid w:val="004032E3"/>
    <w:rsid w:val="004047FF"/>
    <w:rsid w:val="004049FA"/>
    <w:rsid w:val="004068A9"/>
    <w:rsid w:val="00407EB1"/>
    <w:rsid w:val="0041077D"/>
    <w:rsid w:val="00415E94"/>
    <w:rsid w:val="00417503"/>
    <w:rsid w:val="004243F7"/>
    <w:rsid w:val="00425D92"/>
    <w:rsid w:val="00433A8F"/>
    <w:rsid w:val="00435CEA"/>
    <w:rsid w:val="00436BDE"/>
    <w:rsid w:val="00440DCB"/>
    <w:rsid w:val="00443DD9"/>
    <w:rsid w:val="004505C5"/>
    <w:rsid w:val="00450E31"/>
    <w:rsid w:val="00453C24"/>
    <w:rsid w:val="004574C2"/>
    <w:rsid w:val="004603A4"/>
    <w:rsid w:val="004607E7"/>
    <w:rsid w:val="004608D7"/>
    <w:rsid w:val="004616D5"/>
    <w:rsid w:val="004616EF"/>
    <w:rsid w:val="00461C56"/>
    <w:rsid w:val="0046244E"/>
    <w:rsid w:val="00462D0C"/>
    <w:rsid w:val="00464894"/>
    <w:rsid w:val="00471280"/>
    <w:rsid w:val="004718C1"/>
    <w:rsid w:val="0047347A"/>
    <w:rsid w:val="0047432F"/>
    <w:rsid w:val="00476D8F"/>
    <w:rsid w:val="0048112A"/>
    <w:rsid w:val="00481621"/>
    <w:rsid w:val="00487574"/>
    <w:rsid w:val="00491AD0"/>
    <w:rsid w:val="004922AE"/>
    <w:rsid w:val="00496D8F"/>
    <w:rsid w:val="004976FD"/>
    <w:rsid w:val="0049794D"/>
    <w:rsid w:val="004A00E4"/>
    <w:rsid w:val="004A5D21"/>
    <w:rsid w:val="004B19D0"/>
    <w:rsid w:val="004B56FF"/>
    <w:rsid w:val="004B59F8"/>
    <w:rsid w:val="004B667F"/>
    <w:rsid w:val="004B67E2"/>
    <w:rsid w:val="004B73A1"/>
    <w:rsid w:val="004B7455"/>
    <w:rsid w:val="004C0FB7"/>
    <w:rsid w:val="004C1991"/>
    <w:rsid w:val="004C4DC7"/>
    <w:rsid w:val="004C76DB"/>
    <w:rsid w:val="004D0C15"/>
    <w:rsid w:val="004D4E70"/>
    <w:rsid w:val="004D5BE6"/>
    <w:rsid w:val="004D6824"/>
    <w:rsid w:val="004D7E22"/>
    <w:rsid w:val="004E0ECA"/>
    <w:rsid w:val="004E1FA7"/>
    <w:rsid w:val="004E2050"/>
    <w:rsid w:val="004F2D17"/>
    <w:rsid w:val="004F535E"/>
    <w:rsid w:val="00502265"/>
    <w:rsid w:val="0050321C"/>
    <w:rsid w:val="005136BB"/>
    <w:rsid w:val="005173B4"/>
    <w:rsid w:val="00517C32"/>
    <w:rsid w:val="00520718"/>
    <w:rsid w:val="005212CD"/>
    <w:rsid w:val="005221C8"/>
    <w:rsid w:val="00537091"/>
    <w:rsid w:val="00541B8A"/>
    <w:rsid w:val="005438D5"/>
    <w:rsid w:val="00545DB8"/>
    <w:rsid w:val="005501CD"/>
    <w:rsid w:val="005575F7"/>
    <w:rsid w:val="00562909"/>
    <w:rsid w:val="0056367C"/>
    <w:rsid w:val="00566DE3"/>
    <w:rsid w:val="00572AD9"/>
    <w:rsid w:val="005736EF"/>
    <w:rsid w:val="00573AFF"/>
    <w:rsid w:val="0057571B"/>
    <w:rsid w:val="00577F05"/>
    <w:rsid w:val="005818EF"/>
    <w:rsid w:val="00582B21"/>
    <w:rsid w:val="005901BE"/>
    <w:rsid w:val="00590241"/>
    <w:rsid w:val="00590FB8"/>
    <w:rsid w:val="00591572"/>
    <w:rsid w:val="00594331"/>
    <w:rsid w:val="0059448E"/>
    <w:rsid w:val="005A00F2"/>
    <w:rsid w:val="005A2372"/>
    <w:rsid w:val="005A32F3"/>
    <w:rsid w:val="005A3B4A"/>
    <w:rsid w:val="005A7952"/>
    <w:rsid w:val="005B2DAC"/>
    <w:rsid w:val="005B7148"/>
    <w:rsid w:val="005C198C"/>
    <w:rsid w:val="005C1BA9"/>
    <w:rsid w:val="005C1C3E"/>
    <w:rsid w:val="005C23D9"/>
    <w:rsid w:val="005C2D74"/>
    <w:rsid w:val="005C61FC"/>
    <w:rsid w:val="005C6D02"/>
    <w:rsid w:val="005D0187"/>
    <w:rsid w:val="005D54C9"/>
    <w:rsid w:val="005D5874"/>
    <w:rsid w:val="005D5AC2"/>
    <w:rsid w:val="005D6606"/>
    <w:rsid w:val="005E363A"/>
    <w:rsid w:val="005E3AA5"/>
    <w:rsid w:val="005E53F4"/>
    <w:rsid w:val="005E6819"/>
    <w:rsid w:val="005E6D9A"/>
    <w:rsid w:val="005E717B"/>
    <w:rsid w:val="005F2654"/>
    <w:rsid w:val="005F6834"/>
    <w:rsid w:val="00602324"/>
    <w:rsid w:val="006036C1"/>
    <w:rsid w:val="00603E5E"/>
    <w:rsid w:val="00611BAD"/>
    <w:rsid w:val="00611EFA"/>
    <w:rsid w:val="00612848"/>
    <w:rsid w:val="00615476"/>
    <w:rsid w:val="0061757A"/>
    <w:rsid w:val="00621402"/>
    <w:rsid w:val="00623E1C"/>
    <w:rsid w:val="006265F2"/>
    <w:rsid w:val="00626BBB"/>
    <w:rsid w:val="00626DF3"/>
    <w:rsid w:val="00626F89"/>
    <w:rsid w:val="00627692"/>
    <w:rsid w:val="00634B7D"/>
    <w:rsid w:val="006352A0"/>
    <w:rsid w:val="00642161"/>
    <w:rsid w:val="00646A82"/>
    <w:rsid w:val="00650BA6"/>
    <w:rsid w:val="00660F38"/>
    <w:rsid w:val="00660FFC"/>
    <w:rsid w:val="00664ED8"/>
    <w:rsid w:val="0067018F"/>
    <w:rsid w:val="0067092C"/>
    <w:rsid w:val="0067241A"/>
    <w:rsid w:val="00672C04"/>
    <w:rsid w:val="00674D21"/>
    <w:rsid w:val="00674FFC"/>
    <w:rsid w:val="0067650B"/>
    <w:rsid w:val="00677D69"/>
    <w:rsid w:val="0068120F"/>
    <w:rsid w:val="0068150E"/>
    <w:rsid w:val="00684A1D"/>
    <w:rsid w:val="006867E0"/>
    <w:rsid w:val="00690CA9"/>
    <w:rsid w:val="006914CB"/>
    <w:rsid w:val="00697CD5"/>
    <w:rsid w:val="006A0C47"/>
    <w:rsid w:val="006A13A1"/>
    <w:rsid w:val="006A3BB3"/>
    <w:rsid w:val="006A45EA"/>
    <w:rsid w:val="006A4B6E"/>
    <w:rsid w:val="006A6150"/>
    <w:rsid w:val="006A79D8"/>
    <w:rsid w:val="006B07C8"/>
    <w:rsid w:val="006B3369"/>
    <w:rsid w:val="006B3A1C"/>
    <w:rsid w:val="006B4992"/>
    <w:rsid w:val="006C3314"/>
    <w:rsid w:val="006C42F3"/>
    <w:rsid w:val="006C5BEA"/>
    <w:rsid w:val="006C7D52"/>
    <w:rsid w:val="006D00FD"/>
    <w:rsid w:val="006D10FF"/>
    <w:rsid w:val="006D3945"/>
    <w:rsid w:val="006D5F96"/>
    <w:rsid w:val="006D7EA3"/>
    <w:rsid w:val="006E4273"/>
    <w:rsid w:val="006E6FC6"/>
    <w:rsid w:val="006F289A"/>
    <w:rsid w:val="006F2916"/>
    <w:rsid w:val="006F47F5"/>
    <w:rsid w:val="006F4F25"/>
    <w:rsid w:val="00702B27"/>
    <w:rsid w:val="00703784"/>
    <w:rsid w:val="00703D20"/>
    <w:rsid w:val="0070608B"/>
    <w:rsid w:val="007070C2"/>
    <w:rsid w:val="00707C3A"/>
    <w:rsid w:val="0071340E"/>
    <w:rsid w:val="00715508"/>
    <w:rsid w:val="00720325"/>
    <w:rsid w:val="007209D9"/>
    <w:rsid w:val="007225E9"/>
    <w:rsid w:val="00723594"/>
    <w:rsid w:val="007235AF"/>
    <w:rsid w:val="00726E5D"/>
    <w:rsid w:val="007273DF"/>
    <w:rsid w:val="00727439"/>
    <w:rsid w:val="00727FB8"/>
    <w:rsid w:val="007329E3"/>
    <w:rsid w:val="00733A36"/>
    <w:rsid w:val="007353F3"/>
    <w:rsid w:val="00735905"/>
    <w:rsid w:val="00737260"/>
    <w:rsid w:val="0073796E"/>
    <w:rsid w:val="007432B4"/>
    <w:rsid w:val="007454F7"/>
    <w:rsid w:val="007464D8"/>
    <w:rsid w:val="0075067D"/>
    <w:rsid w:val="0075157B"/>
    <w:rsid w:val="00752146"/>
    <w:rsid w:val="00752177"/>
    <w:rsid w:val="00753B5A"/>
    <w:rsid w:val="00755E3A"/>
    <w:rsid w:val="007567E9"/>
    <w:rsid w:val="00756F8B"/>
    <w:rsid w:val="00760BDB"/>
    <w:rsid w:val="0076177F"/>
    <w:rsid w:val="00761A6E"/>
    <w:rsid w:val="0076550A"/>
    <w:rsid w:val="00765B80"/>
    <w:rsid w:val="007732DB"/>
    <w:rsid w:val="00773E68"/>
    <w:rsid w:val="0077531C"/>
    <w:rsid w:val="00785E99"/>
    <w:rsid w:val="00790671"/>
    <w:rsid w:val="00791A36"/>
    <w:rsid w:val="00791F60"/>
    <w:rsid w:val="00792A27"/>
    <w:rsid w:val="00792E33"/>
    <w:rsid w:val="00793788"/>
    <w:rsid w:val="00794F6B"/>
    <w:rsid w:val="007A05F5"/>
    <w:rsid w:val="007A4229"/>
    <w:rsid w:val="007B305D"/>
    <w:rsid w:val="007B7468"/>
    <w:rsid w:val="007C0F13"/>
    <w:rsid w:val="007C1376"/>
    <w:rsid w:val="007C25BB"/>
    <w:rsid w:val="007C268A"/>
    <w:rsid w:val="007C55F7"/>
    <w:rsid w:val="007C6412"/>
    <w:rsid w:val="007C705B"/>
    <w:rsid w:val="007D0605"/>
    <w:rsid w:val="007D0ADF"/>
    <w:rsid w:val="007D625C"/>
    <w:rsid w:val="007D6830"/>
    <w:rsid w:val="007D6B13"/>
    <w:rsid w:val="007E4F62"/>
    <w:rsid w:val="007E51ED"/>
    <w:rsid w:val="007E621D"/>
    <w:rsid w:val="007E6B73"/>
    <w:rsid w:val="007F4864"/>
    <w:rsid w:val="007F5CA5"/>
    <w:rsid w:val="008008C7"/>
    <w:rsid w:val="00802977"/>
    <w:rsid w:val="00803106"/>
    <w:rsid w:val="0080439D"/>
    <w:rsid w:val="008055CB"/>
    <w:rsid w:val="00805700"/>
    <w:rsid w:val="0080615B"/>
    <w:rsid w:val="00815E75"/>
    <w:rsid w:val="00820247"/>
    <w:rsid w:val="00820776"/>
    <w:rsid w:val="00821928"/>
    <w:rsid w:val="00821ABF"/>
    <w:rsid w:val="008222DD"/>
    <w:rsid w:val="0082598C"/>
    <w:rsid w:val="00827D38"/>
    <w:rsid w:val="008325DF"/>
    <w:rsid w:val="008333AE"/>
    <w:rsid w:val="008339A1"/>
    <w:rsid w:val="00833D1D"/>
    <w:rsid w:val="00833E98"/>
    <w:rsid w:val="00836D0A"/>
    <w:rsid w:val="008377B2"/>
    <w:rsid w:val="00842131"/>
    <w:rsid w:val="00845D14"/>
    <w:rsid w:val="00845D8B"/>
    <w:rsid w:val="00846547"/>
    <w:rsid w:val="0085098E"/>
    <w:rsid w:val="0085236D"/>
    <w:rsid w:val="008538B1"/>
    <w:rsid w:val="00857C4E"/>
    <w:rsid w:val="008616EF"/>
    <w:rsid w:val="008637ED"/>
    <w:rsid w:val="008665D1"/>
    <w:rsid w:val="008736E5"/>
    <w:rsid w:val="00873791"/>
    <w:rsid w:val="00874F70"/>
    <w:rsid w:val="00880161"/>
    <w:rsid w:val="008807F7"/>
    <w:rsid w:val="00880CA9"/>
    <w:rsid w:val="0088296E"/>
    <w:rsid w:val="0088514A"/>
    <w:rsid w:val="00885FD9"/>
    <w:rsid w:val="008942F2"/>
    <w:rsid w:val="00895B63"/>
    <w:rsid w:val="008977A2"/>
    <w:rsid w:val="008A1D5E"/>
    <w:rsid w:val="008A4653"/>
    <w:rsid w:val="008A6C64"/>
    <w:rsid w:val="008A6F71"/>
    <w:rsid w:val="008A7953"/>
    <w:rsid w:val="008B0C94"/>
    <w:rsid w:val="008B1862"/>
    <w:rsid w:val="008B7C08"/>
    <w:rsid w:val="008C2262"/>
    <w:rsid w:val="008C373F"/>
    <w:rsid w:val="008C3F85"/>
    <w:rsid w:val="008D4B87"/>
    <w:rsid w:val="008D5010"/>
    <w:rsid w:val="008E0C10"/>
    <w:rsid w:val="008E374B"/>
    <w:rsid w:val="008E4187"/>
    <w:rsid w:val="008E7972"/>
    <w:rsid w:val="008F088A"/>
    <w:rsid w:val="008F3D51"/>
    <w:rsid w:val="008F4DB2"/>
    <w:rsid w:val="0090108C"/>
    <w:rsid w:val="0090342E"/>
    <w:rsid w:val="00903472"/>
    <w:rsid w:val="00904053"/>
    <w:rsid w:val="00905680"/>
    <w:rsid w:val="00906A52"/>
    <w:rsid w:val="009116B3"/>
    <w:rsid w:val="00913604"/>
    <w:rsid w:val="0091462C"/>
    <w:rsid w:val="00920BA0"/>
    <w:rsid w:val="009225FC"/>
    <w:rsid w:val="00926B5D"/>
    <w:rsid w:val="009274AA"/>
    <w:rsid w:val="009278EA"/>
    <w:rsid w:val="00930AC8"/>
    <w:rsid w:val="009312AB"/>
    <w:rsid w:val="0093213D"/>
    <w:rsid w:val="00932E49"/>
    <w:rsid w:val="009370BB"/>
    <w:rsid w:val="00940B0A"/>
    <w:rsid w:val="009410B7"/>
    <w:rsid w:val="0094297B"/>
    <w:rsid w:val="00944370"/>
    <w:rsid w:val="009444BA"/>
    <w:rsid w:val="0095060A"/>
    <w:rsid w:val="00951B15"/>
    <w:rsid w:val="009536FE"/>
    <w:rsid w:val="00964255"/>
    <w:rsid w:val="00966C4C"/>
    <w:rsid w:val="00970F25"/>
    <w:rsid w:val="00973E09"/>
    <w:rsid w:val="00975598"/>
    <w:rsid w:val="00977165"/>
    <w:rsid w:val="009814E2"/>
    <w:rsid w:val="009831C3"/>
    <w:rsid w:val="00984E76"/>
    <w:rsid w:val="00985EDF"/>
    <w:rsid w:val="009867F7"/>
    <w:rsid w:val="009904F5"/>
    <w:rsid w:val="009923FB"/>
    <w:rsid w:val="00997895"/>
    <w:rsid w:val="009A0708"/>
    <w:rsid w:val="009A11E5"/>
    <w:rsid w:val="009A1BB9"/>
    <w:rsid w:val="009A233E"/>
    <w:rsid w:val="009A3932"/>
    <w:rsid w:val="009A3EB7"/>
    <w:rsid w:val="009A5662"/>
    <w:rsid w:val="009A76D9"/>
    <w:rsid w:val="009B0C7F"/>
    <w:rsid w:val="009B3A96"/>
    <w:rsid w:val="009B469F"/>
    <w:rsid w:val="009B667A"/>
    <w:rsid w:val="009C1947"/>
    <w:rsid w:val="009C198D"/>
    <w:rsid w:val="009C1FB7"/>
    <w:rsid w:val="009C249A"/>
    <w:rsid w:val="009C4052"/>
    <w:rsid w:val="009D048A"/>
    <w:rsid w:val="009D054B"/>
    <w:rsid w:val="009D0606"/>
    <w:rsid w:val="009D068E"/>
    <w:rsid w:val="009D2F15"/>
    <w:rsid w:val="009D34A0"/>
    <w:rsid w:val="009D5A02"/>
    <w:rsid w:val="009D6395"/>
    <w:rsid w:val="009D6D32"/>
    <w:rsid w:val="009D7DC3"/>
    <w:rsid w:val="009E0180"/>
    <w:rsid w:val="009E1E8C"/>
    <w:rsid w:val="009E5F4A"/>
    <w:rsid w:val="009E75B8"/>
    <w:rsid w:val="009F0BBF"/>
    <w:rsid w:val="009F0E23"/>
    <w:rsid w:val="009F34C8"/>
    <w:rsid w:val="009F66AF"/>
    <w:rsid w:val="009F73DF"/>
    <w:rsid w:val="009F74F8"/>
    <w:rsid w:val="00A04099"/>
    <w:rsid w:val="00A06753"/>
    <w:rsid w:val="00A07DEA"/>
    <w:rsid w:val="00A07EC8"/>
    <w:rsid w:val="00A13824"/>
    <w:rsid w:val="00A13C57"/>
    <w:rsid w:val="00A15EAF"/>
    <w:rsid w:val="00A21D7D"/>
    <w:rsid w:val="00A23DB9"/>
    <w:rsid w:val="00A24ECB"/>
    <w:rsid w:val="00A270AF"/>
    <w:rsid w:val="00A32D1A"/>
    <w:rsid w:val="00A37360"/>
    <w:rsid w:val="00A426AD"/>
    <w:rsid w:val="00A42AD8"/>
    <w:rsid w:val="00A4556D"/>
    <w:rsid w:val="00A46CF1"/>
    <w:rsid w:val="00A4702C"/>
    <w:rsid w:val="00A5318B"/>
    <w:rsid w:val="00A558B9"/>
    <w:rsid w:val="00A62EE5"/>
    <w:rsid w:val="00A6380B"/>
    <w:rsid w:val="00A639A1"/>
    <w:rsid w:val="00A645F1"/>
    <w:rsid w:val="00A658EB"/>
    <w:rsid w:val="00A65943"/>
    <w:rsid w:val="00A65F13"/>
    <w:rsid w:val="00A6701B"/>
    <w:rsid w:val="00A74313"/>
    <w:rsid w:val="00A746DF"/>
    <w:rsid w:val="00A77962"/>
    <w:rsid w:val="00A8660C"/>
    <w:rsid w:val="00A87FC3"/>
    <w:rsid w:val="00A90FB6"/>
    <w:rsid w:val="00AA03F2"/>
    <w:rsid w:val="00AA05FA"/>
    <w:rsid w:val="00AA18D1"/>
    <w:rsid w:val="00AA3AB0"/>
    <w:rsid w:val="00AA6BC5"/>
    <w:rsid w:val="00AA7C52"/>
    <w:rsid w:val="00AB0CD4"/>
    <w:rsid w:val="00AB4FBC"/>
    <w:rsid w:val="00AB76BB"/>
    <w:rsid w:val="00AC04BC"/>
    <w:rsid w:val="00AC4E7A"/>
    <w:rsid w:val="00AC5CA2"/>
    <w:rsid w:val="00AC71B2"/>
    <w:rsid w:val="00AC7831"/>
    <w:rsid w:val="00AD0627"/>
    <w:rsid w:val="00AD31CF"/>
    <w:rsid w:val="00AD6F6A"/>
    <w:rsid w:val="00AE016E"/>
    <w:rsid w:val="00AE0F9C"/>
    <w:rsid w:val="00AE2195"/>
    <w:rsid w:val="00AE5341"/>
    <w:rsid w:val="00AE54FA"/>
    <w:rsid w:val="00AE620B"/>
    <w:rsid w:val="00AE7211"/>
    <w:rsid w:val="00AE73A9"/>
    <w:rsid w:val="00AF3FDF"/>
    <w:rsid w:val="00AF421A"/>
    <w:rsid w:val="00B018C1"/>
    <w:rsid w:val="00B053BC"/>
    <w:rsid w:val="00B07A32"/>
    <w:rsid w:val="00B109EB"/>
    <w:rsid w:val="00B1108D"/>
    <w:rsid w:val="00B14A68"/>
    <w:rsid w:val="00B15A07"/>
    <w:rsid w:val="00B15B5C"/>
    <w:rsid w:val="00B15B9A"/>
    <w:rsid w:val="00B17172"/>
    <w:rsid w:val="00B17C63"/>
    <w:rsid w:val="00B22E4D"/>
    <w:rsid w:val="00B26F58"/>
    <w:rsid w:val="00B270BD"/>
    <w:rsid w:val="00B27150"/>
    <w:rsid w:val="00B31FFE"/>
    <w:rsid w:val="00B3358C"/>
    <w:rsid w:val="00B342D6"/>
    <w:rsid w:val="00B34649"/>
    <w:rsid w:val="00B347C1"/>
    <w:rsid w:val="00B35757"/>
    <w:rsid w:val="00B42CB1"/>
    <w:rsid w:val="00B42E67"/>
    <w:rsid w:val="00B521F8"/>
    <w:rsid w:val="00B5300C"/>
    <w:rsid w:val="00B53EE7"/>
    <w:rsid w:val="00B54002"/>
    <w:rsid w:val="00B5460E"/>
    <w:rsid w:val="00B558E5"/>
    <w:rsid w:val="00B5626C"/>
    <w:rsid w:val="00B57BED"/>
    <w:rsid w:val="00B641AC"/>
    <w:rsid w:val="00B67ACE"/>
    <w:rsid w:val="00B74894"/>
    <w:rsid w:val="00B76AD4"/>
    <w:rsid w:val="00B76DB5"/>
    <w:rsid w:val="00B772E7"/>
    <w:rsid w:val="00B7740D"/>
    <w:rsid w:val="00B77C2F"/>
    <w:rsid w:val="00B922A5"/>
    <w:rsid w:val="00B93A2D"/>
    <w:rsid w:val="00B95CF0"/>
    <w:rsid w:val="00B96473"/>
    <w:rsid w:val="00BA0BDC"/>
    <w:rsid w:val="00BA0CD6"/>
    <w:rsid w:val="00BA6DEC"/>
    <w:rsid w:val="00BB3F5A"/>
    <w:rsid w:val="00BB5859"/>
    <w:rsid w:val="00BC0A77"/>
    <w:rsid w:val="00BC20B7"/>
    <w:rsid w:val="00BC3BAD"/>
    <w:rsid w:val="00BC647A"/>
    <w:rsid w:val="00BC7474"/>
    <w:rsid w:val="00BD2A0E"/>
    <w:rsid w:val="00BD4C8B"/>
    <w:rsid w:val="00BD68BC"/>
    <w:rsid w:val="00BE0799"/>
    <w:rsid w:val="00BE2C8F"/>
    <w:rsid w:val="00BE5E71"/>
    <w:rsid w:val="00BE70DB"/>
    <w:rsid w:val="00BE7553"/>
    <w:rsid w:val="00BF1A71"/>
    <w:rsid w:val="00BF38DE"/>
    <w:rsid w:val="00BF7D5B"/>
    <w:rsid w:val="00C01A35"/>
    <w:rsid w:val="00C03EDD"/>
    <w:rsid w:val="00C04FB4"/>
    <w:rsid w:val="00C058D8"/>
    <w:rsid w:val="00C105FE"/>
    <w:rsid w:val="00C11DB4"/>
    <w:rsid w:val="00C12592"/>
    <w:rsid w:val="00C12976"/>
    <w:rsid w:val="00C12F11"/>
    <w:rsid w:val="00C131FE"/>
    <w:rsid w:val="00C132D7"/>
    <w:rsid w:val="00C1632E"/>
    <w:rsid w:val="00C21784"/>
    <w:rsid w:val="00C22A63"/>
    <w:rsid w:val="00C2475E"/>
    <w:rsid w:val="00C260A5"/>
    <w:rsid w:val="00C27302"/>
    <w:rsid w:val="00C31570"/>
    <w:rsid w:val="00C316CD"/>
    <w:rsid w:val="00C33301"/>
    <w:rsid w:val="00C3690F"/>
    <w:rsid w:val="00C429B2"/>
    <w:rsid w:val="00C46153"/>
    <w:rsid w:val="00C468CB"/>
    <w:rsid w:val="00C472B2"/>
    <w:rsid w:val="00C47D54"/>
    <w:rsid w:val="00C607D1"/>
    <w:rsid w:val="00C61E08"/>
    <w:rsid w:val="00C632CD"/>
    <w:rsid w:val="00C700F5"/>
    <w:rsid w:val="00C74898"/>
    <w:rsid w:val="00C75F1C"/>
    <w:rsid w:val="00C75F39"/>
    <w:rsid w:val="00C76262"/>
    <w:rsid w:val="00C80CF4"/>
    <w:rsid w:val="00C81D7E"/>
    <w:rsid w:val="00C83623"/>
    <w:rsid w:val="00C84BE5"/>
    <w:rsid w:val="00C870CA"/>
    <w:rsid w:val="00C90536"/>
    <w:rsid w:val="00C930DC"/>
    <w:rsid w:val="00C94A8F"/>
    <w:rsid w:val="00C94EC6"/>
    <w:rsid w:val="00C95869"/>
    <w:rsid w:val="00C96A6A"/>
    <w:rsid w:val="00CA1CA9"/>
    <w:rsid w:val="00CA2D74"/>
    <w:rsid w:val="00CA3268"/>
    <w:rsid w:val="00CA5192"/>
    <w:rsid w:val="00CA5379"/>
    <w:rsid w:val="00CA77E7"/>
    <w:rsid w:val="00CB12C8"/>
    <w:rsid w:val="00CB1359"/>
    <w:rsid w:val="00CB50C2"/>
    <w:rsid w:val="00CB533E"/>
    <w:rsid w:val="00CB6FCB"/>
    <w:rsid w:val="00CC21F9"/>
    <w:rsid w:val="00CC70F9"/>
    <w:rsid w:val="00CC77A5"/>
    <w:rsid w:val="00CD16C7"/>
    <w:rsid w:val="00CD265D"/>
    <w:rsid w:val="00CD31FF"/>
    <w:rsid w:val="00CE30B5"/>
    <w:rsid w:val="00CE44EE"/>
    <w:rsid w:val="00CE4661"/>
    <w:rsid w:val="00CE476E"/>
    <w:rsid w:val="00CE7082"/>
    <w:rsid w:val="00CE783E"/>
    <w:rsid w:val="00CF0699"/>
    <w:rsid w:val="00CF0CD1"/>
    <w:rsid w:val="00CF5E40"/>
    <w:rsid w:val="00CF67CF"/>
    <w:rsid w:val="00CF7E17"/>
    <w:rsid w:val="00D046E4"/>
    <w:rsid w:val="00D05426"/>
    <w:rsid w:val="00D07531"/>
    <w:rsid w:val="00D07558"/>
    <w:rsid w:val="00D11010"/>
    <w:rsid w:val="00D120A5"/>
    <w:rsid w:val="00D12113"/>
    <w:rsid w:val="00D15121"/>
    <w:rsid w:val="00D216E7"/>
    <w:rsid w:val="00D231E0"/>
    <w:rsid w:val="00D2402F"/>
    <w:rsid w:val="00D2403C"/>
    <w:rsid w:val="00D24C31"/>
    <w:rsid w:val="00D2623D"/>
    <w:rsid w:val="00D2700C"/>
    <w:rsid w:val="00D278AE"/>
    <w:rsid w:val="00D32629"/>
    <w:rsid w:val="00D32DC0"/>
    <w:rsid w:val="00D33E67"/>
    <w:rsid w:val="00D33F8D"/>
    <w:rsid w:val="00D3414F"/>
    <w:rsid w:val="00D34858"/>
    <w:rsid w:val="00D363BA"/>
    <w:rsid w:val="00D40466"/>
    <w:rsid w:val="00D41BAD"/>
    <w:rsid w:val="00D443CC"/>
    <w:rsid w:val="00D45672"/>
    <w:rsid w:val="00D46838"/>
    <w:rsid w:val="00D517D5"/>
    <w:rsid w:val="00D523A4"/>
    <w:rsid w:val="00D536E4"/>
    <w:rsid w:val="00D55191"/>
    <w:rsid w:val="00D55841"/>
    <w:rsid w:val="00D55DD6"/>
    <w:rsid w:val="00D56743"/>
    <w:rsid w:val="00D56A74"/>
    <w:rsid w:val="00D6371D"/>
    <w:rsid w:val="00D70538"/>
    <w:rsid w:val="00D7627B"/>
    <w:rsid w:val="00D95CAA"/>
    <w:rsid w:val="00D96B79"/>
    <w:rsid w:val="00D97F21"/>
    <w:rsid w:val="00DA320F"/>
    <w:rsid w:val="00DA7468"/>
    <w:rsid w:val="00DB020E"/>
    <w:rsid w:val="00DB050C"/>
    <w:rsid w:val="00DB0D74"/>
    <w:rsid w:val="00DB612C"/>
    <w:rsid w:val="00DB6184"/>
    <w:rsid w:val="00DC15DC"/>
    <w:rsid w:val="00DC168B"/>
    <w:rsid w:val="00DC1967"/>
    <w:rsid w:val="00DC1ACB"/>
    <w:rsid w:val="00DC5AEB"/>
    <w:rsid w:val="00DC60FB"/>
    <w:rsid w:val="00DC72BE"/>
    <w:rsid w:val="00DC76F6"/>
    <w:rsid w:val="00DD67AB"/>
    <w:rsid w:val="00DE15C2"/>
    <w:rsid w:val="00DE59D2"/>
    <w:rsid w:val="00DE60A7"/>
    <w:rsid w:val="00DE65D5"/>
    <w:rsid w:val="00DE6F06"/>
    <w:rsid w:val="00DE7371"/>
    <w:rsid w:val="00DF1B18"/>
    <w:rsid w:val="00DF2664"/>
    <w:rsid w:val="00DF37D3"/>
    <w:rsid w:val="00DF3DE5"/>
    <w:rsid w:val="00DF5D41"/>
    <w:rsid w:val="00E00E5B"/>
    <w:rsid w:val="00E01DE0"/>
    <w:rsid w:val="00E0248E"/>
    <w:rsid w:val="00E04F2C"/>
    <w:rsid w:val="00E05F6A"/>
    <w:rsid w:val="00E11084"/>
    <w:rsid w:val="00E11D4C"/>
    <w:rsid w:val="00E11DDB"/>
    <w:rsid w:val="00E174ED"/>
    <w:rsid w:val="00E2405E"/>
    <w:rsid w:val="00E24ED4"/>
    <w:rsid w:val="00E30C49"/>
    <w:rsid w:val="00E31A83"/>
    <w:rsid w:val="00E31D8A"/>
    <w:rsid w:val="00E32AB7"/>
    <w:rsid w:val="00E34B73"/>
    <w:rsid w:val="00E35557"/>
    <w:rsid w:val="00E3582A"/>
    <w:rsid w:val="00E359E1"/>
    <w:rsid w:val="00E37F55"/>
    <w:rsid w:val="00E41CA6"/>
    <w:rsid w:val="00E4479C"/>
    <w:rsid w:val="00E46093"/>
    <w:rsid w:val="00E471AC"/>
    <w:rsid w:val="00E473E3"/>
    <w:rsid w:val="00E54722"/>
    <w:rsid w:val="00E612DA"/>
    <w:rsid w:val="00E61F14"/>
    <w:rsid w:val="00E62A3B"/>
    <w:rsid w:val="00E6577C"/>
    <w:rsid w:val="00E65ACF"/>
    <w:rsid w:val="00E67940"/>
    <w:rsid w:val="00E67D3B"/>
    <w:rsid w:val="00E67ED5"/>
    <w:rsid w:val="00E71EFF"/>
    <w:rsid w:val="00E74271"/>
    <w:rsid w:val="00E74FE8"/>
    <w:rsid w:val="00E75DF2"/>
    <w:rsid w:val="00E7711E"/>
    <w:rsid w:val="00E80827"/>
    <w:rsid w:val="00E80FBA"/>
    <w:rsid w:val="00E81B9A"/>
    <w:rsid w:val="00E8372D"/>
    <w:rsid w:val="00E85491"/>
    <w:rsid w:val="00E87AA4"/>
    <w:rsid w:val="00E907FE"/>
    <w:rsid w:val="00E91637"/>
    <w:rsid w:val="00E91978"/>
    <w:rsid w:val="00E91EB4"/>
    <w:rsid w:val="00E9486F"/>
    <w:rsid w:val="00E965D1"/>
    <w:rsid w:val="00E9664B"/>
    <w:rsid w:val="00EA15FA"/>
    <w:rsid w:val="00EA1721"/>
    <w:rsid w:val="00EA1F8F"/>
    <w:rsid w:val="00EA1FC7"/>
    <w:rsid w:val="00EA358F"/>
    <w:rsid w:val="00EA792C"/>
    <w:rsid w:val="00EB26BE"/>
    <w:rsid w:val="00EB44DD"/>
    <w:rsid w:val="00EB479C"/>
    <w:rsid w:val="00EB5013"/>
    <w:rsid w:val="00EB604C"/>
    <w:rsid w:val="00EC0D8E"/>
    <w:rsid w:val="00EC0E07"/>
    <w:rsid w:val="00EC1C90"/>
    <w:rsid w:val="00EC2113"/>
    <w:rsid w:val="00EC7591"/>
    <w:rsid w:val="00EC7E08"/>
    <w:rsid w:val="00ED44B1"/>
    <w:rsid w:val="00ED4EF4"/>
    <w:rsid w:val="00ED4F42"/>
    <w:rsid w:val="00ED662D"/>
    <w:rsid w:val="00ED69C4"/>
    <w:rsid w:val="00ED6E07"/>
    <w:rsid w:val="00ED736A"/>
    <w:rsid w:val="00ED7A80"/>
    <w:rsid w:val="00EE3949"/>
    <w:rsid w:val="00EE7FE3"/>
    <w:rsid w:val="00EF03B9"/>
    <w:rsid w:val="00EF1382"/>
    <w:rsid w:val="00EF1790"/>
    <w:rsid w:val="00EF2CB1"/>
    <w:rsid w:val="00EF47FE"/>
    <w:rsid w:val="00F00548"/>
    <w:rsid w:val="00F00BD6"/>
    <w:rsid w:val="00F07410"/>
    <w:rsid w:val="00F10FF9"/>
    <w:rsid w:val="00F14A87"/>
    <w:rsid w:val="00F1712A"/>
    <w:rsid w:val="00F176AA"/>
    <w:rsid w:val="00F21496"/>
    <w:rsid w:val="00F230C4"/>
    <w:rsid w:val="00F23FAC"/>
    <w:rsid w:val="00F242E4"/>
    <w:rsid w:val="00F24571"/>
    <w:rsid w:val="00F24628"/>
    <w:rsid w:val="00F2679B"/>
    <w:rsid w:val="00F271DA"/>
    <w:rsid w:val="00F31436"/>
    <w:rsid w:val="00F343C4"/>
    <w:rsid w:val="00F354F3"/>
    <w:rsid w:val="00F360CC"/>
    <w:rsid w:val="00F363F5"/>
    <w:rsid w:val="00F36573"/>
    <w:rsid w:val="00F379C9"/>
    <w:rsid w:val="00F4089A"/>
    <w:rsid w:val="00F41844"/>
    <w:rsid w:val="00F515B1"/>
    <w:rsid w:val="00F51920"/>
    <w:rsid w:val="00F51A51"/>
    <w:rsid w:val="00F52A84"/>
    <w:rsid w:val="00F54C8A"/>
    <w:rsid w:val="00F57250"/>
    <w:rsid w:val="00F60341"/>
    <w:rsid w:val="00F6461E"/>
    <w:rsid w:val="00F652EE"/>
    <w:rsid w:val="00F679E0"/>
    <w:rsid w:val="00F7318E"/>
    <w:rsid w:val="00F7612B"/>
    <w:rsid w:val="00F779FB"/>
    <w:rsid w:val="00F802E3"/>
    <w:rsid w:val="00F803FC"/>
    <w:rsid w:val="00F812B9"/>
    <w:rsid w:val="00F81315"/>
    <w:rsid w:val="00F827FC"/>
    <w:rsid w:val="00F830BB"/>
    <w:rsid w:val="00F8464B"/>
    <w:rsid w:val="00F87D2F"/>
    <w:rsid w:val="00F93257"/>
    <w:rsid w:val="00F93429"/>
    <w:rsid w:val="00F94253"/>
    <w:rsid w:val="00F9545D"/>
    <w:rsid w:val="00FA02CC"/>
    <w:rsid w:val="00FA0B8A"/>
    <w:rsid w:val="00FA41EA"/>
    <w:rsid w:val="00FA4C06"/>
    <w:rsid w:val="00FA54FF"/>
    <w:rsid w:val="00FA5FF1"/>
    <w:rsid w:val="00FA6B93"/>
    <w:rsid w:val="00FB160B"/>
    <w:rsid w:val="00FB39C4"/>
    <w:rsid w:val="00FB41B4"/>
    <w:rsid w:val="00FB4495"/>
    <w:rsid w:val="00FB582B"/>
    <w:rsid w:val="00FC6FBC"/>
    <w:rsid w:val="00FC7C93"/>
    <w:rsid w:val="00FD5163"/>
    <w:rsid w:val="00FD5173"/>
    <w:rsid w:val="00FE1674"/>
    <w:rsid w:val="00FE1A7F"/>
    <w:rsid w:val="00FE5193"/>
    <w:rsid w:val="00FE583C"/>
    <w:rsid w:val="00FF0D31"/>
    <w:rsid w:val="00FF12C1"/>
    <w:rsid w:val="00FF3FA9"/>
    <w:rsid w:val="00FF4DE7"/>
    <w:rsid w:val="00FF579D"/>
    <w:rsid w:val="00FF6E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D5D0"/>
  <w15:docId w15:val="{32F24EAB-AE63-4831-A7A0-915EF5A9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468A"/>
    <w:rPr>
      <w:rFonts w:ascii="Arial" w:eastAsia="Times New Roman" w:hAnsi="Arial" w:cs="Arial"/>
      <w:lang w:eastAsia="cs-CZ"/>
    </w:rPr>
  </w:style>
  <w:style w:type="paragraph" w:styleId="Nadpis1">
    <w:name w:val="heading 1"/>
    <w:basedOn w:val="Normln"/>
    <w:next w:val="Normln"/>
    <w:link w:val="Nadpis1Char"/>
    <w:qFormat/>
    <w:rsid w:val="00594331"/>
    <w:pPr>
      <w:keepNext/>
      <w:keepLines/>
      <w:numPr>
        <w:numId w:val="1"/>
      </w:numPr>
      <w:spacing w:before="720"/>
      <w:outlineLvl w:val="0"/>
    </w:pPr>
    <w:rPr>
      <w:b/>
      <w:caps/>
      <w:sz w:val="28"/>
    </w:rPr>
  </w:style>
  <w:style w:type="paragraph" w:styleId="Nadpis2">
    <w:name w:val="heading 2"/>
    <w:basedOn w:val="Normln"/>
    <w:next w:val="Normln"/>
    <w:link w:val="Nadpis2Char"/>
    <w:autoRedefine/>
    <w:unhideWhenUsed/>
    <w:qFormat/>
    <w:rsid w:val="00646A82"/>
    <w:pPr>
      <w:keepNext/>
      <w:keepLines/>
      <w:numPr>
        <w:ilvl w:val="1"/>
        <w:numId w:val="3"/>
      </w:numPr>
      <w:spacing w:before="240" w:after="240" w:line="240" w:lineRule="auto"/>
      <w:ind w:left="510" w:hanging="510"/>
      <w:jc w:val="both"/>
      <w:outlineLvl w:val="1"/>
    </w:pPr>
    <w:rPr>
      <w:b/>
      <w:sz w:val="24"/>
      <w:szCs w:val="26"/>
    </w:rPr>
  </w:style>
  <w:style w:type="paragraph" w:styleId="Nadpis3">
    <w:name w:val="heading 3"/>
    <w:basedOn w:val="Normln"/>
    <w:next w:val="Normln"/>
    <w:link w:val="Nadpis3Char"/>
    <w:unhideWhenUsed/>
    <w:qFormat/>
    <w:rsid w:val="0018468A"/>
    <w:pPr>
      <w:keepNext/>
      <w:keepLines/>
      <w:numPr>
        <w:ilvl w:val="2"/>
        <w:numId w:val="3"/>
      </w:numPr>
      <w:spacing w:before="200"/>
      <w:ind w:left="680" w:hanging="680"/>
      <w:outlineLvl w:val="2"/>
    </w:pPr>
    <w:rPr>
      <w:b/>
    </w:rPr>
  </w:style>
  <w:style w:type="paragraph" w:styleId="Nadpis4">
    <w:name w:val="heading 4"/>
    <w:basedOn w:val="Normln"/>
    <w:next w:val="Normln"/>
    <w:link w:val="Nadpis4Char"/>
    <w:unhideWhenUsed/>
    <w:qFormat/>
    <w:rsid w:val="00186897"/>
    <w:pPr>
      <w:keepNext/>
      <w:keepLines/>
      <w:spacing w:before="120" w:after="40"/>
      <w:outlineLvl w:val="3"/>
    </w:pPr>
    <w:rPr>
      <w:i/>
      <w:iCs/>
    </w:rPr>
  </w:style>
  <w:style w:type="paragraph" w:styleId="Nadpis5">
    <w:name w:val="heading 5"/>
    <w:basedOn w:val="Normln"/>
    <w:next w:val="Normln"/>
    <w:link w:val="Nadpis5Char"/>
    <w:unhideWhenUsed/>
    <w:qFormat/>
    <w:rsid w:val="00973E0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973E0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973E0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973E0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73E0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594331"/>
    <w:rPr>
      <w:rFonts w:ascii="Arial" w:eastAsia="Times New Roman" w:hAnsi="Arial" w:cs="Arial"/>
      <w:b/>
      <w:caps/>
      <w:sz w:val="28"/>
      <w:lang w:eastAsia="cs-CZ"/>
    </w:rPr>
  </w:style>
  <w:style w:type="character" w:customStyle="1" w:styleId="Nadpis2Char">
    <w:name w:val="Nadpis 2 Char"/>
    <w:basedOn w:val="Standardnpsmoodstavce"/>
    <w:link w:val="Nadpis2"/>
    <w:rsid w:val="00646A82"/>
    <w:rPr>
      <w:rFonts w:ascii="Arial" w:eastAsia="Times New Roman" w:hAnsi="Arial" w:cs="Arial"/>
      <w:b/>
      <w:sz w:val="24"/>
      <w:szCs w:val="26"/>
      <w:lang w:eastAsia="cs-CZ"/>
    </w:rPr>
  </w:style>
  <w:style w:type="character" w:customStyle="1" w:styleId="Nadpis3Char">
    <w:name w:val="Nadpis 3 Char"/>
    <w:basedOn w:val="Standardnpsmoodstavce"/>
    <w:link w:val="Nadpis3"/>
    <w:rsid w:val="0018468A"/>
    <w:rPr>
      <w:rFonts w:ascii="Arial" w:eastAsia="Times New Roman" w:hAnsi="Arial" w:cs="Arial"/>
      <w:b/>
      <w:lang w:eastAsia="cs-CZ"/>
    </w:rPr>
  </w:style>
  <w:style w:type="paragraph" w:styleId="Textpoznpodarou">
    <w:name w:val="footnote text"/>
    <w:basedOn w:val="Normln"/>
    <w:link w:val="TextpoznpodarouChar"/>
    <w:uiPriority w:val="99"/>
    <w:unhideWhenUsed/>
    <w:rsid w:val="008665D1"/>
    <w:pPr>
      <w:spacing w:after="60"/>
      <w:ind w:left="170" w:hanging="170"/>
    </w:pPr>
    <w:rPr>
      <w:rFonts w:eastAsiaTheme="minorHAnsi"/>
      <w:color w:val="000000" w:themeColor="text1"/>
      <w:sz w:val="18"/>
      <w:szCs w:val="18"/>
      <w:lang w:eastAsia="en-US"/>
    </w:rPr>
  </w:style>
  <w:style w:type="character" w:customStyle="1" w:styleId="TextpoznpodarouChar">
    <w:name w:val="Text pozn. pod čarou Char"/>
    <w:basedOn w:val="Standardnpsmoodstavce"/>
    <w:link w:val="Textpoznpodarou"/>
    <w:uiPriority w:val="99"/>
    <w:rsid w:val="008665D1"/>
    <w:rPr>
      <w:rFonts w:ascii="Arial" w:hAnsi="Arial" w:cs="Arial"/>
      <w:color w:val="000000" w:themeColor="text1"/>
      <w:sz w:val="18"/>
      <w:szCs w:val="18"/>
    </w:rPr>
  </w:style>
  <w:style w:type="character" w:styleId="Znakapoznpodarou">
    <w:name w:val="footnote reference"/>
    <w:basedOn w:val="Standardnpsmoodstavce"/>
    <w:uiPriority w:val="99"/>
    <w:semiHidden/>
    <w:unhideWhenUsed/>
    <w:rsid w:val="00590FB8"/>
    <w:rPr>
      <w:vertAlign w:val="superscript"/>
    </w:rPr>
  </w:style>
  <w:style w:type="character" w:styleId="Hypertextovodkaz">
    <w:name w:val="Hyperlink"/>
    <w:basedOn w:val="Standardnpsmoodstavce"/>
    <w:uiPriority w:val="99"/>
    <w:unhideWhenUsed/>
    <w:rsid w:val="00D32629"/>
    <w:rPr>
      <w:color w:val="auto"/>
      <w:u w:val="none"/>
    </w:rPr>
  </w:style>
  <w:style w:type="character" w:customStyle="1" w:styleId="Nadpis4Char">
    <w:name w:val="Nadpis 4 Char"/>
    <w:basedOn w:val="Standardnpsmoodstavce"/>
    <w:link w:val="Nadpis4"/>
    <w:rsid w:val="00186897"/>
    <w:rPr>
      <w:rFonts w:ascii="Arial" w:eastAsia="Times New Roman" w:hAnsi="Arial" w:cs="Arial"/>
      <w:i/>
      <w:iCs/>
      <w:lang w:eastAsia="cs-CZ"/>
    </w:rPr>
  </w:style>
  <w:style w:type="character" w:customStyle="1" w:styleId="Nadpis5Char">
    <w:name w:val="Nadpis 5 Char"/>
    <w:basedOn w:val="Standardnpsmoodstavce"/>
    <w:link w:val="Nadpis5"/>
    <w:rsid w:val="00973E09"/>
    <w:rPr>
      <w:rFonts w:asciiTheme="majorHAnsi" w:eastAsiaTheme="majorEastAsia" w:hAnsiTheme="majorHAnsi" w:cstheme="majorBidi"/>
      <w:color w:val="365F91" w:themeColor="accent1" w:themeShade="BF"/>
      <w:lang w:eastAsia="cs-CZ"/>
    </w:rPr>
  </w:style>
  <w:style w:type="character" w:customStyle="1" w:styleId="Nadpis6Char">
    <w:name w:val="Nadpis 6 Char"/>
    <w:basedOn w:val="Standardnpsmoodstavce"/>
    <w:link w:val="Nadpis6"/>
    <w:rsid w:val="00973E09"/>
    <w:rPr>
      <w:rFonts w:asciiTheme="majorHAnsi" w:eastAsiaTheme="majorEastAsia" w:hAnsiTheme="majorHAnsi" w:cstheme="majorBidi"/>
      <w:color w:val="243F60" w:themeColor="accent1" w:themeShade="7F"/>
      <w:lang w:eastAsia="cs-CZ"/>
    </w:rPr>
  </w:style>
  <w:style w:type="character" w:customStyle="1" w:styleId="Nadpis7Char">
    <w:name w:val="Nadpis 7 Char"/>
    <w:basedOn w:val="Standardnpsmoodstavce"/>
    <w:link w:val="Nadpis7"/>
    <w:uiPriority w:val="9"/>
    <w:semiHidden/>
    <w:rsid w:val="00973E09"/>
    <w:rPr>
      <w:rFonts w:asciiTheme="majorHAnsi" w:eastAsiaTheme="majorEastAsia" w:hAnsiTheme="majorHAnsi" w:cstheme="majorBidi"/>
      <w:i/>
      <w:iCs/>
      <w:color w:val="243F60" w:themeColor="accent1" w:themeShade="7F"/>
      <w:lang w:eastAsia="cs-CZ"/>
    </w:rPr>
  </w:style>
  <w:style w:type="character" w:customStyle="1" w:styleId="Nadpis8Char">
    <w:name w:val="Nadpis 8 Char"/>
    <w:basedOn w:val="Standardnpsmoodstavce"/>
    <w:link w:val="Nadpis8"/>
    <w:uiPriority w:val="9"/>
    <w:semiHidden/>
    <w:rsid w:val="00973E09"/>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73E09"/>
    <w:rPr>
      <w:rFonts w:asciiTheme="majorHAnsi" w:eastAsiaTheme="majorEastAsia" w:hAnsiTheme="majorHAnsi" w:cstheme="majorBidi"/>
      <w:i/>
      <w:iCs/>
      <w:color w:val="272727" w:themeColor="text1" w:themeTint="D8"/>
      <w:sz w:val="21"/>
      <w:szCs w:val="21"/>
      <w:lang w:eastAsia="cs-CZ"/>
    </w:rPr>
  </w:style>
  <w:style w:type="paragraph" w:customStyle="1" w:styleId="Nadpis1OBSAH">
    <w:name w:val="Nadpis 1 – OBSAH"/>
    <w:basedOn w:val="Nadpis1"/>
    <w:next w:val="Normln"/>
    <w:qFormat/>
    <w:rsid w:val="00D70538"/>
    <w:pPr>
      <w:numPr>
        <w:numId w:val="0"/>
      </w:numPr>
    </w:pPr>
  </w:style>
  <w:style w:type="paragraph" w:styleId="Obsah1">
    <w:name w:val="toc 1"/>
    <w:basedOn w:val="Normln"/>
    <w:next w:val="Normln"/>
    <w:autoRedefine/>
    <w:uiPriority w:val="39"/>
    <w:unhideWhenUsed/>
    <w:rsid w:val="00AD6F6A"/>
    <w:pPr>
      <w:tabs>
        <w:tab w:val="left" w:pos="442"/>
        <w:tab w:val="right" w:leader="dot" w:pos="9062"/>
      </w:tabs>
      <w:spacing w:after="0"/>
    </w:pPr>
  </w:style>
  <w:style w:type="paragraph" w:styleId="Obsah2">
    <w:name w:val="toc 2"/>
    <w:basedOn w:val="Normln"/>
    <w:next w:val="Normln"/>
    <w:autoRedefine/>
    <w:uiPriority w:val="39"/>
    <w:unhideWhenUsed/>
    <w:rsid w:val="00D046E4"/>
    <w:pPr>
      <w:tabs>
        <w:tab w:val="left" w:pos="709"/>
        <w:tab w:val="right" w:leader="dot" w:pos="9062"/>
      </w:tabs>
      <w:spacing w:after="0"/>
      <w:ind w:left="221"/>
    </w:pPr>
  </w:style>
  <w:style w:type="paragraph" w:styleId="Obsah3">
    <w:name w:val="toc 3"/>
    <w:basedOn w:val="Normln"/>
    <w:next w:val="Normln"/>
    <w:autoRedefine/>
    <w:uiPriority w:val="39"/>
    <w:unhideWhenUsed/>
    <w:rsid w:val="009831C3"/>
    <w:pPr>
      <w:tabs>
        <w:tab w:val="left" w:pos="1134"/>
        <w:tab w:val="right" w:leader="dot" w:pos="9062"/>
      </w:tabs>
      <w:spacing w:after="0"/>
      <w:ind w:left="442"/>
    </w:pPr>
  </w:style>
  <w:style w:type="paragraph" w:styleId="Odstavecseseznamem">
    <w:name w:val="List Paragraph"/>
    <w:basedOn w:val="Normln"/>
    <w:link w:val="OdstavecseseznamemChar"/>
    <w:uiPriority w:val="34"/>
    <w:qFormat/>
    <w:rsid w:val="00627692"/>
    <w:pPr>
      <w:numPr>
        <w:numId w:val="2"/>
      </w:numPr>
      <w:spacing w:after="0"/>
      <w:ind w:left="397" w:hanging="227"/>
      <w:contextualSpacing/>
    </w:pPr>
    <w:rPr>
      <w:rFonts w:eastAsiaTheme="minorHAnsi"/>
      <w:lang w:eastAsia="en-US"/>
    </w:rPr>
  </w:style>
  <w:style w:type="paragraph" w:styleId="Bezmezer">
    <w:name w:val="No Spacing"/>
    <w:uiPriority w:val="1"/>
    <w:qFormat/>
    <w:rsid w:val="008B1862"/>
    <w:pPr>
      <w:spacing w:after="0" w:line="240" w:lineRule="auto"/>
      <w:jc w:val="both"/>
    </w:pPr>
    <w:rPr>
      <w:rFonts w:ascii="Arial" w:eastAsia="Times New Roman" w:hAnsi="Arial" w:cs="Arial"/>
      <w:lang w:eastAsia="cs-CZ"/>
    </w:rPr>
  </w:style>
  <w:style w:type="table" w:styleId="Mkatabulky">
    <w:name w:val="Table Grid"/>
    <w:basedOn w:val="Normlntabulka"/>
    <w:uiPriority w:val="59"/>
    <w:rsid w:val="00866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B5626C"/>
    <w:pPr>
      <w:numPr>
        <w:numId w:val="4"/>
      </w:numPr>
    </w:pPr>
  </w:style>
  <w:style w:type="character" w:styleId="Sledovanodkaz">
    <w:name w:val="FollowedHyperlink"/>
    <w:basedOn w:val="Standardnpsmoodstavce"/>
    <w:uiPriority w:val="99"/>
    <w:semiHidden/>
    <w:unhideWhenUsed/>
    <w:rsid w:val="00FF3FA9"/>
    <w:rPr>
      <w:color w:val="800080" w:themeColor="followedHyperlink"/>
      <w:u w:val="single"/>
    </w:rPr>
  </w:style>
  <w:style w:type="paragraph" w:styleId="Normlnweb">
    <w:name w:val="Normal (Web)"/>
    <w:basedOn w:val="Normln"/>
    <w:unhideWhenUsed/>
    <w:rsid w:val="00920BA0"/>
    <w:pPr>
      <w:spacing w:before="100" w:beforeAutospacing="1" w:after="100" w:afterAutospacing="1"/>
    </w:pPr>
    <w:rPr>
      <w:rFonts w:ascii="Times New Roman" w:hAnsi="Times New Roman" w:cs="Times New Roman"/>
      <w:sz w:val="24"/>
      <w:szCs w:val="24"/>
    </w:rPr>
  </w:style>
  <w:style w:type="table" w:customStyle="1" w:styleId="TableNormal">
    <w:name w:val="Table Normal"/>
    <w:rsid w:val="00E67ED5"/>
    <w:pPr>
      <w:spacing w:after="80" w:line="259" w:lineRule="auto"/>
      <w:jc w:val="both"/>
    </w:pPr>
    <w:rPr>
      <w:rFonts w:ascii="Arial" w:eastAsia="Arial" w:hAnsi="Arial" w:cs="Arial"/>
      <w:lang w:eastAsia="cs-CZ"/>
    </w:rPr>
    <w:tblPr>
      <w:tblCellMar>
        <w:top w:w="0" w:type="dxa"/>
        <w:left w:w="0" w:type="dxa"/>
        <w:bottom w:w="0" w:type="dxa"/>
        <w:right w:w="0" w:type="dxa"/>
      </w:tblCellMar>
    </w:tblPr>
  </w:style>
  <w:style w:type="paragraph" w:styleId="Nzev">
    <w:name w:val="Title"/>
    <w:basedOn w:val="Normln"/>
    <w:next w:val="Normln"/>
    <w:link w:val="NzevChar"/>
    <w:rsid w:val="00E67ED5"/>
    <w:pPr>
      <w:keepNext/>
      <w:keepLines/>
      <w:spacing w:before="480"/>
    </w:pPr>
    <w:rPr>
      <w:rFonts w:eastAsia="Arial"/>
      <w:b/>
      <w:sz w:val="72"/>
      <w:szCs w:val="72"/>
    </w:rPr>
  </w:style>
  <w:style w:type="character" w:customStyle="1" w:styleId="NzevChar">
    <w:name w:val="Název Char"/>
    <w:basedOn w:val="Standardnpsmoodstavce"/>
    <w:link w:val="Nzev"/>
    <w:rsid w:val="00E67ED5"/>
    <w:rPr>
      <w:rFonts w:ascii="Arial" w:eastAsia="Arial" w:hAnsi="Arial" w:cs="Arial"/>
      <w:b/>
      <w:sz w:val="72"/>
      <w:szCs w:val="72"/>
      <w:lang w:eastAsia="cs-CZ"/>
    </w:rPr>
  </w:style>
  <w:style w:type="paragraph" w:styleId="Textkomente">
    <w:name w:val="annotation text"/>
    <w:basedOn w:val="Normln"/>
    <w:link w:val="TextkomenteChar"/>
    <w:uiPriority w:val="99"/>
    <w:semiHidden/>
    <w:unhideWhenUsed/>
    <w:rsid w:val="00E67ED5"/>
    <w:rPr>
      <w:rFonts w:eastAsia="Arial"/>
      <w:sz w:val="20"/>
      <w:szCs w:val="20"/>
    </w:rPr>
  </w:style>
  <w:style w:type="character" w:customStyle="1" w:styleId="TextkomenteChar">
    <w:name w:val="Text komentáře Char"/>
    <w:basedOn w:val="Standardnpsmoodstavce"/>
    <w:link w:val="Textkomente"/>
    <w:uiPriority w:val="99"/>
    <w:semiHidden/>
    <w:rsid w:val="00E67ED5"/>
    <w:rPr>
      <w:rFonts w:ascii="Arial" w:eastAsia="Arial" w:hAnsi="Arial" w:cs="Arial"/>
      <w:sz w:val="20"/>
      <w:szCs w:val="20"/>
      <w:lang w:eastAsia="cs-CZ"/>
    </w:rPr>
  </w:style>
  <w:style w:type="character" w:styleId="Odkaznakoment">
    <w:name w:val="annotation reference"/>
    <w:basedOn w:val="Standardnpsmoodstavce"/>
    <w:uiPriority w:val="99"/>
    <w:semiHidden/>
    <w:unhideWhenUsed/>
    <w:rsid w:val="00E67ED5"/>
    <w:rPr>
      <w:sz w:val="16"/>
      <w:szCs w:val="16"/>
    </w:rPr>
  </w:style>
  <w:style w:type="paragraph" w:styleId="Obsah4">
    <w:name w:val="toc 4"/>
    <w:basedOn w:val="Normln"/>
    <w:next w:val="Normln"/>
    <w:autoRedefine/>
    <w:uiPriority w:val="39"/>
    <w:unhideWhenUsed/>
    <w:rsid w:val="00E67ED5"/>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E67ED5"/>
    <w:rPr>
      <w:b/>
      <w:bCs/>
    </w:rPr>
  </w:style>
  <w:style w:type="character" w:customStyle="1" w:styleId="PedmtkomenteChar">
    <w:name w:val="Předmět komentáře Char"/>
    <w:basedOn w:val="TextkomenteChar"/>
    <w:link w:val="Pedmtkomente"/>
    <w:uiPriority w:val="99"/>
    <w:semiHidden/>
    <w:rsid w:val="00E67ED5"/>
    <w:rPr>
      <w:rFonts w:ascii="Arial" w:eastAsia="Arial" w:hAnsi="Arial" w:cs="Arial"/>
      <w:b/>
      <w:bCs/>
      <w:sz w:val="20"/>
      <w:szCs w:val="20"/>
      <w:lang w:eastAsia="cs-CZ"/>
    </w:rPr>
  </w:style>
  <w:style w:type="paragraph" w:styleId="Revize">
    <w:name w:val="Revision"/>
    <w:hidden/>
    <w:uiPriority w:val="99"/>
    <w:semiHidden/>
    <w:rsid w:val="00785E99"/>
    <w:pPr>
      <w:spacing w:after="0" w:line="240" w:lineRule="auto"/>
    </w:pPr>
    <w:rPr>
      <w:rFonts w:ascii="Arial" w:eastAsia="Times New Roman" w:hAnsi="Arial" w:cs="Arial"/>
      <w:lang w:eastAsia="cs-CZ"/>
    </w:rPr>
  </w:style>
  <w:style w:type="paragraph" w:customStyle="1" w:styleId="Default">
    <w:name w:val="Default"/>
    <w:rsid w:val="00791A36"/>
    <w:pPr>
      <w:autoSpaceDE w:val="0"/>
      <w:autoSpaceDN w:val="0"/>
      <w:adjustRightInd w:val="0"/>
      <w:spacing w:after="0" w:line="240" w:lineRule="auto"/>
    </w:pPr>
    <w:rPr>
      <w:rFonts w:ascii="Calibri" w:hAnsi="Calibri" w:cs="Calibri"/>
      <w:color w:val="000000"/>
      <w:sz w:val="24"/>
      <w:szCs w:val="24"/>
    </w:rPr>
  </w:style>
  <w:style w:type="character" w:customStyle="1" w:styleId="normaltextrun">
    <w:name w:val="normaltextrun"/>
    <w:basedOn w:val="Standardnpsmoodstavce"/>
    <w:rsid w:val="0067018F"/>
  </w:style>
  <w:style w:type="character" w:customStyle="1" w:styleId="spellingerror">
    <w:name w:val="spellingerror"/>
    <w:basedOn w:val="Standardnpsmoodstavce"/>
    <w:rsid w:val="0067018F"/>
  </w:style>
  <w:style w:type="character" w:customStyle="1" w:styleId="OdstavecseseznamemChar">
    <w:name w:val="Odstavec se seznamem Char"/>
    <w:link w:val="Odstavecseseznamem"/>
    <w:uiPriority w:val="34"/>
    <w:rsid w:val="00A426AD"/>
    <w:rPr>
      <w:rFonts w:ascii="Arial" w:hAnsi="Arial" w:cs="Arial"/>
    </w:rPr>
  </w:style>
  <w:style w:type="character" w:styleId="Siln">
    <w:name w:val="Strong"/>
    <w:basedOn w:val="Standardnpsmoodstavce"/>
    <w:uiPriority w:val="22"/>
    <w:qFormat/>
    <w:rsid w:val="009D068E"/>
    <w:rPr>
      <w:b/>
      <w:bCs/>
    </w:rPr>
  </w:style>
  <w:style w:type="paragraph" w:customStyle="1" w:styleId="xmsonormal">
    <w:name w:val="x_msonormal"/>
    <w:basedOn w:val="Normln"/>
    <w:rsid w:val="009C249A"/>
    <w:pPr>
      <w:spacing w:before="100" w:beforeAutospacing="1" w:after="100" w:afterAutospacing="1" w:line="240" w:lineRule="auto"/>
    </w:pPr>
    <w:rPr>
      <w:rFonts w:ascii="Times New Roman" w:hAnsi="Times New Roman" w:cs="Times New Roman"/>
      <w:sz w:val="24"/>
      <w:szCs w:val="24"/>
    </w:rPr>
  </w:style>
  <w:style w:type="paragraph" w:customStyle="1" w:styleId="xmsolistparagraph">
    <w:name w:val="x_msolistparagraph"/>
    <w:basedOn w:val="Normln"/>
    <w:rsid w:val="009C249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3757">
      <w:bodyDiv w:val="1"/>
      <w:marLeft w:val="0"/>
      <w:marRight w:val="0"/>
      <w:marTop w:val="0"/>
      <w:marBottom w:val="0"/>
      <w:divBdr>
        <w:top w:val="none" w:sz="0" w:space="0" w:color="auto"/>
        <w:left w:val="none" w:sz="0" w:space="0" w:color="auto"/>
        <w:bottom w:val="none" w:sz="0" w:space="0" w:color="auto"/>
        <w:right w:val="none" w:sz="0" w:space="0" w:color="auto"/>
      </w:divBdr>
    </w:div>
    <w:div w:id="105195913">
      <w:bodyDiv w:val="1"/>
      <w:marLeft w:val="0"/>
      <w:marRight w:val="0"/>
      <w:marTop w:val="0"/>
      <w:marBottom w:val="0"/>
      <w:divBdr>
        <w:top w:val="none" w:sz="0" w:space="0" w:color="auto"/>
        <w:left w:val="none" w:sz="0" w:space="0" w:color="auto"/>
        <w:bottom w:val="none" w:sz="0" w:space="0" w:color="auto"/>
        <w:right w:val="none" w:sz="0" w:space="0" w:color="auto"/>
      </w:divBdr>
    </w:div>
    <w:div w:id="126172165">
      <w:bodyDiv w:val="1"/>
      <w:marLeft w:val="0"/>
      <w:marRight w:val="0"/>
      <w:marTop w:val="0"/>
      <w:marBottom w:val="0"/>
      <w:divBdr>
        <w:top w:val="none" w:sz="0" w:space="0" w:color="auto"/>
        <w:left w:val="none" w:sz="0" w:space="0" w:color="auto"/>
        <w:bottom w:val="none" w:sz="0" w:space="0" w:color="auto"/>
        <w:right w:val="none" w:sz="0" w:space="0" w:color="auto"/>
      </w:divBdr>
    </w:div>
    <w:div w:id="197201755">
      <w:bodyDiv w:val="1"/>
      <w:marLeft w:val="0"/>
      <w:marRight w:val="0"/>
      <w:marTop w:val="0"/>
      <w:marBottom w:val="0"/>
      <w:divBdr>
        <w:top w:val="none" w:sz="0" w:space="0" w:color="auto"/>
        <w:left w:val="none" w:sz="0" w:space="0" w:color="auto"/>
        <w:bottom w:val="none" w:sz="0" w:space="0" w:color="auto"/>
        <w:right w:val="none" w:sz="0" w:space="0" w:color="auto"/>
      </w:divBdr>
    </w:div>
    <w:div w:id="275330241">
      <w:bodyDiv w:val="1"/>
      <w:marLeft w:val="0"/>
      <w:marRight w:val="0"/>
      <w:marTop w:val="0"/>
      <w:marBottom w:val="0"/>
      <w:divBdr>
        <w:top w:val="none" w:sz="0" w:space="0" w:color="auto"/>
        <w:left w:val="none" w:sz="0" w:space="0" w:color="auto"/>
        <w:bottom w:val="none" w:sz="0" w:space="0" w:color="auto"/>
        <w:right w:val="none" w:sz="0" w:space="0" w:color="auto"/>
      </w:divBdr>
    </w:div>
    <w:div w:id="349458410">
      <w:bodyDiv w:val="1"/>
      <w:marLeft w:val="0"/>
      <w:marRight w:val="0"/>
      <w:marTop w:val="0"/>
      <w:marBottom w:val="0"/>
      <w:divBdr>
        <w:top w:val="none" w:sz="0" w:space="0" w:color="auto"/>
        <w:left w:val="none" w:sz="0" w:space="0" w:color="auto"/>
        <w:bottom w:val="none" w:sz="0" w:space="0" w:color="auto"/>
        <w:right w:val="none" w:sz="0" w:space="0" w:color="auto"/>
      </w:divBdr>
    </w:div>
    <w:div w:id="350493482">
      <w:bodyDiv w:val="1"/>
      <w:marLeft w:val="0"/>
      <w:marRight w:val="0"/>
      <w:marTop w:val="0"/>
      <w:marBottom w:val="0"/>
      <w:divBdr>
        <w:top w:val="none" w:sz="0" w:space="0" w:color="auto"/>
        <w:left w:val="none" w:sz="0" w:space="0" w:color="auto"/>
        <w:bottom w:val="none" w:sz="0" w:space="0" w:color="auto"/>
        <w:right w:val="none" w:sz="0" w:space="0" w:color="auto"/>
      </w:divBdr>
      <w:divsChild>
        <w:div w:id="82797361">
          <w:marLeft w:val="0"/>
          <w:marRight w:val="0"/>
          <w:marTop w:val="0"/>
          <w:marBottom w:val="0"/>
          <w:divBdr>
            <w:top w:val="none" w:sz="0" w:space="0" w:color="auto"/>
            <w:left w:val="none" w:sz="0" w:space="0" w:color="auto"/>
            <w:bottom w:val="none" w:sz="0" w:space="0" w:color="auto"/>
            <w:right w:val="none" w:sz="0" w:space="0" w:color="auto"/>
          </w:divBdr>
        </w:div>
        <w:div w:id="2013529420">
          <w:marLeft w:val="0"/>
          <w:marRight w:val="0"/>
          <w:marTop w:val="0"/>
          <w:marBottom w:val="0"/>
          <w:divBdr>
            <w:top w:val="none" w:sz="0" w:space="0" w:color="auto"/>
            <w:left w:val="none" w:sz="0" w:space="0" w:color="auto"/>
            <w:bottom w:val="none" w:sz="0" w:space="0" w:color="auto"/>
            <w:right w:val="none" w:sz="0" w:space="0" w:color="auto"/>
          </w:divBdr>
        </w:div>
        <w:div w:id="1078208009">
          <w:marLeft w:val="0"/>
          <w:marRight w:val="0"/>
          <w:marTop w:val="0"/>
          <w:marBottom w:val="0"/>
          <w:divBdr>
            <w:top w:val="none" w:sz="0" w:space="0" w:color="auto"/>
            <w:left w:val="none" w:sz="0" w:space="0" w:color="auto"/>
            <w:bottom w:val="none" w:sz="0" w:space="0" w:color="auto"/>
            <w:right w:val="none" w:sz="0" w:space="0" w:color="auto"/>
          </w:divBdr>
        </w:div>
        <w:div w:id="1162816822">
          <w:marLeft w:val="0"/>
          <w:marRight w:val="0"/>
          <w:marTop w:val="0"/>
          <w:marBottom w:val="0"/>
          <w:divBdr>
            <w:top w:val="none" w:sz="0" w:space="0" w:color="auto"/>
            <w:left w:val="none" w:sz="0" w:space="0" w:color="auto"/>
            <w:bottom w:val="none" w:sz="0" w:space="0" w:color="auto"/>
            <w:right w:val="none" w:sz="0" w:space="0" w:color="auto"/>
          </w:divBdr>
        </w:div>
        <w:div w:id="2063944151">
          <w:marLeft w:val="0"/>
          <w:marRight w:val="0"/>
          <w:marTop w:val="0"/>
          <w:marBottom w:val="0"/>
          <w:divBdr>
            <w:top w:val="none" w:sz="0" w:space="0" w:color="auto"/>
            <w:left w:val="none" w:sz="0" w:space="0" w:color="auto"/>
            <w:bottom w:val="none" w:sz="0" w:space="0" w:color="auto"/>
            <w:right w:val="none" w:sz="0" w:space="0" w:color="auto"/>
          </w:divBdr>
        </w:div>
        <w:div w:id="1431849060">
          <w:marLeft w:val="0"/>
          <w:marRight w:val="0"/>
          <w:marTop w:val="0"/>
          <w:marBottom w:val="0"/>
          <w:divBdr>
            <w:top w:val="none" w:sz="0" w:space="0" w:color="auto"/>
            <w:left w:val="none" w:sz="0" w:space="0" w:color="auto"/>
            <w:bottom w:val="none" w:sz="0" w:space="0" w:color="auto"/>
            <w:right w:val="none" w:sz="0" w:space="0" w:color="auto"/>
          </w:divBdr>
        </w:div>
        <w:div w:id="1419207077">
          <w:marLeft w:val="0"/>
          <w:marRight w:val="0"/>
          <w:marTop w:val="0"/>
          <w:marBottom w:val="0"/>
          <w:divBdr>
            <w:top w:val="none" w:sz="0" w:space="0" w:color="auto"/>
            <w:left w:val="none" w:sz="0" w:space="0" w:color="auto"/>
            <w:bottom w:val="none" w:sz="0" w:space="0" w:color="auto"/>
            <w:right w:val="none" w:sz="0" w:space="0" w:color="auto"/>
          </w:divBdr>
        </w:div>
        <w:div w:id="424348058">
          <w:marLeft w:val="0"/>
          <w:marRight w:val="0"/>
          <w:marTop w:val="0"/>
          <w:marBottom w:val="0"/>
          <w:divBdr>
            <w:top w:val="none" w:sz="0" w:space="0" w:color="auto"/>
            <w:left w:val="none" w:sz="0" w:space="0" w:color="auto"/>
            <w:bottom w:val="none" w:sz="0" w:space="0" w:color="auto"/>
            <w:right w:val="none" w:sz="0" w:space="0" w:color="auto"/>
          </w:divBdr>
        </w:div>
        <w:div w:id="1594783026">
          <w:marLeft w:val="0"/>
          <w:marRight w:val="0"/>
          <w:marTop w:val="0"/>
          <w:marBottom w:val="0"/>
          <w:divBdr>
            <w:top w:val="none" w:sz="0" w:space="0" w:color="auto"/>
            <w:left w:val="none" w:sz="0" w:space="0" w:color="auto"/>
            <w:bottom w:val="none" w:sz="0" w:space="0" w:color="auto"/>
            <w:right w:val="none" w:sz="0" w:space="0" w:color="auto"/>
          </w:divBdr>
        </w:div>
        <w:div w:id="846289627">
          <w:marLeft w:val="0"/>
          <w:marRight w:val="0"/>
          <w:marTop w:val="0"/>
          <w:marBottom w:val="0"/>
          <w:divBdr>
            <w:top w:val="none" w:sz="0" w:space="0" w:color="auto"/>
            <w:left w:val="none" w:sz="0" w:space="0" w:color="auto"/>
            <w:bottom w:val="none" w:sz="0" w:space="0" w:color="auto"/>
            <w:right w:val="none" w:sz="0" w:space="0" w:color="auto"/>
          </w:divBdr>
        </w:div>
      </w:divsChild>
    </w:div>
    <w:div w:id="367949971">
      <w:bodyDiv w:val="1"/>
      <w:marLeft w:val="0"/>
      <w:marRight w:val="0"/>
      <w:marTop w:val="0"/>
      <w:marBottom w:val="0"/>
      <w:divBdr>
        <w:top w:val="none" w:sz="0" w:space="0" w:color="auto"/>
        <w:left w:val="none" w:sz="0" w:space="0" w:color="auto"/>
        <w:bottom w:val="none" w:sz="0" w:space="0" w:color="auto"/>
        <w:right w:val="none" w:sz="0" w:space="0" w:color="auto"/>
      </w:divBdr>
    </w:div>
    <w:div w:id="405036349">
      <w:bodyDiv w:val="1"/>
      <w:marLeft w:val="0"/>
      <w:marRight w:val="0"/>
      <w:marTop w:val="0"/>
      <w:marBottom w:val="0"/>
      <w:divBdr>
        <w:top w:val="none" w:sz="0" w:space="0" w:color="auto"/>
        <w:left w:val="none" w:sz="0" w:space="0" w:color="auto"/>
        <w:bottom w:val="none" w:sz="0" w:space="0" w:color="auto"/>
        <w:right w:val="none" w:sz="0" w:space="0" w:color="auto"/>
      </w:divBdr>
    </w:div>
    <w:div w:id="454907971">
      <w:bodyDiv w:val="1"/>
      <w:marLeft w:val="0"/>
      <w:marRight w:val="0"/>
      <w:marTop w:val="0"/>
      <w:marBottom w:val="0"/>
      <w:divBdr>
        <w:top w:val="none" w:sz="0" w:space="0" w:color="auto"/>
        <w:left w:val="none" w:sz="0" w:space="0" w:color="auto"/>
        <w:bottom w:val="none" w:sz="0" w:space="0" w:color="auto"/>
        <w:right w:val="none" w:sz="0" w:space="0" w:color="auto"/>
      </w:divBdr>
    </w:div>
    <w:div w:id="462113614">
      <w:bodyDiv w:val="1"/>
      <w:marLeft w:val="0"/>
      <w:marRight w:val="0"/>
      <w:marTop w:val="0"/>
      <w:marBottom w:val="0"/>
      <w:divBdr>
        <w:top w:val="none" w:sz="0" w:space="0" w:color="auto"/>
        <w:left w:val="none" w:sz="0" w:space="0" w:color="auto"/>
        <w:bottom w:val="none" w:sz="0" w:space="0" w:color="auto"/>
        <w:right w:val="none" w:sz="0" w:space="0" w:color="auto"/>
      </w:divBdr>
    </w:div>
    <w:div w:id="492989606">
      <w:bodyDiv w:val="1"/>
      <w:marLeft w:val="0"/>
      <w:marRight w:val="0"/>
      <w:marTop w:val="0"/>
      <w:marBottom w:val="0"/>
      <w:divBdr>
        <w:top w:val="none" w:sz="0" w:space="0" w:color="auto"/>
        <w:left w:val="none" w:sz="0" w:space="0" w:color="auto"/>
        <w:bottom w:val="none" w:sz="0" w:space="0" w:color="auto"/>
        <w:right w:val="none" w:sz="0" w:space="0" w:color="auto"/>
      </w:divBdr>
      <w:divsChild>
        <w:div w:id="802040450">
          <w:marLeft w:val="0"/>
          <w:marRight w:val="0"/>
          <w:marTop w:val="0"/>
          <w:marBottom w:val="0"/>
          <w:divBdr>
            <w:top w:val="none" w:sz="0" w:space="0" w:color="auto"/>
            <w:left w:val="none" w:sz="0" w:space="0" w:color="auto"/>
            <w:bottom w:val="none" w:sz="0" w:space="0" w:color="auto"/>
            <w:right w:val="none" w:sz="0" w:space="0" w:color="auto"/>
          </w:divBdr>
        </w:div>
        <w:div w:id="1392147861">
          <w:marLeft w:val="0"/>
          <w:marRight w:val="0"/>
          <w:marTop w:val="0"/>
          <w:marBottom w:val="0"/>
          <w:divBdr>
            <w:top w:val="none" w:sz="0" w:space="0" w:color="auto"/>
            <w:left w:val="none" w:sz="0" w:space="0" w:color="auto"/>
            <w:bottom w:val="none" w:sz="0" w:space="0" w:color="auto"/>
            <w:right w:val="none" w:sz="0" w:space="0" w:color="auto"/>
          </w:divBdr>
        </w:div>
        <w:div w:id="1573851233">
          <w:marLeft w:val="0"/>
          <w:marRight w:val="0"/>
          <w:marTop w:val="0"/>
          <w:marBottom w:val="0"/>
          <w:divBdr>
            <w:top w:val="none" w:sz="0" w:space="0" w:color="auto"/>
            <w:left w:val="none" w:sz="0" w:space="0" w:color="auto"/>
            <w:bottom w:val="none" w:sz="0" w:space="0" w:color="auto"/>
            <w:right w:val="none" w:sz="0" w:space="0" w:color="auto"/>
          </w:divBdr>
        </w:div>
        <w:div w:id="1512599985">
          <w:marLeft w:val="0"/>
          <w:marRight w:val="0"/>
          <w:marTop w:val="0"/>
          <w:marBottom w:val="0"/>
          <w:divBdr>
            <w:top w:val="none" w:sz="0" w:space="0" w:color="auto"/>
            <w:left w:val="none" w:sz="0" w:space="0" w:color="auto"/>
            <w:bottom w:val="none" w:sz="0" w:space="0" w:color="auto"/>
            <w:right w:val="none" w:sz="0" w:space="0" w:color="auto"/>
          </w:divBdr>
        </w:div>
        <w:div w:id="733821336">
          <w:marLeft w:val="0"/>
          <w:marRight w:val="0"/>
          <w:marTop w:val="0"/>
          <w:marBottom w:val="0"/>
          <w:divBdr>
            <w:top w:val="none" w:sz="0" w:space="0" w:color="auto"/>
            <w:left w:val="none" w:sz="0" w:space="0" w:color="auto"/>
            <w:bottom w:val="none" w:sz="0" w:space="0" w:color="auto"/>
            <w:right w:val="none" w:sz="0" w:space="0" w:color="auto"/>
          </w:divBdr>
        </w:div>
      </w:divsChild>
    </w:div>
    <w:div w:id="494954876">
      <w:bodyDiv w:val="1"/>
      <w:marLeft w:val="0"/>
      <w:marRight w:val="0"/>
      <w:marTop w:val="0"/>
      <w:marBottom w:val="0"/>
      <w:divBdr>
        <w:top w:val="none" w:sz="0" w:space="0" w:color="auto"/>
        <w:left w:val="none" w:sz="0" w:space="0" w:color="auto"/>
        <w:bottom w:val="none" w:sz="0" w:space="0" w:color="auto"/>
        <w:right w:val="none" w:sz="0" w:space="0" w:color="auto"/>
      </w:divBdr>
    </w:div>
    <w:div w:id="500195058">
      <w:bodyDiv w:val="1"/>
      <w:marLeft w:val="0"/>
      <w:marRight w:val="0"/>
      <w:marTop w:val="0"/>
      <w:marBottom w:val="0"/>
      <w:divBdr>
        <w:top w:val="none" w:sz="0" w:space="0" w:color="auto"/>
        <w:left w:val="none" w:sz="0" w:space="0" w:color="auto"/>
        <w:bottom w:val="none" w:sz="0" w:space="0" w:color="auto"/>
        <w:right w:val="none" w:sz="0" w:space="0" w:color="auto"/>
      </w:divBdr>
    </w:div>
    <w:div w:id="520972825">
      <w:bodyDiv w:val="1"/>
      <w:marLeft w:val="0"/>
      <w:marRight w:val="0"/>
      <w:marTop w:val="0"/>
      <w:marBottom w:val="0"/>
      <w:divBdr>
        <w:top w:val="none" w:sz="0" w:space="0" w:color="auto"/>
        <w:left w:val="none" w:sz="0" w:space="0" w:color="auto"/>
        <w:bottom w:val="none" w:sz="0" w:space="0" w:color="auto"/>
        <w:right w:val="none" w:sz="0" w:space="0" w:color="auto"/>
      </w:divBdr>
    </w:div>
    <w:div w:id="608320283">
      <w:bodyDiv w:val="1"/>
      <w:marLeft w:val="0"/>
      <w:marRight w:val="0"/>
      <w:marTop w:val="0"/>
      <w:marBottom w:val="0"/>
      <w:divBdr>
        <w:top w:val="none" w:sz="0" w:space="0" w:color="auto"/>
        <w:left w:val="none" w:sz="0" w:space="0" w:color="auto"/>
        <w:bottom w:val="none" w:sz="0" w:space="0" w:color="auto"/>
        <w:right w:val="none" w:sz="0" w:space="0" w:color="auto"/>
      </w:divBdr>
    </w:div>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758259391">
      <w:bodyDiv w:val="1"/>
      <w:marLeft w:val="0"/>
      <w:marRight w:val="0"/>
      <w:marTop w:val="0"/>
      <w:marBottom w:val="0"/>
      <w:divBdr>
        <w:top w:val="none" w:sz="0" w:space="0" w:color="auto"/>
        <w:left w:val="none" w:sz="0" w:space="0" w:color="auto"/>
        <w:bottom w:val="none" w:sz="0" w:space="0" w:color="auto"/>
        <w:right w:val="none" w:sz="0" w:space="0" w:color="auto"/>
      </w:divBdr>
    </w:div>
    <w:div w:id="801270455">
      <w:bodyDiv w:val="1"/>
      <w:marLeft w:val="0"/>
      <w:marRight w:val="0"/>
      <w:marTop w:val="0"/>
      <w:marBottom w:val="0"/>
      <w:divBdr>
        <w:top w:val="none" w:sz="0" w:space="0" w:color="auto"/>
        <w:left w:val="none" w:sz="0" w:space="0" w:color="auto"/>
        <w:bottom w:val="none" w:sz="0" w:space="0" w:color="auto"/>
        <w:right w:val="none" w:sz="0" w:space="0" w:color="auto"/>
      </w:divBdr>
    </w:div>
    <w:div w:id="1044064058">
      <w:bodyDiv w:val="1"/>
      <w:marLeft w:val="0"/>
      <w:marRight w:val="0"/>
      <w:marTop w:val="0"/>
      <w:marBottom w:val="0"/>
      <w:divBdr>
        <w:top w:val="none" w:sz="0" w:space="0" w:color="auto"/>
        <w:left w:val="none" w:sz="0" w:space="0" w:color="auto"/>
        <w:bottom w:val="none" w:sz="0" w:space="0" w:color="auto"/>
        <w:right w:val="none" w:sz="0" w:space="0" w:color="auto"/>
      </w:divBdr>
      <w:divsChild>
        <w:div w:id="383139067">
          <w:marLeft w:val="0"/>
          <w:marRight w:val="0"/>
          <w:marTop w:val="0"/>
          <w:marBottom w:val="0"/>
          <w:divBdr>
            <w:top w:val="none" w:sz="0" w:space="0" w:color="auto"/>
            <w:left w:val="none" w:sz="0" w:space="0" w:color="auto"/>
            <w:bottom w:val="none" w:sz="0" w:space="0" w:color="auto"/>
            <w:right w:val="none" w:sz="0" w:space="0" w:color="auto"/>
          </w:divBdr>
        </w:div>
        <w:div w:id="62291458">
          <w:marLeft w:val="0"/>
          <w:marRight w:val="0"/>
          <w:marTop w:val="0"/>
          <w:marBottom w:val="0"/>
          <w:divBdr>
            <w:top w:val="none" w:sz="0" w:space="0" w:color="auto"/>
            <w:left w:val="none" w:sz="0" w:space="0" w:color="auto"/>
            <w:bottom w:val="none" w:sz="0" w:space="0" w:color="auto"/>
            <w:right w:val="none" w:sz="0" w:space="0" w:color="auto"/>
          </w:divBdr>
        </w:div>
        <w:div w:id="773477043">
          <w:marLeft w:val="0"/>
          <w:marRight w:val="0"/>
          <w:marTop w:val="0"/>
          <w:marBottom w:val="0"/>
          <w:divBdr>
            <w:top w:val="none" w:sz="0" w:space="0" w:color="auto"/>
            <w:left w:val="none" w:sz="0" w:space="0" w:color="auto"/>
            <w:bottom w:val="none" w:sz="0" w:space="0" w:color="auto"/>
            <w:right w:val="none" w:sz="0" w:space="0" w:color="auto"/>
          </w:divBdr>
        </w:div>
        <w:div w:id="1077240274">
          <w:marLeft w:val="0"/>
          <w:marRight w:val="0"/>
          <w:marTop w:val="0"/>
          <w:marBottom w:val="0"/>
          <w:divBdr>
            <w:top w:val="none" w:sz="0" w:space="0" w:color="auto"/>
            <w:left w:val="none" w:sz="0" w:space="0" w:color="auto"/>
            <w:bottom w:val="none" w:sz="0" w:space="0" w:color="auto"/>
            <w:right w:val="none" w:sz="0" w:space="0" w:color="auto"/>
          </w:divBdr>
        </w:div>
        <w:div w:id="1652565811">
          <w:marLeft w:val="0"/>
          <w:marRight w:val="0"/>
          <w:marTop w:val="0"/>
          <w:marBottom w:val="0"/>
          <w:divBdr>
            <w:top w:val="none" w:sz="0" w:space="0" w:color="auto"/>
            <w:left w:val="none" w:sz="0" w:space="0" w:color="auto"/>
            <w:bottom w:val="none" w:sz="0" w:space="0" w:color="auto"/>
            <w:right w:val="none" w:sz="0" w:space="0" w:color="auto"/>
          </w:divBdr>
        </w:div>
        <w:div w:id="1654219588">
          <w:marLeft w:val="0"/>
          <w:marRight w:val="0"/>
          <w:marTop w:val="0"/>
          <w:marBottom w:val="0"/>
          <w:divBdr>
            <w:top w:val="none" w:sz="0" w:space="0" w:color="auto"/>
            <w:left w:val="none" w:sz="0" w:space="0" w:color="auto"/>
            <w:bottom w:val="none" w:sz="0" w:space="0" w:color="auto"/>
            <w:right w:val="none" w:sz="0" w:space="0" w:color="auto"/>
          </w:divBdr>
        </w:div>
        <w:div w:id="1144590966">
          <w:marLeft w:val="0"/>
          <w:marRight w:val="0"/>
          <w:marTop w:val="0"/>
          <w:marBottom w:val="0"/>
          <w:divBdr>
            <w:top w:val="none" w:sz="0" w:space="0" w:color="auto"/>
            <w:left w:val="none" w:sz="0" w:space="0" w:color="auto"/>
            <w:bottom w:val="none" w:sz="0" w:space="0" w:color="auto"/>
            <w:right w:val="none" w:sz="0" w:space="0" w:color="auto"/>
          </w:divBdr>
        </w:div>
        <w:div w:id="1383749812">
          <w:marLeft w:val="0"/>
          <w:marRight w:val="0"/>
          <w:marTop w:val="0"/>
          <w:marBottom w:val="0"/>
          <w:divBdr>
            <w:top w:val="none" w:sz="0" w:space="0" w:color="auto"/>
            <w:left w:val="none" w:sz="0" w:space="0" w:color="auto"/>
            <w:bottom w:val="none" w:sz="0" w:space="0" w:color="auto"/>
            <w:right w:val="none" w:sz="0" w:space="0" w:color="auto"/>
          </w:divBdr>
        </w:div>
        <w:div w:id="324939430">
          <w:marLeft w:val="0"/>
          <w:marRight w:val="0"/>
          <w:marTop w:val="0"/>
          <w:marBottom w:val="0"/>
          <w:divBdr>
            <w:top w:val="none" w:sz="0" w:space="0" w:color="auto"/>
            <w:left w:val="none" w:sz="0" w:space="0" w:color="auto"/>
            <w:bottom w:val="none" w:sz="0" w:space="0" w:color="auto"/>
            <w:right w:val="none" w:sz="0" w:space="0" w:color="auto"/>
          </w:divBdr>
        </w:div>
        <w:div w:id="691691140">
          <w:marLeft w:val="0"/>
          <w:marRight w:val="0"/>
          <w:marTop w:val="0"/>
          <w:marBottom w:val="0"/>
          <w:divBdr>
            <w:top w:val="none" w:sz="0" w:space="0" w:color="auto"/>
            <w:left w:val="none" w:sz="0" w:space="0" w:color="auto"/>
            <w:bottom w:val="none" w:sz="0" w:space="0" w:color="auto"/>
            <w:right w:val="none" w:sz="0" w:space="0" w:color="auto"/>
          </w:divBdr>
        </w:div>
        <w:div w:id="467547965">
          <w:marLeft w:val="0"/>
          <w:marRight w:val="0"/>
          <w:marTop w:val="0"/>
          <w:marBottom w:val="0"/>
          <w:divBdr>
            <w:top w:val="none" w:sz="0" w:space="0" w:color="auto"/>
            <w:left w:val="none" w:sz="0" w:space="0" w:color="auto"/>
            <w:bottom w:val="none" w:sz="0" w:space="0" w:color="auto"/>
            <w:right w:val="none" w:sz="0" w:space="0" w:color="auto"/>
          </w:divBdr>
        </w:div>
        <w:div w:id="1151795348">
          <w:marLeft w:val="0"/>
          <w:marRight w:val="0"/>
          <w:marTop w:val="0"/>
          <w:marBottom w:val="0"/>
          <w:divBdr>
            <w:top w:val="none" w:sz="0" w:space="0" w:color="auto"/>
            <w:left w:val="none" w:sz="0" w:space="0" w:color="auto"/>
            <w:bottom w:val="none" w:sz="0" w:space="0" w:color="auto"/>
            <w:right w:val="none" w:sz="0" w:space="0" w:color="auto"/>
          </w:divBdr>
        </w:div>
      </w:divsChild>
    </w:div>
    <w:div w:id="1056856939">
      <w:bodyDiv w:val="1"/>
      <w:marLeft w:val="0"/>
      <w:marRight w:val="0"/>
      <w:marTop w:val="0"/>
      <w:marBottom w:val="0"/>
      <w:divBdr>
        <w:top w:val="none" w:sz="0" w:space="0" w:color="auto"/>
        <w:left w:val="none" w:sz="0" w:space="0" w:color="auto"/>
        <w:bottom w:val="none" w:sz="0" w:space="0" w:color="auto"/>
        <w:right w:val="none" w:sz="0" w:space="0" w:color="auto"/>
      </w:divBdr>
      <w:divsChild>
        <w:div w:id="1956250062">
          <w:marLeft w:val="0"/>
          <w:marRight w:val="0"/>
          <w:marTop w:val="0"/>
          <w:marBottom w:val="0"/>
          <w:divBdr>
            <w:top w:val="none" w:sz="0" w:space="0" w:color="auto"/>
            <w:left w:val="none" w:sz="0" w:space="0" w:color="auto"/>
            <w:bottom w:val="none" w:sz="0" w:space="0" w:color="auto"/>
            <w:right w:val="none" w:sz="0" w:space="0" w:color="auto"/>
          </w:divBdr>
        </w:div>
        <w:div w:id="1311405813">
          <w:marLeft w:val="0"/>
          <w:marRight w:val="0"/>
          <w:marTop w:val="0"/>
          <w:marBottom w:val="0"/>
          <w:divBdr>
            <w:top w:val="none" w:sz="0" w:space="0" w:color="auto"/>
            <w:left w:val="none" w:sz="0" w:space="0" w:color="auto"/>
            <w:bottom w:val="none" w:sz="0" w:space="0" w:color="auto"/>
            <w:right w:val="none" w:sz="0" w:space="0" w:color="auto"/>
          </w:divBdr>
        </w:div>
        <w:div w:id="884563849">
          <w:marLeft w:val="0"/>
          <w:marRight w:val="0"/>
          <w:marTop w:val="0"/>
          <w:marBottom w:val="0"/>
          <w:divBdr>
            <w:top w:val="none" w:sz="0" w:space="0" w:color="auto"/>
            <w:left w:val="none" w:sz="0" w:space="0" w:color="auto"/>
            <w:bottom w:val="none" w:sz="0" w:space="0" w:color="auto"/>
            <w:right w:val="none" w:sz="0" w:space="0" w:color="auto"/>
          </w:divBdr>
        </w:div>
      </w:divsChild>
    </w:div>
    <w:div w:id="1060983730">
      <w:bodyDiv w:val="1"/>
      <w:marLeft w:val="0"/>
      <w:marRight w:val="0"/>
      <w:marTop w:val="0"/>
      <w:marBottom w:val="0"/>
      <w:divBdr>
        <w:top w:val="none" w:sz="0" w:space="0" w:color="auto"/>
        <w:left w:val="none" w:sz="0" w:space="0" w:color="auto"/>
        <w:bottom w:val="none" w:sz="0" w:space="0" w:color="auto"/>
        <w:right w:val="none" w:sz="0" w:space="0" w:color="auto"/>
      </w:divBdr>
    </w:div>
    <w:div w:id="1077440709">
      <w:bodyDiv w:val="1"/>
      <w:marLeft w:val="0"/>
      <w:marRight w:val="0"/>
      <w:marTop w:val="0"/>
      <w:marBottom w:val="0"/>
      <w:divBdr>
        <w:top w:val="none" w:sz="0" w:space="0" w:color="auto"/>
        <w:left w:val="none" w:sz="0" w:space="0" w:color="auto"/>
        <w:bottom w:val="none" w:sz="0" w:space="0" w:color="auto"/>
        <w:right w:val="none" w:sz="0" w:space="0" w:color="auto"/>
      </w:divBdr>
    </w:div>
    <w:div w:id="1228107387">
      <w:bodyDiv w:val="1"/>
      <w:marLeft w:val="0"/>
      <w:marRight w:val="0"/>
      <w:marTop w:val="0"/>
      <w:marBottom w:val="0"/>
      <w:divBdr>
        <w:top w:val="none" w:sz="0" w:space="0" w:color="auto"/>
        <w:left w:val="none" w:sz="0" w:space="0" w:color="auto"/>
        <w:bottom w:val="none" w:sz="0" w:space="0" w:color="auto"/>
        <w:right w:val="none" w:sz="0" w:space="0" w:color="auto"/>
      </w:divBdr>
    </w:div>
    <w:div w:id="1401900545">
      <w:bodyDiv w:val="1"/>
      <w:marLeft w:val="0"/>
      <w:marRight w:val="0"/>
      <w:marTop w:val="0"/>
      <w:marBottom w:val="0"/>
      <w:divBdr>
        <w:top w:val="none" w:sz="0" w:space="0" w:color="auto"/>
        <w:left w:val="none" w:sz="0" w:space="0" w:color="auto"/>
        <w:bottom w:val="none" w:sz="0" w:space="0" w:color="auto"/>
        <w:right w:val="none" w:sz="0" w:space="0" w:color="auto"/>
      </w:divBdr>
    </w:div>
    <w:div w:id="1403872297">
      <w:bodyDiv w:val="1"/>
      <w:marLeft w:val="0"/>
      <w:marRight w:val="0"/>
      <w:marTop w:val="0"/>
      <w:marBottom w:val="0"/>
      <w:divBdr>
        <w:top w:val="none" w:sz="0" w:space="0" w:color="auto"/>
        <w:left w:val="none" w:sz="0" w:space="0" w:color="auto"/>
        <w:bottom w:val="none" w:sz="0" w:space="0" w:color="auto"/>
        <w:right w:val="none" w:sz="0" w:space="0" w:color="auto"/>
      </w:divBdr>
    </w:div>
    <w:div w:id="1544557744">
      <w:bodyDiv w:val="1"/>
      <w:marLeft w:val="0"/>
      <w:marRight w:val="0"/>
      <w:marTop w:val="0"/>
      <w:marBottom w:val="0"/>
      <w:divBdr>
        <w:top w:val="none" w:sz="0" w:space="0" w:color="auto"/>
        <w:left w:val="none" w:sz="0" w:space="0" w:color="auto"/>
        <w:bottom w:val="none" w:sz="0" w:space="0" w:color="auto"/>
        <w:right w:val="none" w:sz="0" w:space="0" w:color="auto"/>
      </w:divBdr>
    </w:div>
    <w:div w:id="1550846563">
      <w:bodyDiv w:val="1"/>
      <w:marLeft w:val="0"/>
      <w:marRight w:val="0"/>
      <w:marTop w:val="0"/>
      <w:marBottom w:val="0"/>
      <w:divBdr>
        <w:top w:val="none" w:sz="0" w:space="0" w:color="auto"/>
        <w:left w:val="none" w:sz="0" w:space="0" w:color="auto"/>
        <w:bottom w:val="none" w:sz="0" w:space="0" w:color="auto"/>
        <w:right w:val="none" w:sz="0" w:space="0" w:color="auto"/>
      </w:divBdr>
    </w:div>
    <w:div w:id="1568884139">
      <w:bodyDiv w:val="1"/>
      <w:marLeft w:val="0"/>
      <w:marRight w:val="0"/>
      <w:marTop w:val="0"/>
      <w:marBottom w:val="0"/>
      <w:divBdr>
        <w:top w:val="none" w:sz="0" w:space="0" w:color="auto"/>
        <w:left w:val="none" w:sz="0" w:space="0" w:color="auto"/>
        <w:bottom w:val="none" w:sz="0" w:space="0" w:color="auto"/>
        <w:right w:val="none" w:sz="0" w:space="0" w:color="auto"/>
      </w:divBdr>
    </w:div>
    <w:div w:id="1588463923">
      <w:bodyDiv w:val="1"/>
      <w:marLeft w:val="0"/>
      <w:marRight w:val="0"/>
      <w:marTop w:val="0"/>
      <w:marBottom w:val="0"/>
      <w:divBdr>
        <w:top w:val="none" w:sz="0" w:space="0" w:color="auto"/>
        <w:left w:val="none" w:sz="0" w:space="0" w:color="auto"/>
        <w:bottom w:val="none" w:sz="0" w:space="0" w:color="auto"/>
        <w:right w:val="none" w:sz="0" w:space="0" w:color="auto"/>
      </w:divBdr>
    </w:div>
    <w:div w:id="1617374354">
      <w:bodyDiv w:val="1"/>
      <w:marLeft w:val="0"/>
      <w:marRight w:val="0"/>
      <w:marTop w:val="0"/>
      <w:marBottom w:val="0"/>
      <w:divBdr>
        <w:top w:val="none" w:sz="0" w:space="0" w:color="auto"/>
        <w:left w:val="none" w:sz="0" w:space="0" w:color="auto"/>
        <w:bottom w:val="none" w:sz="0" w:space="0" w:color="auto"/>
        <w:right w:val="none" w:sz="0" w:space="0" w:color="auto"/>
      </w:divBdr>
    </w:div>
    <w:div w:id="1621108334">
      <w:bodyDiv w:val="1"/>
      <w:marLeft w:val="0"/>
      <w:marRight w:val="0"/>
      <w:marTop w:val="0"/>
      <w:marBottom w:val="0"/>
      <w:divBdr>
        <w:top w:val="none" w:sz="0" w:space="0" w:color="auto"/>
        <w:left w:val="none" w:sz="0" w:space="0" w:color="auto"/>
        <w:bottom w:val="none" w:sz="0" w:space="0" w:color="auto"/>
        <w:right w:val="none" w:sz="0" w:space="0" w:color="auto"/>
      </w:divBdr>
    </w:div>
    <w:div w:id="1687249759">
      <w:bodyDiv w:val="1"/>
      <w:marLeft w:val="0"/>
      <w:marRight w:val="0"/>
      <w:marTop w:val="0"/>
      <w:marBottom w:val="0"/>
      <w:divBdr>
        <w:top w:val="none" w:sz="0" w:space="0" w:color="auto"/>
        <w:left w:val="none" w:sz="0" w:space="0" w:color="auto"/>
        <w:bottom w:val="none" w:sz="0" w:space="0" w:color="auto"/>
        <w:right w:val="none" w:sz="0" w:space="0" w:color="auto"/>
      </w:divBdr>
    </w:div>
    <w:div w:id="1910383265">
      <w:bodyDiv w:val="1"/>
      <w:marLeft w:val="0"/>
      <w:marRight w:val="0"/>
      <w:marTop w:val="0"/>
      <w:marBottom w:val="0"/>
      <w:divBdr>
        <w:top w:val="none" w:sz="0" w:space="0" w:color="auto"/>
        <w:left w:val="none" w:sz="0" w:space="0" w:color="auto"/>
        <w:bottom w:val="none" w:sz="0" w:space="0" w:color="auto"/>
        <w:right w:val="none" w:sz="0" w:space="0" w:color="auto"/>
      </w:divBdr>
    </w:div>
    <w:div w:id="1947227710">
      <w:bodyDiv w:val="1"/>
      <w:marLeft w:val="0"/>
      <w:marRight w:val="0"/>
      <w:marTop w:val="0"/>
      <w:marBottom w:val="0"/>
      <w:divBdr>
        <w:top w:val="none" w:sz="0" w:space="0" w:color="auto"/>
        <w:left w:val="none" w:sz="0" w:space="0" w:color="auto"/>
        <w:bottom w:val="none" w:sz="0" w:space="0" w:color="auto"/>
        <w:right w:val="none" w:sz="0" w:space="0" w:color="auto"/>
      </w:divBdr>
    </w:div>
    <w:div w:id="1953515873">
      <w:bodyDiv w:val="1"/>
      <w:marLeft w:val="0"/>
      <w:marRight w:val="0"/>
      <w:marTop w:val="0"/>
      <w:marBottom w:val="0"/>
      <w:divBdr>
        <w:top w:val="none" w:sz="0" w:space="0" w:color="auto"/>
        <w:left w:val="none" w:sz="0" w:space="0" w:color="auto"/>
        <w:bottom w:val="none" w:sz="0" w:space="0" w:color="auto"/>
        <w:right w:val="none" w:sz="0" w:space="0" w:color="auto"/>
      </w:divBdr>
    </w:div>
    <w:div w:id="214303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deraveda.cz"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axes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genderaveda.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991BE-43EF-4292-9E71-43FA4D00A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31</Pages>
  <Words>13644</Words>
  <Characters>80506</Characters>
  <Application>Microsoft Office Word</Application>
  <DocSecurity>0</DocSecurity>
  <Lines>670</Lines>
  <Paragraphs>187</Paragraphs>
  <ScaleCrop>false</ScaleCrop>
  <HeadingPairs>
    <vt:vector size="2" baseType="variant">
      <vt:variant>
        <vt:lpstr>Název</vt:lpstr>
      </vt:variant>
      <vt:variant>
        <vt:i4>1</vt:i4>
      </vt:variant>
    </vt:vector>
  </HeadingPairs>
  <TitlesOfParts>
    <vt:vector size="1" baseType="lpstr">
      <vt:lpstr/>
    </vt:vector>
  </TitlesOfParts>
  <Company>MŠMT, DZS</Company>
  <LinksUpToDate>false</LinksUpToDate>
  <CharactersWithSpaces>93963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Levák;Dana Petrová</dc:creator>
  <cp:keywords/>
  <dc:description/>
  <cp:lastModifiedBy>Vašíček Jan</cp:lastModifiedBy>
  <cp:revision>37</cp:revision>
  <cp:lastPrinted>2020-10-13T11:37:00Z</cp:lastPrinted>
  <dcterms:created xsi:type="dcterms:W3CDTF">2020-10-22T10:01:00Z</dcterms:created>
  <dcterms:modified xsi:type="dcterms:W3CDTF">2020-11-05T10:07:00Z</dcterms:modified>
  <cp:contentStatus/>
  <cp:version>1</cp:version>
</cp:coreProperties>
</file>