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118"/>
        <w:gridCol w:w="2470"/>
      </w:tblGrid>
      <w:tr w:rsidR="008F77F6" w:rsidRPr="00DE2BC0" w:rsidTr="0012186B">
        <w:trPr>
          <w:trHeight w:val="828"/>
        </w:trPr>
        <w:tc>
          <w:tcPr>
            <w:tcW w:w="705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7B56E5" w:rsidRDefault="000350A8" w:rsidP="00741B34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350A8">
              <w:rPr>
                <w:rFonts w:ascii="Arial" w:hAnsi="Arial" w:cs="Arial"/>
                <w:b/>
                <w:color w:val="0070C0"/>
                <w:sz w:val="28"/>
                <w:szCs w:val="28"/>
              </w:rPr>
              <w:t>Návrh na jmenování předsedy Komise pro</w:t>
            </w:r>
            <w:r w:rsidR="00741B34">
              <w:rPr>
                <w:rFonts w:ascii="Arial" w:hAnsi="Arial" w:cs="Arial"/>
                <w:b/>
                <w:color w:val="0070C0"/>
                <w:sz w:val="28"/>
                <w:szCs w:val="28"/>
              </w:rPr>
              <w:t> </w:t>
            </w:r>
            <w:r w:rsidRPr="000350A8">
              <w:rPr>
                <w:rFonts w:ascii="Arial" w:hAnsi="Arial" w:cs="Arial"/>
                <w:b/>
                <w:color w:val="0070C0"/>
                <w:sz w:val="28"/>
                <w:szCs w:val="28"/>
              </w:rPr>
              <w:t>problematiku klimatu</w:t>
            </w:r>
          </w:p>
        </w:tc>
        <w:tc>
          <w:tcPr>
            <w:tcW w:w="247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1F2206" w:rsidP="00F000ED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056E74">
              <w:rPr>
                <w:rFonts w:ascii="Arial" w:hAnsi="Arial" w:cs="Arial"/>
                <w:b/>
                <w:color w:val="0070C0"/>
                <w:sz w:val="28"/>
                <w:szCs w:val="28"/>
              </w:rPr>
              <w:t>63</w:t>
            </w:r>
            <w:r w:rsidR="00B61BBD">
              <w:rPr>
                <w:rFonts w:ascii="Arial" w:hAnsi="Arial" w:cs="Arial"/>
                <w:b/>
                <w:color w:val="0070C0"/>
                <w:sz w:val="28"/>
                <w:szCs w:val="28"/>
              </w:rPr>
              <w:t>/A</w:t>
            </w:r>
            <w:r w:rsidR="00056E74">
              <w:rPr>
                <w:rFonts w:ascii="Arial" w:hAnsi="Arial" w:cs="Arial"/>
                <w:b/>
                <w:color w:val="0070C0"/>
                <w:sz w:val="28"/>
                <w:szCs w:val="28"/>
              </w:rPr>
              <w:t>2</w:t>
            </w:r>
          </w:p>
        </w:tc>
      </w:tr>
      <w:tr w:rsidR="008F77F6" w:rsidRPr="00DE2BC0" w:rsidTr="007B56E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D19B3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588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0607ED" w:rsidRDefault="00060A87" w:rsidP="00F000ED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prof. Dvořák</w:t>
            </w:r>
          </w:p>
        </w:tc>
      </w:tr>
      <w:tr w:rsidR="008F77F6" w:rsidRPr="00DE2BC0" w:rsidTr="007B56E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5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0350A8" w:rsidP="00056E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Mgr. Kapucián</w:t>
            </w:r>
            <w:r w:rsidR="009B5CB9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Odbor RVV</w:t>
            </w:r>
            <w:r w:rsidR="00FD7AD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E5AF9"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="00B459C9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056E74">
              <w:rPr>
                <w:rFonts w:ascii="Arial" w:hAnsi="Arial" w:cs="Arial"/>
                <w:i/>
                <w:sz w:val="22"/>
                <w:szCs w:val="22"/>
              </w:rPr>
              <w:t>prosince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2020</w:t>
            </w:r>
          </w:p>
        </w:tc>
      </w:tr>
      <w:tr w:rsidR="008F77F6" w:rsidRPr="00DE2BC0" w:rsidTr="00462409">
        <w:trPr>
          <w:trHeight w:val="679"/>
        </w:trPr>
        <w:tc>
          <w:tcPr>
            <w:tcW w:w="952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9A23F0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A23F0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F000ED" w:rsidRDefault="00F000ED" w:rsidP="00F000E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Komisi pro problematiku klimatu</w:t>
            </w:r>
            <w:r w:rsidRPr="002D29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7E54">
              <w:rPr>
                <w:rFonts w:ascii="Arial" w:hAnsi="Arial" w:cs="Arial"/>
                <w:sz w:val="22"/>
                <w:szCs w:val="22"/>
              </w:rPr>
              <w:t xml:space="preserve">(dále jen „KPK“) </w:t>
            </w:r>
            <w:r w:rsidRPr="002D29EB">
              <w:rPr>
                <w:rFonts w:ascii="Arial" w:hAnsi="Arial" w:cs="Arial"/>
                <w:sz w:val="22"/>
                <w:szCs w:val="22"/>
              </w:rPr>
              <w:t>ustav</w:t>
            </w:r>
            <w:r>
              <w:rPr>
                <w:rFonts w:ascii="Arial" w:hAnsi="Arial" w:cs="Arial"/>
                <w:sz w:val="22"/>
                <w:szCs w:val="22"/>
              </w:rPr>
              <w:t>ila</w:t>
            </w:r>
            <w:r w:rsidRPr="002D29EB">
              <w:rPr>
                <w:rFonts w:ascii="Arial" w:hAnsi="Arial" w:cs="Arial"/>
                <w:sz w:val="22"/>
                <w:szCs w:val="22"/>
              </w:rPr>
              <w:t xml:space="preserve"> Rada pro výzkum, vývoj a inovace (dále jen „Rada“) </w:t>
            </w:r>
            <w:r>
              <w:rPr>
                <w:rFonts w:ascii="Arial" w:hAnsi="Arial" w:cs="Arial"/>
                <w:sz w:val="22"/>
                <w:szCs w:val="22"/>
              </w:rPr>
              <w:t xml:space="preserve">na svém 347. zasedání dne 28. června 2019 </w:t>
            </w:r>
            <w:r w:rsidRPr="002D29EB">
              <w:rPr>
                <w:rFonts w:ascii="Arial" w:hAnsi="Arial" w:cs="Arial"/>
                <w:sz w:val="22"/>
                <w:szCs w:val="22"/>
              </w:rPr>
              <w:t>jako svůj odborný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D29EB">
              <w:rPr>
                <w:rFonts w:ascii="Arial" w:hAnsi="Arial" w:cs="Arial"/>
                <w:sz w:val="22"/>
                <w:szCs w:val="22"/>
              </w:rPr>
              <w:t xml:space="preserve">poradní </w:t>
            </w:r>
            <w:r>
              <w:rPr>
                <w:rFonts w:ascii="Arial" w:hAnsi="Arial" w:cs="Arial"/>
                <w:sz w:val="22"/>
                <w:szCs w:val="22"/>
              </w:rPr>
              <w:t>orgán podle § 35 odst. 7 písm. b</w:t>
            </w:r>
            <w:r w:rsidRPr="002D29EB">
              <w:rPr>
                <w:rFonts w:ascii="Arial" w:hAnsi="Arial" w:cs="Arial"/>
                <w:sz w:val="22"/>
                <w:szCs w:val="22"/>
              </w:rPr>
              <w:t>) zákona č. 130/2002 Sb., o podpoře výzkumu, experimentálního vývoje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D29EB">
              <w:rPr>
                <w:rFonts w:ascii="Arial" w:hAnsi="Arial" w:cs="Arial"/>
                <w:sz w:val="22"/>
                <w:szCs w:val="22"/>
              </w:rPr>
              <w:t>ino</w:t>
            </w:r>
            <w:r>
              <w:rPr>
                <w:rFonts w:ascii="Arial" w:hAnsi="Arial" w:cs="Arial"/>
                <w:sz w:val="22"/>
                <w:szCs w:val="22"/>
              </w:rPr>
              <w:t>vací z veřejných prostředků a o </w:t>
            </w:r>
            <w:r w:rsidRPr="002D29EB">
              <w:rPr>
                <w:rFonts w:ascii="Arial" w:hAnsi="Arial" w:cs="Arial"/>
                <w:sz w:val="22"/>
                <w:szCs w:val="22"/>
              </w:rPr>
              <w:t>změně některých souvisejících zákonů (zákon o podpoře výzkumu, experim</w:t>
            </w:r>
            <w:r>
              <w:rPr>
                <w:rFonts w:ascii="Arial" w:hAnsi="Arial" w:cs="Arial"/>
                <w:sz w:val="22"/>
                <w:szCs w:val="22"/>
              </w:rPr>
              <w:t>entálního vývoje a inovací), ve </w:t>
            </w:r>
            <w:r w:rsidRPr="002D29EB">
              <w:rPr>
                <w:rFonts w:ascii="Arial" w:hAnsi="Arial" w:cs="Arial"/>
                <w:sz w:val="22"/>
                <w:szCs w:val="22"/>
              </w:rPr>
              <w:t xml:space="preserve">znění </w:t>
            </w:r>
            <w:r>
              <w:rPr>
                <w:rFonts w:ascii="Arial" w:hAnsi="Arial" w:cs="Arial"/>
                <w:sz w:val="22"/>
                <w:szCs w:val="22"/>
              </w:rPr>
              <w:t xml:space="preserve">pozdějších předpisů. </w:t>
            </w:r>
          </w:p>
          <w:p w:rsidR="00F000ED" w:rsidRDefault="006B6C4D" w:rsidP="00F000E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Dle statutu Rady (článek 7 odst. 2): </w:t>
            </w:r>
            <w:r w:rsidR="00F000ED">
              <w:rPr>
                <w:rFonts w:ascii="Arial" w:hAnsi="Arial" w:cs="Arial"/>
                <w:sz w:val="22"/>
                <w:szCs w:val="22"/>
              </w:rPr>
              <w:t>Členy odborných a </w:t>
            </w:r>
            <w:r w:rsidR="00F000ED" w:rsidRPr="00CB5844">
              <w:rPr>
                <w:rFonts w:ascii="Arial" w:hAnsi="Arial" w:cs="Arial"/>
                <w:sz w:val="22"/>
                <w:szCs w:val="22"/>
              </w:rPr>
              <w:t xml:space="preserve">poradních orgánů na návrh Rady jmenuje </w:t>
            </w:r>
            <w:r w:rsidR="00F000ED">
              <w:rPr>
                <w:rFonts w:ascii="Arial" w:hAnsi="Arial" w:cs="Arial"/>
                <w:sz w:val="22"/>
                <w:szCs w:val="22"/>
              </w:rPr>
              <w:t>a</w:t>
            </w:r>
            <w:r w:rsidR="00F000ED" w:rsidRPr="00CB5844">
              <w:rPr>
                <w:rFonts w:ascii="Arial" w:hAnsi="Arial" w:cs="Arial"/>
                <w:sz w:val="22"/>
                <w:szCs w:val="22"/>
              </w:rPr>
              <w:t xml:space="preserve"> odvolává její předseda. </w:t>
            </w:r>
            <w:r w:rsidR="00F000ED">
              <w:rPr>
                <w:rFonts w:ascii="Arial" w:hAnsi="Arial" w:cs="Arial"/>
                <w:sz w:val="22"/>
                <w:szCs w:val="22"/>
              </w:rPr>
              <w:t>Funkční období je </w:t>
            </w:r>
            <w:r w:rsidR="00F000ED" w:rsidRPr="00D25E70">
              <w:rPr>
                <w:rFonts w:ascii="Arial" w:hAnsi="Arial" w:cs="Arial"/>
                <w:sz w:val="22"/>
                <w:szCs w:val="22"/>
              </w:rPr>
              <w:t>čtyřleté</w:t>
            </w:r>
            <w:r w:rsidR="00F000ED">
              <w:rPr>
                <w:rFonts w:ascii="Arial" w:hAnsi="Arial" w:cs="Arial"/>
                <w:sz w:val="22"/>
                <w:szCs w:val="22"/>
              </w:rPr>
              <w:t xml:space="preserve"> s </w:t>
            </w:r>
            <w:r>
              <w:rPr>
                <w:rFonts w:ascii="Arial" w:hAnsi="Arial" w:cs="Arial"/>
                <w:sz w:val="22"/>
                <w:szCs w:val="22"/>
              </w:rPr>
              <w:t>možností jmenování nejvýše na </w:t>
            </w:r>
            <w:r w:rsidR="00F000ED" w:rsidRPr="006B6AB1">
              <w:rPr>
                <w:rFonts w:ascii="Arial" w:hAnsi="Arial" w:cs="Arial"/>
                <w:sz w:val="22"/>
                <w:szCs w:val="22"/>
              </w:rPr>
              <w:t>dvě období po sobě následující.</w:t>
            </w:r>
            <w:r w:rsidR="00035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50A8">
              <w:t xml:space="preserve"> </w:t>
            </w:r>
            <w:r w:rsidR="000350A8" w:rsidRPr="000350A8">
              <w:rPr>
                <w:rFonts w:ascii="Arial" w:hAnsi="Arial" w:cs="Arial"/>
                <w:b/>
                <w:sz w:val="22"/>
                <w:szCs w:val="22"/>
              </w:rPr>
              <w:t>Předsedou</w:t>
            </w:r>
            <w:r w:rsidR="000350A8" w:rsidRPr="000350A8">
              <w:rPr>
                <w:rFonts w:ascii="Arial" w:hAnsi="Arial" w:cs="Arial"/>
                <w:sz w:val="22"/>
                <w:szCs w:val="22"/>
              </w:rPr>
              <w:t xml:space="preserve"> odborného a poradního orgánu je člen Rady, kterého na návrh Rady jmenuje předseda Rady. Předseda odborného a poradního orgánu</w:t>
            </w:r>
            <w:r>
              <w:rPr>
                <w:rFonts w:ascii="Arial" w:hAnsi="Arial" w:cs="Arial"/>
                <w:sz w:val="22"/>
                <w:szCs w:val="22"/>
              </w:rPr>
              <w:t xml:space="preserve"> je současně členem odborného a </w:t>
            </w:r>
            <w:r w:rsidR="000350A8" w:rsidRPr="000350A8">
              <w:rPr>
                <w:rFonts w:ascii="Arial" w:hAnsi="Arial" w:cs="Arial"/>
                <w:sz w:val="22"/>
                <w:szCs w:val="22"/>
              </w:rPr>
              <w:t>poradního orgánu. Při výběru členů svých poradních orgá</w:t>
            </w:r>
            <w:r>
              <w:rPr>
                <w:rFonts w:ascii="Arial" w:hAnsi="Arial" w:cs="Arial"/>
                <w:sz w:val="22"/>
                <w:szCs w:val="22"/>
              </w:rPr>
              <w:t>nů Rada zohledňuje požadavek na </w:t>
            </w:r>
            <w:r w:rsidR="000350A8" w:rsidRPr="000350A8">
              <w:rPr>
                <w:rFonts w:ascii="Arial" w:hAnsi="Arial" w:cs="Arial"/>
                <w:sz w:val="22"/>
                <w:szCs w:val="22"/>
              </w:rPr>
              <w:t>vyrovnané zastoupení žen a mužů.</w:t>
            </w:r>
          </w:p>
          <w:p w:rsidR="006B6C4D" w:rsidRPr="006B6C4D" w:rsidRDefault="006B6C4D" w:rsidP="00F000ED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6C4D">
              <w:rPr>
                <w:rFonts w:ascii="Arial" w:hAnsi="Arial" w:cs="Arial"/>
                <w:b/>
                <w:sz w:val="22"/>
                <w:szCs w:val="22"/>
              </w:rPr>
              <w:t xml:space="preserve">Vzhledem k uplynutí funkčního období prof. </w:t>
            </w:r>
            <w:r w:rsidR="00B459C9">
              <w:rPr>
                <w:rFonts w:ascii="Arial" w:hAnsi="Arial" w:cs="Arial"/>
                <w:b/>
                <w:sz w:val="22"/>
                <w:szCs w:val="22"/>
              </w:rPr>
              <w:t>Laty v Radě (listopad 2020</w:t>
            </w:r>
            <w:r w:rsidRPr="006B6C4D">
              <w:rPr>
                <w:rFonts w:ascii="Arial" w:hAnsi="Arial" w:cs="Arial"/>
                <w:b/>
                <w:sz w:val="22"/>
                <w:szCs w:val="22"/>
              </w:rPr>
              <w:t>), skončil i v pozici předsedy KPK. Z tohoto důvodu je nutné jm</w:t>
            </w:r>
            <w:r w:rsidR="00D94F3D">
              <w:rPr>
                <w:rFonts w:ascii="Arial" w:hAnsi="Arial" w:cs="Arial"/>
                <w:b/>
                <w:sz w:val="22"/>
                <w:szCs w:val="22"/>
              </w:rPr>
              <w:t>enování jiného zástupce Rady do </w:t>
            </w:r>
            <w:r w:rsidRPr="006B6C4D">
              <w:rPr>
                <w:rFonts w:ascii="Arial" w:hAnsi="Arial" w:cs="Arial"/>
                <w:b/>
                <w:sz w:val="22"/>
                <w:szCs w:val="22"/>
              </w:rPr>
              <w:t>této funkce.</w:t>
            </w:r>
          </w:p>
          <w:p w:rsidR="008E41BA" w:rsidRPr="00E5347D" w:rsidRDefault="00F000ED" w:rsidP="002304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EBC">
              <w:rPr>
                <w:rFonts w:ascii="Arial" w:hAnsi="Arial" w:cs="Arial"/>
                <w:sz w:val="22"/>
                <w:szCs w:val="22"/>
              </w:rPr>
              <w:t xml:space="preserve">Smyslem Komise pro problematiku klimatu je získání </w:t>
            </w:r>
            <w:proofErr w:type="spellStart"/>
            <w:r w:rsidRPr="006E2EBC">
              <w:rPr>
                <w:rFonts w:ascii="Arial" w:hAnsi="Arial" w:cs="Arial"/>
                <w:sz w:val="22"/>
                <w:szCs w:val="22"/>
              </w:rPr>
              <w:t>nadrezortního</w:t>
            </w:r>
            <w:proofErr w:type="spellEnd"/>
            <w:r w:rsidRPr="006E2EBC">
              <w:rPr>
                <w:rFonts w:ascii="Arial" w:hAnsi="Arial" w:cs="Arial"/>
                <w:sz w:val="22"/>
                <w:szCs w:val="22"/>
              </w:rPr>
              <w:t xml:space="preserve"> odborného pohledu na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E2EBC">
              <w:rPr>
                <w:rFonts w:ascii="Arial" w:hAnsi="Arial" w:cs="Arial"/>
                <w:sz w:val="22"/>
                <w:szCs w:val="22"/>
              </w:rPr>
              <w:t xml:space="preserve">složitou problematiku související se změnami klimatu. Tato komise se zřizuje za účelem přípravy odborných materiálů pro Radu pro výzkum, vývoj a inovace a následně pro vládu České republiky v oblastech adaptace </w:t>
            </w:r>
            <w:r w:rsidR="006209ED">
              <w:rPr>
                <w:rFonts w:ascii="Arial" w:hAnsi="Arial" w:cs="Arial"/>
                <w:sz w:val="22"/>
                <w:szCs w:val="22"/>
              </w:rPr>
              <w:t xml:space="preserve">na změnu klimatu a </w:t>
            </w:r>
            <w:proofErr w:type="spellStart"/>
            <w:r w:rsidR="006209ED">
              <w:rPr>
                <w:rFonts w:ascii="Arial" w:hAnsi="Arial" w:cs="Arial"/>
                <w:sz w:val="22"/>
                <w:szCs w:val="22"/>
              </w:rPr>
              <w:t>mitigaci</w:t>
            </w:r>
            <w:proofErr w:type="spellEnd"/>
            <w:r w:rsidRPr="006E2EBC">
              <w:rPr>
                <w:rFonts w:ascii="Arial" w:hAnsi="Arial" w:cs="Arial"/>
                <w:sz w:val="22"/>
                <w:szCs w:val="22"/>
              </w:rPr>
              <w:t>.</w:t>
            </w:r>
            <w:r w:rsidR="00E5347D" w:rsidRPr="001F383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</w:tbl>
    <w:p w:rsidR="00F86D54" w:rsidRDefault="002304C5" w:rsidP="008F77F6">
      <w:bookmarkStart w:id="0" w:name="_GoBack"/>
      <w:bookmarkEnd w:id="0"/>
    </w:p>
    <w:sectPr w:rsidR="00F86D54" w:rsidSect="0011335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CC" w:rsidRDefault="00212CCC" w:rsidP="008F77F6">
      <w:r>
        <w:separator/>
      </w:r>
    </w:p>
  </w:endnote>
  <w:endnote w:type="continuationSeparator" w:id="0">
    <w:p w:rsidR="00212CCC" w:rsidRDefault="00212CC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CC" w:rsidRDefault="00212CCC" w:rsidP="008F77F6">
      <w:r>
        <w:separator/>
      </w:r>
    </w:p>
  </w:footnote>
  <w:footnote w:type="continuationSeparator" w:id="0">
    <w:p w:rsidR="00212CCC" w:rsidRDefault="00212CC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0D724AFB" wp14:editId="74B33AC0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F0828"/>
    <w:multiLevelType w:val="hybridMultilevel"/>
    <w:tmpl w:val="0506F49C"/>
    <w:lvl w:ilvl="0" w:tplc="E9308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107DC"/>
    <w:multiLevelType w:val="hybridMultilevel"/>
    <w:tmpl w:val="513A83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94F07"/>
    <w:multiLevelType w:val="hybridMultilevel"/>
    <w:tmpl w:val="FA0E81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ABB225A"/>
    <w:multiLevelType w:val="hybridMultilevel"/>
    <w:tmpl w:val="414EE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41FCE"/>
    <w:multiLevelType w:val="hybridMultilevel"/>
    <w:tmpl w:val="CBE231A2"/>
    <w:lvl w:ilvl="0" w:tplc="4142E15C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22B78"/>
    <w:rsid w:val="000350A8"/>
    <w:rsid w:val="00056E74"/>
    <w:rsid w:val="00057240"/>
    <w:rsid w:val="000607ED"/>
    <w:rsid w:val="00060A87"/>
    <w:rsid w:val="00092833"/>
    <w:rsid w:val="00095B2C"/>
    <w:rsid w:val="000B4DE0"/>
    <w:rsid w:val="000B7D0E"/>
    <w:rsid w:val="000C2A69"/>
    <w:rsid w:val="000C4A33"/>
    <w:rsid w:val="000D6C28"/>
    <w:rsid w:val="000E58F0"/>
    <w:rsid w:val="000F224B"/>
    <w:rsid w:val="0011335A"/>
    <w:rsid w:val="00114213"/>
    <w:rsid w:val="00115DD5"/>
    <w:rsid w:val="0012186B"/>
    <w:rsid w:val="00127410"/>
    <w:rsid w:val="00141492"/>
    <w:rsid w:val="00145F9C"/>
    <w:rsid w:val="00154AA2"/>
    <w:rsid w:val="00166537"/>
    <w:rsid w:val="00170349"/>
    <w:rsid w:val="001829AF"/>
    <w:rsid w:val="00194EDE"/>
    <w:rsid w:val="001A1063"/>
    <w:rsid w:val="001B37B9"/>
    <w:rsid w:val="001D15F9"/>
    <w:rsid w:val="001D30B6"/>
    <w:rsid w:val="001F2206"/>
    <w:rsid w:val="001F3839"/>
    <w:rsid w:val="002010DA"/>
    <w:rsid w:val="0020280B"/>
    <w:rsid w:val="00206877"/>
    <w:rsid w:val="00212CCC"/>
    <w:rsid w:val="002304C5"/>
    <w:rsid w:val="00237006"/>
    <w:rsid w:val="002A18DA"/>
    <w:rsid w:val="002B4C9D"/>
    <w:rsid w:val="002C053B"/>
    <w:rsid w:val="002F01DD"/>
    <w:rsid w:val="002F47AA"/>
    <w:rsid w:val="0031020D"/>
    <w:rsid w:val="003136A5"/>
    <w:rsid w:val="00321779"/>
    <w:rsid w:val="00340B79"/>
    <w:rsid w:val="00360293"/>
    <w:rsid w:val="00370DCF"/>
    <w:rsid w:val="00376D0F"/>
    <w:rsid w:val="00386CBE"/>
    <w:rsid w:val="00387B05"/>
    <w:rsid w:val="003B1822"/>
    <w:rsid w:val="003C1580"/>
    <w:rsid w:val="003C6480"/>
    <w:rsid w:val="003D19B3"/>
    <w:rsid w:val="003F603B"/>
    <w:rsid w:val="004064D0"/>
    <w:rsid w:val="0044262F"/>
    <w:rsid w:val="00461A40"/>
    <w:rsid w:val="00462409"/>
    <w:rsid w:val="00485BD7"/>
    <w:rsid w:val="00486230"/>
    <w:rsid w:val="00491E40"/>
    <w:rsid w:val="00494A1F"/>
    <w:rsid w:val="00495E87"/>
    <w:rsid w:val="004A02E7"/>
    <w:rsid w:val="004C61D4"/>
    <w:rsid w:val="004D6A37"/>
    <w:rsid w:val="00516F19"/>
    <w:rsid w:val="005210B0"/>
    <w:rsid w:val="00533D24"/>
    <w:rsid w:val="0054642D"/>
    <w:rsid w:val="00553E0C"/>
    <w:rsid w:val="00555FF5"/>
    <w:rsid w:val="0055683A"/>
    <w:rsid w:val="00560239"/>
    <w:rsid w:val="005655FC"/>
    <w:rsid w:val="00582B31"/>
    <w:rsid w:val="005A0EC4"/>
    <w:rsid w:val="005A426C"/>
    <w:rsid w:val="005A673F"/>
    <w:rsid w:val="005C3D6E"/>
    <w:rsid w:val="005C49F7"/>
    <w:rsid w:val="005D0500"/>
    <w:rsid w:val="006073EE"/>
    <w:rsid w:val="00607DD4"/>
    <w:rsid w:val="006209ED"/>
    <w:rsid w:val="00624B53"/>
    <w:rsid w:val="00634307"/>
    <w:rsid w:val="00641565"/>
    <w:rsid w:val="00646D8B"/>
    <w:rsid w:val="00660AAF"/>
    <w:rsid w:val="00667CA5"/>
    <w:rsid w:val="00681D93"/>
    <w:rsid w:val="006B6C4D"/>
    <w:rsid w:val="006C292C"/>
    <w:rsid w:val="006C4FEA"/>
    <w:rsid w:val="006E7243"/>
    <w:rsid w:val="006F11E1"/>
    <w:rsid w:val="007039F9"/>
    <w:rsid w:val="007077D8"/>
    <w:rsid w:val="00713180"/>
    <w:rsid w:val="00731B10"/>
    <w:rsid w:val="00734132"/>
    <w:rsid w:val="00741931"/>
    <w:rsid w:val="00741B34"/>
    <w:rsid w:val="007525B3"/>
    <w:rsid w:val="007B56E5"/>
    <w:rsid w:val="007C3DC0"/>
    <w:rsid w:val="007F6B77"/>
    <w:rsid w:val="00805D93"/>
    <w:rsid w:val="00810AA0"/>
    <w:rsid w:val="00821E36"/>
    <w:rsid w:val="00830F0B"/>
    <w:rsid w:val="008323B1"/>
    <w:rsid w:val="00840DF6"/>
    <w:rsid w:val="008639A4"/>
    <w:rsid w:val="008642EB"/>
    <w:rsid w:val="008B6198"/>
    <w:rsid w:val="008C1DC3"/>
    <w:rsid w:val="008C3283"/>
    <w:rsid w:val="008C7F2E"/>
    <w:rsid w:val="008D05DF"/>
    <w:rsid w:val="008E3794"/>
    <w:rsid w:val="008E41BA"/>
    <w:rsid w:val="008F35D6"/>
    <w:rsid w:val="008F77F6"/>
    <w:rsid w:val="00900D95"/>
    <w:rsid w:val="00925EA0"/>
    <w:rsid w:val="00944A47"/>
    <w:rsid w:val="009704D2"/>
    <w:rsid w:val="009870E8"/>
    <w:rsid w:val="00996128"/>
    <w:rsid w:val="00996672"/>
    <w:rsid w:val="009A01BD"/>
    <w:rsid w:val="009A23F0"/>
    <w:rsid w:val="009B0FF5"/>
    <w:rsid w:val="009B3AB0"/>
    <w:rsid w:val="009B5CB9"/>
    <w:rsid w:val="009E5AF9"/>
    <w:rsid w:val="00A13C44"/>
    <w:rsid w:val="00A15CC1"/>
    <w:rsid w:val="00A21F6C"/>
    <w:rsid w:val="00A425AE"/>
    <w:rsid w:val="00A51417"/>
    <w:rsid w:val="00A51D40"/>
    <w:rsid w:val="00A549F1"/>
    <w:rsid w:val="00A60A40"/>
    <w:rsid w:val="00A80F86"/>
    <w:rsid w:val="00A96B82"/>
    <w:rsid w:val="00AA1B8F"/>
    <w:rsid w:val="00AA51BE"/>
    <w:rsid w:val="00AA7217"/>
    <w:rsid w:val="00AB616F"/>
    <w:rsid w:val="00AB6973"/>
    <w:rsid w:val="00AD58A8"/>
    <w:rsid w:val="00AE7D40"/>
    <w:rsid w:val="00B25016"/>
    <w:rsid w:val="00B364B6"/>
    <w:rsid w:val="00B437E0"/>
    <w:rsid w:val="00B459C9"/>
    <w:rsid w:val="00B476E7"/>
    <w:rsid w:val="00B61BBD"/>
    <w:rsid w:val="00B9591A"/>
    <w:rsid w:val="00BA148D"/>
    <w:rsid w:val="00BA54FD"/>
    <w:rsid w:val="00BB0768"/>
    <w:rsid w:val="00C032A4"/>
    <w:rsid w:val="00C20639"/>
    <w:rsid w:val="00C701F8"/>
    <w:rsid w:val="00C83B52"/>
    <w:rsid w:val="00C85674"/>
    <w:rsid w:val="00CE1396"/>
    <w:rsid w:val="00CE22B7"/>
    <w:rsid w:val="00CE35F0"/>
    <w:rsid w:val="00CE456E"/>
    <w:rsid w:val="00CE50C0"/>
    <w:rsid w:val="00CF1D9F"/>
    <w:rsid w:val="00D10E9A"/>
    <w:rsid w:val="00D13C18"/>
    <w:rsid w:val="00D27C56"/>
    <w:rsid w:val="00D35DDA"/>
    <w:rsid w:val="00D521E1"/>
    <w:rsid w:val="00D52F85"/>
    <w:rsid w:val="00D74443"/>
    <w:rsid w:val="00D8330B"/>
    <w:rsid w:val="00D94F3D"/>
    <w:rsid w:val="00D96DE7"/>
    <w:rsid w:val="00DB3C64"/>
    <w:rsid w:val="00DC5FE9"/>
    <w:rsid w:val="00DD4FF7"/>
    <w:rsid w:val="00E013C8"/>
    <w:rsid w:val="00E0498D"/>
    <w:rsid w:val="00E15696"/>
    <w:rsid w:val="00E358C8"/>
    <w:rsid w:val="00E52D50"/>
    <w:rsid w:val="00E5347D"/>
    <w:rsid w:val="00E84184"/>
    <w:rsid w:val="00E86469"/>
    <w:rsid w:val="00EA63D9"/>
    <w:rsid w:val="00EC0DB4"/>
    <w:rsid w:val="00EC70A1"/>
    <w:rsid w:val="00EF3114"/>
    <w:rsid w:val="00F000ED"/>
    <w:rsid w:val="00F061B1"/>
    <w:rsid w:val="00F24D60"/>
    <w:rsid w:val="00F313A7"/>
    <w:rsid w:val="00F37E54"/>
    <w:rsid w:val="00F52322"/>
    <w:rsid w:val="00F5508B"/>
    <w:rsid w:val="00F81EBC"/>
    <w:rsid w:val="00F848B5"/>
    <w:rsid w:val="00F94495"/>
    <w:rsid w:val="00FA1DE0"/>
    <w:rsid w:val="00FD0BAB"/>
    <w:rsid w:val="00FD7ADB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CE3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CE3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CCE6-69E4-405A-9DF7-6B352D9E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53</cp:revision>
  <cp:lastPrinted>2018-06-25T10:16:00Z</cp:lastPrinted>
  <dcterms:created xsi:type="dcterms:W3CDTF">2018-06-22T11:35:00Z</dcterms:created>
  <dcterms:modified xsi:type="dcterms:W3CDTF">2020-12-23T08:19:00Z</dcterms:modified>
</cp:coreProperties>
</file>