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 xml:space="preserve">Přehled usnesení vlády v oblasti </w:t>
      </w:r>
      <w:proofErr w:type="spellStart"/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VaVaI</w:t>
      </w:r>
      <w:proofErr w:type="spellEnd"/>
    </w:p>
    <w:p w:rsidR="00BD43E5" w:rsidRPr="00CD3FC1" w:rsidRDefault="00DB545A" w:rsidP="00083370">
      <w:pPr>
        <w:spacing w:after="240"/>
        <w:jc w:val="center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(</w:t>
      </w:r>
      <w:r w:rsidR="00142A59"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prosinec</w:t>
      </w:r>
      <w:r w:rsidR="003069E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2020 / leden 2021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)</w:t>
      </w:r>
    </w:p>
    <w:p w:rsidR="00964942" w:rsidRDefault="00964942" w:rsidP="00CD3FC1">
      <w:pPr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:rsidR="006B5B69" w:rsidRDefault="006B5B69" w:rsidP="00301E09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 w:rsidR="00266FA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21. prosince</w:t>
      </w:r>
      <w:r w:rsid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2020 č. </w:t>
      </w:r>
      <w:r w:rsidR="00266FA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1342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="007F019D" w:rsidRPr="007F019D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="007F019D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</w:t>
      </w:r>
      <w:r w:rsidR="00266FA1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zákona, kterým se mění zákon č. 130/2002 Sb., o podpoře výzkumu, experimentálního vývoje a</w:t>
      </w:r>
      <w:r w:rsidR="00AF173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266FA1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inovací z veřejných prostředků a o změně některých souvisejících zákonů (zákon o</w:t>
      </w:r>
      <w:r w:rsidR="00AF1738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="00266FA1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podpoře výzkumu, experimentálního vývoje a inovací), ve znění pozdějších předpisů</w:t>
      </w:r>
      <w:r w:rsidR="007F019D" w:rsidRPr="00266FA1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5F09D6" w:rsidRPr="005F09D6" w:rsidRDefault="00F33DCB" w:rsidP="00301E09">
      <w:pPr>
        <w:autoSpaceDE w:val="0"/>
        <w:autoSpaceDN w:val="0"/>
        <w:adjustRightInd w:val="0"/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Po schválení novely zákona byl vládní návrh zaslán předsedou vlády předsedovi Poslanecké sněmovny, který byl přijat jako sněmovní tisk 1118. </w:t>
      </w:r>
      <w:r w:rsidR="00157B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Dne 7. ledna 2021 proběhla schůze organizačního výboru. </w:t>
      </w:r>
      <w:r w:rsidR="005F09D6" w:rsidRPr="005F09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Projednání sněmovního tisku </w:t>
      </w:r>
      <w:r w:rsidR="00157B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(1. čtení) </w:t>
      </w:r>
      <w:r w:rsidR="005F09D6" w:rsidRPr="005F09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je navrženo na pořad 79.</w:t>
      </w:r>
      <w:r w:rsidR="00157B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5F09D6" w:rsidRPr="005F09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schůze </w:t>
      </w:r>
      <w:r w:rsidR="00157BFB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Poslanecké sněmovny</w:t>
      </w:r>
      <w:r w:rsidR="005F09D6" w:rsidRPr="005F09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(tj. od</w:t>
      </w:r>
      <w:r w:rsidR="005F09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 </w:t>
      </w:r>
      <w:r w:rsidR="005F09D6" w:rsidRPr="005F09D6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19. ledna 2021). Sněmovnímu tisku 1118 byl přidělen bod č. 113. Body z bloku 1. čtení - zákony jsou na pořadu od 26. ledna 2021.</w:t>
      </w:r>
    </w:p>
    <w:p w:rsidR="007F019D" w:rsidRDefault="00D164F1" w:rsidP="00301E09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hyperlink r:id="rId9" w:history="1">
        <w:r w:rsidR="005F09D6" w:rsidRPr="005F09D6">
          <w:rPr>
            <w:rFonts w:ascii="Arial" w:eastAsiaTheme="minorHAnsi" w:hAnsi="Arial" w:cs="Arial"/>
            <w:color w:val="0000FF"/>
            <w:sz w:val="22"/>
            <w:szCs w:val="22"/>
            <w:lang w:eastAsia="en-US"/>
          </w:rPr>
          <w:t>https://www.psp.cz/sqw/ischuze.sqw?o=8&amp;s=79&amp;pozvanka=1</w:t>
        </w:r>
      </w:hyperlink>
    </w:p>
    <w:p w:rsidR="00293109" w:rsidRPr="00293109" w:rsidRDefault="007F54A4" w:rsidP="00301E09">
      <w:pPr>
        <w:spacing w:after="240"/>
        <w:jc w:val="both"/>
        <w:rPr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21. prosince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2020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1355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 w:rsidRPr="007F54A4">
        <w:rPr>
          <w:rFonts w:ascii="Tahoma" w:hAnsi="Tahoma" w:cs="Tahoma"/>
          <w:color w:val="303030"/>
          <w:sz w:val="19"/>
          <w:szCs w:val="19"/>
        </w:rPr>
        <w:t xml:space="preserve"> </w:t>
      </w:r>
      <w:r>
        <w:rPr>
          <w:rFonts w:ascii="Tahoma" w:hAnsi="Tahoma" w:cs="Tahoma"/>
          <w:color w:val="303030"/>
          <w:sz w:val="19"/>
          <w:szCs w:val="19"/>
        </w:rPr>
        <w:t>„</w:t>
      </w:r>
      <w:r w:rsidRPr="007F54A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Zpráva o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7F54A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činnosti vědecké rady Grantové agentury České republiky za rok 2020 a návrh na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7F54A4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stanovení odměn za výkon veřejné funkce vědecké rady Grantové agentury České republiky za rok 2020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“</w:t>
      </w:r>
    </w:p>
    <w:p w:rsidR="00293109" w:rsidRPr="00301E09" w:rsidRDefault="00CB063F" w:rsidP="00301E09">
      <w:pPr>
        <w:spacing w:after="240"/>
        <w:jc w:val="both"/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4. ledna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6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</w:t>
      </w:r>
      <w:r w:rsidRPr="00CB063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„Zpráva o činnosti výzkumné rady Technologické agentury České republiky za rok 2020 a návrh na</w:t>
      </w:r>
      <w:r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CB063F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stanovení odměn za výkon veřejné funkce členů výzkumné rady Technologické agentury České republiky za rok 2020“</w:t>
      </w:r>
    </w:p>
    <w:p w:rsidR="00293109" w:rsidRPr="00293109" w:rsidRDefault="007A3466" w:rsidP="00301E09">
      <w:pPr>
        <w:spacing w:after="240"/>
        <w:jc w:val="both"/>
        <w:rPr>
          <w:lang w:eastAsia="en-US"/>
        </w:rPr>
      </w:pP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Usnesením vlády ze dne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11. ledna 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202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1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č. </w:t>
      </w:r>
      <w:r w:rsidR="00152E34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24</w:t>
      </w:r>
      <w:r w:rsidRPr="00CD3FC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byl schválen materiál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 „</w:t>
      </w:r>
      <w:r w:rsidRPr="007A3466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Návrh na odvolání člena Rady pro výzkum, vývoj a inovace“</w:t>
      </w:r>
    </w:p>
    <w:p w:rsidR="00301E09" w:rsidRDefault="00A40D47" w:rsidP="00301E09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40D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 informaci členů vlády byl </w:t>
      </w:r>
      <w:r w:rsidR="002E62F1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dne 11. ledna 2021 </w:t>
      </w:r>
      <w:r w:rsidRPr="00A40D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předložen materiál „</w:t>
      </w:r>
      <w:r w:rsidRPr="00A40D4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Vyhodnocení plnění Akčního plánu pro</w:t>
      </w:r>
      <w:r w:rsidR="00F7367C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 </w:t>
      </w:r>
      <w:r w:rsidRPr="00A40D47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implementaci Národní strategie otevřeného přístupu České republiky k vědeckým informacím na léta 2017 – 2020 za celé období jeho platnosti</w:t>
      </w:r>
      <w:r w:rsidRPr="00A40D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</w:t>
      </w:r>
    </w:p>
    <w:p w:rsidR="00301E09" w:rsidRPr="00A40D47" w:rsidRDefault="00301E09" w:rsidP="00301E09">
      <w:pPr>
        <w:spacing w:after="240"/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A40D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Pro informaci členů vlády byl </w:t>
      </w: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dne 18. ledna 2021 </w:t>
      </w:r>
      <w:r w:rsidRPr="00A40D47">
        <w:rPr>
          <w:rFonts w:ascii="Arial" w:eastAsiaTheme="minorHAnsi" w:hAnsi="Arial" w:cs="Arial"/>
          <w:color w:val="000000"/>
          <w:sz w:val="22"/>
          <w:szCs w:val="22"/>
          <w:lang w:eastAsia="en-US"/>
        </w:rPr>
        <w:t xml:space="preserve">předložen materiál </w:t>
      </w:r>
      <w:r w:rsidRPr="00301E09">
        <w:rPr>
          <w:rFonts w:ascii="Arial" w:eastAsiaTheme="minorHAnsi" w:hAnsi="Arial" w:cs="Arial"/>
          <w:b/>
          <w:color w:val="000000"/>
          <w:sz w:val="22"/>
          <w:szCs w:val="22"/>
          <w:lang w:eastAsia="en-US"/>
        </w:rPr>
        <w:t>„Analýza stavu výzkumu, vývoje a inovací v České republice a jejich srovnání se zahraničím v roce 2019“</w:t>
      </w:r>
    </w:p>
    <w:p w:rsidR="003069E9" w:rsidRPr="00301E09" w:rsidRDefault="00293109" w:rsidP="00A40D47">
      <w:pPr>
        <w:tabs>
          <w:tab w:val="left" w:pos="6195"/>
        </w:tabs>
        <w:jc w:val="both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  <w:r w:rsidRPr="00301E09">
        <w:rPr>
          <w:rFonts w:ascii="Arial" w:eastAsiaTheme="minorHAnsi" w:hAnsi="Arial" w:cs="Arial"/>
          <w:color w:val="000000"/>
          <w:sz w:val="22"/>
          <w:szCs w:val="22"/>
          <w:lang w:eastAsia="en-US"/>
        </w:rPr>
        <w:tab/>
      </w: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3069E9" w:rsidRPr="003069E9" w:rsidRDefault="003069E9" w:rsidP="003069E9">
      <w:pPr>
        <w:rPr>
          <w:lang w:eastAsia="en-US"/>
        </w:rPr>
      </w:pPr>
    </w:p>
    <w:p w:rsidR="00C42C24" w:rsidRPr="003069E9" w:rsidRDefault="00C42C24" w:rsidP="003069E9">
      <w:pPr>
        <w:tabs>
          <w:tab w:val="left" w:pos="3760"/>
        </w:tabs>
        <w:rPr>
          <w:lang w:eastAsia="en-US"/>
        </w:rPr>
      </w:pPr>
    </w:p>
    <w:sectPr w:rsidR="00C42C24" w:rsidRPr="003069E9" w:rsidSect="009758E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 xml:space="preserve">Přehled usnesení vlády z oblasti </w:t>
    </w:r>
    <w:proofErr w:type="spellStart"/>
    <w:r w:rsidR="00BF112D">
      <w:rPr>
        <w:rFonts w:ascii="Arial" w:hAnsi="Arial" w:cs="Arial"/>
        <w:sz w:val="18"/>
        <w:szCs w:val="18"/>
      </w:rPr>
      <w:t>VaVaI</w:t>
    </w:r>
    <w:proofErr w:type="spellEnd"/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50E72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164F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164F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D164F1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>Zpracovala: Moravcová</w:t>
        </w:r>
        <w:r w:rsidR="00C100F3">
          <w:rPr>
            <w:rFonts w:ascii="Arial" w:hAnsi="Arial" w:cs="Arial"/>
            <w:sz w:val="18"/>
            <w:szCs w:val="18"/>
          </w:rPr>
          <w:t xml:space="preserve">, </w:t>
        </w:r>
        <w:r w:rsidR="00A65BA6">
          <w:rPr>
            <w:rFonts w:ascii="Arial" w:hAnsi="Arial" w:cs="Arial"/>
            <w:sz w:val="18"/>
            <w:szCs w:val="18"/>
          </w:rPr>
          <w:t>stav jednání vlády</w:t>
        </w:r>
        <w:r w:rsidR="005A22BD">
          <w:rPr>
            <w:rFonts w:ascii="Arial" w:hAnsi="Arial" w:cs="Arial"/>
            <w:sz w:val="18"/>
            <w:szCs w:val="18"/>
          </w:rPr>
          <w:t xml:space="preserve"> </w:t>
        </w:r>
        <w:r w:rsidR="00A65BA6">
          <w:rPr>
            <w:rFonts w:ascii="Arial" w:hAnsi="Arial" w:cs="Arial"/>
            <w:sz w:val="18"/>
            <w:szCs w:val="18"/>
          </w:rPr>
          <w:t>k</w:t>
        </w:r>
        <w:r w:rsidR="009F4930">
          <w:rPr>
            <w:rFonts w:ascii="Arial" w:hAnsi="Arial" w:cs="Arial"/>
            <w:sz w:val="18"/>
            <w:szCs w:val="18"/>
          </w:rPr>
          <w:t> </w:t>
        </w:r>
        <w:proofErr w:type="gramStart"/>
        <w:r w:rsidR="00CD0B5A">
          <w:rPr>
            <w:rFonts w:ascii="Arial" w:hAnsi="Arial" w:cs="Arial"/>
            <w:sz w:val="18"/>
            <w:szCs w:val="18"/>
          </w:rPr>
          <w:t>1</w:t>
        </w:r>
        <w:r w:rsidR="00F0539D">
          <w:rPr>
            <w:rFonts w:ascii="Arial" w:hAnsi="Arial" w:cs="Arial"/>
            <w:sz w:val="18"/>
            <w:szCs w:val="18"/>
          </w:rPr>
          <w:t>8</w:t>
        </w:r>
        <w:r w:rsidR="009F4930">
          <w:rPr>
            <w:rFonts w:ascii="Arial" w:hAnsi="Arial" w:cs="Arial"/>
            <w:sz w:val="18"/>
            <w:szCs w:val="18"/>
          </w:rPr>
          <w:t>.01.2021</w:t>
        </w:r>
        <w:proofErr w:type="gramEnd"/>
        <w:r w:rsidR="00A65BA6">
          <w:rPr>
            <w:rFonts w:ascii="Arial" w:hAnsi="Arial" w:cs="Arial"/>
            <w:sz w:val="18"/>
            <w:szCs w:val="18"/>
          </w:rPr>
          <w:t xml:space="preserve"> včetně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43805E24" wp14:editId="2EA85196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25232A2F" wp14:editId="511610BC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E80B72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8F330B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E80B72">
            <w:rPr>
              <w:rFonts w:ascii="Arial" w:hAnsi="Arial" w:cs="Arial"/>
              <w:b/>
              <w:color w:val="0070C0"/>
              <w:sz w:val="28"/>
              <w:szCs w:val="28"/>
            </w:rPr>
            <w:t>4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6B78"/>
    <w:rsid w:val="00033327"/>
    <w:rsid w:val="00035EFD"/>
    <w:rsid w:val="000416CE"/>
    <w:rsid w:val="00041AC0"/>
    <w:rsid w:val="000472F8"/>
    <w:rsid w:val="000549A1"/>
    <w:rsid w:val="000562B1"/>
    <w:rsid w:val="00065C9D"/>
    <w:rsid w:val="000668D4"/>
    <w:rsid w:val="000722CE"/>
    <w:rsid w:val="00076499"/>
    <w:rsid w:val="00077AD9"/>
    <w:rsid w:val="00081162"/>
    <w:rsid w:val="0008125C"/>
    <w:rsid w:val="00083370"/>
    <w:rsid w:val="00084C50"/>
    <w:rsid w:val="00086B42"/>
    <w:rsid w:val="000942EB"/>
    <w:rsid w:val="000B2C9F"/>
    <w:rsid w:val="000B314A"/>
    <w:rsid w:val="000B347D"/>
    <w:rsid w:val="000C1F1B"/>
    <w:rsid w:val="000C2009"/>
    <w:rsid w:val="000C4503"/>
    <w:rsid w:val="000C4A33"/>
    <w:rsid w:val="000C7CA6"/>
    <w:rsid w:val="000D0E51"/>
    <w:rsid w:val="000D7034"/>
    <w:rsid w:val="000E29A9"/>
    <w:rsid w:val="000E3C17"/>
    <w:rsid w:val="000E5261"/>
    <w:rsid w:val="000E7427"/>
    <w:rsid w:val="001029D8"/>
    <w:rsid w:val="0010695C"/>
    <w:rsid w:val="001129EF"/>
    <w:rsid w:val="00113A3F"/>
    <w:rsid w:val="00113FB3"/>
    <w:rsid w:val="001151F0"/>
    <w:rsid w:val="001153DA"/>
    <w:rsid w:val="001160B1"/>
    <w:rsid w:val="001268F8"/>
    <w:rsid w:val="001272E3"/>
    <w:rsid w:val="00142A59"/>
    <w:rsid w:val="00144C07"/>
    <w:rsid w:val="001471E7"/>
    <w:rsid w:val="00152006"/>
    <w:rsid w:val="00152E34"/>
    <w:rsid w:val="00156192"/>
    <w:rsid w:val="00157380"/>
    <w:rsid w:val="00157BFB"/>
    <w:rsid w:val="00162A96"/>
    <w:rsid w:val="00163448"/>
    <w:rsid w:val="00176933"/>
    <w:rsid w:val="00183C16"/>
    <w:rsid w:val="00193DBE"/>
    <w:rsid w:val="001942F6"/>
    <w:rsid w:val="00197C0D"/>
    <w:rsid w:val="001A24A6"/>
    <w:rsid w:val="001A6585"/>
    <w:rsid w:val="001B2327"/>
    <w:rsid w:val="001B32DA"/>
    <w:rsid w:val="001B78C5"/>
    <w:rsid w:val="001C04DF"/>
    <w:rsid w:val="001C3564"/>
    <w:rsid w:val="001D03E6"/>
    <w:rsid w:val="001D0791"/>
    <w:rsid w:val="001D1E7E"/>
    <w:rsid w:val="001D2DF6"/>
    <w:rsid w:val="001D34CE"/>
    <w:rsid w:val="001D43F8"/>
    <w:rsid w:val="001E38CB"/>
    <w:rsid w:val="001F190C"/>
    <w:rsid w:val="001F25B2"/>
    <w:rsid w:val="001F38CB"/>
    <w:rsid w:val="00200490"/>
    <w:rsid w:val="002119D3"/>
    <w:rsid w:val="00215F97"/>
    <w:rsid w:val="00225149"/>
    <w:rsid w:val="0022699E"/>
    <w:rsid w:val="002276E6"/>
    <w:rsid w:val="00227993"/>
    <w:rsid w:val="00230132"/>
    <w:rsid w:val="00237006"/>
    <w:rsid w:val="00237892"/>
    <w:rsid w:val="00244CE6"/>
    <w:rsid w:val="002457E3"/>
    <w:rsid w:val="00245F90"/>
    <w:rsid w:val="00253FE7"/>
    <w:rsid w:val="00257470"/>
    <w:rsid w:val="00264A24"/>
    <w:rsid w:val="00265A36"/>
    <w:rsid w:val="00266FA1"/>
    <w:rsid w:val="002701B8"/>
    <w:rsid w:val="00271833"/>
    <w:rsid w:val="0027714E"/>
    <w:rsid w:val="00283DBF"/>
    <w:rsid w:val="0028411C"/>
    <w:rsid w:val="00293109"/>
    <w:rsid w:val="00293AE5"/>
    <w:rsid w:val="00296E55"/>
    <w:rsid w:val="0029727E"/>
    <w:rsid w:val="002A0AE0"/>
    <w:rsid w:val="002A20A6"/>
    <w:rsid w:val="002A7D75"/>
    <w:rsid w:val="002B0284"/>
    <w:rsid w:val="002B3855"/>
    <w:rsid w:val="002B48A8"/>
    <w:rsid w:val="002B64B7"/>
    <w:rsid w:val="002C011B"/>
    <w:rsid w:val="002C268E"/>
    <w:rsid w:val="002C2B69"/>
    <w:rsid w:val="002C3837"/>
    <w:rsid w:val="002C3B0C"/>
    <w:rsid w:val="002C4CD2"/>
    <w:rsid w:val="002C6978"/>
    <w:rsid w:val="002E2591"/>
    <w:rsid w:val="002E62F1"/>
    <w:rsid w:val="002E7B46"/>
    <w:rsid w:val="002F5C51"/>
    <w:rsid w:val="00301E09"/>
    <w:rsid w:val="0030455B"/>
    <w:rsid w:val="003069E9"/>
    <w:rsid w:val="00307014"/>
    <w:rsid w:val="003070F6"/>
    <w:rsid w:val="00310690"/>
    <w:rsid w:val="00312168"/>
    <w:rsid w:val="00315BD6"/>
    <w:rsid w:val="003403ED"/>
    <w:rsid w:val="003538D0"/>
    <w:rsid w:val="003572B9"/>
    <w:rsid w:val="00360293"/>
    <w:rsid w:val="0036298F"/>
    <w:rsid w:val="00363BA3"/>
    <w:rsid w:val="00364FD3"/>
    <w:rsid w:val="003718B7"/>
    <w:rsid w:val="00371954"/>
    <w:rsid w:val="0037287E"/>
    <w:rsid w:val="003744AA"/>
    <w:rsid w:val="0037508D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37F0"/>
    <w:rsid w:val="003A5087"/>
    <w:rsid w:val="003B0484"/>
    <w:rsid w:val="003B6C14"/>
    <w:rsid w:val="003B78D8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3F2808"/>
    <w:rsid w:val="00400F71"/>
    <w:rsid w:val="00403A63"/>
    <w:rsid w:val="00414FDE"/>
    <w:rsid w:val="00423DB2"/>
    <w:rsid w:val="00424438"/>
    <w:rsid w:val="0043363D"/>
    <w:rsid w:val="004369C1"/>
    <w:rsid w:val="00440882"/>
    <w:rsid w:val="00441F71"/>
    <w:rsid w:val="00443D2C"/>
    <w:rsid w:val="004600B2"/>
    <w:rsid w:val="004600FC"/>
    <w:rsid w:val="0046041D"/>
    <w:rsid w:val="0048037B"/>
    <w:rsid w:val="004804E7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3EF3"/>
    <w:rsid w:val="004E4018"/>
    <w:rsid w:val="004F1EAF"/>
    <w:rsid w:val="004F281D"/>
    <w:rsid w:val="004F33D8"/>
    <w:rsid w:val="004F4FDF"/>
    <w:rsid w:val="004F7D4C"/>
    <w:rsid w:val="00502ABC"/>
    <w:rsid w:val="0050427C"/>
    <w:rsid w:val="0051045D"/>
    <w:rsid w:val="00511188"/>
    <w:rsid w:val="00511390"/>
    <w:rsid w:val="00513AB1"/>
    <w:rsid w:val="00513E7B"/>
    <w:rsid w:val="00514688"/>
    <w:rsid w:val="005156C4"/>
    <w:rsid w:val="00520782"/>
    <w:rsid w:val="005258F2"/>
    <w:rsid w:val="005275B9"/>
    <w:rsid w:val="00530DE6"/>
    <w:rsid w:val="005317CA"/>
    <w:rsid w:val="00534D6C"/>
    <w:rsid w:val="00556F91"/>
    <w:rsid w:val="0055771A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E2A"/>
    <w:rsid w:val="00585349"/>
    <w:rsid w:val="00590664"/>
    <w:rsid w:val="00590FC3"/>
    <w:rsid w:val="00591E5C"/>
    <w:rsid w:val="005970A0"/>
    <w:rsid w:val="005A22BD"/>
    <w:rsid w:val="005A2C67"/>
    <w:rsid w:val="005B0E8C"/>
    <w:rsid w:val="005B204D"/>
    <w:rsid w:val="005B220B"/>
    <w:rsid w:val="005C1E7B"/>
    <w:rsid w:val="005C1F3E"/>
    <w:rsid w:val="005C2485"/>
    <w:rsid w:val="005C393C"/>
    <w:rsid w:val="005D09CC"/>
    <w:rsid w:val="005D1709"/>
    <w:rsid w:val="005D2002"/>
    <w:rsid w:val="005D460F"/>
    <w:rsid w:val="005E249A"/>
    <w:rsid w:val="005E43C2"/>
    <w:rsid w:val="005F09D6"/>
    <w:rsid w:val="005F43A8"/>
    <w:rsid w:val="005F550B"/>
    <w:rsid w:val="00602C6F"/>
    <w:rsid w:val="0061400F"/>
    <w:rsid w:val="006148A3"/>
    <w:rsid w:val="00616978"/>
    <w:rsid w:val="00617289"/>
    <w:rsid w:val="0062369D"/>
    <w:rsid w:val="00631137"/>
    <w:rsid w:val="00631742"/>
    <w:rsid w:val="00631B57"/>
    <w:rsid w:val="00632405"/>
    <w:rsid w:val="00632ED1"/>
    <w:rsid w:val="00633086"/>
    <w:rsid w:val="00641492"/>
    <w:rsid w:val="00647B96"/>
    <w:rsid w:val="00647F38"/>
    <w:rsid w:val="00652259"/>
    <w:rsid w:val="00653A89"/>
    <w:rsid w:val="00653C3C"/>
    <w:rsid w:val="006559C8"/>
    <w:rsid w:val="0066357A"/>
    <w:rsid w:val="006830AB"/>
    <w:rsid w:val="00683EBD"/>
    <w:rsid w:val="0069489B"/>
    <w:rsid w:val="006B0034"/>
    <w:rsid w:val="006B073F"/>
    <w:rsid w:val="006B5593"/>
    <w:rsid w:val="006B5B69"/>
    <w:rsid w:val="006B5DC7"/>
    <w:rsid w:val="006C24DF"/>
    <w:rsid w:val="006C2D93"/>
    <w:rsid w:val="006C6371"/>
    <w:rsid w:val="006D5E21"/>
    <w:rsid w:val="006D608B"/>
    <w:rsid w:val="006D7BC6"/>
    <w:rsid w:val="006E13FC"/>
    <w:rsid w:val="006E3699"/>
    <w:rsid w:val="006E36D4"/>
    <w:rsid w:val="006E4A95"/>
    <w:rsid w:val="006E5921"/>
    <w:rsid w:val="006E791D"/>
    <w:rsid w:val="00704150"/>
    <w:rsid w:val="0070553C"/>
    <w:rsid w:val="00713512"/>
    <w:rsid w:val="007138C1"/>
    <w:rsid w:val="00720790"/>
    <w:rsid w:val="00722316"/>
    <w:rsid w:val="0072400A"/>
    <w:rsid w:val="00724F50"/>
    <w:rsid w:val="00730D2C"/>
    <w:rsid w:val="00731B52"/>
    <w:rsid w:val="00733928"/>
    <w:rsid w:val="007369D7"/>
    <w:rsid w:val="007375EF"/>
    <w:rsid w:val="00741440"/>
    <w:rsid w:val="00741CEE"/>
    <w:rsid w:val="00745BA7"/>
    <w:rsid w:val="007550B7"/>
    <w:rsid w:val="00756CAA"/>
    <w:rsid w:val="007609D3"/>
    <w:rsid w:val="00764B28"/>
    <w:rsid w:val="007701A1"/>
    <w:rsid w:val="00773F0B"/>
    <w:rsid w:val="00784DC1"/>
    <w:rsid w:val="00792371"/>
    <w:rsid w:val="007947D1"/>
    <w:rsid w:val="007A1410"/>
    <w:rsid w:val="007A2E0E"/>
    <w:rsid w:val="007A3466"/>
    <w:rsid w:val="007A35EB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C12"/>
    <w:rsid w:val="007F019D"/>
    <w:rsid w:val="007F3BC2"/>
    <w:rsid w:val="007F44FD"/>
    <w:rsid w:val="007F4F3F"/>
    <w:rsid w:val="007F54A4"/>
    <w:rsid w:val="00803F6F"/>
    <w:rsid w:val="00810AA0"/>
    <w:rsid w:val="00811008"/>
    <w:rsid w:val="00813A7C"/>
    <w:rsid w:val="008166CF"/>
    <w:rsid w:val="00816E2E"/>
    <w:rsid w:val="008215D4"/>
    <w:rsid w:val="008220C2"/>
    <w:rsid w:val="008266C4"/>
    <w:rsid w:val="008274D2"/>
    <w:rsid w:val="0083288A"/>
    <w:rsid w:val="008354DE"/>
    <w:rsid w:val="00837A26"/>
    <w:rsid w:val="00840333"/>
    <w:rsid w:val="00841DED"/>
    <w:rsid w:val="00845C3B"/>
    <w:rsid w:val="00845FA1"/>
    <w:rsid w:val="00847729"/>
    <w:rsid w:val="0085063B"/>
    <w:rsid w:val="008536EA"/>
    <w:rsid w:val="00857192"/>
    <w:rsid w:val="00857793"/>
    <w:rsid w:val="00864895"/>
    <w:rsid w:val="00870DE1"/>
    <w:rsid w:val="0087277D"/>
    <w:rsid w:val="00872E10"/>
    <w:rsid w:val="0087568F"/>
    <w:rsid w:val="00882EF6"/>
    <w:rsid w:val="0089347B"/>
    <w:rsid w:val="0089463A"/>
    <w:rsid w:val="0089743E"/>
    <w:rsid w:val="008A603A"/>
    <w:rsid w:val="008A69B5"/>
    <w:rsid w:val="008A7244"/>
    <w:rsid w:val="008C0727"/>
    <w:rsid w:val="008C68D1"/>
    <w:rsid w:val="008D0383"/>
    <w:rsid w:val="008D2E30"/>
    <w:rsid w:val="008D3453"/>
    <w:rsid w:val="008E0DAB"/>
    <w:rsid w:val="008E2BFC"/>
    <w:rsid w:val="008F1A79"/>
    <w:rsid w:val="008F262B"/>
    <w:rsid w:val="008F330B"/>
    <w:rsid w:val="008F77F6"/>
    <w:rsid w:val="0090049F"/>
    <w:rsid w:val="009008AA"/>
    <w:rsid w:val="00904141"/>
    <w:rsid w:val="009300D3"/>
    <w:rsid w:val="00931AEE"/>
    <w:rsid w:val="00935CDE"/>
    <w:rsid w:val="009366F5"/>
    <w:rsid w:val="009369FE"/>
    <w:rsid w:val="00944903"/>
    <w:rsid w:val="00946879"/>
    <w:rsid w:val="00955A00"/>
    <w:rsid w:val="0096168D"/>
    <w:rsid w:val="00964942"/>
    <w:rsid w:val="009705F5"/>
    <w:rsid w:val="0097475D"/>
    <w:rsid w:val="009758E5"/>
    <w:rsid w:val="00975E6F"/>
    <w:rsid w:val="0098348B"/>
    <w:rsid w:val="009908C6"/>
    <w:rsid w:val="00995CCC"/>
    <w:rsid w:val="009969E5"/>
    <w:rsid w:val="009A1C78"/>
    <w:rsid w:val="009A5FB2"/>
    <w:rsid w:val="009A6A4C"/>
    <w:rsid w:val="009B5A68"/>
    <w:rsid w:val="009B6E96"/>
    <w:rsid w:val="009C7CDF"/>
    <w:rsid w:val="009D3AC9"/>
    <w:rsid w:val="009D789B"/>
    <w:rsid w:val="009E3266"/>
    <w:rsid w:val="009E5B49"/>
    <w:rsid w:val="009E660F"/>
    <w:rsid w:val="009F4930"/>
    <w:rsid w:val="009F4C61"/>
    <w:rsid w:val="009F5803"/>
    <w:rsid w:val="009F5E4E"/>
    <w:rsid w:val="009F673A"/>
    <w:rsid w:val="009F7373"/>
    <w:rsid w:val="00A060E4"/>
    <w:rsid w:val="00A06B51"/>
    <w:rsid w:val="00A071CC"/>
    <w:rsid w:val="00A14E34"/>
    <w:rsid w:val="00A17B13"/>
    <w:rsid w:val="00A2265C"/>
    <w:rsid w:val="00A31F09"/>
    <w:rsid w:val="00A33FEC"/>
    <w:rsid w:val="00A40D47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65BA6"/>
    <w:rsid w:val="00A675C2"/>
    <w:rsid w:val="00A712CF"/>
    <w:rsid w:val="00A739E4"/>
    <w:rsid w:val="00A73DF7"/>
    <w:rsid w:val="00A7729A"/>
    <w:rsid w:val="00A773C9"/>
    <w:rsid w:val="00A8213E"/>
    <w:rsid w:val="00A8463A"/>
    <w:rsid w:val="00A916E4"/>
    <w:rsid w:val="00A91EAC"/>
    <w:rsid w:val="00AA38A4"/>
    <w:rsid w:val="00AA5DA0"/>
    <w:rsid w:val="00AA6A69"/>
    <w:rsid w:val="00AB3E70"/>
    <w:rsid w:val="00AC5E4F"/>
    <w:rsid w:val="00AD53F5"/>
    <w:rsid w:val="00AD5458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29CD"/>
    <w:rsid w:val="00AF53D9"/>
    <w:rsid w:val="00AF7813"/>
    <w:rsid w:val="00B00B36"/>
    <w:rsid w:val="00B06CFD"/>
    <w:rsid w:val="00B0750E"/>
    <w:rsid w:val="00B1657A"/>
    <w:rsid w:val="00B220C2"/>
    <w:rsid w:val="00B26E0F"/>
    <w:rsid w:val="00B345DF"/>
    <w:rsid w:val="00B41026"/>
    <w:rsid w:val="00B413FF"/>
    <w:rsid w:val="00B452DA"/>
    <w:rsid w:val="00B50453"/>
    <w:rsid w:val="00B50BAE"/>
    <w:rsid w:val="00B54D9C"/>
    <w:rsid w:val="00B56541"/>
    <w:rsid w:val="00B56E6F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85160"/>
    <w:rsid w:val="00B859BB"/>
    <w:rsid w:val="00B93D21"/>
    <w:rsid w:val="00BA2EE8"/>
    <w:rsid w:val="00BB129B"/>
    <w:rsid w:val="00BB2B4B"/>
    <w:rsid w:val="00BB524A"/>
    <w:rsid w:val="00BC383C"/>
    <w:rsid w:val="00BC45D8"/>
    <w:rsid w:val="00BC7C90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C04FC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3A80"/>
    <w:rsid w:val="00C40669"/>
    <w:rsid w:val="00C42228"/>
    <w:rsid w:val="00C42C24"/>
    <w:rsid w:val="00C42D67"/>
    <w:rsid w:val="00C4577A"/>
    <w:rsid w:val="00C51755"/>
    <w:rsid w:val="00C52863"/>
    <w:rsid w:val="00C60EAF"/>
    <w:rsid w:val="00C67FA2"/>
    <w:rsid w:val="00C7019E"/>
    <w:rsid w:val="00C72E8E"/>
    <w:rsid w:val="00C75C9F"/>
    <w:rsid w:val="00C7705A"/>
    <w:rsid w:val="00C90AE6"/>
    <w:rsid w:val="00C95C0A"/>
    <w:rsid w:val="00C96EEE"/>
    <w:rsid w:val="00CA1DD6"/>
    <w:rsid w:val="00CB063F"/>
    <w:rsid w:val="00CB2D2F"/>
    <w:rsid w:val="00CB52DF"/>
    <w:rsid w:val="00CC175F"/>
    <w:rsid w:val="00CC370F"/>
    <w:rsid w:val="00CC7432"/>
    <w:rsid w:val="00CD0B5A"/>
    <w:rsid w:val="00CD3FC1"/>
    <w:rsid w:val="00CD48FE"/>
    <w:rsid w:val="00CD5928"/>
    <w:rsid w:val="00CE1416"/>
    <w:rsid w:val="00CF1B0D"/>
    <w:rsid w:val="00CF6180"/>
    <w:rsid w:val="00CF7073"/>
    <w:rsid w:val="00D02186"/>
    <w:rsid w:val="00D152A4"/>
    <w:rsid w:val="00D1557C"/>
    <w:rsid w:val="00D164F1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BDF"/>
    <w:rsid w:val="00D50E72"/>
    <w:rsid w:val="00D53EF7"/>
    <w:rsid w:val="00D62773"/>
    <w:rsid w:val="00D743FC"/>
    <w:rsid w:val="00D76E7E"/>
    <w:rsid w:val="00D8084A"/>
    <w:rsid w:val="00D80858"/>
    <w:rsid w:val="00D81D27"/>
    <w:rsid w:val="00D84B81"/>
    <w:rsid w:val="00D935A2"/>
    <w:rsid w:val="00D93EC5"/>
    <w:rsid w:val="00DA0398"/>
    <w:rsid w:val="00DA1A1F"/>
    <w:rsid w:val="00DA2FFB"/>
    <w:rsid w:val="00DB0141"/>
    <w:rsid w:val="00DB0A59"/>
    <w:rsid w:val="00DB1B50"/>
    <w:rsid w:val="00DB545A"/>
    <w:rsid w:val="00DB5F9F"/>
    <w:rsid w:val="00DB7D79"/>
    <w:rsid w:val="00DB7EE9"/>
    <w:rsid w:val="00DC24FD"/>
    <w:rsid w:val="00DC5FE9"/>
    <w:rsid w:val="00DC7643"/>
    <w:rsid w:val="00DD237A"/>
    <w:rsid w:val="00DD76EA"/>
    <w:rsid w:val="00DE6014"/>
    <w:rsid w:val="00DE62AD"/>
    <w:rsid w:val="00DF4459"/>
    <w:rsid w:val="00E030A8"/>
    <w:rsid w:val="00E05D2E"/>
    <w:rsid w:val="00E06872"/>
    <w:rsid w:val="00E071CD"/>
    <w:rsid w:val="00E076D0"/>
    <w:rsid w:val="00E1050B"/>
    <w:rsid w:val="00E10F2A"/>
    <w:rsid w:val="00E152FF"/>
    <w:rsid w:val="00E21915"/>
    <w:rsid w:val="00E23B8B"/>
    <w:rsid w:val="00E23CE7"/>
    <w:rsid w:val="00E27B5C"/>
    <w:rsid w:val="00E3018F"/>
    <w:rsid w:val="00E32A09"/>
    <w:rsid w:val="00E3679C"/>
    <w:rsid w:val="00E41A5B"/>
    <w:rsid w:val="00E44CF3"/>
    <w:rsid w:val="00E500B7"/>
    <w:rsid w:val="00E51DC7"/>
    <w:rsid w:val="00E56B01"/>
    <w:rsid w:val="00E57BC0"/>
    <w:rsid w:val="00E636D4"/>
    <w:rsid w:val="00E64785"/>
    <w:rsid w:val="00E65AC9"/>
    <w:rsid w:val="00E7382A"/>
    <w:rsid w:val="00E7704B"/>
    <w:rsid w:val="00E8073F"/>
    <w:rsid w:val="00E80B72"/>
    <w:rsid w:val="00E82C93"/>
    <w:rsid w:val="00E83863"/>
    <w:rsid w:val="00E83A72"/>
    <w:rsid w:val="00E87A37"/>
    <w:rsid w:val="00E907F0"/>
    <w:rsid w:val="00E90863"/>
    <w:rsid w:val="00E917DE"/>
    <w:rsid w:val="00E92F24"/>
    <w:rsid w:val="00E94BD8"/>
    <w:rsid w:val="00EA673A"/>
    <w:rsid w:val="00EB7070"/>
    <w:rsid w:val="00EC1384"/>
    <w:rsid w:val="00EC2224"/>
    <w:rsid w:val="00EC2802"/>
    <w:rsid w:val="00EC6CAE"/>
    <w:rsid w:val="00ED1193"/>
    <w:rsid w:val="00EF6FB6"/>
    <w:rsid w:val="00EF74ED"/>
    <w:rsid w:val="00F0137B"/>
    <w:rsid w:val="00F01556"/>
    <w:rsid w:val="00F05174"/>
    <w:rsid w:val="00F0539D"/>
    <w:rsid w:val="00F117E5"/>
    <w:rsid w:val="00F25E91"/>
    <w:rsid w:val="00F2660A"/>
    <w:rsid w:val="00F27FA8"/>
    <w:rsid w:val="00F30142"/>
    <w:rsid w:val="00F31DFD"/>
    <w:rsid w:val="00F323AC"/>
    <w:rsid w:val="00F33DCB"/>
    <w:rsid w:val="00F4189F"/>
    <w:rsid w:val="00F4448B"/>
    <w:rsid w:val="00F44FB1"/>
    <w:rsid w:val="00F462C6"/>
    <w:rsid w:val="00F46740"/>
    <w:rsid w:val="00F51DCA"/>
    <w:rsid w:val="00F55B42"/>
    <w:rsid w:val="00F56707"/>
    <w:rsid w:val="00F65F1B"/>
    <w:rsid w:val="00F66EAA"/>
    <w:rsid w:val="00F70BE6"/>
    <w:rsid w:val="00F71956"/>
    <w:rsid w:val="00F72B7E"/>
    <w:rsid w:val="00F7367C"/>
    <w:rsid w:val="00F75EA9"/>
    <w:rsid w:val="00F80830"/>
    <w:rsid w:val="00F81154"/>
    <w:rsid w:val="00F824E7"/>
    <w:rsid w:val="00F85F64"/>
    <w:rsid w:val="00F939FC"/>
    <w:rsid w:val="00F93B55"/>
    <w:rsid w:val="00FA3624"/>
    <w:rsid w:val="00FA5371"/>
    <w:rsid w:val="00FB4178"/>
    <w:rsid w:val="00FB42F1"/>
    <w:rsid w:val="00FC02BE"/>
    <w:rsid w:val="00FC3E9A"/>
    <w:rsid w:val="00FC6CA8"/>
    <w:rsid w:val="00FC6FE9"/>
    <w:rsid w:val="00FC7853"/>
    <w:rsid w:val="00FD28FA"/>
    <w:rsid w:val="00FD3BB5"/>
    <w:rsid w:val="00FD5BC1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psp.cz/sqw/ischuze.sqw?o=8&amp;s=79&amp;pozvanka=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53E08-6CB4-4EBA-9A9E-0FA7282A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43</cp:revision>
  <cp:lastPrinted>2021-01-28T07:30:00Z</cp:lastPrinted>
  <dcterms:created xsi:type="dcterms:W3CDTF">2020-11-24T05:36:00Z</dcterms:created>
  <dcterms:modified xsi:type="dcterms:W3CDTF">2021-01-28T07:30:00Z</dcterms:modified>
</cp:coreProperties>
</file>