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F75" w:rsidRPr="00B0461F" w:rsidRDefault="00B85435" w:rsidP="00B0461F">
      <w:pPr>
        <w:spacing w:before="240" w:after="240"/>
        <w:ind w:left="357" w:hanging="357"/>
        <w:jc w:val="center"/>
        <w:rPr>
          <w:b/>
          <w:sz w:val="52"/>
          <w:szCs w:val="52"/>
          <w:u w:val="single"/>
        </w:rPr>
      </w:pPr>
      <w:r>
        <w:rPr>
          <w:b/>
          <w:noProof/>
          <w:sz w:val="28"/>
          <w:szCs w:val="28"/>
        </w:rPr>
        <w:drawing>
          <wp:inline distT="0" distB="0" distL="0" distR="0">
            <wp:extent cx="5924550" cy="22479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24550" cy="2247900"/>
                    </a:xfrm>
                    <a:prstGeom prst="rect">
                      <a:avLst/>
                    </a:prstGeom>
                    <a:noFill/>
                    <a:ln>
                      <a:noFill/>
                    </a:ln>
                  </pic:spPr>
                </pic:pic>
              </a:graphicData>
            </a:graphic>
          </wp:inline>
        </w:drawing>
      </w:r>
    </w:p>
    <w:p w:rsidR="00EA1F75" w:rsidRPr="00B0461F" w:rsidRDefault="00EA1F75" w:rsidP="00C90F78">
      <w:pPr>
        <w:spacing w:before="240" w:after="240"/>
        <w:ind w:left="357" w:hanging="357"/>
        <w:rPr>
          <w:b/>
          <w:sz w:val="52"/>
          <w:szCs w:val="52"/>
          <w:u w:val="single"/>
        </w:rPr>
      </w:pPr>
    </w:p>
    <w:p w:rsidR="00EA1F75" w:rsidRPr="00B0461F" w:rsidRDefault="00EA1F75" w:rsidP="00C90F78">
      <w:pPr>
        <w:spacing w:before="240" w:after="240"/>
        <w:ind w:left="357" w:hanging="357"/>
        <w:rPr>
          <w:b/>
          <w:sz w:val="52"/>
          <w:szCs w:val="52"/>
          <w:u w:val="single"/>
        </w:rPr>
      </w:pPr>
    </w:p>
    <w:p w:rsidR="00EA1F75" w:rsidRPr="008C0450" w:rsidRDefault="00EA1F75" w:rsidP="00B0461F">
      <w:pPr>
        <w:spacing w:before="240" w:line="480" w:lineRule="auto"/>
        <w:jc w:val="center"/>
        <w:rPr>
          <w:b/>
          <w:color w:val="0000FF"/>
          <w:sz w:val="40"/>
          <w:szCs w:val="40"/>
        </w:rPr>
      </w:pPr>
      <w:r w:rsidRPr="008C0450">
        <w:rPr>
          <w:b/>
          <w:color w:val="0000FF"/>
          <w:sz w:val="40"/>
          <w:szCs w:val="40"/>
        </w:rPr>
        <w:t>Program NAKI III</w:t>
      </w:r>
    </w:p>
    <w:p w:rsidR="00EA1F75" w:rsidRPr="007B772B" w:rsidRDefault="00EA1F75" w:rsidP="00B0461F">
      <w:pPr>
        <w:spacing w:before="240" w:after="720" w:line="480" w:lineRule="auto"/>
        <w:jc w:val="center"/>
        <w:rPr>
          <w:b/>
          <w:color w:val="0000FF"/>
          <w:sz w:val="32"/>
          <w:szCs w:val="32"/>
        </w:rPr>
      </w:pPr>
      <w:r w:rsidRPr="007B772B">
        <w:rPr>
          <w:b/>
          <w:color w:val="0000FF"/>
          <w:sz w:val="32"/>
          <w:szCs w:val="32"/>
        </w:rPr>
        <w:t xml:space="preserve"> - program na podporu aplikovaného výzkumu </w:t>
      </w:r>
      <w:r>
        <w:rPr>
          <w:b/>
          <w:color w:val="0000FF"/>
          <w:sz w:val="32"/>
          <w:szCs w:val="32"/>
        </w:rPr>
        <w:t>v oblasti</w:t>
      </w:r>
      <w:r w:rsidRPr="007B772B">
        <w:rPr>
          <w:b/>
          <w:color w:val="0000FF"/>
          <w:sz w:val="32"/>
          <w:szCs w:val="32"/>
        </w:rPr>
        <w:t xml:space="preserve"> národní a kulturní identity na léta 202</w:t>
      </w:r>
      <w:r>
        <w:rPr>
          <w:b/>
          <w:color w:val="0000FF"/>
          <w:sz w:val="32"/>
          <w:szCs w:val="32"/>
        </w:rPr>
        <w:t>3</w:t>
      </w:r>
      <w:r w:rsidRPr="007B772B">
        <w:rPr>
          <w:b/>
          <w:color w:val="0000FF"/>
          <w:sz w:val="32"/>
          <w:szCs w:val="32"/>
        </w:rPr>
        <w:t xml:space="preserve"> až 2030</w:t>
      </w:r>
    </w:p>
    <w:p w:rsidR="00EA1F75" w:rsidRPr="00B0461F" w:rsidRDefault="00EA1F75" w:rsidP="00B21514">
      <w:pPr>
        <w:spacing w:before="240" w:after="240"/>
        <w:ind w:left="357" w:hanging="357"/>
        <w:rPr>
          <w:b/>
          <w:sz w:val="52"/>
          <w:szCs w:val="52"/>
          <w:u w:val="single"/>
        </w:rPr>
      </w:pPr>
    </w:p>
    <w:p w:rsidR="00EA1F75" w:rsidRPr="00B0461F" w:rsidRDefault="00EA1F75" w:rsidP="00B21514">
      <w:pPr>
        <w:spacing w:before="240" w:after="240"/>
        <w:ind w:left="357" w:hanging="357"/>
        <w:rPr>
          <w:b/>
          <w:sz w:val="52"/>
          <w:szCs w:val="52"/>
          <w:u w:val="single"/>
        </w:rPr>
      </w:pPr>
    </w:p>
    <w:p w:rsidR="00EA1F75" w:rsidRPr="00B0461F" w:rsidRDefault="00EA1F75" w:rsidP="00B21514">
      <w:pPr>
        <w:spacing w:before="240" w:after="240"/>
        <w:ind w:left="357" w:hanging="357"/>
        <w:rPr>
          <w:b/>
          <w:sz w:val="52"/>
          <w:szCs w:val="52"/>
          <w:u w:val="single"/>
        </w:rPr>
      </w:pPr>
    </w:p>
    <w:p w:rsidR="00EA1F75" w:rsidRPr="00B0461F" w:rsidRDefault="00EA1F75" w:rsidP="00C90F78">
      <w:pPr>
        <w:pStyle w:val="Titulka"/>
        <w:spacing w:line="360" w:lineRule="auto"/>
        <w:rPr>
          <w:rFonts w:ascii="Times New Roman" w:hAnsi="Times New Roman"/>
          <w:sz w:val="28"/>
          <w:szCs w:val="28"/>
        </w:rPr>
      </w:pPr>
      <w:r w:rsidRPr="00B0461F">
        <w:rPr>
          <w:rFonts w:ascii="Times New Roman" w:hAnsi="Times New Roman"/>
          <w:sz w:val="28"/>
          <w:szCs w:val="28"/>
        </w:rPr>
        <w:t xml:space="preserve">Praha </w:t>
      </w:r>
      <w:r>
        <w:rPr>
          <w:rFonts w:ascii="Times New Roman" w:hAnsi="Times New Roman"/>
          <w:sz w:val="28"/>
          <w:szCs w:val="28"/>
        </w:rPr>
        <w:t>leden</w:t>
      </w:r>
      <w:r w:rsidR="00903943">
        <w:rPr>
          <w:rFonts w:ascii="Times New Roman" w:hAnsi="Times New Roman"/>
          <w:sz w:val="28"/>
          <w:szCs w:val="28"/>
        </w:rPr>
        <w:t xml:space="preserve"> 2021</w:t>
      </w:r>
    </w:p>
    <w:p w:rsidR="00EA1F75" w:rsidRPr="00B0461F" w:rsidRDefault="00EA1F75" w:rsidP="00B21514">
      <w:pPr>
        <w:spacing w:before="240" w:after="240"/>
        <w:ind w:left="357" w:hanging="357"/>
        <w:rPr>
          <w:b/>
          <w:sz w:val="52"/>
          <w:szCs w:val="52"/>
          <w:u w:val="single"/>
        </w:rPr>
      </w:pPr>
    </w:p>
    <w:p w:rsidR="00EA1F75" w:rsidRPr="00236002" w:rsidRDefault="00EA1F75" w:rsidP="00B21514">
      <w:pPr>
        <w:spacing w:before="240" w:after="240"/>
        <w:ind w:left="357" w:hanging="357"/>
        <w:rPr>
          <w:b/>
          <w:color w:val="0000FF"/>
          <w:sz w:val="32"/>
          <w:szCs w:val="32"/>
        </w:rPr>
      </w:pPr>
      <w:r w:rsidRPr="00B0461F">
        <w:rPr>
          <w:b/>
          <w:sz w:val="28"/>
          <w:szCs w:val="28"/>
          <w:u w:val="single"/>
        </w:rPr>
        <w:br w:type="page"/>
      </w:r>
      <w:r w:rsidRPr="00236002">
        <w:rPr>
          <w:b/>
          <w:color w:val="0000FF"/>
          <w:sz w:val="32"/>
          <w:szCs w:val="32"/>
        </w:rPr>
        <w:lastRenderedPageBreak/>
        <w:t>OBSAH</w:t>
      </w:r>
    </w:p>
    <w:bookmarkStart w:id="0" w:name="_GoBack"/>
    <w:bookmarkEnd w:id="0"/>
    <w:p w:rsidR="000D763A" w:rsidRDefault="00EA1F75">
      <w:pPr>
        <w:pStyle w:val="Obsah1"/>
        <w:rPr>
          <w:rFonts w:asciiTheme="minorHAnsi" w:eastAsiaTheme="minorEastAsia" w:hAnsiTheme="minorHAnsi" w:cstheme="minorBidi"/>
          <w:noProof/>
          <w:sz w:val="22"/>
          <w:szCs w:val="22"/>
        </w:rPr>
      </w:pPr>
      <w:r>
        <w:rPr>
          <w:color w:val="000000"/>
          <w:shd w:val="clear" w:color="auto" w:fill="FFFFFF"/>
        </w:rPr>
        <w:fldChar w:fldCharType="begin"/>
      </w:r>
      <w:r>
        <w:rPr>
          <w:color w:val="000000"/>
          <w:shd w:val="clear" w:color="auto" w:fill="FFFFFF"/>
        </w:rPr>
        <w:instrText xml:space="preserve"> TOC \o "1-2" \h \z \u </w:instrText>
      </w:r>
      <w:r>
        <w:rPr>
          <w:color w:val="000000"/>
          <w:shd w:val="clear" w:color="auto" w:fill="FFFFFF"/>
        </w:rPr>
        <w:fldChar w:fldCharType="separate"/>
      </w:r>
      <w:hyperlink w:anchor="_Toc61616868" w:history="1">
        <w:r w:rsidR="000D763A" w:rsidRPr="007F1373">
          <w:rPr>
            <w:rStyle w:val="Hypertextovodkaz"/>
            <w:noProof/>
          </w:rPr>
          <w:t>1. Název Programu</w:t>
        </w:r>
        <w:r w:rsidR="000D763A">
          <w:rPr>
            <w:noProof/>
            <w:webHidden/>
          </w:rPr>
          <w:tab/>
        </w:r>
        <w:r w:rsidR="000D763A">
          <w:rPr>
            <w:noProof/>
            <w:webHidden/>
          </w:rPr>
          <w:fldChar w:fldCharType="begin"/>
        </w:r>
        <w:r w:rsidR="000D763A">
          <w:rPr>
            <w:noProof/>
            <w:webHidden/>
          </w:rPr>
          <w:instrText xml:space="preserve"> PAGEREF _Toc61616868 \h </w:instrText>
        </w:r>
        <w:r w:rsidR="000D763A">
          <w:rPr>
            <w:noProof/>
            <w:webHidden/>
          </w:rPr>
        </w:r>
        <w:r w:rsidR="000D763A">
          <w:rPr>
            <w:noProof/>
            <w:webHidden/>
          </w:rPr>
          <w:fldChar w:fldCharType="separate"/>
        </w:r>
        <w:r w:rsidR="000D763A">
          <w:rPr>
            <w:noProof/>
            <w:webHidden/>
          </w:rPr>
          <w:t>3</w:t>
        </w:r>
        <w:r w:rsidR="000D763A">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69" w:history="1">
        <w:r w:rsidRPr="007F1373">
          <w:rPr>
            <w:rStyle w:val="Hypertextovodkaz"/>
            <w:noProof/>
          </w:rPr>
          <w:t>2. Poskytovatel Programu</w:t>
        </w:r>
        <w:r>
          <w:rPr>
            <w:noProof/>
            <w:webHidden/>
          </w:rPr>
          <w:tab/>
        </w:r>
        <w:r>
          <w:rPr>
            <w:noProof/>
            <w:webHidden/>
          </w:rPr>
          <w:fldChar w:fldCharType="begin"/>
        </w:r>
        <w:r>
          <w:rPr>
            <w:noProof/>
            <w:webHidden/>
          </w:rPr>
          <w:instrText xml:space="preserve"> PAGEREF _Toc61616869 \h </w:instrText>
        </w:r>
        <w:r>
          <w:rPr>
            <w:noProof/>
            <w:webHidden/>
          </w:rPr>
        </w:r>
        <w:r>
          <w:rPr>
            <w:noProof/>
            <w:webHidden/>
          </w:rPr>
          <w:fldChar w:fldCharType="separate"/>
        </w:r>
        <w:r>
          <w:rPr>
            <w:noProof/>
            <w:webHidden/>
          </w:rPr>
          <w:t>3</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70" w:history="1">
        <w:r w:rsidRPr="007F1373">
          <w:rPr>
            <w:rStyle w:val="Hypertextovodkaz"/>
            <w:noProof/>
          </w:rPr>
          <w:t>3. Identifikační kód Programu</w:t>
        </w:r>
        <w:r>
          <w:rPr>
            <w:noProof/>
            <w:webHidden/>
          </w:rPr>
          <w:tab/>
        </w:r>
        <w:r>
          <w:rPr>
            <w:noProof/>
            <w:webHidden/>
          </w:rPr>
          <w:fldChar w:fldCharType="begin"/>
        </w:r>
        <w:r>
          <w:rPr>
            <w:noProof/>
            <w:webHidden/>
          </w:rPr>
          <w:instrText xml:space="preserve"> PAGEREF _Toc61616870 \h </w:instrText>
        </w:r>
        <w:r>
          <w:rPr>
            <w:noProof/>
            <w:webHidden/>
          </w:rPr>
        </w:r>
        <w:r>
          <w:rPr>
            <w:noProof/>
            <w:webHidden/>
          </w:rPr>
          <w:fldChar w:fldCharType="separate"/>
        </w:r>
        <w:r>
          <w:rPr>
            <w:noProof/>
            <w:webHidden/>
          </w:rPr>
          <w:t>3</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71" w:history="1">
        <w:r w:rsidRPr="007F1373">
          <w:rPr>
            <w:rStyle w:val="Hypertextovodkaz"/>
            <w:noProof/>
          </w:rPr>
          <w:t>4. Analýza problematiky řešené Programem</w:t>
        </w:r>
        <w:r>
          <w:rPr>
            <w:noProof/>
            <w:webHidden/>
          </w:rPr>
          <w:tab/>
        </w:r>
        <w:r>
          <w:rPr>
            <w:noProof/>
            <w:webHidden/>
          </w:rPr>
          <w:fldChar w:fldCharType="begin"/>
        </w:r>
        <w:r>
          <w:rPr>
            <w:noProof/>
            <w:webHidden/>
          </w:rPr>
          <w:instrText xml:space="preserve"> PAGEREF _Toc61616871 \h </w:instrText>
        </w:r>
        <w:r>
          <w:rPr>
            <w:noProof/>
            <w:webHidden/>
          </w:rPr>
        </w:r>
        <w:r>
          <w:rPr>
            <w:noProof/>
            <w:webHidden/>
          </w:rPr>
          <w:fldChar w:fldCharType="separate"/>
        </w:r>
        <w:r>
          <w:rPr>
            <w:noProof/>
            <w:webHidden/>
          </w:rPr>
          <w:t>3</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72" w:history="1">
        <w:r w:rsidRPr="007F1373">
          <w:rPr>
            <w:rStyle w:val="Hypertextovodkaz"/>
            <w:noProof/>
          </w:rPr>
          <w:t>5. Specifikace cílů Programu</w:t>
        </w:r>
        <w:r>
          <w:rPr>
            <w:noProof/>
            <w:webHidden/>
          </w:rPr>
          <w:tab/>
        </w:r>
        <w:r>
          <w:rPr>
            <w:noProof/>
            <w:webHidden/>
          </w:rPr>
          <w:fldChar w:fldCharType="begin"/>
        </w:r>
        <w:r>
          <w:rPr>
            <w:noProof/>
            <w:webHidden/>
          </w:rPr>
          <w:instrText xml:space="preserve"> PAGEREF _Toc61616872 \h </w:instrText>
        </w:r>
        <w:r>
          <w:rPr>
            <w:noProof/>
            <w:webHidden/>
          </w:rPr>
        </w:r>
        <w:r>
          <w:rPr>
            <w:noProof/>
            <w:webHidden/>
          </w:rPr>
          <w:fldChar w:fldCharType="separate"/>
        </w:r>
        <w:r>
          <w:rPr>
            <w:noProof/>
            <w:webHidden/>
          </w:rPr>
          <w:t>4</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73" w:history="1">
        <w:r w:rsidRPr="007F1373">
          <w:rPr>
            <w:rStyle w:val="Hypertextovodkaz"/>
            <w:noProof/>
          </w:rPr>
          <w:t>5.1 Hlavní cíl</w:t>
        </w:r>
        <w:r>
          <w:rPr>
            <w:noProof/>
            <w:webHidden/>
          </w:rPr>
          <w:tab/>
        </w:r>
        <w:r>
          <w:rPr>
            <w:noProof/>
            <w:webHidden/>
          </w:rPr>
          <w:fldChar w:fldCharType="begin"/>
        </w:r>
        <w:r>
          <w:rPr>
            <w:noProof/>
            <w:webHidden/>
          </w:rPr>
          <w:instrText xml:space="preserve"> PAGEREF _Toc61616873 \h </w:instrText>
        </w:r>
        <w:r>
          <w:rPr>
            <w:noProof/>
            <w:webHidden/>
          </w:rPr>
        </w:r>
        <w:r>
          <w:rPr>
            <w:noProof/>
            <w:webHidden/>
          </w:rPr>
          <w:fldChar w:fldCharType="separate"/>
        </w:r>
        <w:r>
          <w:rPr>
            <w:noProof/>
            <w:webHidden/>
          </w:rPr>
          <w:t>4</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74" w:history="1">
        <w:r w:rsidRPr="007F1373">
          <w:rPr>
            <w:rStyle w:val="Hypertextovodkaz"/>
            <w:noProof/>
          </w:rPr>
          <w:t>5.2 Strategické cíle, specifické cíle a tématické priority / témata Programu</w:t>
        </w:r>
        <w:r>
          <w:rPr>
            <w:noProof/>
            <w:webHidden/>
          </w:rPr>
          <w:tab/>
        </w:r>
        <w:r>
          <w:rPr>
            <w:noProof/>
            <w:webHidden/>
          </w:rPr>
          <w:fldChar w:fldCharType="begin"/>
        </w:r>
        <w:r>
          <w:rPr>
            <w:noProof/>
            <w:webHidden/>
          </w:rPr>
          <w:instrText xml:space="preserve"> PAGEREF _Toc61616874 \h </w:instrText>
        </w:r>
        <w:r>
          <w:rPr>
            <w:noProof/>
            <w:webHidden/>
          </w:rPr>
        </w:r>
        <w:r>
          <w:rPr>
            <w:noProof/>
            <w:webHidden/>
          </w:rPr>
          <w:fldChar w:fldCharType="separate"/>
        </w:r>
        <w:r>
          <w:rPr>
            <w:noProof/>
            <w:webHidden/>
          </w:rPr>
          <w:t>4</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75" w:history="1">
        <w:r w:rsidRPr="007F1373">
          <w:rPr>
            <w:rStyle w:val="Hypertextovodkaz"/>
            <w:noProof/>
          </w:rPr>
          <w:t>6. Stanovení celkových výdajů Programu, intenzita podpory, způsobilé a uznané náklady projektů</w:t>
        </w:r>
        <w:r>
          <w:rPr>
            <w:noProof/>
            <w:webHidden/>
          </w:rPr>
          <w:tab/>
        </w:r>
        <w:r>
          <w:rPr>
            <w:noProof/>
            <w:webHidden/>
          </w:rPr>
          <w:fldChar w:fldCharType="begin"/>
        </w:r>
        <w:r>
          <w:rPr>
            <w:noProof/>
            <w:webHidden/>
          </w:rPr>
          <w:instrText xml:space="preserve"> PAGEREF _Toc61616875 \h </w:instrText>
        </w:r>
        <w:r>
          <w:rPr>
            <w:noProof/>
            <w:webHidden/>
          </w:rPr>
        </w:r>
        <w:r>
          <w:rPr>
            <w:noProof/>
            <w:webHidden/>
          </w:rPr>
          <w:fldChar w:fldCharType="separate"/>
        </w:r>
        <w:r>
          <w:rPr>
            <w:noProof/>
            <w:webHidden/>
          </w:rPr>
          <w:t>8</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76" w:history="1">
        <w:r w:rsidRPr="007F1373">
          <w:rPr>
            <w:rStyle w:val="Hypertextovodkaz"/>
            <w:noProof/>
          </w:rPr>
          <w:t>7. Vazba Programu na Priority</w:t>
        </w:r>
        <w:r>
          <w:rPr>
            <w:noProof/>
            <w:webHidden/>
          </w:rPr>
          <w:tab/>
        </w:r>
        <w:r>
          <w:rPr>
            <w:noProof/>
            <w:webHidden/>
          </w:rPr>
          <w:fldChar w:fldCharType="begin"/>
        </w:r>
        <w:r>
          <w:rPr>
            <w:noProof/>
            <w:webHidden/>
          </w:rPr>
          <w:instrText xml:space="preserve"> PAGEREF _Toc61616876 \h </w:instrText>
        </w:r>
        <w:r>
          <w:rPr>
            <w:noProof/>
            <w:webHidden/>
          </w:rPr>
        </w:r>
        <w:r>
          <w:rPr>
            <w:noProof/>
            <w:webHidden/>
          </w:rPr>
          <w:fldChar w:fldCharType="separate"/>
        </w:r>
        <w:r>
          <w:rPr>
            <w:noProof/>
            <w:webHidden/>
          </w:rPr>
          <w:t>10</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77" w:history="1">
        <w:r w:rsidRPr="007F1373">
          <w:rPr>
            <w:rStyle w:val="Hypertextovodkaz"/>
            <w:noProof/>
          </w:rPr>
          <w:t>8. Definování aktivit Programu a příjemců</w:t>
        </w:r>
        <w:r>
          <w:rPr>
            <w:noProof/>
            <w:webHidden/>
          </w:rPr>
          <w:tab/>
        </w:r>
        <w:r>
          <w:rPr>
            <w:noProof/>
            <w:webHidden/>
          </w:rPr>
          <w:fldChar w:fldCharType="begin"/>
        </w:r>
        <w:r>
          <w:rPr>
            <w:noProof/>
            <w:webHidden/>
          </w:rPr>
          <w:instrText xml:space="preserve"> PAGEREF _Toc61616877 \h </w:instrText>
        </w:r>
        <w:r>
          <w:rPr>
            <w:noProof/>
            <w:webHidden/>
          </w:rPr>
        </w:r>
        <w:r>
          <w:rPr>
            <w:noProof/>
            <w:webHidden/>
          </w:rPr>
          <w:fldChar w:fldCharType="separate"/>
        </w:r>
        <w:r>
          <w:rPr>
            <w:noProof/>
            <w:webHidden/>
          </w:rPr>
          <w:t>11</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78" w:history="1">
        <w:r w:rsidRPr="007F1373">
          <w:rPr>
            <w:rStyle w:val="Hypertextovodkaz"/>
            <w:noProof/>
          </w:rPr>
          <w:t>9. Stanovení očekávaných výsledků Programu a jejich využití</w:t>
        </w:r>
        <w:r>
          <w:rPr>
            <w:noProof/>
            <w:webHidden/>
          </w:rPr>
          <w:tab/>
        </w:r>
        <w:r>
          <w:rPr>
            <w:noProof/>
            <w:webHidden/>
          </w:rPr>
          <w:fldChar w:fldCharType="begin"/>
        </w:r>
        <w:r>
          <w:rPr>
            <w:noProof/>
            <w:webHidden/>
          </w:rPr>
          <w:instrText xml:space="preserve"> PAGEREF _Toc61616878 \h </w:instrText>
        </w:r>
        <w:r>
          <w:rPr>
            <w:noProof/>
            <w:webHidden/>
          </w:rPr>
        </w:r>
        <w:r>
          <w:rPr>
            <w:noProof/>
            <w:webHidden/>
          </w:rPr>
          <w:fldChar w:fldCharType="separate"/>
        </w:r>
        <w:r>
          <w:rPr>
            <w:noProof/>
            <w:webHidden/>
          </w:rPr>
          <w:t>12</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79" w:history="1">
        <w:r w:rsidRPr="007F1373">
          <w:rPr>
            <w:rStyle w:val="Hypertextovodkaz"/>
            <w:noProof/>
          </w:rPr>
          <w:t>10. Očekávané dopady Programu</w:t>
        </w:r>
        <w:r>
          <w:rPr>
            <w:noProof/>
            <w:webHidden/>
          </w:rPr>
          <w:tab/>
        </w:r>
        <w:r>
          <w:rPr>
            <w:noProof/>
            <w:webHidden/>
          </w:rPr>
          <w:fldChar w:fldCharType="begin"/>
        </w:r>
        <w:r>
          <w:rPr>
            <w:noProof/>
            <w:webHidden/>
          </w:rPr>
          <w:instrText xml:space="preserve"> PAGEREF _Toc61616879 \h </w:instrText>
        </w:r>
        <w:r>
          <w:rPr>
            <w:noProof/>
            <w:webHidden/>
          </w:rPr>
        </w:r>
        <w:r>
          <w:rPr>
            <w:noProof/>
            <w:webHidden/>
          </w:rPr>
          <w:fldChar w:fldCharType="separate"/>
        </w:r>
        <w:r>
          <w:rPr>
            <w:noProof/>
            <w:webHidden/>
          </w:rPr>
          <w:t>15</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80" w:history="1">
        <w:r w:rsidRPr="007F1373">
          <w:rPr>
            <w:rStyle w:val="Hypertextovodkaz"/>
            <w:noProof/>
          </w:rPr>
          <w:t>11. Vymezení způsobu realizace – doba trvání Programu a projektů</w:t>
        </w:r>
        <w:r>
          <w:rPr>
            <w:noProof/>
            <w:webHidden/>
          </w:rPr>
          <w:tab/>
        </w:r>
        <w:r>
          <w:rPr>
            <w:noProof/>
            <w:webHidden/>
          </w:rPr>
          <w:fldChar w:fldCharType="begin"/>
        </w:r>
        <w:r>
          <w:rPr>
            <w:noProof/>
            <w:webHidden/>
          </w:rPr>
          <w:instrText xml:space="preserve"> PAGEREF _Toc61616880 \h </w:instrText>
        </w:r>
        <w:r>
          <w:rPr>
            <w:noProof/>
            <w:webHidden/>
          </w:rPr>
        </w:r>
        <w:r>
          <w:rPr>
            <w:noProof/>
            <w:webHidden/>
          </w:rPr>
          <w:fldChar w:fldCharType="separate"/>
        </w:r>
        <w:r>
          <w:rPr>
            <w:noProof/>
            <w:webHidden/>
          </w:rPr>
          <w:t>17</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81" w:history="1">
        <w:r w:rsidRPr="007F1373">
          <w:rPr>
            <w:rStyle w:val="Hypertextovodkaz"/>
            <w:noProof/>
          </w:rPr>
          <w:t>12. Analýza absorpční kapacity Programu</w:t>
        </w:r>
        <w:r>
          <w:rPr>
            <w:noProof/>
            <w:webHidden/>
          </w:rPr>
          <w:tab/>
        </w:r>
        <w:r>
          <w:rPr>
            <w:noProof/>
            <w:webHidden/>
          </w:rPr>
          <w:fldChar w:fldCharType="begin"/>
        </w:r>
        <w:r>
          <w:rPr>
            <w:noProof/>
            <w:webHidden/>
          </w:rPr>
          <w:instrText xml:space="preserve"> PAGEREF _Toc61616881 \h </w:instrText>
        </w:r>
        <w:r>
          <w:rPr>
            <w:noProof/>
            <w:webHidden/>
          </w:rPr>
        </w:r>
        <w:r>
          <w:rPr>
            <w:noProof/>
            <w:webHidden/>
          </w:rPr>
          <w:fldChar w:fldCharType="separate"/>
        </w:r>
        <w:r>
          <w:rPr>
            <w:noProof/>
            <w:webHidden/>
          </w:rPr>
          <w:t>17</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82" w:history="1">
        <w:r w:rsidRPr="007F1373">
          <w:rPr>
            <w:rStyle w:val="Hypertextovodkaz"/>
            <w:noProof/>
          </w:rPr>
          <w:t>13. Stanovení způsobu hodnocení a výběru projektů</w:t>
        </w:r>
        <w:r>
          <w:rPr>
            <w:noProof/>
            <w:webHidden/>
          </w:rPr>
          <w:tab/>
        </w:r>
        <w:r>
          <w:rPr>
            <w:noProof/>
            <w:webHidden/>
          </w:rPr>
          <w:fldChar w:fldCharType="begin"/>
        </w:r>
        <w:r>
          <w:rPr>
            <w:noProof/>
            <w:webHidden/>
          </w:rPr>
          <w:instrText xml:space="preserve"> PAGEREF _Toc61616882 \h </w:instrText>
        </w:r>
        <w:r>
          <w:rPr>
            <w:noProof/>
            <w:webHidden/>
          </w:rPr>
        </w:r>
        <w:r>
          <w:rPr>
            <w:noProof/>
            <w:webHidden/>
          </w:rPr>
          <w:fldChar w:fldCharType="separate"/>
        </w:r>
        <w:r>
          <w:rPr>
            <w:noProof/>
            <w:webHidden/>
          </w:rPr>
          <w:t>18</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83" w:history="1">
        <w:r w:rsidRPr="007F1373">
          <w:rPr>
            <w:rStyle w:val="Hypertextovodkaz"/>
            <w:noProof/>
          </w:rPr>
          <w:t>13.1 Hodnocení návrhů projektů</w:t>
        </w:r>
        <w:r>
          <w:rPr>
            <w:noProof/>
            <w:webHidden/>
          </w:rPr>
          <w:tab/>
        </w:r>
        <w:r>
          <w:rPr>
            <w:noProof/>
            <w:webHidden/>
          </w:rPr>
          <w:fldChar w:fldCharType="begin"/>
        </w:r>
        <w:r>
          <w:rPr>
            <w:noProof/>
            <w:webHidden/>
          </w:rPr>
          <w:instrText xml:space="preserve"> PAGEREF _Toc61616883 \h </w:instrText>
        </w:r>
        <w:r>
          <w:rPr>
            <w:noProof/>
            <w:webHidden/>
          </w:rPr>
        </w:r>
        <w:r>
          <w:rPr>
            <w:noProof/>
            <w:webHidden/>
          </w:rPr>
          <w:fldChar w:fldCharType="separate"/>
        </w:r>
        <w:r>
          <w:rPr>
            <w:noProof/>
            <w:webHidden/>
          </w:rPr>
          <w:t>18</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84" w:history="1">
        <w:r w:rsidRPr="007F1373">
          <w:rPr>
            <w:rStyle w:val="Hypertextovodkaz"/>
            <w:noProof/>
          </w:rPr>
          <w:t>13.2 Průběžné hodnocení řešených projektů</w:t>
        </w:r>
        <w:r>
          <w:rPr>
            <w:noProof/>
            <w:webHidden/>
          </w:rPr>
          <w:tab/>
        </w:r>
        <w:r>
          <w:rPr>
            <w:noProof/>
            <w:webHidden/>
          </w:rPr>
          <w:fldChar w:fldCharType="begin"/>
        </w:r>
        <w:r>
          <w:rPr>
            <w:noProof/>
            <w:webHidden/>
          </w:rPr>
          <w:instrText xml:space="preserve"> PAGEREF _Toc61616884 \h </w:instrText>
        </w:r>
        <w:r>
          <w:rPr>
            <w:noProof/>
            <w:webHidden/>
          </w:rPr>
        </w:r>
        <w:r>
          <w:rPr>
            <w:noProof/>
            <w:webHidden/>
          </w:rPr>
          <w:fldChar w:fldCharType="separate"/>
        </w:r>
        <w:r>
          <w:rPr>
            <w:noProof/>
            <w:webHidden/>
          </w:rPr>
          <w:t>20</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85" w:history="1">
        <w:r w:rsidRPr="007F1373">
          <w:rPr>
            <w:rStyle w:val="Hypertextovodkaz"/>
            <w:noProof/>
          </w:rPr>
          <w:t>13.3 Hodnocení výsledků projektů</w:t>
        </w:r>
        <w:r>
          <w:rPr>
            <w:noProof/>
            <w:webHidden/>
          </w:rPr>
          <w:tab/>
        </w:r>
        <w:r>
          <w:rPr>
            <w:noProof/>
            <w:webHidden/>
          </w:rPr>
          <w:fldChar w:fldCharType="begin"/>
        </w:r>
        <w:r>
          <w:rPr>
            <w:noProof/>
            <w:webHidden/>
          </w:rPr>
          <w:instrText xml:space="preserve"> PAGEREF _Toc61616885 \h </w:instrText>
        </w:r>
        <w:r>
          <w:rPr>
            <w:noProof/>
            <w:webHidden/>
          </w:rPr>
        </w:r>
        <w:r>
          <w:rPr>
            <w:noProof/>
            <w:webHidden/>
          </w:rPr>
          <w:fldChar w:fldCharType="separate"/>
        </w:r>
        <w:r>
          <w:rPr>
            <w:noProof/>
            <w:webHidden/>
          </w:rPr>
          <w:t>20</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86" w:history="1">
        <w:r w:rsidRPr="007F1373">
          <w:rPr>
            <w:rStyle w:val="Hypertextovodkaz"/>
            <w:noProof/>
          </w:rPr>
          <w:t>13.4 Závěrečné hodnocení projektu</w:t>
        </w:r>
        <w:r>
          <w:rPr>
            <w:noProof/>
            <w:webHidden/>
          </w:rPr>
          <w:tab/>
        </w:r>
        <w:r>
          <w:rPr>
            <w:noProof/>
            <w:webHidden/>
          </w:rPr>
          <w:fldChar w:fldCharType="begin"/>
        </w:r>
        <w:r>
          <w:rPr>
            <w:noProof/>
            <w:webHidden/>
          </w:rPr>
          <w:instrText xml:space="preserve"> PAGEREF _Toc61616886 \h </w:instrText>
        </w:r>
        <w:r>
          <w:rPr>
            <w:noProof/>
            <w:webHidden/>
          </w:rPr>
        </w:r>
        <w:r>
          <w:rPr>
            <w:noProof/>
            <w:webHidden/>
          </w:rPr>
          <w:fldChar w:fldCharType="separate"/>
        </w:r>
        <w:r>
          <w:rPr>
            <w:noProof/>
            <w:webHidden/>
          </w:rPr>
          <w:t>20</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87" w:history="1">
        <w:r w:rsidRPr="007F1373">
          <w:rPr>
            <w:rStyle w:val="Hypertextovodkaz"/>
            <w:noProof/>
          </w:rPr>
          <w:t>14. Stanovení způsobu monitorování – indikátory Programu</w:t>
        </w:r>
        <w:r>
          <w:rPr>
            <w:noProof/>
            <w:webHidden/>
          </w:rPr>
          <w:tab/>
        </w:r>
        <w:r>
          <w:rPr>
            <w:noProof/>
            <w:webHidden/>
          </w:rPr>
          <w:fldChar w:fldCharType="begin"/>
        </w:r>
        <w:r>
          <w:rPr>
            <w:noProof/>
            <w:webHidden/>
          </w:rPr>
          <w:instrText xml:space="preserve"> PAGEREF _Toc61616887 \h </w:instrText>
        </w:r>
        <w:r>
          <w:rPr>
            <w:noProof/>
            <w:webHidden/>
          </w:rPr>
        </w:r>
        <w:r>
          <w:rPr>
            <w:noProof/>
            <w:webHidden/>
          </w:rPr>
          <w:fldChar w:fldCharType="separate"/>
        </w:r>
        <w:r>
          <w:rPr>
            <w:noProof/>
            <w:webHidden/>
          </w:rPr>
          <w:t>21</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88" w:history="1">
        <w:r w:rsidRPr="007F1373">
          <w:rPr>
            <w:rStyle w:val="Hypertextovodkaz"/>
            <w:noProof/>
          </w:rPr>
          <w:t>15. Stanovení způsobu hodnocení Programu - harmonogram</w:t>
        </w:r>
        <w:r>
          <w:rPr>
            <w:noProof/>
            <w:webHidden/>
          </w:rPr>
          <w:tab/>
        </w:r>
        <w:r>
          <w:rPr>
            <w:noProof/>
            <w:webHidden/>
          </w:rPr>
          <w:fldChar w:fldCharType="begin"/>
        </w:r>
        <w:r>
          <w:rPr>
            <w:noProof/>
            <w:webHidden/>
          </w:rPr>
          <w:instrText xml:space="preserve"> PAGEREF _Toc61616888 \h </w:instrText>
        </w:r>
        <w:r>
          <w:rPr>
            <w:noProof/>
            <w:webHidden/>
          </w:rPr>
        </w:r>
        <w:r>
          <w:rPr>
            <w:noProof/>
            <w:webHidden/>
          </w:rPr>
          <w:fldChar w:fldCharType="separate"/>
        </w:r>
        <w:r>
          <w:rPr>
            <w:noProof/>
            <w:webHidden/>
          </w:rPr>
          <w:t>22</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89" w:history="1">
        <w:r w:rsidRPr="007F1373">
          <w:rPr>
            <w:rStyle w:val="Hypertextovodkaz"/>
            <w:noProof/>
          </w:rPr>
          <w:t>16. Definice rizik spojených s realizací Programu</w:t>
        </w:r>
        <w:r>
          <w:rPr>
            <w:noProof/>
            <w:webHidden/>
          </w:rPr>
          <w:tab/>
        </w:r>
        <w:r>
          <w:rPr>
            <w:noProof/>
            <w:webHidden/>
          </w:rPr>
          <w:fldChar w:fldCharType="begin"/>
        </w:r>
        <w:r>
          <w:rPr>
            <w:noProof/>
            <w:webHidden/>
          </w:rPr>
          <w:instrText xml:space="preserve"> PAGEREF _Toc61616889 \h </w:instrText>
        </w:r>
        <w:r>
          <w:rPr>
            <w:noProof/>
            <w:webHidden/>
          </w:rPr>
        </w:r>
        <w:r>
          <w:rPr>
            <w:noProof/>
            <w:webHidden/>
          </w:rPr>
          <w:fldChar w:fldCharType="separate"/>
        </w:r>
        <w:r>
          <w:rPr>
            <w:noProof/>
            <w:webHidden/>
          </w:rPr>
          <w:t>23</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90" w:history="1">
        <w:r w:rsidRPr="007F1373">
          <w:rPr>
            <w:rStyle w:val="Hypertextovodkaz"/>
            <w:noProof/>
          </w:rPr>
          <w:t>16.1 Změna priorit ve výzkumu, vývoji a inovacích</w:t>
        </w:r>
        <w:r>
          <w:rPr>
            <w:noProof/>
            <w:webHidden/>
          </w:rPr>
          <w:tab/>
        </w:r>
        <w:r>
          <w:rPr>
            <w:noProof/>
            <w:webHidden/>
          </w:rPr>
          <w:fldChar w:fldCharType="begin"/>
        </w:r>
        <w:r>
          <w:rPr>
            <w:noProof/>
            <w:webHidden/>
          </w:rPr>
          <w:instrText xml:space="preserve"> PAGEREF _Toc61616890 \h </w:instrText>
        </w:r>
        <w:r>
          <w:rPr>
            <w:noProof/>
            <w:webHidden/>
          </w:rPr>
        </w:r>
        <w:r>
          <w:rPr>
            <w:noProof/>
            <w:webHidden/>
          </w:rPr>
          <w:fldChar w:fldCharType="separate"/>
        </w:r>
        <w:r>
          <w:rPr>
            <w:noProof/>
            <w:webHidden/>
          </w:rPr>
          <w:t>23</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91" w:history="1">
        <w:r w:rsidRPr="007F1373">
          <w:rPr>
            <w:rStyle w:val="Hypertextovodkaz"/>
            <w:noProof/>
          </w:rPr>
          <w:t>16.2 Finanční rizika</w:t>
        </w:r>
        <w:r>
          <w:rPr>
            <w:noProof/>
            <w:webHidden/>
          </w:rPr>
          <w:tab/>
        </w:r>
        <w:r>
          <w:rPr>
            <w:noProof/>
            <w:webHidden/>
          </w:rPr>
          <w:fldChar w:fldCharType="begin"/>
        </w:r>
        <w:r>
          <w:rPr>
            <w:noProof/>
            <w:webHidden/>
          </w:rPr>
          <w:instrText xml:space="preserve"> PAGEREF _Toc61616891 \h </w:instrText>
        </w:r>
        <w:r>
          <w:rPr>
            <w:noProof/>
            <w:webHidden/>
          </w:rPr>
        </w:r>
        <w:r>
          <w:rPr>
            <w:noProof/>
            <w:webHidden/>
          </w:rPr>
          <w:fldChar w:fldCharType="separate"/>
        </w:r>
        <w:r>
          <w:rPr>
            <w:noProof/>
            <w:webHidden/>
          </w:rPr>
          <w:t>23</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92" w:history="1">
        <w:r w:rsidRPr="007F1373">
          <w:rPr>
            <w:rStyle w:val="Hypertextovodkaz"/>
            <w:noProof/>
          </w:rPr>
          <w:t>16.3 Technická rizika</w:t>
        </w:r>
        <w:r>
          <w:rPr>
            <w:noProof/>
            <w:webHidden/>
          </w:rPr>
          <w:tab/>
        </w:r>
        <w:r>
          <w:rPr>
            <w:noProof/>
            <w:webHidden/>
          </w:rPr>
          <w:fldChar w:fldCharType="begin"/>
        </w:r>
        <w:r>
          <w:rPr>
            <w:noProof/>
            <w:webHidden/>
          </w:rPr>
          <w:instrText xml:space="preserve"> PAGEREF _Toc61616892 \h </w:instrText>
        </w:r>
        <w:r>
          <w:rPr>
            <w:noProof/>
            <w:webHidden/>
          </w:rPr>
        </w:r>
        <w:r>
          <w:rPr>
            <w:noProof/>
            <w:webHidden/>
          </w:rPr>
          <w:fldChar w:fldCharType="separate"/>
        </w:r>
        <w:r>
          <w:rPr>
            <w:noProof/>
            <w:webHidden/>
          </w:rPr>
          <w:t>24</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93" w:history="1">
        <w:r w:rsidRPr="007F1373">
          <w:rPr>
            <w:rStyle w:val="Hypertextovodkaz"/>
            <w:noProof/>
          </w:rPr>
          <w:t>16.4 Nenaplnění všech tematických priorit Programu</w:t>
        </w:r>
        <w:r>
          <w:rPr>
            <w:noProof/>
            <w:webHidden/>
          </w:rPr>
          <w:tab/>
        </w:r>
        <w:r>
          <w:rPr>
            <w:noProof/>
            <w:webHidden/>
          </w:rPr>
          <w:fldChar w:fldCharType="begin"/>
        </w:r>
        <w:r>
          <w:rPr>
            <w:noProof/>
            <w:webHidden/>
          </w:rPr>
          <w:instrText xml:space="preserve"> PAGEREF _Toc61616893 \h </w:instrText>
        </w:r>
        <w:r>
          <w:rPr>
            <w:noProof/>
            <w:webHidden/>
          </w:rPr>
        </w:r>
        <w:r>
          <w:rPr>
            <w:noProof/>
            <w:webHidden/>
          </w:rPr>
          <w:fldChar w:fldCharType="separate"/>
        </w:r>
        <w:r>
          <w:rPr>
            <w:noProof/>
            <w:webHidden/>
          </w:rPr>
          <w:t>24</w:t>
        </w:r>
        <w:r>
          <w:rPr>
            <w:noProof/>
            <w:webHidden/>
          </w:rPr>
          <w:fldChar w:fldCharType="end"/>
        </w:r>
      </w:hyperlink>
    </w:p>
    <w:p w:rsidR="000D763A" w:rsidRDefault="000D763A">
      <w:pPr>
        <w:pStyle w:val="Obsah2"/>
        <w:tabs>
          <w:tab w:val="right" w:leader="dot" w:pos="9344"/>
        </w:tabs>
        <w:rPr>
          <w:rFonts w:asciiTheme="minorHAnsi" w:eastAsiaTheme="minorEastAsia" w:hAnsiTheme="minorHAnsi" w:cstheme="minorBidi"/>
          <w:noProof/>
          <w:sz w:val="22"/>
          <w:szCs w:val="22"/>
        </w:rPr>
      </w:pPr>
      <w:hyperlink w:anchor="_Toc61616894" w:history="1">
        <w:r w:rsidRPr="007F1373">
          <w:rPr>
            <w:rStyle w:val="Hypertextovodkaz"/>
            <w:noProof/>
          </w:rPr>
          <w:t>16.5 Rozpad řešitelského týmu příjemce</w:t>
        </w:r>
        <w:r>
          <w:rPr>
            <w:noProof/>
            <w:webHidden/>
          </w:rPr>
          <w:tab/>
        </w:r>
        <w:r>
          <w:rPr>
            <w:noProof/>
            <w:webHidden/>
          </w:rPr>
          <w:fldChar w:fldCharType="begin"/>
        </w:r>
        <w:r>
          <w:rPr>
            <w:noProof/>
            <w:webHidden/>
          </w:rPr>
          <w:instrText xml:space="preserve"> PAGEREF _Toc61616894 \h </w:instrText>
        </w:r>
        <w:r>
          <w:rPr>
            <w:noProof/>
            <w:webHidden/>
          </w:rPr>
        </w:r>
        <w:r>
          <w:rPr>
            <w:noProof/>
            <w:webHidden/>
          </w:rPr>
          <w:fldChar w:fldCharType="separate"/>
        </w:r>
        <w:r>
          <w:rPr>
            <w:noProof/>
            <w:webHidden/>
          </w:rPr>
          <w:t>24</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95" w:history="1">
        <w:r w:rsidRPr="007F1373">
          <w:rPr>
            <w:rStyle w:val="Hypertextovodkaz"/>
            <w:noProof/>
          </w:rPr>
          <w:t>17. Soulad Programu s pravidly pro veřejnou podporu a motivační účinek Programu</w:t>
        </w:r>
        <w:r>
          <w:rPr>
            <w:noProof/>
            <w:webHidden/>
          </w:rPr>
          <w:tab/>
        </w:r>
        <w:r>
          <w:rPr>
            <w:noProof/>
            <w:webHidden/>
          </w:rPr>
          <w:fldChar w:fldCharType="begin"/>
        </w:r>
        <w:r>
          <w:rPr>
            <w:noProof/>
            <w:webHidden/>
          </w:rPr>
          <w:instrText xml:space="preserve"> PAGEREF _Toc61616895 \h </w:instrText>
        </w:r>
        <w:r>
          <w:rPr>
            <w:noProof/>
            <w:webHidden/>
          </w:rPr>
        </w:r>
        <w:r>
          <w:rPr>
            <w:noProof/>
            <w:webHidden/>
          </w:rPr>
          <w:fldChar w:fldCharType="separate"/>
        </w:r>
        <w:r>
          <w:rPr>
            <w:noProof/>
            <w:webHidden/>
          </w:rPr>
          <w:t>24</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96" w:history="1">
        <w:r w:rsidRPr="007F1373">
          <w:rPr>
            <w:rStyle w:val="Hypertextovodkaz"/>
            <w:noProof/>
          </w:rPr>
          <w:t>18. Seznam zkratek</w:t>
        </w:r>
        <w:r>
          <w:rPr>
            <w:noProof/>
            <w:webHidden/>
          </w:rPr>
          <w:tab/>
        </w:r>
        <w:r>
          <w:rPr>
            <w:noProof/>
            <w:webHidden/>
          </w:rPr>
          <w:fldChar w:fldCharType="begin"/>
        </w:r>
        <w:r>
          <w:rPr>
            <w:noProof/>
            <w:webHidden/>
          </w:rPr>
          <w:instrText xml:space="preserve"> PAGEREF _Toc61616896 \h </w:instrText>
        </w:r>
        <w:r>
          <w:rPr>
            <w:noProof/>
            <w:webHidden/>
          </w:rPr>
        </w:r>
        <w:r>
          <w:rPr>
            <w:noProof/>
            <w:webHidden/>
          </w:rPr>
          <w:fldChar w:fldCharType="separate"/>
        </w:r>
        <w:r>
          <w:rPr>
            <w:noProof/>
            <w:webHidden/>
          </w:rPr>
          <w:t>25</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97" w:history="1">
        <w:r w:rsidRPr="007F1373">
          <w:rPr>
            <w:rStyle w:val="Hypertextovodkaz"/>
            <w:noProof/>
          </w:rPr>
          <w:t>19. Přílohy</w:t>
        </w:r>
        <w:r>
          <w:rPr>
            <w:noProof/>
            <w:webHidden/>
          </w:rPr>
          <w:tab/>
        </w:r>
        <w:r>
          <w:rPr>
            <w:noProof/>
            <w:webHidden/>
          </w:rPr>
          <w:fldChar w:fldCharType="begin"/>
        </w:r>
        <w:r>
          <w:rPr>
            <w:noProof/>
            <w:webHidden/>
          </w:rPr>
          <w:instrText xml:space="preserve"> PAGEREF _Toc61616897 \h </w:instrText>
        </w:r>
        <w:r>
          <w:rPr>
            <w:noProof/>
            <w:webHidden/>
          </w:rPr>
        </w:r>
        <w:r>
          <w:rPr>
            <w:noProof/>
            <w:webHidden/>
          </w:rPr>
          <w:fldChar w:fldCharType="separate"/>
        </w:r>
        <w:r>
          <w:rPr>
            <w:noProof/>
            <w:webHidden/>
          </w:rPr>
          <w:t>26</w:t>
        </w:r>
        <w:r>
          <w:rPr>
            <w:noProof/>
            <w:webHidden/>
          </w:rPr>
          <w:fldChar w:fldCharType="end"/>
        </w:r>
      </w:hyperlink>
    </w:p>
    <w:p w:rsidR="000D763A" w:rsidRDefault="000D763A">
      <w:pPr>
        <w:pStyle w:val="Obsah1"/>
        <w:rPr>
          <w:rFonts w:asciiTheme="minorHAnsi" w:eastAsiaTheme="minorEastAsia" w:hAnsiTheme="minorHAnsi" w:cstheme="minorBidi"/>
          <w:noProof/>
          <w:sz w:val="22"/>
          <w:szCs w:val="22"/>
        </w:rPr>
      </w:pPr>
      <w:hyperlink w:anchor="_Toc61616898" w:history="1">
        <w:r w:rsidRPr="007F1373">
          <w:rPr>
            <w:rStyle w:val="Hypertextovodkaz"/>
            <w:noProof/>
          </w:rPr>
          <w:t>20. Vysvětlivky</w:t>
        </w:r>
        <w:r>
          <w:rPr>
            <w:noProof/>
            <w:webHidden/>
          </w:rPr>
          <w:tab/>
        </w:r>
        <w:r>
          <w:rPr>
            <w:noProof/>
            <w:webHidden/>
          </w:rPr>
          <w:fldChar w:fldCharType="begin"/>
        </w:r>
        <w:r>
          <w:rPr>
            <w:noProof/>
            <w:webHidden/>
          </w:rPr>
          <w:instrText xml:space="preserve"> PAGEREF _Toc61616898 \h </w:instrText>
        </w:r>
        <w:r>
          <w:rPr>
            <w:noProof/>
            <w:webHidden/>
          </w:rPr>
        </w:r>
        <w:r>
          <w:rPr>
            <w:noProof/>
            <w:webHidden/>
          </w:rPr>
          <w:fldChar w:fldCharType="separate"/>
        </w:r>
        <w:r>
          <w:rPr>
            <w:noProof/>
            <w:webHidden/>
          </w:rPr>
          <w:t>26</w:t>
        </w:r>
        <w:r>
          <w:rPr>
            <w:noProof/>
            <w:webHidden/>
          </w:rPr>
          <w:fldChar w:fldCharType="end"/>
        </w:r>
      </w:hyperlink>
    </w:p>
    <w:p w:rsidR="00EA1F75" w:rsidRPr="003E440F" w:rsidRDefault="00EA1F75" w:rsidP="007E2F2D">
      <w:pPr>
        <w:ind w:left="336" w:hanging="336"/>
        <w:rPr>
          <w:color w:val="000000"/>
          <w:shd w:val="clear" w:color="auto" w:fill="FFFFFF"/>
        </w:rPr>
      </w:pPr>
      <w:r>
        <w:rPr>
          <w:color w:val="000000"/>
          <w:shd w:val="clear" w:color="auto" w:fill="FFFFFF"/>
        </w:rPr>
        <w:fldChar w:fldCharType="end"/>
      </w:r>
    </w:p>
    <w:p w:rsidR="00EA1F75" w:rsidRPr="00236002" w:rsidRDefault="00EA1F75" w:rsidP="00B51465">
      <w:pPr>
        <w:pStyle w:val="Nadpis1"/>
      </w:pPr>
      <w:r w:rsidRPr="00A03CEA">
        <w:br w:type="page"/>
      </w:r>
      <w:bookmarkStart w:id="1" w:name="_Toc362210102"/>
      <w:bookmarkStart w:id="2" w:name="_Toc61616868"/>
      <w:r w:rsidRPr="00236002">
        <w:lastRenderedPageBreak/>
        <w:t>1. Název Programu</w:t>
      </w:r>
      <w:bookmarkEnd w:id="1"/>
      <w:bookmarkEnd w:id="2"/>
    </w:p>
    <w:p w:rsidR="00EA1F75" w:rsidRPr="0089750E" w:rsidRDefault="00EA1F75" w:rsidP="008840CA">
      <w:pPr>
        <w:rPr>
          <w:shd w:val="clear" w:color="auto" w:fill="FFFFFF"/>
        </w:rPr>
      </w:pPr>
      <w:r w:rsidRPr="0089750E">
        <w:rPr>
          <w:shd w:val="clear" w:color="auto" w:fill="FFFFFF"/>
        </w:rPr>
        <w:t xml:space="preserve">Program NAKI III </w:t>
      </w:r>
      <w:r>
        <w:rPr>
          <w:shd w:val="clear" w:color="auto" w:fill="FFFFFF"/>
        </w:rPr>
        <w:t xml:space="preserve">– program </w:t>
      </w:r>
      <w:r w:rsidRPr="0089750E">
        <w:rPr>
          <w:shd w:val="clear" w:color="auto" w:fill="FFFFFF"/>
        </w:rPr>
        <w:t xml:space="preserve">na podporu aplikovaného výzkumu </w:t>
      </w:r>
      <w:r>
        <w:rPr>
          <w:shd w:val="clear" w:color="auto" w:fill="FFFFFF"/>
        </w:rPr>
        <w:t xml:space="preserve">v oblasti </w:t>
      </w:r>
      <w:r w:rsidRPr="0089750E">
        <w:rPr>
          <w:shd w:val="clear" w:color="auto" w:fill="FFFFFF"/>
        </w:rPr>
        <w:t>národní a kulturní identity na léta 202</w:t>
      </w:r>
      <w:r>
        <w:rPr>
          <w:shd w:val="clear" w:color="auto" w:fill="FFFFFF"/>
        </w:rPr>
        <w:t>3</w:t>
      </w:r>
      <w:r w:rsidRPr="0089750E">
        <w:rPr>
          <w:shd w:val="clear" w:color="auto" w:fill="FFFFFF"/>
        </w:rPr>
        <w:t xml:space="preserve"> až 2030 </w:t>
      </w:r>
      <w:r>
        <w:rPr>
          <w:shd w:val="clear" w:color="auto" w:fill="FFFFFF"/>
        </w:rPr>
        <w:t>(</w:t>
      </w:r>
      <w:r w:rsidRPr="0089750E">
        <w:rPr>
          <w:shd w:val="clear" w:color="auto" w:fill="FFFFFF"/>
        </w:rPr>
        <w:t>dále jen „Program“</w:t>
      </w:r>
      <w:r>
        <w:rPr>
          <w:shd w:val="clear" w:color="auto" w:fill="FFFFFF"/>
        </w:rPr>
        <w:t>)</w:t>
      </w:r>
      <w:r w:rsidRPr="0089750E">
        <w:rPr>
          <w:shd w:val="clear" w:color="auto" w:fill="FFFFFF"/>
        </w:rPr>
        <w:t>.</w:t>
      </w:r>
    </w:p>
    <w:p w:rsidR="00EA1F75" w:rsidRPr="00B0461F" w:rsidRDefault="00EA1F75" w:rsidP="008C0450">
      <w:pPr>
        <w:rPr>
          <w:color w:val="000000"/>
          <w:sz w:val="22"/>
          <w:szCs w:val="22"/>
          <w:shd w:val="clear" w:color="auto" w:fill="FFFFFF"/>
        </w:rPr>
      </w:pPr>
    </w:p>
    <w:p w:rsidR="00EA1F75" w:rsidRPr="00236002" w:rsidRDefault="00EA1F75" w:rsidP="00B51465">
      <w:pPr>
        <w:pStyle w:val="Nadpis1"/>
      </w:pPr>
      <w:bookmarkStart w:id="3" w:name="_Toc362210104"/>
      <w:bookmarkStart w:id="4" w:name="_Toc61616869"/>
      <w:r w:rsidRPr="00236002">
        <w:t>2. Poskytovatel</w:t>
      </w:r>
      <w:bookmarkEnd w:id="3"/>
      <w:r>
        <w:t xml:space="preserve"> Programu</w:t>
      </w:r>
      <w:bookmarkEnd w:id="4"/>
    </w:p>
    <w:p w:rsidR="00EA1F75" w:rsidRDefault="00EA1F75" w:rsidP="008840CA">
      <w:pPr>
        <w:rPr>
          <w:shd w:val="clear" w:color="auto" w:fill="FFFFFF"/>
        </w:rPr>
      </w:pPr>
      <w:r w:rsidRPr="00B0461F">
        <w:rPr>
          <w:shd w:val="clear" w:color="auto" w:fill="FFFFFF"/>
        </w:rPr>
        <w:t>Poskytovatelem podpory je Ministerstvo kultury, sídlem Maltézské náměstí 471/1, Praha 1.</w:t>
      </w:r>
    </w:p>
    <w:p w:rsidR="00EA1F75" w:rsidRPr="00B0461F" w:rsidRDefault="00EA1F75" w:rsidP="00D37961">
      <w:pPr>
        <w:rPr>
          <w:color w:val="000000"/>
          <w:sz w:val="22"/>
          <w:szCs w:val="22"/>
          <w:shd w:val="clear" w:color="auto" w:fill="FFFFFF"/>
        </w:rPr>
      </w:pPr>
    </w:p>
    <w:p w:rsidR="00EA1F75" w:rsidRPr="00236002" w:rsidRDefault="00EA1F75" w:rsidP="00B51465">
      <w:pPr>
        <w:pStyle w:val="Nadpis1"/>
      </w:pPr>
      <w:bookmarkStart w:id="5" w:name="_Toc362210105"/>
      <w:bookmarkStart w:id="6" w:name="_Toc61616870"/>
      <w:r w:rsidRPr="00236002">
        <w:t>3. Identifikační kód Programu</w:t>
      </w:r>
      <w:bookmarkEnd w:id="5"/>
      <w:bookmarkEnd w:id="6"/>
    </w:p>
    <w:p w:rsidR="00EA1F75" w:rsidRDefault="00EA1F75" w:rsidP="008840CA">
      <w:r w:rsidRPr="00B0461F">
        <w:rPr>
          <w:shd w:val="clear" w:color="auto" w:fill="FFFFFF"/>
        </w:rPr>
        <w:t>Pro účely evidence v Informačním systému výzkumu, experimentálního vývoje a inovací byl Programu přidělen kód „</w:t>
      </w:r>
      <w:r w:rsidRPr="00190FF0">
        <w:rPr>
          <w:b/>
          <w:highlight w:val="yellow"/>
          <w:shd w:val="clear" w:color="auto" w:fill="FFFFFF"/>
        </w:rPr>
        <w:t>DH</w:t>
      </w:r>
      <w:r w:rsidRPr="00B0461F">
        <w:rPr>
          <w:shd w:val="clear" w:color="auto" w:fill="FFFFFF"/>
        </w:rPr>
        <w:t>“.</w:t>
      </w:r>
    </w:p>
    <w:p w:rsidR="00EA1F75" w:rsidRDefault="00EA1F75" w:rsidP="008C0450">
      <w:pPr>
        <w:rPr>
          <w:color w:val="000000"/>
          <w:sz w:val="22"/>
          <w:szCs w:val="22"/>
          <w:shd w:val="clear" w:color="auto" w:fill="FFFFFF"/>
        </w:rPr>
      </w:pPr>
    </w:p>
    <w:p w:rsidR="00EA1F75" w:rsidRPr="00236002" w:rsidRDefault="00EA1F75" w:rsidP="00B51465">
      <w:pPr>
        <w:pStyle w:val="Nadpis1"/>
      </w:pPr>
      <w:bookmarkStart w:id="7" w:name="_Toc61616871"/>
      <w:r w:rsidRPr="00236002">
        <w:t>4. Analýza problematiky</w:t>
      </w:r>
      <w:r w:rsidRPr="00EB11C5">
        <w:t xml:space="preserve"> </w:t>
      </w:r>
      <w:r w:rsidRPr="00236002">
        <w:t>řešené</w:t>
      </w:r>
      <w:r>
        <w:t xml:space="preserve"> Programem</w:t>
      </w:r>
      <w:bookmarkEnd w:id="7"/>
    </w:p>
    <w:p w:rsidR="00EA1F75" w:rsidRDefault="00EA1F75" w:rsidP="008840CA">
      <w:bookmarkStart w:id="8" w:name="_Toc362210116"/>
      <w:r w:rsidRPr="00781D4A">
        <w:t xml:space="preserve">Program je hlavním implementačním dokumentem </w:t>
      </w:r>
      <w:r w:rsidRPr="00781D4A">
        <w:rPr>
          <w:color w:val="000000"/>
          <w:shd w:val="clear" w:color="auto" w:fill="FFFFFF"/>
        </w:rPr>
        <w:t>„</w:t>
      </w:r>
      <w:hyperlink r:id="rId8" w:history="1">
        <w:r w:rsidRPr="00535839">
          <w:rPr>
            <w:rStyle w:val="Hypertextovodkaz"/>
          </w:rPr>
          <w:t>Koncepce aplikovaného výzkumu v oblasti národní a kulturní identity Ministerstva kultury na léta 2023 – 2030</w:t>
        </w:r>
      </w:hyperlink>
      <w:r w:rsidRPr="00781D4A">
        <w:rPr>
          <w:color w:val="000000"/>
          <w:shd w:val="clear" w:color="auto" w:fill="FFFFFF"/>
        </w:rPr>
        <w:t xml:space="preserve">“, schválené usnesením vlády ze dne </w:t>
      </w:r>
      <w:r>
        <w:rPr>
          <w:color w:val="000000"/>
          <w:shd w:val="clear" w:color="auto" w:fill="FFFFFF"/>
        </w:rPr>
        <w:t>5. října 2020</w:t>
      </w:r>
      <w:r w:rsidRPr="00781D4A">
        <w:rPr>
          <w:color w:val="000000"/>
          <w:shd w:val="clear" w:color="auto" w:fill="FFFFFF"/>
        </w:rPr>
        <w:t xml:space="preserve"> č. </w:t>
      </w:r>
      <w:r>
        <w:rPr>
          <w:color w:val="000000"/>
          <w:shd w:val="clear" w:color="auto" w:fill="FFFFFF"/>
        </w:rPr>
        <w:t>985</w:t>
      </w:r>
      <w:r w:rsidRPr="00781D4A">
        <w:rPr>
          <w:color w:val="000000"/>
          <w:shd w:val="clear" w:color="auto" w:fill="FFFFFF"/>
        </w:rPr>
        <w:t xml:space="preserve"> (dále jen „Koncepce“).</w:t>
      </w:r>
      <w:r w:rsidRPr="00781D4A">
        <w:t xml:space="preserve"> </w:t>
      </w:r>
      <w:r>
        <w:t>Analýza řešené problematiky proto byla provedena již v Koncepci a vychází ze čtyř dokumentů, které jsou přílohami schválené Koncepce:</w:t>
      </w:r>
    </w:p>
    <w:p w:rsidR="00EA1F75" w:rsidRPr="007801E4" w:rsidRDefault="00EA1F75" w:rsidP="008840CA">
      <w:pPr>
        <w:ind w:left="360" w:hanging="360"/>
      </w:pPr>
      <w:r w:rsidRPr="007801E4">
        <w:t>1)</w:t>
      </w:r>
      <w:r w:rsidRPr="007801E4">
        <w:tab/>
        <w:t>„</w:t>
      </w:r>
      <w:r w:rsidRPr="007801E4">
        <w:rPr>
          <w:u w:val="single"/>
        </w:rPr>
        <w:t>Analýza výzkumu a vývoje v oblasti národní a kulturní identity ve vybraných zemích a v Evropské unii a jejich srovnání s ČR</w:t>
      </w:r>
      <w:r w:rsidRPr="007801E4">
        <w:t>“ uvedená v příloze č. 1 Koncepce podrobně mapuje stav a trendy v osmi zemích relevantních pro oblast působnosti Koncepce (Francie, Itálie, Německo, Rakousko, Spojené království, Nizozemsko, Finsko a Švýcarsko) a v Evropské unii (tj. aktivity Evropské komise), které byly doporučeny odborným poradním orgánem odpovědným za přípravu Koncepce – Radou ministra kultury pro výzkum (RMKPV) a projednány ve vnitřním připomínkovém řízení MK. V závěrečné části této analýzy je uvedeno srovnání se stavem ČR a doporučení vyplývající pro Koncepci.</w:t>
      </w:r>
    </w:p>
    <w:p w:rsidR="00EA1F75" w:rsidRPr="007801E4" w:rsidRDefault="00EA1F75" w:rsidP="008C0450">
      <w:pPr>
        <w:pStyle w:val="Normlnodsazen"/>
        <w:spacing w:line="276" w:lineRule="auto"/>
        <w:ind w:hanging="360"/>
        <w:rPr>
          <w:sz w:val="24"/>
          <w:szCs w:val="24"/>
        </w:rPr>
      </w:pPr>
      <w:r w:rsidRPr="007801E4">
        <w:rPr>
          <w:sz w:val="24"/>
          <w:szCs w:val="24"/>
        </w:rPr>
        <w:t>2)</w:t>
      </w:r>
      <w:r w:rsidRPr="007801E4">
        <w:rPr>
          <w:sz w:val="24"/>
          <w:szCs w:val="24"/>
        </w:rPr>
        <w:tab/>
        <w:t>Ze „</w:t>
      </w:r>
      <w:r w:rsidRPr="007801E4">
        <w:rPr>
          <w:sz w:val="24"/>
          <w:szCs w:val="24"/>
          <w:u w:val="single"/>
        </w:rPr>
        <w:t>Závěrečného hodnocení programu aplikovaného výzkumu a vývoje národní a kulturní identity (NAKI)</w:t>
      </w:r>
      <w:r w:rsidRPr="007801E4">
        <w:rPr>
          <w:sz w:val="24"/>
          <w:szCs w:val="24"/>
        </w:rPr>
        <w:t>“</w:t>
      </w:r>
      <w:r w:rsidRPr="007801E4">
        <w:rPr>
          <w:rStyle w:val="Odkaznavysvtlivky"/>
          <w:sz w:val="24"/>
          <w:szCs w:val="24"/>
        </w:rPr>
        <w:endnoteReference w:id="1"/>
      </w:r>
      <w:r w:rsidRPr="007801E4">
        <w:rPr>
          <w:sz w:val="24"/>
          <w:szCs w:val="24"/>
        </w:rPr>
        <w:t xml:space="preserve"> uvedeného v příloze č. 2 Koncepce, které na svém 339. zasedání dne 26. října 2018 schválila R</w:t>
      </w:r>
      <w:r>
        <w:rPr>
          <w:sz w:val="24"/>
          <w:szCs w:val="24"/>
        </w:rPr>
        <w:t>ada pro výzkum, vývoj a inovace (dále jen „R</w:t>
      </w:r>
      <w:r w:rsidRPr="007801E4">
        <w:rPr>
          <w:sz w:val="24"/>
          <w:szCs w:val="24"/>
        </w:rPr>
        <w:t>VVI</w:t>
      </w:r>
      <w:r>
        <w:rPr>
          <w:sz w:val="24"/>
          <w:szCs w:val="24"/>
        </w:rPr>
        <w:t>“)</w:t>
      </w:r>
      <w:r w:rsidRPr="007801E4">
        <w:rPr>
          <w:sz w:val="24"/>
          <w:szCs w:val="24"/>
        </w:rPr>
        <w:t xml:space="preserve"> svým podrobným stanoviskem včetně doporučení pro přípravu nových programů</w:t>
      </w:r>
      <w:r w:rsidRPr="007801E4">
        <w:rPr>
          <w:rStyle w:val="Odkaznavysvtlivky"/>
          <w:sz w:val="24"/>
          <w:szCs w:val="24"/>
        </w:rPr>
        <w:endnoteReference w:id="2"/>
      </w:r>
      <w:r w:rsidRPr="007801E4">
        <w:rPr>
          <w:sz w:val="24"/>
          <w:szCs w:val="24"/>
        </w:rPr>
        <w:t>.</w:t>
      </w:r>
    </w:p>
    <w:p w:rsidR="00EA1F75" w:rsidRPr="007801E4" w:rsidRDefault="00EA1F75" w:rsidP="008C0450">
      <w:pPr>
        <w:pStyle w:val="Normlnodsazen"/>
        <w:spacing w:line="276" w:lineRule="auto"/>
        <w:ind w:hanging="360"/>
        <w:rPr>
          <w:sz w:val="24"/>
          <w:szCs w:val="24"/>
        </w:rPr>
      </w:pPr>
      <w:r w:rsidRPr="007801E4">
        <w:rPr>
          <w:sz w:val="24"/>
          <w:szCs w:val="24"/>
        </w:rPr>
        <w:t>3)</w:t>
      </w:r>
      <w:r w:rsidRPr="007801E4">
        <w:rPr>
          <w:sz w:val="24"/>
          <w:szCs w:val="24"/>
        </w:rPr>
        <w:tab/>
        <w:t>Z „</w:t>
      </w:r>
      <w:r w:rsidRPr="007801E4">
        <w:rPr>
          <w:sz w:val="24"/>
          <w:szCs w:val="24"/>
          <w:u w:val="single"/>
        </w:rPr>
        <w:t>Analýzy využití výsledků programu NAKI</w:t>
      </w:r>
      <w:r w:rsidRPr="007801E4">
        <w:rPr>
          <w:sz w:val="24"/>
          <w:szCs w:val="24"/>
        </w:rPr>
        <w:t>“ uvedené v příloze č. 3 Koncepce, kterou na základě usnesení RVVI dle předchozího bodu MK zpracovalo a předložilo RVVI v červnu 2019.</w:t>
      </w:r>
    </w:p>
    <w:p w:rsidR="00EA1F75" w:rsidRDefault="00EA1F75" w:rsidP="008C0450">
      <w:pPr>
        <w:pStyle w:val="Normlnodsazen"/>
        <w:spacing w:line="276" w:lineRule="auto"/>
        <w:ind w:hanging="360"/>
        <w:rPr>
          <w:sz w:val="24"/>
          <w:szCs w:val="24"/>
        </w:rPr>
      </w:pPr>
      <w:r w:rsidRPr="007801E4">
        <w:rPr>
          <w:sz w:val="24"/>
          <w:szCs w:val="24"/>
        </w:rPr>
        <w:t>4)</w:t>
      </w:r>
      <w:r w:rsidRPr="007801E4">
        <w:rPr>
          <w:sz w:val="24"/>
          <w:szCs w:val="24"/>
        </w:rPr>
        <w:tab/>
        <w:t xml:space="preserve">Ze </w:t>
      </w:r>
      <w:r w:rsidRPr="007801E4">
        <w:rPr>
          <w:sz w:val="24"/>
          <w:szCs w:val="24"/>
          <w:u w:val="single"/>
        </w:rPr>
        <w:t>SWOT analýzy oblasti aplikovaného výzkumu národní a kulturní identity 2019</w:t>
      </w:r>
      <w:r w:rsidRPr="007801E4">
        <w:rPr>
          <w:sz w:val="24"/>
          <w:szCs w:val="24"/>
        </w:rPr>
        <w:t>, která je uvedena v příloze č. 4 a která hodnotí silné a slabé stránky, příležitosti a rizika z hlediska prostředí a budoucího vývoje, tj. celého systému podpory VaVaI (silná vazba na přípravu nové národní politiky VaVaI 2021+) a současně specifik v oblasti humanitních věd a podpory kultury jako celku.</w:t>
      </w:r>
    </w:p>
    <w:p w:rsidR="00EA1F75" w:rsidRDefault="00EA1F75" w:rsidP="007E2F2D">
      <w:pPr>
        <w:pStyle w:val="Normlnodsazen"/>
        <w:spacing w:line="276" w:lineRule="auto"/>
        <w:ind w:left="0" w:firstLine="0"/>
        <w:rPr>
          <w:sz w:val="24"/>
          <w:szCs w:val="24"/>
        </w:rPr>
      </w:pPr>
      <w:r>
        <w:rPr>
          <w:sz w:val="24"/>
          <w:szCs w:val="24"/>
        </w:rPr>
        <w:lastRenderedPageBreak/>
        <w:t xml:space="preserve">Z analýzy řešené problematiky vychází jednak globální cíl Koncepce a její strategické a specifické cíle a tematické priority implementované Programem (viz následující kap. 5), jednak systémová doporučení </w:t>
      </w:r>
      <w:r>
        <w:t>reagující na hlavní rozdíly stavu ve vyspělých zemích a stavu v ČR (uvedena jsou jen ta doporučení z Koncepce, která se týkají Programu):</w:t>
      </w:r>
    </w:p>
    <w:p w:rsidR="00EA1F75" w:rsidRPr="00307055" w:rsidRDefault="00EA1F75" w:rsidP="007E2F2D">
      <w:pPr>
        <w:pStyle w:val="Normlnodsazen"/>
        <w:spacing w:line="276" w:lineRule="auto"/>
        <w:ind w:hanging="360"/>
        <w:rPr>
          <w:sz w:val="24"/>
          <w:szCs w:val="24"/>
        </w:rPr>
      </w:pPr>
      <w:r>
        <w:rPr>
          <w:sz w:val="24"/>
          <w:szCs w:val="24"/>
        </w:rPr>
        <w:t>1</w:t>
      </w:r>
      <w:r w:rsidRPr="00307055">
        <w:rPr>
          <w:sz w:val="24"/>
          <w:szCs w:val="24"/>
        </w:rPr>
        <w:t>)</w:t>
      </w:r>
      <w:r w:rsidRPr="00307055">
        <w:rPr>
          <w:sz w:val="24"/>
          <w:szCs w:val="24"/>
        </w:rPr>
        <w:tab/>
      </w:r>
      <w:r>
        <w:rPr>
          <w:sz w:val="24"/>
          <w:szCs w:val="24"/>
        </w:rPr>
        <w:t>u</w:t>
      </w:r>
      <w:r w:rsidRPr="00307055">
        <w:rPr>
          <w:sz w:val="24"/>
          <w:szCs w:val="24"/>
        </w:rPr>
        <w:t xml:space="preserve">silovat </w:t>
      </w:r>
      <w:r>
        <w:rPr>
          <w:sz w:val="24"/>
          <w:szCs w:val="24"/>
        </w:rPr>
        <w:t xml:space="preserve">v rámci možností státního rozpočtu </w:t>
      </w:r>
      <w:r w:rsidRPr="00307055">
        <w:rPr>
          <w:sz w:val="24"/>
          <w:szCs w:val="24"/>
        </w:rPr>
        <w:t xml:space="preserve">o </w:t>
      </w:r>
      <w:r>
        <w:rPr>
          <w:sz w:val="24"/>
          <w:szCs w:val="24"/>
        </w:rPr>
        <w:t xml:space="preserve">takovou výši </w:t>
      </w:r>
      <w:r w:rsidRPr="00307055">
        <w:rPr>
          <w:sz w:val="24"/>
          <w:szCs w:val="24"/>
        </w:rPr>
        <w:t>výdaj</w:t>
      </w:r>
      <w:r>
        <w:rPr>
          <w:sz w:val="24"/>
          <w:szCs w:val="24"/>
        </w:rPr>
        <w:t>ů</w:t>
      </w:r>
      <w:r w:rsidRPr="00307055">
        <w:rPr>
          <w:sz w:val="24"/>
          <w:szCs w:val="24"/>
        </w:rPr>
        <w:t xml:space="preserve"> </w:t>
      </w:r>
      <w:r>
        <w:rPr>
          <w:sz w:val="24"/>
          <w:szCs w:val="24"/>
        </w:rPr>
        <w:t>u účelové podpory</w:t>
      </w:r>
      <w:r w:rsidRPr="00307055">
        <w:rPr>
          <w:sz w:val="24"/>
          <w:szCs w:val="24"/>
        </w:rPr>
        <w:t xml:space="preserve">, aby </w:t>
      </w:r>
      <w:r>
        <w:rPr>
          <w:sz w:val="24"/>
          <w:szCs w:val="24"/>
        </w:rPr>
        <w:t xml:space="preserve">mohly být podpořeny všechny doporučené kvalitní projekty (tj. aby </w:t>
      </w:r>
      <w:r w:rsidRPr="00307055">
        <w:rPr>
          <w:sz w:val="24"/>
          <w:szCs w:val="24"/>
        </w:rPr>
        <w:t xml:space="preserve">průměrná úspěšnost </w:t>
      </w:r>
      <w:r>
        <w:rPr>
          <w:sz w:val="24"/>
          <w:szCs w:val="24"/>
        </w:rPr>
        <w:t xml:space="preserve">podaných návrhů projektů </w:t>
      </w:r>
      <w:r w:rsidRPr="00307055">
        <w:rPr>
          <w:sz w:val="24"/>
          <w:szCs w:val="24"/>
        </w:rPr>
        <w:t xml:space="preserve">byla </w:t>
      </w:r>
      <w:r>
        <w:rPr>
          <w:sz w:val="24"/>
          <w:szCs w:val="24"/>
        </w:rPr>
        <w:t>minimálně</w:t>
      </w:r>
      <w:r w:rsidRPr="00307055">
        <w:rPr>
          <w:sz w:val="24"/>
          <w:szCs w:val="24"/>
        </w:rPr>
        <w:t xml:space="preserve"> 25 %</w:t>
      </w:r>
      <w:r>
        <w:rPr>
          <w:sz w:val="24"/>
          <w:szCs w:val="24"/>
        </w:rPr>
        <w:t>),</w:t>
      </w:r>
    </w:p>
    <w:p w:rsidR="00EA1F75" w:rsidRPr="00307055" w:rsidRDefault="00EA1F75" w:rsidP="007E2F2D">
      <w:pPr>
        <w:pStyle w:val="Normlnodsazen"/>
        <w:spacing w:line="276" w:lineRule="auto"/>
        <w:ind w:hanging="360"/>
        <w:rPr>
          <w:sz w:val="24"/>
          <w:szCs w:val="24"/>
        </w:rPr>
      </w:pPr>
      <w:r>
        <w:rPr>
          <w:sz w:val="24"/>
          <w:szCs w:val="24"/>
        </w:rPr>
        <w:t>2</w:t>
      </w:r>
      <w:r w:rsidRPr="00307055">
        <w:rPr>
          <w:sz w:val="24"/>
          <w:szCs w:val="24"/>
        </w:rPr>
        <w:t>)</w:t>
      </w:r>
      <w:r w:rsidRPr="00307055">
        <w:rPr>
          <w:sz w:val="24"/>
          <w:szCs w:val="24"/>
        </w:rPr>
        <w:tab/>
      </w:r>
      <w:r>
        <w:rPr>
          <w:sz w:val="24"/>
          <w:szCs w:val="24"/>
        </w:rPr>
        <w:t>z</w:t>
      </w:r>
      <w:r w:rsidRPr="00236002">
        <w:rPr>
          <w:sz w:val="24"/>
          <w:szCs w:val="24"/>
        </w:rPr>
        <w:t xml:space="preserve">výhodnit spolupráci </w:t>
      </w:r>
      <w:r w:rsidRPr="00307055">
        <w:rPr>
          <w:sz w:val="24"/>
          <w:szCs w:val="24"/>
        </w:rPr>
        <w:t>výzkumných</w:t>
      </w:r>
      <w:r>
        <w:rPr>
          <w:sz w:val="24"/>
          <w:szCs w:val="24"/>
        </w:rPr>
        <w:t xml:space="preserve"> organizací při řešení projektů formou</w:t>
      </w:r>
      <w:r w:rsidRPr="00236002">
        <w:rPr>
          <w:sz w:val="24"/>
          <w:szCs w:val="24"/>
        </w:rPr>
        <w:t xml:space="preserve"> konsorciální</w:t>
      </w:r>
      <w:r>
        <w:rPr>
          <w:sz w:val="24"/>
          <w:szCs w:val="24"/>
        </w:rPr>
        <w:t>ch</w:t>
      </w:r>
      <w:r w:rsidRPr="00236002">
        <w:rPr>
          <w:sz w:val="24"/>
          <w:szCs w:val="24"/>
        </w:rPr>
        <w:t xml:space="preserve"> projekt</w:t>
      </w:r>
      <w:r>
        <w:rPr>
          <w:sz w:val="24"/>
          <w:szCs w:val="24"/>
        </w:rPr>
        <w:t>ů</w:t>
      </w:r>
      <w:r w:rsidRPr="00236002">
        <w:rPr>
          <w:sz w:val="24"/>
          <w:szCs w:val="24"/>
        </w:rPr>
        <w:t xml:space="preserve"> s účastí resortních výzkumných organizací a vysokých škol a/nebo ústavů Akademie věd ČR</w:t>
      </w:r>
      <w:r>
        <w:rPr>
          <w:sz w:val="24"/>
          <w:szCs w:val="24"/>
        </w:rPr>
        <w:t>,</w:t>
      </w:r>
    </w:p>
    <w:p w:rsidR="00EA1F75" w:rsidRPr="00307055" w:rsidRDefault="00EA1F75" w:rsidP="007E2F2D">
      <w:pPr>
        <w:pStyle w:val="Normlnodsazen"/>
        <w:spacing w:line="276" w:lineRule="auto"/>
        <w:ind w:hanging="360"/>
        <w:rPr>
          <w:sz w:val="24"/>
          <w:szCs w:val="24"/>
        </w:rPr>
      </w:pPr>
      <w:r>
        <w:rPr>
          <w:sz w:val="24"/>
          <w:szCs w:val="24"/>
        </w:rPr>
        <w:t>3)</w:t>
      </w:r>
      <w:r>
        <w:rPr>
          <w:sz w:val="24"/>
          <w:szCs w:val="24"/>
        </w:rPr>
        <w:tab/>
        <w:t>v</w:t>
      </w:r>
      <w:r w:rsidRPr="00307055">
        <w:rPr>
          <w:sz w:val="24"/>
          <w:szCs w:val="24"/>
        </w:rPr>
        <w:t xml:space="preserve">ýrazně posílit při hodnocení návrhů projektů aspekty zohledňující jejich využití v praxi, od využití specifických výsledků </w:t>
      </w:r>
      <w:r>
        <w:rPr>
          <w:sz w:val="24"/>
          <w:szCs w:val="24"/>
        </w:rPr>
        <w:t>P</w:t>
      </w:r>
      <w:r w:rsidRPr="00307055">
        <w:rPr>
          <w:sz w:val="24"/>
          <w:szCs w:val="24"/>
        </w:rPr>
        <w:t>rogramu (obdobně jako byla Ekrit do r. 2017, tj. výsledků se specifickými kritérii pro jejich uznání definovanými poskytovatelem), až po smluvní zakotvení povinnosti příjemce sledovat využití výsledků po ukončení řešení projektů (navázat na podmínky 3. ve</w:t>
      </w:r>
      <w:r>
        <w:rPr>
          <w:sz w:val="24"/>
          <w:szCs w:val="24"/>
        </w:rPr>
        <w:t>řejné soutěže programu NAKI II),</w:t>
      </w:r>
    </w:p>
    <w:p w:rsidR="00EA1F75" w:rsidRPr="00307055" w:rsidRDefault="00EA1F75" w:rsidP="007E2F2D">
      <w:pPr>
        <w:pStyle w:val="Normlnodsazen"/>
        <w:spacing w:line="276" w:lineRule="auto"/>
        <w:ind w:hanging="360"/>
        <w:rPr>
          <w:sz w:val="24"/>
          <w:szCs w:val="24"/>
        </w:rPr>
      </w:pPr>
      <w:r>
        <w:rPr>
          <w:sz w:val="24"/>
          <w:szCs w:val="24"/>
        </w:rPr>
        <w:t>4</w:t>
      </w:r>
      <w:r w:rsidRPr="00307055">
        <w:rPr>
          <w:sz w:val="24"/>
          <w:szCs w:val="24"/>
        </w:rPr>
        <w:t>)</w:t>
      </w:r>
      <w:r w:rsidRPr="00307055">
        <w:rPr>
          <w:sz w:val="24"/>
          <w:szCs w:val="24"/>
        </w:rPr>
        <w:tab/>
      </w:r>
      <w:r>
        <w:rPr>
          <w:sz w:val="24"/>
          <w:szCs w:val="24"/>
        </w:rPr>
        <w:t>p</w:t>
      </w:r>
      <w:r w:rsidRPr="00307055">
        <w:rPr>
          <w:sz w:val="24"/>
          <w:szCs w:val="24"/>
        </w:rPr>
        <w:t>o ukončení a vyhodnocení programu NAKI II v r. 2023 využít získaných poznatků pro specifikaci podmínek druhé a třetí ve</w:t>
      </w:r>
      <w:r>
        <w:rPr>
          <w:sz w:val="24"/>
          <w:szCs w:val="24"/>
        </w:rPr>
        <w:t>řejné soutěže programu NAKI III,</w:t>
      </w:r>
    </w:p>
    <w:p w:rsidR="00EA1F75" w:rsidRPr="00236002" w:rsidRDefault="00EA1F75" w:rsidP="007E2F2D">
      <w:pPr>
        <w:pStyle w:val="Normlnodsazen"/>
        <w:spacing w:line="276" w:lineRule="auto"/>
        <w:ind w:hanging="360"/>
        <w:rPr>
          <w:sz w:val="24"/>
          <w:szCs w:val="24"/>
        </w:rPr>
      </w:pPr>
      <w:r>
        <w:rPr>
          <w:sz w:val="24"/>
          <w:szCs w:val="24"/>
        </w:rPr>
        <w:t>5</w:t>
      </w:r>
      <w:r w:rsidRPr="00236002">
        <w:rPr>
          <w:sz w:val="24"/>
          <w:szCs w:val="24"/>
        </w:rPr>
        <w:t>)</w:t>
      </w:r>
      <w:r w:rsidRPr="00236002">
        <w:rPr>
          <w:sz w:val="24"/>
          <w:szCs w:val="24"/>
        </w:rPr>
        <w:tab/>
        <w:t>vhodně stanovit relevantní hodnoty konkrétních indikátorů Programu,</w:t>
      </w:r>
    </w:p>
    <w:p w:rsidR="00EA1F75" w:rsidRPr="00236002" w:rsidRDefault="00EA1F75" w:rsidP="007E2F2D">
      <w:pPr>
        <w:pStyle w:val="Normlnodsazen"/>
        <w:spacing w:line="276" w:lineRule="auto"/>
        <w:ind w:hanging="360"/>
        <w:rPr>
          <w:sz w:val="24"/>
          <w:szCs w:val="24"/>
        </w:rPr>
      </w:pPr>
      <w:r>
        <w:rPr>
          <w:sz w:val="24"/>
          <w:szCs w:val="24"/>
        </w:rPr>
        <w:t>6</w:t>
      </w:r>
      <w:r w:rsidRPr="00236002">
        <w:rPr>
          <w:sz w:val="24"/>
          <w:szCs w:val="24"/>
        </w:rPr>
        <w:t>)</w:t>
      </w:r>
      <w:r w:rsidRPr="00236002">
        <w:rPr>
          <w:sz w:val="24"/>
          <w:szCs w:val="24"/>
        </w:rPr>
        <w:tab/>
        <w:t>prodloužit období poskytování informací o využití výsledků v praxi ze tří na pět let,</w:t>
      </w:r>
    </w:p>
    <w:p w:rsidR="00EA1F75" w:rsidRPr="00236002" w:rsidRDefault="00EA1F75" w:rsidP="007E2F2D">
      <w:pPr>
        <w:pStyle w:val="Normlnodsazen"/>
        <w:spacing w:line="276" w:lineRule="auto"/>
        <w:ind w:hanging="360"/>
        <w:rPr>
          <w:sz w:val="24"/>
          <w:szCs w:val="24"/>
        </w:rPr>
      </w:pPr>
      <w:r>
        <w:rPr>
          <w:sz w:val="24"/>
          <w:szCs w:val="24"/>
        </w:rPr>
        <w:t>7</w:t>
      </w:r>
      <w:r w:rsidRPr="00236002">
        <w:rPr>
          <w:sz w:val="24"/>
          <w:szCs w:val="24"/>
        </w:rPr>
        <w:t>)</w:t>
      </w:r>
      <w:r w:rsidRPr="00236002">
        <w:rPr>
          <w:sz w:val="24"/>
          <w:szCs w:val="24"/>
        </w:rPr>
        <w:tab/>
        <w:t>předem specifikovat povinnost podávat údaje o využití výsledků (různé pro jednotlivé druhy výsledků) v zadávací dokumentaci a současně je zavést jako jedno z kritérií Programu pro hodnocení projektů.</w:t>
      </w:r>
    </w:p>
    <w:p w:rsidR="00EA1F75" w:rsidRPr="00236002" w:rsidRDefault="00EA1F75" w:rsidP="007E2F2D">
      <w:pPr>
        <w:pStyle w:val="Normlnodsazen"/>
        <w:spacing w:line="276" w:lineRule="auto"/>
        <w:ind w:hanging="360"/>
        <w:rPr>
          <w:sz w:val="24"/>
          <w:szCs w:val="24"/>
        </w:rPr>
      </w:pPr>
      <w:r>
        <w:rPr>
          <w:sz w:val="24"/>
          <w:szCs w:val="24"/>
        </w:rPr>
        <w:t>8</w:t>
      </w:r>
      <w:r w:rsidRPr="00236002">
        <w:rPr>
          <w:sz w:val="24"/>
          <w:szCs w:val="24"/>
        </w:rPr>
        <w:t>)</w:t>
      </w:r>
      <w:r w:rsidRPr="00236002">
        <w:rPr>
          <w:sz w:val="24"/>
          <w:szCs w:val="24"/>
        </w:rPr>
        <w:tab/>
      </w:r>
      <w:r>
        <w:rPr>
          <w:sz w:val="24"/>
          <w:szCs w:val="24"/>
        </w:rPr>
        <w:t>s</w:t>
      </w:r>
      <w:r w:rsidRPr="00236002">
        <w:rPr>
          <w:sz w:val="24"/>
          <w:szCs w:val="24"/>
        </w:rPr>
        <w:t>tanovit specifické výsledky programu NAKI III s ohle</w:t>
      </w:r>
      <w:r>
        <w:rPr>
          <w:sz w:val="24"/>
          <w:szCs w:val="24"/>
        </w:rPr>
        <w:t>dem na jeho cíle,</w:t>
      </w:r>
    </w:p>
    <w:p w:rsidR="00EA1F75" w:rsidRDefault="00EA1F75" w:rsidP="007E2F2D">
      <w:pPr>
        <w:pStyle w:val="Normlnodsazen"/>
        <w:spacing w:line="276" w:lineRule="auto"/>
        <w:ind w:hanging="360"/>
        <w:rPr>
          <w:sz w:val="24"/>
          <w:szCs w:val="24"/>
        </w:rPr>
      </w:pPr>
      <w:r>
        <w:rPr>
          <w:sz w:val="24"/>
          <w:szCs w:val="24"/>
        </w:rPr>
        <w:t>9</w:t>
      </w:r>
      <w:r w:rsidRPr="00236002">
        <w:rPr>
          <w:sz w:val="24"/>
          <w:szCs w:val="24"/>
        </w:rPr>
        <w:t>)</w:t>
      </w:r>
      <w:r w:rsidRPr="00236002">
        <w:rPr>
          <w:sz w:val="24"/>
          <w:szCs w:val="24"/>
        </w:rPr>
        <w:tab/>
      </w:r>
      <w:r>
        <w:rPr>
          <w:sz w:val="24"/>
          <w:szCs w:val="24"/>
        </w:rPr>
        <w:t>a</w:t>
      </w:r>
      <w:r w:rsidRPr="00236002">
        <w:rPr>
          <w:sz w:val="24"/>
          <w:szCs w:val="24"/>
        </w:rPr>
        <w:t>kcentovat dosažení špičkových výsledků „best practice“ včetně vyjádření budoucích uživatelů většiny druhů výsledků, že o využití výsledků projektů mají zájem.</w:t>
      </w:r>
    </w:p>
    <w:p w:rsidR="00EA1F75" w:rsidRPr="00236002" w:rsidRDefault="00EA1F75" w:rsidP="007E2F2D">
      <w:pPr>
        <w:pStyle w:val="Normlnodsazen"/>
        <w:spacing w:line="276" w:lineRule="auto"/>
        <w:ind w:hanging="360"/>
        <w:rPr>
          <w:sz w:val="24"/>
          <w:szCs w:val="24"/>
        </w:rPr>
      </w:pPr>
    </w:p>
    <w:p w:rsidR="00EA1F75" w:rsidRPr="00236002" w:rsidRDefault="00EA1F75" w:rsidP="00B51465">
      <w:pPr>
        <w:pStyle w:val="Nadpis1"/>
      </w:pPr>
      <w:bookmarkStart w:id="9" w:name="_Toc61616872"/>
      <w:bookmarkEnd w:id="8"/>
      <w:r w:rsidRPr="00236002">
        <w:t>5. Specifikace cílů Programu</w:t>
      </w:r>
      <w:bookmarkEnd w:id="9"/>
    </w:p>
    <w:p w:rsidR="00EA1F75" w:rsidRPr="00A03CEA" w:rsidRDefault="00EA1F75" w:rsidP="00B51465">
      <w:pPr>
        <w:pStyle w:val="Nadpis2"/>
      </w:pPr>
      <w:bookmarkStart w:id="10" w:name="_Toc61616873"/>
      <w:r w:rsidRPr="00A03CEA">
        <w:t>5.1 Hlavní cíl</w:t>
      </w:r>
      <w:bookmarkEnd w:id="10"/>
    </w:p>
    <w:p w:rsidR="00EA1F75" w:rsidRPr="00DC4B99" w:rsidRDefault="00EA1F75" w:rsidP="00D37961">
      <w:pPr>
        <w:rPr>
          <w:color w:val="000000"/>
          <w:shd w:val="clear" w:color="auto" w:fill="FFFFFF"/>
        </w:rPr>
      </w:pPr>
      <w:r>
        <w:rPr>
          <w:color w:val="000000"/>
          <w:shd w:val="clear" w:color="auto" w:fill="FFFFFF"/>
        </w:rPr>
        <w:t>Hlavní</w:t>
      </w:r>
      <w:r w:rsidRPr="00DC4B99">
        <w:rPr>
          <w:color w:val="000000"/>
          <w:shd w:val="clear" w:color="auto" w:fill="FFFFFF"/>
        </w:rPr>
        <w:t xml:space="preserve"> cíl Programu je stejně jako u Koncepce nadčasový, je dán zaměřením oblasti působnosti Programu a </w:t>
      </w:r>
      <w:r>
        <w:rPr>
          <w:color w:val="000000"/>
          <w:shd w:val="clear" w:color="auto" w:fill="FFFFFF"/>
        </w:rPr>
        <w:t>obdobně</w:t>
      </w:r>
      <w:r w:rsidRPr="00DC4B99">
        <w:rPr>
          <w:color w:val="000000"/>
          <w:shd w:val="clear" w:color="auto" w:fill="FFFFFF"/>
        </w:rPr>
        <w:t xml:space="preserve"> jako v nadřazených strategických dokumentech spočívá </w:t>
      </w:r>
      <w:r>
        <w:rPr>
          <w:color w:val="000000"/>
          <w:shd w:val="clear" w:color="auto" w:fill="FFFFFF"/>
        </w:rPr>
        <w:t xml:space="preserve">hlavní </w:t>
      </w:r>
      <w:r w:rsidRPr="00DC4B99">
        <w:rPr>
          <w:color w:val="000000"/>
          <w:shd w:val="clear" w:color="auto" w:fill="FFFFFF"/>
        </w:rPr>
        <w:t xml:space="preserve">změna proti současnému období ve změně nástrojů a prostředků, vedoucích k dosažení </w:t>
      </w:r>
      <w:r>
        <w:rPr>
          <w:color w:val="000000"/>
          <w:shd w:val="clear" w:color="auto" w:fill="FFFFFF"/>
        </w:rPr>
        <w:t>hlavního</w:t>
      </w:r>
      <w:r w:rsidRPr="00DC4B99">
        <w:rPr>
          <w:color w:val="000000"/>
          <w:shd w:val="clear" w:color="auto" w:fill="FFFFFF"/>
        </w:rPr>
        <w:t xml:space="preserve"> cíle:</w:t>
      </w:r>
    </w:p>
    <w:p w:rsidR="00EA1F75" w:rsidRDefault="00EA1F75" w:rsidP="00D37961">
      <w:pPr>
        <w:rPr>
          <w:b/>
          <w:color w:val="000000"/>
          <w:shd w:val="clear" w:color="auto" w:fill="FFFFFF"/>
        </w:rPr>
      </w:pPr>
      <w:r w:rsidRPr="00DC4B99">
        <w:rPr>
          <w:b/>
          <w:color w:val="000000"/>
          <w:shd w:val="clear" w:color="auto" w:fill="FFFFFF"/>
        </w:rPr>
        <w:t xml:space="preserve">Hlavním cílem Programu je zaměřit výzkum </w:t>
      </w:r>
      <w:r>
        <w:rPr>
          <w:b/>
          <w:color w:val="000000"/>
          <w:shd w:val="clear" w:color="auto" w:fill="FFFFFF"/>
        </w:rPr>
        <w:t>v oblasti národní a kulturní identity a </w:t>
      </w:r>
      <w:r w:rsidRPr="00DC4B99">
        <w:rPr>
          <w:b/>
          <w:color w:val="000000"/>
          <w:shd w:val="clear" w:color="auto" w:fill="FFFFFF"/>
        </w:rPr>
        <w:t>umění.</w:t>
      </w:r>
      <w:r w:rsidR="00CA2A32">
        <w:rPr>
          <w:b/>
          <w:color w:val="000000"/>
          <w:shd w:val="clear" w:color="auto" w:fill="FFFFFF"/>
        </w:rPr>
        <w:t xml:space="preserve"> Tento cíl bude realizován v souladu s platnou Koncepcí</w:t>
      </w:r>
      <w:r w:rsidR="00CA2A32">
        <w:rPr>
          <w:rStyle w:val="Znakapoznpodarou"/>
          <w:b/>
          <w:color w:val="000000"/>
          <w:shd w:val="clear" w:color="auto" w:fill="FFFFFF"/>
        </w:rPr>
        <w:footnoteReference w:id="1"/>
      </w:r>
      <w:r w:rsidR="00CA2A32">
        <w:rPr>
          <w:b/>
          <w:color w:val="000000"/>
          <w:shd w:val="clear" w:color="auto" w:fill="FFFFFF"/>
        </w:rPr>
        <w:t>.</w:t>
      </w:r>
    </w:p>
    <w:p w:rsidR="00EA1F75" w:rsidRPr="00B51465" w:rsidRDefault="00EA1F75" w:rsidP="00D37961">
      <w:pPr>
        <w:rPr>
          <w:color w:val="000000"/>
          <w:shd w:val="clear" w:color="auto" w:fill="FFFFFF"/>
        </w:rPr>
      </w:pPr>
    </w:p>
    <w:p w:rsidR="00EA1F75" w:rsidRDefault="00EA1F75" w:rsidP="00B51465">
      <w:pPr>
        <w:pStyle w:val="Nadpis2"/>
      </w:pPr>
      <w:bookmarkStart w:id="11" w:name="_Toc61616874"/>
      <w:r w:rsidRPr="00236002">
        <w:t>5.</w:t>
      </w:r>
      <w:r>
        <w:t>2</w:t>
      </w:r>
      <w:r w:rsidRPr="00236002">
        <w:t xml:space="preserve"> </w:t>
      </w:r>
      <w:r>
        <w:t xml:space="preserve">Strategické cíle, specifické cíle a </w:t>
      </w:r>
      <w:proofErr w:type="spellStart"/>
      <w:r>
        <w:t>tématické</w:t>
      </w:r>
      <w:proofErr w:type="spellEnd"/>
      <w:r>
        <w:t xml:space="preserve"> priority / témata Programu</w:t>
      </w:r>
      <w:bookmarkEnd w:id="11"/>
    </w:p>
    <w:p w:rsidR="00EA1F75" w:rsidRDefault="00EA1F75" w:rsidP="00D37961">
      <w:pPr>
        <w:rPr>
          <w:color w:val="000000"/>
          <w:shd w:val="clear" w:color="auto" w:fill="FFFFFF"/>
        </w:rPr>
      </w:pPr>
      <w:r w:rsidRPr="002B18C5">
        <w:rPr>
          <w:color w:val="000000"/>
          <w:shd w:val="clear" w:color="auto" w:fill="FFFFFF"/>
        </w:rPr>
        <w:t xml:space="preserve">Strategické cíle, specifické cíle a </w:t>
      </w:r>
      <w:proofErr w:type="spellStart"/>
      <w:r w:rsidRPr="002B18C5">
        <w:rPr>
          <w:color w:val="000000"/>
          <w:shd w:val="clear" w:color="auto" w:fill="FFFFFF"/>
        </w:rPr>
        <w:t>tématické</w:t>
      </w:r>
      <w:proofErr w:type="spellEnd"/>
      <w:r w:rsidRPr="002B18C5">
        <w:rPr>
          <w:color w:val="000000"/>
          <w:shd w:val="clear" w:color="auto" w:fill="FFFFFF"/>
        </w:rPr>
        <w:t xml:space="preserve"> priority / témata Programu</w:t>
      </w:r>
      <w:r>
        <w:rPr>
          <w:color w:val="000000"/>
          <w:shd w:val="clear" w:color="auto" w:fill="FFFFFF"/>
        </w:rPr>
        <w:t xml:space="preserve"> implementují schválenou Koncepci a jsou přehledně shrnuty v následující tabulce č. 1 (uvedeny jsou jen ty cíle </w:t>
      </w:r>
      <w:r>
        <w:t>z Koncepce, které se týkají Programu)</w:t>
      </w:r>
      <w:r>
        <w:rPr>
          <w:color w:val="000000"/>
          <w:shd w:val="clear" w:color="auto" w:fill="FFFFFF"/>
        </w:rPr>
        <w:t>.</w:t>
      </w:r>
    </w:p>
    <w:p w:rsidR="00EA1F75" w:rsidRDefault="00EA1F75" w:rsidP="00D37961">
      <w:pPr>
        <w:rPr>
          <w:color w:val="000000"/>
          <w:shd w:val="clear" w:color="auto" w:fill="FFFFFF"/>
        </w:rPr>
      </w:pPr>
    </w:p>
    <w:p w:rsidR="00EA1F75" w:rsidRPr="00A96192" w:rsidRDefault="00EA1F75" w:rsidP="00D37961">
      <w:pPr>
        <w:keepNext/>
        <w:rPr>
          <w:b/>
          <w:color w:val="000000"/>
          <w:shd w:val="clear" w:color="auto" w:fill="FFFFFF"/>
        </w:rPr>
      </w:pPr>
      <w:r w:rsidRPr="00A96192">
        <w:rPr>
          <w:b/>
          <w:color w:val="000000"/>
          <w:shd w:val="clear" w:color="auto" w:fill="FFFFFF"/>
        </w:rPr>
        <w:t xml:space="preserve">Tab. </w:t>
      </w:r>
      <w:proofErr w:type="gramStart"/>
      <w:r w:rsidRPr="00A96192">
        <w:rPr>
          <w:b/>
          <w:color w:val="000000"/>
          <w:shd w:val="clear" w:color="auto" w:fill="FFFFFF"/>
        </w:rPr>
        <w:t>č.</w:t>
      </w:r>
      <w:proofErr w:type="gramEnd"/>
      <w:r w:rsidRPr="00A96192">
        <w:rPr>
          <w:b/>
          <w:color w:val="000000"/>
          <w:shd w:val="clear" w:color="auto" w:fill="FFFFFF"/>
        </w:rPr>
        <w:t xml:space="preserve"> 1 Strategické cíle, specifické cíle a </w:t>
      </w:r>
      <w:proofErr w:type="spellStart"/>
      <w:r w:rsidRPr="00A96192">
        <w:rPr>
          <w:b/>
          <w:color w:val="000000"/>
          <w:shd w:val="clear" w:color="auto" w:fill="FFFFFF"/>
        </w:rPr>
        <w:t>tématické</w:t>
      </w:r>
      <w:proofErr w:type="spellEnd"/>
      <w:r w:rsidRPr="00A96192">
        <w:rPr>
          <w:b/>
          <w:color w:val="000000"/>
          <w:shd w:val="clear" w:color="auto" w:fill="FFFFFF"/>
        </w:rPr>
        <w:t xml:space="preserve"> priority / témata Programu</w:t>
      </w:r>
    </w:p>
    <w:tbl>
      <w:tblPr>
        <w:tblW w:w="9367" w:type="dxa"/>
        <w:tblInd w:w="63" w:type="dxa"/>
        <w:tblCellMar>
          <w:left w:w="70" w:type="dxa"/>
          <w:right w:w="70" w:type="dxa"/>
        </w:tblCellMar>
        <w:tblLook w:val="0000" w:firstRow="0" w:lastRow="0" w:firstColumn="0" w:lastColumn="0" w:noHBand="0" w:noVBand="0"/>
      </w:tblPr>
      <w:tblGrid>
        <w:gridCol w:w="320"/>
        <w:gridCol w:w="1667"/>
        <w:gridCol w:w="360"/>
        <w:gridCol w:w="2160"/>
        <w:gridCol w:w="415"/>
        <w:gridCol w:w="4500"/>
      </w:tblGrid>
      <w:tr w:rsidR="00EA1F75" w:rsidTr="00310E97">
        <w:trPr>
          <w:trHeight w:val="300"/>
          <w:tblHeader/>
        </w:trPr>
        <w:tc>
          <w:tcPr>
            <w:tcW w:w="1987" w:type="dxa"/>
            <w:gridSpan w:val="2"/>
            <w:tcBorders>
              <w:top w:val="single" w:sz="12" w:space="0" w:color="auto"/>
              <w:left w:val="single" w:sz="12" w:space="0" w:color="auto"/>
              <w:bottom w:val="single" w:sz="4" w:space="0" w:color="auto"/>
              <w:right w:val="single" w:sz="4" w:space="0" w:color="auto"/>
            </w:tcBorders>
            <w:shd w:val="clear" w:color="auto" w:fill="FFFF99"/>
            <w:noWrap/>
            <w:vAlign w:val="center"/>
          </w:tcPr>
          <w:p w:rsidR="00EA1F75" w:rsidRPr="00A96192" w:rsidRDefault="00EA1F75" w:rsidP="00D37961">
            <w:pPr>
              <w:keepNext/>
              <w:spacing w:line="264" w:lineRule="auto"/>
              <w:jc w:val="center"/>
              <w:rPr>
                <w:b/>
                <w:bCs/>
                <w:i/>
                <w:iCs/>
                <w:color w:val="000000"/>
              </w:rPr>
            </w:pPr>
            <w:r w:rsidRPr="00A96192">
              <w:rPr>
                <w:b/>
                <w:bCs/>
                <w:i/>
                <w:iCs/>
                <w:color w:val="000000"/>
                <w:sz w:val="22"/>
                <w:szCs w:val="22"/>
              </w:rPr>
              <w:t>Strategický cíl</w:t>
            </w:r>
          </w:p>
        </w:tc>
        <w:tc>
          <w:tcPr>
            <w:tcW w:w="2520" w:type="dxa"/>
            <w:gridSpan w:val="2"/>
            <w:tcBorders>
              <w:top w:val="single" w:sz="12" w:space="0" w:color="auto"/>
              <w:left w:val="nil"/>
              <w:bottom w:val="single" w:sz="4" w:space="0" w:color="auto"/>
              <w:right w:val="single" w:sz="4" w:space="0" w:color="auto"/>
            </w:tcBorders>
            <w:shd w:val="clear" w:color="auto" w:fill="FFFF99"/>
            <w:noWrap/>
            <w:vAlign w:val="center"/>
          </w:tcPr>
          <w:p w:rsidR="00EA1F75" w:rsidRPr="00A96192" w:rsidRDefault="00EA1F75" w:rsidP="00D37961">
            <w:pPr>
              <w:keepNext/>
              <w:spacing w:line="264" w:lineRule="auto"/>
              <w:jc w:val="center"/>
              <w:rPr>
                <w:b/>
                <w:bCs/>
                <w:i/>
                <w:iCs/>
                <w:color w:val="000000"/>
              </w:rPr>
            </w:pPr>
            <w:r w:rsidRPr="00A96192">
              <w:rPr>
                <w:b/>
                <w:bCs/>
                <w:i/>
                <w:iCs/>
                <w:color w:val="000000"/>
                <w:sz w:val="22"/>
                <w:szCs w:val="22"/>
              </w:rPr>
              <w:t>Specifický cíl</w:t>
            </w:r>
          </w:p>
        </w:tc>
        <w:tc>
          <w:tcPr>
            <w:tcW w:w="4860" w:type="dxa"/>
            <w:gridSpan w:val="2"/>
            <w:tcBorders>
              <w:top w:val="single" w:sz="12" w:space="0" w:color="auto"/>
              <w:left w:val="nil"/>
              <w:bottom w:val="single" w:sz="4" w:space="0" w:color="auto"/>
              <w:right w:val="single" w:sz="12" w:space="0" w:color="auto"/>
            </w:tcBorders>
            <w:shd w:val="clear" w:color="auto" w:fill="FFFF99"/>
            <w:noWrap/>
            <w:vAlign w:val="center"/>
          </w:tcPr>
          <w:p w:rsidR="00EA1F75" w:rsidRPr="00A96192" w:rsidRDefault="00EA1F75" w:rsidP="00D37961">
            <w:pPr>
              <w:keepNext/>
              <w:spacing w:line="264" w:lineRule="auto"/>
              <w:jc w:val="center"/>
              <w:rPr>
                <w:b/>
                <w:bCs/>
                <w:i/>
                <w:iCs/>
                <w:color w:val="000000"/>
              </w:rPr>
            </w:pPr>
            <w:r w:rsidRPr="00A96192">
              <w:rPr>
                <w:b/>
                <w:bCs/>
                <w:i/>
                <w:iCs/>
                <w:sz w:val="22"/>
                <w:szCs w:val="22"/>
              </w:rPr>
              <w:t>Tematické</w:t>
            </w:r>
            <w:r w:rsidRPr="00A96192">
              <w:rPr>
                <w:b/>
                <w:bCs/>
                <w:i/>
                <w:iCs/>
                <w:color w:val="FFFF00"/>
                <w:sz w:val="22"/>
                <w:szCs w:val="22"/>
              </w:rPr>
              <w:t xml:space="preserve"> </w:t>
            </w:r>
            <w:r w:rsidRPr="00A96192">
              <w:rPr>
                <w:b/>
                <w:bCs/>
                <w:i/>
                <w:iCs/>
                <w:color w:val="000000"/>
                <w:sz w:val="22"/>
                <w:szCs w:val="22"/>
              </w:rPr>
              <w:t>priority / témata</w:t>
            </w:r>
            <w:r>
              <w:rPr>
                <w:b/>
                <w:bCs/>
                <w:i/>
                <w:iCs/>
                <w:color w:val="000000"/>
                <w:sz w:val="22"/>
                <w:szCs w:val="22"/>
              </w:rPr>
              <w:t>*</w:t>
            </w:r>
          </w:p>
        </w:tc>
      </w:tr>
      <w:tr w:rsidR="00EA1F75" w:rsidTr="00310E97">
        <w:trPr>
          <w:trHeight w:val="285"/>
          <w:tblHeader/>
        </w:trPr>
        <w:tc>
          <w:tcPr>
            <w:tcW w:w="320" w:type="dxa"/>
            <w:tcBorders>
              <w:top w:val="nil"/>
              <w:left w:val="single" w:sz="12" w:space="0" w:color="auto"/>
              <w:bottom w:val="single" w:sz="12" w:space="0" w:color="auto"/>
              <w:right w:val="single" w:sz="4" w:space="0" w:color="auto"/>
            </w:tcBorders>
            <w:shd w:val="clear" w:color="auto" w:fill="D9D9D9"/>
            <w:noWrap/>
            <w:vAlign w:val="center"/>
          </w:tcPr>
          <w:p w:rsidR="00EA1F75" w:rsidRPr="00A96192" w:rsidRDefault="00EA1F75" w:rsidP="00D37961">
            <w:pPr>
              <w:spacing w:line="264" w:lineRule="auto"/>
              <w:jc w:val="center"/>
              <w:rPr>
                <w:b/>
                <w:bCs/>
                <w:i/>
                <w:iCs/>
                <w:color w:val="000000"/>
              </w:rPr>
            </w:pPr>
            <w:r w:rsidRPr="00A96192">
              <w:rPr>
                <w:b/>
                <w:bCs/>
                <w:i/>
                <w:iCs/>
                <w:color w:val="000000"/>
                <w:sz w:val="22"/>
                <w:szCs w:val="22"/>
              </w:rPr>
              <w:t>č.</w:t>
            </w:r>
          </w:p>
        </w:tc>
        <w:tc>
          <w:tcPr>
            <w:tcW w:w="1667" w:type="dxa"/>
            <w:tcBorders>
              <w:top w:val="nil"/>
              <w:left w:val="nil"/>
              <w:bottom w:val="single" w:sz="12" w:space="0" w:color="auto"/>
              <w:right w:val="single" w:sz="4" w:space="0" w:color="auto"/>
            </w:tcBorders>
            <w:shd w:val="clear" w:color="auto" w:fill="D9D9D9"/>
            <w:noWrap/>
            <w:vAlign w:val="center"/>
          </w:tcPr>
          <w:p w:rsidR="00EA1F75" w:rsidRPr="00A96192" w:rsidRDefault="00EA1F75" w:rsidP="00D37961">
            <w:pPr>
              <w:spacing w:line="264" w:lineRule="auto"/>
              <w:jc w:val="center"/>
              <w:rPr>
                <w:b/>
                <w:bCs/>
                <w:i/>
                <w:iCs/>
                <w:color w:val="000000"/>
              </w:rPr>
            </w:pPr>
            <w:r w:rsidRPr="00A96192">
              <w:rPr>
                <w:b/>
                <w:bCs/>
                <w:i/>
                <w:iCs/>
                <w:color w:val="000000"/>
                <w:sz w:val="22"/>
                <w:szCs w:val="22"/>
              </w:rPr>
              <w:t>znění</w:t>
            </w:r>
          </w:p>
        </w:tc>
        <w:tc>
          <w:tcPr>
            <w:tcW w:w="360" w:type="dxa"/>
            <w:tcBorders>
              <w:top w:val="nil"/>
              <w:left w:val="nil"/>
              <w:bottom w:val="single" w:sz="12" w:space="0" w:color="auto"/>
              <w:right w:val="single" w:sz="4" w:space="0" w:color="auto"/>
            </w:tcBorders>
            <w:shd w:val="clear" w:color="auto" w:fill="D9D9D9"/>
            <w:noWrap/>
            <w:vAlign w:val="center"/>
          </w:tcPr>
          <w:p w:rsidR="00EA1F75" w:rsidRPr="00A96192" w:rsidRDefault="00EA1F75" w:rsidP="00D37961">
            <w:pPr>
              <w:spacing w:line="264" w:lineRule="auto"/>
              <w:jc w:val="center"/>
              <w:rPr>
                <w:b/>
                <w:bCs/>
                <w:i/>
                <w:iCs/>
                <w:color w:val="000000"/>
              </w:rPr>
            </w:pPr>
            <w:r w:rsidRPr="00A96192">
              <w:rPr>
                <w:b/>
                <w:bCs/>
                <w:i/>
                <w:iCs/>
                <w:color w:val="000000"/>
                <w:sz w:val="22"/>
                <w:szCs w:val="22"/>
              </w:rPr>
              <w:t>č.</w:t>
            </w:r>
          </w:p>
        </w:tc>
        <w:tc>
          <w:tcPr>
            <w:tcW w:w="2160" w:type="dxa"/>
            <w:tcBorders>
              <w:top w:val="nil"/>
              <w:left w:val="nil"/>
              <w:bottom w:val="single" w:sz="12" w:space="0" w:color="auto"/>
              <w:right w:val="single" w:sz="4" w:space="0" w:color="auto"/>
            </w:tcBorders>
            <w:shd w:val="clear" w:color="auto" w:fill="D9D9D9"/>
            <w:noWrap/>
            <w:vAlign w:val="center"/>
          </w:tcPr>
          <w:p w:rsidR="00EA1F75" w:rsidRPr="00A96192" w:rsidRDefault="00EA1F75" w:rsidP="00D37961">
            <w:pPr>
              <w:spacing w:line="264" w:lineRule="auto"/>
              <w:jc w:val="center"/>
              <w:rPr>
                <w:b/>
                <w:bCs/>
                <w:i/>
                <w:iCs/>
                <w:color w:val="000000"/>
              </w:rPr>
            </w:pPr>
            <w:r w:rsidRPr="00A96192">
              <w:rPr>
                <w:b/>
                <w:bCs/>
                <w:i/>
                <w:iCs/>
                <w:color w:val="000000"/>
                <w:sz w:val="22"/>
                <w:szCs w:val="22"/>
              </w:rPr>
              <w:t>znění</w:t>
            </w:r>
          </w:p>
        </w:tc>
        <w:tc>
          <w:tcPr>
            <w:tcW w:w="360" w:type="dxa"/>
            <w:tcBorders>
              <w:top w:val="nil"/>
              <w:left w:val="nil"/>
              <w:bottom w:val="single" w:sz="12" w:space="0" w:color="auto"/>
              <w:right w:val="single" w:sz="4" w:space="0" w:color="auto"/>
            </w:tcBorders>
            <w:shd w:val="clear" w:color="auto" w:fill="D9D9D9"/>
            <w:noWrap/>
            <w:vAlign w:val="center"/>
          </w:tcPr>
          <w:p w:rsidR="00EA1F75" w:rsidRPr="00A96192" w:rsidRDefault="00EA1F75" w:rsidP="00D37961">
            <w:pPr>
              <w:spacing w:line="264" w:lineRule="auto"/>
              <w:jc w:val="center"/>
              <w:rPr>
                <w:b/>
                <w:bCs/>
                <w:i/>
                <w:iCs/>
                <w:color w:val="000000"/>
              </w:rPr>
            </w:pPr>
            <w:r w:rsidRPr="00A96192">
              <w:rPr>
                <w:b/>
                <w:bCs/>
                <w:i/>
                <w:iCs/>
                <w:color w:val="000000"/>
                <w:sz w:val="22"/>
                <w:szCs w:val="22"/>
              </w:rPr>
              <w:t>č.</w:t>
            </w:r>
          </w:p>
        </w:tc>
        <w:tc>
          <w:tcPr>
            <w:tcW w:w="4500" w:type="dxa"/>
            <w:tcBorders>
              <w:top w:val="nil"/>
              <w:left w:val="nil"/>
              <w:bottom w:val="single" w:sz="12" w:space="0" w:color="auto"/>
              <w:right w:val="single" w:sz="12" w:space="0" w:color="auto"/>
            </w:tcBorders>
            <w:shd w:val="clear" w:color="auto" w:fill="D9D9D9"/>
            <w:noWrap/>
            <w:vAlign w:val="center"/>
          </w:tcPr>
          <w:p w:rsidR="00EA1F75" w:rsidRPr="00A96192" w:rsidRDefault="00EA1F75" w:rsidP="00D37961">
            <w:pPr>
              <w:spacing w:line="264" w:lineRule="auto"/>
              <w:jc w:val="center"/>
              <w:rPr>
                <w:b/>
                <w:bCs/>
                <w:i/>
                <w:iCs/>
                <w:color w:val="000000"/>
              </w:rPr>
            </w:pPr>
            <w:r w:rsidRPr="00A96192">
              <w:rPr>
                <w:b/>
                <w:bCs/>
                <w:i/>
                <w:iCs/>
                <w:color w:val="000000"/>
                <w:sz w:val="22"/>
                <w:szCs w:val="22"/>
              </w:rPr>
              <w:t>znění</w:t>
            </w:r>
          </w:p>
        </w:tc>
      </w:tr>
      <w:tr w:rsidR="00EA1F75" w:rsidTr="00310E97">
        <w:trPr>
          <w:trHeight w:val="495"/>
        </w:trPr>
        <w:tc>
          <w:tcPr>
            <w:tcW w:w="320" w:type="dxa"/>
            <w:vMerge w:val="restart"/>
            <w:tcBorders>
              <w:top w:val="single" w:sz="12" w:space="0" w:color="auto"/>
              <w:left w:val="single" w:sz="12" w:space="0" w:color="auto"/>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1.</w:t>
            </w:r>
          </w:p>
        </w:tc>
        <w:tc>
          <w:tcPr>
            <w:tcW w:w="1667" w:type="dxa"/>
            <w:vMerge w:val="restart"/>
            <w:tcBorders>
              <w:top w:val="single" w:sz="12" w:space="0" w:color="auto"/>
              <w:left w:val="single" w:sz="4" w:space="0" w:color="auto"/>
              <w:bottom w:val="single" w:sz="12"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 xml:space="preserve">Zaměřit podporu poskytovanou podle </w:t>
            </w:r>
            <w:r>
              <w:rPr>
                <w:color w:val="000000"/>
                <w:sz w:val="22"/>
                <w:szCs w:val="22"/>
              </w:rPr>
              <w:t>Programu</w:t>
            </w:r>
            <w:r w:rsidRPr="00A96192">
              <w:rPr>
                <w:color w:val="000000"/>
                <w:sz w:val="22"/>
                <w:szCs w:val="22"/>
              </w:rPr>
              <w:t xml:space="preserve"> do oblasti národní a kulturní identity</w:t>
            </w:r>
          </w:p>
        </w:tc>
        <w:tc>
          <w:tcPr>
            <w:tcW w:w="360" w:type="dxa"/>
            <w:vMerge w:val="restart"/>
            <w:tcBorders>
              <w:top w:val="single" w:sz="12" w:space="0" w:color="auto"/>
              <w:left w:val="single" w:sz="4" w:space="0" w:color="auto"/>
              <w:bottom w:val="single" w:sz="4" w:space="0" w:color="auto"/>
              <w:right w:val="single" w:sz="4" w:space="0" w:color="auto"/>
            </w:tcBorders>
            <w:noWrap/>
          </w:tcPr>
          <w:p w:rsidR="00EA1F75" w:rsidRPr="00A96192" w:rsidRDefault="00EA1F75" w:rsidP="00D37961">
            <w:pPr>
              <w:spacing w:line="264" w:lineRule="auto"/>
              <w:jc w:val="center"/>
              <w:rPr>
                <w:color w:val="000000"/>
              </w:rPr>
            </w:pPr>
            <w:r w:rsidRPr="00A96192">
              <w:rPr>
                <w:color w:val="000000"/>
                <w:sz w:val="22"/>
                <w:szCs w:val="22"/>
              </w:rPr>
              <w:t>1.</w:t>
            </w:r>
          </w:p>
        </w:tc>
        <w:tc>
          <w:tcPr>
            <w:tcW w:w="2160" w:type="dxa"/>
            <w:vMerge w:val="restart"/>
            <w:tcBorders>
              <w:top w:val="single" w:sz="12" w:space="0" w:color="auto"/>
              <w:left w:val="single" w:sz="4" w:space="0" w:color="auto"/>
              <w:bottom w:val="single" w:sz="4"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Národní a kulturní identita v historii a archeologii</w:t>
            </w:r>
          </w:p>
        </w:tc>
        <w:tc>
          <w:tcPr>
            <w:tcW w:w="360" w:type="dxa"/>
            <w:tcBorders>
              <w:top w:val="single" w:sz="12" w:space="0" w:color="auto"/>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w:t>
            </w:r>
          </w:p>
        </w:tc>
        <w:tc>
          <w:tcPr>
            <w:tcW w:w="4500" w:type="dxa"/>
            <w:tcBorders>
              <w:top w:val="single" w:sz="12" w:space="0" w:color="auto"/>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 archeologické, historické a sociálně kulturní kontinuitě či diskontinuitě a jejich reflexi na historickém území českého státu</w:t>
            </w:r>
          </w:p>
        </w:tc>
      </w:tr>
      <w:tr w:rsidR="00EA1F75" w:rsidTr="00310E97">
        <w:trPr>
          <w:trHeight w:val="25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2.</w:t>
            </w:r>
          </w:p>
        </w:tc>
        <w:tc>
          <w:tcPr>
            <w:tcW w:w="4500" w:type="dxa"/>
            <w:tcBorders>
              <w:top w:val="nil"/>
              <w:left w:val="nil"/>
              <w:bottom w:val="single" w:sz="4" w:space="0" w:color="auto"/>
              <w:right w:val="single" w:sz="12" w:space="0" w:color="auto"/>
            </w:tcBorders>
            <w:noWrap/>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a původ a vývoj sídelních areálů</w:t>
            </w:r>
          </w:p>
        </w:tc>
      </w:tr>
      <w:tr w:rsidR="00EA1F75" w:rsidTr="00310E97">
        <w:trPr>
          <w:trHeight w:val="25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3.</w:t>
            </w:r>
          </w:p>
        </w:tc>
        <w:tc>
          <w:tcPr>
            <w:tcW w:w="4500" w:type="dxa"/>
            <w:tcBorders>
              <w:top w:val="nil"/>
              <w:left w:val="nil"/>
              <w:bottom w:val="single" w:sz="4" w:space="0" w:color="auto"/>
              <w:right w:val="single" w:sz="12" w:space="0" w:color="auto"/>
            </w:tcBorders>
            <w:noWrap/>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 proměnách a exploataci kulturní krajiny</w:t>
            </w:r>
          </w:p>
        </w:tc>
      </w:tr>
      <w:tr w:rsidR="00EA1F75" w:rsidTr="00310E97">
        <w:trPr>
          <w:trHeight w:val="25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4.</w:t>
            </w:r>
          </w:p>
        </w:tc>
        <w:tc>
          <w:tcPr>
            <w:tcW w:w="4500" w:type="dxa"/>
            <w:tcBorders>
              <w:top w:val="nil"/>
              <w:left w:val="nil"/>
              <w:bottom w:val="single" w:sz="4" w:space="0" w:color="auto"/>
              <w:right w:val="single" w:sz="12" w:space="0" w:color="auto"/>
            </w:tcBorders>
            <w:noWrap/>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 paměťové kultuře národa</w:t>
            </w:r>
          </w:p>
        </w:tc>
      </w:tr>
      <w:tr w:rsidR="00EA1F75" w:rsidTr="00310E97">
        <w:trPr>
          <w:trHeight w:val="27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5.</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 udržování a rozvoji historického a kulturního vědomí</w:t>
            </w:r>
          </w:p>
        </w:tc>
      </w:tr>
      <w:tr w:rsidR="00EA1F75" w:rsidTr="00310E97">
        <w:trPr>
          <w:trHeight w:val="27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6.</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ve vztahu k vnějšímu evropskému kulturnímu prostředí</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7.</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 kultuře menšin na historickém území a za hranicemi českého státu a jejich souvislostí v evropském kontextu</w:t>
            </w:r>
          </w:p>
        </w:tc>
      </w:tr>
      <w:tr w:rsidR="00EA1F75" w:rsidTr="00310E97">
        <w:trPr>
          <w:trHeight w:val="25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vMerge w:val="restart"/>
            <w:tcBorders>
              <w:top w:val="nil"/>
              <w:left w:val="single" w:sz="4" w:space="0" w:color="auto"/>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2.</w:t>
            </w:r>
          </w:p>
        </w:tc>
        <w:tc>
          <w:tcPr>
            <w:tcW w:w="2160" w:type="dxa"/>
            <w:vMerge w:val="restart"/>
            <w:tcBorders>
              <w:top w:val="nil"/>
              <w:left w:val="single" w:sz="4" w:space="0" w:color="auto"/>
              <w:bottom w:val="single" w:sz="4"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Národní, regionální a lokální aspekty v jazykové, literární a kulturní identitě</w:t>
            </w: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8.</w:t>
            </w:r>
          </w:p>
        </w:tc>
        <w:tc>
          <w:tcPr>
            <w:tcW w:w="4500" w:type="dxa"/>
            <w:tcBorders>
              <w:top w:val="nil"/>
              <w:left w:val="nil"/>
              <w:bottom w:val="single" w:sz="4" w:space="0" w:color="auto"/>
              <w:right w:val="single" w:sz="12" w:space="0" w:color="auto"/>
            </w:tcBorders>
            <w:noWrap/>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regionální a lokální aspekty v českém jazyce a literatuře</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9.</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regionální a lokální aspekty v jazykových, literárních a kulturních specifikách regionů a formování regionálních a lokálních identit</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10.</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regionální a lokální aspekty v jazykových, literárních a kulturních aspektech a důsledcích procesů evropské integrace a globalizace</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vMerge w:val="restart"/>
            <w:tcBorders>
              <w:top w:val="nil"/>
              <w:left w:val="single" w:sz="4" w:space="0" w:color="auto"/>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3.</w:t>
            </w:r>
          </w:p>
        </w:tc>
        <w:tc>
          <w:tcPr>
            <w:tcW w:w="2160" w:type="dxa"/>
            <w:vMerge w:val="restart"/>
            <w:tcBorders>
              <w:top w:val="nil"/>
              <w:left w:val="single" w:sz="4" w:space="0" w:color="auto"/>
              <w:bottom w:val="single" w:sz="4"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Národní a kulturní identita ve výzkumu umělecké tvorby</w:t>
            </w: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11.</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 uchování, dokumentaci a evidenci kulturního dědictví v oblasti lidové kultury a tradice, hudby, divadla a filmu,</w:t>
            </w:r>
          </w:p>
        </w:tc>
      </w:tr>
      <w:tr w:rsidR="00EA1F75" w:rsidTr="00310E97">
        <w:trPr>
          <w:trHeight w:val="78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12.</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 regionálních a lokálních kulturně-uměleckých aktivitách, odhalení rizik dalšího vývoje, včetně výzkumu důsledků postupů zaměřených na podporu kulturních aktivit a péči o nehmotné kulturní dědictví</w:t>
            </w:r>
          </w:p>
        </w:tc>
      </w:tr>
      <w:tr w:rsidR="00EA1F75" w:rsidTr="00310E97">
        <w:trPr>
          <w:trHeight w:val="76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13.</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 xml:space="preserve">árodní a kulturní identita v hodnocení společensko-kulturních dopadů současné živé kultury a umění na rozvoj demokratické </w:t>
            </w:r>
            <w:r w:rsidRPr="00A96192">
              <w:rPr>
                <w:color w:val="000000"/>
                <w:sz w:val="22"/>
                <w:szCs w:val="22"/>
              </w:rPr>
              <w:lastRenderedPageBreak/>
              <w:t>společnosti a zlepšování přístupu ke kulturním statkům</w:t>
            </w:r>
          </w:p>
        </w:tc>
      </w:tr>
      <w:tr w:rsidR="00EA1F75" w:rsidTr="00310E97">
        <w:trPr>
          <w:trHeight w:val="55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14.</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N</w:t>
            </w:r>
            <w:r w:rsidRPr="00A96192">
              <w:rPr>
                <w:color w:val="000000"/>
                <w:sz w:val="22"/>
                <w:szCs w:val="22"/>
              </w:rPr>
              <w:t>árodní a kulturní identita ve sledování a hodnocení multiplikačních ekonomických efektů kulturní a umělecké činnosti a využívání kulturního dědictví</w:t>
            </w:r>
          </w:p>
        </w:tc>
      </w:tr>
      <w:tr w:rsidR="00EA1F75" w:rsidTr="00310E97">
        <w:trPr>
          <w:trHeight w:val="76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vMerge w:val="restart"/>
            <w:tcBorders>
              <w:top w:val="nil"/>
              <w:left w:val="single" w:sz="4" w:space="0" w:color="auto"/>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4.</w:t>
            </w:r>
          </w:p>
        </w:tc>
        <w:tc>
          <w:tcPr>
            <w:tcW w:w="2160" w:type="dxa"/>
            <w:vMerge w:val="restart"/>
            <w:tcBorders>
              <w:top w:val="nil"/>
              <w:left w:val="single" w:sz="4" w:space="0" w:color="auto"/>
              <w:bottom w:val="single" w:sz="4"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Národní a kulturní identita v péči o kulturní dědictví a území s historickými hodnotami</w:t>
            </w: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15.</w:t>
            </w:r>
          </w:p>
        </w:tc>
        <w:tc>
          <w:tcPr>
            <w:tcW w:w="4500" w:type="dxa"/>
            <w:tcBorders>
              <w:top w:val="nil"/>
              <w:left w:val="nil"/>
              <w:bottom w:val="single" w:sz="4" w:space="0" w:color="auto"/>
              <w:right w:val="single" w:sz="12" w:space="0" w:color="auto"/>
            </w:tcBorders>
          </w:tcPr>
          <w:p w:rsidR="00EA1F75" w:rsidRPr="00A96192" w:rsidRDefault="00EA1F75" w:rsidP="0036167C">
            <w:pPr>
              <w:spacing w:line="264" w:lineRule="auto"/>
              <w:rPr>
                <w:color w:val="000000"/>
              </w:rPr>
            </w:pPr>
            <w:r>
              <w:rPr>
                <w:color w:val="000000"/>
                <w:sz w:val="22"/>
                <w:szCs w:val="22"/>
              </w:rPr>
              <w:t>O</w:t>
            </w:r>
            <w:r w:rsidRPr="00A96192">
              <w:rPr>
                <w:color w:val="000000"/>
                <w:sz w:val="22"/>
                <w:szCs w:val="22"/>
              </w:rPr>
              <w:t xml:space="preserve">chrana, konzervace, restaurování a prevence národního nemovitého a movitého kulturního dědictví pro jeho uchování a pro zkvalitnění systému péče o památky a sbírkové fondy, včetně muzejních, </w:t>
            </w:r>
            <w:r>
              <w:rPr>
                <w:color w:val="000000"/>
                <w:sz w:val="22"/>
                <w:szCs w:val="22"/>
              </w:rPr>
              <w:t xml:space="preserve">galerijních, </w:t>
            </w:r>
            <w:r w:rsidRPr="00A96192">
              <w:rPr>
                <w:color w:val="000000"/>
                <w:sz w:val="22"/>
                <w:szCs w:val="22"/>
              </w:rPr>
              <w:t>knihovních a archivních</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16.</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M</w:t>
            </w:r>
            <w:r w:rsidRPr="00A96192">
              <w:rPr>
                <w:color w:val="000000"/>
                <w:sz w:val="22"/>
                <w:szCs w:val="22"/>
              </w:rPr>
              <w:t>etody identifikace, dokumentace, evidence a interpretace národního nemovitého a movitého kulturního dědictví</w:t>
            </w:r>
          </w:p>
        </w:tc>
      </w:tr>
      <w:tr w:rsidR="00EA1F75" w:rsidTr="00310E97">
        <w:trPr>
          <w:trHeight w:val="76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17.</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O</w:t>
            </w:r>
            <w:r w:rsidRPr="00A96192">
              <w:rPr>
                <w:color w:val="000000"/>
                <w:sz w:val="22"/>
                <w:szCs w:val="22"/>
              </w:rPr>
              <w:t>chrana nejohroženějších typologických skupin národního nemovitého a movitého kulturního dědictví s využitím nástrojů pro jejich identifikaci, dokumentaci a evidenci a pro jejich systematickou záchranu a využití</w:t>
            </w:r>
          </w:p>
        </w:tc>
      </w:tr>
      <w:tr w:rsidR="00EA1F75" w:rsidTr="00310E97">
        <w:trPr>
          <w:trHeight w:val="102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18.</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P</w:t>
            </w:r>
            <w:r w:rsidRPr="00A96192">
              <w:rPr>
                <w:color w:val="000000"/>
                <w:sz w:val="22"/>
                <w:szCs w:val="22"/>
              </w:rPr>
              <w:t>éče o národní architektonické dědictví a historické a urbanistické struktury a jejich rozvoj (včetně hodnocení dopadů moderní architektury) na kvalitu kulturně historických hodnot území, včetně zhodnocení významu nezastavěných a zastavěných území</w:t>
            </w:r>
          </w:p>
        </w:tc>
      </w:tr>
      <w:tr w:rsidR="00EA1F75" w:rsidTr="00310E97">
        <w:trPr>
          <w:trHeight w:val="52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19.</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P</w:t>
            </w:r>
            <w:r w:rsidRPr="00A96192">
              <w:rPr>
                <w:color w:val="000000"/>
                <w:sz w:val="22"/>
                <w:szCs w:val="22"/>
              </w:rPr>
              <w:t>éče o národní movité kulturní dědictví ve sbírkotvorných institucích s využitím nástrojů a aplikací moderních způsobů ukládání, uchovávání a prezentace</w:t>
            </w:r>
          </w:p>
        </w:tc>
      </w:tr>
      <w:tr w:rsidR="00EA1F75" w:rsidTr="00310E97">
        <w:trPr>
          <w:trHeight w:val="78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20.</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I</w:t>
            </w:r>
            <w:r w:rsidRPr="00A96192">
              <w:rPr>
                <w:color w:val="000000"/>
                <w:sz w:val="22"/>
                <w:szCs w:val="22"/>
              </w:rPr>
              <w:t>dentifikace kulturních hodnot krajiny, pro zachování odkazu českého zahradního umění a krajinářské architektury, pro specifikaci rozvojových strategií a režimu péče o historické zahrady a významné objekty krajinářské architektury</w:t>
            </w:r>
          </w:p>
        </w:tc>
      </w:tr>
      <w:tr w:rsidR="00EA1F75" w:rsidTr="00310E97">
        <w:trPr>
          <w:trHeight w:val="57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21.</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M</w:t>
            </w:r>
            <w:r w:rsidRPr="00A96192">
              <w:rPr>
                <w:color w:val="000000"/>
                <w:sz w:val="22"/>
                <w:szCs w:val="22"/>
              </w:rPr>
              <w:t>apování prostředí stavu, dokumentace a evidence národních památek, vývoj a aplikace systémů pro propojení informačních sítí a databází mezi institucemi</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22.</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H</w:t>
            </w:r>
            <w:r w:rsidRPr="00A96192">
              <w:rPr>
                <w:color w:val="000000"/>
                <w:sz w:val="22"/>
                <w:szCs w:val="22"/>
              </w:rPr>
              <w:t>istorický, kulturní, hospodářský a společenský vývoj historického území českého státu</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23.</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S</w:t>
            </w:r>
            <w:r w:rsidRPr="00A96192">
              <w:rPr>
                <w:color w:val="000000"/>
                <w:sz w:val="22"/>
                <w:szCs w:val="22"/>
              </w:rPr>
              <w:t>ystém zvýšené ochrany sbírek včetně zařízení a systémů pro dálkový průzkum a dohled nad objekty národního kulturního dědictví</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24.</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Z</w:t>
            </w:r>
            <w:r w:rsidRPr="00A96192">
              <w:rPr>
                <w:color w:val="000000"/>
                <w:sz w:val="22"/>
                <w:szCs w:val="22"/>
              </w:rPr>
              <w:t>áchrana národního kulturního dědictví ohroženého globálními antropogenními či přírodními riziky a hrozbami</w:t>
            </w:r>
          </w:p>
        </w:tc>
      </w:tr>
      <w:tr w:rsidR="00EA1F75" w:rsidTr="00310E97">
        <w:trPr>
          <w:trHeight w:val="51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vMerge w:val="restart"/>
            <w:tcBorders>
              <w:top w:val="nil"/>
              <w:left w:val="single" w:sz="4" w:space="0" w:color="auto"/>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5.</w:t>
            </w:r>
          </w:p>
        </w:tc>
        <w:tc>
          <w:tcPr>
            <w:tcW w:w="2160" w:type="dxa"/>
            <w:vMerge w:val="restart"/>
            <w:tcBorders>
              <w:top w:val="nil"/>
              <w:left w:val="single" w:sz="4" w:space="0" w:color="auto"/>
              <w:bottom w:val="single" w:sz="12" w:space="0" w:color="auto"/>
              <w:right w:val="single" w:sz="4" w:space="0" w:color="auto"/>
            </w:tcBorders>
          </w:tcPr>
          <w:p w:rsidR="00EA1F75" w:rsidRPr="00A96192" w:rsidRDefault="00EA1F75" w:rsidP="00161FF7">
            <w:pPr>
              <w:spacing w:line="264" w:lineRule="auto"/>
              <w:rPr>
                <w:color w:val="000000"/>
              </w:rPr>
            </w:pPr>
            <w:r w:rsidRPr="00A96192">
              <w:rPr>
                <w:color w:val="000000"/>
                <w:sz w:val="22"/>
                <w:szCs w:val="22"/>
              </w:rPr>
              <w:t xml:space="preserve">Využití </w:t>
            </w:r>
            <w:r>
              <w:rPr>
                <w:color w:val="000000"/>
                <w:sz w:val="22"/>
                <w:szCs w:val="22"/>
              </w:rPr>
              <w:t>poznání</w:t>
            </w:r>
            <w:r w:rsidRPr="00A96192">
              <w:rPr>
                <w:color w:val="000000"/>
                <w:sz w:val="22"/>
                <w:szCs w:val="22"/>
              </w:rPr>
              <w:t xml:space="preserve"> kulturní</w:t>
            </w:r>
            <w:r>
              <w:rPr>
                <w:color w:val="000000"/>
                <w:sz w:val="22"/>
                <w:szCs w:val="22"/>
              </w:rPr>
              <w:t>ho</w:t>
            </w:r>
            <w:r w:rsidRPr="00A96192">
              <w:rPr>
                <w:color w:val="000000"/>
                <w:sz w:val="22"/>
                <w:szCs w:val="22"/>
              </w:rPr>
              <w:t xml:space="preserve"> dědictví pro podporu výzkumu v oblasti umění a uměleckého řemesla</w:t>
            </w: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25.</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A</w:t>
            </w:r>
            <w:r w:rsidRPr="00A96192">
              <w:rPr>
                <w:color w:val="000000"/>
                <w:sz w:val="22"/>
                <w:szCs w:val="22"/>
              </w:rPr>
              <w:t>plikovaný výzkum a využití jeho výsledků pro podporu umění a uměleckého řemesla</w:t>
            </w:r>
          </w:p>
        </w:tc>
      </w:tr>
      <w:tr w:rsidR="00EA1F75" w:rsidTr="00310E97">
        <w:trPr>
          <w:trHeight w:val="52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nil"/>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nil"/>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12"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26.</w:t>
            </w:r>
          </w:p>
        </w:tc>
        <w:tc>
          <w:tcPr>
            <w:tcW w:w="4500" w:type="dxa"/>
            <w:tcBorders>
              <w:top w:val="nil"/>
              <w:left w:val="nil"/>
              <w:bottom w:val="single" w:sz="12" w:space="0" w:color="auto"/>
              <w:right w:val="single" w:sz="12" w:space="0" w:color="auto"/>
            </w:tcBorders>
          </w:tcPr>
          <w:p w:rsidR="00EA1F75" w:rsidRPr="00A96192" w:rsidRDefault="00EA1F75" w:rsidP="00D37961">
            <w:pPr>
              <w:spacing w:line="264" w:lineRule="auto"/>
              <w:rPr>
                <w:color w:val="000000"/>
              </w:rPr>
            </w:pPr>
            <w:r>
              <w:rPr>
                <w:color w:val="000000"/>
                <w:sz w:val="22"/>
                <w:szCs w:val="22"/>
              </w:rPr>
              <w:t>A</w:t>
            </w:r>
            <w:r w:rsidRPr="00A96192">
              <w:rPr>
                <w:color w:val="000000"/>
                <w:sz w:val="22"/>
                <w:szCs w:val="22"/>
              </w:rPr>
              <w:t>plikovaný výzkum a využití jeho výsledků pro podporu památkových technologií, restaurování a řemesel</w:t>
            </w:r>
          </w:p>
        </w:tc>
      </w:tr>
      <w:tr w:rsidR="00EA1F75" w:rsidTr="00310E97">
        <w:trPr>
          <w:trHeight w:val="255"/>
        </w:trPr>
        <w:tc>
          <w:tcPr>
            <w:tcW w:w="320" w:type="dxa"/>
            <w:vMerge w:val="restart"/>
            <w:tcBorders>
              <w:top w:val="single" w:sz="12" w:space="0" w:color="auto"/>
              <w:left w:val="single" w:sz="12" w:space="0" w:color="auto"/>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2.</w:t>
            </w:r>
          </w:p>
        </w:tc>
        <w:tc>
          <w:tcPr>
            <w:tcW w:w="1667" w:type="dxa"/>
            <w:vMerge w:val="restart"/>
            <w:tcBorders>
              <w:top w:val="single" w:sz="12" w:space="0" w:color="auto"/>
              <w:left w:val="single" w:sz="4" w:space="0" w:color="auto"/>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 xml:space="preserve">Zajistit uplatnění výsledků v působnosti </w:t>
            </w:r>
            <w:r>
              <w:rPr>
                <w:color w:val="000000"/>
                <w:sz w:val="22"/>
                <w:szCs w:val="22"/>
              </w:rPr>
              <w:t>Programu</w:t>
            </w:r>
            <w:r w:rsidRPr="00A96192">
              <w:rPr>
                <w:color w:val="000000"/>
                <w:sz w:val="22"/>
                <w:szCs w:val="22"/>
              </w:rPr>
              <w:t xml:space="preserve"> v praxi</w:t>
            </w:r>
          </w:p>
        </w:tc>
        <w:tc>
          <w:tcPr>
            <w:tcW w:w="360" w:type="dxa"/>
            <w:vMerge w:val="restart"/>
            <w:tcBorders>
              <w:top w:val="single" w:sz="12" w:space="0" w:color="auto"/>
              <w:left w:val="single" w:sz="4" w:space="0" w:color="auto"/>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1.</w:t>
            </w:r>
          </w:p>
        </w:tc>
        <w:tc>
          <w:tcPr>
            <w:tcW w:w="2160" w:type="dxa"/>
            <w:vMerge w:val="restart"/>
            <w:tcBorders>
              <w:top w:val="single" w:sz="12" w:space="0" w:color="auto"/>
              <w:left w:val="single" w:sz="4" w:space="0" w:color="auto"/>
              <w:bottom w:val="single" w:sz="12"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 xml:space="preserve">Zajistit uplatnění výsledků v působnosti </w:t>
            </w:r>
            <w:r>
              <w:rPr>
                <w:color w:val="000000"/>
                <w:sz w:val="22"/>
                <w:szCs w:val="22"/>
              </w:rPr>
              <w:t>Programu</w:t>
            </w:r>
            <w:r w:rsidRPr="00A96192">
              <w:rPr>
                <w:color w:val="000000"/>
                <w:sz w:val="22"/>
                <w:szCs w:val="22"/>
              </w:rPr>
              <w:t xml:space="preserve"> v praxi</w:t>
            </w:r>
          </w:p>
        </w:tc>
        <w:tc>
          <w:tcPr>
            <w:tcW w:w="360" w:type="dxa"/>
            <w:tcBorders>
              <w:top w:val="single" w:sz="12" w:space="0" w:color="auto"/>
              <w:left w:val="nil"/>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a)</w:t>
            </w:r>
          </w:p>
        </w:tc>
        <w:tc>
          <w:tcPr>
            <w:tcW w:w="4500" w:type="dxa"/>
            <w:tcBorders>
              <w:top w:val="single" w:sz="12" w:space="0" w:color="auto"/>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P</w:t>
            </w:r>
            <w:r w:rsidRPr="00A96192">
              <w:rPr>
                <w:color w:val="000000"/>
                <w:sz w:val="22"/>
                <w:szCs w:val="22"/>
              </w:rPr>
              <w:t xml:space="preserve">rodloužení doby sledování uplatnění výsledků </w:t>
            </w:r>
            <w:r>
              <w:rPr>
                <w:color w:val="000000"/>
                <w:sz w:val="22"/>
                <w:szCs w:val="22"/>
              </w:rPr>
              <w:t>ze tří na pět let</w:t>
            </w:r>
          </w:p>
        </w:tc>
      </w:tr>
      <w:tr w:rsidR="00EA1F75" w:rsidTr="00310E97">
        <w:trPr>
          <w:trHeight w:val="517"/>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b)</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P</w:t>
            </w:r>
            <w:r w:rsidRPr="00A96192">
              <w:rPr>
                <w:color w:val="000000"/>
                <w:sz w:val="22"/>
                <w:szCs w:val="22"/>
              </w:rPr>
              <w:t>ředpokládané využití aplikovaných výsledků zavést jako jedno z kritérií pro poskytnutí podpory</w:t>
            </w:r>
          </w:p>
        </w:tc>
      </w:tr>
      <w:tr w:rsidR="00EA1F75" w:rsidTr="00310E97">
        <w:trPr>
          <w:trHeight w:val="25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c)</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S</w:t>
            </w:r>
            <w:r w:rsidRPr="00A96192">
              <w:rPr>
                <w:color w:val="000000"/>
                <w:sz w:val="22"/>
                <w:szCs w:val="22"/>
              </w:rPr>
              <w:t>pecifikovat uznatelné výsledky v relaci k cílům podpory</w:t>
            </w:r>
            <w:r>
              <w:rPr>
                <w:color w:val="000000"/>
                <w:sz w:val="22"/>
                <w:szCs w:val="22"/>
              </w:rPr>
              <w:t xml:space="preserve"> (zavést specifické druhy výsledků Programu)</w:t>
            </w:r>
          </w:p>
        </w:tc>
      </w:tr>
      <w:tr w:rsidR="00EA1F75" w:rsidTr="00310E97">
        <w:trPr>
          <w:trHeight w:val="25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d)</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P</w:t>
            </w:r>
            <w:r w:rsidRPr="00A96192">
              <w:rPr>
                <w:color w:val="000000"/>
                <w:sz w:val="22"/>
                <w:szCs w:val="22"/>
              </w:rPr>
              <w:t>odporovat vzájemnou spolupráci a transfer výsledků do praxe</w:t>
            </w:r>
            <w:r>
              <w:rPr>
                <w:color w:val="000000"/>
                <w:sz w:val="22"/>
                <w:szCs w:val="22"/>
              </w:rPr>
              <w:t xml:space="preserve"> (bonifikací u kritérií hodnocení návrhů projektů)</w:t>
            </w:r>
          </w:p>
        </w:tc>
      </w:tr>
      <w:tr w:rsidR="00EA1F75" w:rsidTr="00310E97">
        <w:trPr>
          <w:trHeight w:val="270"/>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e)</w:t>
            </w:r>
          </w:p>
        </w:tc>
        <w:tc>
          <w:tcPr>
            <w:tcW w:w="4500" w:type="dxa"/>
            <w:tcBorders>
              <w:top w:val="nil"/>
              <w:left w:val="nil"/>
              <w:bottom w:val="single" w:sz="12" w:space="0" w:color="auto"/>
              <w:right w:val="single" w:sz="12" w:space="0" w:color="auto"/>
            </w:tcBorders>
          </w:tcPr>
          <w:p w:rsidR="00EA1F75" w:rsidRPr="00A96192" w:rsidRDefault="00EA1F75" w:rsidP="00D37961">
            <w:pPr>
              <w:spacing w:line="264" w:lineRule="auto"/>
              <w:rPr>
                <w:color w:val="000000"/>
              </w:rPr>
            </w:pPr>
            <w:r>
              <w:rPr>
                <w:color w:val="000000"/>
                <w:sz w:val="22"/>
                <w:szCs w:val="22"/>
              </w:rPr>
              <w:t>P</w:t>
            </w:r>
            <w:r w:rsidRPr="00A96192">
              <w:rPr>
                <w:color w:val="000000"/>
                <w:sz w:val="22"/>
                <w:szCs w:val="22"/>
              </w:rPr>
              <w:t>odporovat excelentní aplikovaný výzkum a dosažení výjimečných výsledků</w:t>
            </w:r>
            <w:r>
              <w:rPr>
                <w:color w:val="000000"/>
                <w:sz w:val="22"/>
                <w:szCs w:val="22"/>
              </w:rPr>
              <w:t xml:space="preserve"> včetně mezinárodní spolupráce (bonifikací u kritérií hodnocení návrhů projektů)</w:t>
            </w:r>
          </w:p>
        </w:tc>
      </w:tr>
      <w:tr w:rsidR="00EA1F75" w:rsidTr="00310E97">
        <w:trPr>
          <w:trHeight w:val="270"/>
        </w:trPr>
        <w:tc>
          <w:tcPr>
            <w:tcW w:w="320" w:type="dxa"/>
            <w:vMerge w:val="restart"/>
            <w:tcBorders>
              <w:top w:val="single" w:sz="12" w:space="0" w:color="auto"/>
              <w:left w:val="single" w:sz="12" w:space="0" w:color="auto"/>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3.</w:t>
            </w:r>
          </w:p>
        </w:tc>
        <w:tc>
          <w:tcPr>
            <w:tcW w:w="1667" w:type="dxa"/>
            <w:vMerge w:val="restart"/>
            <w:tcBorders>
              <w:top w:val="single" w:sz="12" w:space="0" w:color="auto"/>
              <w:left w:val="single" w:sz="4" w:space="0" w:color="auto"/>
              <w:bottom w:val="single" w:sz="12"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 xml:space="preserve">Snížit administrativu v oblasti působnosti </w:t>
            </w:r>
            <w:r>
              <w:rPr>
                <w:color w:val="000000"/>
                <w:sz w:val="22"/>
                <w:szCs w:val="22"/>
              </w:rPr>
              <w:t>Programu</w:t>
            </w:r>
          </w:p>
        </w:tc>
        <w:tc>
          <w:tcPr>
            <w:tcW w:w="360" w:type="dxa"/>
            <w:vMerge w:val="restart"/>
            <w:tcBorders>
              <w:top w:val="single" w:sz="12" w:space="0" w:color="auto"/>
              <w:left w:val="single" w:sz="4" w:space="0" w:color="auto"/>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1.</w:t>
            </w:r>
          </w:p>
        </w:tc>
        <w:tc>
          <w:tcPr>
            <w:tcW w:w="2160" w:type="dxa"/>
            <w:vMerge w:val="restart"/>
            <w:tcBorders>
              <w:top w:val="single" w:sz="12" w:space="0" w:color="auto"/>
              <w:left w:val="single" w:sz="4" w:space="0" w:color="auto"/>
              <w:bottom w:val="single" w:sz="4"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 xml:space="preserve">Snížit administrativu </w:t>
            </w:r>
            <w:r>
              <w:rPr>
                <w:color w:val="000000"/>
                <w:sz w:val="22"/>
                <w:szCs w:val="22"/>
              </w:rPr>
              <w:t xml:space="preserve">Programu </w:t>
            </w:r>
            <w:r w:rsidRPr="00A96192">
              <w:rPr>
                <w:color w:val="000000"/>
                <w:sz w:val="22"/>
                <w:szCs w:val="22"/>
              </w:rPr>
              <w:t>opatřeními v působnosti MK</w:t>
            </w:r>
          </w:p>
        </w:tc>
        <w:tc>
          <w:tcPr>
            <w:tcW w:w="360" w:type="dxa"/>
            <w:tcBorders>
              <w:top w:val="single" w:sz="12" w:space="0" w:color="auto"/>
              <w:left w:val="nil"/>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a)</w:t>
            </w:r>
          </w:p>
        </w:tc>
        <w:tc>
          <w:tcPr>
            <w:tcW w:w="4500" w:type="dxa"/>
            <w:tcBorders>
              <w:top w:val="single" w:sz="12" w:space="0" w:color="auto"/>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M</w:t>
            </w:r>
            <w:r w:rsidRPr="00A96192">
              <w:rPr>
                <w:color w:val="000000"/>
                <w:sz w:val="22"/>
                <w:szCs w:val="22"/>
              </w:rPr>
              <w:t>inimaliz</w:t>
            </w:r>
            <w:r>
              <w:rPr>
                <w:color w:val="000000"/>
                <w:sz w:val="22"/>
                <w:szCs w:val="22"/>
              </w:rPr>
              <w:t>ovat</w:t>
            </w:r>
            <w:r w:rsidRPr="00A96192">
              <w:rPr>
                <w:color w:val="000000"/>
                <w:sz w:val="22"/>
                <w:szCs w:val="22"/>
              </w:rPr>
              <w:t xml:space="preserve"> změn</w:t>
            </w:r>
            <w:r>
              <w:rPr>
                <w:color w:val="000000"/>
                <w:sz w:val="22"/>
                <w:szCs w:val="22"/>
              </w:rPr>
              <w:t>y</w:t>
            </w:r>
            <w:r w:rsidRPr="00A96192">
              <w:rPr>
                <w:color w:val="000000"/>
                <w:sz w:val="22"/>
                <w:szCs w:val="22"/>
              </w:rPr>
              <w:t xml:space="preserve"> projekt</w:t>
            </w:r>
            <w:r>
              <w:rPr>
                <w:color w:val="000000"/>
                <w:sz w:val="22"/>
                <w:szCs w:val="22"/>
              </w:rPr>
              <w:t>ů</w:t>
            </w:r>
            <w:r w:rsidRPr="00A96192">
              <w:rPr>
                <w:color w:val="000000"/>
                <w:sz w:val="22"/>
                <w:szCs w:val="22"/>
              </w:rPr>
              <w:t xml:space="preserve"> posílením úlohy odpovědného řešitele projektu</w:t>
            </w:r>
            <w:r>
              <w:rPr>
                <w:color w:val="000000"/>
                <w:sz w:val="22"/>
                <w:szCs w:val="22"/>
              </w:rPr>
              <w:t xml:space="preserve"> (vč. minimálního úvazku 0,25 FTE)</w:t>
            </w:r>
          </w:p>
        </w:tc>
      </w:tr>
      <w:tr w:rsidR="00EA1F75" w:rsidTr="00310E97">
        <w:trPr>
          <w:trHeight w:val="52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b)</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M</w:t>
            </w:r>
            <w:r w:rsidRPr="00A96192">
              <w:rPr>
                <w:color w:val="000000"/>
                <w:sz w:val="22"/>
                <w:szCs w:val="22"/>
              </w:rPr>
              <w:t>inimaliz</w:t>
            </w:r>
            <w:r>
              <w:rPr>
                <w:color w:val="000000"/>
                <w:sz w:val="22"/>
                <w:szCs w:val="22"/>
              </w:rPr>
              <w:t>ovat</w:t>
            </w:r>
            <w:r w:rsidRPr="00A96192">
              <w:rPr>
                <w:color w:val="000000"/>
                <w:sz w:val="22"/>
                <w:szCs w:val="22"/>
              </w:rPr>
              <w:t xml:space="preserve"> změn</w:t>
            </w:r>
            <w:r>
              <w:rPr>
                <w:color w:val="000000"/>
                <w:sz w:val="22"/>
                <w:szCs w:val="22"/>
              </w:rPr>
              <w:t>y</w:t>
            </w:r>
            <w:r w:rsidRPr="00A96192">
              <w:rPr>
                <w:color w:val="000000"/>
                <w:sz w:val="22"/>
                <w:szCs w:val="22"/>
              </w:rPr>
              <w:t xml:space="preserve"> v rozpočtu projekt</w:t>
            </w:r>
            <w:r>
              <w:rPr>
                <w:color w:val="000000"/>
                <w:sz w:val="22"/>
                <w:szCs w:val="22"/>
              </w:rPr>
              <w:t>ů</w:t>
            </w:r>
            <w:r w:rsidRPr="00A96192">
              <w:rPr>
                <w:color w:val="000000"/>
                <w:sz w:val="22"/>
                <w:szCs w:val="22"/>
              </w:rPr>
              <w:t xml:space="preserve"> omezením závazných druhů nákladů projektu a zjednodušením pravidel pro návrh projektu a jeho změny z hlediska jeho rozpočtu</w:t>
            </w:r>
            <w:r>
              <w:rPr>
                <w:color w:val="000000"/>
                <w:sz w:val="22"/>
                <w:szCs w:val="22"/>
              </w:rPr>
              <w:t xml:space="preserve"> (zejm. uvedením všech náležitostí pouze u řešitelů s úvazkem 0,2 FTE, ostatní pracovníci budou uváděni souhrnně jako „výzkumní pracovníci“ a „technický a pomocný personál“)</w:t>
            </w:r>
            <w:r>
              <w:rPr>
                <w:rStyle w:val="Odkaznavysvtlivky"/>
                <w:color w:val="000000"/>
                <w:sz w:val="22"/>
                <w:szCs w:val="22"/>
              </w:rPr>
              <w:endnoteReference w:id="3"/>
            </w:r>
            <w:r>
              <w:rPr>
                <w:color w:val="000000"/>
                <w:sz w:val="22"/>
                <w:szCs w:val="22"/>
              </w:rPr>
              <w:t>.</w:t>
            </w:r>
          </w:p>
        </w:tc>
      </w:tr>
      <w:tr w:rsidR="00EA1F75" w:rsidTr="00310E97">
        <w:trPr>
          <w:trHeight w:val="255"/>
        </w:trPr>
        <w:tc>
          <w:tcPr>
            <w:tcW w:w="0" w:type="auto"/>
            <w:vMerge/>
            <w:tcBorders>
              <w:top w:val="single" w:sz="12" w:space="0" w:color="auto"/>
              <w:left w:val="single" w:sz="12"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12" w:space="0" w:color="auto"/>
              <w:right w:val="single" w:sz="4" w:space="0" w:color="auto"/>
            </w:tcBorders>
            <w:vAlign w:val="center"/>
          </w:tcPr>
          <w:p w:rsidR="00EA1F75" w:rsidRPr="00A96192" w:rsidRDefault="00EA1F75" w:rsidP="00D37961">
            <w:pPr>
              <w:spacing w:line="264" w:lineRule="auto"/>
              <w:rPr>
                <w:color w:val="000000"/>
              </w:rPr>
            </w:pPr>
          </w:p>
        </w:tc>
        <w:tc>
          <w:tcPr>
            <w:tcW w:w="0" w:type="auto"/>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2160" w:type="dxa"/>
            <w:vMerge/>
            <w:tcBorders>
              <w:top w:val="single" w:sz="12" w:space="0" w:color="auto"/>
              <w:left w:val="single" w:sz="4" w:space="0" w:color="auto"/>
              <w:bottom w:val="single" w:sz="4" w:space="0" w:color="auto"/>
              <w:right w:val="single" w:sz="4" w:space="0" w:color="auto"/>
            </w:tcBorders>
            <w:vAlign w:val="center"/>
          </w:tcPr>
          <w:p w:rsidR="00EA1F75" w:rsidRPr="00A96192" w:rsidRDefault="00EA1F75" w:rsidP="00D37961">
            <w:pPr>
              <w:spacing w:line="264" w:lineRule="auto"/>
              <w:rPr>
                <w:color w:val="000000"/>
              </w:rPr>
            </w:pPr>
          </w:p>
        </w:tc>
        <w:tc>
          <w:tcPr>
            <w:tcW w:w="360" w:type="dxa"/>
            <w:tcBorders>
              <w:top w:val="nil"/>
              <w:left w:val="nil"/>
              <w:bottom w:val="single" w:sz="4"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c)</w:t>
            </w:r>
          </w:p>
        </w:tc>
        <w:tc>
          <w:tcPr>
            <w:tcW w:w="4500" w:type="dxa"/>
            <w:tcBorders>
              <w:top w:val="nil"/>
              <w:left w:val="nil"/>
              <w:bottom w:val="single" w:sz="4" w:space="0" w:color="auto"/>
              <w:right w:val="single" w:sz="12" w:space="0" w:color="auto"/>
            </w:tcBorders>
          </w:tcPr>
          <w:p w:rsidR="00EA1F75" w:rsidRPr="00A96192" w:rsidRDefault="00EA1F75" w:rsidP="00D37961">
            <w:pPr>
              <w:spacing w:line="264" w:lineRule="auto"/>
              <w:rPr>
                <w:color w:val="000000"/>
              </w:rPr>
            </w:pPr>
            <w:r>
              <w:rPr>
                <w:color w:val="000000"/>
                <w:sz w:val="22"/>
                <w:szCs w:val="22"/>
              </w:rPr>
              <w:t>O</w:t>
            </w:r>
            <w:r w:rsidRPr="00A96192">
              <w:rPr>
                <w:color w:val="000000"/>
                <w:sz w:val="22"/>
                <w:szCs w:val="22"/>
              </w:rPr>
              <w:t>dbour</w:t>
            </w:r>
            <w:r>
              <w:rPr>
                <w:color w:val="000000"/>
                <w:sz w:val="22"/>
                <w:szCs w:val="22"/>
              </w:rPr>
              <w:t>at</w:t>
            </w:r>
            <w:r w:rsidRPr="00A96192">
              <w:rPr>
                <w:color w:val="000000"/>
                <w:sz w:val="22"/>
                <w:szCs w:val="22"/>
              </w:rPr>
              <w:t xml:space="preserve"> další povinnost</w:t>
            </w:r>
            <w:r>
              <w:rPr>
                <w:color w:val="000000"/>
                <w:sz w:val="22"/>
                <w:szCs w:val="22"/>
              </w:rPr>
              <w:t>i</w:t>
            </w:r>
            <w:r w:rsidRPr="00A96192">
              <w:rPr>
                <w:color w:val="000000"/>
                <w:sz w:val="22"/>
                <w:szCs w:val="22"/>
              </w:rPr>
              <w:t xml:space="preserve"> poskytovatele i příjemců</w:t>
            </w:r>
            <w:r>
              <w:rPr>
                <w:color w:val="000000"/>
                <w:sz w:val="22"/>
                <w:szCs w:val="22"/>
              </w:rPr>
              <w:t xml:space="preserve"> (v souladu se specifickým cílem 3.1 Koncepce)</w:t>
            </w:r>
            <w:r w:rsidR="008665FF">
              <w:rPr>
                <w:rStyle w:val="Znakapoznpodarou"/>
                <w:color w:val="000000"/>
                <w:sz w:val="22"/>
                <w:szCs w:val="22"/>
              </w:rPr>
              <w:t xml:space="preserve"> </w:t>
            </w:r>
            <w:r w:rsidR="008665FF">
              <w:rPr>
                <w:rStyle w:val="Znakapoznpodarou"/>
                <w:color w:val="000000"/>
                <w:sz w:val="22"/>
                <w:szCs w:val="22"/>
              </w:rPr>
              <w:footnoteReference w:id="2"/>
            </w:r>
            <w:r>
              <w:rPr>
                <w:color w:val="000000"/>
                <w:sz w:val="22"/>
                <w:szCs w:val="22"/>
              </w:rPr>
              <w:t>.</w:t>
            </w:r>
          </w:p>
        </w:tc>
      </w:tr>
      <w:tr w:rsidR="00EA1F75" w:rsidTr="00310E97">
        <w:trPr>
          <w:trHeight w:val="780"/>
        </w:trPr>
        <w:tc>
          <w:tcPr>
            <w:tcW w:w="320" w:type="dxa"/>
            <w:tcBorders>
              <w:top w:val="single" w:sz="12" w:space="0" w:color="auto"/>
              <w:left w:val="single" w:sz="12" w:space="0" w:color="auto"/>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4.</w:t>
            </w:r>
          </w:p>
        </w:tc>
        <w:tc>
          <w:tcPr>
            <w:tcW w:w="1667" w:type="dxa"/>
            <w:tcBorders>
              <w:top w:val="single" w:sz="12" w:space="0" w:color="auto"/>
              <w:left w:val="nil"/>
              <w:bottom w:val="single" w:sz="12"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 xml:space="preserve">Zabezpečit vazby </w:t>
            </w:r>
            <w:r>
              <w:rPr>
                <w:color w:val="000000"/>
                <w:sz w:val="22"/>
                <w:szCs w:val="22"/>
              </w:rPr>
              <w:t>Programu</w:t>
            </w:r>
            <w:r w:rsidRPr="00A96192">
              <w:rPr>
                <w:color w:val="000000"/>
                <w:sz w:val="22"/>
                <w:szCs w:val="22"/>
              </w:rPr>
              <w:t xml:space="preserve"> na kulturní a kreativní průmysly</w:t>
            </w:r>
          </w:p>
        </w:tc>
        <w:tc>
          <w:tcPr>
            <w:tcW w:w="360" w:type="dxa"/>
            <w:tcBorders>
              <w:top w:val="single" w:sz="12" w:space="0" w:color="auto"/>
              <w:left w:val="nil"/>
              <w:bottom w:val="single" w:sz="12" w:space="0" w:color="auto"/>
              <w:right w:val="single" w:sz="4" w:space="0" w:color="auto"/>
            </w:tcBorders>
            <w:noWrap/>
          </w:tcPr>
          <w:p w:rsidR="00EA1F75" w:rsidRPr="00A96192" w:rsidRDefault="00EA1F75" w:rsidP="00D37961">
            <w:pPr>
              <w:spacing w:line="264" w:lineRule="auto"/>
              <w:rPr>
                <w:color w:val="000000"/>
              </w:rPr>
            </w:pPr>
            <w:r w:rsidRPr="00A96192">
              <w:rPr>
                <w:color w:val="000000"/>
                <w:sz w:val="22"/>
                <w:szCs w:val="22"/>
              </w:rPr>
              <w:t>1.</w:t>
            </w:r>
          </w:p>
        </w:tc>
        <w:tc>
          <w:tcPr>
            <w:tcW w:w="2160" w:type="dxa"/>
            <w:tcBorders>
              <w:top w:val="single" w:sz="12" w:space="0" w:color="auto"/>
              <w:left w:val="nil"/>
              <w:bottom w:val="single" w:sz="12" w:space="0" w:color="auto"/>
              <w:right w:val="single" w:sz="4" w:space="0" w:color="auto"/>
            </w:tcBorders>
          </w:tcPr>
          <w:p w:rsidR="00EA1F75" w:rsidRPr="00A96192" w:rsidRDefault="00EA1F75" w:rsidP="00D37961">
            <w:pPr>
              <w:spacing w:line="264" w:lineRule="auto"/>
              <w:rPr>
                <w:color w:val="000000"/>
              </w:rPr>
            </w:pPr>
            <w:r w:rsidRPr="00A96192">
              <w:rPr>
                <w:color w:val="000000"/>
                <w:sz w:val="22"/>
                <w:szCs w:val="22"/>
              </w:rPr>
              <w:t xml:space="preserve">Zabezpečit vazby </w:t>
            </w:r>
            <w:r>
              <w:rPr>
                <w:color w:val="000000"/>
                <w:sz w:val="22"/>
                <w:szCs w:val="22"/>
              </w:rPr>
              <w:t>Programu</w:t>
            </w:r>
            <w:r w:rsidRPr="00A96192">
              <w:rPr>
                <w:color w:val="000000"/>
                <w:sz w:val="22"/>
                <w:szCs w:val="22"/>
              </w:rPr>
              <w:t xml:space="preserve"> na kulturní a kreativní průmysly</w:t>
            </w:r>
          </w:p>
        </w:tc>
        <w:tc>
          <w:tcPr>
            <w:tcW w:w="360" w:type="dxa"/>
            <w:tcBorders>
              <w:top w:val="single" w:sz="12" w:space="0" w:color="auto"/>
              <w:left w:val="nil"/>
              <w:bottom w:val="single" w:sz="12" w:space="0" w:color="auto"/>
              <w:right w:val="single" w:sz="4" w:space="0" w:color="auto"/>
            </w:tcBorders>
            <w:noWrap/>
          </w:tcPr>
          <w:p w:rsidR="00EA1F75" w:rsidRPr="00A96192" w:rsidRDefault="00EA1F75" w:rsidP="00D37961">
            <w:pPr>
              <w:spacing w:line="264" w:lineRule="auto"/>
              <w:rPr>
                <w:color w:val="000000"/>
              </w:rPr>
            </w:pPr>
            <w:r>
              <w:rPr>
                <w:color w:val="000000"/>
                <w:sz w:val="22"/>
                <w:szCs w:val="22"/>
              </w:rPr>
              <w:t>a)</w:t>
            </w:r>
          </w:p>
        </w:tc>
        <w:tc>
          <w:tcPr>
            <w:tcW w:w="4500" w:type="dxa"/>
            <w:tcBorders>
              <w:top w:val="single" w:sz="12" w:space="0" w:color="auto"/>
              <w:left w:val="nil"/>
              <w:bottom w:val="single" w:sz="12" w:space="0" w:color="auto"/>
              <w:right w:val="single" w:sz="12" w:space="0" w:color="auto"/>
            </w:tcBorders>
          </w:tcPr>
          <w:p w:rsidR="00EA1F75" w:rsidRPr="00A96192" w:rsidRDefault="00EA1F75" w:rsidP="00D37961">
            <w:pPr>
              <w:spacing w:line="264" w:lineRule="auto"/>
              <w:rPr>
                <w:color w:val="000000"/>
              </w:rPr>
            </w:pPr>
            <w:r>
              <w:rPr>
                <w:color w:val="000000"/>
                <w:sz w:val="22"/>
                <w:szCs w:val="22"/>
              </w:rPr>
              <w:t>O</w:t>
            </w:r>
            <w:r w:rsidRPr="00A96192">
              <w:rPr>
                <w:color w:val="000000"/>
                <w:sz w:val="22"/>
                <w:szCs w:val="22"/>
              </w:rPr>
              <w:t xml:space="preserve">blast je realizována formou horizontální vazby – v každém specifickém cíli strategického cíle 1 budou sledovány vazby na KKP </w:t>
            </w:r>
            <w:r>
              <w:rPr>
                <w:color w:val="000000"/>
                <w:sz w:val="22"/>
                <w:szCs w:val="22"/>
              </w:rPr>
              <w:t>zahrnujících činnosti jako d</w:t>
            </w:r>
            <w:r>
              <w:t xml:space="preserve">esign nábytku; design služeb; film a video; fotografie; grafický design; </w:t>
            </w:r>
            <w:r>
              <w:lastRenderedPageBreak/>
              <w:t>hudba a zvuk; informační a komunikační technologie; kulturní dědictví; marketingové strategie; online marketing; PR; práce s texty; produktový a průmyslový design; řemesla; webdesign atd.</w:t>
            </w:r>
            <w:r>
              <w:rPr>
                <w:rStyle w:val="Odkaznavysvtlivky"/>
              </w:rPr>
              <w:endnoteReference w:id="4"/>
            </w:r>
          </w:p>
        </w:tc>
      </w:tr>
    </w:tbl>
    <w:p w:rsidR="00EA1F75" w:rsidRDefault="00EA1F75" w:rsidP="00C5575E">
      <w:pPr>
        <w:ind w:left="180" w:hanging="180"/>
        <w:rPr>
          <w:color w:val="000000"/>
          <w:sz w:val="20"/>
          <w:szCs w:val="20"/>
          <w:shd w:val="clear" w:color="auto" w:fill="FFFFFF"/>
        </w:rPr>
      </w:pPr>
      <w:r w:rsidRPr="00C5575E">
        <w:rPr>
          <w:color w:val="000000"/>
          <w:sz w:val="20"/>
          <w:szCs w:val="20"/>
          <w:shd w:val="clear" w:color="auto" w:fill="FFFFFF"/>
        </w:rPr>
        <w:lastRenderedPageBreak/>
        <w:t xml:space="preserve">* </w:t>
      </w:r>
      <w:proofErr w:type="spellStart"/>
      <w:r w:rsidRPr="00C5575E">
        <w:rPr>
          <w:color w:val="000000"/>
          <w:sz w:val="20"/>
          <w:szCs w:val="20"/>
          <w:shd w:val="clear" w:color="auto" w:fill="FFFFFF"/>
        </w:rPr>
        <w:t>Tématické</w:t>
      </w:r>
      <w:proofErr w:type="spellEnd"/>
      <w:r w:rsidRPr="00C5575E">
        <w:rPr>
          <w:color w:val="000000"/>
          <w:sz w:val="20"/>
          <w:szCs w:val="20"/>
          <w:shd w:val="clear" w:color="auto" w:fill="FFFFFF"/>
        </w:rPr>
        <w:t xml:space="preserve"> priority Programu jsou číslovány </w:t>
      </w:r>
      <w:r>
        <w:rPr>
          <w:color w:val="000000"/>
          <w:sz w:val="20"/>
          <w:szCs w:val="20"/>
          <w:shd w:val="clear" w:color="auto" w:fill="FFFFFF"/>
        </w:rPr>
        <w:t>průběžně (pro snížení administrativy a přehlednost – aby nebylo nutné uvádět v projektech u každé TP i specifický cíl, ke kterému patří), témata jsou stejně jako v Koncepci označena písmeny.</w:t>
      </w:r>
    </w:p>
    <w:p w:rsidR="00EA1F75" w:rsidRPr="00C5575E" w:rsidRDefault="00EA1F75" w:rsidP="00C5575E">
      <w:pPr>
        <w:ind w:left="180" w:hanging="180"/>
        <w:rPr>
          <w:color w:val="000000"/>
          <w:sz w:val="20"/>
          <w:szCs w:val="20"/>
          <w:shd w:val="clear" w:color="auto" w:fill="FFFFFF"/>
        </w:rPr>
      </w:pPr>
    </w:p>
    <w:p w:rsidR="00EA1F75" w:rsidRPr="00530AE1" w:rsidRDefault="00EA1F75" w:rsidP="000F3D34">
      <w:pPr>
        <w:pStyle w:val="Nadpis1"/>
        <w:ind w:left="426" w:hanging="426"/>
      </w:pPr>
      <w:bookmarkStart w:id="12" w:name="_Toc61616875"/>
      <w:r w:rsidRPr="00530AE1">
        <w:t>6. Stanovení celkových výdajů Programu</w:t>
      </w:r>
      <w:r>
        <w:t>, intenzita podpory, způsobilé a uznané náklady projektů</w:t>
      </w:r>
      <w:bookmarkEnd w:id="12"/>
    </w:p>
    <w:p w:rsidR="00EA1F75" w:rsidRDefault="00EA1F75" w:rsidP="0026459C">
      <w:pPr>
        <w:rPr>
          <w:color w:val="000000"/>
          <w:shd w:val="clear" w:color="auto" w:fill="FFFFFF"/>
        </w:rPr>
      </w:pPr>
      <w:r w:rsidRPr="00EA0E94">
        <w:rPr>
          <w:color w:val="000000"/>
          <w:shd w:val="clear" w:color="auto" w:fill="FFFFFF"/>
        </w:rPr>
        <w:t>Celkové výdaje za dobu trvání Programu v letech 2023 až 2030 se předpokládají ve výši 3 20</w:t>
      </w:r>
      <w:r>
        <w:rPr>
          <w:color w:val="000000"/>
          <w:shd w:val="clear" w:color="auto" w:fill="FFFFFF"/>
        </w:rPr>
        <w:t>5</w:t>
      </w:r>
      <w:r w:rsidRPr="00EA0E94">
        <w:rPr>
          <w:color w:val="000000"/>
          <w:shd w:val="clear" w:color="auto" w:fill="FFFFFF"/>
        </w:rPr>
        <w:t>,2</w:t>
      </w:r>
      <w:r>
        <w:rPr>
          <w:color w:val="000000"/>
          <w:shd w:val="clear" w:color="auto" w:fill="FFFFFF"/>
        </w:rPr>
        <w:t>9</w:t>
      </w:r>
      <w:r w:rsidRPr="00EA0E94">
        <w:rPr>
          <w:color w:val="000000"/>
          <w:shd w:val="clear" w:color="auto" w:fill="FFFFFF"/>
        </w:rPr>
        <w:t>0</w:t>
      </w:r>
      <w:r>
        <w:rPr>
          <w:color w:val="000000"/>
          <w:shd w:val="clear" w:color="auto" w:fill="FFFFFF"/>
        </w:rPr>
        <w:t xml:space="preserve"> mil. Kč, z toho </w:t>
      </w:r>
      <w:r w:rsidRPr="00EA0E94">
        <w:rPr>
          <w:color w:val="000000"/>
          <w:shd w:val="clear" w:color="auto" w:fill="FFFFFF"/>
        </w:rPr>
        <w:t>3</w:t>
      </w:r>
      <w:r>
        <w:rPr>
          <w:color w:val="000000"/>
          <w:shd w:val="clear" w:color="auto" w:fill="FFFFFF"/>
        </w:rPr>
        <w:t> </w:t>
      </w:r>
      <w:r w:rsidRPr="00EA0E94">
        <w:rPr>
          <w:color w:val="000000"/>
          <w:shd w:val="clear" w:color="auto" w:fill="FFFFFF"/>
        </w:rPr>
        <w:t>0</w:t>
      </w:r>
      <w:r>
        <w:rPr>
          <w:color w:val="000000"/>
          <w:shd w:val="clear" w:color="auto" w:fill="FFFFFF"/>
        </w:rPr>
        <w:t>45,0</w:t>
      </w:r>
      <w:r w:rsidRPr="00EA0E94">
        <w:rPr>
          <w:color w:val="000000"/>
          <w:shd w:val="clear" w:color="auto" w:fill="FFFFFF"/>
        </w:rPr>
        <w:t xml:space="preserve"> mil. Kč</w:t>
      </w:r>
      <w:r>
        <w:rPr>
          <w:color w:val="000000"/>
          <w:shd w:val="clear" w:color="auto" w:fill="FFFFFF"/>
        </w:rPr>
        <w:t xml:space="preserve"> ze státního rozpočtu na výzkum, vývoj a inovace</w:t>
      </w:r>
      <w:r w:rsidRPr="00EA0E94">
        <w:rPr>
          <w:color w:val="000000"/>
          <w:shd w:val="clear" w:color="auto" w:fill="FFFFFF"/>
        </w:rPr>
        <w:t>.</w:t>
      </w:r>
      <w:r>
        <w:rPr>
          <w:color w:val="000000"/>
          <w:shd w:val="clear" w:color="auto" w:fill="FFFFFF"/>
        </w:rPr>
        <w:t xml:space="preserve"> </w:t>
      </w:r>
      <w:r w:rsidRPr="00EA0E94">
        <w:rPr>
          <w:color w:val="000000"/>
          <w:shd w:val="clear" w:color="auto" w:fill="FFFFFF"/>
        </w:rPr>
        <w:t>Celkové výdaje na Program jsou na období trvání Programu rozvrženy v souladu s předpokládaným postupným vyhlašováním veřejných soutěží a ve vazbě na očekávanou průměrnou délku projektů.</w:t>
      </w:r>
    </w:p>
    <w:p w:rsidR="00EA1F75" w:rsidRDefault="00EA1F75" w:rsidP="0026459C">
      <w:pPr>
        <w:rPr>
          <w:color w:val="000000"/>
          <w:shd w:val="clear" w:color="auto" w:fill="FFFFFF"/>
        </w:rPr>
      </w:pPr>
    </w:p>
    <w:p w:rsidR="00EA1F75" w:rsidRPr="00B0461F" w:rsidRDefault="00EA1F75" w:rsidP="00C5575E">
      <w:pPr>
        <w:rPr>
          <w:b/>
          <w:color w:val="000000"/>
          <w:sz w:val="22"/>
          <w:szCs w:val="22"/>
          <w:shd w:val="clear" w:color="auto" w:fill="FFFFFF"/>
        </w:rPr>
      </w:pPr>
      <w:r w:rsidRPr="00B0461F">
        <w:rPr>
          <w:b/>
          <w:color w:val="000000"/>
          <w:sz w:val="22"/>
          <w:szCs w:val="22"/>
          <w:shd w:val="clear" w:color="auto" w:fill="FFFFFF"/>
        </w:rPr>
        <w:t xml:space="preserve">Tab. </w:t>
      </w:r>
      <w:proofErr w:type="gramStart"/>
      <w:r w:rsidRPr="00B0461F">
        <w:rPr>
          <w:b/>
          <w:color w:val="000000"/>
          <w:sz w:val="22"/>
          <w:szCs w:val="22"/>
          <w:shd w:val="clear" w:color="auto" w:fill="FFFFFF"/>
        </w:rPr>
        <w:t>č.</w:t>
      </w:r>
      <w:proofErr w:type="gramEnd"/>
      <w:r w:rsidRPr="00B0461F">
        <w:rPr>
          <w:b/>
          <w:color w:val="000000"/>
          <w:sz w:val="22"/>
          <w:szCs w:val="22"/>
          <w:shd w:val="clear" w:color="auto" w:fill="FFFFFF"/>
        </w:rPr>
        <w:t xml:space="preserve"> </w:t>
      </w:r>
      <w:r>
        <w:rPr>
          <w:b/>
          <w:color w:val="000000"/>
          <w:sz w:val="22"/>
          <w:szCs w:val="22"/>
          <w:shd w:val="clear" w:color="auto" w:fill="FFFFFF"/>
        </w:rPr>
        <w:t>2</w:t>
      </w:r>
      <w:r w:rsidRPr="00B0461F">
        <w:rPr>
          <w:b/>
          <w:color w:val="000000"/>
          <w:sz w:val="22"/>
          <w:szCs w:val="22"/>
          <w:shd w:val="clear" w:color="auto" w:fill="FFFFFF"/>
        </w:rPr>
        <w:t>: Celkové výdaje na Program a výdaje ze státního rozpočtu (v tis. Kč)</w:t>
      </w:r>
    </w:p>
    <w:tbl>
      <w:tblPr>
        <w:tblW w:w="9540" w:type="dxa"/>
        <w:tblInd w:w="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440"/>
        <w:gridCol w:w="900"/>
        <w:gridCol w:w="900"/>
        <w:gridCol w:w="900"/>
        <w:gridCol w:w="900"/>
        <w:gridCol w:w="900"/>
        <w:gridCol w:w="900"/>
        <w:gridCol w:w="900"/>
        <w:gridCol w:w="848"/>
        <w:gridCol w:w="952"/>
      </w:tblGrid>
      <w:tr w:rsidR="00EA1F75" w:rsidRPr="00B0461F" w:rsidTr="006154AA">
        <w:trPr>
          <w:tblHeader/>
        </w:trPr>
        <w:tc>
          <w:tcPr>
            <w:tcW w:w="1440"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rok</w:t>
            </w:r>
          </w:p>
        </w:tc>
        <w:tc>
          <w:tcPr>
            <w:tcW w:w="900"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20</w:t>
            </w:r>
            <w:r>
              <w:rPr>
                <w:b/>
                <w:sz w:val="22"/>
                <w:szCs w:val="22"/>
              </w:rPr>
              <w:t>23</w:t>
            </w:r>
          </w:p>
        </w:tc>
        <w:tc>
          <w:tcPr>
            <w:tcW w:w="900"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20</w:t>
            </w:r>
            <w:r>
              <w:rPr>
                <w:b/>
                <w:sz w:val="22"/>
                <w:szCs w:val="22"/>
              </w:rPr>
              <w:t>24</w:t>
            </w:r>
          </w:p>
        </w:tc>
        <w:tc>
          <w:tcPr>
            <w:tcW w:w="900"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20</w:t>
            </w:r>
            <w:r>
              <w:rPr>
                <w:b/>
                <w:sz w:val="22"/>
                <w:szCs w:val="22"/>
              </w:rPr>
              <w:t>25</w:t>
            </w:r>
          </w:p>
        </w:tc>
        <w:tc>
          <w:tcPr>
            <w:tcW w:w="900"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20</w:t>
            </w:r>
            <w:r>
              <w:rPr>
                <w:b/>
                <w:sz w:val="22"/>
                <w:szCs w:val="22"/>
              </w:rPr>
              <w:t>26</w:t>
            </w:r>
          </w:p>
        </w:tc>
        <w:tc>
          <w:tcPr>
            <w:tcW w:w="900"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202</w:t>
            </w:r>
            <w:r>
              <w:rPr>
                <w:b/>
                <w:sz w:val="22"/>
                <w:szCs w:val="22"/>
              </w:rPr>
              <w:t>7</w:t>
            </w:r>
          </w:p>
        </w:tc>
        <w:tc>
          <w:tcPr>
            <w:tcW w:w="900"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202</w:t>
            </w:r>
            <w:r>
              <w:rPr>
                <w:b/>
                <w:sz w:val="22"/>
                <w:szCs w:val="22"/>
              </w:rPr>
              <w:t>8</w:t>
            </w:r>
          </w:p>
        </w:tc>
        <w:tc>
          <w:tcPr>
            <w:tcW w:w="900"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202</w:t>
            </w:r>
            <w:r>
              <w:rPr>
                <w:b/>
                <w:sz w:val="22"/>
                <w:szCs w:val="22"/>
              </w:rPr>
              <w:t>9</w:t>
            </w:r>
          </w:p>
        </w:tc>
        <w:tc>
          <w:tcPr>
            <w:tcW w:w="848" w:type="dxa"/>
            <w:tcBorders>
              <w:top w:val="single" w:sz="12" w:space="0" w:color="auto"/>
              <w:bottom w:val="single" w:sz="12" w:space="0" w:color="auto"/>
            </w:tcBorders>
            <w:shd w:val="clear" w:color="auto" w:fill="E6E6E6"/>
            <w:tcMar>
              <w:left w:w="28" w:type="dxa"/>
              <w:right w:w="28" w:type="dxa"/>
            </w:tcMar>
          </w:tcPr>
          <w:p w:rsidR="00EA1F75" w:rsidRPr="00B0461F" w:rsidRDefault="00EA1F75" w:rsidP="00D37961">
            <w:pPr>
              <w:jc w:val="center"/>
              <w:rPr>
                <w:b/>
              </w:rPr>
            </w:pPr>
            <w:r>
              <w:rPr>
                <w:b/>
                <w:sz w:val="22"/>
                <w:szCs w:val="22"/>
              </w:rPr>
              <w:t>2030</w:t>
            </w:r>
          </w:p>
        </w:tc>
        <w:tc>
          <w:tcPr>
            <w:tcW w:w="952"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D37961">
            <w:pPr>
              <w:jc w:val="center"/>
              <w:rPr>
                <w:b/>
              </w:rPr>
            </w:pPr>
            <w:r w:rsidRPr="00B0461F">
              <w:rPr>
                <w:b/>
                <w:sz w:val="22"/>
                <w:szCs w:val="22"/>
              </w:rPr>
              <w:t>celkem</w:t>
            </w:r>
          </w:p>
        </w:tc>
      </w:tr>
      <w:tr w:rsidR="00EA1F75" w:rsidRPr="00B0461F" w:rsidTr="00514C68">
        <w:tc>
          <w:tcPr>
            <w:tcW w:w="1440" w:type="dxa"/>
            <w:tcBorders>
              <w:top w:val="single" w:sz="12" w:space="0" w:color="auto"/>
            </w:tcBorders>
            <w:tcMar>
              <w:left w:w="28" w:type="dxa"/>
              <w:right w:w="28" w:type="dxa"/>
            </w:tcMar>
            <w:vAlign w:val="center"/>
          </w:tcPr>
          <w:p w:rsidR="00EA1F75" w:rsidRPr="00B0461F" w:rsidRDefault="00EA1F75" w:rsidP="00976B50">
            <w:pPr>
              <w:jc w:val="center"/>
            </w:pPr>
            <w:r w:rsidRPr="00B0461F">
              <w:rPr>
                <w:sz w:val="22"/>
                <w:szCs w:val="22"/>
              </w:rPr>
              <w:t>Celkové výdaje</w:t>
            </w:r>
          </w:p>
        </w:tc>
        <w:tc>
          <w:tcPr>
            <w:tcW w:w="900" w:type="dxa"/>
            <w:tcBorders>
              <w:top w:val="single" w:sz="12" w:space="0" w:color="auto"/>
            </w:tcBorders>
            <w:tcMar>
              <w:left w:w="28" w:type="dxa"/>
              <w:right w:w="28" w:type="dxa"/>
            </w:tcMar>
            <w:vAlign w:val="bottom"/>
          </w:tcPr>
          <w:p w:rsidR="00EA1F75" w:rsidRDefault="00EA1F75" w:rsidP="00976B50">
            <w:pPr>
              <w:spacing w:before="0" w:line="240" w:lineRule="auto"/>
              <w:jc w:val="center"/>
            </w:pPr>
            <w:r>
              <w:rPr>
                <w:sz w:val="22"/>
                <w:szCs w:val="22"/>
              </w:rPr>
              <w:t>363 160</w:t>
            </w:r>
          </w:p>
        </w:tc>
        <w:tc>
          <w:tcPr>
            <w:tcW w:w="900" w:type="dxa"/>
            <w:tcBorders>
              <w:top w:val="single" w:sz="12" w:space="0" w:color="auto"/>
            </w:tcBorders>
            <w:tcMar>
              <w:left w:w="28" w:type="dxa"/>
              <w:right w:w="28" w:type="dxa"/>
            </w:tcMar>
            <w:vAlign w:val="bottom"/>
          </w:tcPr>
          <w:p w:rsidR="00EA1F75" w:rsidRDefault="00EA1F75" w:rsidP="00976B50">
            <w:pPr>
              <w:jc w:val="center"/>
            </w:pPr>
            <w:r>
              <w:rPr>
                <w:sz w:val="22"/>
                <w:szCs w:val="22"/>
              </w:rPr>
              <w:t>473 690</w:t>
            </w:r>
          </w:p>
        </w:tc>
        <w:tc>
          <w:tcPr>
            <w:tcW w:w="900" w:type="dxa"/>
            <w:tcBorders>
              <w:top w:val="single" w:sz="12" w:space="0" w:color="auto"/>
            </w:tcBorders>
            <w:tcMar>
              <w:left w:w="28" w:type="dxa"/>
              <w:right w:w="28" w:type="dxa"/>
            </w:tcMar>
            <w:vAlign w:val="bottom"/>
          </w:tcPr>
          <w:p w:rsidR="00EA1F75" w:rsidRDefault="00EA1F75" w:rsidP="00976B50">
            <w:pPr>
              <w:jc w:val="center"/>
            </w:pPr>
            <w:r>
              <w:rPr>
                <w:sz w:val="22"/>
                <w:szCs w:val="22"/>
              </w:rPr>
              <w:t>473 690</w:t>
            </w:r>
          </w:p>
        </w:tc>
        <w:tc>
          <w:tcPr>
            <w:tcW w:w="900" w:type="dxa"/>
            <w:tcBorders>
              <w:top w:val="single" w:sz="12" w:space="0" w:color="auto"/>
            </w:tcBorders>
            <w:tcMar>
              <w:left w:w="28" w:type="dxa"/>
              <w:right w:w="28" w:type="dxa"/>
            </w:tcMar>
            <w:vAlign w:val="bottom"/>
          </w:tcPr>
          <w:p w:rsidR="00EA1F75" w:rsidRDefault="00EA1F75" w:rsidP="00976B50">
            <w:pPr>
              <w:jc w:val="center"/>
            </w:pPr>
            <w:r>
              <w:rPr>
                <w:sz w:val="22"/>
                <w:szCs w:val="22"/>
              </w:rPr>
              <w:t>473 690</w:t>
            </w:r>
          </w:p>
        </w:tc>
        <w:tc>
          <w:tcPr>
            <w:tcW w:w="900" w:type="dxa"/>
            <w:tcBorders>
              <w:top w:val="single" w:sz="12" w:space="0" w:color="auto"/>
            </w:tcBorders>
            <w:tcMar>
              <w:left w:w="28" w:type="dxa"/>
              <w:right w:w="28" w:type="dxa"/>
            </w:tcMar>
            <w:vAlign w:val="bottom"/>
          </w:tcPr>
          <w:p w:rsidR="00EA1F75" w:rsidRDefault="00EA1F75" w:rsidP="00976B50">
            <w:pPr>
              <w:jc w:val="center"/>
            </w:pPr>
            <w:r>
              <w:rPr>
                <w:sz w:val="22"/>
                <w:szCs w:val="22"/>
              </w:rPr>
              <w:t>473 690</w:t>
            </w:r>
          </w:p>
        </w:tc>
        <w:tc>
          <w:tcPr>
            <w:tcW w:w="900" w:type="dxa"/>
            <w:tcBorders>
              <w:top w:val="single" w:sz="12" w:space="0" w:color="auto"/>
            </w:tcBorders>
            <w:tcMar>
              <w:left w:w="28" w:type="dxa"/>
              <w:right w:w="28" w:type="dxa"/>
            </w:tcMar>
            <w:vAlign w:val="bottom"/>
          </w:tcPr>
          <w:p w:rsidR="00EA1F75" w:rsidRDefault="00EA1F75" w:rsidP="00976B50">
            <w:pPr>
              <w:jc w:val="center"/>
            </w:pPr>
            <w:r>
              <w:rPr>
                <w:sz w:val="22"/>
                <w:szCs w:val="22"/>
              </w:rPr>
              <w:t>315 790</w:t>
            </w:r>
          </w:p>
        </w:tc>
        <w:tc>
          <w:tcPr>
            <w:tcW w:w="900" w:type="dxa"/>
            <w:tcBorders>
              <w:top w:val="single" w:sz="12" w:space="0" w:color="auto"/>
            </w:tcBorders>
            <w:tcMar>
              <w:left w:w="28" w:type="dxa"/>
              <w:right w:w="28" w:type="dxa"/>
            </w:tcMar>
            <w:vAlign w:val="bottom"/>
          </w:tcPr>
          <w:p w:rsidR="00EA1F75" w:rsidRDefault="00EA1F75" w:rsidP="00976B50">
            <w:pPr>
              <w:jc w:val="center"/>
            </w:pPr>
            <w:r>
              <w:rPr>
                <w:sz w:val="22"/>
                <w:szCs w:val="22"/>
              </w:rPr>
              <w:t>315 790</w:t>
            </w:r>
          </w:p>
        </w:tc>
        <w:tc>
          <w:tcPr>
            <w:tcW w:w="848" w:type="dxa"/>
            <w:tcBorders>
              <w:top w:val="single" w:sz="12" w:space="0" w:color="auto"/>
            </w:tcBorders>
            <w:tcMar>
              <w:left w:w="28" w:type="dxa"/>
              <w:right w:w="28" w:type="dxa"/>
            </w:tcMar>
            <w:vAlign w:val="bottom"/>
          </w:tcPr>
          <w:p w:rsidR="00EA1F75" w:rsidRDefault="00EA1F75" w:rsidP="00976B50">
            <w:pPr>
              <w:jc w:val="center"/>
            </w:pPr>
            <w:r>
              <w:rPr>
                <w:sz w:val="22"/>
                <w:szCs w:val="22"/>
              </w:rPr>
              <w:t>315 790</w:t>
            </w:r>
          </w:p>
        </w:tc>
        <w:tc>
          <w:tcPr>
            <w:tcW w:w="952" w:type="dxa"/>
            <w:tcBorders>
              <w:top w:val="single" w:sz="12" w:space="0" w:color="auto"/>
            </w:tcBorders>
            <w:tcMar>
              <w:left w:w="28" w:type="dxa"/>
              <w:right w:w="28" w:type="dxa"/>
            </w:tcMar>
            <w:vAlign w:val="bottom"/>
          </w:tcPr>
          <w:p w:rsidR="00EA1F75" w:rsidRDefault="00EA1F75" w:rsidP="00976B50">
            <w:pPr>
              <w:jc w:val="center"/>
            </w:pPr>
            <w:r>
              <w:rPr>
                <w:sz w:val="22"/>
                <w:szCs w:val="22"/>
              </w:rPr>
              <w:t>3 205 290</w:t>
            </w:r>
          </w:p>
        </w:tc>
      </w:tr>
      <w:tr w:rsidR="00EA1F75" w:rsidRPr="00B0461F" w:rsidTr="006154AA">
        <w:tc>
          <w:tcPr>
            <w:tcW w:w="1440" w:type="dxa"/>
            <w:tcBorders>
              <w:bottom w:val="single" w:sz="12" w:space="0" w:color="auto"/>
            </w:tcBorders>
            <w:tcMar>
              <w:left w:w="28" w:type="dxa"/>
              <w:right w:w="28" w:type="dxa"/>
            </w:tcMar>
            <w:vAlign w:val="center"/>
          </w:tcPr>
          <w:p w:rsidR="00EA1F75" w:rsidRPr="00B0461F" w:rsidRDefault="00EA1F75" w:rsidP="00C5575E">
            <w:r w:rsidRPr="00B0461F">
              <w:rPr>
                <w:sz w:val="22"/>
                <w:szCs w:val="22"/>
              </w:rPr>
              <w:t xml:space="preserve">Výdaje </w:t>
            </w:r>
            <w:r>
              <w:rPr>
                <w:sz w:val="22"/>
                <w:szCs w:val="22"/>
              </w:rPr>
              <w:t>SR</w:t>
            </w:r>
          </w:p>
        </w:tc>
        <w:tc>
          <w:tcPr>
            <w:tcW w:w="900" w:type="dxa"/>
            <w:tcBorders>
              <w:bottom w:val="single" w:sz="12" w:space="0" w:color="auto"/>
            </w:tcBorders>
            <w:tcMar>
              <w:left w:w="28" w:type="dxa"/>
              <w:right w:w="28" w:type="dxa"/>
            </w:tcMar>
            <w:vAlign w:val="center"/>
          </w:tcPr>
          <w:p w:rsidR="00EA1F75" w:rsidRPr="00B0461F" w:rsidRDefault="00EA1F75" w:rsidP="00BC573B">
            <w:pPr>
              <w:jc w:val="center"/>
            </w:pPr>
            <w:r>
              <w:rPr>
                <w:sz w:val="22"/>
                <w:szCs w:val="22"/>
              </w:rPr>
              <w:t>345 000</w:t>
            </w:r>
          </w:p>
        </w:tc>
        <w:tc>
          <w:tcPr>
            <w:tcW w:w="900" w:type="dxa"/>
            <w:tcBorders>
              <w:bottom w:val="single" w:sz="12" w:space="0" w:color="auto"/>
            </w:tcBorders>
            <w:tcMar>
              <w:left w:w="28" w:type="dxa"/>
              <w:right w:w="28" w:type="dxa"/>
            </w:tcMar>
            <w:vAlign w:val="center"/>
          </w:tcPr>
          <w:p w:rsidR="00EA1F75" w:rsidRPr="00B0461F" w:rsidRDefault="00EA1F75" w:rsidP="00BC573B">
            <w:pPr>
              <w:jc w:val="center"/>
            </w:pPr>
            <w:r>
              <w:rPr>
                <w:sz w:val="22"/>
                <w:szCs w:val="22"/>
              </w:rPr>
              <w:t>450 000</w:t>
            </w:r>
          </w:p>
        </w:tc>
        <w:tc>
          <w:tcPr>
            <w:tcW w:w="900" w:type="dxa"/>
            <w:tcBorders>
              <w:bottom w:val="single" w:sz="12" w:space="0" w:color="auto"/>
            </w:tcBorders>
            <w:tcMar>
              <w:left w:w="28" w:type="dxa"/>
              <w:right w:w="28" w:type="dxa"/>
            </w:tcMar>
            <w:vAlign w:val="center"/>
          </w:tcPr>
          <w:p w:rsidR="00EA1F75" w:rsidRPr="00B0461F" w:rsidRDefault="00EA1F75" w:rsidP="00BC573B">
            <w:pPr>
              <w:jc w:val="center"/>
            </w:pPr>
            <w:r>
              <w:rPr>
                <w:sz w:val="22"/>
                <w:szCs w:val="22"/>
              </w:rPr>
              <w:t>450 000</w:t>
            </w:r>
          </w:p>
        </w:tc>
        <w:tc>
          <w:tcPr>
            <w:tcW w:w="900" w:type="dxa"/>
            <w:tcBorders>
              <w:bottom w:val="single" w:sz="12" w:space="0" w:color="auto"/>
            </w:tcBorders>
            <w:tcMar>
              <w:left w:w="28" w:type="dxa"/>
              <w:right w:w="28" w:type="dxa"/>
            </w:tcMar>
            <w:vAlign w:val="center"/>
          </w:tcPr>
          <w:p w:rsidR="00EA1F75" w:rsidRPr="00B0461F" w:rsidRDefault="00EA1F75" w:rsidP="00BC573B">
            <w:pPr>
              <w:jc w:val="center"/>
            </w:pPr>
            <w:r>
              <w:rPr>
                <w:sz w:val="22"/>
                <w:szCs w:val="22"/>
              </w:rPr>
              <w:t>450 000</w:t>
            </w:r>
          </w:p>
        </w:tc>
        <w:tc>
          <w:tcPr>
            <w:tcW w:w="900" w:type="dxa"/>
            <w:tcBorders>
              <w:bottom w:val="single" w:sz="12" w:space="0" w:color="auto"/>
            </w:tcBorders>
            <w:tcMar>
              <w:left w:w="28" w:type="dxa"/>
              <w:right w:w="28" w:type="dxa"/>
            </w:tcMar>
            <w:vAlign w:val="center"/>
          </w:tcPr>
          <w:p w:rsidR="00EA1F75" w:rsidRPr="00B0461F" w:rsidRDefault="00EA1F75" w:rsidP="00BC573B">
            <w:pPr>
              <w:jc w:val="center"/>
            </w:pPr>
            <w:r>
              <w:rPr>
                <w:sz w:val="22"/>
                <w:szCs w:val="22"/>
              </w:rPr>
              <w:t>450 000</w:t>
            </w:r>
          </w:p>
        </w:tc>
        <w:tc>
          <w:tcPr>
            <w:tcW w:w="900" w:type="dxa"/>
            <w:tcBorders>
              <w:bottom w:val="single" w:sz="12" w:space="0" w:color="auto"/>
            </w:tcBorders>
            <w:tcMar>
              <w:left w:w="28" w:type="dxa"/>
              <w:right w:w="28" w:type="dxa"/>
            </w:tcMar>
            <w:vAlign w:val="center"/>
          </w:tcPr>
          <w:p w:rsidR="00EA1F75" w:rsidRPr="00B0461F" w:rsidRDefault="00EA1F75" w:rsidP="00BC573B">
            <w:pPr>
              <w:jc w:val="center"/>
            </w:pPr>
            <w:r>
              <w:rPr>
                <w:sz w:val="22"/>
                <w:szCs w:val="22"/>
              </w:rPr>
              <w:t>300 000</w:t>
            </w:r>
          </w:p>
        </w:tc>
        <w:tc>
          <w:tcPr>
            <w:tcW w:w="900" w:type="dxa"/>
            <w:tcBorders>
              <w:bottom w:val="single" w:sz="12" w:space="0" w:color="auto"/>
            </w:tcBorders>
            <w:tcMar>
              <w:left w:w="28" w:type="dxa"/>
              <w:right w:w="28" w:type="dxa"/>
            </w:tcMar>
            <w:vAlign w:val="center"/>
          </w:tcPr>
          <w:p w:rsidR="00EA1F75" w:rsidRPr="00B0461F" w:rsidRDefault="00EA1F75" w:rsidP="00BC573B">
            <w:pPr>
              <w:jc w:val="center"/>
            </w:pPr>
            <w:r>
              <w:rPr>
                <w:sz w:val="22"/>
                <w:szCs w:val="22"/>
              </w:rPr>
              <w:t>300 000</w:t>
            </w:r>
          </w:p>
        </w:tc>
        <w:tc>
          <w:tcPr>
            <w:tcW w:w="848" w:type="dxa"/>
            <w:tcBorders>
              <w:bottom w:val="single" w:sz="12" w:space="0" w:color="auto"/>
            </w:tcBorders>
            <w:tcMar>
              <w:left w:w="28" w:type="dxa"/>
              <w:right w:w="28" w:type="dxa"/>
            </w:tcMar>
            <w:vAlign w:val="center"/>
          </w:tcPr>
          <w:p w:rsidR="00EA1F75" w:rsidRPr="00B0461F" w:rsidRDefault="00EA1F75" w:rsidP="00D37961">
            <w:pPr>
              <w:jc w:val="center"/>
            </w:pPr>
            <w:r>
              <w:rPr>
                <w:sz w:val="22"/>
                <w:szCs w:val="22"/>
              </w:rPr>
              <w:t>300 000</w:t>
            </w:r>
          </w:p>
        </w:tc>
        <w:tc>
          <w:tcPr>
            <w:tcW w:w="952" w:type="dxa"/>
            <w:tcBorders>
              <w:bottom w:val="single" w:sz="12" w:space="0" w:color="auto"/>
            </w:tcBorders>
            <w:tcMar>
              <w:left w:w="28" w:type="dxa"/>
              <w:right w:w="28" w:type="dxa"/>
            </w:tcMar>
            <w:vAlign w:val="center"/>
          </w:tcPr>
          <w:p w:rsidR="00EA1F75" w:rsidRPr="00B0461F" w:rsidRDefault="00EA1F75" w:rsidP="00BC573B">
            <w:pPr>
              <w:jc w:val="center"/>
            </w:pPr>
            <w:r>
              <w:rPr>
                <w:sz w:val="22"/>
                <w:szCs w:val="22"/>
              </w:rPr>
              <w:t xml:space="preserve">3 045 000 </w:t>
            </w:r>
          </w:p>
        </w:tc>
      </w:tr>
    </w:tbl>
    <w:p w:rsidR="00EA1F75" w:rsidRPr="00EA0E94" w:rsidRDefault="00EA1F75" w:rsidP="0026459C">
      <w:pPr>
        <w:spacing w:before="120"/>
        <w:rPr>
          <w:color w:val="000000"/>
          <w:shd w:val="clear" w:color="auto" w:fill="FFFFFF"/>
        </w:rPr>
      </w:pPr>
      <w:r>
        <w:rPr>
          <w:color w:val="000000"/>
          <w:shd w:val="clear" w:color="auto" w:fill="FFFFFF"/>
        </w:rPr>
        <w:t xml:space="preserve">Navržené výdaje Programu vychází z analýzy absorpční kapacity (viz kap. 12). </w:t>
      </w:r>
      <w:r w:rsidRPr="00EA0E94">
        <w:rPr>
          <w:color w:val="000000"/>
          <w:shd w:val="clear" w:color="auto" w:fill="FFFFFF"/>
        </w:rPr>
        <w:t xml:space="preserve">Výdaje státního rozpočtu na </w:t>
      </w:r>
      <w:r>
        <w:rPr>
          <w:color w:val="000000"/>
          <w:shd w:val="clear" w:color="auto" w:fill="FFFFFF"/>
        </w:rPr>
        <w:t>P</w:t>
      </w:r>
      <w:r w:rsidRPr="00EA0E94">
        <w:rPr>
          <w:color w:val="000000"/>
          <w:shd w:val="clear" w:color="auto" w:fill="FFFFFF"/>
        </w:rPr>
        <w:t>rogram budou v jednotlivých letech realizovány podle možností státního rozpočtu ČR na výzkum, vývoj a inovace.</w:t>
      </w:r>
    </w:p>
    <w:p w:rsidR="00EA1F75" w:rsidRDefault="00EA1F75" w:rsidP="0026459C">
      <w:pPr>
        <w:rPr>
          <w:color w:val="000000"/>
          <w:shd w:val="clear" w:color="auto" w:fill="FFFFFF"/>
        </w:rPr>
      </w:pPr>
    </w:p>
    <w:p w:rsidR="00EA1F75" w:rsidRDefault="00EA1F75" w:rsidP="0026459C">
      <w:pPr>
        <w:rPr>
          <w:color w:val="000000"/>
          <w:shd w:val="clear" w:color="auto" w:fill="FFFFFF"/>
        </w:rPr>
      </w:pPr>
      <w:r>
        <w:rPr>
          <w:color w:val="000000"/>
          <w:shd w:val="clear" w:color="auto" w:fill="FFFFFF"/>
        </w:rPr>
        <w:t>V souladu se zákonem č. </w:t>
      </w:r>
      <w:r w:rsidRPr="007E364E">
        <w:rPr>
          <w:color w:val="000000"/>
          <w:shd w:val="clear" w:color="auto" w:fill="FFFFFF"/>
        </w:rPr>
        <w:t xml:space="preserve">130/2002 Sb. a Nařízením </w:t>
      </w:r>
      <w:r>
        <w:rPr>
          <w:color w:val="000000"/>
          <w:shd w:val="clear" w:color="auto" w:fill="FFFFFF"/>
        </w:rPr>
        <w:t>K</w:t>
      </w:r>
      <w:r w:rsidRPr="007E364E">
        <w:rPr>
          <w:color w:val="000000"/>
          <w:shd w:val="clear" w:color="auto" w:fill="FFFFFF"/>
        </w:rPr>
        <w:t xml:space="preserve">omise </w:t>
      </w:r>
      <w:r>
        <w:rPr>
          <w:color w:val="000000"/>
          <w:shd w:val="clear" w:color="auto" w:fill="FFFFFF"/>
        </w:rPr>
        <w:t xml:space="preserve">(EU) </w:t>
      </w:r>
      <w:r w:rsidRPr="00B51465">
        <w:rPr>
          <w:color w:val="000000"/>
          <w:shd w:val="clear" w:color="auto" w:fill="FFFFFF"/>
        </w:rPr>
        <w:t>č. 651/2014 ze dne 17. června 2014, kterým se v souladu s články 107 a 108 Smlouvy prohlašují určité kategorie podpory za slučitelné s vnitřním trhem – L 187/1</w:t>
      </w:r>
      <w:r>
        <w:rPr>
          <w:color w:val="000000"/>
          <w:shd w:val="clear" w:color="auto" w:fill="FFFFFF"/>
        </w:rPr>
        <w:t xml:space="preserve"> („dále jen „Nařízení Komise (EU)“)</w:t>
      </w:r>
      <w:r w:rsidRPr="00B51465">
        <w:rPr>
          <w:rStyle w:val="Odkaznavysvtlivky"/>
          <w:color w:val="000000"/>
          <w:shd w:val="clear" w:color="auto" w:fill="FFFFFF"/>
        </w:rPr>
        <w:endnoteReference w:id="5"/>
      </w:r>
      <w:r w:rsidRPr="000F3D34">
        <w:rPr>
          <w:color w:val="000000"/>
          <w:shd w:val="clear" w:color="auto" w:fill="FFFFFF"/>
        </w:rPr>
        <w:t xml:space="preserve"> </w:t>
      </w:r>
      <w:r w:rsidRPr="007E364E">
        <w:rPr>
          <w:color w:val="000000"/>
          <w:shd w:val="clear" w:color="auto" w:fill="FFFFFF"/>
        </w:rPr>
        <w:t xml:space="preserve">a </w:t>
      </w:r>
      <w:r w:rsidRPr="00B51465">
        <w:rPr>
          <w:color w:val="000000"/>
          <w:shd w:val="clear" w:color="auto" w:fill="FFFFFF"/>
        </w:rPr>
        <w:t>Sdělení Komise – Rámec pro státní podporu výzkumu, vývoje a inovací - 2014/C 198/01 (dále jen „Rámec“)</w:t>
      </w:r>
      <w:r>
        <w:rPr>
          <w:color w:val="000000"/>
          <w:shd w:val="clear" w:color="auto" w:fill="FFFFFF"/>
        </w:rPr>
        <w:t xml:space="preserve"> mohou být příjemci podpory výzkumné organizace a podniky spolupracující s výzkumnými organizacemi (jako jeden z příjemců v konsorciálních projektech nebo jako další účastník projektu):</w:t>
      </w:r>
    </w:p>
    <w:p w:rsidR="00EA1F75" w:rsidRDefault="00EA1F75" w:rsidP="00961B94">
      <w:pPr>
        <w:rPr>
          <w:color w:val="000000"/>
          <w:shd w:val="clear" w:color="auto" w:fill="FFFFFF"/>
        </w:rPr>
      </w:pPr>
      <w:r>
        <w:rPr>
          <w:color w:val="000000"/>
          <w:shd w:val="clear" w:color="auto" w:fill="FFFFFF"/>
        </w:rPr>
        <w:t>Maximální intenzita</w:t>
      </w:r>
      <w:r w:rsidRPr="007E364E">
        <w:rPr>
          <w:color w:val="000000"/>
          <w:shd w:val="clear" w:color="auto" w:fill="FFFFFF"/>
        </w:rPr>
        <w:t xml:space="preserve"> podpory pro výzkumn</w:t>
      </w:r>
      <w:r>
        <w:rPr>
          <w:color w:val="000000"/>
          <w:shd w:val="clear" w:color="auto" w:fill="FFFFFF"/>
        </w:rPr>
        <w:t>é</w:t>
      </w:r>
      <w:r w:rsidRPr="007E364E">
        <w:rPr>
          <w:color w:val="000000"/>
          <w:shd w:val="clear" w:color="auto" w:fill="FFFFFF"/>
        </w:rPr>
        <w:t xml:space="preserve"> organizac</w:t>
      </w:r>
      <w:r>
        <w:rPr>
          <w:color w:val="000000"/>
          <w:shd w:val="clear" w:color="auto" w:fill="FFFFFF"/>
        </w:rPr>
        <w:t>e</w:t>
      </w:r>
      <w:r w:rsidRPr="007E364E">
        <w:rPr>
          <w:color w:val="000000"/>
          <w:shd w:val="clear" w:color="auto" w:fill="FFFFFF"/>
        </w:rPr>
        <w:t xml:space="preserve"> </w:t>
      </w:r>
      <w:r>
        <w:rPr>
          <w:color w:val="000000"/>
          <w:shd w:val="clear" w:color="auto" w:fill="FFFFFF"/>
        </w:rPr>
        <w:t xml:space="preserve">může být </w:t>
      </w:r>
      <w:r w:rsidRPr="007E364E">
        <w:rPr>
          <w:color w:val="000000"/>
          <w:shd w:val="clear" w:color="auto" w:fill="FFFFFF"/>
        </w:rPr>
        <w:t>až 100 %</w:t>
      </w:r>
      <w:r>
        <w:rPr>
          <w:color w:val="000000"/>
          <w:shd w:val="clear" w:color="auto" w:fill="FFFFFF"/>
        </w:rPr>
        <w:t xml:space="preserve"> za podmínky použití podpory pouze</w:t>
      </w:r>
      <w:r w:rsidRPr="00596AC6">
        <w:rPr>
          <w:color w:val="000000"/>
          <w:shd w:val="clear" w:color="auto" w:fill="FFFFFF"/>
        </w:rPr>
        <w:t xml:space="preserve"> na své</w:t>
      </w:r>
      <w:r>
        <w:rPr>
          <w:color w:val="000000"/>
          <w:shd w:val="clear" w:color="auto" w:fill="FFFFFF"/>
        </w:rPr>
        <w:t xml:space="preserve"> </w:t>
      </w:r>
      <w:r w:rsidRPr="00596AC6">
        <w:rPr>
          <w:color w:val="000000"/>
          <w:shd w:val="clear" w:color="auto" w:fill="FFFFFF"/>
        </w:rPr>
        <w:t>nehospodářské činnosti podle čl. 2.1.1 odst. 19 Rámce a</w:t>
      </w:r>
      <w:r>
        <w:rPr>
          <w:color w:val="000000"/>
          <w:shd w:val="clear" w:color="auto" w:fill="FFFFFF"/>
        </w:rPr>
        <w:t xml:space="preserve"> </w:t>
      </w:r>
      <w:r w:rsidRPr="00596AC6">
        <w:rPr>
          <w:color w:val="000000"/>
          <w:shd w:val="clear" w:color="auto" w:fill="FFFFFF"/>
        </w:rPr>
        <w:t>pokud budou dodrženy všechny související podmínky Nařízení Komise a</w:t>
      </w:r>
      <w:r>
        <w:rPr>
          <w:color w:val="000000"/>
          <w:shd w:val="clear" w:color="auto" w:fill="FFFFFF"/>
        </w:rPr>
        <w:t xml:space="preserve"> </w:t>
      </w:r>
      <w:r w:rsidRPr="00596AC6">
        <w:rPr>
          <w:color w:val="000000"/>
          <w:shd w:val="clear" w:color="auto" w:fill="FFFFFF"/>
        </w:rPr>
        <w:t>Rámce</w:t>
      </w:r>
      <w:r>
        <w:rPr>
          <w:color w:val="000000"/>
          <w:shd w:val="clear" w:color="auto" w:fill="FFFFFF"/>
        </w:rPr>
        <w:t>.</w:t>
      </w:r>
    </w:p>
    <w:p w:rsidR="00EA1F75" w:rsidRDefault="00EA1F75" w:rsidP="00961B94">
      <w:pPr>
        <w:rPr>
          <w:color w:val="000000"/>
          <w:shd w:val="clear" w:color="auto" w:fill="FFFFFF"/>
        </w:rPr>
      </w:pPr>
      <w:r>
        <w:rPr>
          <w:color w:val="000000"/>
          <w:shd w:val="clear" w:color="auto" w:fill="FFFFFF"/>
        </w:rPr>
        <w:t xml:space="preserve">Základní intenzita podpory pro podniky je 50 % pro průmyslový výzkum a 25 % pro experimentální vývoj. </w:t>
      </w:r>
      <w:r w:rsidRPr="00D77D2A">
        <w:rPr>
          <w:color w:val="000000"/>
          <w:shd w:val="clear" w:color="auto" w:fill="FFFFFF"/>
        </w:rPr>
        <w:t>V souladu s Nařízením Komise</w:t>
      </w:r>
      <w:r>
        <w:rPr>
          <w:color w:val="000000"/>
          <w:shd w:val="clear" w:color="auto" w:fill="FFFFFF"/>
        </w:rPr>
        <w:t xml:space="preserve"> (EU)</w:t>
      </w:r>
      <w:r w:rsidRPr="00D77D2A">
        <w:rPr>
          <w:color w:val="000000"/>
          <w:shd w:val="clear" w:color="auto" w:fill="FFFFFF"/>
        </w:rPr>
        <w:t xml:space="preserve"> je možné přiznat bonifikaci nad rámec základní intenzity</w:t>
      </w:r>
      <w:r>
        <w:rPr>
          <w:color w:val="000000"/>
          <w:shd w:val="clear" w:color="auto" w:fill="FFFFFF"/>
        </w:rPr>
        <w:t xml:space="preserve"> </w:t>
      </w:r>
      <w:r w:rsidRPr="00D77D2A">
        <w:rPr>
          <w:color w:val="000000"/>
          <w:shd w:val="clear" w:color="auto" w:fill="FFFFFF"/>
        </w:rPr>
        <w:t xml:space="preserve">podpory pro </w:t>
      </w:r>
      <w:r>
        <w:rPr>
          <w:color w:val="000000"/>
          <w:shd w:val="clear" w:color="auto" w:fill="FFFFFF"/>
        </w:rPr>
        <w:t xml:space="preserve">podniky podle velikosti podniku (viz Příloha č. 1 </w:t>
      </w:r>
      <w:r w:rsidRPr="00D77D2A">
        <w:rPr>
          <w:color w:val="000000"/>
          <w:shd w:val="clear" w:color="auto" w:fill="FFFFFF"/>
        </w:rPr>
        <w:t>Nařízení Komise</w:t>
      </w:r>
      <w:r>
        <w:rPr>
          <w:color w:val="000000"/>
          <w:shd w:val="clear" w:color="auto" w:fill="FFFFFF"/>
        </w:rPr>
        <w:t xml:space="preserve"> (EU) a/nebo </w:t>
      </w:r>
      <w:r w:rsidRPr="00D77D2A">
        <w:rPr>
          <w:color w:val="000000"/>
          <w:shd w:val="clear" w:color="auto" w:fill="FFFFFF"/>
        </w:rPr>
        <w:t>za splnění podmínek účinné spolupráce. Za</w:t>
      </w:r>
      <w:r>
        <w:rPr>
          <w:color w:val="000000"/>
          <w:shd w:val="clear" w:color="auto" w:fill="FFFFFF"/>
        </w:rPr>
        <w:t xml:space="preserve"> </w:t>
      </w:r>
      <w:r w:rsidRPr="00D77D2A">
        <w:rPr>
          <w:color w:val="000000"/>
          <w:shd w:val="clear" w:color="auto" w:fill="FFFFFF"/>
        </w:rPr>
        <w:t>účinnou spolupráci se</w:t>
      </w:r>
      <w:r>
        <w:rPr>
          <w:color w:val="000000"/>
          <w:shd w:val="clear" w:color="auto" w:fill="FFFFFF"/>
        </w:rPr>
        <w:t xml:space="preserve"> </w:t>
      </w:r>
      <w:r w:rsidRPr="00D77D2A">
        <w:rPr>
          <w:color w:val="000000"/>
          <w:shd w:val="clear" w:color="auto" w:fill="FFFFFF"/>
        </w:rPr>
        <w:t>v</w:t>
      </w:r>
      <w:r>
        <w:rPr>
          <w:color w:val="000000"/>
          <w:shd w:val="clear" w:color="auto" w:fill="FFFFFF"/>
        </w:rPr>
        <w:t xml:space="preserve"> </w:t>
      </w:r>
      <w:r w:rsidRPr="00D77D2A">
        <w:rPr>
          <w:color w:val="000000"/>
          <w:shd w:val="clear" w:color="auto" w:fill="FFFFFF"/>
        </w:rPr>
        <w:t>souladu ustanoveními Rámce (bod 27 a následující)</w:t>
      </w:r>
      <w:r>
        <w:rPr>
          <w:color w:val="000000"/>
          <w:shd w:val="clear" w:color="auto" w:fill="FFFFFF"/>
        </w:rPr>
        <w:t xml:space="preserve">, </w:t>
      </w:r>
      <w:r w:rsidRPr="00D77D2A">
        <w:rPr>
          <w:color w:val="000000"/>
          <w:shd w:val="clear" w:color="auto" w:fill="FFFFFF"/>
        </w:rPr>
        <w:t>resp. (</w:t>
      </w:r>
      <w:r>
        <w:rPr>
          <w:color w:val="000000"/>
          <w:shd w:val="clear" w:color="auto" w:fill="FFFFFF"/>
        </w:rPr>
        <w:t>č</w:t>
      </w:r>
      <w:r w:rsidRPr="00D77D2A">
        <w:rPr>
          <w:color w:val="000000"/>
          <w:shd w:val="clear" w:color="auto" w:fill="FFFFFF"/>
        </w:rPr>
        <w:t>l. 2 odst. 90</w:t>
      </w:r>
      <w:r w:rsidRPr="00EE60CB">
        <w:rPr>
          <w:color w:val="000000"/>
          <w:shd w:val="clear" w:color="auto" w:fill="FFFFFF"/>
        </w:rPr>
        <w:t xml:space="preserve"> </w:t>
      </w:r>
      <w:r w:rsidRPr="00D77D2A">
        <w:rPr>
          <w:color w:val="000000"/>
          <w:shd w:val="clear" w:color="auto" w:fill="FFFFFF"/>
        </w:rPr>
        <w:t>Nařízením Komise</w:t>
      </w:r>
      <w:r>
        <w:rPr>
          <w:color w:val="000000"/>
          <w:shd w:val="clear" w:color="auto" w:fill="FFFFFF"/>
        </w:rPr>
        <w:t xml:space="preserve"> (EU)</w:t>
      </w:r>
      <w:r w:rsidRPr="00D77D2A">
        <w:rPr>
          <w:color w:val="000000"/>
          <w:shd w:val="clear" w:color="auto" w:fill="FFFFFF"/>
        </w:rPr>
        <w:t>)</w:t>
      </w:r>
      <w:r>
        <w:rPr>
          <w:color w:val="000000"/>
          <w:shd w:val="clear" w:color="auto" w:fill="FFFFFF"/>
        </w:rPr>
        <w:t xml:space="preserve"> </w:t>
      </w:r>
      <w:r w:rsidRPr="00D77D2A">
        <w:rPr>
          <w:color w:val="000000"/>
          <w:shd w:val="clear" w:color="auto" w:fill="FFFFFF"/>
        </w:rPr>
        <w:t>považuje spolupráce nejméně dvou nezávislých stran za účelem výměny znalostí či technologií nebo k</w:t>
      </w:r>
      <w:r>
        <w:rPr>
          <w:color w:val="000000"/>
          <w:shd w:val="clear" w:color="auto" w:fill="FFFFFF"/>
        </w:rPr>
        <w:t xml:space="preserve"> </w:t>
      </w:r>
      <w:r w:rsidRPr="00D77D2A">
        <w:rPr>
          <w:color w:val="000000"/>
          <w:shd w:val="clear" w:color="auto" w:fill="FFFFFF"/>
        </w:rPr>
        <w:lastRenderedPageBreak/>
        <w:t>dosažení společného cíle na základě dělby práce, kde příslušné strany společně stanoví rozsah projektu spolupráce, přispívají k</w:t>
      </w:r>
      <w:r>
        <w:rPr>
          <w:color w:val="000000"/>
          <w:shd w:val="clear" w:color="auto" w:fill="FFFFFF"/>
        </w:rPr>
        <w:t xml:space="preserve"> </w:t>
      </w:r>
      <w:r w:rsidRPr="00D77D2A">
        <w:rPr>
          <w:color w:val="000000"/>
          <w:shd w:val="clear" w:color="auto" w:fill="FFFFFF"/>
        </w:rPr>
        <w:t>jeho realizaci a</w:t>
      </w:r>
      <w:r>
        <w:rPr>
          <w:color w:val="000000"/>
          <w:shd w:val="clear" w:color="auto" w:fill="FFFFFF"/>
        </w:rPr>
        <w:t xml:space="preserve"> </w:t>
      </w:r>
      <w:r w:rsidRPr="00D77D2A">
        <w:rPr>
          <w:color w:val="000000"/>
          <w:shd w:val="clear" w:color="auto" w:fill="FFFFFF"/>
        </w:rPr>
        <w:t>sdílejí jeho rizika a výsledky. Za formy spolupráce nejsou považovány smluvní výzkum a poskytování výzkumných služeb</w:t>
      </w:r>
      <w:r>
        <w:rPr>
          <w:color w:val="000000"/>
          <w:shd w:val="clear" w:color="auto" w:fill="FFFFFF"/>
        </w:rPr>
        <w:t>.</w:t>
      </w:r>
    </w:p>
    <w:p w:rsidR="00EA1F75" w:rsidRPr="00B0461F" w:rsidRDefault="00EA1F75" w:rsidP="00D77D2A">
      <w:pPr>
        <w:ind w:left="1134" w:hanging="1134"/>
        <w:rPr>
          <w:b/>
          <w:color w:val="000000"/>
          <w:sz w:val="22"/>
          <w:szCs w:val="22"/>
          <w:shd w:val="clear" w:color="auto" w:fill="FFFFFF"/>
        </w:rPr>
      </w:pPr>
      <w:r w:rsidRPr="00B0461F">
        <w:rPr>
          <w:b/>
          <w:color w:val="000000"/>
          <w:sz w:val="22"/>
          <w:szCs w:val="22"/>
          <w:shd w:val="clear" w:color="auto" w:fill="FFFFFF"/>
        </w:rPr>
        <w:t xml:space="preserve">Tab. </w:t>
      </w:r>
      <w:proofErr w:type="gramStart"/>
      <w:r w:rsidRPr="00B0461F">
        <w:rPr>
          <w:b/>
          <w:color w:val="000000"/>
          <w:sz w:val="22"/>
          <w:szCs w:val="22"/>
          <w:shd w:val="clear" w:color="auto" w:fill="FFFFFF"/>
        </w:rPr>
        <w:t>č.</w:t>
      </w:r>
      <w:proofErr w:type="gramEnd"/>
      <w:r w:rsidRPr="00B0461F">
        <w:rPr>
          <w:b/>
          <w:color w:val="000000"/>
          <w:sz w:val="22"/>
          <w:szCs w:val="22"/>
          <w:shd w:val="clear" w:color="auto" w:fill="FFFFFF"/>
        </w:rPr>
        <w:t xml:space="preserve"> </w:t>
      </w:r>
      <w:r>
        <w:rPr>
          <w:b/>
          <w:color w:val="000000"/>
          <w:sz w:val="22"/>
          <w:szCs w:val="22"/>
          <w:shd w:val="clear" w:color="auto" w:fill="FFFFFF"/>
        </w:rPr>
        <w:t>3</w:t>
      </w:r>
      <w:r w:rsidRPr="00B0461F">
        <w:rPr>
          <w:b/>
          <w:color w:val="000000"/>
          <w:sz w:val="22"/>
          <w:szCs w:val="22"/>
          <w:shd w:val="clear" w:color="auto" w:fill="FFFFFF"/>
        </w:rPr>
        <w:t xml:space="preserve">: </w:t>
      </w:r>
      <w:r w:rsidRPr="00D77D2A">
        <w:rPr>
          <w:b/>
          <w:color w:val="000000"/>
          <w:sz w:val="22"/>
          <w:szCs w:val="22"/>
          <w:shd w:val="clear" w:color="auto" w:fill="FFFFFF"/>
        </w:rPr>
        <w:t>Maximální intenzita podpory pro jednotlivé kategorie činností a</w:t>
      </w:r>
      <w:r>
        <w:rPr>
          <w:b/>
          <w:color w:val="000000"/>
          <w:sz w:val="22"/>
          <w:szCs w:val="22"/>
          <w:shd w:val="clear" w:color="auto" w:fill="FFFFFF"/>
        </w:rPr>
        <w:t xml:space="preserve"> </w:t>
      </w:r>
      <w:r w:rsidRPr="00D77D2A">
        <w:rPr>
          <w:b/>
          <w:color w:val="000000"/>
          <w:sz w:val="22"/>
          <w:szCs w:val="22"/>
          <w:shd w:val="clear" w:color="auto" w:fill="FFFFFF"/>
        </w:rPr>
        <w:t>jednotlivé kategorie</w:t>
      </w:r>
      <w:r w:rsidRPr="00B0461F">
        <w:rPr>
          <w:b/>
          <w:color w:val="000000"/>
          <w:sz w:val="22"/>
          <w:szCs w:val="22"/>
          <w:shd w:val="clear" w:color="auto" w:fill="FFFFFF"/>
        </w:rPr>
        <w:t xml:space="preserve"> </w:t>
      </w:r>
      <w:r>
        <w:rPr>
          <w:b/>
          <w:color w:val="000000"/>
          <w:sz w:val="22"/>
          <w:szCs w:val="22"/>
          <w:shd w:val="clear" w:color="auto" w:fill="FFFFFF"/>
        </w:rPr>
        <w:t>podniků:</w:t>
      </w:r>
    </w:p>
    <w:tbl>
      <w:tblPr>
        <w:tblW w:w="9356" w:type="dxa"/>
        <w:tblInd w:w="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962"/>
        <w:gridCol w:w="1417"/>
        <w:gridCol w:w="1559"/>
        <w:gridCol w:w="1418"/>
      </w:tblGrid>
      <w:tr w:rsidR="00EA1F75" w:rsidRPr="00B0461F" w:rsidTr="00D77D2A">
        <w:trPr>
          <w:tblHeader/>
        </w:trPr>
        <w:tc>
          <w:tcPr>
            <w:tcW w:w="4962"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934D6D">
            <w:pPr>
              <w:jc w:val="center"/>
              <w:rPr>
                <w:b/>
              </w:rPr>
            </w:pPr>
            <w:r>
              <w:rPr>
                <w:b/>
                <w:sz w:val="22"/>
                <w:szCs w:val="22"/>
              </w:rPr>
              <w:t>Kategorie činnosti / účastník</w:t>
            </w:r>
          </w:p>
        </w:tc>
        <w:tc>
          <w:tcPr>
            <w:tcW w:w="1417"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934D6D">
            <w:pPr>
              <w:jc w:val="center"/>
              <w:rPr>
                <w:b/>
              </w:rPr>
            </w:pPr>
            <w:r>
              <w:rPr>
                <w:b/>
                <w:sz w:val="22"/>
                <w:szCs w:val="22"/>
              </w:rPr>
              <w:t>velký podnik</w:t>
            </w:r>
          </w:p>
        </w:tc>
        <w:tc>
          <w:tcPr>
            <w:tcW w:w="1559"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934D6D">
            <w:pPr>
              <w:jc w:val="center"/>
              <w:rPr>
                <w:b/>
              </w:rPr>
            </w:pPr>
            <w:r>
              <w:rPr>
                <w:b/>
                <w:sz w:val="22"/>
                <w:szCs w:val="22"/>
              </w:rPr>
              <w:t>střední podnik</w:t>
            </w:r>
          </w:p>
        </w:tc>
        <w:tc>
          <w:tcPr>
            <w:tcW w:w="1418" w:type="dxa"/>
            <w:tcBorders>
              <w:top w:val="single" w:sz="12" w:space="0" w:color="auto"/>
              <w:bottom w:val="single" w:sz="12" w:space="0" w:color="auto"/>
            </w:tcBorders>
            <w:shd w:val="clear" w:color="auto" w:fill="E6E6E6"/>
            <w:tcMar>
              <w:left w:w="28" w:type="dxa"/>
              <w:right w:w="28" w:type="dxa"/>
            </w:tcMar>
            <w:vAlign w:val="center"/>
          </w:tcPr>
          <w:p w:rsidR="00EA1F75" w:rsidRPr="00B0461F" w:rsidRDefault="00EA1F75" w:rsidP="00934D6D">
            <w:pPr>
              <w:jc w:val="center"/>
              <w:rPr>
                <w:b/>
              </w:rPr>
            </w:pPr>
            <w:r>
              <w:rPr>
                <w:b/>
                <w:sz w:val="22"/>
                <w:szCs w:val="22"/>
              </w:rPr>
              <w:t>malý podnik</w:t>
            </w:r>
          </w:p>
        </w:tc>
      </w:tr>
      <w:tr w:rsidR="00EA1F75" w:rsidRPr="00B0461F" w:rsidTr="00D77D2A">
        <w:tc>
          <w:tcPr>
            <w:tcW w:w="4962" w:type="dxa"/>
            <w:tcBorders>
              <w:top w:val="single" w:sz="12" w:space="0" w:color="auto"/>
            </w:tcBorders>
            <w:tcMar>
              <w:left w:w="28" w:type="dxa"/>
              <w:right w:w="28" w:type="dxa"/>
            </w:tcMar>
            <w:vAlign w:val="center"/>
          </w:tcPr>
          <w:p w:rsidR="00EA1F75" w:rsidRPr="00B0461F" w:rsidRDefault="00EA1F75" w:rsidP="00987E73">
            <w:pPr>
              <w:jc w:val="left"/>
            </w:pPr>
            <w:r>
              <w:rPr>
                <w:sz w:val="22"/>
                <w:szCs w:val="22"/>
              </w:rPr>
              <w:t>průmyslový výzkum (základní intenzita)</w:t>
            </w:r>
          </w:p>
        </w:tc>
        <w:tc>
          <w:tcPr>
            <w:tcW w:w="1417" w:type="dxa"/>
            <w:tcBorders>
              <w:top w:val="single" w:sz="12" w:space="0" w:color="auto"/>
            </w:tcBorders>
            <w:tcMar>
              <w:left w:w="28" w:type="dxa"/>
              <w:right w:w="28" w:type="dxa"/>
            </w:tcMar>
            <w:vAlign w:val="center"/>
          </w:tcPr>
          <w:p w:rsidR="00EA1F75" w:rsidRPr="00B0461F" w:rsidRDefault="00EA1F75" w:rsidP="00934D6D">
            <w:pPr>
              <w:jc w:val="center"/>
            </w:pPr>
            <w:r>
              <w:rPr>
                <w:sz w:val="22"/>
                <w:szCs w:val="22"/>
              </w:rPr>
              <w:t>50 %</w:t>
            </w:r>
          </w:p>
        </w:tc>
        <w:tc>
          <w:tcPr>
            <w:tcW w:w="1559" w:type="dxa"/>
            <w:tcBorders>
              <w:top w:val="single" w:sz="12" w:space="0" w:color="auto"/>
            </w:tcBorders>
            <w:tcMar>
              <w:left w:w="28" w:type="dxa"/>
              <w:right w:w="28" w:type="dxa"/>
            </w:tcMar>
            <w:vAlign w:val="center"/>
          </w:tcPr>
          <w:p w:rsidR="00EA1F75" w:rsidRPr="00B0461F" w:rsidRDefault="00EA1F75" w:rsidP="00934D6D">
            <w:pPr>
              <w:jc w:val="center"/>
            </w:pPr>
            <w:r>
              <w:rPr>
                <w:sz w:val="22"/>
                <w:szCs w:val="22"/>
              </w:rPr>
              <w:t>60 %</w:t>
            </w:r>
          </w:p>
        </w:tc>
        <w:tc>
          <w:tcPr>
            <w:tcW w:w="1418" w:type="dxa"/>
            <w:tcBorders>
              <w:top w:val="single" w:sz="12" w:space="0" w:color="auto"/>
            </w:tcBorders>
            <w:tcMar>
              <w:left w:w="28" w:type="dxa"/>
              <w:right w:w="28" w:type="dxa"/>
            </w:tcMar>
            <w:vAlign w:val="center"/>
          </w:tcPr>
          <w:p w:rsidR="00EA1F75" w:rsidRPr="00B0461F" w:rsidRDefault="00EA1F75" w:rsidP="00934D6D">
            <w:pPr>
              <w:jc w:val="center"/>
            </w:pPr>
            <w:r>
              <w:rPr>
                <w:sz w:val="22"/>
                <w:szCs w:val="22"/>
              </w:rPr>
              <w:t>70 %</w:t>
            </w:r>
          </w:p>
        </w:tc>
      </w:tr>
      <w:tr w:rsidR="00EA1F75" w:rsidRPr="00B0461F" w:rsidTr="00D77D2A">
        <w:tc>
          <w:tcPr>
            <w:tcW w:w="4962" w:type="dxa"/>
            <w:tcMar>
              <w:left w:w="28" w:type="dxa"/>
              <w:right w:w="28" w:type="dxa"/>
            </w:tcMar>
            <w:vAlign w:val="center"/>
          </w:tcPr>
          <w:p w:rsidR="00EA1F75" w:rsidRPr="00B0461F" w:rsidRDefault="00EA1F75" w:rsidP="00987E73">
            <w:pPr>
              <w:jc w:val="left"/>
            </w:pPr>
            <w:r>
              <w:rPr>
                <w:sz w:val="22"/>
                <w:szCs w:val="22"/>
              </w:rPr>
              <w:t>průmyslový výzkum v případě účinné spolupráce</w:t>
            </w:r>
          </w:p>
        </w:tc>
        <w:tc>
          <w:tcPr>
            <w:tcW w:w="1417" w:type="dxa"/>
            <w:tcMar>
              <w:left w:w="28" w:type="dxa"/>
              <w:right w:w="28" w:type="dxa"/>
            </w:tcMar>
            <w:vAlign w:val="center"/>
          </w:tcPr>
          <w:p w:rsidR="00EA1F75" w:rsidRPr="00B0461F" w:rsidRDefault="00EA1F75" w:rsidP="00934D6D">
            <w:pPr>
              <w:jc w:val="center"/>
            </w:pPr>
            <w:r>
              <w:rPr>
                <w:sz w:val="22"/>
                <w:szCs w:val="22"/>
              </w:rPr>
              <w:t>65 %</w:t>
            </w:r>
          </w:p>
        </w:tc>
        <w:tc>
          <w:tcPr>
            <w:tcW w:w="1559" w:type="dxa"/>
            <w:tcMar>
              <w:left w:w="28" w:type="dxa"/>
              <w:right w:w="28" w:type="dxa"/>
            </w:tcMar>
            <w:vAlign w:val="center"/>
          </w:tcPr>
          <w:p w:rsidR="00EA1F75" w:rsidRPr="00B0461F" w:rsidRDefault="00EA1F75" w:rsidP="00934D6D">
            <w:pPr>
              <w:jc w:val="center"/>
            </w:pPr>
            <w:r>
              <w:rPr>
                <w:sz w:val="22"/>
                <w:szCs w:val="22"/>
              </w:rPr>
              <w:t>75 %</w:t>
            </w:r>
          </w:p>
        </w:tc>
        <w:tc>
          <w:tcPr>
            <w:tcW w:w="1418" w:type="dxa"/>
            <w:tcMar>
              <w:left w:w="28" w:type="dxa"/>
              <w:right w:w="28" w:type="dxa"/>
            </w:tcMar>
            <w:vAlign w:val="center"/>
          </w:tcPr>
          <w:p w:rsidR="00EA1F75" w:rsidRPr="00B0461F" w:rsidRDefault="00EA1F75" w:rsidP="00EE60CB">
            <w:pPr>
              <w:jc w:val="center"/>
            </w:pPr>
            <w:r>
              <w:rPr>
                <w:sz w:val="22"/>
                <w:szCs w:val="22"/>
              </w:rPr>
              <w:t>80 %</w:t>
            </w:r>
          </w:p>
        </w:tc>
      </w:tr>
      <w:tr w:rsidR="00EA1F75" w:rsidRPr="00B0461F" w:rsidTr="00D77D2A">
        <w:tc>
          <w:tcPr>
            <w:tcW w:w="4962" w:type="dxa"/>
            <w:tcMar>
              <w:left w:w="28" w:type="dxa"/>
              <w:right w:w="28" w:type="dxa"/>
            </w:tcMar>
            <w:vAlign w:val="center"/>
          </w:tcPr>
          <w:p w:rsidR="00EA1F75" w:rsidRPr="00B0461F" w:rsidRDefault="00EA1F75" w:rsidP="00987E73">
            <w:pPr>
              <w:jc w:val="left"/>
            </w:pPr>
            <w:r>
              <w:rPr>
                <w:sz w:val="22"/>
                <w:szCs w:val="22"/>
              </w:rPr>
              <w:t>experimentální vývoj (základní intenzita)</w:t>
            </w:r>
          </w:p>
        </w:tc>
        <w:tc>
          <w:tcPr>
            <w:tcW w:w="1417" w:type="dxa"/>
            <w:tcMar>
              <w:left w:w="28" w:type="dxa"/>
              <w:right w:w="28" w:type="dxa"/>
            </w:tcMar>
            <w:vAlign w:val="center"/>
          </w:tcPr>
          <w:p w:rsidR="00EA1F75" w:rsidRPr="00B0461F" w:rsidRDefault="00EA1F75" w:rsidP="00934D6D">
            <w:pPr>
              <w:jc w:val="center"/>
            </w:pPr>
            <w:r>
              <w:rPr>
                <w:sz w:val="22"/>
                <w:szCs w:val="22"/>
              </w:rPr>
              <w:t>25 %</w:t>
            </w:r>
          </w:p>
        </w:tc>
        <w:tc>
          <w:tcPr>
            <w:tcW w:w="1559" w:type="dxa"/>
            <w:tcMar>
              <w:left w:w="28" w:type="dxa"/>
              <w:right w:w="28" w:type="dxa"/>
            </w:tcMar>
            <w:vAlign w:val="center"/>
          </w:tcPr>
          <w:p w:rsidR="00EA1F75" w:rsidRPr="00B0461F" w:rsidRDefault="00EA1F75" w:rsidP="00934D6D">
            <w:pPr>
              <w:jc w:val="center"/>
            </w:pPr>
            <w:r>
              <w:rPr>
                <w:sz w:val="22"/>
                <w:szCs w:val="22"/>
              </w:rPr>
              <w:t>35 %</w:t>
            </w:r>
          </w:p>
        </w:tc>
        <w:tc>
          <w:tcPr>
            <w:tcW w:w="1418" w:type="dxa"/>
            <w:tcMar>
              <w:left w:w="28" w:type="dxa"/>
              <w:right w:w="28" w:type="dxa"/>
            </w:tcMar>
            <w:vAlign w:val="center"/>
          </w:tcPr>
          <w:p w:rsidR="00EA1F75" w:rsidRPr="00B0461F" w:rsidRDefault="00EA1F75" w:rsidP="00934D6D">
            <w:pPr>
              <w:jc w:val="center"/>
            </w:pPr>
            <w:r>
              <w:rPr>
                <w:sz w:val="22"/>
                <w:szCs w:val="22"/>
              </w:rPr>
              <w:t>45 %</w:t>
            </w:r>
          </w:p>
        </w:tc>
      </w:tr>
      <w:tr w:rsidR="00EA1F75" w:rsidRPr="00B0461F" w:rsidTr="00D77D2A">
        <w:tc>
          <w:tcPr>
            <w:tcW w:w="4962" w:type="dxa"/>
            <w:tcBorders>
              <w:bottom w:val="single" w:sz="12" w:space="0" w:color="auto"/>
            </w:tcBorders>
            <w:tcMar>
              <w:left w:w="28" w:type="dxa"/>
              <w:right w:w="28" w:type="dxa"/>
            </w:tcMar>
            <w:vAlign w:val="center"/>
          </w:tcPr>
          <w:p w:rsidR="00EA1F75" w:rsidRPr="00B0461F" w:rsidRDefault="00EA1F75" w:rsidP="00987E73">
            <w:pPr>
              <w:jc w:val="left"/>
            </w:pPr>
            <w:r>
              <w:rPr>
                <w:sz w:val="22"/>
                <w:szCs w:val="22"/>
              </w:rPr>
              <w:t>experimentální vývoj v případě účinné spolupráce</w:t>
            </w:r>
          </w:p>
        </w:tc>
        <w:tc>
          <w:tcPr>
            <w:tcW w:w="1417" w:type="dxa"/>
            <w:tcBorders>
              <w:bottom w:val="single" w:sz="12" w:space="0" w:color="auto"/>
            </w:tcBorders>
            <w:tcMar>
              <w:left w:w="28" w:type="dxa"/>
              <w:right w:w="28" w:type="dxa"/>
            </w:tcMar>
            <w:vAlign w:val="center"/>
          </w:tcPr>
          <w:p w:rsidR="00EA1F75" w:rsidRPr="00B0461F" w:rsidRDefault="00EA1F75" w:rsidP="00934D6D">
            <w:pPr>
              <w:jc w:val="center"/>
            </w:pPr>
            <w:r>
              <w:rPr>
                <w:sz w:val="22"/>
                <w:szCs w:val="22"/>
              </w:rPr>
              <w:t>40 %</w:t>
            </w:r>
          </w:p>
        </w:tc>
        <w:tc>
          <w:tcPr>
            <w:tcW w:w="1559" w:type="dxa"/>
            <w:tcBorders>
              <w:bottom w:val="single" w:sz="12" w:space="0" w:color="auto"/>
            </w:tcBorders>
            <w:tcMar>
              <w:left w:w="28" w:type="dxa"/>
              <w:right w:w="28" w:type="dxa"/>
            </w:tcMar>
            <w:vAlign w:val="center"/>
          </w:tcPr>
          <w:p w:rsidR="00EA1F75" w:rsidRPr="00B0461F" w:rsidRDefault="00EA1F75" w:rsidP="00934D6D">
            <w:pPr>
              <w:jc w:val="center"/>
            </w:pPr>
            <w:r>
              <w:rPr>
                <w:sz w:val="22"/>
                <w:szCs w:val="22"/>
              </w:rPr>
              <w:t>50 %</w:t>
            </w:r>
          </w:p>
        </w:tc>
        <w:tc>
          <w:tcPr>
            <w:tcW w:w="1418" w:type="dxa"/>
            <w:tcBorders>
              <w:bottom w:val="single" w:sz="12" w:space="0" w:color="auto"/>
            </w:tcBorders>
            <w:tcMar>
              <w:left w:w="28" w:type="dxa"/>
              <w:right w:w="28" w:type="dxa"/>
            </w:tcMar>
            <w:vAlign w:val="center"/>
          </w:tcPr>
          <w:p w:rsidR="00EA1F75" w:rsidRPr="00B0461F" w:rsidRDefault="00EA1F75" w:rsidP="00934D6D">
            <w:pPr>
              <w:jc w:val="center"/>
            </w:pPr>
            <w:r>
              <w:rPr>
                <w:sz w:val="22"/>
                <w:szCs w:val="22"/>
              </w:rPr>
              <w:t>60 %</w:t>
            </w:r>
          </w:p>
        </w:tc>
      </w:tr>
    </w:tbl>
    <w:p w:rsidR="00EA1F75" w:rsidRDefault="00EA1F75" w:rsidP="00961B94">
      <w:pPr>
        <w:rPr>
          <w:color w:val="000000"/>
          <w:shd w:val="clear" w:color="auto" w:fill="FFFFFF"/>
        </w:rPr>
      </w:pPr>
      <w:r w:rsidRPr="007E364E">
        <w:rPr>
          <w:color w:val="000000"/>
          <w:shd w:val="clear" w:color="auto" w:fill="FFFFFF"/>
        </w:rPr>
        <w:t>Maximální povolená výše podpory projektu (bez oznamovací povinnosti a podrobnějšího posouzení EK)</w:t>
      </w:r>
      <w:r>
        <w:rPr>
          <w:color w:val="000000"/>
          <w:shd w:val="clear" w:color="auto" w:fill="FFFFFF"/>
        </w:rPr>
        <w:t xml:space="preserve"> stanovená Nařízením Komise (EU)</w:t>
      </w:r>
      <w:r>
        <w:rPr>
          <w:color w:val="000000"/>
          <w:sz w:val="22"/>
          <w:szCs w:val="22"/>
          <w:shd w:val="clear" w:color="auto" w:fill="FFFFFF"/>
        </w:rPr>
        <w:t xml:space="preserve"> </w:t>
      </w:r>
      <w:r w:rsidRPr="007E364E">
        <w:rPr>
          <w:color w:val="000000"/>
          <w:shd w:val="clear" w:color="auto" w:fill="FFFFFF"/>
        </w:rPr>
        <w:t xml:space="preserve">nebude překročena. Míra podpory, stanovená jako procento uznaných nákladů projektu, bude vypočtena pro každý programový projekt i pro každého příjemce a dalšího účastníka samostatně podle </w:t>
      </w:r>
      <w:r>
        <w:rPr>
          <w:color w:val="000000"/>
          <w:shd w:val="clear" w:color="auto" w:fill="FFFFFF"/>
        </w:rPr>
        <w:t>N</w:t>
      </w:r>
      <w:r w:rsidRPr="007E364E">
        <w:rPr>
          <w:color w:val="000000"/>
          <w:shd w:val="clear" w:color="auto" w:fill="FFFFFF"/>
        </w:rPr>
        <w:t xml:space="preserve">ařízení Komise </w:t>
      </w:r>
      <w:r>
        <w:rPr>
          <w:color w:val="000000"/>
          <w:shd w:val="clear" w:color="auto" w:fill="FFFFFF"/>
        </w:rPr>
        <w:t>(EU).</w:t>
      </w:r>
    </w:p>
    <w:p w:rsidR="00EA1F75" w:rsidRPr="00EA0E94" w:rsidRDefault="00EA1F75" w:rsidP="00961B94">
      <w:pPr>
        <w:rPr>
          <w:color w:val="000000"/>
          <w:shd w:val="clear" w:color="auto" w:fill="FFFFFF"/>
        </w:rPr>
      </w:pPr>
    </w:p>
    <w:p w:rsidR="00EA1F75" w:rsidRPr="00EA0E94" w:rsidRDefault="00EA1F75" w:rsidP="0026459C">
      <w:pPr>
        <w:rPr>
          <w:color w:val="000000"/>
          <w:shd w:val="clear" w:color="auto" w:fill="FFFFFF"/>
        </w:rPr>
      </w:pPr>
      <w:r w:rsidRPr="00EA0E94">
        <w:rPr>
          <w:color w:val="000000"/>
          <w:shd w:val="clear" w:color="auto" w:fill="FFFFFF"/>
        </w:rPr>
        <w:t xml:space="preserve">Podpora bude poskytována na uznané náklady projektu vymezené v souladu se zákonem č. 130/2002 Sb. Uznanými náklady jsou </w:t>
      </w:r>
      <w:r>
        <w:rPr>
          <w:color w:val="000000"/>
          <w:shd w:val="clear" w:color="auto" w:fill="FFFFFF"/>
        </w:rPr>
        <w:t xml:space="preserve">ty způsobilé </w:t>
      </w:r>
      <w:r w:rsidRPr="00EA0E94">
        <w:rPr>
          <w:color w:val="000000"/>
          <w:shd w:val="clear" w:color="auto" w:fill="FFFFFF"/>
        </w:rPr>
        <w:t xml:space="preserve">náklady </w:t>
      </w:r>
      <w:r>
        <w:rPr>
          <w:color w:val="000000"/>
          <w:shd w:val="clear" w:color="auto" w:fill="FFFFFF"/>
        </w:rPr>
        <w:t xml:space="preserve">projektu, které jsou </w:t>
      </w:r>
      <w:r w:rsidRPr="00EA0E94">
        <w:rPr>
          <w:color w:val="000000"/>
          <w:shd w:val="clear" w:color="auto" w:fill="FFFFFF"/>
        </w:rPr>
        <w:t>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rsidR="00EA1F75" w:rsidRPr="00EA0E94" w:rsidRDefault="00EA1F75" w:rsidP="0026459C">
      <w:pPr>
        <w:rPr>
          <w:color w:val="000000"/>
          <w:shd w:val="clear" w:color="auto" w:fill="FFFFFF"/>
        </w:rPr>
      </w:pPr>
      <w:r w:rsidRPr="00EA0E94">
        <w:rPr>
          <w:color w:val="000000"/>
          <w:shd w:val="clear" w:color="auto" w:fill="FFFFFF"/>
        </w:rPr>
        <w:t>Způsobilými náklady projektu Programu jsou:</w:t>
      </w:r>
    </w:p>
    <w:p w:rsidR="00EA1F75" w:rsidRPr="00EA0E94" w:rsidRDefault="00EA1F75" w:rsidP="007E2F2D">
      <w:pPr>
        <w:ind w:left="360" w:hanging="360"/>
        <w:rPr>
          <w:color w:val="000000"/>
          <w:shd w:val="clear" w:color="auto" w:fill="FFFFFF"/>
        </w:rPr>
      </w:pPr>
      <w:r w:rsidRPr="00EA0E94">
        <w:rPr>
          <w:color w:val="000000"/>
          <w:shd w:val="clear" w:color="auto" w:fill="FFFFFF"/>
        </w:rPr>
        <w:t>1.</w:t>
      </w:r>
      <w:r w:rsidRPr="00EA0E94">
        <w:rPr>
          <w:color w:val="000000"/>
          <w:shd w:val="clear" w:color="auto" w:fill="FFFFFF"/>
        </w:rPr>
        <w:tab/>
        <w:t>osobní náklady nebo výdaje, včetně stipendií na výzkum, vývoj a inovace podle zákona o vysokých školách,</w:t>
      </w:r>
    </w:p>
    <w:p w:rsidR="00EA1F75" w:rsidRPr="00EA0E94" w:rsidRDefault="00EA1F75" w:rsidP="007E2F2D">
      <w:pPr>
        <w:ind w:left="360" w:hanging="360"/>
        <w:rPr>
          <w:color w:val="000000"/>
          <w:shd w:val="clear" w:color="auto" w:fill="FFFFFF"/>
        </w:rPr>
      </w:pPr>
      <w:r w:rsidRPr="00EA0E94">
        <w:rPr>
          <w:color w:val="000000"/>
          <w:shd w:val="clear" w:color="auto" w:fill="FFFFFF"/>
        </w:rPr>
        <w:t>2.</w:t>
      </w:r>
      <w:r w:rsidRPr="00EA0E94">
        <w:rPr>
          <w:color w:val="000000"/>
          <w:shd w:val="clear" w:color="auto" w:fill="FFFFFF"/>
        </w:rPr>
        <w:tab/>
        <w:t>náklady nebo výdaje na pořízení hmotného a nehmotného majetku,</w:t>
      </w:r>
    </w:p>
    <w:p w:rsidR="00EA1F75" w:rsidRPr="00EA0E94" w:rsidRDefault="00EA1F75" w:rsidP="007E2F2D">
      <w:pPr>
        <w:ind w:left="360" w:hanging="360"/>
        <w:rPr>
          <w:color w:val="000000"/>
          <w:shd w:val="clear" w:color="auto" w:fill="FFFFFF"/>
        </w:rPr>
      </w:pPr>
      <w:r w:rsidRPr="00EA0E94">
        <w:rPr>
          <w:color w:val="000000"/>
          <w:shd w:val="clear" w:color="auto" w:fill="FFFFFF"/>
        </w:rPr>
        <w:t>3.</w:t>
      </w:r>
      <w:r w:rsidRPr="00EA0E94">
        <w:rPr>
          <w:color w:val="000000"/>
          <w:shd w:val="clear" w:color="auto" w:fill="FFFFFF"/>
        </w:rPr>
        <w:tab/>
        <w:t>další provozní náklady nebo výdaje,</w:t>
      </w:r>
    </w:p>
    <w:p w:rsidR="00EA1F75" w:rsidRPr="00EA0E94" w:rsidRDefault="00EA1F75" w:rsidP="007E2F2D">
      <w:pPr>
        <w:ind w:left="360" w:hanging="360"/>
        <w:rPr>
          <w:color w:val="000000"/>
          <w:shd w:val="clear" w:color="auto" w:fill="FFFFFF"/>
        </w:rPr>
      </w:pPr>
      <w:r w:rsidRPr="00EA0E94">
        <w:rPr>
          <w:color w:val="000000"/>
          <w:shd w:val="clear" w:color="auto" w:fill="FFFFFF"/>
        </w:rPr>
        <w:t>4.</w:t>
      </w:r>
      <w:r w:rsidRPr="00EA0E94">
        <w:rPr>
          <w:color w:val="000000"/>
          <w:shd w:val="clear" w:color="auto" w:fill="FFFFFF"/>
        </w:rPr>
        <w:tab/>
        <w:t>náklady nebo výdaje na služby,</w:t>
      </w:r>
    </w:p>
    <w:p w:rsidR="00EA1F75" w:rsidRPr="00EA0E94" w:rsidRDefault="00EA1F75" w:rsidP="007E2F2D">
      <w:pPr>
        <w:ind w:left="360" w:hanging="360"/>
        <w:rPr>
          <w:color w:val="000000"/>
          <w:shd w:val="clear" w:color="auto" w:fill="FFFFFF"/>
        </w:rPr>
      </w:pPr>
      <w:r w:rsidRPr="00EA0E94">
        <w:rPr>
          <w:color w:val="000000"/>
          <w:shd w:val="clear" w:color="auto" w:fill="FFFFFF"/>
        </w:rPr>
        <w:t>5.</w:t>
      </w:r>
      <w:r w:rsidRPr="00EA0E94">
        <w:rPr>
          <w:color w:val="000000"/>
          <w:shd w:val="clear" w:color="auto" w:fill="FFFFFF"/>
        </w:rPr>
        <w:tab/>
        <w:t>doplňkové náklady nebo výdaje.</w:t>
      </w:r>
    </w:p>
    <w:p w:rsidR="00EA1F75" w:rsidRPr="00EA0E94" w:rsidRDefault="00EA1F75" w:rsidP="0026459C">
      <w:pPr>
        <w:rPr>
          <w:color w:val="000000"/>
          <w:shd w:val="clear" w:color="auto" w:fill="FFFFFF"/>
        </w:rPr>
      </w:pPr>
      <w:r w:rsidRPr="00EA0E94">
        <w:rPr>
          <w:color w:val="000000"/>
          <w:shd w:val="clear" w:color="auto" w:fill="FFFFFF"/>
        </w:rPr>
        <w:t xml:space="preserve">Doplňkové (režijní) náklady nebo výdaje </w:t>
      </w:r>
      <w:r>
        <w:t xml:space="preserve">jsou výlučně náklady nebo výdaje, které jsou nezbytné pro řešení projektu a současně je nelze přiřadit k nákladům nebo výdajům uvedeným v bodech 1 až 4, a které poskytovatel stanoví jako podíl na celkových </w:t>
      </w:r>
      <w:r w:rsidRPr="00EA0E94">
        <w:rPr>
          <w:color w:val="000000"/>
          <w:shd w:val="clear" w:color="auto" w:fill="FFFFFF"/>
        </w:rPr>
        <w:t>náklad</w:t>
      </w:r>
      <w:r>
        <w:rPr>
          <w:color w:val="000000"/>
          <w:shd w:val="clear" w:color="auto" w:fill="FFFFFF"/>
        </w:rPr>
        <w:t>ech</w:t>
      </w:r>
      <w:r w:rsidRPr="00EA0E94">
        <w:rPr>
          <w:color w:val="000000"/>
          <w:shd w:val="clear" w:color="auto" w:fill="FFFFFF"/>
        </w:rPr>
        <w:t xml:space="preserve"> nebo výdaj</w:t>
      </w:r>
      <w:r>
        <w:rPr>
          <w:color w:val="000000"/>
          <w:shd w:val="clear" w:color="auto" w:fill="FFFFFF"/>
        </w:rPr>
        <w:t>ích projektu</w:t>
      </w:r>
      <w:r>
        <w:t>.</w:t>
      </w:r>
    </w:p>
    <w:p w:rsidR="00EA1F75" w:rsidRDefault="00EA1F75" w:rsidP="0026459C"/>
    <w:p w:rsidR="00EA1F75" w:rsidRDefault="00EA1F75" w:rsidP="0026459C">
      <w:r w:rsidRPr="00EA0E94">
        <w:t xml:space="preserve">Do způsobilých nákladů projektu </w:t>
      </w:r>
      <w:r>
        <w:t xml:space="preserve">Programu </w:t>
      </w:r>
      <w:r w:rsidRPr="00EA0E94">
        <w:t>nelze zahrnout zisk,</w:t>
      </w:r>
      <w:r>
        <w:t xml:space="preserve"> </w:t>
      </w:r>
      <w:r w:rsidRPr="00EA0E94">
        <w:t>daň z přidané hodnoty (platí u</w:t>
      </w:r>
      <w:r>
        <w:t> </w:t>
      </w:r>
      <w:r w:rsidRPr="00EA0E94">
        <w:t>uchazečů/spoluuchazeče, kteří jsou plátci této daně a kteří uplatňují její odpočet nebo odpočet její poměrné části),</w:t>
      </w:r>
      <w:r>
        <w:t xml:space="preserve"> </w:t>
      </w:r>
      <w:r w:rsidRPr="00EA0E94">
        <w:t>náklady na meziroční inflační nárůst,</w:t>
      </w:r>
      <w:r>
        <w:t xml:space="preserve"> </w:t>
      </w:r>
      <w:r w:rsidRPr="00EA0E94">
        <w:t>náklady na marketing, propagaci výsledků (inzerce, reklama apod.), prodej a distribuci výrobků,</w:t>
      </w:r>
      <w:r>
        <w:t xml:space="preserve"> </w:t>
      </w:r>
      <w:r w:rsidRPr="00EA0E94">
        <w:t>úroky z dluhů, manka a škody,</w:t>
      </w:r>
      <w:r>
        <w:t xml:space="preserve"> </w:t>
      </w:r>
      <w:r w:rsidRPr="00EA0E94">
        <w:t>náklady na finanční pronájem a pronájem s následnou koupí,</w:t>
      </w:r>
      <w:r>
        <w:t xml:space="preserve"> </w:t>
      </w:r>
      <w:r w:rsidRPr="00EA0E94">
        <w:t>náklady na pohoštění, dary a</w:t>
      </w:r>
      <w:r>
        <w:t> </w:t>
      </w:r>
      <w:r w:rsidRPr="00EA0E94">
        <w:t>reprezentaci,</w:t>
      </w:r>
      <w:r>
        <w:t xml:space="preserve"> </w:t>
      </w:r>
      <w:r w:rsidRPr="00EA0E94">
        <w:t>náklady na vydání periodických publikací, učebnic a skript</w:t>
      </w:r>
      <w:r>
        <w:t>,</w:t>
      </w:r>
      <w:r w:rsidRPr="00EA0E94">
        <w:t xml:space="preserve"> náklady na vydání knih v případě, když nejsou výlučně dedikovány projektu NAKI II</w:t>
      </w:r>
      <w:r>
        <w:t>I</w:t>
      </w:r>
      <w:r w:rsidRPr="00EA0E94">
        <w:t>,</w:t>
      </w:r>
      <w:r>
        <w:t xml:space="preserve"> </w:t>
      </w:r>
      <w:r w:rsidRPr="00EA0E94">
        <w:t>náklady na opravy nebo údržbu místností, stavby včetně pořízení budov a pozemků, rekonstrukce budov nebo místností, nábytek či zařízení, a to ani formou nepřímých (režijních) nákladů,</w:t>
      </w:r>
      <w:r>
        <w:t xml:space="preserve"> </w:t>
      </w:r>
      <w:r w:rsidRPr="00EA0E94">
        <w:t xml:space="preserve">náklady na výzkumné služby zajišťující </w:t>
      </w:r>
      <w:r w:rsidRPr="00EA0E94">
        <w:lastRenderedPageBreak/>
        <w:t>řešení části projektu jiným subjektem než je příjemc</w:t>
      </w:r>
      <w:r>
        <w:t>e nebo další účastník projektu a </w:t>
      </w:r>
      <w:r w:rsidRPr="00EA0E94">
        <w:t>další náklady, které bezprostředně nesouvisejí s předmětem řešení projektu.</w:t>
      </w:r>
    </w:p>
    <w:p w:rsidR="00EA1F75" w:rsidRPr="00B0461F" w:rsidRDefault="00EA1F75" w:rsidP="0026459C">
      <w:pPr>
        <w:rPr>
          <w:color w:val="000000"/>
          <w:sz w:val="22"/>
          <w:szCs w:val="22"/>
          <w:shd w:val="clear" w:color="auto" w:fill="FFFFFF"/>
        </w:rPr>
      </w:pPr>
    </w:p>
    <w:p w:rsidR="00EA1F75" w:rsidRPr="00A03CEA" w:rsidRDefault="00EA1F75" w:rsidP="00B51465">
      <w:pPr>
        <w:pStyle w:val="Nadpis1"/>
      </w:pPr>
      <w:bookmarkStart w:id="13" w:name="_Toc61616876"/>
      <w:r w:rsidRPr="00A03CEA">
        <w:t xml:space="preserve">7. Vazba </w:t>
      </w:r>
      <w:r>
        <w:t xml:space="preserve">Programu </w:t>
      </w:r>
      <w:r w:rsidRPr="00A03CEA">
        <w:t>na Priority</w:t>
      </w:r>
      <w:bookmarkEnd w:id="13"/>
    </w:p>
    <w:p w:rsidR="00EA1F75" w:rsidRPr="00310E97" w:rsidRDefault="00EA1F75" w:rsidP="00DC17B4">
      <w:pPr>
        <w:pStyle w:val="Normlnodsazen"/>
        <w:spacing w:line="276" w:lineRule="auto"/>
        <w:ind w:left="0" w:firstLine="0"/>
        <w:rPr>
          <w:sz w:val="24"/>
          <w:szCs w:val="24"/>
        </w:rPr>
      </w:pPr>
      <w:r w:rsidRPr="00310E97">
        <w:rPr>
          <w:sz w:val="24"/>
          <w:szCs w:val="24"/>
        </w:rPr>
        <w:t>Program implementující Koncepci vychází z Národní politiky výzkumu, vývoje a inovací (NP</w:t>
      </w:r>
      <w:r>
        <w:rPr>
          <w:sz w:val="24"/>
          <w:szCs w:val="24"/>
        </w:rPr>
        <w:t> </w:t>
      </w:r>
      <w:r w:rsidRPr="00310E97">
        <w:rPr>
          <w:sz w:val="24"/>
          <w:szCs w:val="24"/>
        </w:rPr>
        <w:t>VaVaI 2021+)</w:t>
      </w:r>
      <w:r>
        <w:rPr>
          <w:sz w:val="24"/>
          <w:szCs w:val="24"/>
        </w:rPr>
        <w:t>, schválené usnesením vlády ze dne 20. července 2020 č. 759,</w:t>
      </w:r>
      <w:r w:rsidRPr="00310E97">
        <w:rPr>
          <w:sz w:val="24"/>
          <w:szCs w:val="24"/>
        </w:rPr>
        <w:t xml:space="preserve"> a realizuje její opatření v působnosti MK, zejména u jejích následujících strategických cílů a témat:</w:t>
      </w:r>
    </w:p>
    <w:p w:rsidR="00EA1F75" w:rsidRPr="00310E97" w:rsidRDefault="00EA1F75" w:rsidP="00F02CEC">
      <w:pPr>
        <w:pStyle w:val="Normlnodsazen"/>
        <w:spacing w:line="276" w:lineRule="auto"/>
        <w:ind w:left="616" w:hanging="643"/>
        <w:rPr>
          <w:sz w:val="24"/>
          <w:szCs w:val="24"/>
        </w:rPr>
      </w:pPr>
      <w:r w:rsidRPr="00310E97">
        <w:rPr>
          <w:sz w:val="24"/>
          <w:szCs w:val="24"/>
        </w:rPr>
        <w:t>Cíl 1:</w:t>
      </w:r>
      <w:r w:rsidRPr="00310E97">
        <w:rPr>
          <w:sz w:val="24"/>
          <w:szCs w:val="24"/>
        </w:rPr>
        <w:tab/>
        <w:t>Nastavit strategicky řízený a efektivně financovaný systém výzkumu, vývoje a inovací ČR</w:t>
      </w:r>
    </w:p>
    <w:p w:rsidR="00EA1F75" w:rsidRPr="00310E97" w:rsidRDefault="00EA1F75" w:rsidP="00F02CEC">
      <w:pPr>
        <w:pStyle w:val="Normlnodsazen"/>
        <w:spacing w:line="276" w:lineRule="auto"/>
        <w:ind w:left="476" w:hanging="501"/>
        <w:rPr>
          <w:sz w:val="24"/>
          <w:szCs w:val="24"/>
        </w:rPr>
      </w:pPr>
      <w:r w:rsidRPr="00310E97">
        <w:rPr>
          <w:sz w:val="24"/>
          <w:szCs w:val="24"/>
        </w:rPr>
        <w:t>1.3</w:t>
      </w:r>
      <w:r w:rsidRPr="00310E97">
        <w:rPr>
          <w:sz w:val="24"/>
          <w:szCs w:val="24"/>
        </w:rPr>
        <w:tab/>
        <w:t>Zajistit synergický efekt programů účelové podpory tak, aby jejich výsledky a účinky naplňovaly vizi NP VaVaI 2021+, koncepce poskytovatelů pro jednotlivá odvětví, a zabezpečit hodnocení programů na základě předem stanovených kritérií podle cílů u každého programu.</w:t>
      </w:r>
    </w:p>
    <w:p w:rsidR="00EA1F75" w:rsidRPr="00310E97" w:rsidRDefault="00EA1F75" w:rsidP="00F02CEC">
      <w:pPr>
        <w:pStyle w:val="Normlnodsazen"/>
        <w:spacing w:line="276" w:lineRule="auto"/>
        <w:ind w:left="476" w:hanging="501"/>
        <w:rPr>
          <w:sz w:val="24"/>
          <w:szCs w:val="24"/>
        </w:rPr>
      </w:pPr>
      <w:r w:rsidRPr="00310E97">
        <w:rPr>
          <w:sz w:val="24"/>
          <w:szCs w:val="24"/>
        </w:rPr>
        <w:t>1.5</w:t>
      </w:r>
      <w:r w:rsidRPr="00310E97">
        <w:rPr>
          <w:sz w:val="24"/>
          <w:szCs w:val="24"/>
        </w:rPr>
        <w:tab/>
        <w:t>Vytvořit vzájemně komplementární schéma financování kapacit výzkumných organizací z prostředků na jejich dlouhodobý koncepční rozvoj a na velké výzkumné infrastruktury.</w:t>
      </w:r>
    </w:p>
    <w:p w:rsidR="00EA1F75" w:rsidRPr="00310E97" w:rsidRDefault="00EA1F75" w:rsidP="00F02CEC">
      <w:pPr>
        <w:pStyle w:val="Normlnodsazen"/>
        <w:spacing w:line="276" w:lineRule="auto"/>
        <w:ind w:left="476" w:hanging="501"/>
        <w:rPr>
          <w:sz w:val="24"/>
          <w:szCs w:val="24"/>
        </w:rPr>
      </w:pPr>
      <w:r w:rsidRPr="00310E97">
        <w:rPr>
          <w:sz w:val="24"/>
          <w:szCs w:val="24"/>
        </w:rPr>
        <w:t>1.7</w:t>
      </w:r>
      <w:r w:rsidRPr="00310E97">
        <w:rPr>
          <w:sz w:val="24"/>
          <w:szCs w:val="24"/>
        </w:rPr>
        <w:tab/>
        <w:t>Snížit administrativní zátěž ve VaVaI, zejm. u administrativy při podání návrhů projektů a vykazování a vyúčtování nákladů na základě stejných pravidel pro všechny poskytovatele („jednotné metodické prostředí“).</w:t>
      </w:r>
    </w:p>
    <w:p w:rsidR="00EA1F75" w:rsidRPr="00310E97" w:rsidRDefault="00EA1F75" w:rsidP="00F02CEC">
      <w:pPr>
        <w:pStyle w:val="Normlnodsazen"/>
        <w:spacing w:line="276" w:lineRule="auto"/>
        <w:ind w:left="616" w:hanging="643"/>
        <w:rPr>
          <w:sz w:val="24"/>
          <w:szCs w:val="24"/>
        </w:rPr>
      </w:pPr>
      <w:r w:rsidRPr="00310E97">
        <w:rPr>
          <w:sz w:val="24"/>
          <w:szCs w:val="24"/>
        </w:rPr>
        <w:t>Cíl 2:</w:t>
      </w:r>
      <w:r w:rsidRPr="00310E97">
        <w:rPr>
          <w:sz w:val="24"/>
          <w:szCs w:val="24"/>
        </w:rPr>
        <w:tab/>
        <w:t>Podpořit výzkumné organizace ve vytváření motivujících pracovních podmínek a rozvoj lidských zdrojů napříč celým spektrem výzkumu a vývoje</w:t>
      </w:r>
    </w:p>
    <w:p w:rsidR="00EA1F75" w:rsidRPr="00310E97" w:rsidRDefault="00EA1F75" w:rsidP="00F02CEC">
      <w:pPr>
        <w:pStyle w:val="Normlnodsazen"/>
        <w:spacing w:line="276" w:lineRule="auto"/>
        <w:ind w:left="476" w:hanging="501"/>
        <w:rPr>
          <w:sz w:val="24"/>
          <w:szCs w:val="24"/>
        </w:rPr>
      </w:pPr>
      <w:r w:rsidRPr="00310E97">
        <w:rPr>
          <w:sz w:val="24"/>
          <w:szCs w:val="24"/>
        </w:rPr>
        <w:t>2.1</w:t>
      </w:r>
      <w:r w:rsidRPr="00310E97">
        <w:rPr>
          <w:sz w:val="24"/>
          <w:szCs w:val="24"/>
        </w:rPr>
        <w:tab/>
        <w:t>Vytvořit systém podpory rozvoje lidských zdrojů na institucionální úrovni.</w:t>
      </w:r>
    </w:p>
    <w:p w:rsidR="00EA1F75" w:rsidRPr="00310E97" w:rsidRDefault="00EA1F75" w:rsidP="00F02CEC">
      <w:pPr>
        <w:pStyle w:val="Normlnodsazen"/>
        <w:spacing w:line="276" w:lineRule="auto"/>
        <w:ind w:left="616" w:hanging="643"/>
        <w:rPr>
          <w:sz w:val="24"/>
          <w:szCs w:val="24"/>
        </w:rPr>
      </w:pPr>
      <w:r w:rsidRPr="00310E97">
        <w:rPr>
          <w:sz w:val="24"/>
          <w:szCs w:val="24"/>
        </w:rPr>
        <w:t>Cíl 4:</w:t>
      </w:r>
      <w:r w:rsidRPr="00310E97">
        <w:rPr>
          <w:sz w:val="24"/>
          <w:szCs w:val="24"/>
        </w:rPr>
        <w:tab/>
        <w:t>Podpořit rozšíření spolupráce mezi výzkumnou a aplikační sférou v oblasti výzkumu, vývoje a inovací</w:t>
      </w:r>
    </w:p>
    <w:p w:rsidR="00EA1F75" w:rsidRPr="00310E97" w:rsidRDefault="00EA1F75" w:rsidP="00F02CEC">
      <w:pPr>
        <w:pStyle w:val="Normlnodsazen"/>
        <w:spacing w:line="276" w:lineRule="auto"/>
        <w:ind w:left="476" w:hanging="501"/>
        <w:rPr>
          <w:sz w:val="24"/>
          <w:szCs w:val="24"/>
        </w:rPr>
      </w:pPr>
      <w:r w:rsidRPr="00310E97">
        <w:rPr>
          <w:sz w:val="24"/>
          <w:szCs w:val="24"/>
        </w:rPr>
        <w:t>4.1</w:t>
      </w:r>
      <w:r w:rsidRPr="00310E97">
        <w:rPr>
          <w:sz w:val="24"/>
          <w:szCs w:val="24"/>
        </w:rPr>
        <w:tab/>
        <w:t>Při přípravě a implementaci programů podporovat rozvoj spolupráce mezi výzkumnou a aplikační sférou.</w:t>
      </w:r>
    </w:p>
    <w:p w:rsidR="00EA1F75" w:rsidRDefault="00EA1F75" w:rsidP="00DC17B4"/>
    <w:p w:rsidR="00EA1F75" w:rsidRDefault="00EA1F75" w:rsidP="00F02CEC">
      <w:r w:rsidRPr="00310E97">
        <w:t>Kromě relevantních opatření realizujících jak výše uvedené, tak další strategické cíle a témata NP VaVaI 2021+ v případech, kde je gesce nebo spolugesce na poskytovatelích obecně, bude MK společně s Technologickou agenturou ČR (TA ČR) realizovat zejména opatření č. 18 „Podpora spolupráce výzkumné a aplikační sféry a uplatnění jejích výsledků v humanitních a společenských vědách“ s vazbou na cíl 4 (téma 4.1)</w:t>
      </w:r>
      <w:r>
        <w:t>:</w:t>
      </w:r>
    </w:p>
    <w:p w:rsidR="00EA1F75" w:rsidRDefault="00EA1F75" w:rsidP="00F02CEC">
      <w:r>
        <w:rPr>
          <w:sz w:val="22"/>
          <w:szCs w:val="22"/>
        </w:rPr>
        <w:t>„</w:t>
      </w:r>
      <w:r w:rsidRPr="006C5ADB">
        <w:rPr>
          <w:i/>
          <w:sz w:val="22"/>
          <w:szCs w:val="22"/>
        </w:rPr>
        <w:t>Opatření bude realizováno novými programy navazujícími na stávající, a to programem MK NAKI III (2023–2030) a programem TA ČR navazujícím od r. 2024 na program ÉTA podle aktuálních možností státního rozpočtu ČR. Opatření bude realizováno nejen podporou vzájemné spolupráce výzkumné a aplikační sféry a uplatněním dosažených výsledků v praxi, ale i synergicky působícími kroky, zejména pokračováním již dlouhodobé vzájemné koordinace aktivit obou poskytovatelů při přípravě i implementaci jejich programů, snížením administrativní náročnosti a sledováním uplatnění výsledků v kulturních a kreativních průmyslech a dodržením podmínky, že témata výzkumu uvedená v Koncepci aplikovaného výzkumu v oblasti národní a kulturní identity na léta 2023-2030 budou výlučně tématy pro výzkumný program MK, a TA ČR navrhne taková témata pro svůj program, která budou k těmto komplementární s nulovým překryvem</w:t>
      </w:r>
      <w:r>
        <w:rPr>
          <w:i/>
          <w:sz w:val="22"/>
          <w:szCs w:val="22"/>
        </w:rPr>
        <w:t>.</w:t>
      </w:r>
      <w:r>
        <w:rPr>
          <w:sz w:val="22"/>
          <w:szCs w:val="22"/>
        </w:rPr>
        <w:t>“</w:t>
      </w:r>
      <w:r w:rsidRPr="00310E97">
        <w:t>.</w:t>
      </w:r>
    </w:p>
    <w:p w:rsidR="00EA1F75" w:rsidRPr="00310E97" w:rsidRDefault="00EA1F75" w:rsidP="00F02CEC">
      <w:pPr>
        <w:rPr>
          <w:color w:val="000000"/>
          <w:shd w:val="clear" w:color="auto" w:fill="FFFFFF"/>
        </w:rPr>
      </w:pPr>
      <w:r>
        <w:rPr>
          <w:color w:val="000000"/>
          <w:shd w:val="clear" w:color="auto" w:fill="FFFFFF"/>
        </w:rPr>
        <w:lastRenderedPageBreak/>
        <w:t>Z uvedeného vyplývá, že navrhovaný program NAKI III a  program TA ČR jsou vzájemně komplementární a doplňují se, ale oba programy se nepřekrývají. Na projektové úrovni bude prováděna kontrola (stejně jako u programu NAKI II) již při podání návrhů projektů do veřejné soutěže programu NAKI III, kdy TA ČR zpracuje jejich analýzu z hlediska možných překryvů s jí podporovanými projekty a tam, kde je překryv zjištěn, není návrh projektu podpořen.</w:t>
      </w:r>
    </w:p>
    <w:p w:rsidR="00EA1F75" w:rsidRPr="00310E97" w:rsidRDefault="00EA1F75" w:rsidP="00F02CEC">
      <w:pPr>
        <w:rPr>
          <w:color w:val="000000"/>
          <w:shd w:val="clear" w:color="auto" w:fill="FFFFFF"/>
        </w:rPr>
      </w:pPr>
      <w:r w:rsidRPr="00310E97">
        <w:rPr>
          <w:color w:val="000000"/>
          <w:shd w:val="clear" w:color="auto" w:fill="FFFFFF"/>
        </w:rPr>
        <w:t>Zaměření Programu i jeho cíle jsou v souladu s </w:t>
      </w:r>
      <w:r w:rsidRPr="002E4278">
        <w:rPr>
          <w:color w:val="000000"/>
          <w:shd w:val="clear" w:color="auto" w:fill="FFFFFF"/>
        </w:rPr>
        <w:t xml:space="preserve">Národními prioritami orientovaného výzkumu, experimentálního vývoje a inovací </w:t>
      </w:r>
      <w:r>
        <w:rPr>
          <w:color w:val="000000"/>
          <w:shd w:val="clear" w:color="auto" w:fill="FFFFFF"/>
        </w:rPr>
        <w:t>(dále jen „</w:t>
      </w:r>
      <w:r w:rsidRPr="00310E97">
        <w:rPr>
          <w:color w:val="000000"/>
          <w:shd w:val="clear" w:color="auto" w:fill="FFFFFF"/>
        </w:rPr>
        <w:t>Priorit</w:t>
      </w:r>
      <w:r>
        <w:rPr>
          <w:color w:val="000000"/>
          <w:shd w:val="clear" w:color="auto" w:fill="FFFFFF"/>
        </w:rPr>
        <w:t>y</w:t>
      </w:r>
      <w:r w:rsidRPr="00310E97">
        <w:rPr>
          <w:color w:val="000000"/>
          <w:shd w:val="clear" w:color="auto" w:fill="FFFFFF"/>
        </w:rPr>
        <w:t xml:space="preserve"> VaVaI</w:t>
      </w:r>
      <w:r>
        <w:rPr>
          <w:color w:val="000000"/>
          <w:shd w:val="clear" w:color="auto" w:fill="FFFFFF"/>
        </w:rPr>
        <w:t>“)</w:t>
      </w:r>
      <w:r w:rsidRPr="00310E97">
        <w:rPr>
          <w:color w:val="000000"/>
          <w:shd w:val="clear" w:color="auto" w:fill="FFFFFF"/>
        </w:rPr>
        <w:t>. Specifické cíle Programu vycházejí z podoblastí Priorit VaVaI, resp. Priority 4: Sociální a kulturní výzvy, oblast 3</w:t>
      </w:r>
      <w:r>
        <w:rPr>
          <w:color w:val="000000"/>
          <w:shd w:val="clear" w:color="auto" w:fill="FFFFFF"/>
        </w:rPr>
        <w:t>. </w:t>
      </w:r>
      <w:r w:rsidRPr="00310E97">
        <w:rPr>
          <w:color w:val="000000"/>
          <w:shd w:val="clear" w:color="auto" w:fill="FFFFFF"/>
        </w:rPr>
        <w:t>Kultura, hodnoty, identita a tradice.</w:t>
      </w:r>
    </w:p>
    <w:p w:rsidR="00EA1F75" w:rsidRDefault="00EA1F75" w:rsidP="00F02CEC">
      <w:pPr>
        <w:rPr>
          <w:color w:val="000000"/>
          <w:shd w:val="clear" w:color="auto" w:fill="FFFFFF"/>
        </w:rPr>
      </w:pPr>
    </w:p>
    <w:p w:rsidR="00EA1F75" w:rsidRPr="00310E97" w:rsidRDefault="00EA1F75" w:rsidP="00F02CEC">
      <w:r w:rsidRPr="00310E97">
        <w:rPr>
          <w:color w:val="000000"/>
          <w:shd w:val="clear" w:color="auto" w:fill="FFFFFF"/>
        </w:rPr>
        <w:t xml:space="preserve">Program má pět specifických cílů, vazby mezi Prioritami VaVaI a </w:t>
      </w:r>
      <w:r>
        <w:rPr>
          <w:color w:val="000000"/>
          <w:shd w:val="clear" w:color="auto" w:fill="FFFFFF"/>
        </w:rPr>
        <w:t xml:space="preserve">cíli </w:t>
      </w:r>
      <w:r w:rsidRPr="00310E97">
        <w:rPr>
          <w:color w:val="000000"/>
          <w:shd w:val="clear" w:color="auto" w:fill="FFFFFF"/>
        </w:rPr>
        <w:t>Program</w:t>
      </w:r>
      <w:r>
        <w:rPr>
          <w:color w:val="000000"/>
          <w:shd w:val="clear" w:color="auto" w:fill="FFFFFF"/>
        </w:rPr>
        <w:t>u</w:t>
      </w:r>
      <w:r w:rsidRPr="00310E97">
        <w:rPr>
          <w:color w:val="000000"/>
          <w:shd w:val="clear" w:color="auto" w:fill="FFFFFF"/>
        </w:rPr>
        <w:t xml:space="preserve"> jsou uvedeny v následující tabulce.</w:t>
      </w:r>
    </w:p>
    <w:p w:rsidR="00EA1F75" w:rsidRPr="00B0461F" w:rsidRDefault="00EA1F75" w:rsidP="00EE60CB">
      <w:pPr>
        <w:keepNext/>
        <w:rPr>
          <w:b/>
          <w:color w:val="000000"/>
          <w:sz w:val="22"/>
          <w:szCs w:val="22"/>
          <w:shd w:val="clear" w:color="auto" w:fill="FFFFFF"/>
        </w:rPr>
      </w:pPr>
      <w:r w:rsidRPr="00B0461F">
        <w:rPr>
          <w:b/>
          <w:color w:val="000000"/>
          <w:sz w:val="22"/>
          <w:szCs w:val="22"/>
          <w:shd w:val="clear" w:color="auto" w:fill="FFFFFF"/>
        </w:rPr>
        <w:t xml:space="preserve">Tab. </w:t>
      </w:r>
      <w:proofErr w:type="gramStart"/>
      <w:r w:rsidRPr="00B0461F">
        <w:rPr>
          <w:b/>
          <w:color w:val="000000"/>
          <w:sz w:val="22"/>
          <w:szCs w:val="22"/>
          <w:shd w:val="clear" w:color="auto" w:fill="FFFFFF"/>
        </w:rPr>
        <w:t>č.</w:t>
      </w:r>
      <w:proofErr w:type="gramEnd"/>
      <w:r w:rsidRPr="00B0461F">
        <w:rPr>
          <w:b/>
          <w:color w:val="000000"/>
          <w:sz w:val="22"/>
          <w:szCs w:val="22"/>
          <w:shd w:val="clear" w:color="auto" w:fill="FFFFFF"/>
        </w:rPr>
        <w:t xml:space="preserve"> </w:t>
      </w:r>
      <w:r>
        <w:rPr>
          <w:b/>
          <w:color w:val="000000"/>
          <w:sz w:val="22"/>
          <w:szCs w:val="22"/>
          <w:shd w:val="clear" w:color="auto" w:fill="FFFFFF"/>
        </w:rPr>
        <w:t>3</w:t>
      </w:r>
      <w:r w:rsidRPr="00B0461F">
        <w:rPr>
          <w:b/>
          <w:color w:val="000000"/>
          <w:sz w:val="22"/>
          <w:szCs w:val="22"/>
          <w:shd w:val="clear" w:color="auto" w:fill="FFFFFF"/>
        </w:rPr>
        <w:t>: Soulad Programu NAKI s Prioritami VaVaI</w:t>
      </w:r>
      <w:r>
        <w:rPr>
          <w:b/>
          <w:color w:val="000000"/>
          <w:sz w:val="22"/>
          <w:szCs w:val="22"/>
          <w:shd w:val="clear" w:color="auto" w:fill="FFFFFF"/>
        </w:rPr>
        <w:t xml:space="preserve"> a s NP VaVaI 2021+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4024"/>
        <w:gridCol w:w="3536"/>
      </w:tblGrid>
      <w:tr w:rsidR="00EA1F75" w:rsidRPr="00B0461F" w:rsidTr="009C675D">
        <w:trPr>
          <w:tblHeader/>
        </w:trPr>
        <w:tc>
          <w:tcPr>
            <w:tcW w:w="5824" w:type="dxa"/>
            <w:gridSpan w:val="2"/>
            <w:tcBorders>
              <w:top w:val="single" w:sz="12" w:space="0" w:color="auto"/>
              <w:left w:val="single" w:sz="12" w:space="0" w:color="auto"/>
              <w:bottom w:val="single" w:sz="12" w:space="0" w:color="auto"/>
              <w:right w:val="single" w:sz="12" w:space="0" w:color="auto"/>
            </w:tcBorders>
            <w:shd w:val="clear" w:color="auto" w:fill="E6E6E6"/>
            <w:vAlign w:val="center"/>
          </w:tcPr>
          <w:p w:rsidR="00EA1F75" w:rsidRPr="00D464B4" w:rsidRDefault="00EA1F75" w:rsidP="00EE60CB">
            <w:pPr>
              <w:keepNext/>
              <w:spacing w:line="264" w:lineRule="auto"/>
              <w:jc w:val="center"/>
              <w:rPr>
                <w:b/>
              </w:rPr>
            </w:pPr>
            <w:r w:rsidRPr="00D464B4">
              <w:rPr>
                <w:b/>
                <w:sz w:val="22"/>
                <w:szCs w:val="22"/>
              </w:rPr>
              <w:t>Priority VaVaI,</w:t>
            </w:r>
          </w:p>
          <w:p w:rsidR="00EA1F75" w:rsidRPr="00D464B4" w:rsidRDefault="00EA1F75" w:rsidP="00EE60CB">
            <w:pPr>
              <w:keepNext/>
              <w:spacing w:line="264" w:lineRule="auto"/>
              <w:jc w:val="center"/>
              <w:rPr>
                <w:bCs/>
              </w:rPr>
            </w:pPr>
            <w:r w:rsidRPr="00D464B4">
              <w:rPr>
                <w:bCs/>
                <w:sz w:val="22"/>
                <w:szCs w:val="22"/>
              </w:rPr>
              <w:t>Priorita 4: Sociální a kulturní výzvy,</w:t>
            </w:r>
          </w:p>
          <w:p w:rsidR="00EA1F75" w:rsidRPr="00D464B4" w:rsidRDefault="00EA1F75" w:rsidP="00EE60CB">
            <w:pPr>
              <w:keepNext/>
              <w:spacing w:line="264" w:lineRule="auto"/>
              <w:jc w:val="center"/>
              <w:rPr>
                <w:b/>
              </w:rPr>
            </w:pPr>
            <w:r w:rsidRPr="00D464B4">
              <w:rPr>
                <w:bCs/>
                <w:sz w:val="22"/>
                <w:szCs w:val="22"/>
              </w:rPr>
              <w:t>oblast 3 „Kultura, hodnoty, identita a tradice“</w:t>
            </w:r>
          </w:p>
        </w:tc>
        <w:tc>
          <w:tcPr>
            <w:tcW w:w="3536" w:type="dxa"/>
            <w:tcBorders>
              <w:top w:val="single" w:sz="12" w:space="0" w:color="auto"/>
              <w:left w:val="single" w:sz="12" w:space="0" w:color="auto"/>
              <w:bottom w:val="single" w:sz="12" w:space="0" w:color="auto"/>
              <w:right w:val="single" w:sz="12" w:space="0" w:color="auto"/>
            </w:tcBorders>
            <w:shd w:val="clear" w:color="auto" w:fill="E6E6E6"/>
            <w:vAlign w:val="center"/>
          </w:tcPr>
          <w:p w:rsidR="00EA1F75" w:rsidRPr="00D464B4" w:rsidRDefault="00EA1F75" w:rsidP="00EE60CB">
            <w:pPr>
              <w:keepNext/>
              <w:spacing w:line="264" w:lineRule="auto"/>
              <w:jc w:val="center"/>
              <w:rPr>
                <w:b/>
              </w:rPr>
            </w:pPr>
            <w:r w:rsidRPr="00D464B4">
              <w:rPr>
                <w:b/>
                <w:sz w:val="22"/>
                <w:szCs w:val="22"/>
              </w:rPr>
              <w:t>Program NAKI III</w:t>
            </w:r>
          </w:p>
        </w:tc>
      </w:tr>
      <w:tr w:rsidR="00EA1F75" w:rsidRPr="00B0461F" w:rsidTr="009C675D">
        <w:tc>
          <w:tcPr>
            <w:tcW w:w="1800" w:type="dxa"/>
            <w:tcBorders>
              <w:left w:val="single" w:sz="12" w:space="0" w:color="auto"/>
            </w:tcBorders>
            <w:vAlign w:val="center"/>
          </w:tcPr>
          <w:p w:rsidR="00EA1F75" w:rsidRPr="00D464B4" w:rsidRDefault="00EA1F75" w:rsidP="00EE60CB">
            <w:pPr>
              <w:keepNext/>
              <w:spacing w:line="264" w:lineRule="auto"/>
              <w:jc w:val="center"/>
              <w:rPr>
                <w:color w:val="000000"/>
                <w:shd w:val="clear" w:color="auto" w:fill="FFFFFF"/>
              </w:rPr>
            </w:pPr>
            <w:r w:rsidRPr="00D464B4">
              <w:rPr>
                <w:b/>
                <w:sz w:val="22"/>
                <w:szCs w:val="22"/>
              </w:rPr>
              <w:t>Podoblast</w:t>
            </w:r>
          </w:p>
        </w:tc>
        <w:tc>
          <w:tcPr>
            <w:tcW w:w="4024" w:type="dxa"/>
            <w:tcBorders>
              <w:right w:val="single" w:sz="12" w:space="0" w:color="auto"/>
            </w:tcBorders>
            <w:vAlign w:val="center"/>
          </w:tcPr>
          <w:p w:rsidR="00EA1F75" w:rsidRPr="00D464B4" w:rsidRDefault="00EA1F75" w:rsidP="00EE60CB">
            <w:pPr>
              <w:keepNext/>
              <w:spacing w:line="264" w:lineRule="auto"/>
              <w:jc w:val="center"/>
              <w:rPr>
                <w:color w:val="000000"/>
                <w:shd w:val="clear" w:color="auto" w:fill="FFFFFF"/>
              </w:rPr>
            </w:pPr>
            <w:r w:rsidRPr="00D464B4">
              <w:rPr>
                <w:b/>
                <w:sz w:val="22"/>
                <w:szCs w:val="22"/>
              </w:rPr>
              <w:t>Prioritní dílčí cíle</w:t>
            </w:r>
          </w:p>
        </w:tc>
        <w:tc>
          <w:tcPr>
            <w:tcW w:w="3536" w:type="dxa"/>
            <w:tcBorders>
              <w:left w:val="single" w:sz="12" w:space="0" w:color="auto"/>
              <w:right w:val="single" w:sz="12" w:space="0" w:color="auto"/>
            </w:tcBorders>
            <w:vAlign w:val="center"/>
          </w:tcPr>
          <w:p w:rsidR="00EA1F75" w:rsidRPr="00D464B4" w:rsidRDefault="00EA1F75" w:rsidP="00EE60CB">
            <w:pPr>
              <w:keepNext/>
              <w:spacing w:line="264" w:lineRule="auto"/>
              <w:jc w:val="center"/>
              <w:rPr>
                <w:color w:val="000000"/>
                <w:shd w:val="clear" w:color="auto" w:fill="FFFFFF"/>
              </w:rPr>
            </w:pPr>
            <w:r w:rsidRPr="00D464B4">
              <w:rPr>
                <w:b/>
                <w:sz w:val="22"/>
                <w:szCs w:val="22"/>
              </w:rPr>
              <w:t>Specifické cíle</w:t>
            </w:r>
          </w:p>
        </w:tc>
      </w:tr>
      <w:tr w:rsidR="00EA1F75" w:rsidRPr="00B0461F" w:rsidTr="009C675D">
        <w:trPr>
          <w:trHeight w:val="1100"/>
        </w:trPr>
        <w:tc>
          <w:tcPr>
            <w:tcW w:w="1800" w:type="dxa"/>
            <w:vMerge w:val="restart"/>
            <w:tcBorders>
              <w:left w:val="single" w:sz="12" w:space="0" w:color="auto"/>
            </w:tcBorders>
            <w:vAlign w:val="center"/>
          </w:tcPr>
          <w:p w:rsidR="00EA1F75" w:rsidRPr="00D464B4" w:rsidRDefault="00EA1F75" w:rsidP="009C675D">
            <w:pPr>
              <w:spacing w:line="264" w:lineRule="auto"/>
              <w:ind w:left="368" w:hanging="368"/>
              <w:rPr>
                <w:b/>
                <w:color w:val="000000"/>
                <w:shd w:val="clear" w:color="auto" w:fill="FFFFFF"/>
              </w:rPr>
            </w:pPr>
            <w:r w:rsidRPr="00D464B4">
              <w:rPr>
                <w:b/>
                <w:sz w:val="22"/>
                <w:szCs w:val="22"/>
              </w:rPr>
              <w:t>3.2 Národní, regionální a lokální identita a tradice</w:t>
            </w:r>
          </w:p>
        </w:tc>
        <w:tc>
          <w:tcPr>
            <w:tcW w:w="4024" w:type="dxa"/>
            <w:tcBorders>
              <w:right w:val="single" w:sz="12" w:space="0" w:color="auto"/>
            </w:tcBorders>
            <w:vAlign w:val="center"/>
          </w:tcPr>
          <w:p w:rsidR="00EA1F75" w:rsidRPr="00D464B4" w:rsidRDefault="00EA1F75" w:rsidP="009C675D">
            <w:pPr>
              <w:spacing w:line="264" w:lineRule="auto"/>
              <w:ind w:left="432" w:hanging="432"/>
              <w:rPr>
                <w:color w:val="000000"/>
                <w:shd w:val="clear" w:color="auto" w:fill="FFFFFF"/>
              </w:rPr>
            </w:pPr>
            <w:r w:rsidRPr="00D464B4">
              <w:rPr>
                <w:sz w:val="22"/>
                <w:szCs w:val="22"/>
              </w:rPr>
              <w:t>3.2.1</w:t>
            </w:r>
            <w:r w:rsidRPr="00D464B4">
              <w:rPr>
                <w:b/>
                <w:sz w:val="22"/>
                <w:szCs w:val="22"/>
              </w:rPr>
              <w:tab/>
            </w:r>
            <w:r w:rsidRPr="00D464B4">
              <w:rPr>
                <w:rStyle w:val="Tabulka10b"/>
                <w:sz w:val="22"/>
                <w:szCs w:val="22"/>
              </w:rPr>
              <w:t>Znalosti historie jako předpoklad uchovávání a pěstování národní, regionální a lokální identity, paměti a tradice v národním kontextu</w:t>
            </w:r>
          </w:p>
        </w:tc>
        <w:tc>
          <w:tcPr>
            <w:tcW w:w="3536" w:type="dxa"/>
            <w:tcBorders>
              <w:left w:val="single" w:sz="12" w:space="0" w:color="auto"/>
              <w:right w:val="single" w:sz="12" w:space="0" w:color="auto"/>
            </w:tcBorders>
            <w:vAlign w:val="center"/>
          </w:tcPr>
          <w:p w:rsidR="00EA1F75" w:rsidRPr="00D464B4" w:rsidRDefault="00EA1F75" w:rsidP="009C675D">
            <w:pPr>
              <w:spacing w:line="264" w:lineRule="auto"/>
              <w:rPr>
                <w:color w:val="000000"/>
                <w:shd w:val="clear" w:color="auto" w:fill="FFFFFF"/>
              </w:rPr>
            </w:pPr>
            <w:r w:rsidRPr="00D464B4">
              <w:rPr>
                <w:color w:val="000000"/>
                <w:sz w:val="22"/>
                <w:szCs w:val="22"/>
              </w:rPr>
              <w:t>1. Národní a kulturní identita v historii a archeologii</w:t>
            </w:r>
          </w:p>
        </w:tc>
      </w:tr>
      <w:tr w:rsidR="00EA1F75" w:rsidRPr="00B0461F" w:rsidTr="009C675D">
        <w:trPr>
          <w:trHeight w:val="662"/>
        </w:trPr>
        <w:tc>
          <w:tcPr>
            <w:tcW w:w="1800" w:type="dxa"/>
            <w:vMerge/>
            <w:tcBorders>
              <w:left w:val="single" w:sz="12" w:space="0" w:color="auto"/>
            </w:tcBorders>
            <w:vAlign w:val="center"/>
          </w:tcPr>
          <w:p w:rsidR="00EA1F75" w:rsidRPr="00D464B4" w:rsidRDefault="00EA1F75" w:rsidP="00F02CEC">
            <w:pPr>
              <w:spacing w:line="264" w:lineRule="auto"/>
              <w:ind w:hanging="312"/>
              <w:rPr>
                <w:color w:val="000000"/>
                <w:shd w:val="clear" w:color="auto" w:fill="FFFFFF"/>
              </w:rPr>
            </w:pPr>
          </w:p>
        </w:tc>
        <w:tc>
          <w:tcPr>
            <w:tcW w:w="4024" w:type="dxa"/>
            <w:tcBorders>
              <w:right w:val="single" w:sz="12" w:space="0" w:color="auto"/>
            </w:tcBorders>
            <w:vAlign w:val="center"/>
          </w:tcPr>
          <w:p w:rsidR="00EA1F75" w:rsidRPr="00D464B4" w:rsidRDefault="00EA1F75" w:rsidP="009C675D">
            <w:pPr>
              <w:spacing w:line="264" w:lineRule="auto"/>
              <w:ind w:left="432" w:hanging="432"/>
              <w:rPr>
                <w:color w:val="000000"/>
                <w:shd w:val="clear" w:color="auto" w:fill="FFFFFF"/>
              </w:rPr>
            </w:pPr>
            <w:r w:rsidRPr="00D464B4">
              <w:rPr>
                <w:sz w:val="22"/>
                <w:szCs w:val="22"/>
              </w:rPr>
              <w:t>3.2.2</w:t>
            </w:r>
            <w:r w:rsidRPr="00D464B4">
              <w:rPr>
                <w:b/>
                <w:sz w:val="22"/>
                <w:szCs w:val="22"/>
              </w:rPr>
              <w:tab/>
            </w:r>
            <w:r w:rsidRPr="00D464B4">
              <w:rPr>
                <w:rStyle w:val="Tabulka10b"/>
                <w:sz w:val="22"/>
                <w:szCs w:val="22"/>
              </w:rPr>
              <w:t>Zkoumání jazyka a literatury jako nástrojů pro uchovávání identity</w:t>
            </w:r>
          </w:p>
        </w:tc>
        <w:tc>
          <w:tcPr>
            <w:tcW w:w="3536" w:type="dxa"/>
            <w:tcBorders>
              <w:left w:val="single" w:sz="12" w:space="0" w:color="auto"/>
              <w:right w:val="single" w:sz="12" w:space="0" w:color="auto"/>
            </w:tcBorders>
            <w:vAlign w:val="center"/>
          </w:tcPr>
          <w:p w:rsidR="00EA1F75" w:rsidRPr="00D464B4" w:rsidRDefault="00EA1F75" w:rsidP="009C675D">
            <w:pPr>
              <w:spacing w:line="264" w:lineRule="auto"/>
              <w:rPr>
                <w:color w:val="000000"/>
                <w:shd w:val="clear" w:color="auto" w:fill="FFFFFF"/>
              </w:rPr>
            </w:pPr>
            <w:r w:rsidRPr="00D464B4">
              <w:rPr>
                <w:color w:val="000000"/>
                <w:sz w:val="22"/>
                <w:szCs w:val="22"/>
              </w:rPr>
              <w:t>2. Národní, regionální a lokální aspekty v jazykové, literární a kulturní identitě</w:t>
            </w:r>
          </w:p>
        </w:tc>
      </w:tr>
      <w:tr w:rsidR="00EA1F75" w:rsidRPr="00B0461F" w:rsidTr="009C675D">
        <w:trPr>
          <w:trHeight w:val="208"/>
        </w:trPr>
        <w:tc>
          <w:tcPr>
            <w:tcW w:w="1800" w:type="dxa"/>
            <w:vMerge/>
            <w:tcBorders>
              <w:left w:val="single" w:sz="12" w:space="0" w:color="auto"/>
            </w:tcBorders>
            <w:vAlign w:val="center"/>
          </w:tcPr>
          <w:p w:rsidR="00EA1F75" w:rsidRPr="00D464B4" w:rsidRDefault="00EA1F75" w:rsidP="00F02CEC">
            <w:pPr>
              <w:spacing w:line="264" w:lineRule="auto"/>
              <w:ind w:hanging="312"/>
              <w:rPr>
                <w:color w:val="000000"/>
                <w:shd w:val="clear" w:color="auto" w:fill="FFFFFF"/>
              </w:rPr>
            </w:pPr>
          </w:p>
        </w:tc>
        <w:tc>
          <w:tcPr>
            <w:tcW w:w="4024" w:type="dxa"/>
            <w:vMerge w:val="restart"/>
            <w:tcBorders>
              <w:right w:val="single" w:sz="12" w:space="0" w:color="auto"/>
            </w:tcBorders>
            <w:vAlign w:val="center"/>
          </w:tcPr>
          <w:p w:rsidR="00EA1F75" w:rsidRPr="00D464B4" w:rsidRDefault="00EA1F75" w:rsidP="009C675D">
            <w:pPr>
              <w:spacing w:line="264" w:lineRule="auto"/>
              <w:ind w:left="432" w:hanging="432"/>
              <w:rPr>
                <w:color w:val="000000"/>
                <w:shd w:val="clear" w:color="auto" w:fill="FFFFFF"/>
              </w:rPr>
            </w:pPr>
            <w:r w:rsidRPr="00D464B4">
              <w:rPr>
                <w:sz w:val="22"/>
                <w:szCs w:val="22"/>
              </w:rPr>
              <w:t>3.2.3</w:t>
            </w:r>
            <w:r w:rsidRPr="00D464B4">
              <w:rPr>
                <w:b/>
                <w:sz w:val="22"/>
                <w:szCs w:val="22"/>
              </w:rPr>
              <w:tab/>
            </w:r>
            <w:r w:rsidRPr="00D464B4">
              <w:rPr>
                <w:rStyle w:val="Tabulka10b"/>
                <w:sz w:val="22"/>
                <w:szCs w:val="22"/>
              </w:rPr>
              <w:t>Tvořivá historická a teoretická reflexe umělecké tvorby</w:t>
            </w:r>
          </w:p>
        </w:tc>
        <w:tc>
          <w:tcPr>
            <w:tcW w:w="3536" w:type="dxa"/>
            <w:tcBorders>
              <w:left w:val="single" w:sz="12" w:space="0" w:color="auto"/>
              <w:right w:val="single" w:sz="12" w:space="0" w:color="auto"/>
            </w:tcBorders>
            <w:vAlign w:val="center"/>
          </w:tcPr>
          <w:p w:rsidR="00EA1F75" w:rsidRPr="00D464B4" w:rsidRDefault="00EA1F75" w:rsidP="009C675D">
            <w:pPr>
              <w:spacing w:line="264" w:lineRule="auto"/>
              <w:rPr>
                <w:color w:val="000000"/>
                <w:shd w:val="clear" w:color="auto" w:fill="FFFFFF"/>
              </w:rPr>
            </w:pPr>
            <w:r w:rsidRPr="00D464B4">
              <w:rPr>
                <w:color w:val="000000"/>
                <w:sz w:val="22"/>
                <w:szCs w:val="22"/>
                <w:shd w:val="clear" w:color="auto" w:fill="FFFFFF"/>
              </w:rPr>
              <w:t xml:space="preserve">3. </w:t>
            </w:r>
            <w:r w:rsidRPr="00D464B4">
              <w:rPr>
                <w:color w:val="000000"/>
                <w:sz w:val="22"/>
                <w:szCs w:val="22"/>
              </w:rPr>
              <w:t>Národní a kulturní identita ve výzkumu umělecké tvorby</w:t>
            </w:r>
          </w:p>
        </w:tc>
      </w:tr>
      <w:tr w:rsidR="00EA1F75" w:rsidRPr="00B0461F" w:rsidTr="009C675D">
        <w:trPr>
          <w:trHeight w:val="495"/>
        </w:trPr>
        <w:tc>
          <w:tcPr>
            <w:tcW w:w="1800" w:type="dxa"/>
            <w:vMerge/>
            <w:tcBorders>
              <w:left w:val="single" w:sz="12" w:space="0" w:color="auto"/>
            </w:tcBorders>
            <w:vAlign w:val="center"/>
          </w:tcPr>
          <w:p w:rsidR="00EA1F75" w:rsidRPr="00D464B4" w:rsidRDefault="00EA1F75" w:rsidP="00F02CEC">
            <w:pPr>
              <w:spacing w:line="264" w:lineRule="auto"/>
              <w:ind w:hanging="312"/>
              <w:rPr>
                <w:color w:val="000000"/>
                <w:shd w:val="clear" w:color="auto" w:fill="FFFFFF"/>
              </w:rPr>
            </w:pPr>
          </w:p>
        </w:tc>
        <w:tc>
          <w:tcPr>
            <w:tcW w:w="4024" w:type="dxa"/>
            <w:vMerge/>
            <w:tcBorders>
              <w:right w:val="single" w:sz="12" w:space="0" w:color="auto"/>
            </w:tcBorders>
            <w:vAlign w:val="center"/>
          </w:tcPr>
          <w:p w:rsidR="00EA1F75" w:rsidRPr="00D464B4" w:rsidRDefault="00EA1F75" w:rsidP="009C675D">
            <w:pPr>
              <w:spacing w:line="264" w:lineRule="auto"/>
              <w:ind w:left="432" w:hanging="432"/>
            </w:pPr>
          </w:p>
        </w:tc>
        <w:tc>
          <w:tcPr>
            <w:tcW w:w="3536" w:type="dxa"/>
            <w:tcBorders>
              <w:left w:val="single" w:sz="12" w:space="0" w:color="auto"/>
              <w:right w:val="single" w:sz="12" w:space="0" w:color="auto"/>
            </w:tcBorders>
            <w:vAlign w:val="center"/>
          </w:tcPr>
          <w:p w:rsidR="00EA1F75" w:rsidRPr="00D464B4" w:rsidRDefault="00EA1F75" w:rsidP="009C675D">
            <w:pPr>
              <w:spacing w:line="264" w:lineRule="auto"/>
              <w:rPr>
                <w:color w:val="000000"/>
                <w:shd w:val="clear" w:color="auto" w:fill="FFFFFF"/>
              </w:rPr>
            </w:pPr>
            <w:r w:rsidRPr="00D464B4">
              <w:rPr>
                <w:color w:val="000000"/>
                <w:sz w:val="22"/>
                <w:szCs w:val="22"/>
              </w:rPr>
              <w:t>5. Využití inspirace kulturním dědictvím pro podporu výzkumu v oblasti umění a uměleckého řemesla</w:t>
            </w:r>
          </w:p>
        </w:tc>
      </w:tr>
      <w:tr w:rsidR="00EA1F75" w:rsidRPr="00B0461F" w:rsidTr="009C675D">
        <w:trPr>
          <w:trHeight w:val="508"/>
        </w:trPr>
        <w:tc>
          <w:tcPr>
            <w:tcW w:w="1800" w:type="dxa"/>
            <w:vMerge w:val="restart"/>
            <w:tcBorders>
              <w:left w:val="single" w:sz="12" w:space="0" w:color="auto"/>
            </w:tcBorders>
            <w:vAlign w:val="center"/>
          </w:tcPr>
          <w:p w:rsidR="00EA1F75" w:rsidRPr="00D464B4" w:rsidRDefault="00EA1F75" w:rsidP="009C675D">
            <w:pPr>
              <w:spacing w:line="264" w:lineRule="auto"/>
              <w:ind w:left="368" w:hanging="368"/>
              <w:rPr>
                <w:b/>
                <w:color w:val="000000"/>
                <w:shd w:val="clear" w:color="auto" w:fill="FFFFFF"/>
              </w:rPr>
            </w:pPr>
            <w:r w:rsidRPr="00D464B4">
              <w:rPr>
                <w:b/>
                <w:sz w:val="22"/>
                <w:szCs w:val="22"/>
              </w:rPr>
              <w:t>3.3</w:t>
            </w:r>
            <w:r>
              <w:rPr>
                <w:b/>
                <w:sz w:val="22"/>
                <w:szCs w:val="22"/>
              </w:rPr>
              <w:t xml:space="preserve"> </w:t>
            </w:r>
            <w:r w:rsidRPr="00D464B4">
              <w:rPr>
                <w:b/>
                <w:sz w:val="22"/>
                <w:szCs w:val="22"/>
              </w:rPr>
              <w:t>Hmotné a nehmotné kulturní dědictví</w:t>
            </w:r>
          </w:p>
        </w:tc>
        <w:tc>
          <w:tcPr>
            <w:tcW w:w="4024" w:type="dxa"/>
            <w:tcBorders>
              <w:right w:val="single" w:sz="12" w:space="0" w:color="auto"/>
            </w:tcBorders>
            <w:vAlign w:val="center"/>
          </w:tcPr>
          <w:p w:rsidR="00EA1F75" w:rsidRPr="00D464B4" w:rsidRDefault="00EA1F75" w:rsidP="009C675D">
            <w:pPr>
              <w:spacing w:line="264" w:lineRule="auto"/>
              <w:ind w:left="432" w:hanging="432"/>
              <w:rPr>
                <w:color w:val="000000"/>
                <w:shd w:val="clear" w:color="auto" w:fill="FFFFFF"/>
              </w:rPr>
            </w:pPr>
            <w:r w:rsidRPr="00D464B4">
              <w:rPr>
                <w:sz w:val="22"/>
                <w:szCs w:val="22"/>
              </w:rPr>
              <w:t>3.3.1</w:t>
            </w:r>
            <w:r w:rsidRPr="00D464B4">
              <w:rPr>
                <w:b/>
                <w:sz w:val="22"/>
                <w:szCs w:val="22"/>
              </w:rPr>
              <w:tab/>
            </w:r>
            <w:r w:rsidRPr="00D464B4">
              <w:rPr>
                <w:rStyle w:val="Tabulka10b"/>
                <w:sz w:val="22"/>
                <w:szCs w:val="22"/>
              </w:rPr>
              <w:t>Aktivní ochrana kulturního dědictví</w:t>
            </w:r>
          </w:p>
        </w:tc>
        <w:tc>
          <w:tcPr>
            <w:tcW w:w="3536" w:type="dxa"/>
            <w:vMerge w:val="restart"/>
            <w:tcBorders>
              <w:left w:val="single" w:sz="12" w:space="0" w:color="auto"/>
              <w:right w:val="single" w:sz="12" w:space="0" w:color="auto"/>
            </w:tcBorders>
            <w:vAlign w:val="center"/>
          </w:tcPr>
          <w:p w:rsidR="00EA1F75" w:rsidRPr="00D464B4" w:rsidRDefault="00EA1F75" w:rsidP="009C675D">
            <w:pPr>
              <w:spacing w:line="264" w:lineRule="auto"/>
              <w:rPr>
                <w:color w:val="000000"/>
                <w:shd w:val="clear" w:color="auto" w:fill="FFFFFF"/>
              </w:rPr>
            </w:pPr>
            <w:r w:rsidRPr="00D464B4">
              <w:rPr>
                <w:color w:val="000000"/>
                <w:sz w:val="22"/>
                <w:szCs w:val="22"/>
              </w:rPr>
              <w:t>4. Národní a kulturní identita v péči o kulturní dědictví a území s historickými hodnotami</w:t>
            </w:r>
          </w:p>
        </w:tc>
      </w:tr>
      <w:tr w:rsidR="00EA1F75" w:rsidRPr="00B0461F" w:rsidTr="009C675D">
        <w:tc>
          <w:tcPr>
            <w:tcW w:w="1800" w:type="dxa"/>
            <w:vMerge/>
            <w:tcBorders>
              <w:left w:val="single" w:sz="12" w:space="0" w:color="auto"/>
              <w:bottom w:val="single" w:sz="12" w:space="0" w:color="auto"/>
            </w:tcBorders>
            <w:vAlign w:val="center"/>
          </w:tcPr>
          <w:p w:rsidR="00EA1F75" w:rsidRPr="00D464B4" w:rsidRDefault="00EA1F75" w:rsidP="00F02CEC">
            <w:pPr>
              <w:spacing w:line="264" w:lineRule="auto"/>
            </w:pPr>
          </w:p>
        </w:tc>
        <w:tc>
          <w:tcPr>
            <w:tcW w:w="4024" w:type="dxa"/>
            <w:tcBorders>
              <w:bottom w:val="single" w:sz="12" w:space="0" w:color="auto"/>
              <w:right w:val="single" w:sz="12" w:space="0" w:color="auto"/>
            </w:tcBorders>
            <w:vAlign w:val="center"/>
          </w:tcPr>
          <w:p w:rsidR="00EA1F75" w:rsidRPr="00D464B4" w:rsidRDefault="00EA1F75" w:rsidP="009C675D">
            <w:pPr>
              <w:spacing w:line="264" w:lineRule="auto"/>
              <w:ind w:left="432" w:hanging="432"/>
            </w:pPr>
            <w:r w:rsidRPr="00D464B4">
              <w:rPr>
                <w:sz w:val="22"/>
                <w:szCs w:val="22"/>
              </w:rPr>
              <w:t>3.3.2</w:t>
            </w:r>
            <w:r w:rsidRPr="00D464B4">
              <w:rPr>
                <w:b/>
                <w:sz w:val="22"/>
                <w:szCs w:val="22"/>
              </w:rPr>
              <w:tab/>
            </w:r>
            <w:r w:rsidRPr="00D464B4">
              <w:rPr>
                <w:rStyle w:val="Tabulka10b"/>
                <w:sz w:val="22"/>
                <w:szCs w:val="22"/>
              </w:rPr>
              <w:t>Recepce kulturního dědictví jako prostředku národního sebeuvědomění a státní reprezentace</w:t>
            </w:r>
          </w:p>
        </w:tc>
        <w:tc>
          <w:tcPr>
            <w:tcW w:w="3536" w:type="dxa"/>
            <w:vMerge/>
            <w:tcBorders>
              <w:left w:val="single" w:sz="12" w:space="0" w:color="auto"/>
              <w:bottom w:val="single" w:sz="12" w:space="0" w:color="auto"/>
              <w:right w:val="single" w:sz="12" w:space="0" w:color="auto"/>
            </w:tcBorders>
            <w:vAlign w:val="center"/>
          </w:tcPr>
          <w:p w:rsidR="00EA1F75" w:rsidRPr="00D464B4" w:rsidRDefault="00EA1F75" w:rsidP="00F02CEC">
            <w:pPr>
              <w:spacing w:line="264" w:lineRule="auto"/>
              <w:ind w:hanging="338"/>
            </w:pPr>
          </w:p>
        </w:tc>
      </w:tr>
    </w:tbl>
    <w:p w:rsidR="00EA1F75" w:rsidRPr="00B0461F" w:rsidRDefault="00EA1F75" w:rsidP="003C5E99">
      <w:pPr>
        <w:rPr>
          <w:color w:val="000000"/>
          <w:sz w:val="22"/>
          <w:szCs w:val="22"/>
          <w:shd w:val="clear" w:color="auto" w:fill="FFFFFF"/>
        </w:rPr>
      </w:pPr>
    </w:p>
    <w:p w:rsidR="00EA1F75" w:rsidRPr="00F72DA4" w:rsidRDefault="00EA1F75" w:rsidP="00B51465">
      <w:pPr>
        <w:pStyle w:val="Nadpis1"/>
      </w:pPr>
      <w:bookmarkStart w:id="14" w:name="_Toc61616877"/>
      <w:r w:rsidRPr="00F72DA4">
        <w:t>8. Definování aktivit Programu a příjemců</w:t>
      </w:r>
      <w:bookmarkEnd w:id="14"/>
    </w:p>
    <w:p w:rsidR="00EA1F75" w:rsidRPr="00AE588F" w:rsidRDefault="00EA1F75" w:rsidP="009C675D">
      <w:pPr>
        <w:rPr>
          <w:color w:val="000000"/>
          <w:shd w:val="clear" w:color="auto" w:fill="FFFFFF"/>
        </w:rPr>
      </w:pPr>
      <w:bookmarkStart w:id="15" w:name="_Toc362210106"/>
      <w:r w:rsidRPr="00AE588F">
        <w:rPr>
          <w:color w:val="000000"/>
          <w:shd w:val="clear" w:color="auto" w:fill="FFFFFF"/>
        </w:rPr>
        <w:t>V rámci Programu budou podporovány aktivity aplikovaného výzkumu, definovaného § 2 odst. (1) písm. b) zákona č. 130/2002 Sb. s tím, že součástí řešení projektů mohou být i aktivity základního výzkumu v případě, že jsou potřebné k dosažení cílů projektu a jeho aplikovaných výsledků.</w:t>
      </w:r>
    </w:p>
    <w:p w:rsidR="00EA1F75" w:rsidRPr="00AE588F" w:rsidRDefault="00EA1F75" w:rsidP="009C675D">
      <w:pPr>
        <w:rPr>
          <w:color w:val="000000"/>
          <w:shd w:val="clear" w:color="auto" w:fill="FFFFFF"/>
        </w:rPr>
      </w:pPr>
      <w:r w:rsidRPr="00561F62">
        <w:rPr>
          <w:color w:val="000000"/>
          <w:shd w:val="clear" w:color="auto" w:fill="FFFFFF"/>
        </w:rPr>
        <w:t>Uchazečem, resp. příjemcem podpory z Programu, i dalším účastníkem projektu mohou být výzkumné organizace</w:t>
      </w:r>
      <w:r>
        <w:rPr>
          <w:color w:val="000000"/>
          <w:shd w:val="clear" w:color="auto" w:fill="FFFFFF"/>
        </w:rPr>
        <w:t xml:space="preserve"> a podniky spolupracující s výzkumnými organizacemi jako jeden </w:t>
      </w:r>
      <w:r>
        <w:rPr>
          <w:color w:val="000000"/>
          <w:shd w:val="clear" w:color="auto" w:fill="FFFFFF"/>
        </w:rPr>
        <w:lastRenderedPageBreak/>
        <w:t>z příjemců v konsorciálních projektech nebo jako další účastník projektu</w:t>
      </w:r>
      <w:r w:rsidRPr="00561F62">
        <w:rPr>
          <w:color w:val="000000"/>
          <w:shd w:val="clear" w:color="auto" w:fill="FFFFFF"/>
        </w:rPr>
        <w:t xml:space="preserve">. Jak vyplývá ze zkušeností </w:t>
      </w:r>
      <w:r>
        <w:rPr>
          <w:color w:val="000000"/>
          <w:shd w:val="clear" w:color="auto" w:fill="FFFFFF"/>
        </w:rPr>
        <w:t>s</w:t>
      </w:r>
      <w:r w:rsidRPr="00561F62">
        <w:rPr>
          <w:color w:val="000000"/>
          <w:shd w:val="clear" w:color="auto" w:fill="FFFFFF"/>
        </w:rPr>
        <w:t xml:space="preserve"> řešením programů NAKI a NAKI II a z analýz stavu problematiky v ČR a v zahraničí řešené </w:t>
      </w:r>
      <w:r>
        <w:rPr>
          <w:color w:val="000000"/>
          <w:shd w:val="clear" w:color="auto" w:fill="FFFFFF"/>
        </w:rPr>
        <w:t>P</w:t>
      </w:r>
      <w:r w:rsidRPr="00561F62">
        <w:rPr>
          <w:color w:val="000000"/>
          <w:shd w:val="clear" w:color="auto" w:fill="FFFFFF"/>
        </w:rPr>
        <w:t xml:space="preserve">rogramem, jsou zaměření a cíle Programu takové, že je mohou realizovat </w:t>
      </w:r>
      <w:r>
        <w:rPr>
          <w:color w:val="000000"/>
          <w:shd w:val="clear" w:color="auto" w:fill="FFFFFF"/>
        </w:rPr>
        <w:t>z rozhodující míry</w:t>
      </w:r>
      <w:r w:rsidRPr="00561F62">
        <w:rPr>
          <w:color w:val="000000"/>
          <w:shd w:val="clear" w:color="auto" w:fill="FFFFFF"/>
        </w:rPr>
        <w:t xml:space="preserve"> jen výzkumné organizace</w:t>
      </w:r>
      <w:r>
        <w:rPr>
          <w:color w:val="000000"/>
          <w:shd w:val="clear" w:color="auto" w:fill="FFFFFF"/>
        </w:rPr>
        <w:t>, ve spíše výjimečných případech pak ve spolupráci s podniky</w:t>
      </w:r>
      <w:r w:rsidRPr="00561F62">
        <w:rPr>
          <w:color w:val="000000"/>
          <w:shd w:val="clear" w:color="auto" w:fill="FFFFFF"/>
        </w:rPr>
        <w:t>.</w:t>
      </w:r>
      <w:r w:rsidRPr="00AE588F">
        <w:rPr>
          <w:color w:val="000000"/>
          <w:shd w:val="clear" w:color="auto" w:fill="FFFFFF"/>
        </w:rPr>
        <w:t xml:space="preserve"> </w:t>
      </w:r>
      <w:r>
        <w:rPr>
          <w:color w:val="000000"/>
          <w:shd w:val="clear" w:color="auto" w:fill="FFFFFF"/>
        </w:rPr>
        <w:t>Veřejně přístupné výsledky Programu budou využívány ve veřejném sektoru a v souladu s Inovační strategií ČR 2030 i podnikatelskými subjekty v rámci podpory kulturních a kreativních průmyslů, realizovanou MPO ve spolupráci s MK</w:t>
      </w:r>
      <w:r w:rsidRPr="00EF5A91">
        <w:rPr>
          <w:color w:val="000000"/>
          <w:shd w:val="clear" w:color="auto" w:fill="FFFFFF"/>
          <w:vertAlign w:val="superscript"/>
        </w:rPr>
        <w:t>4</w:t>
      </w:r>
      <w:r>
        <w:rPr>
          <w:color w:val="000000"/>
          <w:shd w:val="clear" w:color="auto" w:fill="FFFFFF"/>
        </w:rPr>
        <w:t>. Provázanost P</w:t>
      </w:r>
      <w:r w:rsidRPr="000E47B3">
        <w:rPr>
          <w:color w:val="000000"/>
          <w:shd w:val="clear" w:color="auto" w:fill="FFFFFF"/>
        </w:rPr>
        <w:t>rogramu a jeho výsledků a oblasti kulturních a kreativních průmyslů bude realizována formou horizontální vazby – v každém specifickém cíli strategického cíle 1 budou sledovány vazby na KKP</w:t>
      </w:r>
      <w:r>
        <w:rPr>
          <w:color w:val="000000"/>
          <w:shd w:val="clear" w:color="auto" w:fill="FFFFFF"/>
        </w:rPr>
        <w:t>.</w:t>
      </w:r>
    </w:p>
    <w:p w:rsidR="00EA1F75" w:rsidRDefault="00EA1F75" w:rsidP="009C675D">
      <w:pPr>
        <w:rPr>
          <w:color w:val="000000"/>
          <w:shd w:val="clear" w:color="auto" w:fill="FFFFFF"/>
        </w:rPr>
      </w:pPr>
    </w:p>
    <w:p w:rsidR="00EA1F75" w:rsidRPr="00AE588F" w:rsidRDefault="00EA1F75" w:rsidP="009C675D">
      <w:pPr>
        <w:rPr>
          <w:color w:val="000000"/>
          <w:shd w:val="clear" w:color="auto" w:fill="FFFFFF"/>
        </w:rPr>
      </w:pPr>
      <w:r w:rsidRPr="00AE588F">
        <w:rPr>
          <w:color w:val="000000"/>
          <w:shd w:val="clear" w:color="auto" w:fill="FFFFFF"/>
        </w:rPr>
        <w:t xml:space="preserve">Posouzení, zda uchazeč či další účastník </w:t>
      </w:r>
      <w:r>
        <w:rPr>
          <w:color w:val="000000"/>
          <w:shd w:val="clear" w:color="auto" w:fill="FFFFFF"/>
        </w:rPr>
        <w:t xml:space="preserve">projektu </w:t>
      </w:r>
      <w:r w:rsidRPr="00AE588F">
        <w:rPr>
          <w:color w:val="000000"/>
          <w:shd w:val="clear" w:color="auto" w:fill="FFFFFF"/>
        </w:rPr>
        <w:t xml:space="preserve">naplňuje </w:t>
      </w:r>
      <w:r>
        <w:rPr>
          <w:color w:val="000000"/>
          <w:shd w:val="clear" w:color="auto" w:fill="FFFFFF"/>
        </w:rPr>
        <w:t xml:space="preserve">podmínky pro poskytnutí podpory </w:t>
      </w:r>
      <w:r w:rsidRPr="00AE588F">
        <w:rPr>
          <w:color w:val="000000"/>
          <w:shd w:val="clear" w:color="auto" w:fill="FFFFFF"/>
        </w:rPr>
        <w:t>výzkumné organizac</w:t>
      </w:r>
      <w:r>
        <w:rPr>
          <w:color w:val="000000"/>
          <w:shd w:val="clear" w:color="auto" w:fill="FFFFFF"/>
        </w:rPr>
        <w:t>i,</w:t>
      </w:r>
      <w:r w:rsidRPr="00AE588F">
        <w:rPr>
          <w:color w:val="000000"/>
          <w:shd w:val="clear" w:color="auto" w:fill="FFFFFF"/>
        </w:rPr>
        <w:t xml:space="preserve"> bude poskytovatel provádět u každého uchazeče či dalšího účastníka při hodnocení návrhu projektu, v průběhu řešení projektu a po jeho ukončení</w:t>
      </w:r>
      <w:r>
        <w:rPr>
          <w:color w:val="000000"/>
          <w:shd w:val="clear" w:color="auto" w:fill="FFFFFF"/>
        </w:rPr>
        <w:t xml:space="preserve"> v souladu s „</w:t>
      </w:r>
      <w:r w:rsidRPr="000E47B3">
        <w:rPr>
          <w:color w:val="000000"/>
          <w:shd w:val="clear" w:color="auto" w:fill="FFFFFF"/>
        </w:rPr>
        <w:t>Identifikac</w:t>
      </w:r>
      <w:r>
        <w:rPr>
          <w:color w:val="000000"/>
          <w:shd w:val="clear" w:color="auto" w:fill="FFFFFF"/>
        </w:rPr>
        <w:t>í</w:t>
      </w:r>
      <w:r w:rsidRPr="000E47B3">
        <w:rPr>
          <w:color w:val="000000"/>
          <w:shd w:val="clear" w:color="auto" w:fill="FFFFFF"/>
        </w:rPr>
        <w:t xml:space="preserve"> hospodářských a nehospodářských činností výzkumných organizací a výzkumných infrastruktur ve výzkumu, vývoji a inovacích</w:t>
      </w:r>
      <w:r>
        <w:rPr>
          <w:color w:val="000000"/>
          <w:shd w:val="clear" w:color="auto" w:fill="FFFFFF"/>
        </w:rPr>
        <w:t xml:space="preserve"> </w:t>
      </w:r>
      <w:r w:rsidRPr="000E47B3">
        <w:rPr>
          <w:color w:val="000000"/>
          <w:shd w:val="clear" w:color="auto" w:fill="FFFFFF"/>
        </w:rPr>
        <w:t>(metodické doporučení)</w:t>
      </w:r>
      <w:r>
        <w:rPr>
          <w:color w:val="000000"/>
          <w:shd w:val="clear" w:color="auto" w:fill="FFFFFF"/>
        </w:rPr>
        <w:t>“, schváleném usnesením vlády ze dne 2. listopadu 2020 č. 1128.</w:t>
      </w:r>
      <w:r w:rsidRPr="00AE588F">
        <w:rPr>
          <w:color w:val="000000"/>
          <w:shd w:val="clear" w:color="auto" w:fill="FFFFFF"/>
        </w:rPr>
        <w:t xml:space="preserve"> Kontrola splnění definice výzkumné organizace bude provedena na základě platného </w:t>
      </w:r>
      <w:hyperlink r:id="rId9" w:history="1">
        <w:r w:rsidRPr="000E47B3">
          <w:rPr>
            <w:rStyle w:val="Hypertextovodkaz"/>
            <w:shd w:val="clear" w:color="auto" w:fill="FFFFFF"/>
          </w:rPr>
          <w:t>Seznamu výzkumných organizací</w:t>
        </w:r>
      </w:hyperlink>
      <w:r w:rsidRPr="00AE588F">
        <w:rPr>
          <w:color w:val="000000"/>
          <w:shd w:val="clear" w:color="auto" w:fill="FFFFFF"/>
        </w:rPr>
        <w:t xml:space="preserve"> </w:t>
      </w:r>
      <w:r>
        <w:rPr>
          <w:color w:val="000000"/>
          <w:shd w:val="clear" w:color="auto" w:fill="FFFFFF"/>
        </w:rPr>
        <w:t>vedeného MŠMT podle § 33a zákona č. 130/2002 Sb.</w:t>
      </w:r>
    </w:p>
    <w:p w:rsidR="00EA1F75" w:rsidRDefault="00EA1F75" w:rsidP="009C675D">
      <w:pPr>
        <w:rPr>
          <w:color w:val="000000"/>
          <w:shd w:val="clear" w:color="auto" w:fill="FFFFFF"/>
        </w:rPr>
      </w:pPr>
    </w:p>
    <w:p w:rsidR="00EA1F75" w:rsidRDefault="00EA1F75" w:rsidP="009C675D">
      <w:pPr>
        <w:rPr>
          <w:color w:val="000000"/>
          <w:shd w:val="clear" w:color="auto" w:fill="FFFFFF"/>
        </w:rPr>
      </w:pPr>
      <w:r w:rsidRPr="00936FAD">
        <w:rPr>
          <w:color w:val="000000"/>
          <w:shd w:val="clear" w:color="auto" w:fill="FFFFFF"/>
        </w:rPr>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r>
        <w:rPr>
          <w:color w:val="000000"/>
          <w:shd w:val="clear" w:color="auto" w:fill="FFFFFF"/>
        </w:rPr>
        <w:t xml:space="preserve"> </w:t>
      </w:r>
      <w:r w:rsidRPr="00936FAD">
        <w:rPr>
          <w:color w:val="000000"/>
          <w:shd w:val="clear" w:color="auto" w:fill="FFFFFF"/>
        </w:rPr>
        <w:t xml:space="preserve">Splnění podmínky způsobilosti bude vyhodnoceno komisí pro přijímání návrhů projektů před hodnocením návrhů projektů. Nesplnění některé z podmínek způsobilosti </w:t>
      </w:r>
      <w:r>
        <w:rPr>
          <w:color w:val="000000"/>
          <w:shd w:val="clear" w:color="auto" w:fill="FFFFFF"/>
        </w:rPr>
        <w:t>bude</w:t>
      </w:r>
      <w:r w:rsidRPr="00936FAD">
        <w:rPr>
          <w:color w:val="000000"/>
          <w:shd w:val="clear" w:color="auto" w:fill="FFFFFF"/>
        </w:rPr>
        <w:t xml:space="preserve"> důvodem pro ne</w:t>
      </w:r>
      <w:r>
        <w:rPr>
          <w:color w:val="000000"/>
          <w:shd w:val="clear" w:color="auto" w:fill="FFFFFF"/>
        </w:rPr>
        <w:t>přijetí</w:t>
      </w:r>
      <w:r w:rsidRPr="00936FAD">
        <w:rPr>
          <w:color w:val="000000"/>
          <w:shd w:val="clear" w:color="auto" w:fill="FFFFFF"/>
        </w:rPr>
        <w:t xml:space="preserve"> návrhu projektu do veřejné soutěže.</w:t>
      </w:r>
    </w:p>
    <w:p w:rsidR="00EA1F75" w:rsidRPr="00936FAD" w:rsidRDefault="00EA1F75" w:rsidP="009C675D">
      <w:pPr>
        <w:rPr>
          <w:color w:val="000000"/>
          <w:shd w:val="clear" w:color="auto" w:fill="FFFFFF"/>
        </w:rPr>
      </w:pPr>
    </w:p>
    <w:p w:rsidR="00EA1F75" w:rsidRPr="00936FAD" w:rsidRDefault="00EA1F75" w:rsidP="00B51465">
      <w:pPr>
        <w:pStyle w:val="Nadpis1"/>
      </w:pPr>
      <w:bookmarkStart w:id="16" w:name="_Toc61616878"/>
      <w:r w:rsidRPr="00936FAD">
        <w:t xml:space="preserve">9. Stanovení očekávaných výsledků </w:t>
      </w:r>
      <w:r>
        <w:t xml:space="preserve">Programu </w:t>
      </w:r>
      <w:r w:rsidRPr="00936FAD">
        <w:t>a jejich využití</w:t>
      </w:r>
      <w:bookmarkEnd w:id="16"/>
    </w:p>
    <w:p w:rsidR="00EA1F75" w:rsidRDefault="00EA1F75" w:rsidP="00F50013">
      <w:pPr>
        <w:tabs>
          <w:tab w:val="left" w:pos="5529"/>
        </w:tabs>
        <w:rPr>
          <w:color w:val="000000"/>
          <w:shd w:val="clear" w:color="auto" w:fill="FFFFFF"/>
        </w:rPr>
      </w:pPr>
      <w:bookmarkStart w:id="17" w:name="OLE_LINK4"/>
      <w:bookmarkStart w:id="18" w:name="OLE_LINK5"/>
      <w:r w:rsidRPr="00DC17B4">
        <w:rPr>
          <w:color w:val="000000"/>
          <w:shd w:val="clear" w:color="auto" w:fill="FFFFFF"/>
        </w:rPr>
        <w:t xml:space="preserve">V návaznosti na strategický cíl Programu č. 1 „Zaměřit podporu poskytovanou podle Programu do oblasti národní a kulturní identity“ budou podporovány pouze ty projekty, které výrazným způsobem naplní jednu či více tematických priorit </w:t>
      </w:r>
      <w:r>
        <w:rPr>
          <w:color w:val="000000"/>
          <w:shd w:val="clear" w:color="auto" w:fill="FFFFFF"/>
        </w:rPr>
        <w:t>P</w:t>
      </w:r>
      <w:r w:rsidRPr="00DC17B4">
        <w:rPr>
          <w:color w:val="000000"/>
          <w:shd w:val="clear" w:color="auto" w:fill="FFFFFF"/>
        </w:rPr>
        <w:t xml:space="preserve">rogramu a odůvodněně předpokládají dosažení </w:t>
      </w:r>
      <w:r>
        <w:rPr>
          <w:color w:val="000000"/>
          <w:shd w:val="clear" w:color="auto" w:fill="FFFFFF"/>
        </w:rPr>
        <w:t xml:space="preserve">tematickým prioritám </w:t>
      </w:r>
      <w:r w:rsidRPr="00DC17B4">
        <w:rPr>
          <w:color w:val="000000"/>
          <w:shd w:val="clear" w:color="auto" w:fill="FFFFFF"/>
        </w:rPr>
        <w:t xml:space="preserve">odpovídajícího počtu hlavních výsledků aplikovaného výzkumu </w:t>
      </w:r>
      <w:r>
        <w:rPr>
          <w:color w:val="000000"/>
          <w:shd w:val="clear" w:color="auto" w:fill="FFFFFF"/>
        </w:rPr>
        <w:t xml:space="preserve">(nejméně jeden hlavní výsledek na každou tematickou prioritu) </w:t>
      </w:r>
      <w:r w:rsidRPr="00DC17B4">
        <w:rPr>
          <w:color w:val="000000"/>
          <w:shd w:val="clear" w:color="auto" w:fill="FFFFFF"/>
        </w:rPr>
        <w:t xml:space="preserve">z následujících druhů </w:t>
      </w:r>
      <w:r w:rsidRPr="006455F7">
        <w:rPr>
          <w:color w:val="000000"/>
          <w:shd w:val="clear" w:color="auto" w:fill="FFFFFF"/>
        </w:rPr>
        <w:t>hlavních výsledků</w:t>
      </w:r>
      <w:r>
        <w:rPr>
          <w:color w:val="000000"/>
          <w:shd w:val="clear" w:color="auto" w:fill="FFFFFF"/>
        </w:rPr>
        <w:t xml:space="preserve">. </w:t>
      </w:r>
      <w:r w:rsidRPr="006455F7">
        <w:rPr>
          <w:b/>
          <w:color w:val="000000"/>
          <w:shd w:val="clear" w:color="auto" w:fill="FFFFFF"/>
        </w:rPr>
        <w:t>Hlavní výsledky Programu jsou členěny do tří skupin:</w:t>
      </w:r>
    </w:p>
    <w:p w:rsidR="00EA1F75" w:rsidRDefault="00EA1F75" w:rsidP="009C675D">
      <w:pPr>
        <w:rPr>
          <w:color w:val="000000"/>
          <w:shd w:val="clear" w:color="auto" w:fill="FFFFFF"/>
        </w:rPr>
      </w:pPr>
    </w:p>
    <w:p w:rsidR="00EA1F75" w:rsidRDefault="00EA1F75" w:rsidP="00D9280F">
      <w:pPr>
        <w:ind w:left="360" w:hanging="360"/>
        <w:rPr>
          <w:color w:val="000000"/>
          <w:shd w:val="clear" w:color="auto" w:fill="FFFFFF"/>
        </w:rPr>
      </w:pPr>
      <w:r w:rsidRPr="002945C1">
        <w:rPr>
          <w:color w:val="000000"/>
          <w:u w:val="single"/>
          <w:shd w:val="clear" w:color="auto" w:fill="FFFFFF"/>
        </w:rPr>
        <w:t>A)</w:t>
      </w:r>
      <w:r w:rsidRPr="002945C1">
        <w:rPr>
          <w:color w:val="000000"/>
          <w:u w:val="single"/>
          <w:shd w:val="clear" w:color="auto" w:fill="FFFFFF"/>
        </w:rPr>
        <w:tab/>
        <w:t>Hlavní výsledky vymezené platným zněním</w:t>
      </w:r>
      <w:r w:rsidRPr="009C675D">
        <w:rPr>
          <w:color w:val="000000"/>
          <w:shd w:val="clear" w:color="auto" w:fill="FFFFFF"/>
        </w:rPr>
        <w:t xml:space="preserve"> </w:t>
      </w:r>
      <w:hyperlink r:id="rId10" w:history="1">
        <w:r w:rsidRPr="007614AF">
          <w:rPr>
            <w:rStyle w:val="Hypertextovodkaz"/>
            <w:shd w:val="clear" w:color="auto" w:fill="FFFFFF"/>
          </w:rPr>
          <w:t>Definic druhů výsledků</w:t>
        </w:r>
      </w:hyperlink>
      <w:r>
        <w:rPr>
          <w:rStyle w:val="Znakapoznpodarou"/>
          <w:color w:val="0000FF"/>
          <w:u w:val="single"/>
          <w:shd w:val="clear" w:color="auto" w:fill="FFFFFF"/>
        </w:rPr>
        <w:footnoteReference w:id="3"/>
      </w:r>
    </w:p>
    <w:p w:rsidR="00EA1F75" w:rsidRPr="00DC17B4" w:rsidRDefault="00EA1F75" w:rsidP="00D9280F">
      <w:pPr>
        <w:numPr>
          <w:ilvl w:val="0"/>
          <w:numId w:val="24"/>
        </w:numPr>
        <w:tabs>
          <w:tab w:val="clear" w:pos="720"/>
        </w:tabs>
        <w:rPr>
          <w:color w:val="000000"/>
          <w:shd w:val="clear" w:color="auto" w:fill="FFFFFF"/>
        </w:rPr>
      </w:pPr>
      <w:r w:rsidRPr="00060AC3">
        <w:rPr>
          <w:b/>
          <w:color w:val="000000"/>
          <w:shd w:val="clear" w:color="auto" w:fill="FFFFFF"/>
        </w:rPr>
        <w:t>F</w:t>
      </w:r>
      <w:r w:rsidRPr="00DC17B4">
        <w:rPr>
          <w:color w:val="000000"/>
          <w:shd w:val="clear" w:color="auto" w:fill="FFFFFF"/>
        </w:rPr>
        <w:t xml:space="preserve"> - užitný vzor (</w:t>
      </w:r>
      <w:r w:rsidRPr="00060AC3">
        <w:rPr>
          <w:b/>
          <w:color w:val="000000"/>
          <w:shd w:val="clear" w:color="auto" w:fill="FFFFFF"/>
        </w:rPr>
        <w:t>Fuzit</w:t>
      </w:r>
      <w:r w:rsidRPr="00DC17B4">
        <w:rPr>
          <w:color w:val="000000"/>
          <w:shd w:val="clear" w:color="auto" w:fill="FFFFFF"/>
        </w:rPr>
        <w:t>), průmyslový vzor (</w:t>
      </w:r>
      <w:proofErr w:type="spellStart"/>
      <w:r w:rsidRPr="00060AC3">
        <w:rPr>
          <w:b/>
          <w:color w:val="000000"/>
          <w:shd w:val="clear" w:color="auto" w:fill="FFFFFF"/>
        </w:rPr>
        <w:t>Fpr</w:t>
      </w:r>
      <w:r>
        <w:rPr>
          <w:b/>
          <w:color w:val="000000"/>
          <w:shd w:val="clear" w:color="auto" w:fill="FFFFFF"/>
        </w:rPr>
        <w:t>u</w:t>
      </w:r>
      <w:r w:rsidRPr="00060AC3">
        <w:rPr>
          <w:b/>
          <w:color w:val="000000"/>
          <w:shd w:val="clear" w:color="auto" w:fill="FFFFFF"/>
        </w:rPr>
        <w:t>m</w:t>
      </w:r>
      <w:proofErr w:type="spellEnd"/>
      <w:r w:rsidRPr="00DC17B4">
        <w:rPr>
          <w:color w:val="000000"/>
          <w:shd w:val="clear" w:color="auto" w:fill="FFFFFF"/>
        </w:rPr>
        <w:t>)</w:t>
      </w:r>
    </w:p>
    <w:p w:rsidR="00EA1F75" w:rsidRPr="00DC17B4" w:rsidRDefault="00EA1F75" w:rsidP="00D9280F">
      <w:pPr>
        <w:numPr>
          <w:ilvl w:val="0"/>
          <w:numId w:val="24"/>
        </w:numPr>
        <w:tabs>
          <w:tab w:val="clear" w:pos="720"/>
        </w:tabs>
        <w:rPr>
          <w:color w:val="000000"/>
          <w:shd w:val="clear" w:color="auto" w:fill="FFFFFF"/>
        </w:rPr>
      </w:pPr>
      <w:r w:rsidRPr="00060AC3">
        <w:rPr>
          <w:b/>
          <w:color w:val="000000"/>
          <w:shd w:val="clear" w:color="auto" w:fill="FFFFFF"/>
        </w:rPr>
        <w:t>G</w:t>
      </w:r>
      <w:r w:rsidRPr="00DC17B4">
        <w:rPr>
          <w:color w:val="000000"/>
          <w:shd w:val="clear" w:color="auto" w:fill="FFFFFF"/>
        </w:rPr>
        <w:t xml:space="preserve"> – prototyp (</w:t>
      </w:r>
      <w:proofErr w:type="spellStart"/>
      <w:r w:rsidRPr="00060AC3">
        <w:rPr>
          <w:b/>
          <w:color w:val="000000"/>
          <w:shd w:val="clear" w:color="auto" w:fill="FFFFFF"/>
        </w:rPr>
        <w:t>Gprot</w:t>
      </w:r>
      <w:proofErr w:type="spellEnd"/>
      <w:r w:rsidRPr="00DC17B4">
        <w:rPr>
          <w:color w:val="000000"/>
          <w:shd w:val="clear" w:color="auto" w:fill="FFFFFF"/>
        </w:rPr>
        <w:t>), funkční vzorek (</w:t>
      </w:r>
      <w:r w:rsidRPr="00060AC3">
        <w:rPr>
          <w:b/>
          <w:color w:val="000000"/>
          <w:shd w:val="clear" w:color="auto" w:fill="FFFFFF"/>
        </w:rPr>
        <w:t>Gfunk</w:t>
      </w:r>
      <w:r w:rsidRPr="00DC17B4">
        <w:rPr>
          <w:color w:val="000000"/>
          <w:shd w:val="clear" w:color="auto" w:fill="FFFFFF"/>
        </w:rPr>
        <w:t>)</w:t>
      </w:r>
    </w:p>
    <w:p w:rsidR="00EA1F75" w:rsidRPr="00DC17B4" w:rsidRDefault="00EA1F75" w:rsidP="00D9280F">
      <w:pPr>
        <w:numPr>
          <w:ilvl w:val="0"/>
          <w:numId w:val="24"/>
        </w:numPr>
        <w:tabs>
          <w:tab w:val="clear" w:pos="720"/>
        </w:tabs>
        <w:rPr>
          <w:color w:val="000000"/>
          <w:shd w:val="clear" w:color="auto" w:fill="FFFFFF"/>
        </w:rPr>
      </w:pPr>
      <w:r w:rsidRPr="00060AC3">
        <w:rPr>
          <w:b/>
          <w:color w:val="000000"/>
          <w:shd w:val="clear" w:color="auto" w:fill="FFFFFF"/>
        </w:rPr>
        <w:lastRenderedPageBreak/>
        <w:t>P</w:t>
      </w:r>
      <w:r w:rsidRPr="00DC17B4">
        <w:rPr>
          <w:color w:val="000000"/>
          <w:shd w:val="clear" w:color="auto" w:fill="FFFFFF"/>
        </w:rPr>
        <w:t xml:space="preserve"> - patent</w:t>
      </w:r>
    </w:p>
    <w:p w:rsidR="00EA1F75" w:rsidRPr="00DC17B4" w:rsidRDefault="00EA1F75" w:rsidP="00A3770F">
      <w:pPr>
        <w:numPr>
          <w:ilvl w:val="0"/>
          <w:numId w:val="24"/>
        </w:numPr>
        <w:tabs>
          <w:tab w:val="clear" w:pos="720"/>
        </w:tabs>
        <w:rPr>
          <w:color w:val="000000"/>
          <w:shd w:val="clear" w:color="auto" w:fill="FFFFFF"/>
        </w:rPr>
      </w:pPr>
      <w:r w:rsidRPr="00060AC3">
        <w:rPr>
          <w:b/>
          <w:color w:val="000000"/>
          <w:shd w:val="clear" w:color="auto" w:fill="FFFFFF"/>
        </w:rPr>
        <w:t>S</w:t>
      </w:r>
      <w:r>
        <w:rPr>
          <w:color w:val="000000"/>
          <w:shd w:val="clear" w:color="auto" w:fill="FFFFFF"/>
        </w:rPr>
        <w:t xml:space="preserve"> – specializovaná veřejná databáze</w:t>
      </w:r>
    </w:p>
    <w:p w:rsidR="00EA1F75" w:rsidRPr="00DC17B4" w:rsidRDefault="00EA1F75" w:rsidP="00D9280F">
      <w:pPr>
        <w:numPr>
          <w:ilvl w:val="0"/>
          <w:numId w:val="24"/>
        </w:numPr>
        <w:tabs>
          <w:tab w:val="clear" w:pos="720"/>
        </w:tabs>
        <w:rPr>
          <w:color w:val="000000"/>
          <w:shd w:val="clear" w:color="auto" w:fill="FFFFFF"/>
        </w:rPr>
      </w:pPr>
      <w:r w:rsidRPr="00060AC3">
        <w:rPr>
          <w:b/>
          <w:color w:val="000000"/>
          <w:shd w:val="clear" w:color="auto" w:fill="FFFFFF"/>
        </w:rPr>
        <w:t>Z</w:t>
      </w:r>
      <w:r w:rsidRPr="00DC17B4">
        <w:rPr>
          <w:color w:val="000000"/>
          <w:shd w:val="clear" w:color="auto" w:fill="FFFFFF"/>
        </w:rPr>
        <w:t xml:space="preserve"> – poloprovoz (</w:t>
      </w:r>
      <w:r w:rsidRPr="00060AC3">
        <w:rPr>
          <w:b/>
          <w:color w:val="000000"/>
          <w:shd w:val="clear" w:color="auto" w:fill="FFFFFF"/>
        </w:rPr>
        <w:t>Zpolop</w:t>
      </w:r>
      <w:r w:rsidRPr="00DC17B4">
        <w:rPr>
          <w:color w:val="000000"/>
          <w:shd w:val="clear" w:color="auto" w:fill="FFFFFF"/>
        </w:rPr>
        <w:t>), ověřená technologie (</w:t>
      </w:r>
      <w:r w:rsidRPr="00060AC3">
        <w:rPr>
          <w:b/>
          <w:color w:val="000000"/>
          <w:shd w:val="clear" w:color="auto" w:fill="FFFFFF"/>
        </w:rPr>
        <w:t>Ztech</w:t>
      </w:r>
      <w:r w:rsidRPr="00DC17B4">
        <w:rPr>
          <w:color w:val="000000"/>
          <w:shd w:val="clear" w:color="auto" w:fill="FFFFFF"/>
        </w:rPr>
        <w:t>)</w:t>
      </w:r>
    </w:p>
    <w:p w:rsidR="00EA1F75" w:rsidRDefault="00EA1F75" w:rsidP="00A3770F">
      <w:pPr>
        <w:ind w:left="360"/>
        <w:rPr>
          <w:color w:val="000000"/>
          <w:shd w:val="clear" w:color="auto" w:fill="FFFFFF"/>
        </w:rPr>
      </w:pPr>
      <w:r>
        <w:rPr>
          <w:color w:val="000000"/>
          <w:shd w:val="clear" w:color="auto" w:fill="FFFFFF"/>
        </w:rPr>
        <w:t xml:space="preserve">U těchto druhů výsledků příjemce při jejich schvalování bude dokládat splnění podmínek vymezených </w:t>
      </w:r>
      <w:r w:rsidRPr="009C675D">
        <w:rPr>
          <w:color w:val="000000"/>
          <w:shd w:val="clear" w:color="auto" w:fill="FFFFFF"/>
        </w:rPr>
        <w:t>platn</w:t>
      </w:r>
      <w:r>
        <w:rPr>
          <w:color w:val="000000"/>
          <w:shd w:val="clear" w:color="auto" w:fill="FFFFFF"/>
        </w:rPr>
        <w:t>ým</w:t>
      </w:r>
      <w:r w:rsidRPr="009C675D">
        <w:rPr>
          <w:color w:val="000000"/>
          <w:shd w:val="clear" w:color="auto" w:fill="FFFFFF"/>
        </w:rPr>
        <w:t xml:space="preserve"> znění</w:t>
      </w:r>
      <w:r>
        <w:rPr>
          <w:color w:val="000000"/>
          <w:shd w:val="clear" w:color="auto" w:fill="FFFFFF"/>
        </w:rPr>
        <w:t>m</w:t>
      </w:r>
      <w:r w:rsidRPr="009C675D">
        <w:rPr>
          <w:color w:val="000000"/>
          <w:shd w:val="clear" w:color="auto" w:fill="FFFFFF"/>
        </w:rPr>
        <w:t xml:space="preserve"> </w:t>
      </w:r>
      <w:hyperlink r:id="rId11" w:history="1">
        <w:r w:rsidRPr="007614AF">
          <w:rPr>
            <w:rStyle w:val="Hypertextovodkaz"/>
            <w:shd w:val="clear" w:color="auto" w:fill="FFFFFF"/>
          </w:rPr>
          <w:t>Definic druhů výsledků</w:t>
        </w:r>
      </w:hyperlink>
      <w:r>
        <w:rPr>
          <w:color w:val="000000"/>
          <w:shd w:val="clear" w:color="auto" w:fill="FFFFFF"/>
        </w:rPr>
        <w:t xml:space="preserve"> a to jak obecných podmínek (tj. že se jedná o nový výsledek vzniklý řešením projektu), tak naplnění definičních znaků a kritérií ověřitelnosti jednotlivých druhů výsledků.</w:t>
      </w:r>
    </w:p>
    <w:p w:rsidR="00EA1F75" w:rsidRDefault="00EA1F75" w:rsidP="009C675D">
      <w:pPr>
        <w:rPr>
          <w:color w:val="000000"/>
          <w:shd w:val="clear" w:color="auto" w:fill="FFFFFF"/>
        </w:rPr>
      </w:pPr>
    </w:p>
    <w:p w:rsidR="00EA1F75" w:rsidRDefault="00EA1F75" w:rsidP="00D9280F">
      <w:pPr>
        <w:ind w:left="360" w:hanging="360"/>
        <w:rPr>
          <w:color w:val="000000"/>
          <w:shd w:val="clear" w:color="auto" w:fill="FFFFFF"/>
        </w:rPr>
      </w:pPr>
      <w:r w:rsidRPr="002945C1">
        <w:rPr>
          <w:color w:val="000000"/>
          <w:u w:val="single"/>
          <w:shd w:val="clear" w:color="auto" w:fill="FFFFFF"/>
        </w:rPr>
        <w:t>B)</w:t>
      </w:r>
      <w:r w:rsidRPr="002945C1">
        <w:rPr>
          <w:color w:val="000000"/>
          <w:u w:val="single"/>
          <w:shd w:val="clear" w:color="auto" w:fill="FFFFFF"/>
        </w:rPr>
        <w:tab/>
        <w:t>Hlavní výsledky vymezené platným zněním</w:t>
      </w:r>
      <w:r w:rsidRPr="009C675D">
        <w:rPr>
          <w:color w:val="000000"/>
          <w:shd w:val="clear" w:color="auto" w:fill="FFFFFF"/>
        </w:rPr>
        <w:t xml:space="preserve"> </w:t>
      </w:r>
      <w:hyperlink r:id="rId12" w:history="1">
        <w:r w:rsidRPr="007614AF">
          <w:rPr>
            <w:rStyle w:val="Hypertextovodkaz"/>
            <w:shd w:val="clear" w:color="auto" w:fill="FFFFFF"/>
          </w:rPr>
          <w:t>Definic druhů výsledků</w:t>
        </w:r>
      </w:hyperlink>
      <w:r w:rsidRPr="002945C1">
        <w:rPr>
          <w:color w:val="000000"/>
          <w:u w:val="single"/>
          <w:shd w:val="clear" w:color="auto" w:fill="FFFFFF"/>
        </w:rPr>
        <w:t>, při jejichž schvalování budou požadovány další náležitosti</w:t>
      </w:r>
    </w:p>
    <w:p w:rsidR="00EA1F75" w:rsidRDefault="00EA1F75" w:rsidP="00BA1F78">
      <w:pPr>
        <w:numPr>
          <w:ilvl w:val="0"/>
          <w:numId w:val="24"/>
        </w:numPr>
        <w:tabs>
          <w:tab w:val="clear" w:pos="720"/>
        </w:tabs>
        <w:rPr>
          <w:color w:val="000000"/>
          <w:shd w:val="clear" w:color="auto" w:fill="FFFFFF"/>
        </w:rPr>
      </w:pPr>
      <w:r w:rsidRPr="00060AC3">
        <w:rPr>
          <w:b/>
          <w:color w:val="000000"/>
          <w:shd w:val="clear" w:color="auto" w:fill="FFFFFF"/>
        </w:rPr>
        <w:t>Ekrit</w:t>
      </w:r>
      <w:r w:rsidRPr="00DC17B4">
        <w:rPr>
          <w:color w:val="000000"/>
          <w:shd w:val="clear" w:color="auto" w:fill="FFFFFF"/>
        </w:rPr>
        <w:t xml:space="preserve"> - uspořádání výstavy s kritickým katalogem</w:t>
      </w:r>
    </w:p>
    <w:p w:rsidR="00EA1F75" w:rsidRPr="00DC17B4" w:rsidRDefault="00EA1F75" w:rsidP="00564E01">
      <w:pPr>
        <w:ind w:left="720"/>
        <w:rPr>
          <w:color w:val="000000"/>
          <w:shd w:val="clear" w:color="auto" w:fill="FFFFFF"/>
        </w:rPr>
      </w:pPr>
      <w:r>
        <w:rPr>
          <w:color w:val="000000"/>
          <w:shd w:val="clear" w:color="auto" w:fill="FFFFFF"/>
        </w:rPr>
        <w:t>U druhu výsledku Ekrit poskytovatel v souladu s </w:t>
      </w:r>
      <w:hyperlink r:id="rId13" w:history="1">
        <w:r w:rsidRPr="007614AF">
          <w:rPr>
            <w:rStyle w:val="Hypertextovodkaz"/>
            <w:shd w:val="clear" w:color="auto" w:fill="FFFFFF"/>
          </w:rPr>
          <w:t>Definic</w:t>
        </w:r>
        <w:r>
          <w:rPr>
            <w:rStyle w:val="Hypertextovodkaz"/>
            <w:shd w:val="clear" w:color="auto" w:fill="FFFFFF"/>
          </w:rPr>
          <w:t>emi</w:t>
        </w:r>
        <w:r w:rsidRPr="007614AF">
          <w:rPr>
            <w:rStyle w:val="Hypertextovodkaz"/>
            <w:shd w:val="clear" w:color="auto" w:fill="FFFFFF"/>
          </w:rPr>
          <w:t xml:space="preserve"> druhů výsledků</w:t>
        </w:r>
      </w:hyperlink>
      <w:r>
        <w:rPr>
          <w:color w:val="000000"/>
          <w:shd w:val="clear" w:color="auto" w:fill="FFFFFF"/>
        </w:rPr>
        <w:t xml:space="preserve"> stanovuje stejně jako u programu NAKI II další kritéria pro jeho uznání a to minimální návštěvnost (1 tis osob) a minimální dobu trvání výstavy (2 měsíce).</w:t>
      </w:r>
    </w:p>
    <w:p w:rsidR="00EA1F75" w:rsidRPr="00DC17B4" w:rsidRDefault="00EA1F75" w:rsidP="00A3770F">
      <w:pPr>
        <w:numPr>
          <w:ilvl w:val="0"/>
          <w:numId w:val="24"/>
        </w:numPr>
        <w:tabs>
          <w:tab w:val="clear" w:pos="720"/>
        </w:tabs>
        <w:rPr>
          <w:color w:val="000000"/>
          <w:shd w:val="clear" w:color="auto" w:fill="FFFFFF"/>
        </w:rPr>
      </w:pPr>
      <w:r w:rsidRPr="00060AC3">
        <w:rPr>
          <w:b/>
          <w:color w:val="000000"/>
          <w:shd w:val="clear" w:color="auto" w:fill="FFFFFF"/>
        </w:rPr>
        <w:t>N</w:t>
      </w:r>
      <w:r w:rsidRPr="00DC17B4">
        <w:rPr>
          <w:color w:val="000000"/>
          <w:shd w:val="clear" w:color="auto" w:fill="FFFFFF"/>
        </w:rPr>
        <w:t xml:space="preserve"> - metodika schválená </w:t>
      </w:r>
      <w:r>
        <w:rPr>
          <w:color w:val="000000"/>
          <w:shd w:val="clear" w:color="auto" w:fill="FFFFFF"/>
        </w:rPr>
        <w:t xml:space="preserve">MK jako </w:t>
      </w:r>
      <w:r w:rsidRPr="00DC17B4">
        <w:rPr>
          <w:color w:val="000000"/>
          <w:shd w:val="clear" w:color="auto" w:fill="FFFFFF"/>
        </w:rPr>
        <w:t>kompetenčně příslušným orgánem (</w:t>
      </w:r>
      <w:r w:rsidRPr="00060AC3">
        <w:rPr>
          <w:b/>
          <w:color w:val="000000"/>
          <w:shd w:val="clear" w:color="auto" w:fill="FFFFFF"/>
        </w:rPr>
        <w:t>NmetS</w:t>
      </w:r>
      <w:r w:rsidRPr="00DC17B4">
        <w:rPr>
          <w:color w:val="000000"/>
          <w:shd w:val="clear" w:color="auto" w:fill="FFFFFF"/>
        </w:rPr>
        <w:t>)</w:t>
      </w:r>
      <w:r>
        <w:rPr>
          <w:color w:val="000000"/>
          <w:shd w:val="clear" w:color="auto" w:fill="FFFFFF"/>
        </w:rPr>
        <w:t>, metodika certifikovaná oprávněným orgánem (</w:t>
      </w:r>
      <w:r w:rsidRPr="00060AC3">
        <w:rPr>
          <w:b/>
          <w:color w:val="000000"/>
          <w:shd w:val="clear" w:color="auto" w:fill="FFFFFF"/>
        </w:rPr>
        <w:t>NmetC</w:t>
      </w:r>
      <w:r>
        <w:rPr>
          <w:color w:val="000000"/>
          <w:shd w:val="clear" w:color="auto" w:fill="FFFFFF"/>
        </w:rPr>
        <w:t>)</w:t>
      </w:r>
      <w:r w:rsidRPr="00C75174">
        <w:rPr>
          <w:color w:val="000000"/>
          <w:shd w:val="clear" w:color="auto" w:fill="FFFFFF"/>
        </w:rPr>
        <w:t xml:space="preserve"> </w:t>
      </w:r>
      <w:r>
        <w:rPr>
          <w:color w:val="000000"/>
          <w:shd w:val="clear" w:color="auto" w:fill="FFFFFF"/>
        </w:rPr>
        <w:t>s jeho závazným uvedením v přihlášce projektu</w:t>
      </w:r>
      <w:r w:rsidRPr="00DC17B4">
        <w:rPr>
          <w:color w:val="000000"/>
          <w:shd w:val="clear" w:color="auto" w:fill="FFFFFF"/>
        </w:rPr>
        <w:t>, památkový postup (</w:t>
      </w:r>
      <w:r w:rsidRPr="00060AC3">
        <w:rPr>
          <w:b/>
          <w:color w:val="000000"/>
          <w:shd w:val="clear" w:color="auto" w:fill="FFFFFF"/>
        </w:rPr>
        <w:t>Npam</w:t>
      </w:r>
      <w:r w:rsidRPr="00DC17B4">
        <w:rPr>
          <w:color w:val="000000"/>
          <w:shd w:val="clear" w:color="auto" w:fill="FFFFFF"/>
        </w:rPr>
        <w:t>)</w:t>
      </w:r>
    </w:p>
    <w:p w:rsidR="00EA1F75" w:rsidRDefault="00EA1F75" w:rsidP="00C778DC">
      <w:pPr>
        <w:ind w:left="720"/>
        <w:rPr>
          <w:color w:val="000000"/>
          <w:shd w:val="clear" w:color="auto" w:fill="FFFFFF"/>
        </w:rPr>
      </w:pPr>
      <w:r>
        <w:rPr>
          <w:color w:val="000000"/>
          <w:shd w:val="clear" w:color="auto" w:fill="FFFFFF"/>
        </w:rPr>
        <w:t xml:space="preserve">U těchto druhů výsledků příjemce při jejich schvalování bude dokládat splnění podmínek vymezených </w:t>
      </w:r>
      <w:r w:rsidRPr="009C675D">
        <w:rPr>
          <w:color w:val="000000"/>
          <w:shd w:val="clear" w:color="auto" w:fill="FFFFFF"/>
        </w:rPr>
        <w:t>platn</w:t>
      </w:r>
      <w:r>
        <w:rPr>
          <w:color w:val="000000"/>
          <w:shd w:val="clear" w:color="auto" w:fill="FFFFFF"/>
        </w:rPr>
        <w:t>ým</w:t>
      </w:r>
      <w:r w:rsidRPr="009C675D">
        <w:rPr>
          <w:color w:val="000000"/>
          <w:shd w:val="clear" w:color="auto" w:fill="FFFFFF"/>
        </w:rPr>
        <w:t xml:space="preserve"> znění</w:t>
      </w:r>
      <w:r>
        <w:rPr>
          <w:color w:val="000000"/>
          <w:shd w:val="clear" w:color="auto" w:fill="FFFFFF"/>
        </w:rPr>
        <w:t>m</w:t>
      </w:r>
      <w:r w:rsidRPr="009C675D">
        <w:rPr>
          <w:color w:val="000000"/>
          <w:shd w:val="clear" w:color="auto" w:fill="FFFFFF"/>
        </w:rPr>
        <w:t xml:space="preserve"> </w:t>
      </w:r>
      <w:hyperlink r:id="rId14" w:history="1">
        <w:r w:rsidRPr="007614AF">
          <w:rPr>
            <w:rStyle w:val="Hypertextovodkaz"/>
            <w:shd w:val="clear" w:color="auto" w:fill="FFFFFF"/>
          </w:rPr>
          <w:t>Definic druhů výsledků</w:t>
        </w:r>
      </w:hyperlink>
      <w:r>
        <w:rPr>
          <w:color w:val="000000"/>
          <w:shd w:val="clear" w:color="auto" w:fill="FFFFFF"/>
        </w:rPr>
        <w:t xml:space="preserve"> podrobněji - podle </w:t>
      </w:r>
      <w:r w:rsidRPr="009C675D">
        <w:rPr>
          <w:color w:val="000000"/>
          <w:shd w:val="clear" w:color="auto" w:fill="FFFFFF"/>
        </w:rPr>
        <w:t xml:space="preserve">platného znění </w:t>
      </w:r>
      <w:hyperlink r:id="rId15" w:history="1">
        <w:r w:rsidRPr="006154AA">
          <w:rPr>
            <w:rStyle w:val="Hypertextovodkaz"/>
            <w:shd w:val="clear" w:color="auto" w:fill="FFFFFF"/>
          </w:rPr>
          <w:t>Příkazu ministra kultury č. 21/2018</w:t>
        </w:r>
      </w:hyperlink>
      <w:r>
        <w:rPr>
          <w:color w:val="000000"/>
          <w:shd w:val="clear" w:color="auto" w:fill="FFFFFF"/>
        </w:rPr>
        <w:t>, zejm. Předkládací zprávou s uvedením dalších podrobnějších informací (např. odůvodnění novosti postupů, citacemi použité literatury podrobnou specifikací uživatelů výsledku a sledování jeho uplatnění v praxi</w:t>
      </w:r>
      <w:r>
        <w:rPr>
          <w:rStyle w:val="Odkaznavysvtlivky"/>
          <w:color w:val="000000"/>
          <w:shd w:val="clear" w:color="auto" w:fill="FFFFFF"/>
        </w:rPr>
        <w:endnoteReference w:id="6"/>
      </w:r>
      <w:r>
        <w:rPr>
          <w:color w:val="000000"/>
          <w:shd w:val="clear" w:color="auto" w:fill="FFFFFF"/>
        </w:rPr>
        <w:t xml:space="preserve"> apod.). Hlavním důvodem potřebnosti dalších informací o výsledku je posouzení míry novosti schvalovaného výsledku a jeho využití v praxi. NmetC bude poskytovatel uznávat jen v případě, že neexistuje kompetenčně příslušný orgán a že uchazeč již v přihlášce projektu závazně uvede oprávněný orgán tak, aby bylo možné před poskytnutím podpory zhodnotit, zda je daný orgán relevantní k certifikaci daného výsledku.</w:t>
      </w:r>
    </w:p>
    <w:p w:rsidR="00EA1F75" w:rsidRDefault="00EA1F75" w:rsidP="0055510B">
      <w:pPr>
        <w:numPr>
          <w:ilvl w:val="0"/>
          <w:numId w:val="24"/>
        </w:numPr>
        <w:tabs>
          <w:tab w:val="clear" w:pos="720"/>
        </w:tabs>
        <w:rPr>
          <w:color w:val="000000"/>
          <w:shd w:val="clear" w:color="auto" w:fill="FFFFFF"/>
        </w:rPr>
      </w:pPr>
      <w:r>
        <w:rPr>
          <w:b/>
          <w:color w:val="000000"/>
          <w:shd w:val="clear" w:color="auto" w:fill="FFFFFF"/>
        </w:rPr>
        <w:t>R</w:t>
      </w:r>
      <w:r>
        <w:rPr>
          <w:color w:val="000000"/>
          <w:shd w:val="clear" w:color="auto" w:fill="FFFFFF"/>
        </w:rPr>
        <w:t xml:space="preserve"> - software</w:t>
      </w:r>
    </w:p>
    <w:p w:rsidR="00EA1F75" w:rsidRDefault="00EA1F75" w:rsidP="0055510B">
      <w:pPr>
        <w:ind w:left="709"/>
        <w:rPr>
          <w:color w:val="000000"/>
          <w:shd w:val="clear" w:color="auto" w:fill="FFFFFF"/>
        </w:rPr>
      </w:pPr>
      <w:r>
        <w:rPr>
          <w:color w:val="000000"/>
          <w:shd w:val="clear" w:color="auto" w:fill="FFFFFF"/>
        </w:rPr>
        <w:t>Tento druh výsledku bude povinně oponován z hlediska nejnovějšího vývoje informačních technologií tak, aby bylo možné posouzení míry novosti schvalovaného výsledku při velmi rychlém rozvoji oboru (řada programů a utilit, které nejsou v době podání návrhu projektu dostupné, je již v době řešení projektu resp. vývoje software běžně dostupných).</w:t>
      </w:r>
    </w:p>
    <w:p w:rsidR="00EA1F75" w:rsidRDefault="00EA1F75" w:rsidP="001C001A">
      <w:pPr>
        <w:rPr>
          <w:color w:val="000000"/>
          <w:shd w:val="clear" w:color="auto" w:fill="FFFFFF"/>
        </w:rPr>
      </w:pPr>
    </w:p>
    <w:p w:rsidR="00EA1F75" w:rsidRPr="002945C1" w:rsidRDefault="00EA1F75" w:rsidP="000F32BA">
      <w:pPr>
        <w:ind w:left="360" w:hanging="360"/>
        <w:rPr>
          <w:color w:val="000000"/>
          <w:u w:val="single"/>
          <w:shd w:val="clear" w:color="auto" w:fill="FFFFFF"/>
        </w:rPr>
      </w:pPr>
      <w:r w:rsidRPr="002945C1">
        <w:rPr>
          <w:color w:val="000000"/>
          <w:u w:val="single"/>
          <w:shd w:val="clear" w:color="auto" w:fill="FFFFFF"/>
        </w:rPr>
        <w:t>C)</w:t>
      </w:r>
      <w:r w:rsidRPr="002945C1">
        <w:rPr>
          <w:color w:val="000000"/>
          <w:u w:val="single"/>
          <w:shd w:val="clear" w:color="auto" w:fill="FFFFFF"/>
        </w:rPr>
        <w:tab/>
        <w:t xml:space="preserve">Specifické </w:t>
      </w:r>
      <w:r>
        <w:rPr>
          <w:color w:val="000000"/>
          <w:u w:val="single"/>
          <w:shd w:val="clear" w:color="auto" w:fill="FFFFFF"/>
        </w:rPr>
        <w:t xml:space="preserve">hlavní </w:t>
      </w:r>
      <w:r w:rsidRPr="002945C1">
        <w:rPr>
          <w:color w:val="000000"/>
          <w:u w:val="single"/>
          <w:shd w:val="clear" w:color="auto" w:fill="FFFFFF"/>
        </w:rPr>
        <w:t>výsledky Programu</w:t>
      </w:r>
    </w:p>
    <w:p w:rsidR="00EA1F75" w:rsidRDefault="00EA1F75" w:rsidP="0046023D">
      <w:pPr>
        <w:numPr>
          <w:ilvl w:val="0"/>
          <w:numId w:val="24"/>
        </w:numPr>
        <w:tabs>
          <w:tab w:val="clear" w:pos="720"/>
        </w:tabs>
        <w:rPr>
          <w:color w:val="000000"/>
          <w:shd w:val="clear" w:color="auto" w:fill="FFFFFF"/>
        </w:rPr>
      </w:pPr>
      <w:proofErr w:type="spellStart"/>
      <w:r w:rsidRPr="00C75174">
        <w:rPr>
          <w:b/>
          <w:color w:val="000000"/>
          <w:shd w:val="clear" w:color="auto" w:fill="FFFFFF"/>
        </w:rPr>
        <w:t>Nimap</w:t>
      </w:r>
      <w:proofErr w:type="spellEnd"/>
      <w:r>
        <w:rPr>
          <w:color w:val="000000"/>
          <w:shd w:val="clear" w:color="auto" w:fill="FFFFFF"/>
        </w:rPr>
        <w:t xml:space="preserve"> – interaktivní specializovaná mapa s odborným obsahem, kde jsou všechny vrstvy a jejich vazby včetně komentářů k nim znázorněny na interaktivní a veřejně přístupné web stránce, schválená MK postupem podle platného znění </w:t>
      </w:r>
      <w:hyperlink r:id="rId16" w:history="1">
        <w:r w:rsidRPr="006154AA">
          <w:rPr>
            <w:rStyle w:val="Hypertextovodkaz"/>
            <w:shd w:val="clear" w:color="auto" w:fill="FFFFFF"/>
          </w:rPr>
          <w:t>Příkazu ministra kultury č. 21/2018</w:t>
        </w:r>
      </w:hyperlink>
      <w:r>
        <w:rPr>
          <w:color w:val="000000"/>
          <w:shd w:val="clear" w:color="auto" w:fill="FFFFFF"/>
        </w:rPr>
        <w:t>. Mapy zpracované stejnou metodikou, které se liší jen územním vymezením nebo zobrazovanými subjekty, budou považovány za listy jedné mapy.</w:t>
      </w:r>
    </w:p>
    <w:p w:rsidR="00EA1F75" w:rsidRDefault="00EA1F75" w:rsidP="0046023D">
      <w:pPr>
        <w:ind w:left="720"/>
        <w:rPr>
          <w:color w:val="000000"/>
          <w:shd w:val="clear" w:color="auto" w:fill="FFFFFF"/>
        </w:rPr>
      </w:pPr>
      <w:r>
        <w:rPr>
          <w:color w:val="000000"/>
          <w:shd w:val="clear" w:color="auto" w:fill="FFFFFF"/>
        </w:rPr>
        <w:t xml:space="preserve">Prvním důvodem pro zavedení specifického výsledku Programu je omezení definice tohoto druhu výsledku pouze na interaktivní veřejně přístupné specializované mapy s odborným </w:t>
      </w:r>
      <w:r>
        <w:rPr>
          <w:color w:val="000000"/>
          <w:shd w:val="clear" w:color="auto" w:fill="FFFFFF"/>
        </w:rPr>
        <w:lastRenderedPageBreak/>
        <w:t>obsahem, které prezentují všechny vazby jednotlivých vrstev a komentáře k nim (tj. nebudou schvalovány mapy ve formě pdf). V jiných oblastech může mít zveřejnění mapy ve formě pdf smysl, ale v oblasti národní a kulturní identity je již kontraproduktivní (již nyní je většina Nmap zpracována jako interaktivní veřejně přístupné mapy), zejm. z hlediska jejich využití v praxi. Druhým důvodem je snaha zamezit fragmentaci výsledků, kde dochází k účelovému dělení map podle čím dál tím menších územních celků nebo zobrazovaných subjektů.</w:t>
      </w:r>
    </w:p>
    <w:p w:rsidR="00EA1F75" w:rsidRPr="00DC17B4" w:rsidRDefault="00EA1F75" w:rsidP="0046023D">
      <w:pPr>
        <w:ind w:left="720"/>
        <w:rPr>
          <w:color w:val="000000"/>
          <w:shd w:val="clear" w:color="auto" w:fill="FFFFFF"/>
        </w:rPr>
      </w:pPr>
    </w:p>
    <w:p w:rsidR="00EA1F75" w:rsidRDefault="00EA1F75" w:rsidP="00C75174">
      <w:pPr>
        <w:numPr>
          <w:ilvl w:val="0"/>
          <w:numId w:val="24"/>
        </w:numPr>
        <w:tabs>
          <w:tab w:val="clear" w:pos="720"/>
        </w:tabs>
        <w:rPr>
          <w:color w:val="000000"/>
          <w:shd w:val="clear" w:color="auto" w:fill="FFFFFF"/>
        </w:rPr>
      </w:pPr>
      <w:r w:rsidRPr="00C75174">
        <w:rPr>
          <w:b/>
          <w:color w:val="000000"/>
          <w:shd w:val="clear" w:color="auto" w:fill="FFFFFF"/>
        </w:rPr>
        <w:t>A</w:t>
      </w:r>
      <w:r>
        <w:rPr>
          <w:b/>
          <w:color w:val="000000"/>
          <w:shd w:val="clear" w:color="auto" w:fill="FFFFFF"/>
        </w:rPr>
        <w:t>odb</w:t>
      </w:r>
      <w:r>
        <w:rPr>
          <w:color w:val="000000"/>
          <w:shd w:val="clear" w:color="auto" w:fill="FFFFFF"/>
        </w:rPr>
        <w:t xml:space="preserve"> – audiovizuální tvorba v souladu s </w:t>
      </w:r>
      <w:r w:rsidRPr="009C675D">
        <w:rPr>
          <w:color w:val="000000"/>
          <w:shd w:val="clear" w:color="auto" w:fill="FFFFFF"/>
        </w:rPr>
        <w:t>platn</w:t>
      </w:r>
      <w:r>
        <w:rPr>
          <w:color w:val="000000"/>
          <w:shd w:val="clear" w:color="auto" w:fill="FFFFFF"/>
        </w:rPr>
        <w:t>ým</w:t>
      </w:r>
      <w:r w:rsidRPr="009C675D">
        <w:rPr>
          <w:color w:val="000000"/>
          <w:shd w:val="clear" w:color="auto" w:fill="FFFFFF"/>
        </w:rPr>
        <w:t xml:space="preserve"> znění</w:t>
      </w:r>
      <w:r>
        <w:rPr>
          <w:color w:val="000000"/>
          <w:shd w:val="clear" w:color="auto" w:fill="FFFFFF"/>
        </w:rPr>
        <w:t>m</w:t>
      </w:r>
      <w:r w:rsidRPr="009C675D">
        <w:rPr>
          <w:color w:val="000000"/>
          <w:shd w:val="clear" w:color="auto" w:fill="FFFFFF"/>
        </w:rPr>
        <w:t xml:space="preserve"> </w:t>
      </w:r>
      <w:hyperlink r:id="rId17" w:history="1">
        <w:r w:rsidRPr="007614AF">
          <w:rPr>
            <w:rStyle w:val="Hypertextovodkaz"/>
            <w:shd w:val="clear" w:color="auto" w:fill="FFFFFF"/>
          </w:rPr>
          <w:t>Definic druhů výsledků</w:t>
        </w:r>
      </w:hyperlink>
      <w:r>
        <w:rPr>
          <w:color w:val="000000"/>
          <w:shd w:val="clear" w:color="auto" w:fill="FFFFFF"/>
        </w:rPr>
        <w:t xml:space="preserve">, kde podmínkou je </w:t>
      </w:r>
      <w:r w:rsidRPr="00B80FD0">
        <w:rPr>
          <w:color w:val="000000"/>
          <w:shd w:val="clear" w:color="auto" w:fill="FFFFFF"/>
        </w:rPr>
        <w:t>publikace</w:t>
      </w:r>
      <w:r>
        <w:rPr>
          <w:color w:val="000000"/>
          <w:shd w:val="clear" w:color="auto" w:fill="FFFFFF"/>
        </w:rPr>
        <w:t xml:space="preserve"> odborného scénáře</w:t>
      </w:r>
      <w:r w:rsidRPr="00B80FD0">
        <w:rPr>
          <w:color w:val="000000"/>
          <w:shd w:val="clear" w:color="auto" w:fill="FFFFFF"/>
        </w:rPr>
        <w:t>, který splňuje všechny náležitosti pro druh výsledku odborná kniha</w:t>
      </w:r>
      <w:r>
        <w:rPr>
          <w:color w:val="000000"/>
          <w:shd w:val="clear" w:color="auto" w:fill="FFFFFF"/>
        </w:rPr>
        <w:t>. Tento druh výsledku bude hodnocen ve třech etapách:</w:t>
      </w:r>
    </w:p>
    <w:p w:rsidR="00EA1F75" w:rsidRDefault="00EA1F75" w:rsidP="001309D4">
      <w:pPr>
        <w:ind w:left="993" w:hanging="284"/>
        <w:rPr>
          <w:color w:val="000000"/>
          <w:shd w:val="clear" w:color="auto" w:fill="FFFFFF"/>
        </w:rPr>
      </w:pPr>
      <w:r>
        <w:rPr>
          <w:color w:val="000000"/>
          <w:shd w:val="clear" w:color="auto" w:fill="FFFFFF"/>
        </w:rPr>
        <w:t>1.</w:t>
      </w:r>
      <w:r>
        <w:rPr>
          <w:color w:val="000000"/>
          <w:shd w:val="clear" w:color="auto" w:fill="FFFFFF"/>
        </w:rPr>
        <w:tab/>
        <w:t>v návrhu projektu uchazeč podrobně specifikuje jak výzkumné zaměření výsledku, tak pro jakou platformu bude určen (TV dokument, web apod.) a celkový rozpočet pro tento druh výsledku,</w:t>
      </w:r>
    </w:p>
    <w:p w:rsidR="00EA1F75" w:rsidRDefault="00EA1F75" w:rsidP="001309D4">
      <w:pPr>
        <w:ind w:left="993" w:hanging="284"/>
        <w:rPr>
          <w:color w:val="000000"/>
          <w:shd w:val="clear" w:color="auto" w:fill="FFFFFF"/>
        </w:rPr>
      </w:pPr>
      <w:r>
        <w:rPr>
          <w:color w:val="000000"/>
          <w:shd w:val="clear" w:color="auto" w:fill="FFFFFF"/>
        </w:rPr>
        <w:t>2.</w:t>
      </w:r>
      <w:r>
        <w:rPr>
          <w:color w:val="000000"/>
          <w:shd w:val="clear" w:color="auto" w:fill="FFFFFF"/>
        </w:rPr>
        <w:tab/>
        <w:t>v průběhu řešení příjemce předloží odborný scénář splňující</w:t>
      </w:r>
      <w:r w:rsidRPr="00B80FD0">
        <w:rPr>
          <w:color w:val="000000"/>
          <w:shd w:val="clear" w:color="auto" w:fill="FFFFFF"/>
        </w:rPr>
        <w:t xml:space="preserve"> všechny náležitosti pro druh výsledku odborná kniha</w:t>
      </w:r>
      <w:r>
        <w:rPr>
          <w:color w:val="000000"/>
          <w:shd w:val="clear" w:color="auto" w:fill="FFFFFF"/>
        </w:rPr>
        <w:t>, který bude oponován jak po výzkumné stránce, tak z mediálního hlediska, a dále podrobný rozpočet pro realizaci/natáčení audiovizuálního projektu v rámci platných uznaných nákladů projektu včetně doložení vyřešených autorských aj. práv,</w:t>
      </w:r>
    </w:p>
    <w:p w:rsidR="00EA1F75" w:rsidRDefault="00EA1F75" w:rsidP="001309D4">
      <w:pPr>
        <w:ind w:left="993" w:hanging="284"/>
        <w:rPr>
          <w:color w:val="000000"/>
          <w:shd w:val="clear" w:color="auto" w:fill="FFFFFF"/>
        </w:rPr>
      </w:pPr>
      <w:r>
        <w:rPr>
          <w:color w:val="000000"/>
          <w:shd w:val="clear" w:color="auto" w:fill="FFFFFF"/>
        </w:rPr>
        <w:t>3.</w:t>
      </w:r>
      <w:r>
        <w:rPr>
          <w:color w:val="000000"/>
          <w:shd w:val="clear" w:color="auto" w:fill="FFFFFF"/>
        </w:rPr>
        <w:tab/>
        <w:t>po schválení odborného scénáře bude výsledek Aodb realizován/natočen a standardním způsobem hodnocen.</w:t>
      </w:r>
    </w:p>
    <w:p w:rsidR="00EA1F75" w:rsidRPr="00C75174" w:rsidRDefault="00EA1F75" w:rsidP="00B80FD0">
      <w:pPr>
        <w:rPr>
          <w:color w:val="000000"/>
          <w:shd w:val="clear" w:color="auto" w:fill="FFFFFF"/>
        </w:rPr>
      </w:pPr>
      <w:r>
        <w:rPr>
          <w:color w:val="000000"/>
          <w:shd w:val="clear" w:color="auto" w:fill="FFFFFF"/>
        </w:rPr>
        <w:t xml:space="preserve">Důvodem pro zavedení specifického výsledku Programu je propojení odborné stránky s uplatněním výsledků v praxi obdobnou formou, která se již osvědčila u </w:t>
      </w:r>
      <w:r w:rsidRPr="00B606F9">
        <w:rPr>
          <w:color w:val="000000"/>
          <w:shd w:val="clear" w:color="auto" w:fill="FFFFFF"/>
        </w:rPr>
        <w:t>Ekrit</w:t>
      </w:r>
      <w:r w:rsidRPr="00DC17B4">
        <w:rPr>
          <w:color w:val="000000"/>
          <w:shd w:val="clear" w:color="auto" w:fill="FFFFFF"/>
        </w:rPr>
        <w:t xml:space="preserve"> - uspořádání výstavy s kritickým katalogem</w:t>
      </w:r>
      <w:r>
        <w:rPr>
          <w:color w:val="000000"/>
          <w:shd w:val="clear" w:color="auto" w:fill="FFFFFF"/>
        </w:rPr>
        <w:t xml:space="preserve">. Audiovizuální tvorba, zejména filmy, mají značný celospolečenský dopad a mohou výrazně přispět k naplnění cílů Programu. Současně ale jako hlavní výsledek Programu nemohou být jen tvůrčím uměleckým výtvorem, ale musí vycházet z vědecky ověřených poznatků, zpracovanými formou odborného scénáře, hodnoceného jako odborná kniha se všemi náležitostmi stanovenými </w:t>
      </w:r>
      <w:hyperlink r:id="rId18" w:history="1">
        <w:r w:rsidRPr="007614AF">
          <w:rPr>
            <w:rStyle w:val="Hypertextovodkaz"/>
            <w:shd w:val="clear" w:color="auto" w:fill="FFFFFF"/>
          </w:rPr>
          <w:t>Definic</w:t>
        </w:r>
        <w:r>
          <w:rPr>
            <w:rStyle w:val="Hypertextovodkaz"/>
            <w:shd w:val="clear" w:color="auto" w:fill="FFFFFF"/>
          </w:rPr>
          <w:t>emi</w:t>
        </w:r>
        <w:r w:rsidRPr="007614AF">
          <w:rPr>
            <w:rStyle w:val="Hypertextovodkaz"/>
            <w:shd w:val="clear" w:color="auto" w:fill="FFFFFF"/>
          </w:rPr>
          <w:t xml:space="preserve"> druhů výsledků</w:t>
        </w:r>
      </w:hyperlink>
      <w:r>
        <w:rPr>
          <w:rStyle w:val="Odkaznavysvtlivky"/>
          <w:color w:val="000000"/>
          <w:shd w:val="clear" w:color="auto" w:fill="FFFFFF"/>
        </w:rPr>
        <w:endnoteReference w:id="7"/>
      </w:r>
      <w:r>
        <w:rPr>
          <w:color w:val="000000"/>
          <w:shd w:val="clear" w:color="auto" w:fill="FFFFFF"/>
        </w:rPr>
        <w:t>.</w:t>
      </w:r>
    </w:p>
    <w:p w:rsidR="00EA1F75" w:rsidRPr="00DC17B4" w:rsidRDefault="00EA1F75" w:rsidP="009C675D">
      <w:pPr>
        <w:spacing w:before="240"/>
        <w:rPr>
          <w:color w:val="000000"/>
          <w:shd w:val="clear" w:color="auto" w:fill="FFFFFF"/>
        </w:rPr>
      </w:pPr>
      <w:r w:rsidRPr="00383881">
        <w:rPr>
          <w:b/>
          <w:color w:val="000000"/>
          <w:shd w:val="clear" w:color="auto" w:fill="FFFFFF"/>
        </w:rPr>
        <w:t>Vedlejšími (nepovinnými) výsledky projektů</w:t>
      </w:r>
      <w:r w:rsidRPr="00DC17B4">
        <w:rPr>
          <w:color w:val="000000"/>
          <w:shd w:val="clear" w:color="auto" w:fill="FFFFFF"/>
        </w:rPr>
        <w:t xml:space="preserve"> budou</w:t>
      </w:r>
      <w:r>
        <w:rPr>
          <w:color w:val="000000"/>
          <w:shd w:val="clear" w:color="auto" w:fill="FFFFFF"/>
        </w:rPr>
        <w:t xml:space="preserve"> následující druhy výsledků vymezené </w:t>
      </w:r>
      <w:r w:rsidRPr="009C675D">
        <w:rPr>
          <w:color w:val="000000"/>
          <w:shd w:val="clear" w:color="auto" w:fill="FFFFFF"/>
        </w:rPr>
        <w:t>platn</w:t>
      </w:r>
      <w:r>
        <w:rPr>
          <w:color w:val="000000"/>
          <w:shd w:val="clear" w:color="auto" w:fill="FFFFFF"/>
        </w:rPr>
        <w:t>ým</w:t>
      </w:r>
      <w:r w:rsidRPr="009C675D">
        <w:rPr>
          <w:color w:val="000000"/>
          <w:shd w:val="clear" w:color="auto" w:fill="FFFFFF"/>
        </w:rPr>
        <w:t xml:space="preserve"> znění</w:t>
      </w:r>
      <w:r>
        <w:rPr>
          <w:color w:val="000000"/>
          <w:shd w:val="clear" w:color="auto" w:fill="FFFFFF"/>
        </w:rPr>
        <w:t>m</w:t>
      </w:r>
      <w:r w:rsidRPr="009C675D">
        <w:rPr>
          <w:color w:val="000000"/>
          <w:shd w:val="clear" w:color="auto" w:fill="FFFFFF"/>
        </w:rPr>
        <w:t xml:space="preserve"> </w:t>
      </w:r>
      <w:hyperlink r:id="rId19" w:history="1">
        <w:r w:rsidRPr="007614AF">
          <w:rPr>
            <w:rStyle w:val="Hypertextovodkaz"/>
            <w:shd w:val="clear" w:color="auto" w:fill="FFFFFF"/>
          </w:rPr>
          <w:t>Definic druhů výsledků</w:t>
        </w:r>
      </w:hyperlink>
      <w:r w:rsidRPr="00DC17B4">
        <w:rPr>
          <w:color w:val="000000"/>
          <w:shd w:val="clear" w:color="auto" w:fill="FFFFFF"/>
        </w:rPr>
        <w:t>:</w:t>
      </w:r>
    </w:p>
    <w:p w:rsidR="00EA1F75" w:rsidRPr="009C675D" w:rsidRDefault="00EA1F75" w:rsidP="009C675D">
      <w:pPr>
        <w:numPr>
          <w:ilvl w:val="0"/>
          <w:numId w:val="25"/>
        </w:numPr>
        <w:tabs>
          <w:tab w:val="clear" w:pos="720"/>
        </w:tabs>
        <w:ind w:left="360"/>
        <w:rPr>
          <w:color w:val="000000"/>
          <w:shd w:val="clear" w:color="auto" w:fill="FFFFFF"/>
        </w:rPr>
      </w:pPr>
      <w:r w:rsidRPr="001B7466">
        <w:rPr>
          <w:b/>
          <w:color w:val="000000"/>
          <w:shd w:val="clear" w:color="auto" w:fill="FFFFFF"/>
        </w:rPr>
        <w:t>B</w:t>
      </w:r>
      <w:r w:rsidRPr="009C675D">
        <w:rPr>
          <w:color w:val="000000"/>
          <w:shd w:val="clear" w:color="auto" w:fill="FFFFFF"/>
        </w:rPr>
        <w:t xml:space="preserve"> - odborná kniha</w:t>
      </w:r>
    </w:p>
    <w:p w:rsidR="00EA1F75" w:rsidRPr="009C675D" w:rsidRDefault="00EA1F75" w:rsidP="009C675D">
      <w:pPr>
        <w:numPr>
          <w:ilvl w:val="0"/>
          <w:numId w:val="25"/>
        </w:numPr>
        <w:tabs>
          <w:tab w:val="clear" w:pos="720"/>
        </w:tabs>
        <w:ind w:left="360"/>
        <w:rPr>
          <w:color w:val="000000"/>
          <w:shd w:val="clear" w:color="auto" w:fill="FFFFFF"/>
        </w:rPr>
      </w:pPr>
      <w:r w:rsidRPr="001B7466">
        <w:rPr>
          <w:b/>
          <w:color w:val="000000"/>
          <w:shd w:val="clear" w:color="auto" w:fill="FFFFFF"/>
        </w:rPr>
        <w:t>C</w:t>
      </w:r>
      <w:r w:rsidRPr="009C675D">
        <w:rPr>
          <w:color w:val="000000"/>
          <w:shd w:val="clear" w:color="auto" w:fill="FFFFFF"/>
        </w:rPr>
        <w:t xml:space="preserve"> - kapitola v odborné knize</w:t>
      </w:r>
    </w:p>
    <w:p w:rsidR="00EA1F75" w:rsidRPr="009C675D" w:rsidRDefault="00EA1F75" w:rsidP="009C675D">
      <w:pPr>
        <w:numPr>
          <w:ilvl w:val="0"/>
          <w:numId w:val="25"/>
        </w:numPr>
        <w:tabs>
          <w:tab w:val="clear" w:pos="720"/>
        </w:tabs>
        <w:ind w:left="360"/>
        <w:rPr>
          <w:color w:val="000000"/>
          <w:shd w:val="clear" w:color="auto" w:fill="FFFFFF"/>
        </w:rPr>
      </w:pPr>
      <w:r w:rsidRPr="001B7466">
        <w:rPr>
          <w:b/>
          <w:color w:val="000000"/>
          <w:shd w:val="clear" w:color="auto" w:fill="FFFFFF"/>
        </w:rPr>
        <w:t>D</w:t>
      </w:r>
      <w:r w:rsidRPr="009C675D">
        <w:rPr>
          <w:color w:val="000000"/>
          <w:shd w:val="clear" w:color="auto" w:fill="FFFFFF"/>
        </w:rPr>
        <w:t xml:space="preserve"> - </w:t>
      </w:r>
      <w:r>
        <w:rPr>
          <w:color w:val="000000"/>
          <w:shd w:val="clear" w:color="auto" w:fill="FFFFFF"/>
        </w:rPr>
        <w:t>stať</w:t>
      </w:r>
      <w:r w:rsidRPr="009C675D">
        <w:rPr>
          <w:color w:val="000000"/>
          <w:shd w:val="clear" w:color="auto" w:fill="FFFFFF"/>
        </w:rPr>
        <w:t xml:space="preserve"> ve sborníku</w:t>
      </w:r>
      <w:r>
        <w:rPr>
          <w:color w:val="000000"/>
          <w:shd w:val="clear" w:color="auto" w:fill="FFFFFF"/>
        </w:rPr>
        <w:t xml:space="preserve"> evidovaný v databázích </w:t>
      </w:r>
      <w:proofErr w:type="spellStart"/>
      <w:r>
        <w:rPr>
          <w:color w:val="000000"/>
          <w:shd w:val="clear" w:color="auto" w:fill="FFFFFF"/>
        </w:rPr>
        <w:t>WoS</w:t>
      </w:r>
      <w:proofErr w:type="spellEnd"/>
      <w:r>
        <w:rPr>
          <w:color w:val="000000"/>
          <w:shd w:val="clear" w:color="auto" w:fill="FFFFFF"/>
        </w:rPr>
        <w:t xml:space="preserve"> nebo SCOPUS v souladu s </w:t>
      </w:r>
      <w:hyperlink r:id="rId20" w:history="1">
        <w:r w:rsidRPr="007614AF">
          <w:rPr>
            <w:rStyle w:val="Hypertextovodkaz"/>
            <w:shd w:val="clear" w:color="auto" w:fill="FFFFFF"/>
          </w:rPr>
          <w:t>Definic</w:t>
        </w:r>
        <w:r>
          <w:rPr>
            <w:rStyle w:val="Hypertextovodkaz"/>
            <w:shd w:val="clear" w:color="auto" w:fill="FFFFFF"/>
          </w:rPr>
          <w:t>emi</w:t>
        </w:r>
        <w:r w:rsidRPr="007614AF">
          <w:rPr>
            <w:rStyle w:val="Hypertextovodkaz"/>
            <w:shd w:val="clear" w:color="auto" w:fill="FFFFFF"/>
          </w:rPr>
          <w:t xml:space="preserve"> druhů výsledků</w:t>
        </w:r>
      </w:hyperlink>
    </w:p>
    <w:p w:rsidR="00EA1F75" w:rsidRPr="009C675D" w:rsidRDefault="00EA1F75" w:rsidP="009C675D">
      <w:pPr>
        <w:numPr>
          <w:ilvl w:val="0"/>
          <w:numId w:val="25"/>
        </w:numPr>
        <w:tabs>
          <w:tab w:val="clear" w:pos="720"/>
        </w:tabs>
        <w:ind w:left="360"/>
        <w:rPr>
          <w:color w:val="000000"/>
          <w:shd w:val="clear" w:color="auto" w:fill="FFFFFF"/>
        </w:rPr>
      </w:pPr>
      <w:r w:rsidRPr="001B7466">
        <w:rPr>
          <w:b/>
          <w:color w:val="000000"/>
          <w:shd w:val="clear" w:color="auto" w:fill="FFFFFF"/>
        </w:rPr>
        <w:t>J</w:t>
      </w:r>
      <w:r w:rsidRPr="009C675D">
        <w:rPr>
          <w:color w:val="000000"/>
          <w:shd w:val="clear" w:color="auto" w:fill="FFFFFF"/>
        </w:rPr>
        <w:t xml:space="preserve"> - recenzovaný odborný článek</w:t>
      </w:r>
    </w:p>
    <w:p w:rsidR="00EA1F75" w:rsidRPr="009C675D" w:rsidRDefault="00EA1F75" w:rsidP="009C675D">
      <w:pPr>
        <w:numPr>
          <w:ilvl w:val="0"/>
          <w:numId w:val="25"/>
        </w:numPr>
        <w:tabs>
          <w:tab w:val="clear" w:pos="720"/>
        </w:tabs>
        <w:ind w:left="360"/>
        <w:rPr>
          <w:color w:val="000000"/>
          <w:shd w:val="clear" w:color="auto" w:fill="FFFFFF"/>
        </w:rPr>
      </w:pPr>
      <w:r w:rsidRPr="001B7466">
        <w:rPr>
          <w:b/>
          <w:color w:val="000000"/>
          <w:shd w:val="clear" w:color="auto" w:fill="FFFFFF"/>
        </w:rPr>
        <w:t>M</w:t>
      </w:r>
      <w:r w:rsidRPr="009C675D">
        <w:rPr>
          <w:color w:val="000000"/>
          <w:shd w:val="clear" w:color="auto" w:fill="FFFFFF"/>
        </w:rPr>
        <w:t xml:space="preserve"> - uspořádání konference</w:t>
      </w:r>
    </w:p>
    <w:p w:rsidR="00EA1F75" w:rsidRDefault="00EA1F75" w:rsidP="009C675D">
      <w:pPr>
        <w:rPr>
          <w:color w:val="000000"/>
          <w:shd w:val="clear" w:color="auto" w:fill="FFFFFF"/>
        </w:rPr>
      </w:pPr>
    </w:p>
    <w:p w:rsidR="00EA1F75" w:rsidRPr="00DC17B4" w:rsidRDefault="00EA1F75" w:rsidP="009C675D">
      <w:pPr>
        <w:rPr>
          <w:color w:val="000000"/>
          <w:shd w:val="clear" w:color="auto" w:fill="FFFFFF"/>
        </w:rPr>
      </w:pPr>
      <w:r w:rsidRPr="00DC17B4">
        <w:rPr>
          <w:color w:val="000000"/>
          <w:shd w:val="clear" w:color="auto" w:fill="FFFFFF"/>
        </w:rPr>
        <w:t xml:space="preserve">Za hlavní výsledek VaV se pro účely tohoto Programu považuje nový výsledek, který byl dosažen výhradně v rámci projektu podpořeného v tomto Programu a v rejstříku informací o výsledcích IS VaVaI bude uplatněn výhradně jako výsledek projektu </w:t>
      </w:r>
      <w:r>
        <w:rPr>
          <w:color w:val="000000"/>
          <w:shd w:val="clear" w:color="auto" w:fill="FFFFFF"/>
        </w:rPr>
        <w:t xml:space="preserve">Programu </w:t>
      </w:r>
      <w:r w:rsidRPr="00DC17B4">
        <w:rPr>
          <w:color w:val="000000"/>
          <w:shd w:val="clear" w:color="auto" w:fill="FFFFFF"/>
        </w:rPr>
        <w:t>včetně dedikace.</w:t>
      </w:r>
    </w:p>
    <w:p w:rsidR="00EA1F75" w:rsidRDefault="00EA1F75" w:rsidP="009C675D">
      <w:pPr>
        <w:rPr>
          <w:color w:val="000000"/>
          <w:shd w:val="clear" w:color="auto" w:fill="FFFFFF"/>
        </w:rPr>
      </w:pPr>
    </w:p>
    <w:p w:rsidR="00EA1F75" w:rsidRDefault="00EA1F75" w:rsidP="009C675D">
      <w:pPr>
        <w:rPr>
          <w:color w:val="000000"/>
          <w:shd w:val="clear" w:color="auto" w:fill="FFFFFF"/>
        </w:rPr>
      </w:pPr>
      <w:r w:rsidRPr="00DC17B4">
        <w:rPr>
          <w:color w:val="000000"/>
          <w:shd w:val="clear" w:color="auto" w:fill="FFFFFF"/>
        </w:rPr>
        <w:lastRenderedPageBreak/>
        <w:t xml:space="preserve">Za vedlejší výsledek VaV se pro účely tohoto Programu považuje nový výsledek, který byl dosažen v rámci projektu podpořeného v tomto Programu a v Rejstříku informací o výsledcích IS VaVaI bude zcela nebo částečně uplatněn jako výsledek projektu </w:t>
      </w:r>
      <w:r>
        <w:rPr>
          <w:color w:val="000000"/>
          <w:shd w:val="clear" w:color="auto" w:fill="FFFFFF"/>
        </w:rPr>
        <w:t xml:space="preserve">Programu </w:t>
      </w:r>
      <w:r w:rsidRPr="00DC17B4">
        <w:rPr>
          <w:color w:val="000000"/>
          <w:shd w:val="clear" w:color="auto" w:fill="FFFFFF"/>
        </w:rPr>
        <w:t>včetně dedikace.</w:t>
      </w:r>
    </w:p>
    <w:p w:rsidR="00EA1F75" w:rsidRDefault="00EA1F75" w:rsidP="009C675D"/>
    <w:p w:rsidR="00EA1F75" w:rsidRPr="0026459C" w:rsidRDefault="00EA1F75" w:rsidP="00B51465">
      <w:pPr>
        <w:pStyle w:val="Nadpis1"/>
      </w:pPr>
      <w:bookmarkStart w:id="19" w:name="_Toc61616879"/>
      <w:bookmarkEnd w:id="17"/>
      <w:bookmarkEnd w:id="18"/>
      <w:r w:rsidRPr="0026459C">
        <w:t>10. Očekávané dopady</w:t>
      </w:r>
      <w:r>
        <w:t xml:space="preserve"> Programu</w:t>
      </w:r>
      <w:bookmarkEnd w:id="19"/>
    </w:p>
    <w:p w:rsidR="00EA1F75" w:rsidRDefault="00EA1F75" w:rsidP="00F44A34">
      <w:r>
        <w:t xml:space="preserve">Každý územní celek (lokální, regionální, státní – národní) s konkrétními podmínkami přírodního prostředí a bohatství, práce a způsobu života lidí v kontinuitě vývoje, fixovaného vědomím příslušnosti jedince k pospolitosti, má svou národní a kulturní identitu jako soubor osobitých znaků a projevů, jimiž se odlišuje od jiných pospolitostí s jinou identitou. Udržení vlastní identity proti světovému trendu postupného stírání specifických znaků vlivem unifikace všech projevů zajišťuje vědomí sounáležitosti jako součásti občanského vybavení, integruje jedince do pospolitosti a reprezentuje ji vůči okolnímu světu. Zánik identity by ohrozil danou skupinu, protože by znamenal zničení vazeb na minulost jako kolektivní paměť </w:t>
      </w:r>
      <w:hyperlink r:id="rId21" w:tooltip="Národ" w:history="1">
        <w:r w:rsidRPr="00F44A34">
          <w:t>národa</w:t>
        </w:r>
      </w:hyperlink>
      <w:r>
        <w:t xml:space="preserve"> a ztrátu významného zdroje odolnosti pospolitosti vystavené vnějším hrozbám i oslabení hybné síly jejího rozvoje. Navíc ztráta kterékoli kulturní identity by byla ochuzením všelidské kultury, představující i významný faktor dalšího rozvoje.</w:t>
      </w:r>
    </w:p>
    <w:p w:rsidR="00EA1F75" w:rsidRDefault="00EA1F75" w:rsidP="004C22D7"/>
    <w:p w:rsidR="00EA1F75" w:rsidRDefault="00EA1F75" w:rsidP="004C22D7">
      <w:r>
        <w:t>Důraz je v Programu kladen na směřování výzkumu k výsledkům podporujícím rozvoj inteligentních specializací ve smyslu RIS3. Česká republika má ohromný potenciál v rozvoji kultivovaného kulturního cestovního ruchu s vysokým přínosem realizovaným na vlastním území s využitím obnovitelných zdrojů, který však je třeba udržovat v odpovídající kondici. Služby navázané na cestovní ruch, založený na kulturním dědictví i na kulturních průmyslech, poskytují příležitosti k zaměstnanosti i v průmyslově málo rozvinutých regionech a přináší významný příspěvek k tvorbě národního důchodu.</w:t>
      </w:r>
    </w:p>
    <w:p w:rsidR="00EA1F75" w:rsidRDefault="00EA1F75" w:rsidP="004C22D7"/>
    <w:p w:rsidR="00EA1F75" w:rsidRDefault="00EA1F75" w:rsidP="004C22D7">
      <w:r>
        <w:t>Aplikovaný výzkum v oblasti záchrany, zachování a ochrany památek přináší mnoho výsledků využitelných při údržbě, opravách i modernizaci stávajícího stavebního fondu. Nově vyvinuté postupy diagnostiky stavu objektů, nové materiály a technologie jsou využitelné pro prodloužení životnosti staveb a významně snižují produkci odpadů. Porozumění tradičním materiálům a technologiím přispívá k renesanci jejich užívání, k recyklaci a budování cyklické ekonomiky. ČR patří k nejvýznamnějším světovým hráčům ve výzkumu, vývoji i získaných znalostech v oboru restaurování a ochrany památek a tato skutečnost je další významnou příležitostí v kulturní diplomacii a při výchově odborníků pro památkovou péči nebo při nápravě škod po přírodních nebo válečných pohromách.</w:t>
      </w:r>
    </w:p>
    <w:p w:rsidR="00EA1F75" w:rsidRDefault="00EA1F75" w:rsidP="004C22D7"/>
    <w:p w:rsidR="00EA1F75" w:rsidRDefault="00EA1F75" w:rsidP="004C22D7">
      <w:r>
        <w:t>V neposlední řadě Program podporuje výzkum, vývoj a inovace národní a kulturní identity s výsledky, které se uplatňují v obtížné oblasti současných a budoucích trendů urbanizace. Koncepce chápe tuto oblast v její společenské složitosti, komplementaritě sídelního i krajinného vývoje a katalytických příležitostech pro iniciaci a podporu spolupráce lokálních/regionálních samospráv s občanskými entitami i ekonomickými partnery, jak ve službách, tak v kulturních průmyslech či v lokalizačních aspektech investic vzhledem k příznivému dopadu dobře prezentovaných hodnot kulturního dědictví na atraktivitu regionu.</w:t>
      </w:r>
    </w:p>
    <w:p w:rsidR="00EA1F75" w:rsidRDefault="00EA1F75" w:rsidP="004C22D7">
      <w:pPr>
        <w:rPr>
          <w:color w:val="000000"/>
          <w:shd w:val="clear" w:color="auto" w:fill="FFFFFF"/>
        </w:rPr>
      </w:pPr>
    </w:p>
    <w:p w:rsidR="00EA1F75" w:rsidRPr="002B061E" w:rsidRDefault="00EA1F75" w:rsidP="004C22D7">
      <w:pPr>
        <w:rPr>
          <w:color w:val="000000"/>
          <w:shd w:val="clear" w:color="auto" w:fill="FFFFFF"/>
        </w:rPr>
      </w:pPr>
      <w:r w:rsidRPr="002B061E">
        <w:rPr>
          <w:color w:val="000000"/>
          <w:shd w:val="clear" w:color="auto" w:fill="FFFFFF"/>
        </w:rPr>
        <w:t>Výzkum v rámci Programu je založen na propojení společenských, humanitních a přírodních věd, technologií, kultury a kulturního dědictví. Naplnění cílů Programu bude mít především tyto očekávané dopady:</w:t>
      </w:r>
    </w:p>
    <w:p w:rsidR="00EA1F75" w:rsidRPr="002B061E" w:rsidRDefault="00EA1F75" w:rsidP="003C5E99">
      <w:pPr>
        <w:numPr>
          <w:ilvl w:val="0"/>
          <w:numId w:val="27"/>
        </w:numPr>
        <w:tabs>
          <w:tab w:val="num" w:pos="360"/>
        </w:tabs>
        <w:rPr>
          <w:color w:val="000000"/>
          <w:shd w:val="clear" w:color="auto" w:fill="FFFFFF"/>
        </w:rPr>
      </w:pPr>
      <w:r w:rsidRPr="002B061E">
        <w:rPr>
          <w:color w:val="000000"/>
          <w:shd w:val="clear" w:color="auto" w:fill="FFFFFF"/>
        </w:rPr>
        <w:t>uchování hmotného i nehmotného kulturního dědictví pro další generace,</w:t>
      </w:r>
    </w:p>
    <w:p w:rsidR="00EA1F75" w:rsidRPr="002B061E" w:rsidRDefault="00EA1F75" w:rsidP="003C5E99">
      <w:pPr>
        <w:numPr>
          <w:ilvl w:val="0"/>
          <w:numId w:val="27"/>
        </w:numPr>
        <w:tabs>
          <w:tab w:val="num" w:pos="360"/>
        </w:tabs>
        <w:rPr>
          <w:color w:val="000000"/>
          <w:shd w:val="clear" w:color="auto" w:fill="FFFFFF"/>
        </w:rPr>
      </w:pPr>
      <w:r w:rsidRPr="002B061E">
        <w:rPr>
          <w:color w:val="000000"/>
          <w:shd w:val="clear" w:color="auto" w:fill="FFFFFF"/>
        </w:rPr>
        <w:t>záchrana a zlepšování hodnot kulturního dědictví</w:t>
      </w:r>
    </w:p>
    <w:p w:rsidR="00EA1F75" w:rsidRPr="002B061E" w:rsidRDefault="00EA1F75" w:rsidP="003C5E99">
      <w:pPr>
        <w:numPr>
          <w:ilvl w:val="0"/>
          <w:numId w:val="27"/>
        </w:numPr>
        <w:tabs>
          <w:tab w:val="num" w:pos="360"/>
        </w:tabs>
        <w:rPr>
          <w:color w:val="000000"/>
          <w:shd w:val="clear" w:color="auto" w:fill="FFFFFF"/>
        </w:rPr>
      </w:pPr>
      <w:r w:rsidRPr="002B061E">
        <w:rPr>
          <w:color w:val="000000"/>
          <w:shd w:val="clear" w:color="auto" w:fill="FFFFFF"/>
        </w:rPr>
        <w:t>zpřístupnění kulturního dědictví široké obci zájemců a uživatelů,</w:t>
      </w:r>
    </w:p>
    <w:p w:rsidR="00EA1F75" w:rsidRPr="002B061E" w:rsidRDefault="00EA1F75" w:rsidP="003C5E99">
      <w:pPr>
        <w:numPr>
          <w:ilvl w:val="0"/>
          <w:numId w:val="27"/>
        </w:numPr>
        <w:tabs>
          <w:tab w:val="num" w:pos="360"/>
        </w:tabs>
        <w:rPr>
          <w:color w:val="000000"/>
          <w:shd w:val="clear" w:color="auto" w:fill="FFFFFF"/>
        </w:rPr>
      </w:pPr>
      <w:r w:rsidRPr="002B061E">
        <w:rPr>
          <w:color w:val="000000"/>
          <w:shd w:val="clear" w:color="auto" w:fill="FFFFFF"/>
        </w:rPr>
        <w:t>posílení a integrace sociálně ekonomického uplatnění kulturního dědictví ve společnosti,</w:t>
      </w:r>
    </w:p>
    <w:p w:rsidR="00EA1F75" w:rsidRPr="002B061E" w:rsidRDefault="00EA1F75" w:rsidP="003C5E99">
      <w:pPr>
        <w:numPr>
          <w:ilvl w:val="0"/>
          <w:numId w:val="27"/>
        </w:numPr>
        <w:tabs>
          <w:tab w:val="num" w:pos="360"/>
        </w:tabs>
        <w:rPr>
          <w:color w:val="000000"/>
          <w:shd w:val="clear" w:color="auto" w:fill="FFFFFF"/>
        </w:rPr>
      </w:pPr>
      <w:r w:rsidRPr="002B061E">
        <w:rPr>
          <w:color w:val="000000"/>
          <w:shd w:val="clear" w:color="auto" w:fill="FFFFFF"/>
        </w:rPr>
        <w:t>využívání výsledků výzkumu pro prezentaci regionů a kulturního dědictví stimulující cestovní ruch a turistiku,</w:t>
      </w:r>
    </w:p>
    <w:p w:rsidR="00EA1F75" w:rsidRPr="002B061E" w:rsidRDefault="00EA1F75" w:rsidP="003C5E99">
      <w:pPr>
        <w:numPr>
          <w:ilvl w:val="0"/>
          <w:numId w:val="27"/>
        </w:numPr>
        <w:tabs>
          <w:tab w:val="num" w:pos="360"/>
        </w:tabs>
        <w:rPr>
          <w:color w:val="000000"/>
          <w:shd w:val="clear" w:color="auto" w:fill="FFFFFF"/>
        </w:rPr>
      </w:pPr>
      <w:r w:rsidRPr="002B061E">
        <w:rPr>
          <w:color w:val="000000"/>
          <w:shd w:val="clear" w:color="auto" w:fill="FFFFFF"/>
        </w:rPr>
        <w:t>výzkum nástrojů a jejich ověření pro:</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aktivní podíl na rozvíjení národní identity jako jednoho z elementů spoluvytváření evropské identity a kultury,</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systematickou dokumentaci a prezentaci způsobu života a kultury menšin v minulosti i</w:t>
      </w:r>
      <w:r>
        <w:rPr>
          <w:color w:val="000000"/>
          <w:shd w:val="clear" w:color="auto" w:fill="FFFFFF"/>
        </w:rPr>
        <w:t> </w:t>
      </w:r>
      <w:r w:rsidRPr="002B061E">
        <w:rPr>
          <w:color w:val="000000"/>
          <w:shd w:val="clear" w:color="auto" w:fill="FFFFFF"/>
        </w:rPr>
        <w:t>současnosti,</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dokumentaci a zachování památek kulturního dědictví s minimalizovanými ztrátami,</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systematickou záchranu mizejících památek kulturního dědictví,</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odbornou podporu záchrany kulturního dědictví v krizových situacích,</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rozvoj malého a středního podnikání s využitím kulturního dědictví,</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podporu neprofesionální tvorby jako jednoho z prostředků aktivního rozvíjení osobnosti,</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podporu subjektů, organizací a institucí v oblasti kultury a umění, podporu kulturní identity a sociální soudržnosti lokálních a regionálních společenství,</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využití ekonomického potenciálu kulturních památek pro rozvoj české ekonomiky,</w:t>
      </w:r>
    </w:p>
    <w:p w:rsidR="00EA1F75" w:rsidRPr="002B061E" w:rsidRDefault="00EA1F75" w:rsidP="003C5E99">
      <w:pPr>
        <w:numPr>
          <w:ilvl w:val="1"/>
          <w:numId w:val="27"/>
        </w:numPr>
        <w:rPr>
          <w:color w:val="000000"/>
          <w:shd w:val="clear" w:color="auto" w:fill="FFFFFF"/>
        </w:rPr>
      </w:pPr>
      <w:r w:rsidRPr="002B061E">
        <w:rPr>
          <w:color w:val="000000"/>
          <w:shd w:val="clear" w:color="auto" w:fill="FFFFFF"/>
        </w:rPr>
        <w:t>systematické prezentování české kultury a sociokulturního potenciálu české společnosti v globálním prostředí,</w:t>
      </w:r>
    </w:p>
    <w:p w:rsidR="00EA1F75" w:rsidRDefault="00EA1F75" w:rsidP="003C5E99">
      <w:pPr>
        <w:numPr>
          <w:ilvl w:val="1"/>
          <w:numId w:val="27"/>
        </w:numPr>
        <w:rPr>
          <w:color w:val="000000"/>
          <w:shd w:val="clear" w:color="auto" w:fill="FFFFFF"/>
        </w:rPr>
      </w:pPr>
      <w:r w:rsidRPr="002B061E">
        <w:rPr>
          <w:color w:val="000000"/>
          <w:shd w:val="clear" w:color="auto" w:fill="FFFFFF"/>
        </w:rPr>
        <w:t>systematické a efektivní využívání prostředků technologií pro rozvoj národní kultury a kulturní identity obyvatelstva.</w:t>
      </w:r>
    </w:p>
    <w:p w:rsidR="00EA1F75" w:rsidRDefault="00EA1F75" w:rsidP="00C46A0A">
      <w:pPr>
        <w:rPr>
          <w:color w:val="000000"/>
          <w:shd w:val="clear" w:color="auto" w:fill="FFFFFF"/>
        </w:rPr>
      </w:pPr>
      <w:r>
        <w:t>Využití výsledků programu a jeho dopady se předpokládají především ve veřejném sektoru, v soukromém sektoru bude jejich využití doplňkové (viz kap. 6, 12 a 16) v rozsahu cca 5 % výsledků uplatněných v praxi.</w:t>
      </w:r>
    </w:p>
    <w:p w:rsidR="00EA1F75" w:rsidRDefault="00EA1F75" w:rsidP="00530AE1">
      <w:pPr>
        <w:rPr>
          <w:color w:val="000000"/>
          <w:shd w:val="clear" w:color="auto" w:fill="FFFFFF"/>
        </w:rPr>
      </w:pPr>
    </w:p>
    <w:p w:rsidR="00EA1F75" w:rsidRDefault="00EA1F75" w:rsidP="008E6673">
      <w:r>
        <w:t xml:space="preserve">U všech hlavních výsledků projektů bude </w:t>
      </w:r>
      <w:r>
        <w:rPr>
          <w:b/>
        </w:rPr>
        <w:t>povinné vyjádření budoucích uživatelů</w:t>
      </w:r>
      <w:r>
        <w:t>, že o úspěšný výsledek mají zájem, a povinné vyjádření příjemce, že bude uplatnění výsledku pět let po ukončení řešení projektu sledovat a informovat o jeho využití poskytovatele. V případě, že bude deklarováno využití výsledku v souladu s platnými definicemi pouze příjemcem pro jeho další výzkum, připojí příjemce vyjádření, že bude sledovat jeho konkrétní uplatnění ve svých projektech VaV, popř. dalších výzkumných aktivitách, včetně jeho přínosů a dopadů.</w:t>
      </w:r>
    </w:p>
    <w:p w:rsidR="00EA1F75" w:rsidRDefault="00EA1F75" w:rsidP="008E6673"/>
    <w:p w:rsidR="00EA1F75" w:rsidRDefault="00EA1F75" w:rsidP="008E6673">
      <w:r>
        <w:rPr>
          <w:color w:val="000000"/>
          <w:shd w:val="clear" w:color="auto" w:fill="FFFFFF"/>
        </w:rPr>
        <w:t xml:space="preserve">Hodnocení dopadů Programu bude vycházet z hodnocení využití </w:t>
      </w:r>
      <w:r>
        <w:t xml:space="preserve">všech hlavních výsledků projektů Programu </w:t>
      </w:r>
      <w:r w:rsidRPr="0034042D">
        <w:rPr>
          <w:color w:val="000000"/>
          <w:shd w:val="clear" w:color="auto" w:fill="FFFFFF"/>
        </w:rPr>
        <w:t xml:space="preserve">souladu s Metodikou hodnocení výsledků výzkumných organizací a hodnocení </w:t>
      </w:r>
      <w:r w:rsidRPr="0034042D">
        <w:rPr>
          <w:color w:val="000000"/>
          <w:shd w:val="clear" w:color="auto" w:fill="FFFFFF"/>
        </w:rPr>
        <w:lastRenderedPageBreak/>
        <w:t>výsledků ukončených programů platnou v době hodnocení</w:t>
      </w:r>
      <w:r>
        <w:rPr>
          <w:color w:val="000000"/>
          <w:shd w:val="clear" w:color="auto" w:fill="FFFFFF"/>
        </w:rPr>
        <w:t xml:space="preserve"> a</w:t>
      </w:r>
      <w:r w:rsidRPr="0034042D">
        <w:rPr>
          <w:color w:val="000000"/>
          <w:shd w:val="clear" w:color="auto" w:fill="FFFFFF"/>
        </w:rPr>
        <w:t xml:space="preserve"> další</w:t>
      </w:r>
      <w:r>
        <w:rPr>
          <w:color w:val="000000"/>
          <w:shd w:val="clear" w:color="auto" w:fill="FFFFFF"/>
        </w:rPr>
        <w:t>mi</w:t>
      </w:r>
      <w:r w:rsidRPr="0034042D">
        <w:rPr>
          <w:color w:val="000000"/>
          <w:shd w:val="clear" w:color="auto" w:fill="FFFFFF"/>
        </w:rPr>
        <w:t xml:space="preserve"> podmínek stanovený</w:t>
      </w:r>
      <w:r>
        <w:rPr>
          <w:color w:val="000000"/>
          <w:shd w:val="clear" w:color="auto" w:fill="FFFFFF"/>
        </w:rPr>
        <w:t>mi</w:t>
      </w:r>
      <w:r w:rsidRPr="0034042D">
        <w:rPr>
          <w:color w:val="000000"/>
          <w:shd w:val="clear" w:color="auto" w:fill="FFFFFF"/>
        </w:rPr>
        <w:t xml:space="preserve"> poskytovatelem</w:t>
      </w:r>
      <w:r>
        <w:rPr>
          <w:color w:val="000000"/>
          <w:shd w:val="clear" w:color="auto" w:fill="FFFFFF"/>
        </w:rPr>
        <w:t xml:space="preserve"> obdobně jako </w:t>
      </w:r>
      <w:r w:rsidRPr="007801E4">
        <w:t>„</w:t>
      </w:r>
      <w:r w:rsidRPr="008E6673">
        <w:t>Analýzy využití výsledků programu NAKI“</w:t>
      </w:r>
      <w:r w:rsidRPr="007801E4">
        <w:t xml:space="preserve"> uvedené v příloze č.</w:t>
      </w:r>
      <w:r>
        <w:t> </w:t>
      </w:r>
      <w:r w:rsidRPr="007801E4">
        <w:t>3 Koncepce, kterou na základě usnesení RVVI dle předchozího bodu MK zpracovalo a</w:t>
      </w:r>
      <w:r>
        <w:t> </w:t>
      </w:r>
      <w:r w:rsidRPr="007801E4">
        <w:t>předložilo RVVI v červnu 2019.</w:t>
      </w:r>
      <w:r>
        <w:t xml:space="preserve"> Hodnocení dopadů Programu bude součástí závěrečného hodnocení Programu (viz kap. 15).</w:t>
      </w:r>
    </w:p>
    <w:p w:rsidR="00EA1F75" w:rsidRPr="002B061E" w:rsidRDefault="00EA1F75" w:rsidP="00530AE1">
      <w:pPr>
        <w:rPr>
          <w:color w:val="000000"/>
          <w:shd w:val="clear" w:color="auto" w:fill="FFFFFF"/>
        </w:rPr>
      </w:pPr>
    </w:p>
    <w:p w:rsidR="00EA1F75" w:rsidRPr="0026459C" w:rsidRDefault="00EA1F75" w:rsidP="00B51465">
      <w:pPr>
        <w:pStyle w:val="Nadpis1"/>
      </w:pPr>
      <w:bookmarkStart w:id="20" w:name="_Toc61616880"/>
      <w:r w:rsidRPr="0026459C">
        <w:t>11. Vymezení způsobu realizace</w:t>
      </w:r>
      <w:r>
        <w:t xml:space="preserve"> – doba trvání Programu a projektů</w:t>
      </w:r>
      <w:bookmarkEnd w:id="20"/>
    </w:p>
    <w:bookmarkEnd w:id="15"/>
    <w:p w:rsidR="00EA1F75" w:rsidRPr="004C22D7" w:rsidRDefault="00EA1F75" w:rsidP="004C22D7">
      <w:r w:rsidRPr="004C22D7">
        <w:t xml:space="preserve">Doba trvání Programu je stanovena </w:t>
      </w:r>
      <w:r>
        <w:t>pro období</w:t>
      </w:r>
      <w:r w:rsidRPr="004C22D7">
        <w:t xml:space="preserve"> 2023 až 2030, tj. </w:t>
      </w:r>
      <w:r>
        <w:t xml:space="preserve">na </w:t>
      </w:r>
      <w:r w:rsidRPr="004C22D7">
        <w:t>8 let.</w:t>
      </w:r>
    </w:p>
    <w:p w:rsidR="00EA1F75" w:rsidRDefault="00EA1F75" w:rsidP="004C22D7">
      <w:r w:rsidRPr="004C22D7">
        <w:t xml:space="preserve">Doba </w:t>
      </w:r>
      <w:r>
        <w:t>řešení</w:t>
      </w:r>
      <w:r w:rsidRPr="004C22D7">
        <w:t xml:space="preserve"> projekt</w:t>
      </w:r>
      <w:r>
        <w:t>ů</w:t>
      </w:r>
      <w:r w:rsidRPr="004C22D7">
        <w:t xml:space="preserve"> se předpokládá</w:t>
      </w:r>
      <w:r>
        <w:t>:</w:t>
      </w:r>
    </w:p>
    <w:p w:rsidR="00EA1F75" w:rsidRDefault="00EA1F75" w:rsidP="004C22D7">
      <w:pPr>
        <w:numPr>
          <w:ilvl w:val="0"/>
          <w:numId w:val="38"/>
        </w:numPr>
        <w:tabs>
          <w:tab w:val="clear" w:pos="780"/>
        </w:tabs>
        <w:ind w:left="360"/>
      </w:pPr>
      <w:r>
        <w:t>v první veřejné soutěži ve výzkumu, vývoji a inovacích vyhlašované v r. 2022 na léta 2023 – 2027 bude doba trvání projektů 5 let,</w:t>
      </w:r>
    </w:p>
    <w:p w:rsidR="00EA1F75" w:rsidRDefault="00EA1F75" w:rsidP="004C22D7">
      <w:pPr>
        <w:numPr>
          <w:ilvl w:val="0"/>
          <w:numId w:val="38"/>
        </w:numPr>
        <w:tabs>
          <w:tab w:val="clear" w:pos="780"/>
        </w:tabs>
        <w:ind w:left="360"/>
      </w:pPr>
      <w:r>
        <w:t>ve druhé veřejné soutěži ve výzkumu, vývoji a inovacích vyhlašované v r. 2023 na léta 2024 – 2027 bude doba trvání projektů 4 roky,</w:t>
      </w:r>
    </w:p>
    <w:p w:rsidR="00EA1F75" w:rsidRPr="004C22D7" w:rsidRDefault="00EA1F75" w:rsidP="004C22D7">
      <w:pPr>
        <w:numPr>
          <w:ilvl w:val="0"/>
          <w:numId w:val="38"/>
        </w:numPr>
        <w:tabs>
          <w:tab w:val="clear" w:pos="780"/>
        </w:tabs>
        <w:ind w:left="360"/>
      </w:pPr>
      <w:r>
        <w:t xml:space="preserve">ve třetí veřejné soutěži ve výzkumu, vývoji a inovacích vyhlašované v r. 2027 na léta 2028 </w:t>
      </w:r>
      <w:r>
        <w:noBreakHyphen/>
        <w:t> 2030 bude doba trvání projektů 3 roky.</w:t>
      </w:r>
    </w:p>
    <w:p w:rsidR="00EA1F75" w:rsidRPr="004C22D7" w:rsidRDefault="00EA1F75" w:rsidP="004C22D7">
      <w:r>
        <w:t>Poskytovatel si vyhrazuje právo ve druhé a třetí veřejné soutěži výzkumu, vývoji a inovacích omezit možnost podávání návrhů projektů na ty tematické priority Programu, které by byly již dostatečně pokryty v první veřejné soutěži výzkumu, vývoji a inovacích.</w:t>
      </w:r>
    </w:p>
    <w:p w:rsidR="00EA1F75" w:rsidRDefault="00EA1F75" w:rsidP="007E364E">
      <w:pPr>
        <w:rPr>
          <w:color w:val="000000"/>
          <w:shd w:val="clear" w:color="auto" w:fill="FFFFFF"/>
        </w:rPr>
      </w:pPr>
    </w:p>
    <w:p w:rsidR="00EA1F75" w:rsidRPr="007E364E" w:rsidRDefault="00EA1F75" w:rsidP="007E364E">
      <w:pPr>
        <w:rPr>
          <w:color w:val="000000"/>
          <w:shd w:val="clear" w:color="auto" w:fill="FFFFFF"/>
        </w:rPr>
      </w:pPr>
      <w:r w:rsidRPr="007E364E">
        <w:rPr>
          <w:color w:val="000000"/>
          <w:shd w:val="clear" w:color="auto" w:fill="FFFFFF"/>
        </w:rPr>
        <w:t>Podpora bude poskytována formou dotace na uznané náklady právnickým osobám a formou zvýšení výdajů organizačních složek státu nebo organizačních jednotek ministerstev, které jsou zároveň výzkumnými organizacemi.</w:t>
      </w:r>
    </w:p>
    <w:p w:rsidR="00EA1F75" w:rsidRDefault="00EA1F75" w:rsidP="007E364E">
      <w:pPr>
        <w:rPr>
          <w:color w:val="000000"/>
          <w:shd w:val="clear" w:color="auto" w:fill="FFFFFF"/>
        </w:rPr>
      </w:pPr>
    </w:p>
    <w:p w:rsidR="00EA1F75" w:rsidRPr="007E364E" w:rsidRDefault="00EA1F75" w:rsidP="007E364E">
      <w:pPr>
        <w:rPr>
          <w:color w:val="000000"/>
          <w:shd w:val="clear" w:color="auto" w:fill="FFFFFF"/>
        </w:rPr>
      </w:pPr>
    </w:p>
    <w:p w:rsidR="00EA1F75" w:rsidRPr="00DD0F4E" w:rsidRDefault="00EA1F75" w:rsidP="00B51465">
      <w:pPr>
        <w:pStyle w:val="Nadpis1"/>
      </w:pPr>
      <w:bookmarkStart w:id="21" w:name="_Toc61616881"/>
      <w:r w:rsidRPr="00DD0F4E">
        <w:t>12. Analýza absorpční kapacity</w:t>
      </w:r>
      <w:r>
        <w:t xml:space="preserve"> Programu</w:t>
      </w:r>
      <w:bookmarkEnd w:id="21"/>
    </w:p>
    <w:p w:rsidR="00EA1F75" w:rsidRDefault="00EA1F75" w:rsidP="00E238EF">
      <w:pPr>
        <w:rPr>
          <w:color w:val="000000"/>
          <w:shd w:val="clear" w:color="auto" w:fill="FFFFFF"/>
        </w:rPr>
      </w:pPr>
      <w:r>
        <w:rPr>
          <w:color w:val="000000"/>
          <w:shd w:val="clear" w:color="auto" w:fill="FFFFFF"/>
        </w:rPr>
        <w:t>Analýza absorpční kapacity vychází z vyhodnocení tří veřejných soutěží programu NAKI a tří veřejných soutěží programu NAKI II (červeně jsou zvýrazněny soutěže s úspěšností 20 % a méně, žlutě soutěže s úspěšností 20,1 – 25,0 % a zeleně soutěže s úspěšností nad 25 %):</w:t>
      </w:r>
    </w:p>
    <w:p w:rsidR="00EA1F75" w:rsidRPr="00E238EF" w:rsidRDefault="00EA1F75" w:rsidP="00A243C4">
      <w:pPr>
        <w:keepNext/>
        <w:rPr>
          <w:b/>
          <w:color w:val="000000"/>
          <w:shd w:val="clear" w:color="auto" w:fill="FFFFFF"/>
        </w:rPr>
      </w:pPr>
      <w:r w:rsidRPr="00E238EF">
        <w:rPr>
          <w:b/>
          <w:color w:val="000000"/>
          <w:shd w:val="clear" w:color="auto" w:fill="FFFFFF"/>
        </w:rPr>
        <w:t xml:space="preserve">Tab. </w:t>
      </w:r>
      <w:proofErr w:type="gramStart"/>
      <w:r w:rsidRPr="00E238EF">
        <w:rPr>
          <w:b/>
          <w:color w:val="000000"/>
          <w:shd w:val="clear" w:color="auto" w:fill="FFFFFF"/>
        </w:rPr>
        <w:t>č.</w:t>
      </w:r>
      <w:proofErr w:type="gramEnd"/>
      <w:r w:rsidRPr="00E238EF">
        <w:rPr>
          <w:b/>
          <w:color w:val="000000"/>
          <w:shd w:val="clear" w:color="auto" w:fill="FFFFFF"/>
        </w:rPr>
        <w:t xml:space="preserve"> 4: Úspěšnost uchazečů v programu NAKI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
        <w:gridCol w:w="1728"/>
        <w:gridCol w:w="2160"/>
        <w:gridCol w:w="1260"/>
        <w:gridCol w:w="2880"/>
      </w:tblGrid>
      <w:tr w:rsidR="00EA1F75" w:rsidRPr="00B13BA5" w:rsidTr="00B13BA5">
        <w:trPr>
          <w:tblHeader/>
        </w:trPr>
        <w:tc>
          <w:tcPr>
            <w:tcW w:w="1180" w:type="dxa"/>
            <w:tcBorders>
              <w:top w:val="single" w:sz="12" w:space="0" w:color="auto"/>
              <w:left w:val="single" w:sz="12" w:space="0" w:color="auto"/>
              <w:bottom w:val="single" w:sz="12" w:space="0" w:color="auto"/>
            </w:tcBorders>
            <w:shd w:val="clear" w:color="auto" w:fill="E6E6E6"/>
            <w:tcMar>
              <w:left w:w="28" w:type="dxa"/>
              <w:right w:w="28" w:type="dxa"/>
            </w:tcMar>
            <w:vAlign w:val="center"/>
          </w:tcPr>
          <w:p w:rsidR="00EA1F75" w:rsidRPr="00B13BA5" w:rsidRDefault="00EA1F75" w:rsidP="00A243C4">
            <w:pPr>
              <w:keepNext/>
              <w:jc w:val="center"/>
              <w:rPr>
                <w:i/>
                <w:color w:val="000000"/>
                <w:shd w:val="clear" w:color="auto" w:fill="FFFFFF"/>
              </w:rPr>
            </w:pPr>
            <w:r w:rsidRPr="00B13BA5">
              <w:rPr>
                <w:i/>
                <w:color w:val="000000"/>
                <w:sz w:val="22"/>
                <w:szCs w:val="22"/>
                <w:shd w:val="clear" w:color="auto" w:fill="FFFFFF"/>
              </w:rPr>
              <w:t>Soutěž*</w:t>
            </w:r>
          </w:p>
        </w:tc>
        <w:tc>
          <w:tcPr>
            <w:tcW w:w="1728" w:type="dxa"/>
            <w:tcBorders>
              <w:top w:val="single" w:sz="12" w:space="0" w:color="auto"/>
              <w:bottom w:val="single" w:sz="12" w:space="0" w:color="auto"/>
            </w:tcBorders>
            <w:shd w:val="clear" w:color="auto" w:fill="E6E6E6"/>
            <w:tcMar>
              <w:left w:w="28" w:type="dxa"/>
              <w:right w:w="28" w:type="dxa"/>
            </w:tcMar>
            <w:vAlign w:val="center"/>
          </w:tcPr>
          <w:p w:rsidR="00EA1F75" w:rsidRPr="00B13BA5" w:rsidRDefault="00EA1F75" w:rsidP="00A243C4">
            <w:pPr>
              <w:keepNext/>
              <w:jc w:val="center"/>
              <w:rPr>
                <w:i/>
                <w:color w:val="000000"/>
                <w:shd w:val="clear" w:color="auto" w:fill="FFFFFF"/>
              </w:rPr>
            </w:pPr>
            <w:r w:rsidRPr="00B13BA5">
              <w:rPr>
                <w:i/>
                <w:color w:val="000000"/>
                <w:sz w:val="22"/>
                <w:szCs w:val="22"/>
                <w:shd w:val="clear" w:color="auto" w:fill="FFFFFF"/>
              </w:rPr>
              <w:t>Přihlášek projektů (ks)</w:t>
            </w:r>
          </w:p>
        </w:tc>
        <w:tc>
          <w:tcPr>
            <w:tcW w:w="2160" w:type="dxa"/>
            <w:tcBorders>
              <w:top w:val="single" w:sz="12" w:space="0" w:color="auto"/>
              <w:bottom w:val="single" w:sz="12" w:space="0" w:color="auto"/>
            </w:tcBorders>
            <w:shd w:val="clear" w:color="auto" w:fill="E6E6E6"/>
            <w:tcMar>
              <w:left w:w="28" w:type="dxa"/>
              <w:right w:w="28" w:type="dxa"/>
            </w:tcMar>
            <w:vAlign w:val="center"/>
          </w:tcPr>
          <w:p w:rsidR="00EA1F75" w:rsidRPr="00B13BA5" w:rsidRDefault="00EA1F75" w:rsidP="00A243C4">
            <w:pPr>
              <w:keepNext/>
              <w:jc w:val="center"/>
              <w:rPr>
                <w:i/>
                <w:color w:val="000000"/>
                <w:shd w:val="clear" w:color="auto" w:fill="FFFFFF"/>
              </w:rPr>
            </w:pPr>
            <w:r w:rsidRPr="00B13BA5">
              <w:rPr>
                <w:i/>
                <w:color w:val="000000"/>
                <w:sz w:val="22"/>
                <w:szCs w:val="22"/>
                <w:shd w:val="clear" w:color="auto" w:fill="FFFFFF"/>
              </w:rPr>
              <w:t>Podpořeno projektů (ks)</w:t>
            </w:r>
          </w:p>
        </w:tc>
        <w:tc>
          <w:tcPr>
            <w:tcW w:w="1260" w:type="dxa"/>
            <w:tcBorders>
              <w:top w:val="single" w:sz="12" w:space="0" w:color="auto"/>
              <w:bottom w:val="single" w:sz="12" w:space="0" w:color="auto"/>
            </w:tcBorders>
            <w:shd w:val="clear" w:color="auto" w:fill="E6E6E6"/>
            <w:tcMar>
              <w:left w:w="28" w:type="dxa"/>
              <w:right w:w="28" w:type="dxa"/>
            </w:tcMar>
            <w:vAlign w:val="center"/>
          </w:tcPr>
          <w:p w:rsidR="00EA1F75" w:rsidRPr="00B13BA5" w:rsidRDefault="00EA1F75" w:rsidP="00A243C4">
            <w:pPr>
              <w:keepNext/>
              <w:jc w:val="center"/>
              <w:rPr>
                <w:b/>
                <w:i/>
                <w:color w:val="000000"/>
                <w:shd w:val="clear" w:color="auto" w:fill="FFFFFF"/>
              </w:rPr>
            </w:pPr>
            <w:r w:rsidRPr="00B13BA5">
              <w:rPr>
                <w:b/>
                <w:i/>
                <w:color w:val="000000"/>
                <w:sz w:val="22"/>
                <w:szCs w:val="22"/>
                <w:shd w:val="clear" w:color="auto" w:fill="FFFFFF"/>
              </w:rPr>
              <w:t>Úspěšnost (%)</w:t>
            </w:r>
          </w:p>
        </w:tc>
        <w:tc>
          <w:tcPr>
            <w:tcW w:w="2880" w:type="dxa"/>
            <w:tcBorders>
              <w:top w:val="single" w:sz="12" w:space="0" w:color="auto"/>
              <w:bottom w:val="single" w:sz="12" w:space="0" w:color="auto"/>
              <w:right w:val="single" w:sz="12" w:space="0" w:color="auto"/>
            </w:tcBorders>
            <w:shd w:val="clear" w:color="auto" w:fill="E6E6E6"/>
            <w:tcMar>
              <w:left w:w="28" w:type="dxa"/>
              <w:right w:w="28" w:type="dxa"/>
            </w:tcMar>
            <w:vAlign w:val="center"/>
          </w:tcPr>
          <w:p w:rsidR="00EA1F75" w:rsidRPr="00B13BA5" w:rsidRDefault="00EA1F75" w:rsidP="00A243C4">
            <w:pPr>
              <w:keepNext/>
              <w:jc w:val="center"/>
              <w:rPr>
                <w:i/>
                <w:color w:val="000000"/>
                <w:shd w:val="clear" w:color="auto" w:fill="FFFFFF"/>
              </w:rPr>
            </w:pPr>
            <w:r w:rsidRPr="00B13BA5">
              <w:rPr>
                <w:i/>
                <w:color w:val="000000"/>
                <w:sz w:val="22"/>
                <w:szCs w:val="22"/>
                <w:shd w:val="clear" w:color="auto" w:fill="FFFFFF"/>
              </w:rPr>
              <w:t>Schválená účelová podpora (tis. Kč)</w:t>
            </w:r>
          </w:p>
        </w:tc>
      </w:tr>
      <w:tr w:rsidR="00EA1F75" w:rsidRPr="00B13BA5" w:rsidTr="0028652D">
        <w:tc>
          <w:tcPr>
            <w:tcW w:w="1180" w:type="dxa"/>
            <w:tcBorders>
              <w:top w:val="single" w:sz="12" w:space="0" w:color="auto"/>
              <w:left w:val="single" w:sz="12" w:space="0" w:color="auto"/>
            </w:tcBorders>
            <w:shd w:val="clear" w:color="auto" w:fill="FF99CC"/>
            <w:tcMar>
              <w:left w:w="28" w:type="dxa"/>
              <w:right w:w="28" w:type="dxa"/>
            </w:tcMar>
          </w:tcPr>
          <w:p w:rsidR="00EA1F75" w:rsidRPr="00B13BA5" w:rsidRDefault="00EA1F75" w:rsidP="0077522F">
            <w:pPr>
              <w:rPr>
                <w:color w:val="000000"/>
                <w:shd w:val="clear" w:color="auto" w:fill="FFFFFF"/>
              </w:rPr>
            </w:pPr>
            <w:r w:rsidRPr="00B13BA5">
              <w:rPr>
                <w:color w:val="000000"/>
                <w:sz w:val="22"/>
                <w:szCs w:val="22"/>
                <w:shd w:val="clear" w:color="auto" w:fill="FFFFFF"/>
              </w:rPr>
              <w:t>1. VS 2011</w:t>
            </w:r>
          </w:p>
        </w:tc>
        <w:tc>
          <w:tcPr>
            <w:tcW w:w="1728" w:type="dxa"/>
            <w:tcBorders>
              <w:top w:val="single" w:sz="12" w:space="0" w:color="auto"/>
            </w:tcBorders>
            <w:shd w:val="clear" w:color="auto" w:fill="FF99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219</w:t>
            </w:r>
          </w:p>
        </w:tc>
        <w:tc>
          <w:tcPr>
            <w:tcW w:w="2160" w:type="dxa"/>
            <w:tcBorders>
              <w:top w:val="single" w:sz="12" w:space="0" w:color="auto"/>
            </w:tcBorders>
            <w:shd w:val="clear" w:color="auto" w:fill="FF99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35</w:t>
            </w:r>
          </w:p>
        </w:tc>
        <w:tc>
          <w:tcPr>
            <w:tcW w:w="1260" w:type="dxa"/>
            <w:tcBorders>
              <w:top w:val="single" w:sz="12" w:space="0" w:color="auto"/>
            </w:tcBorders>
            <w:shd w:val="clear" w:color="auto" w:fill="FF99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16,0</w:t>
            </w:r>
          </w:p>
        </w:tc>
        <w:tc>
          <w:tcPr>
            <w:tcW w:w="2880" w:type="dxa"/>
            <w:tcBorders>
              <w:top w:val="single" w:sz="12" w:space="0" w:color="auto"/>
              <w:right w:val="single" w:sz="12" w:space="0" w:color="auto"/>
            </w:tcBorders>
            <w:shd w:val="clear" w:color="auto" w:fill="FF99CC"/>
            <w:tcMar>
              <w:left w:w="28" w:type="dxa"/>
              <w:right w:w="28" w:type="dxa"/>
            </w:tcMar>
          </w:tcPr>
          <w:p w:rsidR="00EA1F75" w:rsidRPr="00B13BA5" w:rsidRDefault="00EA1F75" w:rsidP="0028652D">
            <w:pPr>
              <w:jc w:val="right"/>
              <w:rPr>
                <w:color w:val="000000"/>
                <w:shd w:val="clear" w:color="auto" w:fill="FFFFFF"/>
              </w:rPr>
            </w:pPr>
            <w:r w:rsidRPr="008440F0">
              <w:rPr>
                <w:b/>
                <w:color w:val="000000"/>
                <w:sz w:val="22"/>
                <w:szCs w:val="22"/>
                <w:shd w:val="clear" w:color="auto" w:fill="FFFFFF"/>
              </w:rPr>
              <w:t>1 709 840</w:t>
            </w:r>
          </w:p>
        </w:tc>
      </w:tr>
      <w:tr w:rsidR="00EA1F75" w:rsidRPr="00B13BA5" w:rsidTr="0028652D">
        <w:tc>
          <w:tcPr>
            <w:tcW w:w="1180" w:type="dxa"/>
            <w:tcBorders>
              <w:left w:val="single" w:sz="12" w:space="0" w:color="auto"/>
            </w:tcBorders>
            <w:shd w:val="clear" w:color="auto" w:fill="CCFFCC"/>
            <w:tcMar>
              <w:left w:w="28" w:type="dxa"/>
              <w:right w:w="28" w:type="dxa"/>
            </w:tcMar>
          </w:tcPr>
          <w:p w:rsidR="00EA1F75" w:rsidRPr="00B13BA5" w:rsidRDefault="00EA1F75" w:rsidP="0077522F">
            <w:pPr>
              <w:rPr>
                <w:color w:val="000000"/>
                <w:shd w:val="clear" w:color="auto" w:fill="FFFFFF"/>
              </w:rPr>
            </w:pPr>
            <w:r w:rsidRPr="00B13BA5">
              <w:rPr>
                <w:color w:val="000000"/>
                <w:sz w:val="22"/>
                <w:szCs w:val="22"/>
                <w:shd w:val="clear" w:color="auto" w:fill="FFFFFF"/>
              </w:rPr>
              <w:t>2. VS 2012</w:t>
            </w:r>
          </w:p>
        </w:tc>
        <w:tc>
          <w:tcPr>
            <w:tcW w:w="1728" w:type="dxa"/>
            <w:shd w:val="clear" w:color="auto" w:fill="CCFF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181</w:t>
            </w:r>
          </w:p>
        </w:tc>
        <w:tc>
          <w:tcPr>
            <w:tcW w:w="2160" w:type="dxa"/>
            <w:shd w:val="clear" w:color="auto" w:fill="CCFF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50</w:t>
            </w:r>
          </w:p>
        </w:tc>
        <w:tc>
          <w:tcPr>
            <w:tcW w:w="1260" w:type="dxa"/>
            <w:shd w:val="clear" w:color="auto" w:fill="CCFF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27,6</w:t>
            </w:r>
          </w:p>
        </w:tc>
        <w:tc>
          <w:tcPr>
            <w:tcW w:w="2880" w:type="dxa"/>
            <w:tcBorders>
              <w:right w:val="single" w:sz="12" w:space="0" w:color="auto"/>
            </w:tcBorders>
            <w:shd w:val="clear" w:color="auto" w:fill="CCFFCC"/>
            <w:tcMar>
              <w:left w:w="28" w:type="dxa"/>
              <w:right w:w="28" w:type="dxa"/>
            </w:tcMar>
          </w:tcPr>
          <w:p w:rsidR="00EA1F75" w:rsidRPr="00B13BA5" w:rsidRDefault="00EA1F75" w:rsidP="0028652D">
            <w:pPr>
              <w:jc w:val="right"/>
              <w:rPr>
                <w:color w:val="000000"/>
                <w:shd w:val="clear" w:color="auto" w:fill="FFFFFF"/>
              </w:rPr>
            </w:pPr>
            <w:r w:rsidRPr="0028652D">
              <w:rPr>
                <w:b/>
                <w:color w:val="000000"/>
                <w:sz w:val="22"/>
                <w:szCs w:val="22"/>
                <w:shd w:val="clear" w:color="auto" w:fill="FFFFFF"/>
              </w:rPr>
              <w:t>732 642</w:t>
            </w:r>
          </w:p>
        </w:tc>
      </w:tr>
      <w:tr w:rsidR="00EA1F75" w:rsidRPr="00B13BA5" w:rsidTr="0028652D">
        <w:tc>
          <w:tcPr>
            <w:tcW w:w="1180" w:type="dxa"/>
            <w:tcBorders>
              <w:left w:val="single" w:sz="12" w:space="0" w:color="auto"/>
              <w:bottom w:val="single" w:sz="12" w:space="0" w:color="auto"/>
            </w:tcBorders>
            <w:shd w:val="clear" w:color="auto" w:fill="FF99CC"/>
            <w:tcMar>
              <w:left w:w="28" w:type="dxa"/>
              <w:right w:w="28" w:type="dxa"/>
            </w:tcMar>
          </w:tcPr>
          <w:p w:rsidR="00EA1F75" w:rsidRPr="00B13BA5" w:rsidRDefault="00EA1F75" w:rsidP="0077522F">
            <w:pPr>
              <w:rPr>
                <w:color w:val="000000"/>
                <w:shd w:val="clear" w:color="auto" w:fill="FFFFFF"/>
              </w:rPr>
            </w:pPr>
            <w:r w:rsidRPr="00B13BA5">
              <w:rPr>
                <w:color w:val="000000"/>
                <w:sz w:val="22"/>
                <w:szCs w:val="22"/>
                <w:shd w:val="clear" w:color="auto" w:fill="FFFFFF"/>
              </w:rPr>
              <w:t>3. VS 2013</w:t>
            </w:r>
          </w:p>
        </w:tc>
        <w:tc>
          <w:tcPr>
            <w:tcW w:w="1728" w:type="dxa"/>
            <w:tcBorders>
              <w:bottom w:val="single" w:sz="12" w:space="0" w:color="auto"/>
            </w:tcBorders>
            <w:shd w:val="clear" w:color="auto" w:fill="FF99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198</w:t>
            </w:r>
          </w:p>
        </w:tc>
        <w:tc>
          <w:tcPr>
            <w:tcW w:w="2160" w:type="dxa"/>
            <w:tcBorders>
              <w:bottom w:val="single" w:sz="12" w:space="0" w:color="auto"/>
            </w:tcBorders>
            <w:shd w:val="clear" w:color="auto" w:fill="FF99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21</w:t>
            </w:r>
          </w:p>
        </w:tc>
        <w:tc>
          <w:tcPr>
            <w:tcW w:w="1260" w:type="dxa"/>
            <w:tcBorders>
              <w:bottom w:val="single" w:sz="12" w:space="0" w:color="auto"/>
            </w:tcBorders>
            <w:shd w:val="clear" w:color="auto" w:fill="FF99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10,6</w:t>
            </w:r>
          </w:p>
        </w:tc>
        <w:tc>
          <w:tcPr>
            <w:tcW w:w="2880" w:type="dxa"/>
            <w:tcBorders>
              <w:bottom w:val="single" w:sz="12" w:space="0" w:color="auto"/>
              <w:right w:val="single" w:sz="12" w:space="0" w:color="auto"/>
            </w:tcBorders>
            <w:shd w:val="clear" w:color="auto" w:fill="FF99CC"/>
            <w:tcMar>
              <w:left w:w="28" w:type="dxa"/>
              <w:right w:w="28" w:type="dxa"/>
            </w:tcMar>
          </w:tcPr>
          <w:p w:rsidR="00EA1F75" w:rsidRPr="00B13BA5" w:rsidRDefault="00EA1F75" w:rsidP="0028652D">
            <w:pPr>
              <w:jc w:val="right"/>
              <w:rPr>
                <w:color w:val="000000"/>
                <w:shd w:val="clear" w:color="auto" w:fill="FFFFFF"/>
              </w:rPr>
            </w:pPr>
            <w:r w:rsidRPr="0028652D">
              <w:rPr>
                <w:b/>
                <w:color w:val="000000"/>
                <w:sz w:val="22"/>
                <w:szCs w:val="22"/>
                <w:shd w:val="clear" w:color="auto" w:fill="FFFFFF"/>
              </w:rPr>
              <w:t>476 260</w:t>
            </w:r>
          </w:p>
        </w:tc>
      </w:tr>
      <w:tr w:rsidR="00EA1F75" w:rsidRPr="00B13BA5" w:rsidTr="0028652D">
        <w:tc>
          <w:tcPr>
            <w:tcW w:w="1180" w:type="dxa"/>
            <w:tcBorders>
              <w:top w:val="single" w:sz="12" w:space="0" w:color="auto"/>
              <w:left w:val="single" w:sz="12" w:space="0" w:color="auto"/>
              <w:bottom w:val="single" w:sz="12" w:space="0" w:color="auto"/>
            </w:tcBorders>
            <w:shd w:val="clear" w:color="auto" w:fill="FF99CC"/>
            <w:tcMar>
              <w:left w:w="28" w:type="dxa"/>
              <w:right w:w="28" w:type="dxa"/>
            </w:tcMar>
          </w:tcPr>
          <w:p w:rsidR="00EA1F75" w:rsidRPr="00B13BA5" w:rsidRDefault="00EA1F75" w:rsidP="0077522F">
            <w:pPr>
              <w:rPr>
                <w:b/>
                <w:color w:val="000000"/>
                <w:shd w:val="clear" w:color="auto" w:fill="FFFFFF"/>
              </w:rPr>
            </w:pPr>
            <w:r w:rsidRPr="00B13BA5">
              <w:rPr>
                <w:b/>
                <w:color w:val="000000"/>
                <w:sz w:val="22"/>
                <w:szCs w:val="22"/>
                <w:shd w:val="clear" w:color="auto" w:fill="FFFFFF"/>
              </w:rPr>
              <w:t>Celkem</w:t>
            </w:r>
          </w:p>
        </w:tc>
        <w:tc>
          <w:tcPr>
            <w:tcW w:w="1728" w:type="dxa"/>
            <w:tcBorders>
              <w:top w:val="single" w:sz="12" w:space="0" w:color="auto"/>
              <w:bottom w:val="single" w:sz="12" w:space="0" w:color="auto"/>
            </w:tcBorders>
            <w:shd w:val="clear" w:color="auto" w:fill="FF99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598</w:t>
            </w:r>
          </w:p>
        </w:tc>
        <w:tc>
          <w:tcPr>
            <w:tcW w:w="2160" w:type="dxa"/>
            <w:tcBorders>
              <w:top w:val="single" w:sz="12" w:space="0" w:color="auto"/>
              <w:bottom w:val="single" w:sz="12" w:space="0" w:color="auto"/>
            </w:tcBorders>
            <w:shd w:val="clear" w:color="auto" w:fill="FF99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106</w:t>
            </w:r>
          </w:p>
        </w:tc>
        <w:tc>
          <w:tcPr>
            <w:tcW w:w="1260" w:type="dxa"/>
            <w:tcBorders>
              <w:top w:val="single" w:sz="12" w:space="0" w:color="auto"/>
              <w:bottom w:val="single" w:sz="12" w:space="0" w:color="auto"/>
            </w:tcBorders>
            <w:shd w:val="clear" w:color="auto" w:fill="FF99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17,7</w:t>
            </w:r>
          </w:p>
        </w:tc>
        <w:tc>
          <w:tcPr>
            <w:tcW w:w="2880" w:type="dxa"/>
            <w:tcBorders>
              <w:top w:val="single" w:sz="12" w:space="0" w:color="auto"/>
              <w:bottom w:val="single" w:sz="12" w:space="0" w:color="auto"/>
              <w:right w:val="single" w:sz="12" w:space="0" w:color="auto"/>
            </w:tcBorders>
            <w:shd w:val="clear" w:color="auto" w:fill="FF99CC"/>
            <w:tcMar>
              <w:left w:w="28" w:type="dxa"/>
              <w:right w:w="28" w:type="dxa"/>
            </w:tcMar>
          </w:tcPr>
          <w:p w:rsidR="00EA1F75" w:rsidRPr="00B13BA5" w:rsidRDefault="00EA1F75" w:rsidP="0028652D">
            <w:pPr>
              <w:jc w:val="right"/>
              <w:rPr>
                <w:b/>
                <w:color w:val="000000"/>
                <w:shd w:val="clear" w:color="auto" w:fill="FFFFFF"/>
              </w:rPr>
            </w:pPr>
            <w:r>
              <w:rPr>
                <w:b/>
                <w:color w:val="000000"/>
                <w:sz w:val="22"/>
                <w:szCs w:val="22"/>
                <w:shd w:val="clear" w:color="auto" w:fill="FFFFFF"/>
              </w:rPr>
              <w:t>2 918 742</w:t>
            </w:r>
          </w:p>
        </w:tc>
      </w:tr>
    </w:tbl>
    <w:p w:rsidR="00EA1F75" w:rsidRDefault="00EA1F75" w:rsidP="00E238EF">
      <w:pPr>
        <w:rPr>
          <w:color w:val="000000"/>
          <w:sz w:val="20"/>
          <w:szCs w:val="20"/>
          <w:shd w:val="clear" w:color="auto" w:fill="FFFFFF"/>
        </w:rPr>
      </w:pPr>
      <w:r>
        <w:rPr>
          <w:color w:val="000000"/>
          <w:sz w:val="20"/>
          <w:szCs w:val="20"/>
          <w:shd w:val="clear" w:color="auto" w:fill="FFFFFF"/>
        </w:rPr>
        <w:t>Zdroj: IS VaVaI/CEA</w:t>
      </w:r>
    </w:p>
    <w:p w:rsidR="00EA1F75" w:rsidRPr="00E238EF" w:rsidRDefault="00EA1F75" w:rsidP="00E238EF">
      <w:pPr>
        <w:rPr>
          <w:color w:val="000000"/>
          <w:sz w:val="20"/>
          <w:szCs w:val="20"/>
          <w:shd w:val="clear" w:color="auto" w:fill="FFFFFF"/>
        </w:rPr>
      </w:pPr>
      <w:r>
        <w:rPr>
          <w:color w:val="000000"/>
          <w:sz w:val="20"/>
          <w:szCs w:val="20"/>
          <w:shd w:val="clear" w:color="auto" w:fill="FFFFFF"/>
        </w:rPr>
        <w:t>* Pozn.: Soutěž je označována rokem, od kdy začíná být poskytována podpora (vlastní soutěž probíhá o rok dříve).</w:t>
      </w:r>
    </w:p>
    <w:p w:rsidR="00EA1F75" w:rsidRPr="00493EF3" w:rsidRDefault="00EA1F75" w:rsidP="00E238EF">
      <w:pPr>
        <w:rPr>
          <w:color w:val="000000"/>
          <w:shd w:val="clear" w:color="auto" w:fill="FFFFFF"/>
        </w:rPr>
      </w:pPr>
    </w:p>
    <w:p w:rsidR="00EA1F75" w:rsidRPr="00E238EF" w:rsidRDefault="00EA1F75" w:rsidP="00BE4014">
      <w:pPr>
        <w:keepNext/>
        <w:rPr>
          <w:b/>
          <w:color w:val="000000"/>
          <w:shd w:val="clear" w:color="auto" w:fill="FFFFFF"/>
        </w:rPr>
      </w:pPr>
      <w:r w:rsidRPr="00E238EF">
        <w:rPr>
          <w:b/>
          <w:color w:val="000000"/>
          <w:shd w:val="clear" w:color="auto" w:fill="FFFFFF"/>
        </w:rPr>
        <w:lastRenderedPageBreak/>
        <w:t xml:space="preserve">Tab. </w:t>
      </w:r>
      <w:proofErr w:type="gramStart"/>
      <w:r w:rsidRPr="00E238EF">
        <w:rPr>
          <w:b/>
          <w:color w:val="000000"/>
          <w:shd w:val="clear" w:color="auto" w:fill="FFFFFF"/>
        </w:rPr>
        <w:t>č.</w:t>
      </w:r>
      <w:proofErr w:type="gramEnd"/>
      <w:r>
        <w:rPr>
          <w:b/>
          <w:color w:val="000000"/>
          <w:shd w:val="clear" w:color="auto" w:fill="FFFFFF"/>
        </w:rPr>
        <w:t xml:space="preserve"> 5</w:t>
      </w:r>
      <w:r w:rsidRPr="00E238EF">
        <w:rPr>
          <w:b/>
          <w:color w:val="000000"/>
          <w:shd w:val="clear" w:color="auto" w:fill="FFFFFF"/>
        </w:rPr>
        <w:t>: Úspěšnost uchazečů v programu NAKI</w:t>
      </w:r>
      <w:r>
        <w:rPr>
          <w:b/>
          <w:color w:val="000000"/>
          <w:shd w:val="clear" w:color="auto" w:fill="FFFFFF"/>
        </w:rPr>
        <w:t xml:space="preserve">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
        <w:gridCol w:w="1728"/>
        <w:gridCol w:w="2160"/>
        <w:gridCol w:w="1260"/>
        <w:gridCol w:w="2880"/>
      </w:tblGrid>
      <w:tr w:rsidR="00EA1F75" w:rsidRPr="00B13BA5" w:rsidTr="00B13BA5">
        <w:trPr>
          <w:tblHeader/>
        </w:trPr>
        <w:tc>
          <w:tcPr>
            <w:tcW w:w="1180" w:type="dxa"/>
            <w:tcBorders>
              <w:top w:val="single" w:sz="12" w:space="0" w:color="auto"/>
              <w:left w:val="single" w:sz="12" w:space="0" w:color="auto"/>
              <w:bottom w:val="single" w:sz="12" w:space="0" w:color="auto"/>
            </w:tcBorders>
            <w:shd w:val="clear" w:color="auto" w:fill="E6E6E6"/>
            <w:tcMar>
              <w:left w:w="28" w:type="dxa"/>
              <w:right w:w="28" w:type="dxa"/>
            </w:tcMar>
            <w:vAlign w:val="center"/>
          </w:tcPr>
          <w:p w:rsidR="00EA1F75" w:rsidRPr="00B13BA5" w:rsidRDefault="00EA1F75" w:rsidP="00B13BA5">
            <w:pPr>
              <w:jc w:val="center"/>
              <w:rPr>
                <w:i/>
                <w:color w:val="000000"/>
                <w:shd w:val="clear" w:color="auto" w:fill="FFFFFF"/>
              </w:rPr>
            </w:pPr>
            <w:r w:rsidRPr="00B13BA5">
              <w:rPr>
                <w:i/>
                <w:color w:val="000000"/>
                <w:sz w:val="22"/>
                <w:szCs w:val="22"/>
                <w:shd w:val="clear" w:color="auto" w:fill="FFFFFF"/>
              </w:rPr>
              <w:t>Soutěž</w:t>
            </w:r>
          </w:p>
        </w:tc>
        <w:tc>
          <w:tcPr>
            <w:tcW w:w="1728" w:type="dxa"/>
            <w:tcBorders>
              <w:top w:val="single" w:sz="12" w:space="0" w:color="auto"/>
              <w:bottom w:val="single" w:sz="12" w:space="0" w:color="auto"/>
            </w:tcBorders>
            <w:shd w:val="clear" w:color="auto" w:fill="E6E6E6"/>
            <w:tcMar>
              <w:left w:w="28" w:type="dxa"/>
              <w:right w:w="28" w:type="dxa"/>
            </w:tcMar>
            <w:vAlign w:val="center"/>
          </w:tcPr>
          <w:p w:rsidR="00EA1F75" w:rsidRPr="00B13BA5" w:rsidRDefault="00EA1F75" w:rsidP="00B13BA5">
            <w:pPr>
              <w:jc w:val="center"/>
              <w:rPr>
                <w:i/>
                <w:color w:val="000000"/>
                <w:shd w:val="clear" w:color="auto" w:fill="FFFFFF"/>
              </w:rPr>
            </w:pPr>
            <w:r w:rsidRPr="00B13BA5">
              <w:rPr>
                <w:i/>
                <w:color w:val="000000"/>
                <w:sz w:val="22"/>
                <w:szCs w:val="22"/>
                <w:shd w:val="clear" w:color="auto" w:fill="FFFFFF"/>
              </w:rPr>
              <w:t>Přihlášek projektů (ks)</w:t>
            </w:r>
          </w:p>
        </w:tc>
        <w:tc>
          <w:tcPr>
            <w:tcW w:w="2160" w:type="dxa"/>
            <w:tcBorders>
              <w:top w:val="single" w:sz="12" w:space="0" w:color="auto"/>
              <w:bottom w:val="single" w:sz="12" w:space="0" w:color="auto"/>
            </w:tcBorders>
            <w:shd w:val="clear" w:color="auto" w:fill="E6E6E6"/>
            <w:tcMar>
              <w:left w:w="28" w:type="dxa"/>
              <w:right w:w="28" w:type="dxa"/>
            </w:tcMar>
            <w:vAlign w:val="center"/>
          </w:tcPr>
          <w:p w:rsidR="00EA1F75" w:rsidRPr="00B13BA5" w:rsidRDefault="00EA1F75" w:rsidP="00B13BA5">
            <w:pPr>
              <w:jc w:val="center"/>
              <w:rPr>
                <w:i/>
                <w:color w:val="000000"/>
                <w:shd w:val="clear" w:color="auto" w:fill="FFFFFF"/>
              </w:rPr>
            </w:pPr>
            <w:r w:rsidRPr="00B13BA5">
              <w:rPr>
                <w:i/>
                <w:color w:val="000000"/>
                <w:sz w:val="22"/>
                <w:szCs w:val="22"/>
                <w:shd w:val="clear" w:color="auto" w:fill="FFFFFF"/>
              </w:rPr>
              <w:t>Podpořeno projektů (ks)</w:t>
            </w:r>
          </w:p>
        </w:tc>
        <w:tc>
          <w:tcPr>
            <w:tcW w:w="1260" w:type="dxa"/>
            <w:tcBorders>
              <w:top w:val="single" w:sz="12" w:space="0" w:color="auto"/>
              <w:bottom w:val="single" w:sz="12" w:space="0" w:color="auto"/>
            </w:tcBorders>
            <w:shd w:val="clear" w:color="auto" w:fill="E6E6E6"/>
            <w:tcMar>
              <w:left w:w="28" w:type="dxa"/>
              <w:right w:w="28" w:type="dxa"/>
            </w:tcMar>
            <w:vAlign w:val="center"/>
          </w:tcPr>
          <w:p w:rsidR="00EA1F75" w:rsidRPr="00B13BA5" w:rsidRDefault="00EA1F75" w:rsidP="00B13BA5">
            <w:pPr>
              <w:jc w:val="center"/>
              <w:rPr>
                <w:b/>
                <w:i/>
                <w:color w:val="000000"/>
                <w:shd w:val="clear" w:color="auto" w:fill="FFFFFF"/>
              </w:rPr>
            </w:pPr>
            <w:r w:rsidRPr="00B13BA5">
              <w:rPr>
                <w:b/>
                <w:i/>
                <w:color w:val="000000"/>
                <w:sz w:val="22"/>
                <w:szCs w:val="22"/>
                <w:shd w:val="clear" w:color="auto" w:fill="FFFFFF"/>
              </w:rPr>
              <w:t>Úspěšnost (%)</w:t>
            </w:r>
          </w:p>
        </w:tc>
        <w:tc>
          <w:tcPr>
            <w:tcW w:w="2880" w:type="dxa"/>
            <w:tcBorders>
              <w:top w:val="single" w:sz="12" w:space="0" w:color="auto"/>
              <w:bottom w:val="single" w:sz="12" w:space="0" w:color="auto"/>
              <w:right w:val="single" w:sz="12" w:space="0" w:color="auto"/>
            </w:tcBorders>
            <w:shd w:val="clear" w:color="auto" w:fill="E6E6E6"/>
            <w:tcMar>
              <w:left w:w="28" w:type="dxa"/>
              <w:right w:w="28" w:type="dxa"/>
            </w:tcMar>
            <w:vAlign w:val="center"/>
          </w:tcPr>
          <w:p w:rsidR="00EA1F75" w:rsidRPr="00B13BA5" w:rsidRDefault="00EA1F75" w:rsidP="00B13BA5">
            <w:pPr>
              <w:jc w:val="center"/>
              <w:rPr>
                <w:i/>
                <w:color w:val="000000"/>
                <w:shd w:val="clear" w:color="auto" w:fill="FFFFFF"/>
              </w:rPr>
            </w:pPr>
            <w:r w:rsidRPr="00B13BA5">
              <w:rPr>
                <w:i/>
                <w:color w:val="000000"/>
                <w:sz w:val="22"/>
                <w:szCs w:val="22"/>
                <w:shd w:val="clear" w:color="auto" w:fill="FFFFFF"/>
              </w:rPr>
              <w:t>Schválená účelová podpora (tis. Kč)</w:t>
            </w:r>
          </w:p>
        </w:tc>
      </w:tr>
      <w:tr w:rsidR="00EA1F75" w:rsidRPr="00B13BA5" w:rsidTr="0028652D">
        <w:tc>
          <w:tcPr>
            <w:tcW w:w="1180" w:type="dxa"/>
            <w:tcBorders>
              <w:top w:val="single" w:sz="12" w:space="0" w:color="auto"/>
              <w:left w:val="single" w:sz="12" w:space="0" w:color="auto"/>
            </w:tcBorders>
            <w:shd w:val="clear" w:color="auto" w:fill="FFFF99"/>
            <w:tcMar>
              <w:left w:w="28" w:type="dxa"/>
              <w:right w:w="28" w:type="dxa"/>
            </w:tcMar>
          </w:tcPr>
          <w:p w:rsidR="00EA1F75" w:rsidRPr="00B13BA5" w:rsidRDefault="00EA1F75" w:rsidP="00744A78">
            <w:pPr>
              <w:rPr>
                <w:color w:val="000000"/>
                <w:shd w:val="clear" w:color="auto" w:fill="FFFFFF"/>
              </w:rPr>
            </w:pPr>
            <w:r w:rsidRPr="00B13BA5">
              <w:rPr>
                <w:color w:val="000000"/>
                <w:sz w:val="22"/>
                <w:szCs w:val="22"/>
                <w:shd w:val="clear" w:color="auto" w:fill="FFFFFF"/>
              </w:rPr>
              <w:t>1. VS 2016</w:t>
            </w:r>
          </w:p>
        </w:tc>
        <w:tc>
          <w:tcPr>
            <w:tcW w:w="1728" w:type="dxa"/>
            <w:tcBorders>
              <w:top w:val="single" w:sz="12" w:space="0" w:color="auto"/>
            </w:tcBorders>
            <w:shd w:val="clear" w:color="auto" w:fill="FFFF99"/>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240</w:t>
            </w:r>
          </w:p>
        </w:tc>
        <w:tc>
          <w:tcPr>
            <w:tcW w:w="2160" w:type="dxa"/>
            <w:tcBorders>
              <w:top w:val="single" w:sz="12" w:space="0" w:color="auto"/>
            </w:tcBorders>
            <w:shd w:val="clear" w:color="auto" w:fill="FFFF99"/>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57</w:t>
            </w:r>
          </w:p>
        </w:tc>
        <w:tc>
          <w:tcPr>
            <w:tcW w:w="1260" w:type="dxa"/>
            <w:tcBorders>
              <w:top w:val="single" w:sz="12" w:space="0" w:color="auto"/>
            </w:tcBorders>
            <w:shd w:val="clear" w:color="auto" w:fill="FFFF99"/>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23,8</w:t>
            </w:r>
          </w:p>
        </w:tc>
        <w:tc>
          <w:tcPr>
            <w:tcW w:w="2880" w:type="dxa"/>
            <w:tcBorders>
              <w:top w:val="single" w:sz="12" w:space="0" w:color="auto"/>
              <w:right w:val="single" w:sz="12" w:space="0" w:color="auto"/>
            </w:tcBorders>
            <w:shd w:val="clear" w:color="auto" w:fill="FFFF99"/>
            <w:tcMar>
              <w:left w:w="28" w:type="dxa"/>
              <w:right w:w="28" w:type="dxa"/>
            </w:tcMar>
          </w:tcPr>
          <w:p w:rsidR="00EA1F75" w:rsidRPr="00B13BA5" w:rsidRDefault="00EA1F75" w:rsidP="00B13BA5">
            <w:pPr>
              <w:jc w:val="right"/>
              <w:rPr>
                <w:color w:val="000000"/>
                <w:shd w:val="clear" w:color="auto" w:fill="FFFFFF"/>
              </w:rPr>
            </w:pPr>
            <w:r w:rsidRPr="0028652D">
              <w:rPr>
                <w:b/>
                <w:color w:val="000000"/>
                <w:sz w:val="22"/>
                <w:szCs w:val="22"/>
                <w:shd w:val="clear" w:color="auto" w:fill="FFFFFF"/>
              </w:rPr>
              <w:t>1 048 046</w:t>
            </w:r>
          </w:p>
        </w:tc>
      </w:tr>
      <w:tr w:rsidR="00EA1F75" w:rsidRPr="00B13BA5" w:rsidTr="0028652D">
        <w:tc>
          <w:tcPr>
            <w:tcW w:w="1180" w:type="dxa"/>
            <w:tcBorders>
              <w:left w:val="single" w:sz="12" w:space="0" w:color="auto"/>
            </w:tcBorders>
            <w:shd w:val="clear" w:color="auto" w:fill="CCFFCC"/>
            <w:tcMar>
              <w:left w:w="28" w:type="dxa"/>
              <w:right w:w="28" w:type="dxa"/>
            </w:tcMar>
          </w:tcPr>
          <w:p w:rsidR="00EA1F75" w:rsidRPr="00B13BA5" w:rsidRDefault="00EA1F75" w:rsidP="00744A78">
            <w:pPr>
              <w:rPr>
                <w:color w:val="000000"/>
                <w:shd w:val="clear" w:color="auto" w:fill="FFFFFF"/>
              </w:rPr>
            </w:pPr>
            <w:r w:rsidRPr="00B13BA5">
              <w:rPr>
                <w:color w:val="000000"/>
                <w:sz w:val="22"/>
                <w:szCs w:val="22"/>
                <w:shd w:val="clear" w:color="auto" w:fill="FFFFFF"/>
              </w:rPr>
              <w:t>2. VS 2018</w:t>
            </w:r>
          </w:p>
        </w:tc>
        <w:tc>
          <w:tcPr>
            <w:tcW w:w="1728" w:type="dxa"/>
            <w:shd w:val="clear" w:color="auto" w:fill="CCFF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196</w:t>
            </w:r>
          </w:p>
        </w:tc>
        <w:tc>
          <w:tcPr>
            <w:tcW w:w="2160" w:type="dxa"/>
            <w:shd w:val="clear" w:color="auto" w:fill="CCFF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70</w:t>
            </w:r>
          </w:p>
        </w:tc>
        <w:tc>
          <w:tcPr>
            <w:tcW w:w="1260" w:type="dxa"/>
            <w:shd w:val="clear" w:color="auto" w:fill="CCFF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35,7</w:t>
            </w:r>
          </w:p>
        </w:tc>
        <w:tc>
          <w:tcPr>
            <w:tcW w:w="2880" w:type="dxa"/>
            <w:tcBorders>
              <w:right w:val="single" w:sz="12" w:space="0" w:color="auto"/>
            </w:tcBorders>
            <w:shd w:val="clear" w:color="auto" w:fill="CCFFCC"/>
            <w:tcMar>
              <w:left w:w="28" w:type="dxa"/>
              <w:right w:w="28" w:type="dxa"/>
            </w:tcMar>
          </w:tcPr>
          <w:p w:rsidR="00EA1F75" w:rsidRPr="00B13BA5" w:rsidRDefault="00EA1F75" w:rsidP="00B13BA5">
            <w:pPr>
              <w:jc w:val="right"/>
              <w:rPr>
                <w:color w:val="000000"/>
                <w:shd w:val="clear" w:color="auto" w:fill="FFFFFF"/>
              </w:rPr>
            </w:pPr>
            <w:r w:rsidRPr="0028652D">
              <w:rPr>
                <w:b/>
                <w:color w:val="000000"/>
                <w:sz w:val="22"/>
                <w:szCs w:val="22"/>
                <w:shd w:val="clear" w:color="auto" w:fill="FFFFFF"/>
              </w:rPr>
              <w:t>1 322 376</w:t>
            </w:r>
          </w:p>
        </w:tc>
      </w:tr>
      <w:tr w:rsidR="00EA1F75" w:rsidRPr="00B13BA5" w:rsidTr="0028652D">
        <w:tc>
          <w:tcPr>
            <w:tcW w:w="1180" w:type="dxa"/>
            <w:tcBorders>
              <w:left w:val="single" w:sz="12" w:space="0" w:color="auto"/>
              <w:bottom w:val="single" w:sz="12" w:space="0" w:color="auto"/>
            </w:tcBorders>
            <w:shd w:val="clear" w:color="auto" w:fill="FF99CC"/>
            <w:tcMar>
              <w:left w:w="28" w:type="dxa"/>
              <w:right w:w="28" w:type="dxa"/>
            </w:tcMar>
          </w:tcPr>
          <w:p w:rsidR="00EA1F75" w:rsidRPr="00B13BA5" w:rsidRDefault="00EA1F75" w:rsidP="00744A78">
            <w:pPr>
              <w:rPr>
                <w:color w:val="000000"/>
                <w:shd w:val="clear" w:color="auto" w:fill="FFFFFF"/>
              </w:rPr>
            </w:pPr>
            <w:r w:rsidRPr="00B13BA5">
              <w:rPr>
                <w:color w:val="000000"/>
                <w:sz w:val="22"/>
                <w:szCs w:val="22"/>
                <w:shd w:val="clear" w:color="auto" w:fill="FFFFFF"/>
              </w:rPr>
              <w:t>3. VS 2020</w:t>
            </w:r>
          </w:p>
        </w:tc>
        <w:tc>
          <w:tcPr>
            <w:tcW w:w="1728" w:type="dxa"/>
            <w:tcBorders>
              <w:bottom w:val="single" w:sz="12" w:space="0" w:color="auto"/>
            </w:tcBorders>
            <w:shd w:val="clear" w:color="auto" w:fill="FF99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145</w:t>
            </w:r>
          </w:p>
        </w:tc>
        <w:tc>
          <w:tcPr>
            <w:tcW w:w="2160" w:type="dxa"/>
            <w:tcBorders>
              <w:bottom w:val="single" w:sz="12" w:space="0" w:color="auto"/>
            </w:tcBorders>
            <w:shd w:val="clear" w:color="auto" w:fill="FF99CC"/>
            <w:tcMar>
              <w:left w:w="28" w:type="dxa"/>
              <w:right w:w="28" w:type="dxa"/>
            </w:tcMar>
          </w:tcPr>
          <w:p w:rsidR="00EA1F75" w:rsidRPr="00B13BA5" w:rsidRDefault="00EA1F75" w:rsidP="00B13BA5">
            <w:pPr>
              <w:jc w:val="center"/>
              <w:rPr>
                <w:color w:val="000000"/>
                <w:shd w:val="clear" w:color="auto" w:fill="FFFFFF"/>
              </w:rPr>
            </w:pPr>
            <w:r w:rsidRPr="00B13BA5">
              <w:rPr>
                <w:color w:val="000000"/>
                <w:sz w:val="22"/>
                <w:szCs w:val="22"/>
                <w:shd w:val="clear" w:color="auto" w:fill="FFFFFF"/>
              </w:rPr>
              <w:t>29</w:t>
            </w:r>
          </w:p>
        </w:tc>
        <w:tc>
          <w:tcPr>
            <w:tcW w:w="1260" w:type="dxa"/>
            <w:tcBorders>
              <w:bottom w:val="single" w:sz="12" w:space="0" w:color="auto"/>
            </w:tcBorders>
            <w:shd w:val="clear" w:color="auto" w:fill="FF99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20,0</w:t>
            </w:r>
          </w:p>
        </w:tc>
        <w:tc>
          <w:tcPr>
            <w:tcW w:w="2880" w:type="dxa"/>
            <w:tcBorders>
              <w:bottom w:val="single" w:sz="12" w:space="0" w:color="auto"/>
              <w:right w:val="single" w:sz="12" w:space="0" w:color="auto"/>
            </w:tcBorders>
            <w:shd w:val="clear" w:color="auto" w:fill="FF99CC"/>
            <w:tcMar>
              <w:left w:w="28" w:type="dxa"/>
              <w:right w:w="28" w:type="dxa"/>
            </w:tcMar>
          </w:tcPr>
          <w:p w:rsidR="00EA1F75" w:rsidRPr="00B13BA5" w:rsidRDefault="00EA1F75" w:rsidP="00B13BA5">
            <w:pPr>
              <w:jc w:val="right"/>
              <w:rPr>
                <w:color w:val="000000"/>
                <w:shd w:val="clear" w:color="auto" w:fill="FFFFFF"/>
              </w:rPr>
            </w:pPr>
            <w:r w:rsidRPr="0028652D">
              <w:rPr>
                <w:b/>
                <w:color w:val="000000"/>
                <w:sz w:val="22"/>
                <w:szCs w:val="22"/>
                <w:shd w:val="clear" w:color="auto" w:fill="FFFFFF"/>
              </w:rPr>
              <w:t>436 618</w:t>
            </w:r>
          </w:p>
        </w:tc>
      </w:tr>
      <w:tr w:rsidR="00EA1F75" w:rsidRPr="00B13BA5" w:rsidTr="0028652D">
        <w:tc>
          <w:tcPr>
            <w:tcW w:w="1180" w:type="dxa"/>
            <w:tcBorders>
              <w:top w:val="single" w:sz="12" w:space="0" w:color="auto"/>
              <w:left w:val="single" w:sz="12" w:space="0" w:color="auto"/>
              <w:bottom w:val="single" w:sz="12" w:space="0" w:color="auto"/>
            </w:tcBorders>
            <w:shd w:val="clear" w:color="auto" w:fill="CCFFCC"/>
            <w:tcMar>
              <w:left w:w="28" w:type="dxa"/>
              <w:right w:w="28" w:type="dxa"/>
            </w:tcMar>
          </w:tcPr>
          <w:p w:rsidR="00EA1F75" w:rsidRPr="00B13BA5" w:rsidRDefault="00EA1F75" w:rsidP="00744A78">
            <w:pPr>
              <w:rPr>
                <w:b/>
                <w:color w:val="000000"/>
                <w:shd w:val="clear" w:color="auto" w:fill="FFFFFF"/>
              </w:rPr>
            </w:pPr>
            <w:r w:rsidRPr="00B13BA5">
              <w:rPr>
                <w:b/>
                <w:color w:val="000000"/>
                <w:sz w:val="22"/>
                <w:szCs w:val="22"/>
                <w:shd w:val="clear" w:color="auto" w:fill="FFFFFF"/>
              </w:rPr>
              <w:t>Celkem</w:t>
            </w:r>
          </w:p>
        </w:tc>
        <w:tc>
          <w:tcPr>
            <w:tcW w:w="1728" w:type="dxa"/>
            <w:tcBorders>
              <w:top w:val="single" w:sz="12" w:space="0" w:color="auto"/>
              <w:bottom w:val="single" w:sz="12" w:space="0" w:color="auto"/>
            </w:tcBorders>
            <w:shd w:val="clear" w:color="auto" w:fill="CCFF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581</w:t>
            </w:r>
          </w:p>
        </w:tc>
        <w:tc>
          <w:tcPr>
            <w:tcW w:w="2160" w:type="dxa"/>
            <w:tcBorders>
              <w:top w:val="single" w:sz="12" w:space="0" w:color="auto"/>
              <w:bottom w:val="single" w:sz="12" w:space="0" w:color="auto"/>
            </w:tcBorders>
            <w:shd w:val="clear" w:color="auto" w:fill="CCFF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156</w:t>
            </w:r>
          </w:p>
        </w:tc>
        <w:tc>
          <w:tcPr>
            <w:tcW w:w="1260" w:type="dxa"/>
            <w:tcBorders>
              <w:top w:val="single" w:sz="12" w:space="0" w:color="auto"/>
              <w:bottom w:val="single" w:sz="12" w:space="0" w:color="auto"/>
            </w:tcBorders>
            <w:shd w:val="clear" w:color="auto" w:fill="CCFFCC"/>
            <w:tcMar>
              <w:left w:w="28" w:type="dxa"/>
              <w:right w:w="28" w:type="dxa"/>
            </w:tcMar>
          </w:tcPr>
          <w:p w:rsidR="00EA1F75" w:rsidRPr="00B13BA5" w:rsidRDefault="00EA1F75" w:rsidP="00B13BA5">
            <w:pPr>
              <w:jc w:val="center"/>
              <w:rPr>
                <w:b/>
                <w:color w:val="000000"/>
                <w:shd w:val="clear" w:color="auto" w:fill="FFFFFF"/>
              </w:rPr>
            </w:pPr>
            <w:r w:rsidRPr="00B13BA5">
              <w:rPr>
                <w:b/>
                <w:color w:val="000000"/>
                <w:sz w:val="22"/>
                <w:szCs w:val="22"/>
                <w:shd w:val="clear" w:color="auto" w:fill="FFFFFF"/>
              </w:rPr>
              <w:t>26,8</w:t>
            </w:r>
          </w:p>
        </w:tc>
        <w:tc>
          <w:tcPr>
            <w:tcW w:w="2880" w:type="dxa"/>
            <w:tcBorders>
              <w:top w:val="single" w:sz="12" w:space="0" w:color="auto"/>
              <w:bottom w:val="single" w:sz="12" w:space="0" w:color="auto"/>
              <w:right w:val="single" w:sz="12" w:space="0" w:color="auto"/>
            </w:tcBorders>
            <w:shd w:val="clear" w:color="auto" w:fill="CCFFCC"/>
            <w:tcMar>
              <w:left w:w="28" w:type="dxa"/>
              <w:right w:w="28" w:type="dxa"/>
            </w:tcMar>
          </w:tcPr>
          <w:p w:rsidR="00EA1F75" w:rsidRPr="00B13BA5" w:rsidRDefault="00EA1F75" w:rsidP="00B13BA5">
            <w:pPr>
              <w:jc w:val="right"/>
              <w:rPr>
                <w:b/>
                <w:color w:val="000000"/>
                <w:shd w:val="clear" w:color="auto" w:fill="FFFFFF"/>
              </w:rPr>
            </w:pPr>
            <w:r w:rsidRPr="00B13BA5">
              <w:rPr>
                <w:b/>
                <w:color w:val="000000"/>
                <w:sz w:val="22"/>
                <w:szCs w:val="22"/>
                <w:shd w:val="clear" w:color="auto" w:fill="FFFFFF"/>
              </w:rPr>
              <w:t>2 807 040</w:t>
            </w:r>
          </w:p>
        </w:tc>
      </w:tr>
    </w:tbl>
    <w:p w:rsidR="00EA1F75" w:rsidRDefault="00EA1F75" w:rsidP="0026459C">
      <w:pPr>
        <w:rPr>
          <w:color w:val="000000"/>
          <w:sz w:val="20"/>
          <w:szCs w:val="20"/>
          <w:shd w:val="clear" w:color="auto" w:fill="FFFFFF"/>
        </w:rPr>
      </w:pPr>
      <w:r>
        <w:rPr>
          <w:color w:val="000000"/>
          <w:sz w:val="20"/>
          <w:szCs w:val="20"/>
          <w:shd w:val="clear" w:color="auto" w:fill="FFFFFF"/>
        </w:rPr>
        <w:t>Zdroj: IS VaVaI/CEA</w:t>
      </w:r>
    </w:p>
    <w:p w:rsidR="00EA1F75" w:rsidRPr="00E238EF" w:rsidRDefault="00EA1F75" w:rsidP="0026459C">
      <w:pPr>
        <w:rPr>
          <w:color w:val="000000"/>
          <w:sz w:val="20"/>
          <w:szCs w:val="20"/>
          <w:shd w:val="clear" w:color="auto" w:fill="FFFFFF"/>
        </w:rPr>
      </w:pPr>
      <w:r>
        <w:rPr>
          <w:color w:val="000000"/>
          <w:sz w:val="20"/>
          <w:szCs w:val="20"/>
          <w:shd w:val="clear" w:color="auto" w:fill="FFFFFF"/>
        </w:rPr>
        <w:t>* Pozn.: Soutěž je označována rokem, od kdy začíná být poskytována podpora (vlastní soutěž probíhá o rok dříve).</w:t>
      </w:r>
    </w:p>
    <w:p w:rsidR="00EA1F75" w:rsidRDefault="00EA1F75" w:rsidP="00751822">
      <w:pPr>
        <w:rPr>
          <w:color w:val="000000"/>
          <w:shd w:val="clear" w:color="auto" w:fill="FFFFFF"/>
        </w:rPr>
      </w:pPr>
    </w:p>
    <w:p w:rsidR="00EA1F75" w:rsidRDefault="00EA1F75" w:rsidP="00751822">
      <w:pPr>
        <w:rPr>
          <w:color w:val="000000"/>
          <w:shd w:val="clear" w:color="auto" w:fill="FFFFFF"/>
        </w:rPr>
      </w:pPr>
      <w:r>
        <w:rPr>
          <w:color w:val="000000"/>
          <w:shd w:val="clear" w:color="auto" w:fill="FFFFFF"/>
        </w:rPr>
        <w:t>Absorpční kapacita Programu je prakticky konstantní (počet výzkumných organizací působících v této oblasti se téměř nemění a ani v Programu novou možností zapojení podniků</w:t>
      </w:r>
      <w:r>
        <w:rPr>
          <w:rStyle w:val="Odkaznavysvtlivky"/>
          <w:color w:val="000000"/>
          <w:shd w:val="clear" w:color="auto" w:fill="FFFFFF"/>
        </w:rPr>
        <w:endnoteReference w:id="8"/>
      </w:r>
      <w:r>
        <w:rPr>
          <w:color w:val="000000"/>
          <w:shd w:val="clear" w:color="auto" w:fill="FFFFFF"/>
        </w:rPr>
        <w:t xml:space="preserve"> se, vzhledem k dlouhodobé ekonomické prognóze v souvislosti s </w:t>
      </w:r>
      <w:proofErr w:type="spellStart"/>
      <w:r>
        <w:rPr>
          <w:color w:val="000000"/>
          <w:shd w:val="clear" w:color="auto" w:fill="FFFFFF"/>
        </w:rPr>
        <w:t>koronavirem</w:t>
      </w:r>
      <w:proofErr w:type="spellEnd"/>
      <w:r>
        <w:rPr>
          <w:color w:val="000000"/>
          <w:shd w:val="clear" w:color="auto" w:fill="FFFFFF"/>
        </w:rPr>
        <w:t xml:space="preserve">, absorpční kapacita zřejmě příliš nezmění – viz kap. 16), což umožňuje navrhnout výdaje Programu tak, aby v jednotlivých veřejných soutěžích Programu mohly být podpořeny </w:t>
      </w:r>
      <w:r>
        <w:t xml:space="preserve">všechny doporučené kvalitní projekty (tj., aby </w:t>
      </w:r>
      <w:r>
        <w:rPr>
          <w:color w:val="000000"/>
          <w:shd w:val="clear" w:color="auto" w:fill="FFFFFF"/>
        </w:rPr>
        <w:t>úspěšnost uchazečů byla min. 25 %). Tento podíl je podle dlouhodobých zkušeností jedním z předpokladů pro podporu kvalitních projektů zabezpečujících plnění cílů Programu a současně je z hlediska administrativní náročnosti optimální pro uchazeče i poskytovatele. Jde samozřejmě jen o předpoklad, do kterého mohou zasáhnout jak změny dané možnostmi státního rozpočtu (jako v 1. VS programu NAKI – krácení výdajů atd.), tak další faktory - od celkové ekonomické situace až po změny zájmu uchazečů o řešení projektů Programu.</w:t>
      </w:r>
    </w:p>
    <w:p w:rsidR="00EA1F75" w:rsidRPr="0026459C" w:rsidRDefault="00EA1F75" w:rsidP="00751822">
      <w:pPr>
        <w:rPr>
          <w:color w:val="000000"/>
          <w:shd w:val="clear" w:color="auto" w:fill="FFFFFF"/>
        </w:rPr>
      </w:pPr>
    </w:p>
    <w:p w:rsidR="00EA1F75" w:rsidRPr="003D775D" w:rsidRDefault="00EA1F75" w:rsidP="00B51465">
      <w:pPr>
        <w:pStyle w:val="Nadpis1"/>
      </w:pPr>
      <w:bookmarkStart w:id="22" w:name="_Toc61616882"/>
      <w:r w:rsidRPr="003D775D">
        <w:t>13. Stanovení způsobu hodnocení a výběru projektů</w:t>
      </w:r>
      <w:bookmarkEnd w:id="22"/>
    </w:p>
    <w:p w:rsidR="00EA1F75" w:rsidRPr="00A03CEA" w:rsidRDefault="00EA1F75" w:rsidP="00B51465">
      <w:pPr>
        <w:pStyle w:val="Nadpis2"/>
      </w:pPr>
      <w:bookmarkStart w:id="23" w:name="_Toc61616883"/>
      <w:r>
        <w:t xml:space="preserve">13.1 </w:t>
      </w:r>
      <w:r w:rsidRPr="00A03CEA">
        <w:t>Hodnocení návrhů projektů</w:t>
      </w:r>
      <w:bookmarkEnd w:id="23"/>
    </w:p>
    <w:p w:rsidR="00EA1F75" w:rsidRPr="0070074D" w:rsidRDefault="00EA1F75" w:rsidP="00F86144">
      <w:pPr>
        <w:rPr>
          <w:color w:val="000000"/>
          <w:shd w:val="clear" w:color="auto" w:fill="FFFFFF"/>
        </w:rPr>
      </w:pPr>
      <w:r w:rsidRPr="0070074D">
        <w:rPr>
          <w:color w:val="000000"/>
          <w:shd w:val="clear" w:color="auto" w:fill="FFFFFF"/>
        </w:rPr>
        <w:t>Návrhy projektů budou komplexně hodnoceny v souladu se zákonem č. 130/2002 Sb. odborným poradním orgánem pro hodnocení návrhů projektů jmenovaným poskytovatelem, s využitím nejméně dvou posudků nezávislých oponentů podle míry souladu s následujícími kritérii, která budou uplatněna při hodnocení návrhů projektů zahrnujícími i míru naplnění vyhlášených priorit pro podporu projektů výzkumu a vývoje.</w:t>
      </w:r>
      <w:r>
        <w:rPr>
          <w:color w:val="000000"/>
          <w:shd w:val="clear" w:color="auto" w:fill="FFFFFF"/>
        </w:rPr>
        <w:t xml:space="preserve"> Vlastnímu hodnocení předchází </w:t>
      </w:r>
      <w:r>
        <w:t>přijímání návrhů projektů v souladu s postupem stanoveným zákonem č. 130/2002 Sb.</w:t>
      </w:r>
    </w:p>
    <w:p w:rsidR="00EA1F75" w:rsidRDefault="00EA1F75" w:rsidP="003D775D"/>
    <w:p w:rsidR="00EA1F75" w:rsidRPr="003D775D" w:rsidRDefault="00EA1F75" w:rsidP="003D775D">
      <w:r w:rsidRPr="003D775D">
        <w:t xml:space="preserve">Hodnocení návrhů projektů se bude skládat </w:t>
      </w:r>
      <w:r w:rsidRPr="0070074D">
        <w:t>z</w:t>
      </w:r>
      <w:r>
        <w:t xml:space="preserve"> pěti</w:t>
      </w:r>
      <w:r w:rsidRPr="0070074D">
        <w:t xml:space="preserve"> částí</w:t>
      </w:r>
      <w:r w:rsidRPr="003D775D">
        <w:rPr>
          <w:b/>
        </w:rPr>
        <w:t xml:space="preserve"> </w:t>
      </w:r>
      <w:r w:rsidRPr="003D775D">
        <w:t>– hodnocení nejméně dvou oponentů</w:t>
      </w:r>
      <w:r>
        <w:t xml:space="preserve"> (v případě, že se jejich doporučení liší, je jmenován třetí oponent)</w:t>
      </w:r>
      <w:r w:rsidRPr="003D775D">
        <w:t>, poskytovatele</w:t>
      </w:r>
      <w:r>
        <w:t>,</w:t>
      </w:r>
      <w:r w:rsidRPr="003D775D">
        <w:t xml:space="preserve"> zpravodaje</w:t>
      </w:r>
      <w:r>
        <w:t>, rady programu – Rady ministra kultury pro výzkum (dále jen „RMKPV“) a konečné rozhodnutí poskytovatele</w:t>
      </w:r>
      <w:r w:rsidRPr="003D775D">
        <w:t>:</w:t>
      </w:r>
    </w:p>
    <w:p w:rsidR="00EA1F75" w:rsidRPr="003D775D" w:rsidRDefault="00EA1F75" w:rsidP="003D775D">
      <w:pPr>
        <w:ind w:left="420" w:hanging="420"/>
      </w:pPr>
      <w:r w:rsidRPr="003D775D">
        <w:t>1.</w:t>
      </w:r>
      <w:r w:rsidRPr="003D775D">
        <w:tab/>
      </w:r>
      <w:r w:rsidRPr="003D775D">
        <w:rPr>
          <w:b/>
        </w:rPr>
        <w:t>Oponenti</w:t>
      </w:r>
      <w:r w:rsidRPr="003D775D">
        <w:t xml:space="preserve"> budou návrh projektu hodnotit </w:t>
      </w:r>
      <w:r>
        <w:t xml:space="preserve">zejména </w:t>
      </w:r>
      <w:r w:rsidRPr="003D775D">
        <w:t>podle následujících kritérií</w:t>
      </w:r>
    </w:p>
    <w:p w:rsidR="00EA1F75" w:rsidRPr="003D775D" w:rsidRDefault="00EA1F75" w:rsidP="003D775D">
      <w:pPr>
        <w:ind w:left="720" w:hanging="284"/>
      </w:pPr>
      <w:r w:rsidRPr="003D775D">
        <w:t>1</w:t>
      </w:r>
      <w:r>
        <w:t>.</w:t>
      </w:r>
      <w:r>
        <w:tab/>
      </w:r>
      <w:r w:rsidRPr="003D775D">
        <w:t xml:space="preserve">kvalita řešitelského týmu a jeho kvalifikační složení odpovídající cílům projektu </w:t>
      </w:r>
      <w:r>
        <w:t>(</w:t>
      </w:r>
      <w:r w:rsidRPr="003D775D">
        <w:t>vč. příslušných odborníků</w:t>
      </w:r>
      <w:r>
        <w:t xml:space="preserve">) s důrazem na úlohu odpovědného řešitele projektu (minimální úvazek na projektu 0,25 FTE) a s bonifikací společných </w:t>
      </w:r>
      <w:r w:rsidRPr="00EB2C90">
        <w:t>konsorciální</w:t>
      </w:r>
      <w:r>
        <w:t>ch</w:t>
      </w:r>
      <w:r w:rsidRPr="00EB2C90">
        <w:t xml:space="preserve"> projekt</w:t>
      </w:r>
      <w:r>
        <w:t>ů</w:t>
      </w:r>
      <w:r w:rsidRPr="00EB2C90">
        <w:t xml:space="preserve"> vysokých škol a/nebo ústavů Akademie věd ČR s resortními výzkumnými organizacemi usnadňujícími transfer výsledků do praxe</w:t>
      </w:r>
      <w:r w:rsidRPr="003D775D">
        <w:t>,</w:t>
      </w:r>
    </w:p>
    <w:p w:rsidR="00EA1F75" w:rsidRPr="003D775D" w:rsidRDefault="00EA1F75" w:rsidP="003D775D">
      <w:pPr>
        <w:ind w:left="720" w:hanging="284"/>
      </w:pPr>
      <w:r w:rsidRPr="003D775D">
        <w:lastRenderedPageBreak/>
        <w:t>2</w:t>
      </w:r>
      <w:r>
        <w:t>.</w:t>
      </w:r>
      <w:r>
        <w:tab/>
        <w:t>analýza</w:t>
      </w:r>
      <w:r w:rsidRPr="003D775D">
        <w:t xml:space="preserve"> stavu řešení </w:t>
      </w:r>
      <w:r>
        <w:t xml:space="preserve">dané problematiky </w:t>
      </w:r>
      <w:r w:rsidRPr="003D775D">
        <w:t>v ČR s referencemi na odbornou literaturu,</w:t>
      </w:r>
    </w:p>
    <w:p w:rsidR="00EA1F75" w:rsidRPr="003D775D" w:rsidRDefault="00EA1F75" w:rsidP="003D775D">
      <w:pPr>
        <w:ind w:left="720" w:hanging="284"/>
      </w:pPr>
      <w:r w:rsidRPr="003D775D">
        <w:t>3</w:t>
      </w:r>
      <w:r>
        <w:t>.</w:t>
      </w:r>
      <w:r>
        <w:tab/>
        <w:t>analýza</w:t>
      </w:r>
      <w:r w:rsidRPr="003D775D">
        <w:t xml:space="preserve"> stavu řešení </w:t>
      </w:r>
      <w:r>
        <w:t xml:space="preserve">dané problematiky </w:t>
      </w:r>
      <w:r w:rsidRPr="003D775D">
        <w:t>v zahraničí s referencemi na odbornou literaturu,</w:t>
      </w:r>
    </w:p>
    <w:p w:rsidR="00EA1F75" w:rsidRPr="003D775D" w:rsidRDefault="00EA1F75" w:rsidP="003D775D">
      <w:pPr>
        <w:ind w:left="720" w:hanging="284"/>
      </w:pPr>
      <w:r w:rsidRPr="003D775D">
        <w:t>4</w:t>
      </w:r>
      <w:r>
        <w:t>.</w:t>
      </w:r>
      <w:r>
        <w:tab/>
      </w:r>
      <w:r w:rsidRPr="003D775D">
        <w:t>návaznost na obdobné dříve řešené projekty</w:t>
      </w:r>
      <w:r>
        <w:t xml:space="preserve"> a vymezení přínosů projektu</w:t>
      </w:r>
      <w:r w:rsidRPr="003D775D">
        <w:t>,</w:t>
      </w:r>
    </w:p>
    <w:p w:rsidR="00EA1F75" w:rsidRPr="003D775D" w:rsidRDefault="00EA1F75" w:rsidP="003D775D">
      <w:pPr>
        <w:ind w:left="720" w:hanging="284"/>
      </w:pPr>
      <w:r w:rsidRPr="003D775D">
        <w:t>5</w:t>
      </w:r>
      <w:r>
        <w:t>.</w:t>
      </w:r>
      <w:r>
        <w:tab/>
      </w:r>
      <w:r w:rsidRPr="003D775D">
        <w:t>způsob řešení projektu - konkretizace a přiměřenost cílů, vědeckých metod a organizačních principů projektu,</w:t>
      </w:r>
    </w:p>
    <w:p w:rsidR="00EA1F75" w:rsidRPr="003D775D" w:rsidRDefault="00EA1F75" w:rsidP="003D775D">
      <w:pPr>
        <w:ind w:left="720" w:hanging="284"/>
      </w:pPr>
      <w:r w:rsidRPr="003D775D">
        <w:t>6</w:t>
      </w:r>
      <w:r>
        <w:t>.</w:t>
      </w:r>
      <w:r>
        <w:tab/>
      </w:r>
      <w:r w:rsidRPr="003D775D">
        <w:t>výsledky projektu a jejich provázanost s cíli projektu</w:t>
      </w:r>
      <w:r>
        <w:t xml:space="preserve"> s bonifikací excelentních výsledků zejména v aplikovaném výzkumu, ale i v souvisejícím základním výzkumu</w:t>
      </w:r>
      <w:r w:rsidRPr="003D775D">
        <w:t>,</w:t>
      </w:r>
    </w:p>
    <w:p w:rsidR="00EA1F75" w:rsidRDefault="00EA1F75" w:rsidP="003D775D">
      <w:pPr>
        <w:ind w:left="720" w:hanging="284"/>
      </w:pPr>
      <w:r w:rsidRPr="003D775D">
        <w:t>7</w:t>
      </w:r>
      <w:r>
        <w:t>.</w:t>
      </w:r>
      <w:r>
        <w:tab/>
      </w:r>
      <w:r w:rsidRPr="003D775D">
        <w:t>analýza rizik projektu.</w:t>
      </w:r>
    </w:p>
    <w:p w:rsidR="00EA1F75" w:rsidRPr="003D775D" w:rsidRDefault="00EA1F75" w:rsidP="003D775D">
      <w:pPr>
        <w:ind w:left="720" w:hanging="284"/>
      </w:pPr>
    </w:p>
    <w:p w:rsidR="00EA1F75" w:rsidRPr="003D775D" w:rsidRDefault="00EA1F75" w:rsidP="00122755">
      <w:pPr>
        <w:ind w:left="360" w:hanging="360"/>
      </w:pPr>
      <w:r>
        <w:t>2.</w:t>
      </w:r>
      <w:r w:rsidRPr="003D775D">
        <w:tab/>
      </w:r>
      <w:r w:rsidRPr="003D775D">
        <w:rPr>
          <w:b/>
        </w:rPr>
        <w:t xml:space="preserve">Poskytovatel </w:t>
      </w:r>
      <w:r w:rsidRPr="0070074D">
        <w:t>ve spolupráci s ekonomickým zpravodajem</w:t>
      </w:r>
      <w:r w:rsidRPr="003D775D">
        <w:t xml:space="preserve"> </w:t>
      </w:r>
      <w:r>
        <w:t xml:space="preserve">RMKPV </w:t>
      </w:r>
      <w:r w:rsidRPr="003D775D">
        <w:t xml:space="preserve">bude hodnotit návrhy projektů </w:t>
      </w:r>
      <w:r>
        <w:t xml:space="preserve">zejména </w:t>
      </w:r>
      <w:r w:rsidRPr="003D775D">
        <w:t xml:space="preserve">podle </w:t>
      </w:r>
      <w:r>
        <w:t>následujících</w:t>
      </w:r>
      <w:r w:rsidRPr="003D775D">
        <w:t xml:space="preserve"> kritérií:</w:t>
      </w:r>
    </w:p>
    <w:p w:rsidR="00EA1F75" w:rsidRPr="003D775D" w:rsidRDefault="00EA1F75" w:rsidP="0070074D">
      <w:pPr>
        <w:ind w:left="720" w:hanging="284"/>
      </w:pPr>
      <w:r w:rsidRPr="003D775D">
        <w:t>1</w:t>
      </w:r>
      <w:r>
        <w:t>.</w:t>
      </w:r>
      <w:r>
        <w:tab/>
      </w:r>
      <w:r w:rsidRPr="003D775D">
        <w:t>přezkoumatelnost návrhu (tj. soulad kvantifikovaných údajů v jednotlivých částech</w:t>
      </w:r>
      <w:r>
        <w:t xml:space="preserve"> návrhu projektu</w:t>
      </w:r>
      <w:r w:rsidRPr="003D775D">
        <w:t xml:space="preserve">) a použití platných formulářů dle pravidel </w:t>
      </w:r>
      <w:r>
        <w:t>zadávací dokumentace),</w:t>
      </w:r>
    </w:p>
    <w:p w:rsidR="00EA1F75" w:rsidRPr="003D775D" w:rsidRDefault="00EA1F75" w:rsidP="0070074D">
      <w:pPr>
        <w:ind w:left="720" w:hanging="284"/>
      </w:pPr>
      <w:r w:rsidRPr="003D775D">
        <w:t>2</w:t>
      </w:r>
      <w:r>
        <w:t>.</w:t>
      </w:r>
      <w:r>
        <w:tab/>
      </w:r>
      <w:r w:rsidRPr="003D775D">
        <w:t>uznatelnost nákladů (soulad s vymezením jednotlivých výdajů podle zadávací dokumentace),</w:t>
      </w:r>
      <w:r>
        <w:t xml:space="preserve"> včetně navržené intenzity podpory a splnění podmínek pro ni (viz kap. 6),</w:t>
      </w:r>
    </w:p>
    <w:p w:rsidR="00EA1F75" w:rsidRDefault="00EA1F75" w:rsidP="0070074D">
      <w:pPr>
        <w:ind w:left="720" w:hanging="284"/>
      </w:pPr>
      <w:r w:rsidRPr="003D775D">
        <w:t>3</w:t>
      </w:r>
      <w:r>
        <w:t>.</w:t>
      </w:r>
      <w:r>
        <w:tab/>
      </w:r>
      <w:r w:rsidRPr="003D775D">
        <w:t xml:space="preserve">soulad </w:t>
      </w:r>
      <w:r>
        <w:t xml:space="preserve">předpokládaných </w:t>
      </w:r>
      <w:r w:rsidRPr="003D775D">
        <w:t>výsledků s jejich definicemi.</w:t>
      </w:r>
    </w:p>
    <w:p w:rsidR="00EA1F75" w:rsidRDefault="00EA1F75" w:rsidP="002947E9">
      <w:r>
        <w:t>Hodnocení oponentů a poskytovatele bude probíhat paralelně tak, aby zpravodaj projektu a pak RMKPV měli jejich hodnocení k dispozici a mohli se s ním ztotožnit nebo navrhnout nezbytné korekce.</w:t>
      </w:r>
    </w:p>
    <w:p w:rsidR="00EA1F75" w:rsidRPr="003D775D" w:rsidRDefault="00EA1F75" w:rsidP="002947E9"/>
    <w:p w:rsidR="00EA1F75" w:rsidRPr="003D775D" w:rsidRDefault="00EA1F75" w:rsidP="00BD600C">
      <w:pPr>
        <w:keepNext/>
        <w:ind w:left="357" w:hanging="357"/>
      </w:pPr>
      <w:r>
        <w:t>3.</w:t>
      </w:r>
      <w:r>
        <w:tab/>
      </w:r>
      <w:r w:rsidRPr="00B41A6C">
        <w:rPr>
          <w:b/>
        </w:rPr>
        <w:t>Zpravodaj</w:t>
      </w:r>
      <w:r w:rsidRPr="003D775D">
        <w:t xml:space="preserve"> projektu bude hodnotit projekt podle následujících kritérií:</w:t>
      </w:r>
    </w:p>
    <w:p w:rsidR="00EA1F75" w:rsidRPr="003D775D" w:rsidRDefault="00EA1F75" w:rsidP="00B41A6C">
      <w:pPr>
        <w:ind w:left="720" w:hanging="284"/>
      </w:pPr>
      <w:r w:rsidRPr="003D775D">
        <w:t>1.</w:t>
      </w:r>
      <w:r>
        <w:tab/>
      </w:r>
      <w:r w:rsidRPr="003D775D">
        <w:t xml:space="preserve">přínos projektu pro </w:t>
      </w:r>
      <w:r>
        <w:t>P</w:t>
      </w:r>
      <w:r w:rsidRPr="003D775D">
        <w:t>rogram, míra naplnění jeho tematických priorit,</w:t>
      </w:r>
    </w:p>
    <w:p w:rsidR="00EA1F75" w:rsidRPr="003D775D" w:rsidRDefault="00EA1F75" w:rsidP="00B41A6C">
      <w:pPr>
        <w:ind w:left="720" w:hanging="284"/>
      </w:pPr>
      <w:r w:rsidRPr="003D775D">
        <w:t>2.</w:t>
      </w:r>
      <w:r>
        <w:tab/>
      </w:r>
      <w:r w:rsidRPr="003D775D">
        <w:t>originalita a původnost projektu (na rozdíl od oponentů nebude hodnotit jen rozbor stavu řešení</w:t>
      </w:r>
      <w:r>
        <w:t xml:space="preserve"> apod.</w:t>
      </w:r>
      <w:r w:rsidRPr="003D775D">
        <w:t>, ale zejména to, kolik projektů na danou problematiku již bylo řešeno, kolika projekty je pokryta daná tematická priorita</w:t>
      </w:r>
      <w:r>
        <w:t xml:space="preserve"> Programu</w:t>
      </w:r>
      <w:r w:rsidRPr="003D775D">
        <w:t xml:space="preserve"> atd.),</w:t>
      </w:r>
    </w:p>
    <w:p w:rsidR="00EA1F75" w:rsidRDefault="00EA1F75" w:rsidP="00B41A6C">
      <w:pPr>
        <w:ind w:left="720" w:hanging="284"/>
      </w:pPr>
      <w:r w:rsidRPr="003D775D">
        <w:t>3.</w:t>
      </w:r>
      <w:r w:rsidRPr="003D775D">
        <w:tab/>
        <w:t xml:space="preserve">využitelnost hlavních výsledků projektu v praxi (kdo </w:t>
      </w:r>
      <w:r>
        <w:t xml:space="preserve">a </w:t>
      </w:r>
      <w:r w:rsidRPr="003D775D">
        <w:t>jak bude daný výsledek využívat, zda výsledek „nekopíruje“ již uznaný výsledek, např. metodiku aj.).</w:t>
      </w:r>
    </w:p>
    <w:p w:rsidR="00EA1F75" w:rsidRDefault="00EA1F75" w:rsidP="00B41A6C">
      <w:pPr>
        <w:ind w:left="720" w:hanging="284"/>
      </w:pPr>
    </w:p>
    <w:p w:rsidR="00EA1F75" w:rsidRDefault="00EA1F75" w:rsidP="00F535FE">
      <w:pPr>
        <w:ind w:left="360" w:hanging="360"/>
      </w:pPr>
      <w:r>
        <w:t>4.</w:t>
      </w:r>
      <w:r>
        <w:tab/>
      </w:r>
      <w:r w:rsidRPr="00F535FE">
        <w:rPr>
          <w:b/>
        </w:rPr>
        <w:t>RMKPV</w:t>
      </w:r>
      <w:r>
        <w:t xml:space="preserve"> bude hodnotit všechny projekty podle všech výše uvedených kritérií tak, aby eliminovala případné nedostatky dané lidským faktorem v předchozích třech etapách a aby byl zachován stejný a rovný přístup k hodnocení všech projektů. Výsledkem hodnocení RMKPV bude u každého návrhu projektu jeho doporučení nebo nedoporučení k podpoře, zahrnující podrobné odůvodnění včetně silných a slabých stránek návrhu projektů, neuznaných nákladů projektu a u nedoporučených projektů i jednoznačné uvedení důvodů pro nedoporučení projektu k podpoře (obdobně </w:t>
      </w:r>
      <w:hyperlink r:id="rId22" w:history="1">
        <w:r w:rsidRPr="00A01B2F">
          <w:rPr>
            <w:rStyle w:val="Hypertextovodkaz"/>
          </w:rPr>
          <w:t>odůvodnění u programu NAKI II</w:t>
        </w:r>
      </w:hyperlink>
      <w:r>
        <w:t>).</w:t>
      </w:r>
    </w:p>
    <w:p w:rsidR="00EA1F75" w:rsidRDefault="00EA1F75" w:rsidP="00F535FE">
      <w:pPr>
        <w:ind w:left="360" w:hanging="360"/>
      </w:pPr>
    </w:p>
    <w:p w:rsidR="00EA1F75" w:rsidRPr="003D775D" w:rsidRDefault="00EA1F75" w:rsidP="00F535FE">
      <w:pPr>
        <w:ind w:left="360" w:hanging="360"/>
      </w:pPr>
      <w:r>
        <w:t>5.</w:t>
      </w:r>
      <w:r>
        <w:tab/>
      </w:r>
      <w:r w:rsidRPr="00041227">
        <w:rPr>
          <w:b/>
        </w:rPr>
        <w:t>Poskytovatel</w:t>
      </w:r>
      <w:r>
        <w:t xml:space="preserve"> na úrovni statutárního zástupce se v souladu se zákonem č. 130/2002 Sb., s doporučením RMKPV ztotožní nebo rozhodne za podmínek stanovených zákonem č. 130/2002 Sb. (pokud písemně zdůvodní toto rozhodnutí a jeho zdůvodnění v protokolu a zveřejní své rozhodnutí a jeho zdůvodnění na svých webových stránkách) jinak. Své </w:t>
      </w:r>
      <w:r>
        <w:lastRenderedPageBreak/>
        <w:t xml:space="preserve">rozhodnutí včetně odůvodnění RMKPV poskytovatel zveřejní (obdobně </w:t>
      </w:r>
      <w:hyperlink r:id="rId23" w:history="1">
        <w:r>
          <w:rPr>
            <w:rStyle w:val="Hypertextovodkaz"/>
          </w:rPr>
          <w:t>rozhodnutí</w:t>
        </w:r>
        <w:r w:rsidRPr="00A01B2F">
          <w:rPr>
            <w:rStyle w:val="Hypertextovodkaz"/>
          </w:rPr>
          <w:t xml:space="preserve"> u</w:t>
        </w:r>
        <w:r>
          <w:rPr>
            <w:rStyle w:val="Hypertextovodkaz"/>
          </w:rPr>
          <w:t> </w:t>
        </w:r>
        <w:r w:rsidRPr="00A01B2F">
          <w:rPr>
            <w:rStyle w:val="Hypertextovodkaz"/>
          </w:rPr>
          <w:t>programu NAKI II</w:t>
        </w:r>
      </w:hyperlink>
      <w:r>
        <w:t>).</w:t>
      </w:r>
    </w:p>
    <w:p w:rsidR="00EA1F75" w:rsidRPr="00B0461F" w:rsidRDefault="00EA1F75" w:rsidP="00F86144">
      <w:pPr>
        <w:rPr>
          <w:color w:val="000000"/>
          <w:sz w:val="22"/>
          <w:szCs w:val="22"/>
          <w:shd w:val="clear" w:color="auto" w:fill="FFFFFF"/>
        </w:rPr>
      </w:pPr>
    </w:p>
    <w:p w:rsidR="00EA1F75" w:rsidRPr="00747B21" w:rsidRDefault="00EA1F75" w:rsidP="00B51465">
      <w:pPr>
        <w:pStyle w:val="Nadpis2"/>
      </w:pPr>
      <w:bookmarkStart w:id="24" w:name="_Toc61616884"/>
      <w:r>
        <w:t xml:space="preserve">13.2 </w:t>
      </w:r>
      <w:r w:rsidRPr="00747B21">
        <w:t>Průběžné hodnocení řešených projektů</w:t>
      </w:r>
      <w:bookmarkEnd w:id="24"/>
    </w:p>
    <w:p w:rsidR="00EA1F75" w:rsidRDefault="00EA1F75" w:rsidP="00F86144">
      <w:pPr>
        <w:rPr>
          <w:color w:val="000000"/>
          <w:shd w:val="clear" w:color="auto" w:fill="FFFFFF"/>
        </w:rPr>
      </w:pPr>
      <w:r w:rsidRPr="00747B21">
        <w:rPr>
          <w:color w:val="000000"/>
          <w:shd w:val="clear" w:color="auto" w:fill="FFFFFF"/>
        </w:rPr>
        <w:t>Průběžné hodnocení řešení projektů se bude provádět pravidelně jednou ročně v průběhu celé doby řešení projektu a má za úkol zamezit financování projektů, které neplní stanovený harmonogram prací a neřeší cíle projektu v souladu se schváleným návrhem projektu. Průběžné hodnocení dosahovaných výsledků projektu určí, zda projekt bude nadále podporován v plné výši, podporován s omezeními či zastaven. V průběžném hodnocení bude rovněž posuzováno plnění povinností o předávání informací do Informačního systému výzkumu, vývoje a inovací (podle zákona č. 130/2002 Sb.).</w:t>
      </w:r>
      <w:r>
        <w:rPr>
          <w:color w:val="000000"/>
          <w:shd w:val="clear" w:color="auto" w:fill="FFFFFF"/>
        </w:rPr>
        <w:t xml:space="preserve"> </w:t>
      </w:r>
      <w:r w:rsidRPr="00747B21">
        <w:rPr>
          <w:color w:val="000000"/>
          <w:shd w:val="clear" w:color="auto" w:fill="FFFFFF"/>
        </w:rPr>
        <w:t>Hodnocení provede RMKPV a poskytovatel na základě průběžné zprávy předložené příjemcem, případně podle výsledků kontroly věcného plnění projektu.</w:t>
      </w:r>
    </w:p>
    <w:p w:rsidR="00EA1F75" w:rsidRDefault="00EA1F75" w:rsidP="00F86144">
      <w:pPr>
        <w:rPr>
          <w:color w:val="000000"/>
          <w:shd w:val="clear" w:color="auto" w:fill="FFFFFF"/>
        </w:rPr>
      </w:pPr>
    </w:p>
    <w:p w:rsidR="00EA1F75" w:rsidRPr="00747B21" w:rsidRDefault="00EA1F75" w:rsidP="00F86144">
      <w:pPr>
        <w:rPr>
          <w:color w:val="000000"/>
          <w:shd w:val="clear" w:color="auto" w:fill="FFFFFF"/>
        </w:rPr>
      </w:pPr>
      <w:r>
        <w:rPr>
          <w:color w:val="000000"/>
          <w:shd w:val="clear" w:color="auto" w:fill="FFFFFF"/>
        </w:rPr>
        <w:t>Průběžné hodnocení projektů bude prováděno obdobným způsobem jako hodnocení návrhů projektů s těmi hlavními rozdíly, že je oponováno jedním oponentem a výsledek hodnocení vč. konkrétních výhrad k řešení projektu poskytovatel oznamuje pouze příjemci. Po věcné stránce je průběžné hodnocení zaměřeno zejména na posouzení změn v řešení projektu v dalším období, na plnění stanovených cílů a milníků projektu, na čerpání prostředků a účelnost jejich využití a na hodnocení výsledků projektů plánovaných na daný rok (viz dále).</w:t>
      </w:r>
    </w:p>
    <w:p w:rsidR="00EA1F75" w:rsidRPr="00747B21" w:rsidRDefault="00EA1F75" w:rsidP="00F86144">
      <w:pPr>
        <w:rPr>
          <w:color w:val="000000"/>
          <w:shd w:val="clear" w:color="auto" w:fill="FFFFFF"/>
        </w:rPr>
      </w:pPr>
    </w:p>
    <w:p w:rsidR="00EA1F75" w:rsidRPr="00A70EC1" w:rsidRDefault="00EA1F75" w:rsidP="00B51465">
      <w:pPr>
        <w:pStyle w:val="Nadpis2"/>
      </w:pPr>
      <w:bookmarkStart w:id="25" w:name="_Toc61616885"/>
      <w:r>
        <w:t xml:space="preserve">13.3 </w:t>
      </w:r>
      <w:r w:rsidRPr="00A70EC1">
        <w:t>Hodnocení výsledků projektů</w:t>
      </w:r>
      <w:bookmarkEnd w:id="25"/>
    </w:p>
    <w:p w:rsidR="00EA1F75" w:rsidRPr="00A70EC1" w:rsidRDefault="00EA1F75" w:rsidP="00555D5E">
      <w:pPr>
        <w:rPr>
          <w:color w:val="000000"/>
          <w:shd w:val="clear" w:color="auto" w:fill="FFFFFF"/>
        </w:rPr>
      </w:pPr>
      <w:r w:rsidRPr="00A70EC1">
        <w:rPr>
          <w:color w:val="000000"/>
          <w:shd w:val="clear" w:color="auto" w:fill="FFFFFF"/>
        </w:rPr>
        <w:t xml:space="preserve">Hodnocení </w:t>
      </w:r>
      <w:r>
        <w:rPr>
          <w:color w:val="000000"/>
          <w:shd w:val="clear" w:color="auto" w:fill="FFFFFF"/>
        </w:rPr>
        <w:t xml:space="preserve">všech </w:t>
      </w:r>
      <w:r w:rsidRPr="00A70EC1">
        <w:rPr>
          <w:color w:val="000000"/>
          <w:shd w:val="clear" w:color="auto" w:fill="FFFFFF"/>
        </w:rPr>
        <w:t xml:space="preserve">výsledků projektů bude po jejich </w:t>
      </w:r>
      <w:r>
        <w:rPr>
          <w:color w:val="000000"/>
          <w:shd w:val="clear" w:color="auto" w:fill="FFFFFF"/>
        </w:rPr>
        <w:t xml:space="preserve">uplatnění v daném roce </w:t>
      </w:r>
      <w:r w:rsidRPr="00A70EC1">
        <w:rPr>
          <w:color w:val="000000"/>
          <w:shd w:val="clear" w:color="auto" w:fill="FFFFFF"/>
        </w:rPr>
        <w:t>hodnoceno</w:t>
      </w:r>
      <w:r>
        <w:rPr>
          <w:color w:val="000000"/>
          <w:shd w:val="clear" w:color="auto" w:fill="FFFFFF"/>
        </w:rPr>
        <w:t xml:space="preserve"> podle následujících kritérií</w:t>
      </w:r>
      <w:r w:rsidRPr="00A70EC1">
        <w:rPr>
          <w:color w:val="000000"/>
          <w:shd w:val="clear" w:color="auto" w:fill="FFFFFF"/>
        </w:rPr>
        <w:t>:</w:t>
      </w:r>
    </w:p>
    <w:p w:rsidR="00EA1F75" w:rsidRPr="00A70EC1" w:rsidRDefault="00EA1F75" w:rsidP="00A70EC1">
      <w:pPr>
        <w:numPr>
          <w:ilvl w:val="0"/>
          <w:numId w:val="34"/>
        </w:numPr>
        <w:tabs>
          <w:tab w:val="clear" w:pos="720"/>
        </w:tabs>
        <w:ind w:left="360"/>
        <w:rPr>
          <w:color w:val="000000"/>
          <w:shd w:val="clear" w:color="auto" w:fill="FFFFFF"/>
        </w:rPr>
      </w:pPr>
      <w:r>
        <w:rPr>
          <w:color w:val="000000"/>
          <w:shd w:val="clear" w:color="auto" w:fill="FFFFFF"/>
        </w:rPr>
        <w:t xml:space="preserve">splnění </w:t>
      </w:r>
      <w:r w:rsidRPr="009C675D">
        <w:rPr>
          <w:color w:val="000000"/>
          <w:shd w:val="clear" w:color="auto" w:fill="FFFFFF"/>
        </w:rPr>
        <w:t>platné</w:t>
      </w:r>
      <w:r>
        <w:rPr>
          <w:color w:val="000000"/>
          <w:shd w:val="clear" w:color="auto" w:fill="FFFFFF"/>
        </w:rPr>
        <w:t>ho</w:t>
      </w:r>
      <w:r w:rsidRPr="009C675D">
        <w:rPr>
          <w:color w:val="000000"/>
          <w:shd w:val="clear" w:color="auto" w:fill="FFFFFF"/>
        </w:rPr>
        <w:t xml:space="preserve"> znění </w:t>
      </w:r>
      <w:hyperlink r:id="rId24" w:history="1">
        <w:r w:rsidRPr="007614AF">
          <w:rPr>
            <w:rStyle w:val="Hypertextovodkaz"/>
            <w:shd w:val="clear" w:color="auto" w:fill="FFFFFF"/>
          </w:rPr>
          <w:t>Definic druhů výsledků</w:t>
        </w:r>
      </w:hyperlink>
      <w:r>
        <w:rPr>
          <w:color w:val="000000"/>
          <w:shd w:val="clear" w:color="auto" w:fill="FFFFFF"/>
        </w:rPr>
        <w:t xml:space="preserve"> a podmínek </w:t>
      </w:r>
      <w:r w:rsidRPr="00E128FF">
        <w:rPr>
          <w:color w:val="000000"/>
          <w:shd w:val="clear" w:color="auto" w:fill="FFFFFF"/>
        </w:rPr>
        <w:t>specifických výsledků Programu</w:t>
      </w:r>
      <w:r>
        <w:rPr>
          <w:color w:val="000000"/>
          <w:shd w:val="clear" w:color="auto" w:fill="FFFFFF"/>
        </w:rPr>
        <w:t xml:space="preserve"> (viz kap. 9),</w:t>
      </w:r>
    </w:p>
    <w:p w:rsidR="00EA1F75" w:rsidRPr="00A70EC1" w:rsidRDefault="00EA1F75" w:rsidP="00A70EC1">
      <w:pPr>
        <w:numPr>
          <w:ilvl w:val="0"/>
          <w:numId w:val="34"/>
        </w:numPr>
        <w:tabs>
          <w:tab w:val="clear" w:pos="720"/>
        </w:tabs>
        <w:ind w:left="360"/>
        <w:rPr>
          <w:color w:val="000000"/>
          <w:shd w:val="clear" w:color="auto" w:fill="FFFFFF"/>
        </w:rPr>
      </w:pPr>
      <w:r>
        <w:rPr>
          <w:color w:val="000000"/>
          <w:shd w:val="clear" w:color="auto" w:fill="FFFFFF"/>
        </w:rPr>
        <w:t>h</w:t>
      </w:r>
      <w:r w:rsidRPr="00A70EC1">
        <w:rPr>
          <w:color w:val="000000"/>
          <w:shd w:val="clear" w:color="auto" w:fill="FFFFFF"/>
        </w:rPr>
        <w:t xml:space="preserve">odnocení </w:t>
      </w:r>
      <w:r>
        <w:rPr>
          <w:color w:val="000000"/>
          <w:shd w:val="clear" w:color="auto" w:fill="FFFFFF"/>
        </w:rPr>
        <w:t xml:space="preserve">výsledku z hlediska splnění cílů projektu a jeho odborného přínosu (včetně posouzení </w:t>
      </w:r>
      <w:r>
        <w:t>excelentních výsledků zejména v aplikovaném výzkumu, ale i v souvisejícím základním výzkumu),</w:t>
      </w:r>
    </w:p>
    <w:p w:rsidR="00EA1F75" w:rsidRPr="00A70EC1" w:rsidRDefault="00EA1F75" w:rsidP="00A70EC1">
      <w:pPr>
        <w:numPr>
          <w:ilvl w:val="0"/>
          <w:numId w:val="34"/>
        </w:numPr>
        <w:tabs>
          <w:tab w:val="clear" w:pos="720"/>
        </w:tabs>
        <w:ind w:left="360"/>
        <w:rPr>
          <w:color w:val="000000"/>
          <w:shd w:val="clear" w:color="auto" w:fill="FFFFFF"/>
        </w:rPr>
      </w:pPr>
      <w:r>
        <w:rPr>
          <w:color w:val="000000"/>
          <w:shd w:val="clear" w:color="auto" w:fill="FFFFFF"/>
        </w:rPr>
        <w:t>h</w:t>
      </w:r>
      <w:r w:rsidRPr="00A70EC1">
        <w:rPr>
          <w:color w:val="000000"/>
          <w:shd w:val="clear" w:color="auto" w:fill="FFFFFF"/>
        </w:rPr>
        <w:t xml:space="preserve">odnocení </w:t>
      </w:r>
      <w:r w:rsidRPr="003D775D">
        <w:t>využitelnost</w:t>
      </w:r>
      <w:r>
        <w:t>i</w:t>
      </w:r>
      <w:r w:rsidRPr="003D775D">
        <w:t xml:space="preserve"> hlavních výsledků projektu v praxi (kdo </w:t>
      </w:r>
      <w:r>
        <w:t xml:space="preserve">a </w:t>
      </w:r>
      <w:r w:rsidRPr="003D775D">
        <w:t>jak bude daný výsledek využívat</w:t>
      </w:r>
      <w:r>
        <w:t>, jak se naplňují předpoklady pro jeho uplatnění atd.</w:t>
      </w:r>
      <w:r w:rsidRPr="003D775D">
        <w:t>)</w:t>
      </w:r>
    </w:p>
    <w:p w:rsidR="00EA1F75" w:rsidRDefault="00EA1F75" w:rsidP="009841DE">
      <w:pPr>
        <w:rPr>
          <w:color w:val="000000"/>
          <w:shd w:val="clear" w:color="auto" w:fill="FFFFFF"/>
        </w:rPr>
      </w:pPr>
    </w:p>
    <w:p w:rsidR="00EA1F75" w:rsidRDefault="00EA1F75" w:rsidP="009841DE">
      <w:pPr>
        <w:rPr>
          <w:color w:val="000000"/>
          <w:shd w:val="clear" w:color="auto" w:fill="FFFFFF"/>
        </w:rPr>
      </w:pPr>
      <w:r>
        <w:rPr>
          <w:color w:val="000000"/>
          <w:shd w:val="clear" w:color="auto" w:fill="FFFFFF"/>
        </w:rPr>
        <w:t xml:space="preserve">Hodnocení bude provádět zpravodaj projektu společně se zpravodajem pro hodnocení výsledků (u NmetS, NmetC a Nmap na základě dvou oponentních posudků podle platného znění </w:t>
      </w:r>
      <w:hyperlink r:id="rId25" w:history="1">
        <w:r w:rsidRPr="006154AA">
          <w:rPr>
            <w:rStyle w:val="Hypertextovodkaz"/>
            <w:shd w:val="clear" w:color="auto" w:fill="FFFFFF"/>
          </w:rPr>
          <w:t>Příkazu ministra kultury č. 21/2018</w:t>
        </w:r>
      </w:hyperlink>
      <w:r>
        <w:rPr>
          <w:color w:val="000000"/>
          <w:shd w:val="clear" w:color="auto" w:fill="FFFFFF"/>
        </w:rPr>
        <w:t>), každý výsledek pak bude hodnotit RMKPV a hodnocení schvalovat poskytovatel. Pět</w:t>
      </w:r>
      <w:r w:rsidRPr="00A70EC1">
        <w:rPr>
          <w:color w:val="000000"/>
          <w:shd w:val="clear" w:color="auto" w:fill="FFFFFF"/>
        </w:rPr>
        <w:t xml:space="preserve"> let od ukončení projektu budou příjemci podpory povinni sdělit poskytovateli konkrétní praktické dopady realizace výsledků projektu</w:t>
      </w:r>
      <w:r>
        <w:rPr>
          <w:color w:val="000000"/>
          <w:shd w:val="clear" w:color="auto" w:fill="FFFFFF"/>
        </w:rPr>
        <w:t>.</w:t>
      </w:r>
    </w:p>
    <w:p w:rsidR="00EA1F75" w:rsidRPr="00A70EC1" w:rsidRDefault="00EA1F75" w:rsidP="009841DE">
      <w:pPr>
        <w:rPr>
          <w:color w:val="000000"/>
          <w:shd w:val="clear" w:color="auto" w:fill="FFFFFF"/>
        </w:rPr>
      </w:pPr>
    </w:p>
    <w:p w:rsidR="00EA1F75" w:rsidRPr="00A70EC1" w:rsidRDefault="00EA1F75" w:rsidP="00B51465">
      <w:pPr>
        <w:pStyle w:val="Nadpis2"/>
      </w:pPr>
      <w:bookmarkStart w:id="26" w:name="_Toc61616886"/>
      <w:r>
        <w:t xml:space="preserve">13.4 </w:t>
      </w:r>
      <w:r w:rsidRPr="00A70EC1">
        <w:t>Závěrečné hodnocení projektu</w:t>
      </w:r>
      <w:bookmarkEnd w:id="26"/>
    </w:p>
    <w:p w:rsidR="00EA1F75" w:rsidRDefault="00EA1F75" w:rsidP="00555D5E">
      <w:r>
        <w:rPr>
          <w:color w:val="000000"/>
          <w:shd w:val="clear" w:color="auto" w:fill="FFFFFF"/>
        </w:rPr>
        <w:t>Závěrečné</w:t>
      </w:r>
      <w:r w:rsidRPr="00747B21">
        <w:rPr>
          <w:color w:val="000000"/>
          <w:shd w:val="clear" w:color="auto" w:fill="FFFFFF"/>
        </w:rPr>
        <w:t xml:space="preserve"> hodnocení řešení projektů se bude provádět </w:t>
      </w:r>
      <w:r>
        <w:rPr>
          <w:color w:val="000000"/>
          <w:shd w:val="clear" w:color="auto" w:fill="FFFFFF"/>
        </w:rPr>
        <w:t xml:space="preserve">na základě závěrečné zprávy o řešení projektů, kde bude souhrnně popsáno řešení projektu, bude </w:t>
      </w:r>
      <w:r w:rsidRPr="00223E5D">
        <w:rPr>
          <w:color w:val="000000"/>
          <w:shd w:val="clear" w:color="auto" w:fill="FFFFFF"/>
        </w:rPr>
        <w:t>zhodnocen</w:t>
      </w:r>
      <w:r>
        <w:rPr>
          <w:color w:val="000000"/>
          <w:shd w:val="clear" w:color="auto" w:fill="FFFFFF"/>
        </w:rPr>
        <w:t>o</w:t>
      </w:r>
      <w:r w:rsidRPr="00223E5D">
        <w:rPr>
          <w:color w:val="000000"/>
          <w:shd w:val="clear" w:color="auto" w:fill="FFFFFF"/>
        </w:rPr>
        <w:t xml:space="preserve"> plnění cílů</w:t>
      </w:r>
      <w:r>
        <w:rPr>
          <w:color w:val="000000"/>
          <w:shd w:val="clear" w:color="auto" w:fill="FFFFFF"/>
        </w:rPr>
        <w:t xml:space="preserve"> projektu, skutečně vynaložené náklady projektu </w:t>
      </w:r>
      <w:r>
        <w:t xml:space="preserve">a popsány zásadní skutečnosti, které měly vliv na celkové </w:t>
      </w:r>
      <w:r>
        <w:lastRenderedPageBreak/>
        <w:t>řešení projektu, pokud takové skutečnosti nastaly.</w:t>
      </w:r>
      <w:r>
        <w:rPr>
          <w:color w:val="000000"/>
          <w:shd w:val="clear" w:color="auto" w:fill="FFFFFF"/>
        </w:rPr>
        <w:t xml:space="preserve"> Ve druhé části závěrečné zprávy budou souhrnně uvedeny plánované a skutečně schválené a uplatněné výsledky řešení projektu a podrobně </w:t>
      </w:r>
      <w:r>
        <w:t xml:space="preserve">odůvodněno případné nedosažení plánovaných výsledků. </w:t>
      </w:r>
      <w:r w:rsidRPr="00A70EC1">
        <w:rPr>
          <w:color w:val="000000"/>
          <w:shd w:val="clear" w:color="auto" w:fill="FFFFFF"/>
        </w:rPr>
        <w:t>V závěrečném hodnocení bude rovněž posuzováno splnění povinností příjemce o předávání informací do Informačního systému výzkumu, vývoje a inovací (podle zákona č. 130/2002 Sb.).</w:t>
      </w:r>
      <w:r>
        <w:rPr>
          <w:color w:val="000000"/>
          <w:shd w:val="clear" w:color="auto" w:fill="FFFFFF"/>
        </w:rPr>
        <w:t xml:space="preserve"> </w:t>
      </w:r>
      <w:r>
        <w:t>U hlavních výsledků projektu bude uveden, resp. aktualizován, předpoklad jejich uplatnění v praxi.</w:t>
      </w:r>
    </w:p>
    <w:p w:rsidR="00EA1F75" w:rsidRDefault="00EA1F75" w:rsidP="00555D5E">
      <w:pPr>
        <w:rPr>
          <w:color w:val="000000"/>
          <w:shd w:val="clear" w:color="auto" w:fill="FFFFFF"/>
        </w:rPr>
      </w:pPr>
    </w:p>
    <w:p w:rsidR="00EA1F75" w:rsidRDefault="00EA1F75" w:rsidP="00555D5E">
      <w:pPr>
        <w:rPr>
          <w:color w:val="000000"/>
          <w:shd w:val="clear" w:color="auto" w:fill="FFFFFF"/>
        </w:rPr>
      </w:pPr>
      <w:r>
        <w:rPr>
          <w:color w:val="000000"/>
          <w:shd w:val="clear" w:color="auto" w:fill="FFFFFF"/>
        </w:rPr>
        <w:t>Závěrečné hodnocení projektů bude prováděno obdobným způsobem jako hodnocení návrhů projektů s tím hlavním rozdílem, že výsledek hodnocení poskytovatel oznamuje pouze příjemci.</w:t>
      </w:r>
    </w:p>
    <w:p w:rsidR="00EA1F75" w:rsidRPr="00A70EC1" w:rsidRDefault="00EA1F75" w:rsidP="00555D5E">
      <w:pPr>
        <w:rPr>
          <w:color w:val="000000"/>
          <w:shd w:val="clear" w:color="auto" w:fill="FFFFFF"/>
        </w:rPr>
      </w:pPr>
      <w:r w:rsidRPr="00A70EC1">
        <w:rPr>
          <w:color w:val="000000"/>
          <w:shd w:val="clear" w:color="auto" w:fill="FFFFFF"/>
        </w:rPr>
        <w:t xml:space="preserve">Řešení projektu je </w:t>
      </w:r>
      <w:r>
        <w:rPr>
          <w:color w:val="000000"/>
          <w:shd w:val="clear" w:color="auto" w:fill="FFFFFF"/>
        </w:rPr>
        <w:t>souhrnně vy</w:t>
      </w:r>
      <w:r w:rsidRPr="00A70EC1">
        <w:rPr>
          <w:color w:val="000000"/>
          <w:shd w:val="clear" w:color="auto" w:fill="FFFFFF"/>
        </w:rPr>
        <w:t xml:space="preserve">hodnoceno ve </w:t>
      </w:r>
      <w:r>
        <w:rPr>
          <w:color w:val="000000"/>
          <w:shd w:val="clear" w:color="auto" w:fill="FFFFFF"/>
        </w:rPr>
        <w:t>čtyřech</w:t>
      </w:r>
      <w:r w:rsidRPr="00A70EC1">
        <w:rPr>
          <w:color w:val="000000"/>
          <w:shd w:val="clear" w:color="auto" w:fill="FFFFFF"/>
        </w:rPr>
        <w:t xml:space="preserve"> kategoriích:</w:t>
      </w:r>
    </w:p>
    <w:p w:rsidR="00EA1F75" w:rsidRPr="00A70EC1" w:rsidRDefault="00EA1F75" w:rsidP="00385C59">
      <w:pPr>
        <w:numPr>
          <w:ilvl w:val="0"/>
          <w:numId w:val="33"/>
        </w:numPr>
        <w:tabs>
          <w:tab w:val="clear" w:pos="720"/>
          <w:tab w:val="num" w:pos="-4140"/>
        </w:tabs>
        <w:ind w:left="360"/>
        <w:rPr>
          <w:color w:val="000000"/>
          <w:shd w:val="clear" w:color="auto" w:fill="FFFFFF"/>
        </w:rPr>
      </w:pPr>
      <w:r w:rsidRPr="00A70EC1">
        <w:rPr>
          <w:color w:val="000000"/>
          <w:shd w:val="clear" w:color="auto" w:fill="FFFFFF"/>
        </w:rPr>
        <w:t>Kategorie A: projekt splnil stanovené cíle s vynikajícími výsledky na mezinárodní úrovni (kód IS VaVaI</w:t>
      </w:r>
      <w:r>
        <w:rPr>
          <w:color w:val="000000"/>
          <w:shd w:val="clear" w:color="auto" w:fill="FFFFFF"/>
        </w:rPr>
        <w:t>/RIV P28</w:t>
      </w:r>
      <w:r w:rsidRPr="00A70EC1">
        <w:rPr>
          <w:color w:val="000000"/>
          <w:shd w:val="clear" w:color="auto" w:fill="FFFFFF"/>
        </w:rPr>
        <w:t xml:space="preserve"> = V);</w:t>
      </w:r>
    </w:p>
    <w:p w:rsidR="00EA1F75" w:rsidRPr="00A70EC1" w:rsidRDefault="00EA1F75" w:rsidP="00385C59">
      <w:pPr>
        <w:numPr>
          <w:ilvl w:val="0"/>
          <w:numId w:val="33"/>
        </w:numPr>
        <w:tabs>
          <w:tab w:val="clear" w:pos="720"/>
          <w:tab w:val="num" w:pos="-4140"/>
        </w:tabs>
        <w:ind w:left="360"/>
        <w:rPr>
          <w:color w:val="000000"/>
          <w:shd w:val="clear" w:color="auto" w:fill="FFFFFF"/>
        </w:rPr>
      </w:pPr>
      <w:r w:rsidRPr="00A70EC1">
        <w:rPr>
          <w:color w:val="000000"/>
          <w:shd w:val="clear" w:color="auto" w:fill="FFFFFF"/>
        </w:rPr>
        <w:t>Kategorie B: projekt splnil stanovené cíle (kód IS VaVaI</w:t>
      </w:r>
      <w:r>
        <w:rPr>
          <w:color w:val="000000"/>
          <w:shd w:val="clear" w:color="auto" w:fill="FFFFFF"/>
        </w:rPr>
        <w:t>/RIV P28</w:t>
      </w:r>
      <w:r w:rsidRPr="00A70EC1">
        <w:rPr>
          <w:color w:val="000000"/>
          <w:shd w:val="clear" w:color="auto" w:fill="FFFFFF"/>
        </w:rPr>
        <w:t xml:space="preserve"> = U);</w:t>
      </w:r>
    </w:p>
    <w:p w:rsidR="00EA1F75" w:rsidRPr="00A70EC1" w:rsidRDefault="00EA1F75" w:rsidP="00385C59">
      <w:pPr>
        <w:numPr>
          <w:ilvl w:val="0"/>
          <w:numId w:val="33"/>
        </w:numPr>
        <w:tabs>
          <w:tab w:val="clear" w:pos="720"/>
          <w:tab w:val="num" w:pos="-4140"/>
        </w:tabs>
        <w:ind w:left="360"/>
        <w:rPr>
          <w:color w:val="000000"/>
          <w:shd w:val="clear" w:color="auto" w:fill="FFFFFF"/>
        </w:rPr>
      </w:pPr>
      <w:r w:rsidRPr="00A70EC1">
        <w:rPr>
          <w:color w:val="000000"/>
          <w:shd w:val="clear" w:color="auto" w:fill="FFFFFF"/>
        </w:rPr>
        <w:t>Kategorie C: projekt nesplnil stanovené cíle z důvodů, které nemohl poskytovatel ani uchazeč předvídat a smlouva o poskytnutí podpory</w:t>
      </w:r>
      <w:r>
        <w:rPr>
          <w:color w:val="000000"/>
          <w:shd w:val="clear" w:color="auto" w:fill="FFFFFF"/>
        </w:rPr>
        <w:t xml:space="preserve"> projektu byla dodržena (kód IS </w:t>
      </w:r>
      <w:r w:rsidRPr="00A70EC1">
        <w:rPr>
          <w:color w:val="000000"/>
          <w:shd w:val="clear" w:color="auto" w:fill="FFFFFF"/>
        </w:rPr>
        <w:t>VaVaI</w:t>
      </w:r>
      <w:r>
        <w:rPr>
          <w:color w:val="000000"/>
          <w:shd w:val="clear" w:color="auto" w:fill="FFFFFF"/>
        </w:rPr>
        <w:t>/RIV P28</w:t>
      </w:r>
      <w:r w:rsidRPr="00A70EC1">
        <w:rPr>
          <w:color w:val="000000"/>
          <w:shd w:val="clear" w:color="auto" w:fill="FFFFFF"/>
        </w:rPr>
        <w:t xml:space="preserve"> = O);</w:t>
      </w:r>
    </w:p>
    <w:p w:rsidR="00EA1F75" w:rsidRPr="00A70EC1" w:rsidRDefault="00EA1F75" w:rsidP="00385C59">
      <w:pPr>
        <w:numPr>
          <w:ilvl w:val="0"/>
          <w:numId w:val="33"/>
        </w:numPr>
        <w:tabs>
          <w:tab w:val="clear" w:pos="720"/>
          <w:tab w:val="num" w:pos="-4140"/>
        </w:tabs>
        <w:ind w:left="360"/>
        <w:rPr>
          <w:color w:val="000000"/>
          <w:shd w:val="clear" w:color="auto" w:fill="FFFFFF"/>
        </w:rPr>
      </w:pPr>
      <w:r w:rsidRPr="00A70EC1">
        <w:rPr>
          <w:color w:val="000000"/>
          <w:shd w:val="clear" w:color="auto" w:fill="FFFFFF"/>
        </w:rPr>
        <w:t>Kategorie D: projekt nesplnil stanovené cíle, smlouva o poskytnutí podpory projektu nebyla dodržena a bylo přistoupeno k sankčním ustanovením smlouvy</w:t>
      </w:r>
      <w:r w:rsidRPr="00A70EC1">
        <w:t xml:space="preserve"> </w:t>
      </w:r>
      <w:r>
        <w:rPr>
          <w:color w:val="000000"/>
          <w:shd w:val="clear" w:color="auto" w:fill="FFFFFF"/>
        </w:rPr>
        <w:t>(kód IS </w:t>
      </w:r>
      <w:r w:rsidRPr="00A70EC1">
        <w:rPr>
          <w:color w:val="000000"/>
          <w:shd w:val="clear" w:color="auto" w:fill="FFFFFF"/>
        </w:rPr>
        <w:t>VaVaI</w:t>
      </w:r>
      <w:r>
        <w:rPr>
          <w:color w:val="000000"/>
          <w:shd w:val="clear" w:color="auto" w:fill="FFFFFF"/>
        </w:rPr>
        <w:t>/RIV P28</w:t>
      </w:r>
      <w:r w:rsidRPr="00A70EC1">
        <w:rPr>
          <w:color w:val="000000"/>
          <w:shd w:val="clear" w:color="auto" w:fill="FFFFFF"/>
        </w:rPr>
        <w:t xml:space="preserve"> = S).</w:t>
      </w:r>
    </w:p>
    <w:p w:rsidR="00EA1F75" w:rsidRDefault="00EA1F75" w:rsidP="009841DE">
      <w:pPr>
        <w:outlineLvl w:val="0"/>
        <w:rPr>
          <w:color w:val="000000"/>
          <w:sz w:val="22"/>
          <w:szCs w:val="22"/>
          <w:shd w:val="clear" w:color="auto" w:fill="FFFFFF"/>
        </w:rPr>
      </w:pPr>
    </w:p>
    <w:p w:rsidR="00EA1F75" w:rsidRPr="005729CD" w:rsidRDefault="00EA1F75" w:rsidP="00B51465">
      <w:pPr>
        <w:pStyle w:val="Nadpis1"/>
      </w:pPr>
      <w:bookmarkStart w:id="27" w:name="_Toc61616887"/>
      <w:r w:rsidRPr="005729CD">
        <w:t>14. Stanovení způsobu monitorování</w:t>
      </w:r>
      <w:r>
        <w:t xml:space="preserve"> – indikátory Programu</w:t>
      </w:r>
      <w:bookmarkEnd w:id="27"/>
    </w:p>
    <w:p w:rsidR="00EA1F75" w:rsidRPr="0034042D" w:rsidRDefault="00EA1F75" w:rsidP="00555D5E">
      <w:pPr>
        <w:rPr>
          <w:color w:val="000000"/>
          <w:shd w:val="clear" w:color="auto" w:fill="FFFFFF"/>
        </w:rPr>
      </w:pPr>
      <w:r w:rsidRPr="0034042D">
        <w:rPr>
          <w:color w:val="000000"/>
          <w:shd w:val="clear" w:color="auto" w:fill="FFFFFF"/>
        </w:rPr>
        <w:t xml:space="preserve">Dosažení hlavního </w:t>
      </w:r>
      <w:r>
        <w:rPr>
          <w:color w:val="000000"/>
          <w:shd w:val="clear" w:color="auto" w:fill="FFFFFF"/>
        </w:rPr>
        <w:t>cíle a specifických</w:t>
      </w:r>
      <w:r w:rsidRPr="0034042D">
        <w:rPr>
          <w:color w:val="000000"/>
          <w:shd w:val="clear" w:color="auto" w:fill="FFFFFF"/>
        </w:rPr>
        <w:t xml:space="preserve"> cílů Programu bude vyhodnocováno v souladu s Metodikou hodnocení výsledků výzkumných organizací a hodnocení výsledků ukončených programů platnou v době hodnocení Programu</w:t>
      </w:r>
      <w:r>
        <w:rPr>
          <w:color w:val="000000"/>
          <w:shd w:val="clear" w:color="auto" w:fill="FFFFFF"/>
        </w:rPr>
        <w:t>,</w:t>
      </w:r>
      <w:r w:rsidRPr="0034042D">
        <w:rPr>
          <w:color w:val="000000"/>
          <w:shd w:val="clear" w:color="auto" w:fill="FFFFFF"/>
        </w:rPr>
        <w:t xml:space="preserve"> dalších podmínek stanovených poskytovatelem a dále podle </w:t>
      </w:r>
      <w:hyperlink r:id="rId26" w:history="1">
        <w:r w:rsidRPr="007614AF">
          <w:rPr>
            <w:rStyle w:val="Hypertextovodkaz"/>
            <w:shd w:val="clear" w:color="auto" w:fill="FFFFFF"/>
          </w:rPr>
          <w:t>Definic druhů výsledků</w:t>
        </w:r>
      </w:hyperlink>
      <w:r>
        <w:rPr>
          <w:color w:val="000000"/>
          <w:shd w:val="clear" w:color="auto" w:fill="FFFFFF"/>
        </w:rPr>
        <w:t xml:space="preserve"> a podmínek </w:t>
      </w:r>
      <w:r w:rsidRPr="00E128FF">
        <w:rPr>
          <w:color w:val="000000"/>
          <w:shd w:val="clear" w:color="auto" w:fill="FFFFFF"/>
        </w:rPr>
        <w:t>specifických výsledků Programu</w:t>
      </w:r>
      <w:r>
        <w:rPr>
          <w:color w:val="000000"/>
          <w:shd w:val="clear" w:color="auto" w:fill="FFFFFF"/>
        </w:rPr>
        <w:t xml:space="preserve"> (viz kap. 9) </w:t>
      </w:r>
      <w:r w:rsidRPr="0034042D">
        <w:rPr>
          <w:color w:val="000000"/>
          <w:shd w:val="clear" w:color="auto" w:fill="FFFFFF"/>
        </w:rPr>
        <w:t>platn</w:t>
      </w:r>
      <w:r>
        <w:rPr>
          <w:color w:val="000000"/>
          <w:shd w:val="clear" w:color="auto" w:fill="FFFFFF"/>
        </w:rPr>
        <w:t>ých</w:t>
      </w:r>
      <w:r w:rsidRPr="0034042D">
        <w:rPr>
          <w:color w:val="000000"/>
          <w:shd w:val="clear" w:color="auto" w:fill="FFFFFF"/>
        </w:rPr>
        <w:t xml:space="preserve"> v době hodnocení Programu. Dosažení cílů Programu bude vyhodnocováno na základě souboru indikátorů určených pro monitorování průběhu plnění Programu a hodnocení jeho c</w:t>
      </w:r>
      <w:r>
        <w:rPr>
          <w:color w:val="000000"/>
          <w:shd w:val="clear" w:color="auto" w:fill="FFFFFF"/>
        </w:rPr>
        <w:t>elkové výkonnosti a úspěšnosti.</w:t>
      </w:r>
    </w:p>
    <w:p w:rsidR="00EA1F75" w:rsidRDefault="00EA1F75" w:rsidP="00555D5E">
      <w:pPr>
        <w:rPr>
          <w:color w:val="000000"/>
          <w:shd w:val="clear" w:color="auto" w:fill="FFFFFF"/>
        </w:rPr>
      </w:pPr>
    </w:p>
    <w:p w:rsidR="00EA1F75" w:rsidRPr="0034042D" w:rsidRDefault="00EA1F75" w:rsidP="00555D5E">
      <w:pPr>
        <w:rPr>
          <w:color w:val="000000"/>
          <w:shd w:val="clear" w:color="auto" w:fill="FFFFFF"/>
        </w:rPr>
      </w:pPr>
      <w:r w:rsidRPr="0034042D">
        <w:rPr>
          <w:color w:val="000000"/>
          <w:shd w:val="clear" w:color="auto" w:fill="FFFFFF"/>
        </w:rPr>
        <w:t xml:space="preserve">Indikátory </w:t>
      </w:r>
      <w:r>
        <w:rPr>
          <w:color w:val="000000"/>
          <w:shd w:val="clear" w:color="auto" w:fill="FFFFFF"/>
        </w:rPr>
        <w:t xml:space="preserve">Programu </w:t>
      </w:r>
      <w:r w:rsidRPr="0034042D">
        <w:rPr>
          <w:color w:val="000000"/>
          <w:shd w:val="clear" w:color="auto" w:fill="FFFFFF"/>
        </w:rPr>
        <w:t xml:space="preserve">jsou řazeny do tří kategorií dle své povahy, a to indikátory </w:t>
      </w:r>
      <w:r>
        <w:rPr>
          <w:color w:val="000000"/>
          <w:shd w:val="clear" w:color="auto" w:fill="FFFFFF"/>
        </w:rPr>
        <w:t xml:space="preserve">úspěšné </w:t>
      </w:r>
      <w:r w:rsidRPr="0034042D">
        <w:rPr>
          <w:color w:val="000000"/>
          <w:shd w:val="clear" w:color="auto" w:fill="FFFFFF"/>
        </w:rPr>
        <w:t>realizace Programu, indikátory výsledků Programu a indikátory splnění cílů Programu.</w:t>
      </w:r>
    </w:p>
    <w:p w:rsidR="00EA1F75" w:rsidRPr="00935CB8" w:rsidRDefault="00EA1F75" w:rsidP="00634A8E">
      <w:pPr>
        <w:keepNext/>
        <w:rPr>
          <w:b/>
          <w:color w:val="000000"/>
          <w:sz w:val="22"/>
          <w:szCs w:val="22"/>
          <w:shd w:val="clear" w:color="auto" w:fill="FFFFFF"/>
        </w:rPr>
      </w:pPr>
      <w:r w:rsidRPr="00935CB8">
        <w:rPr>
          <w:b/>
          <w:color w:val="000000"/>
          <w:sz w:val="22"/>
          <w:szCs w:val="22"/>
          <w:shd w:val="clear" w:color="auto" w:fill="FFFFFF"/>
        </w:rPr>
        <w:t xml:space="preserve">Tab. </w:t>
      </w:r>
      <w:proofErr w:type="gramStart"/>
      <w:r w:rsidRPr="00935CB8">
        <w:rPr>
          <w:b/>
          <w:color w:val="000000"/>
          <w:sz w:val="22"/>
          <w:szCs w:val="22"/>
          <w:shd w:val="clear" w:color="auto" w:fill="FFFFFF"/>
        </w:rPr>
        <w:t>č.</w:t>
      </w:r>
      <w:proofErr w:type="gramEnd"/>
      <w:r w:rsidRPr="00935CB8">
        <w:rPr>
          <w:b/>
          <w:color w:val="000000"/>
          <w:sz w:val="22"/>
          <w:szCs w:val="22"/>
          <w:shd w:val="clear" w:color="auto" w:fill="FFFFFF"/>
        </w:rPr>
        <w:t xml:space="preserve"> 6: Indikátory Programu</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1"/>
        <w:gridCol w:w="567"/>
        <w:gridCol w:w="538"/>
        <w:gridCol w:w="1589"/>
      </w:tblGrid>
      <w:tr w:rsidR="00EA1F75" w:rsidRPr="00B0461F" w:rsidTr="00C3417B">
        <w:trPr>
          <w:tblHeader/>
        </w:trPr>
        <w:tc>
          <w:tcPr>
            <w:tcW w:w="6691" w:type="dxa"/>
            <w:shd w:val="clear" w:color="auto" w:fill="E6E6E6"/>
            <w:vAlign w:val="center"/>
          </w:tcPr>
          <w:p w:rsidR="00EA1F75" w:rsidRPr="00D366C2" w:rsidRDefault="00EA1F75" w:rsidP="00C3417B">
            <w:pPr>
              <w:keepNext/>
              <w:jc w:val="center"/>
              <w:rPr>
                <w:b/>
                <w:i/>
              </w:rPr>
            </w:pPr>
            <w:r w:rsidRPr="00D366C2">
              <w:rPr>
                <w:b/>
                <w:i/>
                <w:sz w:val="22"/>
                <w:szCs w:val="22"/>
              </w:rPr>
              <w:t>indikátor</w:t>
            </w:r>
          </w:p>
        </w:tc>
        <w:tc>
          <w:tcPr>
            <w:tcW w:w="1105" w:type="dxa"/>
            <w:gridSpan w:val="2"/>
            <w:shd w:val="clear" w:color="auto" w:fill="E6E6E6"/>
            <w:vAlign w:val="center"/>
          </w:tcPr>
          <w:p w:rsidR="00EA1F75" w:rsidRPr="00D366C2" w:rsidRDefault="00EA1F75" w:rsidP="00C3417B">
            <w:pPr>
              <w:keepNext/>
              <w:jc w:val="center"/>
              <w:rPr>
                <w:b/>
                <w:i/>
              </w:rPr>
            </w:pPr>
            <w:r w:rsidRPr="00D366C2">
              <w:rPr>
                <w:b/>
                <w:i/>
                <w:sz w:val="22"/>
                <w:szCs w:val="22"/>
              </w:rPr>
              <w:t>počet / procenta</w:t>
            </w:r>
          </w:p>
        </w:tc>
        <w:tc>
          <w:tcPr>
            <w:tcW w:w="1589" w:type="dxa"/>
            <w:shd w:val="clear" w:color="auto" w:fill="E6E6E6"/>
            <w:vAlign w:val="center"/>
          </w:tcPr>
          <w:p w:rsidR="00EA1F75" w:rsidRPr="00D366C2" w:rsidRDefault="00EA1F75" w:rsidP="00C3417B">
            <w:pPr>
              <w:keepNext/>
              <w:jc w:val="center"/>
              <w:rPr>
                <w:b/>
                <w:i/>
              </w:rPr>
            </w:pPr>
            <w:r w:rsidRPr="00D366C2">
              <w:rPr>
                <w:b/>
                <w:i/>
                <w:sz w:val="22"/>
                <w:szCs w:val="22"/>
              </w:rPr>
              <w:t>zdroj dat</w:t>
            </w:r>
          </w:p>
        </w:tc>
      </w:tr>
      <w:tr w:rsidR="00EA1F75" w:rsidRPr="00B0461F" w:rsidTr="00953607">
        <w:trPr>
          <w:trHeight w:val="493"/>
        </w:trPr>
        <w:tc>
          <w:tcPr>
            <w:tcW w:w="9385" w:type="dxa"/>
            <w:gridSpan w:val="4"/>
          </w:tcPr>
          <w:p w:rsidR="00EA1F75" w:rsidRPr="00B0461F" w:rsidRDefault="00EA1F75" w:rsidP="00C3417B">
            <w:pPr>
              <w:spacing w:before="120"/>
              <w:jc w:val="center"/>
            </w:pPr>
            <w:r w:rsidRPr="00B0461F">
              <w:rPr>
                <w:b/>
                <w:sz w:val="22"/>
                <w:szCs w:val="22"/>
              </w:rPr>
              <w:t xml:space="preserve">Indikátory </w:t>
            </w:r>
            <w:r>
              <w:rPr>
                <w:b/>
                <w:sz w:val="22"/>
                <w:szCs w:val="22"/>
              </w:rPr>
              <w:t xml:space="preserve">úspěšné </w:t>
            </w:r>
            <w:r w:rsidRPr="00B0461F">
              <w:rPr>
                <w:b/>
                <w:sz w:val="22"/>
                <w:szCs w:val="22"/>
              </w:rPr>
              <w:t>realizace Programu</w:t>
            </w:r>
          </w:p>
        </w:tc>
      </w:tr>
      <w:tr w:rsidR="00EA1F75" w:rsidRPr="00B0461F" w:rsidTr="00953607">
        <w:trPr>
          <w:trHeight w:val="288"/>
        </w:trPr>
        <w:tc>
          <w:tcPr>
            <w:tcW w:w="6691" w:type="dxa"/>
          </w:tcPr>
          <w:p w:rsidR="00EA1F75" w:rsidRPr="00B0461F" w:rsidRDefault="00EA1F75" w:rsidP="00953607">
            <w:r>
              <w:rPr>
                <w:sz w:val="23"/>
                <w:szCs w:val="23"/>
              </w:rPr>
              <w:t>Finanční naplnění (využití prostředků Programu)</w:t>
            </w:r>
          </w:p>
        </w:tc>
        <w:tc>
          <w:tcPr>
            <w:tcW w:w="1105" w:type="dxa"/>
            <w:gridSpan w:val="2"/>
          </w:tcPr>
          <w:p w:rsidR="00EA1F75" w:rsidRPr="00B0461F" w:rsidRDefault="00EA1F75" w:rsidP="00BA7770">
            <w:pPr>
              <w:jc w:val="center"/>
            </w:pPr>
            <w:r>
              <w:rPr>
                <w:sz w:val="22"/>
                <w:szCs w:val="22"/>
              </w:rPr>
              <w:t>95 %</w:t>
            </w:r>
          </w:p>
        </w:tc>
        <w:tc>
          <w:tcPr>
            <w:tcW w:w="1589" w:type="dxa"/>
          </w:tcPr>
          <w:p w:rsidR="00EA1F75" w:rsidRPr="00BB5ABD" w:rsidRDefault="00EA1F75" w:rsidP="00BA7770">
            <w:pPr>
              <w:jc w:val="left"/>
            </w:pPr>
            <w:r w:rsidRPr="00BB5ABD">
              <w:rPr>
                <w:sz w:val="22"/>
                <w:szCs w:val="22"/>
              </w:rPr>
              <w:t>IS VaVaI/VES</w:t>
            </w:r>
            <w:r>
              <w:rPr>
                <w:sz w:val="22"/>
                <w:szCs w:val="22"/>
              </w:rPr>
              <w:t>,</w:t>
            </w:r>
            <w:r w:rsidRPr="00BB5ABD">
              <w:rPr>
                <w:sz w:val="22"/>
                <w:szCs w:val="22"/>
              </w:rPr>
              <w:t xml:space="preserve"> </w:t>
            </w:r>
            <w:r>
              <w:rPr>
                <w:sz w:val="22"/>
                <w:szCs w:val="22"/>
              </w:rPr>
              <w:t>data</w:t>
            </w:r>
            <w:r w:rsidRPr="00BB5ABD">
              <w:rPr>
                <w:sz w:val="22"/>
                <w:szCs w:val="22"/>
              </w:rPr>
              <w:t> MK</w:t>
            </w:r>
          </w:p>
        </w:tc>
      </w:tr>
      <w:tr w:rsidR="00EA1F75" w:rsidRPr="00B0461F" w:rsidTr="00953607">
        <w:trPr>
          <w:trHeight w:val="288"/>
        </w:trPr>
        <w:tc>
          <w:tcPr>
            <w:tcW w:w="6691" w:type="dxa"/>
          </w:tcPr>
          <w:p w:rsidR="00EA1F75" w:rsidRPr="00B0461F" w:rsidRDefault="00EA1F75" w:rsidP="00953607">
            <w:r w:rsidRPr="00B0461F">
              <w:rPr>
                <w:sz w:val="22"/>
                <w:szCs w:val="22"/>
              </w:rPr>
              <w:t>Minimální počet celkem vybraných (podpořených) projektů</w:t>
            </w:r>
          </w:p>
        </w:tc>
        <w:tc>
          <w:tcPr>
            <w:tcW w:w="1105" w:type="dxa"/>
            <w:gridSpan w:val="2"/>
          </w:tcPr>
          <w:p w:rsidR="00EA1F75" w:rsidRPr="00B0461F" w:rsidRDefault="00EA1F75" w:rsidP="00BA7770">
            <w:pPr>
              <w:jc w:val="center"/>
            </w:pPr>
            <w:r>
              <w:rPr>
                <w:sz w:val="22"/>
                <w:szCs w:val="22"/>
              </w:rPr>
              <w:t>150</w:t>
            </w:r>
          </w:p>
        </w:tc>
        <w:tc>
          <w:tcPr>
            <w:tcW w:w="1589" w:type="dxa"/>
          </w:tcPr>
          <w:p w:rsidR="00EA1F75" w:rsidRPr="00953607" w:rsidRDefault="00EA1F75" w:rsidP="00BA7770">
            <w:pPr>
              <w:jc w:val="left"/>
            </w:pPr>
            <w:r w:rsidRPr="00BB5ABD">
              <w:rPr>
                <w:sz w:val="22"/>
                <w:szCs w:val="22"/>
              </w:rPr>
              <w:t>IS VaVaI/</w:t>
            </w:r>
            <w:r>
              <w:rPr>
                <w:sz w:val="22"/>
                <w:szCs w:val="22"/>
              </w:rPr>
              <w:t>VES,</w:t>
            </w:r>
          </w:p>
        </w:tc>
      </w:tr>
      <w:tr w:rsidR="00EA1F75" w:rsidRPr="00B0461F" w:rsidTr="00953607">
        <w:tc>
          <w:tcPr>
            <w:tcW w:w="6691" w:type="dxa"/>
          </w:tcPr>
          <w:p w:rsidR="00EA1F75" w:rsidRPr="00B0461F" w:rsidRDefault="00EA1F75" w:rsidP="00953607">
            <w:r w:rsidRPr="00B0461F">
              <w:rPr>
                <w:sz w:val="22"/>
                <w:szCs w:val="22"/>
              </w:rPr>
              <w:t>Minimální</w:t>
            </w:r>
            <w:r w:rsidRPr="00B0461F">
              <w:rPr>
                <w:spacing w:val="-8"/>
                <w:sz w:val="22"/>
                <w:szCs w:val="22"/>
              </w:rPr>
              <w:t xml:space="preserve"> </w:t>
            </w:r>
            <w:r w:rsidRPr="00B0461F">
              <w:rPr>
                <w:sz w:val="22"/>
                <w:szCs w:val="22"/>
              </w:rPr>
              <w:t>p</w:t>
            </w:r>
            <w:r w:rsidRPr="00B0461F">
              <w:rPr>
                <w:spacing w:val="-1"/>
                <w:sz w:val="22"/>
                <w:szCs w:val="22"/>
              </w:rPr>
              <w:t>o</w:t>
            </w:r>
            <w:r w:rsidRPr="00B0461F">
              <w:rPr>
                <w:sz w:val="22"/>
                <w:szCs w:val="22"/>
              </w:rPr>
              <w:t>čet</w:t>
            </w:r>
            <w:r w:rsidRPr="00B0461F">
              <w:rPr>
                <w:spacing w:val="-5"/>
                <w:sz w:val="22"/>
                <w:szCs w:val="22"/>
              </w:rPr>
              <w:t xml:space="preserve"> </w:t>
            </w:r>
            <w:r w:rsidRPr="00B0461F">
              <w:rPr>
                <w:sz w:val="22"/>
                <w:szCs w:val="22"/>
              </w:rPr>
              <w:t>úspěš</w:t>
            </w:r>
            <w:r w:rsidRPr="00B0461F">
              <w:rPr>
                <w:spacing w:val="1"/>
                <w:sz w:val="22"/>
                <w:szCs w:val="22"/>
              </w:rPr>
              <w:t>n</w:t>
            </w:r>
            <w:r w:rsidRPr="00B0461F">
              <w:rPr>
                <w:sz w:val="22"/>
                <w:szCs w:val="22"/>
              </w:rPr>
              <w:t>ě</w:t>
            </w:r>
            <w:r w:rsidRPr="00B0461F">
              <w:rPr>
                <w:spacing w:val="-7"/>
                <w:sz w:val="22"/>
                <w:szCs w:val="22"/>
              </w:rPr>
              <w:t xml:space="preserve"> </w:t>
            </w:r>
            <w:r w:rsidRPr="00B0461F">
              <w:rPr>
                <w:spacing w:val="1"/>
                <w:sz w:val="22"/>
                <w:szCs w:val="22"/>
              </w:rPr>
              <w:t>ukon</w:t>
            </w:r>
            <w:r w:rsidRPr="00B0461F">
              <w:rPr>
                <w:sz w:val="22"/>
                <w:szCs w:val="22"/>
              </w:rPr>
              <w:t>čených</w:t>
            </w:r>
            <w:r w:rsidRPr="00B0461F">
              <w:rPr>
                <w:spacing w:val="-10"/>
                <w:sz w:val="22"/>
                <w:szCs w:val="22"/>
              </w:rPr>
              <w:t xml:space="preserve"> </w:t>
            </w:r>
            <w:r w:rsidRPr="00B0461F">
              <w:rPr>
                <w:sz w:val="22"/>
                <w:szCs w:val="22"/>
              </w:rPr>
              <w:t>p</w:t>
            </w:r>
            <w:r w:rsidRPr="00B0461F">
              <w:rPr>
                <w:spacing w:val="-1"/>
                <w:sz w:val="22"/>
                <w:szCs w:val="22"/>
              </w:rPr>
              <w:t>r</w:t>
            </w:r>
            <w:r w:rsidRPr="00B0461F">
              <w:rPr>
                <w:sz w:val="22"/>
                <w:szCs w:val="22"/>
              </w:rPr>
              <w:t>ojektů</w:t>
            </w:r>
            <w:r w:rsidRPr="00B0461F">
              <w:rPr>
                <w:spacing w:val="-6"/>
                <w:sz w:val="22"/>
                <w:szCs w:val="22"/>
              </w:rPr>
              <w:t xml:space="preserve"> </w:t>
            </w:r>
            <w:r>
              <w:rPr>
                <w:spacing w:val="-6"/>
                <w:sz w:val="22"/>
                <w:szCs w:val="22"/>
              </w:rPr>
              <w:t xml:space="preserve">(kategorie A nebo B dle kap. 13.4) </w:t>
            </w:r>
            <w:r w:rsidRPr="00B0461F">
              <w:rPr>
                <w:sz w:val="22"/>
                <w:szCs w:val="22"/>
              </w:rPr>
              <w:t xml:space="preserve">celkem </w:t>
            </w:r>
            <w:r>
              <w:rPr>
                <w:sz w:val="22"/>
                <w:szCs w:val="22"/>
              </w:rPr>
              <w:t>- ú</w:t>
            </w:r>
            <w:r w:rsidRPr="00B0461F">
              <w:rPr>
                <w:sz w:val="22"/>
                <w:szCs w:val="22"/>
              </w:rPr>
              <w:t xml:space="preserve">spěšně bude dokončeno minimálně </w:t>
            </w:r>
            <w:r>
              <w:rPr>
                <w:sz w:val="22"/>
                <w:szCs w:val="22"/>
              </w:rPr>
              <w:t xml:space="preserve">90 </w:t>
            </w:r>
            <w:r w:rsidRPr="00B0461F">
              <w:rPr>
                <w:sz w:val="22"/>
                <w:szCs w:val="22"/>
              </w:rPr>
              <w:t>% projektů</w:t>
            </w:r>
          </w:p>
        </w:tc>
        <w:tc>
          <w:tcPr>
            <w:tcW w:w="1105" w:type="dxa"/>
            <w:gridSpan w:val="2"/>
          </w:tcPr>
          <w:p w:rsidR="00EA1F75" w:rsidRPr="00B0461F" w:rsidRDefault="00EA1F75" w:rsidP="00BA7770">
            <w:pPr>
              <w:jc w:val="center"/>
            </w:pPr>
            <w:r>
              <w:rPr>
                <w:sz w:val="22"/>
                <w:szCs w:val="22"/>
              </w:rPr>
              <w:t>135</w:t>
            </w:r>
          </w:p>
        </w:tc>
        <w:tc>
          <w:tcPr>
            <w:tcW w:w="1589" w:type="dxa"/>
          </w:tcPr>
          <w:p w:rsidR="00EA1F75" w:rsidRPr="00953607" w:rsidRDefault="00EA1F75" w:rsidP="00BA7770">
            <w:pPr>
              <w:jc w:val="left"/>
            </w:pPr>
            <w:r w:rsidRPr="00BB5ABD">
              <w:rPr>
                <w:sz w:val="22"/>
                <w:szCs w:val="22"/>
              </w:rPr>
              <w:t>IS VaVaI/</w:t>
            </w:r>
            <w:r>
              <w:rPr>
                <w:sz w:val="22"/>
                <w:szCs w:val="22"/>
              </w:rPr>
              <w:t>CEP,</w:t>
            </w:r>
            <w:r w:rsidRPr="00BB5ABD">
              <w:rPr>
                <w:sz w:val="22"/>
                <w:szCs w:val="22"/>
              </w:rPr>
              <w:t xml:space="preserve"> </w:t>
            </w:r>
            <w:r>
              <w:rPr>
                <w:sz w:val="22"/>
                <w:szCs w:val="22"/>
              </w:rPr>
              <w:t>data</w:t>
            </w:r>
            <w:r w:rsidRPr="00BB5ABD">
              <w:rPr>
                <w:sz w:val="22"/>
                <w:szCs w:val="22"/>
              </w:rPr>
              <w:t> MK</w:t>
            </w:r>
          </w:p>
        </w:tc>
      </w:tr>
      <w:tr w:rsidR="00EA1F75" w:rsidRPr="00B0461F" w:rsidTr="00191A6B">
        <w:tc>
          <w:tcPr>
            <w:tcW w:w="9385" w:type="dxa"/>
            <w:gridSpan w:val="4"/>
          </w:tcPr>
          <w:p w:rsidR="00EA1F75" w:rsidRPr="00953607" w:rsidRDefault="00EA1F75" w:rsidP="00953607">
            <w:pPr>
              <w:jc w:val="center"/>
            </w:pPr>
            <w:r w:rsidRPr="00953607">
              <w:rPr>
                <w:b/>
                <w:sz w:val="22"/>
                <w:szCs w:val="22"/>
              </w:rPr>
              <w:t>Indikátory výsledků Programu</w:t>
            </w:r>
          </w:p>
        </w:tc>
      </w:tr>
      <w:tr w:rsidR="00EA1F75" w:rsidRPr="00B0461F" w:rsidTr="00953607">
        <w:tc>
          <w:tcPr>
            <w:tcW w:w="6691" w:type="dxa"/>
          </w:tcPr>
          <w:p w:rsidR="00EA1F75" w:rsidRPr="00B0461F" w:rsidRDefault="00EA1F75" w:rsidP="00953607">
            <w:r>
              <w:rPr>
                <w:sz w:val="22"/>
                <w:szCs w:val="22"/>
              </w:rPr>
              <w:lastRenderedPageBreak/>
              <w:t>Minimální podíl schválených a v RIV uplatněných hlavních výsledků projektu z plánovaných hlavních výsledků projektu</w:t>
            </w:r>
          </w:p>
        </w:tc>
        <w:tc>
          <w:tcPr>
            <w:tcW w:w="1105" w:type="dxa"/>
            <w:gridSpan w:val="2"/>
          </w:tcPr>
          <w:p w:rsidR="00EA1F75" w:rsidRPr="00B0461F" w:rsidRDefault="00EA1F75" w:rsidP="00BA7770">
            <w:pPr>
              <w:jc w:val="center"/>
            </w:pPr>
            <w:r>
              <w:rPr>
                <w:sz w:val="22"/>
                <w:szCs w:val="22"/>
              </w:rPr>
              <w:t>80 %</w:t>
            </w:r>
          </w:p>
        </w:tc>
        <w:tc>
          <w:tcPr>
            <w:tcW w:w="1589" w:type="dxa"/>
          </w:tcPr>
          <w:p w:rsidR="00EA1F75" w:rsidRPr="00953607" w:rsidRDefault="00EA1F75" w:rsidP="00BA7770">
            <w:pPr>
              <w:jc w:val="left"/>
            </w:pPr>
            <w:r w:rsidRPr="00BB5ABD">
              <w:rPr>
                <w:sz w:val="22"/>
                <w:szCs w:val="22"/>
              </w:rPr>
              <w:t>IS VaVaI/</w:t>
            </w:r>
            <w:r>
              <w:rPr>
                <w:sz w:val="22"/>
                <w:szCs w:val="22"/>
              </w:rPr>
              <w:t>RIV,</w:t>
            </w:r>
            <w:r w:rsidRPr="00BB5ABD">
              <w:rPr>
                <w:sz w:val="22"/>
                <w:szCs w:val="22"/>
              </w:rPr>
              <w:t xml:space="preserve"> </w:t>
            </w:r>
            <w:r>
              <w:rPr>
                <w:sz w:val="22"/>
                <w:szCs w:val="22"/>
              </w:rPr>
              <w:t>data</w:t>
            </w:r>
            <w:r w:rsidRPr="00BB5ABD">
              <w:rPr>
                <w:sz w:val="22"/>
                <w:szCs w:val="22"/>
              </w:rPr>
              <w:t> MK</w:t>
            </w:r>
          </w:p>
        </w:tc>
      </w:tr>
      <w:tr w:rsidR="00EA1F75" w:rsidRPr="00B0461F" w:rsidTr="00953607">
        <w:tc>
          <w:tcPr>
            <w:tcW w:w="6691" w:type="dxa"/>
          </w:tcPr>
          <w:p w:rsidR="00EA1F75" w:rsidRPr="00B0461F" w:rsidRDefault="00EA1F75" w:rsidP="00953607">
            <w:r>
              <w:rPr>
                <w:sz w:val="22"/>
                <w:szCs w:val="22"/>
              </w:rPr>
              <w:t>Minimální počet schválených a v RIV uplatněných hlavních výsledků Programu</w:t>
            </w:r>
            <w:r>
              <w:rPr>
                <w:rStyle w:val="Odkaznavysvtlivky"/>
                <w:sz w:val="22"/>
                <w:szCs w:val="22"/>
              </w:rPr>
              <w:endnoteReference w:id="9"/>
            </w:r>
          </w:p>
        </w:tc>
        <w:tc>
          <w:tcPr>
            <w:tcW w:w="1105" w:type="dxa"/>
            <w:gridSpan w:val="2"/>
          </w:tcPr>
          <w:p w:rsidR="00EA1F75" w:rsidRPr="00B0461F" w:rsidRDefault="00EA1F75" w:rsidP="00BA7770">
            <w:pPr>
              <w:jc w:val="center"/>
            </w:pPr>
            <w:r>
              <w:rPr>
                <w:sz w:val="22"/>
                <w:szCs w:val="22"/>
              </w:rPr>
              <w:t>650</w:t>
            </w:r>
          </w:p>
        </w:tc>
        <w:tc>
          <w:tcPr>
            <w:tcW w:w="1589" w:type="dxa"/>
          </w:tcPr>
          <w:p w:rsidR="00EA1F75" w:rsidRPr="00953607" w:rsidRDefault="00EA1F75" w:rsidP="00953607">
            <w:pPr>
              <w:jc w:val="left"/>
            </w:pPr>
            <w:r w:rsidRPr="00BB5ABD">
              <w:rPr>
                <w:sz w:val="22"/>
                <w:szCs w:val="22"/>
              </w:rPr>
              <w:t>IS VaVaI/</w:t>
            </w:r>
            <w:r>
              <w:rPr>
                <w:sz w:val="22"/>
                <w:szCs w:val="22"/>
              </w:rPr>
              <w:t>RIV</w:t>
            </w:r>
          </w:p>
        </w:tc>
      </w:tr>
      <w:tr w:rsidR="00EA1F75" w:rsidRPr="00B0461F" w:rsidTr="00953607">
        <w:tc>
          <w:tcPr>
            <w:tcW w:w="6691" w:type="dxa"/>
          </w:tcPr>
          <w:p w:rsidR="00EA1F75" w:rsidRDefault="00EA1F75" w:rsidP="00953607">
            <w:r>
              <w:rPr>
                <w:sz w:val="22"/>
                <w:szCs w:val="22"/>
              </w:rPr>
              <w:t>Minimální podíl hlavních nebo vedlejších výsledků, které budou hodnoceny jako excelentní (vynikající s mezinárodním významem)</w:t>
            </w:r>
          </w:p>
        </w:tc>
        <w:tc>
          <w:tcPr>
            <w:tcW w:w="1105" w:type="dxa"/>
            <w:gridSpan w:val="2"/>
          </w:tcPr>
          <w:p w:rsidR="00EA1F75" w:rsidRDefault="00EA1F75" w:rsidP="00BA7770">
            <w:pPr>
              <w:jc w:val="center"/>
            </w:pPr>
            <w:r>
              <w:rPr>
                <w:sz w:val="22"/>
                <w:szCs w:val="22"/>
              </w:rPr>
              <w:t>20 %</w:t>
            </w:r>
          </w:p>
        </w:tc>
        <w:tc>
          <w:tcPr>
            <w:tcW w:w="1589" w:type="dxa"/>
          </w:tcPr>
          <w:p w:rsidR="00EA1F75" w:rsidRPr="00953607" w:rsidRDefault="00EA1F75" w:rsidP="00953607">
            <w:pPr>
              <w:jc w:val="left"/>
            </w:pPr>
            <w:r>
              <w:rPr>
                <w:sz w:val="22"/>
                <w:szCs w:val="22"/>
              </w:rPr>
              <w:t>data</w:t>
            </w:r>
            <w:r w:rsidRPr="00BB5ABD">
              <w:rPr>
                <w:sz w:val="22"/>
                <w:szCs w:val="22"/>
              </w:rPr>
              <w:t> MK</w:t>
            </w:r>
          </w:p>
        </w:tc>
      </w:tr>
      <w:tr w:rsidR="00EA1F75" w:rsidRPr="00B0461F" w:rsidTr="00953607">
        <w:tc>
          <w:tcPr>
            <w:tcW w:w="6691" w:type="dxa"/>
          </w:tcPr>
          <w:p w:rsidR="00EA1F75" w:rsidRPr="00B0461F" w:rsidRDefault="00EA1F75" w:rsidP="00953607">
            <w:r>
              <w:rPr>
                <w:sz w:val="22"/>
                <w:szCs w:val="22"/>
              </w:rPr>
              <w:t>Minimální podíl výsledků projektů, jejichž dopady (uplatnění v praxi) budou hodnoceny jako výborné až průměrné (dle kap. 10)</w:t>
            </w:r>
          </w:p>
        </w:tc>
        <w:tc>
          <w:tcPr>
            <w:tcW w:w="1105" w:type="dxa"/>
            <w:gridSpan w:val="2"/>
          </w:tcPr>
          <w:p w:rsidR="00EA1F75" w:rsidRPr="00B0461F" w:rsidRDefault="00EA1F75" w:rsidP="00BA7770">
            <w:pPr>
              <w:jc w:val="center"/>
            </w:pPr>
            <w:r>
              <w:rPr>
                <w:sz w:val="22"/>
                <w:szCs w:val="22"/>
              </w:rPr>
              <w:t>80 %</w:t>
            </w:r>
          </w:p>
        </w:tc>
        <w:tc>
          <w:tcPr>
            <w:tcW w:w="1589" w:type="dxa"/>
          </w:tcPr>
          <w:p w:rsidR="00EA1F75" w:rsidRPr="00953607" w:rsidRDefault="00EA1F75" w:rsidP="00BA7770">
            <w:pPr>
              <w:jc w:val="left"/>
            </w:pPr>
            <w:r>
              <w:rPr>
                <w:sz w:val="22"/>
                <w:szCs w:val="22"/>
              </w:rPr>
              <w:t>data</w:t>
            </w:r>
            <w:r w:rsidRPr="00BB5ABD">
              <w:rPr>
                <w:sz w:val="22"/>
                <w:szCs w:val="22"/>
              </w:rPr>
              <w:t> MK</w:t>
            </w:r>
            <w:r>
              <w:rPr>
                <w:sz w:val="22"/>
                <w:szCs w:val="22"/>
              </w:rPr>
              <w:t>, uživatelé</w:t>
            </w:r>
          </w:p>
        </w:tc>
      </w:tr>
      <w:tr w:rsidR="00EA1F75" w:rsidRPr="00B0461F" w:rsidTr="00953607">
        <w:trPr>
          <w:trHeight w:val="416"/>
        </w:trPr>
        <w:tc>
          <w:tcPr>
            <w:tcW w:w="9385" w:type="dxa"/>
            <w:gridSpan w:val="4"/>
          </w:tcPr>
          <w:p w:rsidR="00EA1F75" w:rsidRPr="00953607" w:rsidRDefault="00EA1F75" w:rsidP="00BA7770">
            <w:pPr>
              <w:jc w:val="center"/>
            </w:pPr>
            <w:r w:rsidRPr="00953607">
              <w:rPr>
                <w:b/>
                <w:sz w:val="22"/>
                <w:szCs w:val="22"/>
              </w:rPr>
              <w:t>Indikátory splnění cílů Programu</w:t>
            </w:r>
          </w:p>
        </w:tc>
      </w:tr>
      <w:tr w:rsidR="00EA1F75" w:rsidRPr="00B0461F" w:rsidTr="00953607">
        <w:tc>
          <w:tcPr>
            <w:tcW w:w="6691" w:type="dxa"/>
          </w:tcPr>
          <w:p w:rsidR="00EA1F75" w:rsidRPr="00B0461F" w:rsidRDefault="00EA1F75" w:rsidP="00BA7770">
            <w:r>
              <w:rPr>
                <w:sz w:val="22"/>
                <w:szCs w:val="22"/>
              </w:rPr>
              <w:t>Minimální podíl splněných cílů Programu na úrovni tematických priorit Programu naplněných alespoň jedním úspěšně ukončeným projektem (23 z 26)</w:t>
            </w:r>
          </w:p>
        </w:tc>
        <w:tc>
          <w:tcPr>
            <w:tcW w:w="1105" w:type="dxa"/>
            <w:gridSpan w:val="2"/>
          </w:tcPr>
          <w:p w:rsidR="00EA1F75" w:rsidRPr="00B0461F" w:rsidRDefault="00EA1F75" w:rsidP="00BA7770">
            <w:pPr>
              <w:jc w:val="center"/>
            </w:pPr>
            <w:r>
              <w:rPr>
                <w:sz w:val="22"/>
                <w:szCs w:val="22"/>
              </w:rPr>
              <w:t>88,5 %</w:t>
            </w:r>
          </w:p>
        </w:tc>
        <w:tc>
          <w:tcPr>
            <w:tcW w:w="1589" w:type="dxa"/>
          </w:tcPr>
          <w:p w:rsidR="00EA1F75" w:rsidRPr="00953607" w:rsidRDefault="00EA1F75" w:rsidP="00953607">
            <w:pPr>
              <w:jc w:val="left"/>
            </w:pPr>
            <w:r>
              <w:rPr>
                <w:sz w:val="22"/>
                <w:szCs w:val="22"/>
              </w:rPr>
              <w:t>data</w:t>
            </w:r>
            <w:r w:rsidRPr="00BB5ABD">
              <w:rPr>
                <w:sz w:val="22"/>
                <w:szCs w:val="22"/>
              </w:rPr>
              <w:t> MK</w:t>
            </w:r>
            <w:r>
              <w:rPr>
                <w:sz w:val="22"/>
                <w:szCs w:val="22"/>
              </w:rPr>
              <w:t>, monitoring projektů</w:t>
            </w:r>
          </w:p>
        </w:tc>
      </w:tr>
      <w:tr w:rsidR="00EA1F75" w:rsidRPr="00B0461F" w:rsidTr="00953607">
        <w:tc>
          <w:tcPr>
            <w:tcW w:w="6691" w:type="dxa"/>
          </w:tcPr>
          <w:p w:rsidR="00EA1F75" w:rsidRPr="00B0461F" w:rsidRDefault="00EA1F75" w:rsidP="00953607">
            <w:r>
              <w:rPr>
                <w:sz w:val="22"/>
                <w:szCs w:val="22"/>
              </w:rPr>
              <w:t>Minimální podíl splněných cílů Programu na úrovni specifických cílů Programu – u specifických cílů 1.1 až 1.5 naplnění alespoň jedním úspěšně ukončeným projektem, u specifických cílů 2.1 až 4.1 tematickými opatřeními splněnými nejméně ze 75 %</w:t>
            </w:r>
          </w:p>
        </w:tc>
        <w:tc>
          <w:tcPr>
            <w:tcW w:w="1105" w:type="dxa"/>
            <w:gridSpan w:val="2"/>
          </w:tcPr>
          <w:p w:rsidR="00EA1F75" w:rsidRPr="00B0461F" w:rsidRDefault="00EA1F75" w:rsidP="00BA7770">
            <w:pPr>
              <w:jc w:val="center"/>
            </w:pPr>
            <w:r>
              <w:rPr>
                <w:sz w:val="22"/>
                <w:szCs w:val="22"/>
              </w:rPr>
              <w:t>100 %</w:t>
            </w:r>
          </w:p>
        </w:tc>
        <w:tc>
          <w:tcPr>
            <w:tcW w:w="1589" w:type="dxa"/>
          </w:tcPr>
          <w:p w:rsidR="00EA1F75" w:rsidRPr="00953607" w:rsidRDefault="00EA1F75" w:rsidP="00953607">
            <w:pPr>
              <w:jc w:val="left"/>
            </w:pPr>
            <w:r>
              <w:rPr>
                <w:sz w:val="22"/>
                <w:szCs w:val="22"/>
              </w:rPr>
              <w:t>data</w:t>
            </w:r>
            <w:r w:rsidRPr="00BB5ABD">
              <w:rPr>
                <w:sz w:val="22"/>
                <w:szCs w:val="22"/>
              </w:rPr>
              <w:t> MK</w:t>
            </w:r>
            <w:r>
              <w:rPr>
                <w:sz w:val="22"/>
                <w:szCs w:val="22"/>
              </w:rPr>
              <w:t>, monitoring projektů</w:t>
            </w:r>
          </w:p>
        </w:tc>
      </w:tr>
      <w:tr w:rsidR="00EA1F75" w:rsidRPr="00B0461F" w:rsidTr="00DE4CF4">
        <w:trPr>
          <w:trHeight w:val="416"/>
        </w:trPr>
        <w:tc>
          <w:tcPr>
            <w:tcW w:w="9385" w:type="dxa"/>
            <w:gridSpan w:val="4"/>
          </w:tcPr>
          <w:p w:rsidR="00EA1F75" w:rsidRPr="00B0461F" w:rsidRDefault="00EA1F75" w:rsidP="00953607">
            <w:pPr>
              <w:jc w:val="center"/>
            </w:pPr>
            <w:r w:rsidRPr="00B0461F">
              <w:rPr>
                <w:b/>
                <w:sz w:val="22"/>
                <w:szCs w:val="22"/>
              </w:rPr>
              <w:t xml:space="preserve">Indikátory </w:t>
            </w:r>
            <w:r>
              <w:rPr>
                <w:b/>
                <w:sz w:val="22"/>
                <w:szCs w:val="22"/>
              </w:rPr>
              <w:t>dopadů</w:t>
            </w:r>
            <w:r w:rsidRPr="00B0461F">
              <w:rPr>
                <w:b/>
                <w:sz w:val="22"/>
                <w:szCs w:val="22"/>
              </w:rPr>
              <w:t xml:space="preserve"> Programu</w:t>
            </w:r>
          </w:p>
        </w:tc>
      </w:tr>
      <w:tr w:rsidR="00EA1F75" w:rsidRPr="00B0461F" w:rsidTr="00953607">
        <w:tc>
          <w:tcPr>
            <w:tcW w:w="7258" w:type="dxa"/>
            <w:gridSpan w:val="2"/>
          </w:tcPr>
          <w:p w:rsidR="00EA1F75" w:rsidRDefault="00EA1F75" w:rsidP="00953607">
            <w:r>
              <w:rPr>
                <w:sz w:val="22"/>
                <w:szCs w:val="22"/>
              </w:rPr>
              <w:t>Naplnění tematických priorit Programu projekty (viz kap. 5.2)</w:t>
            </w:r>
          </w:p>
        </w:tc>
        <w:tc>
          <w:tcPr>
            <w:tcW w:w="2127" w:type="dxa"/>
            <w:gridSpan w:val="2"/>
          </w:tcPr>
          <w:p w:rsidR="00EA1F75" w:rsidRDefault="00EA1F75" w:rsidP="00BA7770">
            <w:pPr>
              <w:jc w:val="left"/>
            </w:pPr>
            <w:r>
              <w:rPr>
                <w:sz w:val="22"/>
                <w:szCs w:val="22"/>
              </w:rPr>
              <w:t>data</w:t>
            </w:r>
            <w:r w:rsidRPr="00BB5ABD">
              <w:rPr>
                <w:sz w:val="22"/>
                <w:szCs w:val="22"/>
              </w:rPr>
              <w:t> MK</w:t>
            </w:r>
            <w:r>
              <w:rPr>
                <w:sz w:val="22"/>
                <w:szCs w:val="22"/>
              </w:rPr>
              <w:t>, monitoring projektů</w:t>
            </w:r>
          </w:p>
        </w:tc>
      </w:tr>
      <w:tr w:rsidR="00EA1F75" w:rsidRPr="00B0461F" w:rsidTr="00953607">
        <w:tc>
          <w:tcPr>
            <w:tcW w:w="7258" w:type="dxa"/>
            <w:gridSpan w:val="2"/>
          </w:tcPr>
          <w:p w:rsidR="00EA1F75" w:rsidRDefault="00EA1F75" w:rsidP="00953607">
            <w:r>
              <w:rPr>
                <w:sz w:val="22"/>
                <w:szCs w:val="22"/>
              </w:rPr>
              <w:t>Dopady projektů v členění dle kap. 10</w:t>
            </w:r>
          </w:p>
        </w:tc>
        <w:tc>
          <w:tcPr>
            <w:tcW w:w="2127" w:type="dxa"/>
            <w:gridSpan w:val="2"/>
          </w:tcPr>
          <w:p w:rsidR="00EA1F75" w:rsidRDefault="00EA1F75" w:rsidP="00BA7770">
            <w:pPr>
              <w:jc w:val="left"/>
            </w:pPr>
            <w:r>
              <w:rPr>
                <w:sz w:val="22"/>
                <w:szCs w:val="22"/>
              </w:rPr>
              <w:t>monitoring projektů, uživatelé (dotazníkové šetření)</w:t>
            </w:r>
          </w:p>
        </w:tc>
      </w:tr>
      <w:tr w:rsidR="00EA1F75" w:rsidRPr="00B0461F" w:rsidTr="00953607">
        <w:tc>
          <w:tcPr>
            <w:tcW w:w="7258" w:type="dxa"/>
            <w:gridSpan w:val="2"/>
          </w:tcPr>
          <w:p w:rsidR="00EA1F75" w:rsidRPr="00B0461F" w:rsidRDefault="00EA1F75" w:rsidP="00953607">
            <w:r>
              <w:rPr>
                <w:sz w:val="22"/>
                <w:szCs w:val="22"/>
              </w:rPr>
              <w:t>Kvalita výsledků Programu (publikace v prvním decilu a kvartilu impaktovaných publikací, vybrané výsledky M2)</w:t>
            </w:r>
          </w:p>
        </w:tc>
        <w:tc>
          <w:tcPr>
            <w:tcW w:w="2127" w:type="dxa"/>
            <w:gridSpan w:val="2"/>
          </w:tcPr>
          <w:p w:rsidR="00EA1F75" w:rsidRPr="00B0461F" w:rsidRDefault="00EA1F75" w:rsidP="00BA7770">
            <w:pPr>
              <w:jc w:val="left"/>
            </w:pPr>
            <w:proofErr w:type="spellStart"/>
            <w:r>
              <w:rPr>
                <w:sz w:val="22"/>
                <w:szCs w:val="22"/>
              </w:rPr>
              <w:t>WoS</w:t>
            </w:r>
            <w:proofErr w:type="spellEnd"/>
            <w:r>
              <w:rPr>
                <w:sz w:val="22"/>
                <w:szCs w:val="22"/>
              </w:rPr>
              <w:t>, IS VaVaI</w:t>
            </w:r>
          </w:p>
        </w:tc>
      </w:tr>
      <w:tr w:rsidR="00EA1F75" w:rsidRPr="00B0461F" w:rsidTr="00953607">
        <w:tc>
          <w:tcPr>
            <w:tcW w:w="7258" w:type="dxa"/>
            <w:gridSpan w:val="2"/>
          </w:tcPr>
          <w:p w:rsidR="00EA1F75" w:rsidRPr="00B0461F" w:rsidRDefault="00EA1F75" w:rsidP="00953607">
            <w:r>
              <w:rPr>
                <w:sz w:val="22"/>
                <w:szCs w:val="22"/>
              </w:rPr>
              <w:t>Společenská relevance vybraných výsledků Programu (M1)</w:t>
            </w:r>
          </w:p>
        </w:tc>
        <w:tc>
          <w:tcPr>
            <w:tcW w:w="2127" w:type="dxa"/>
            <w:gridSpan w:val="2"/>
          </w:tcPr>
          <w:p w:rsidR="00EA1F75" w:rsidRPr="00B0461F" w:rsidRDefault="00EA1F75" w:rsidP="00BA7770">
            <w:pPr>
              <w:jc w:val="left"/>
            </w:pPr>
            <w:r>
              <w:rPr>
                <w:sz w:val="22"/>
                <w:szCs w:val="22"/>
              </w:rPr>
              <w:t>Hodnocení M17+</w:t>
            </w:r>
          </w:p>
        </w:tc>
      </w:tr>
      <w:tr w:rsidR="00EA1F75" w:rsidRPr="00B0461F" w:rsidTr="00953607">
        <w:tc>
          <w:tcPr>
            <w:tcW w:w="7258" w:type="dxa"/>
            <w:gridSpan w:val="2"/>
          </w:tcPr>
          <w:p w:rsidR="00EA1F75" w:rsidRPr="00B0461F" w:rsidRDefault="00EA1F75" w:rsidP="00953607">
            <w:r>
              <w:rPr>
                <w:sz w:val="22"/>
                <w:szCs w:val="22"/>
              </w:rPr>
              <w:t>Využití výsledků Programu v praxi – společenské, inovační a ekonomické dopady (viz kap. 10)</w:t>
            </w:r>
          </w:p>
        </w:tc>
        <w:tc>
          <w:tcPr>
            <w:tcW w:w="2127" w:type="dxa"/>
            <w:gridSpan w:val="2"/>
          </w:tcPr>
          <w:p w:rsidR="00EA1F75" w:rsidRPr="00B0461F" w:rsidRDefault="00EA1F75" w:rsidP="00BA7770">
            <w:pPr>
              <w:jc w:val="left"/>
            </w:pPr>
            <w:r>
              <w:rPr>
                <w:sz w:val="22"/>
                <w:szCs w:val="22"/>
              </w:rPr>
              <w:t>uživatelé (dotazníkové šetření)</w:t>
            </w:r>
          </w:p>
        </w:tc>
      </w:tr>
    </w:tbl>
    <w:p w:rsidR="00EA1F75" w:rsidRPr="00B0461F" w:rsidRDefault="00EA1F75" w:rsidP="001506A7">
      <w:pPr>
        <w:ind w:left="180"/>
      </w:pPr>
    </w:p>
    <w:p w:rsidR="00EA1F75" w:rsidRPr="005729CD" w:rsidRDefault="00EA1F75" w:rsidP="00B51465">
      <w:pPr>
        <w:pStyle w:val="Nadpis1"/>
      </w:pPr>
      <w:bookmarkStart w:id="28" w:name="_Toc61616888"/>
      <w:r w:rsidRPr="005729CD">
        <w:t>15. Stanovení způsobu hodnocení Programu</w:t>
      </w:r>
      <w:r>
        <w:t xml:space="preserve"> - harmonogram</w:t>
      </w:r>
      <w:bookmarkEnd w:id="28"/>
    </w:p>
    <w:p w:rsidR="00EA1F75" w:rsidRDefault="00EA1F75" w:rsidP="000E01EF">
      <w:bookmarkStart w:id="29" w:name="_Toc362210103"/>
      <w:r w:rsidRPr="000E01EF">
        <w:t xml:space="preserve">Harmonogram hodnocení Programu je součástí Koncepce v kapitole IV Implementační část, bodu </w:t>
      </w:r>
      <w:bookmarkStart w:id="30" w:name="_Toc37934720"/>
      <w:r w:rsidRPr="000E01EF">
        <w:t>2. Plán realizace aktivit a 3. Časový harmonogram</w:t>
      </w:r>
      <w:bookmarkEnd w:id="30"/>
      <w:r>
        <w:t xml:space="preserve"> (text je uveden podle harmonogramu Koncepce), kam byla doplněna na základě stanoviska RVVI ke Koncepci (termíny jsou uvedeny ve čtvrtletích):</w:t>
      </w:r>
    </w:p>
    <w:p w:rsidR="00EA1F75" w:rsidRPr="007F21A3" w:rsidRDefault="00EA1F75" w:rsidP="007F301F">
      <w:pPr>
        <w:pStyle w:val="Normlnodsazen"/>
        <w:numPr>
          <w:ilvl w:val="0"/>
          <w:numId w:val="41"/>
        </w:numPr>
        <w:pBdr>
          <w:top w:val="single" w:sz="4" w:space="1" w:color="auto"/>
          <w:left w:val="single" w:sz="4" w:space="4" w:color="auto"/>
          <w:bottom w:val="single" w:sz="4" w:space="1" w:color="auto"/>
          <w:right w:val="single" w:sz="4" w:space="4" w:color="auto"/>
        </w:pBdr>
        <w:tabs>
          <w:tab w:val="clear" w:pos="720"/>
        </w:tabs>
        <w:ind w:left="540"/>
        <w:rPr>
          <w:sz w:val="24"/>
          <w:szCs w:val="24"/>
        </w:rPr>
      </w:pPr>
      <w:r w:rsidRPr="007F21A3">
        <w:rPr>
          <w:sz w:val="24"/>
          <w:szCs w:val="24"/>
          <w:u w:val="single"/>
        </w:rPr>
        <w:t>III – IV/2024</w:t>
      </w:r>
      <w:r w:rsidRPr="007F21A3">
        <w:rPr>
          <w:sz w:val="24"/>
          <w:szCs w:val="24"/>
        </w:rPr>
        <w:t xml:space="preserve"> - zpracování a předložení prvního průběžného hodnocení plnění Koncepce RVVI, zahrnujícího závěrečné hodnocení VO za období 2019 – 2023 na úrovni poskytovatele a vyhodnocení 1. a 2. veřejné soutěže programu NAKI III,</w:t>
      </w:r>
    </w:p>
    <w:p w:rsidR="00EA1F75" w:rsidRPr="007F21A3" w:rsidRDefault="00EA1F75" w:rsidP="007F301F">
      <w:pPr>
        <w:pStyle w:val="Normlnodsazen"/>
        <w:numPr>
          <w:ilvl w:val="0"/>
          <w:numId w:val="41"/>
        </w:numPr>
        <w:pBdr>
          <w:top w:val="single" w:sz="4" w:space="1" w:color="auto"/>
          <w:left w:val="single" w:sz="4" w:space="4" w:color="auto"/>
          <w:bottom w:val="single" w:sz="4" w:space="1" w:color="auto"/>
          <w:right w:val="single" w:sz="4" w:space="4" w:color="auto"/>
        </w:pBdr>
        <w:tabs>
          <w:tab w:val="clear" w:pos="720"/>
        </w:tabs>
        <w:ind w:left="540"/>
        <w:rPr>
          <w:sz w:val="24"/>
          <w:szCs w:val="24"/>
        </w:rPr>
      </w:pPr>
      <w:r w:rsidRPr="007F21A3">
        <w:rPr>
          <w:sz w:val="24"/>
          <w:szCs w:val="24"/>
          <w:u w:val="single"/>
        </w:rPr>
        <w:t>III – IV/2029</w:t>
      </w:r>
      <w:r w:rsidRPr="007F21A3">
        <w:rPr>
          <w:sz w:val="24"/>
          <w:szCs w:val="24"/>
        </w:rPr>
        <w:t xml:space="preserve"> - zpracování a předložení druhého průběžného hodnocení plnění Koncepce RVVI, zahrnujícího závěrečné hodnocení VO za období 2024 – 2028 na úrovni poskytovatele a vyhodnocení 3. veřejné soutěže programu NAKI III,</w:t>
      </w:r>
    </w:p>
    <w:p w:rsidR="00EA1F75" w:rsidRPr="007F21A3" w:rsidRDefault="00EA1F75" w:rsidP="007F301F">
      <w:pPr>
        <w:numPr>
          <w:ilvl w:val="0"/>
          <w:numId w:val="41"/>
        </w:numPr>
        <w:pBdr>
          <w:top w:val="single" w:sz="4" w:space="1" w:color="auto"/>
          <w:left w:val="single" w:sz="4" w:space="4" w:color="auto"/>
          <w:bottom w:val="single" w:sz="4" w:space="1" w:color="auto"/>
          <w:right w:val="single" w:sz="4" w:space="4" w:color="auto"/>
        </w:pBdr>
        <w:tabs>
          <w:tab w:val="clear" w:pos="720"/>
        </w:tabs>
        <w:ind w:left="540"/>
      </w:pPr>
      <w:r w:rsidRPr="007F21A3">
        <w:rPr>
          <w:u w:val="single"/>
        </w:rPr>
        <w:lastRenderedPageBreak/>
        <w:t>III/2031</w:t>
      </w:r>
      <w:r w:rsidRPr="007F21A3">
        <w:t xml:space="preserve"> - předložení závěrečného (výročního) hodnocení plnění Koncepce RVVI zahrnující hodnocení VO za období 2024 – 2030 na úrovni poskytovatele a vyhodnocení programu NAKI III.</w:t>
      </w:r>
    </w:p>
    <w:p w:rsidR="00EA1F75" w:rsidRDefault="00EA1F75" w:rsidP="008A139A">
      <w:pPr>
        <w:rPr>
          <w:color w:val="000000"/>
          <w:shd w:val="clear" w:color="auto" w:fill="FFFFFF"/>
        </w:rPr>
      </w:pPr>
      <w:r w:rsidRPr="008A139A">
        <w:rPr>
          <w:color w:val="000000"/>
          <w:shd w:val="clear" w:color="auto" w:fill="FFFFFF"/>
        </w:rPr>
        <w:t>Součástí</w:t>
      </w:r>
      <w:r>
        <w:rPr>
          <w:color w:val="000000"/>
          <w:shd w:val="clear" w:color="auto" w:fill="FFFFFF"/>
        </w:rPr>
        <w:t xml:space="preserve"> závěrečného hodnocení P</w:t>
      </w:r>
      <w:r w:rsidRPr="008A139A">
        <w:rPr>
          <w:color w:val="000000"/>
          <w:shd w:val="clear" w:color="auto" w:fill="FFFFFF"/>
        </w:rPr>
        <w:t xml:space="preserve">rogramu </w:t>
      </w:r>
      <w:r>
        <w:rPr>
          <w:color w:val="000000"/>
          <w:shd w:val="clear" w:color="auto" w:fill="FFFFFF"/>
        </w:rPr>
        <w:t xml:space="preserve">v roce 2031 bude i hodnocení dopadů programu, tj. uplatnění výsledků projektů podpořených v 1. a 2. veřejné soutěži Programu po třech letech od ukončení jejich řešení v roce 2027 a předpokládaného uplatnění výsledků projektů podpořených ve 3. veřejné soutěži Programu po ukončení jejich řešení v roce 2030, které bude provedeno </w:t>
      </w:r>
      <w:r w:rsidRPr="0034042D">
        <w:rPr>
          <w:color w:val="000000"/>
          <w:shd w:val="clear" w:color="auto" w:fill="FFFFFF"/>
        </w:rPr>
        <w:t>v souladu s Metodikou hodnocení výsledků výzkumných organizací a hodnocení výsledků ukončených programů platnou v době hodnocení Programu</w:t>
      </w:r>
      <w:r>
        <w:rPr>
          <w:color w:val="000000"/>
          <w:shd w:val="clear" w:color="auto" w:fill="FFFFFF"/>
        </w:rPr>
        <w:t xml:space="preserve"> (viz kap. 10).</w:t>
      </w:r>
    </w:p>
    <w:p w:rsidR="00EA1F75" w:rsidRPr="008A139A" w:rsidRDefault="00EA1F75" w:rsidP="006A42B6">
      <w:pPr>
        <w:pStyle w:val="Default"/>
        <w:jc w:val="both"/>
        <w:rPr>
          <w:shd w:val="clear" w:color="auto" w:fill="FFFFFF"/>
        </w:rPr>
      </w:pPr>
      <w:r>
        <w:rPr>
          <w:shd w:val="clear" w:color="auto" w:fill="FFFFFF"/>
        </w:rPr>
        <w:t>Hodnocení programu bude probíhat obdobným způsobem, jakým probíhalo ex-ante hodnocení návrhu Programu (viz Příloha č. 3). Náklady na hodnocení budou hrazeny z institucionálních výdajů poskytovatele („</w:t>
      </w:r>
      <w:r w:rsidRPr="006A42B6">
        <w:rPr>
          <w:i/>
          <w:shd w:val="clear" w:color="auto" w:fill="FFFFFF"/>
        </w:rPr>
        <w:t xml:space="preserve">Pořádání veř. </w:t>
      </w:r>
      <w:proofErr w:type="gramStart"/>
      <w:r w:rsidRPr="006A42B6">
        <w:rPr>
          <w:i/>
          <w:shd w:val="clear" w:color="auto" w:fill="FFFFFF"/>
        </w:rPr>
        <w:t>soutěží</w:t>
      </w:r>
      <w:proofErr w:type="gramEnd"/>
      <w:r w:rsidRPr="006A42B6">
        <w:rPr>
          <w:i/>
          <w:shd w:val="clear" w:color="auto" w:fill="FFFFFF"/>
        </w:rPr>
        <w:t>, hodnocení projektů atd.</w:t>
      </w:r>
      <w:r>
        <w:rPr>
          <w:shd w:val="clear" w:color="auto" w:fill="FFFFFF"/>
        </w:rPr>
        <w:t>“) a u prvního a druhého průběžného hodnocení nepřevýší výši 500 tis. Kč, u závěrečného hodnocení výši 1 000 tis. Kč.</w:t>
      </w:r>
    </w:p>
    <w:p w:rsidR="00EA1F75" w:rsidRDefault="00EA1F75" w:rsidP="005729CD">
      <w:pPr>
        <w:rPr>
          <w:color w:val="000000"/>
          <w:sz w:val="22"/>
          <w:szCs w:val="22"/>
          <w:shd w:val="clear" w:color="auto" w:fill="FFFFFF"/>
        </w:rPr>
      </w:pPr>
    </w:p>
    <w:p w:rsidR="00EA1F75" w:rsidRPr="005729CD" w:rsidRDefault="00EA1F75" w:rsidP="00B51465">
      <w:pPr>
        <w:pStyle w:val="Nadpis1"/>
      </w:pPr>
      <w:bookmarkStart w:id="31" w:name="_Toc61616889"/>
      <w:r w:rsidRPr="005729CD">
        <w:t>16. Definice rizik spojených s realizací Programu</w:t>
      </w:r>
      <w:bookmarkEnd w:id="31"/>
    </w:p>
    <w:p w:rsidR="00EA1F75" w:rsidRDefault="00EA1F75" w:rsidP="00D704CA">
      <w:bookmarkStart w:id="32" w:name="_Toc362210120"/>
      <w:r>
        <w:t xml:space="preserve">Během plnění cílů Programu může dojít k situacím, které znemožní splnění jednotlivých projektů a tím ohrozit plnění dílčích cílů a samotných cílů programu. Rizika lze obecně rozdělit do skupin rizik politických, ekonomických, společenských, technických a legislativních. V kategoriích rizik politických, společenských a legislativních se nachází pouze rizika s nízkým významem. </w:t>
      </w:r>
    </w:p>
    <w:p w:rsidR="00EA1F75" w:rsidRDefault="00EA1F75" w:rsidP="00D704CA">
      <w:r>
        <w:t xml:space="preserve">K výše zmíněným rizikům zejména patří: </w:t>
      </w:r>
    </w:p>
    <w:p w:rsidR="00EA1F75" w:rsidRDefault="00EA1F75" w:rsidP="00D704CA">
      <w:pPr>
        <w:numPr>
          <w:ilvl w:val="0"/>
          <w:numId w:val="40"/>
        </w:numPr>
      </w:pPr>
      <w:r>
        <w:t>změna priorit ve výzkumu, vývoj a inovacích</w:t>
      </w:r>
    </w:p>
    <w:p w:rsidR="00EA1F75" w:rsidRDefault="00EA1F75" w:rsidP="00D704CA">
      <w:pPr>
        <w:numPr>
          <w:ilvl w:val="0"/>
          <w:numId w:val="40"/>
        </w:numPr>
      </w:pPr>
      <w:r>
        <w:t>finanční rizika,</w:t>
      </w:r>
    </w:p>
    <w:p w:rsidR="00EA1F75" w:rsidRDefault="00EA1F75" w:rsidP="00D704CA">
      <w:pPr>
        <w:numPr>
          <w:ilvl w:val="0"/>
          <w:numId w:val="40"/>
        </w:numPr>
      </w:pPr>
      <w:r>
        <w:t>technická rizika,</w:t>
      </w:r>
    </w:p>
    <w:p w:rsidR="00EA1F75" w:rsidRDefault="00EA1F75" w:rsidP="00D704CA">
      <w:pPr>
        <w:numPr>
          <w:ilvl w:val="0"/>
          <w:numId w:val="40"/>
        </w:numPr>
      </w:pPr>
      <w:r>
        <w:t>nenaplnění všech tematických priorit Programu</w:t>
      </w:r>
    </w:p>
    <w:p w:rsidR="00EA1F75" w:rsidRDefault="00EA1F75" w:rsidP="00D704CA">
      <w:pPr>
        <w:numPr>
          <w:ilvl w:val="0"/>
          <w:numId w:val="40"/>
        </w:numPr>
      </w:pPr>
      <w:r>
        <w:t>rozpad řešitelského týmu příjemce</w:t>
      </w:r>
    </w:p>
    <w:p w:rsidR="00EA1F75" w:rsidRDefault="00EA1F75" w:rsidP="0096450F"/>
    <w:p w:rsidR="00EA1F75" w:rsidRDefault="00EA1F75" w:rsidP="00B51465">
      <w:pPr>
        <w:pStyle w:val="Nadpis2"/>
      </w:pPr>
      <w:bookmarkStart w:id="33" w:name="_Toc61616890"/>
      <w:r>
        <w:t>16.1 Změna priorit ve výzkumu, vývoji a inovacích</w:t>
      </w:r>
      <w:bookmarkEnd w:id="33"/>
    </w:p>
    <w:p w:rsidR="00EA1F75" w:rsidRDefault="00EA1F75" w:rsidP="00D704CA">
      <w:r>
        <w:t>Změna priorit vlády či MK ve výzkumu, vývoji a inovacích představuje sice zásadní riziko, které může zcela změnit směřování dalšího vývoje VaVaI v oblasti národní a kulturní identity, ale vzhledem ke schválené Koncepci a dlouhodobému plánování je toto riziko minimální. Toto riziko nelze z objektivních důvodů eliminovat.</w:t>
      </w:r>
    </w:p>
    <w:p w:rsidR="00EA1F75" w:rsidRDefault="00EA1F75" w:rsidP="00D704CA"/>
    <w:p w:rsidR="00EA1F75" w:rsidRDefault="00EA1F75" w:rsidP="00B51465">
      <w:pPr>
        <w:pStyle w:val="Nadpis2"/>
      </w:pPr>
      <w:bookmarkStart w:id="34" w:name="_Toc61616891"/>
      <w:r>
        <w:t>16.2 Finanční rizika</w:t>
      </w:r>
      <w:bookmarkEnd w:id="34"/>
    </w:p>
    <w:p w:rsidR="00EA1F75" w:rsidRDefault="00EA1F75" w:rsidP="00D704CA">
      <w:r>
        <w:t>Mezi hlavní rizika finančního charakteru lze zařadit dlouhodobý propad ve financování Programu, což by mělo za následek zastavení podpory v připravovaných a v krajním případě i realizovaných projektech. Hlavní opatření k eliminaci tohoto rizika je včasná informovanost o možnostech státního rozpočtu, průběžný monitoring čerpání prostředků na řešení projektů a kontrola efektivního nakládání s těmito prostředky vč. využití možnosti včasného zastavení řešení projektů v případě, kdy zásadním způsobem neplní uzavřenou smlouvu o podpoře projektu.</w:t>
      </w:r>
    </w:p>
    <w:p w:rsidR="00EA1F75" w:rsidRDefault="00EA1F75" w:rsidP="00D704CA">
      <w:r>
        <w:lastRenderedPageBreak/>
        <w:t>Dalším rizikem je nízká míra zapojení podniků do řešení projektů ovlivněná jejich ekonomickou situací související s pandemií COVID, kde oblast kulturních a kreativních průmyslů je jedna z nejpostiženějších. Program je ale navržen do r. 2030, a přestože se v prvních dvou veřejných soutěžích ve výzkumu, vývoji a inovacích realizovaných v letech 2022 a 2023 tento vliv zřejmě výrazně projeví, ve třetí soutěži realizované v r. 2027 by již mohl odeznít.</w:t>
      </w:r>
    </w:p>
    <w:p w:rsidR="00EA1F75" w:rsidRDefault="00EA1F75" w:rsidP="00D704CA"/>
    <w:p w:rsidR="00EA1F75" w:rsidRDefault="00EA1F75" w:rsidP="00B51465">
      <w:pPr>
        <w:pStyle w:val="Nadpis2"/>
      </w:pPr>
      <w:bookmarkStart w:id="35" w:name="_Toc61616892"/>
      <w:r>
        <w:t>16.3 Technická rizika</w:t>
      </w:r>
      <w:bookmarkEnd w:id="35"/>
    </w:p>
    <w:p w:rsidR="00EA1F75" w:rsidRDefault="00EA1F75" w:rsidP="00D704CA">
      <w:r>
        <w:t>Mezi technická rizika lze zařadit vysokou náročnost projektů společně s tím, že jejich předpokládané výsledky dříve zveřejní jiný tým. K eliminaci těchto rizik slouží zejm. průběžné každoroční hodnocení projektů, kde jsou posuzovány nejen změny navržené příjemci a plnění plánovaných cílů a výsledků, ale i vývoj v daném oboru a jeho vliv na řešení projektu. Eliminace, resp. zmírnění tohoto rizika je součástí podpory vlády pro podnikatelské subjekty působící v oblasti kultury</w:t>
      </w:r>
      <w:r w:rsidRPr="00457A56">
        <w:rPr>
          <w:highlight w:val="yellow"/>
          <w:vertAlign w:val="superscript"/>
        </w:rPr>
        <w:t>4</w:t>
      </w:r>
      <w:r>
        <w:t>.</w:t>
      </w:r>
    </w:p>
    <w:p w:rsidR="00EA1F75" w:rsidRDefault="00EA1F75" w:rsidP="00D704CA"/>
    <w:p w:rsidR="00EA1F75" w:rsidRDefault="00EA1F75" w:rsidP="00B51465">
      <w:pPr>
        <w:pStyle w:val="Nadpis2"/>
      </w:pPr>
      <w:bookmarkStart w:id="36" w:name="_Toc61616893"/>
      <w:r>
        <w:t>16.4 Nenaplnění všech tematických priorit Programu</w:t>
      </w:r>
      <w:bookmarkEnd w:id="36"/>
      <w:r>
        <w:t xml:space="preserve"> </w:t>
      </w:r>
    </w:p>
    <w:p w:rsidR="00EA1F75" w:rsidRDefault="00EA1F75" w:rsidP="00D704CA">
      <w:r>
        <w:t>Nenalezení dostatku vhodných příjemců pro všechny tematické priority je riziko vysoce pravděpodobné a to vzhledem k tomu, že uchazeči preferují některé tematické priority. K eliminaci tohoto rizika je v Programu uvedena možnost omezit ve 2. a 3. veřejné soutěži rozsah tematických priorit tak, aby byly projekty zajištěny pokud možno všechny tematické priority a tím naplněny specifické cíle Programu.</w:t>
      </w:r>
    </w:p>
    <w:p w:rsidR="00EA1F75" w:rsidRDefault="00EA1F75" w:rsidP="00D704CA"/>
    <w:p w:rsidR="00EA1F75" w:rsidRPr="00B51465" w:rsidRDefault="00EA1F75" w:rsidP="00B51465">
      <w:pPr>
        <w:pStyle w:val="Nadpis2"/>
      </w:pPr>
      <w:bookmarkStart w:id="37" w:name="_Toc61616894"/>
      <w:r w:rsidRPr="00B51465">
        <w:t>16.</w:t>
      </w:r>
      <w:r>
        <w:t>5</w:t>
      </w:r>
      <w:r w:rsidRPr="00B51465">
        <w:t xml:space="preserve"> Rozpad řešitelského týmu </w:t>
      </w:r>
      <w:r>
        <w:t>příjemce</w:t>
      </w:r>
      <w:bookmarkEnd w:id="37"/>
    </w:p>
    <w:p w:rsidR="00EA1F75" w:rsidRDefault="00EA1F75" w:rsidP="00D704CA">
      <w:r>
        <w:t>Rozpad řešitelského týmu je rizikem, které lze těžko predikovat, a tudíž nelze přijímat adekvátní opatření. Pro eliminaci tohoto rizika je třeba toto riziko zohlednit při hodnocení kvality řešitelského týmu (zkušenosti týmu, výsledky týmu, apod.), což je významné kritérium hodnocení návrhů projektů.</w:t>
      </w:r>
    </w:p>
    <w:p w:rsidR="00EA1F75" w:rsidRDefault="00EA1F75" w:rsidP="00D704CA"/>
    <w:p w:rsidR="00EA1F75" w:rsidRDefault="00EA1F75" w:rsidP="00D704CA">
      <w:r>
        <w:t>V případě vzniku některé z výše uvedených situací (nebo jejich kombinací) bude postupováno v souladu s doporučením RMKPV a rozhodnutím poskytovatele.</w:t>
      </w:r>
    </w:p>
    <w:p w:rsidR="00EA1F75" w:rsidRDefault="00EA1F75" w:rsidP="00D704CA">
      <w:pPr>
        <w:rPr>
          <w:color w:val="000000"/>
          <w:sz w:val="22"/>
          <w:szCs w:val="22"/>
          <w:shd w:val="clear" w:color="auto" w:fill="FFFFFF"/>
        </w:rPr>
      </w:pPr>
    </w:p>
    <w:p w:rsidR="00EA1F75" w:rsidRPr="00B51465" w:rsidRDefault="00EA1F75" w:rsidP="007B4F96">
      <w:pPr>
        <w:pStyle w:val="Nadpis1"/>
        <w:ind w:left="426" w:hanging="426"/>
      </w:pPr>
      <w:bookmarkStart w:id="38" w:name="_Toc61616895"/>
      <w:bookmarkEnd w:id="32"/>
      <w:r w:rsidRPr="00B51465">
        <w:t xml:space="preserve">17. </w:t>
      </w:r>
      <w:bookmarkEnd w:id="29"/>
      <w:r w:rsidRPr="00B51465">
        <w:t xml:space="preserve">Soulad </w:t>
      </w:r>
      <w:r>
        <w:t xml:space="preserve">Programu </w:t>
      </w:r>
      <w:r w:rsidRPr="00B51465">
        <w:t>s pravidly pro veřejnou podporu</w:t>
      </w:r>
      <w:r>
        <w:t xml:space="preserve"> a motivační účinek Programu</w:t>
      </w:r>
      <w:bookmarkEnd w:id="38"/>
    </w:p>
    <w:p w:rsidR="00EA1F75" w:rsidRPr="00B51465" w:rsidRDefault="00EA1F75" w:rsidP="00714D1D">
      <w:pPr>
        <w:rPr>
          <w:color w:val="000000"/>
          <w:shd w:val="clear" w:color="auto" w:fill="FFFFFF"/>
        </w:rPr>
      </w:pPr>
      <w:r w:rsidRPr="00B51465">
        <w:rPr>
          <w:color w:val="000000"/>
          <w:shd w:val="clear" w:color="auto" w:fill="FFFFFF"/>
        </w:rPr>
        <w:t>Program bude realizován podle:</w:t>
      </w:r>
    </w:p>
    <w:p w:rsidR="00EA1F75" w:rsidRPr="00B51465" w:rsidRDefault="00EA1F75" w:rsidP="00714D1D">
      <w:pPr>
        <w:numPr>
          <w:ilvl w:val="0"/>
          <w:numId w:val="3"/>
        </w:numPr>
        <w:rPr>
          <w:color w:val="000000"/>
          <w:shd w:val="clear" w:color="auto" w:fill="FFFFFF"/>
        </w:rPr>
      </w:pPr>
      <w:r w:rsidRPr="00B51465">
        <w:rPr>
          <w:color w:val="000000"/>
          <w:shd w:val="clear" w:color="auto" w:fill="FFFFFF"/>
        </w:rPr>
        <w:t>zákona č. 130/2002 Sb., o podpoře výzkumu, experimentálního vývoje a inovací z veřejných prostředků a o změně některých souvisejících zákonů (zákon o podpoře výzkumu, experimentálního vývoje a inovací), ve znění pozdějších předpisů (dá</w:t>
      </w:r>
      <w:r>
        <w:rPr>
          <w:color w:val="000000"/>
          <w:shd w:val="clear" w:color="auto" w:fill="FFFFFF"/>
        </w:rPr>
        <w:t>le jen „zákon č. 130/2002 Sb.“),</w:t>
      </w:r>
    </w:p>
    <w:p w:rsidR="00EA1F75" w:rsidRDefault="00EA1F75" w:rsidP="00714D1D">
      <w:pPr>
        <w:numPr>
          <w:ilvl w:val="0"/>
          <w:numId w:val="3"/>
        </w:numPr>
        <w:rPr>
          <w:color w:val="000000"/>
          <w:shd w:val="clear" w:color="auto" w:fill="FFFFFF"/>
        </w:rPr>
      </w:pPr>
      <w:r>
        <w:rPr>
          <w:color w:val="000000"/>
          <w:shd w:val="clear" w:color="auto" w:fill="FFFFFF"/>
        </w:rPr>
        <w:t>Nařízení Komise (EU),</w:t>
      </w:r>
    </w:p>
    <w:p w:rsidR="00EA1F75" w:rsidRPr="00B51465" w:rsidRDefault="00EA1F75" w:rsidP="00714D1D">
      <w:pPr>
        <w:numPr>
          <w:ilvl w:val="0"/>
          <w:numId w:val="3"/>
        </w:numPr>
        <w:rPr>
          <w:color w:val="000000"/>
          <w:shd w:val="clear" w:color="auto" w:fill="FFFFFF"/>
        </w:rPr>
      </w:pPr>
      <w:r>
        <w:rPr>
          <w:color w:val="000000"/>
          <w:shd w:val="clear" w:color="auto" w:fill="FFFFFF"/>
        </w:rPr>
        <w:t>Rámce,</w:t>
      </w:r>
    </w:p>
    <w:p w:rsidR="00EA1F75" w:rsidRPr="00B51465" w:rsidRDefault="00EA1F75" w:rsidP="00714D1D">
      <w:pPr>
        <w:numPr>
          <w:ilvl w:val="0"/>
          <w:numId w:val="3"/>
        </w:numPr>
        <w:rPr>
          <w:color w:val="000000"/>
          <w:shd w:val="clear" w:color="auto" w:fill="FFFFFF"/>
        </w:rPr>
      </w:pPr>
      <w:r w:rsidRPr="00B51465">
        <w:rPr>
          <w:color w:val="000000"/>
          <w:shd w:val="clear" w:color="auto" w:fill="FFFFFF"/>
        </w:rPr>
        <w:lastRenderedPageBreak/>
        <w:t>a podle ostatních souvisejících předpisů.</w:t>
      </w:r>
    </w:p>
    <w:p w:rsidR="00EA1F75" w:rsidRDefault="00EA1F75" w:rsidP="001506A7">
      <w:pPr>
        <w:ind w:left="180"/>
      </w:pPr>
    </w:p>
    <w:p w:rsidR="00EA1F75" w:rsidRPr="006E574F" w:rsidRDefault="00EA1F75" w:rsidP="007B4F96">
      <w:pPr>
        <w:rPr>
          <w:b/>
        </w:rPr>
      </w:pPr>
      <w:r w:rsidRPr="006E574F">
        <w:rPr>
          <w:b/>
        </w:rPr>
        <w:t>Motivační účinek Programu</w:t>
      </w:r>
    </w:p>
    <w:p w:rsidR="00EA1F75" w:rsidRDefault="00EA1F75" w:rsidP="007B4F96">
      <w:r>
        <w:t xml:space="preserve">V souladu s čl. 6 </w:t>
      </w:r>
      <w:r>
        <w:rPr>
          <w:color w:val="000000"/>
          <w:shd w:val="clear" w:color="auto" w:fill="FFFFFF"/>
        </w:rPr>
        <w:t>Nařízení Komise (EU) lze podporu podnikům v Programu poskytnout pouze na řešení projektů, kde uchazeč prokáže motivační účinek.</w:t>
      </w:r>
    </w:p>
    <w:p w:rsidR="00EA1F75" w:rsidRPr="007B4F96" w:rsidRDefault="00EA1F75" w:rsidP="007B4F96">
      <w:r w:rsidRPr="007B4F96">
        <w:t>Jedním z důvodů, proč dochází k selhání trhu v oblasti výzkumu</w:t>
      </w:r>
      <w:r>
        <w:t xml:space="preserve"> a</w:t>
      </w:r>
      <w:r w:rsidRPr="007B4F96">
        <w:t xml:space="preserve"> vývoje, je </w:t>
      </w:r>
      <w:r>
        <w:t>předávání</w:t>
      </w:r>
      <w:r w:rsidRPr="007B4F96">
        <w:t xml:space="preserve"> informací, kdy si podnik nemůže plně přisvojit výnosy z investic do projektů, což se posléze odráží v poklesu motivace podniků investovat do </w:t>
      </w:r>
      <w:r>
        <w:t>této oblasti</w:t>
      </w:r>
      <w:r w:rsidRPr="007B4F96">
        <w:t>. Další významnou formou tržního selhání jsou nedokonalé a asymetrické informace. Jedním z důsledků je pomalé šíření poznatků v</w:t>
      </w:r>
      <w:r>
        <w:t> </w:t>
      </w:r>
      <w:r w:rsidRPr="007B4F96">
        <w:t xml:space="preserve">oblasti </w:t>
      </w:r>
      <w:r>
        <w:t xml:space="preserve">výzkumu a vývoje </w:t>
      </w:r>
      <w:r w:rsidRPr="007B4F96">
        <w:t xml:space="preserve">a nedostatečná </w:t>
      </w:r>
      <w:r>
        <w:t xml:space="preserve">podpora </w:t>
      </w:r>
      <w:r w:rsidRPr="007B4F96">
        <w:t>u projektů spolupráce</w:t>
      </w:r>
      <w:r>
        <w:t xml:space="preserve"> mezi výzkumnými organizacemi a podniky</w:t>
      </w:r>
      <w:r w:rsidRPr="007B4F96">
        <w:t>.</w:t>
      </w:r>
      <w:r>
        <w:t xml:space="preserve"> Program je vzhledem ke svému cíli z rozhodující míry zaměřen na ty oblasti, které nespadají do problematiky veřejné podpory a jsou realizovány nehospodářskými činnostmi výzkumných organizací. Aby bylo omezeno selhání trhu i u humanitních věd a využití jejich výsledků v praxi, Program umožňuje i účast podniků (viz kap. 6 a 12) v těch případech, kdy jsou jeho výsledky komercionalizovatelné (např. porozumění tradičním materiálům a technologiím přispívá k renesanci jejich užívání, k recyklaci a budování cyklické ekonomiky).</w:t>
      </w:r>
    </w:p>
    <w:p w:rsidR="00EA1F75" w:rsidRDefault="00EA1F75" w:rsidP="007B4F96">
      <w:r w:rsidRPr="007B4F96">
        <w:t>Program bude v této oblasti stimulovat vytváření vazeb a struktur mezi jednotlivými subjekty spolupráce, posilovat interakce mezi nimi a napomáhat tak k efektivnímu přenosu informací mezi všemi účastníky. V důsledku asymetrie informací jsou také znevýhodňovány malé a střední podniky. Na tuto situaci</w:t>
      </w:r>
      <w:r>
        <w:t xml:space="preserve"> </w:t>
      </w:r>
      <w:r w:rsidRPr="007B4F96">
        <w:t xml:space="preserve">reaguje Program </w:t>
      </w:r>
      <w:r>
        <w:t xml:space="preserve">jejich </w:t>
      </w:r>
      <w:r w:rsidRPr="007B4F96">
        <w:t xml:space="preserve">zvýhodněním </w:t>
      </w:r>
      <w:r>
        <w:t>prostřednictvím maximální intenzity</w:t>
      </w:r>
      <w:r w:rsidRPr="007B4F96">
        <w:t xml:space="preserve"> podpory.</w:t>
      </w:r>
    </w:p>
    <w:p w:rsidR="00EA1F75" w:rsidRDefault="00EA1F75" w:rsidP="007B4F96">
      <w:r w:rsidRPr="007B4F96">
        <w:t xml:space="preserve">V souladu s pravidly pro poskytování veřejné podpory v oblasti </w:t>
      </w:r>
      <w:r>
        <w:t>výzkumu, vývoje a inovací</w:t>
      </w:r>
      <w:r w:rsidRPr="007B4F96">
        <w:t xml:space="preserve"> bude poskytovatel v rámci procesu hodnocení návrhů projektů </w:t>
      </w:r>
      <w:r>
        <w:t xml:space="preserve">s účastí podniků </w:t>
      </w:r>
      <w:r w:rsidRPr="007B4F96">
        <w:t>posuzovat dosažení dostatečného motivačního účinku podpory</w:t>
      </w:r>
      <w:r>
        <w:t>, tj. že uchazeč doloží:</w:t>
      </w:r>
    </w:p>
    <w:p w:rsidR="00EA1F75" w:rsidRPr="004B693C" w:rsidRDefault="00EA1F75" w:rsidP="004B693C">
      <w:pPr>
        <w:numPr>
          <w:ilvl w:val="0"/>
          <w:numId w:val="46"/>
        </w:numPr>
        <w:ind w:left="426"/>
      </w:pPr>
      <w:r w:rsidRPr="004B693C">
        <w:t xml:space="preserve">významný nárůst rozsahu projektu </w:t>
      </w:r>
      <w:r>
        <w:t>jako</w:t>
      </w:r>
      <w:r w:rsidRPr="004B693C">
        <w:t xml:space="preserve"> důsled</w:t>
      </w:r>
      <w:r>
        <w:t>e</w:t>
      </w:r>
      <w:r w:rsidRPr="004B693C">
        <w:t xml:space="preserve">k </w:t>
      </w:r>
      <w:r>
        <w:t xml:space="preserve">poskytnutí </w:t>
      </w:r>
      <w:r w:rsidRPr="004B693C">
        <w:t>podpory, nebo</w:t>
      </w:r>
    </w:p>
    <w:p w:rsidR="00EA1F75" w:rsidRPr="004B693C" w:rsidRDefault="00EA1F75" w:rsidP="004B693C">
      <w:pPr>
        <w:numPr>
          <w:ilvl w:val="0"/>
          <w:numId w:val="46"/>
        </w:numPr>
        <w:ind w:left="426"/>
      </w:pPr>
      <w:r w:rsidRPr="004B693C">
        <w:t xml:space="preserve">významné zvýšení celkové částky vynaložené příjemcem na projekt </w:t>
      </w:r>
      <w:r>
        <w:t>jako</w:t>
      </w:r>
      <w:r w:rsidRPr="004B693C">
        <w:t xml:space="preserve"> důsled</w:t>
      </w:r>
      <w:r>
        <w:t>e</w:t>
      </w:r>
      <w:r w:rsidRPr="004B693C">
        <w:t xml:space="preserve">k </w:t>
      </w:r>
      <w:r>
        <w:t xml:space="preserve">poskytnutí </w:t>
      </w:r>
      <w:r w:rsidRPr="004B693C">
        <w:t>podpory, nebo</w:t>
      </w:r>
    </w:p>
    <w:p w:rsidR="00EA1F75" w:rsidRDefault="00EA1F75" w:rsidP="004B693C">
      <w:pPr>
        <w:numPr>
          <w:ilvl w:val="0"/>
          <w:numId w:val="46"/>
        </w:numPr>
        <w:ind w:left="426"/>
      </w:pPr>
      <w:r w:rsidRPr="004B693C">
        <w:t xml:space="preserve">významné urychlení při dokončování příslušného projektu </w:t>
      </w:r>
      <w:r>
        <w:t>jako</w:t>
      </w:r>
      <w:r w:rsidRPr="004B693C">
        <w:t xml:space="preserve"> důsled</w:t>
      </w:r>
      <w:r>
        <w:t>e</w:t>
      </w:r>
      <w:r w:rsidRPr="004B693C">
        <w:t xml:space="preserve">k </w:t>
      </w:r>
      <w:r>
        <w:t xml:space="preserve">poskytnutí </w:t>
      </w:r>
      <w:r w:rsidRPr="004B693C">
        <w:t>podpory</w:t>
      </w:r>
      <w:r>
        <w:t>.</w:t>
      </w:r>
    </w:p>
    <w:p w:rsidR="00EA1F75" w:rsidRDefault="00EA1F75" w:rsidP="007B4F96">
      <w:r w:rsidRPr="007B4F96">
        <w:t>Motivační účinek bude posuzován souhrnně za celý projekt. Pro všechny příjemce a další účastníky projektu především platí, že práce na řešení projektu nesmí být zahájeny před podáním</w:t>
      </w:r>
      <w:r>
        <w:t xml:space="preserve"> </w:t>
      </w:r>
      <w:r w:rsidRPr="007B4F96">
        <w:t>návrhu projektu.</w:t>
      </w:r>
    </w:p>
    <w:p w:rsidR="00EA1F75" w:rsidRDefault="00EA1F75" w:rsidP="001506A7">
      <w:pPr>
        <w:ind w:left="180"/>
      </w:pPr>
    </w:p>
    <w:p w:rsidR="00EA1F75" w:rsidRPr="00B51465" w:rsidRDefault="00EA1F75" w:rsidP="00B51465">
      <w:pPr>
        <w:pStyle w:val="Nadpis1"/>
      </w:pPr>
      <w:bookmarkStart w:id="39" w:name="_Toc61616896"/>
      <w:r w:rsidRPr="00B51465">
        <w:t>1</w:t>
      </w:r>
      <w:r>
        <w:t>8</w:t>
      </w:r>
      <w:r w:rsidRPr="00B51465">
        <w:t>. S</w:t>
      </w:r>
      <w:r>
        <w:t>eznam zkratek</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6926"/>
      </w:tblGrid>
      <w:tr w:rsidR="00EA1F75" w:rsidTr="00B13BA5">
        <w:tc>
          <w:tcPr>
            <w:tcW w:w="2448" w:type="dxa"/>
            <w:shd w:val="clear" w:color="auto" w:fill="E6E6E6"/>
          </w:tcPr>
          <w:p w:rsidR="00EA1F75" w:rsidRPr="00B13BA5" w:rsidRDefault="00EA1F75" w:rsidP="00B13BA5">
            <w:pPr>
              <w:keepNext/>
              <w:rPr>
                <w:i/>
              </w:rPr>
            </w:pPr>
            <w:r w:rsidRPr="00B13BA5">
              <w:rPr>
                <w:i/>
              </w:rPr>
              <w:t>Zkratka</w:t>
            </w:r>
          </w:p>
        </w:tc>
        <w:tc>
          <w:tcPr>
            <w:tcW w:w="7046" w:type="dxa"/>
            <w:shd w:val="clear" w:color="auto" w:fill="E6E6E6"/>
          </w:tcPr>
          <w:p w:rsidR="00EA1F75" w:rsidRPr="00B13BA5" w:rsidRDefault="00EA1F75" w:rsidP="00B13BA5">
            <w:pPr>
              <w:keepNext/>
              <w:rPr>
                <w:i/>
                <w:shd w:val="clear" w:color="auto" w:fill="FFFFFF"/>
              </w:rPr>
            </w:pPr>
            <w:r w:rsidRPr="00B13BA5">
              <w:rPr>
                <w:i/>
                <w:shd w:val="clear" w:color="auto" w:fill="FFFFFF"/>
              </w:rPr>
              <w:t>Plné znění</w:t>
            </w:r>
          </w:p>
        </w:tc>
      </w:tr>
      <w:tr w:rsidR="00EA1F75" w:rsidTr="00B13BA5">
        <w:tc>
          <w:tcPr>
            <w:tcW w:w="2448" w:type="dxa"/>
          </w:tcPr>
          <w:p w:rsidR="00EA1F75" w:rsidRDefault="00EA1F75" w:rsidP="00EB11C5">
            <w:r>
              <w:t>Koncepce</w:t>
            </w:r>
          </w:p>
        </w:tc>
        <w:tc>
          <w:tcPr>
            <w:tcW w:w="7046" w:type="dxa"/>
          </w:tcPr>
          <w:p w:rsidR="00EA1F75" w:rsidRDefault="00EA1F75" w:rsidP="00E8177A">
            <w:r w:rsidRPr="00781D4A">
              <w:t>Koncepce aplikovaného výzkumu v oblasti národní a kulturní identity Ministerstva kultury na léta 2023 – 2030</w:t>
            </w:r>
            <w:r>
              <w:t>, schválená usnesením vlády ze dne 5. října 2020 č. 985</w:t>
            </w:r>
          </w:p>
        </w:tc>
      </w:tr>
      <w:tr w:rsidR="00EA1F75" w:rsidTr="00B13BA5">
        <w:tc>
          <w:tcPr>
            <w:tcW w:w="2448" w:type="dxa"/>
          </w:tcPr>
          <w:p w:rsidR="00EA1F75" w:rsidRDefault="00EA1F75" w:rsidP="003D50DE">
            <w:r w:rsidRPr="00B13BA5">
              <w:rPr>
                <w:color w:val="000000"/>
                <w:shd w:val="clear" w:color="auto" w:fill="FFFFFF"/>
              </w:rPr>
              <w:t>Nařízení Komise (EU)</w:t>
            </w:r>
          </w:p>
        </w:tc>
        <w:tc>
          <w:tcPr>
            <w:tcW w:w="7046" w:type="dxa"/>
          </w:tcPr>
          <w:p w:rsidR="00EA1F75" w:rsidRDefault="00EA1F75" w:rsidP="00EB11C5">
            <w:r w:rsidRPr="00B13BA5">
              <w:rPr>
                <w:color w:val="000000"/>
                <w:shd w:val="clear" w:color="auto" w:fill="FFFFFF"/>
              </w:rPr>
              <w:t>Nařízení Komise (EU) č. 651/2014 ze dne 17. června 2014, kterým se v souladu s články 107 a 108 Smlouvy prohlašují určité kategorie podpory za slučitelné s vnitřním trhem – L 187/1</w:t>
            </w:r>
          </w:p>
        </w:tc>
      </w:tr>
      <w:tr w:rsidR="00EA1F75" w:rsidTr="00B13BA5">
        <w:tc>
          <w:tcPr>
            <w:tcW w:w="2448" w:type="dxa"/>
          </w:tcPr>
          <w:p w:rsidR="00EA1F75" w:rsidRDefault="00EA1F75" w:rsidP="00EB11C5">
            <w:r>
              <w:lastRenderedPageBreak/>
              <w:t>Priority VaVaI</w:t>
            </w:r>
          </w:p>
        </w:tc>
        <w:tc>
          <w:tcPr>
            <w:tcW w:w="7046" w:type="dxa"/>
          </w:tcPr>
          <w:p w:rsidR="00EA1F75" w:rsidRPr="00B13BA5" w:rsidRDefault="00EA1F75" w:rsidP="00E8177A">
            <w:pPr>
              <w:rPr>
                <w:shd w:val="clear" w:color="auto" w:fill="FFFFFF"/>
              </w:rPr>
            </w:pPr>
            <w:r w:rsidRPr="00B13BA5">
              <w:rPr>
                <w:sz w:val="22"/>
                <w:szCs w:val="22"/>
              </w:rPr>
              <w:t>Národní priority orientovaného výzkumu, experimentálního vývoje a inovací, schválené usnesením vlády ze dne 19. července 201</w:t>
            </w:r>
            <w:r>
              <w:rPr>
                <w:sz w:val="22"/>
                <w:szCs w:val="22"/>
              </w:rPr>
              <w:t>2</w:t>
            </w:r>
            <w:r w:rsidRPr="00B13BA5">
              <w:rPr>
                <w:sz w:val="22"/>
                <w:szCs w:val="22"/>
              </w:rPr>
              <w:t xml:space="preserve"> č. 552</w:t>
            </w:r>
          </w:p>
        </w:tc>
      </w:tr>
      <w:tr w:rsidR="00EA1F75" w:rsidTr="00B13BA5">
        <w:tc>
          <w:tcPr>
            <w:tcW w:w="2448" w:type="dxa"/>
          </w:tcPr>
          <w:p w:rsidR="00EA1F75" w:rsidRDefault="00EA1F75" w:rsidP="00EB11C5">
            <w:r>
              <w:t>Program</w:t>
            </w:r>
          </w:p>
        </w:tc>
        <w:tc>
          <w:tcPr>
            <w:tcW w:w="7046" w:type="dxa"/>
          </w:tcPr>
          <w:p w:rsidR="00EA1F75" w:rsidRDefault="00EA1F75" w:rsidP="00EB11C5">
            <w:r w:rsidRPr="00B13BA5">
              <w:rPr>
                <w:shd w:val="clear" w:color="auto" w:fill="FFFFFF"/>
              </w:rPr>
              <w:t xml:space="preserve">Program NAKI III – program na podporu aplikovaného výzkumu v oblasti národní a kulturní identity na léta 2023 až 2030 </w:t>
            </w:r>
          </w:p>
        </w:tc>
      </w:tr>
      <w:tr w:rsidR="00EA1F75" w:rsidTr="00B13BA5">
        <w:tc>
          <w:tcPr>
            <w:tcW w:w="2448" w:type="dxa"/>
          </w:tcPr>
          <w:p w:rsidR="00EA1F75" w:rsidRDefault="00EA1F75" w:rsidP="00EB11C5">
            <w:r>
              <w:t>Rámec</w:t>
            </w:r>
          </w:p>
        </w:tc>
        <w:tc>
          <w:tcPr>
            <w:tcW w:w="7046" w:type="dxa"/>
          </w:tcPr>
          <w:p w:rsidR="00EA1F75" w:rsidRDefault="00EA1F75" w:rsidP="00EB11C5">
            <w:r w:rsidRPr="00B13BA5">
              <w:rPr>
                <w:color w:val="000000"/>
                <w:shd w:val="clear" w:color="auto" w:fill="FFFFFF"/>
              </w:rPr>
              <w:t>Sdělení Komise – Rámec pro státní podporu výzkumu, vývoje a inovací - 2014/C 198/01</w:t>
            </w:r>
          </w:p>
        </w:tc>
      </w:tr>
      <w:tr w:rsidR="00EA1F75" w:rsidTr="00B13BA5">
        <w:tc>
          <w:tcPr>
            <w:tcW w:w="2448" w:type="dxa"/>
          </w:tcPr>
          <w:p w:rsidR="00EA1F75" w:rsidRDefault="00EA1F75" w:rsidP="00EB11C5">
            <w:r>
              <w:t>RMKPV</w:t>
            </w:r>
          </w:p>
        </w:tc>
        <w:tc>
          <w:tcPr>
            <w:tcW w:w="7046" w:type="dxa"/>
          </w:tcPr>
          <w:p w:rsidR="00EA1F75" w:rsidRDefault="00EA1F75" w:rsidP="00EB11C5">
            <w:r>
              <w:t>Rady ministra kultury pro výzkum</w:t>
            </w:r>
          </w:p>
        </w:tc>
      </w:tr>
      <w:tr w:rsidR="00EA1F75" w:rsidTr="00B13BA5">
        <w:tc>
          <w:tcPr>
            <w:tcW w:w="2448" w:type="dxa"/>
          </w:tcPr>
          <w:p w:rsidR="00EA1F75" w:rsidRDefault="00EA1F75" w:rsidP="00EB11C5">
            <w:r>
              <w:t>RVVI</w:t>
            </w:r>
          </w:p>
        </w:tc>
        <w:tc>
          <w:tcPr>
            <w:tcW w:w="7046" w:type="dxa"/>
          </w:tcPr>
          <w:p w:rsidR="00EA1F75" w:rsidRPr="00B13BA5" w:rsidRDefault="00EA1F75" w:rsidP="00EB11C5">
            <w:pPr>
              <w:rPr>
                <w:color w:val="000000"/>
                <w:shd w:val="clear" w:color="auto" w:fill="FFFFFF"/>
              </w:rPr>
            </w:pPr>
            <w:r w:rsidRPr="00B13BA5">
              <w:rPr>
                <w:color w:val="000000"/>
                <w:shd w:val="clear" w:color="auto" w:fill="FFFFFF"/>
              </w:rPr>
              <w:t>Rada pro výzkum, vývoj a inovace</w:t>
            </w:r>
          </w:p>
        </w:tc>
      </w:tr>
      <w:tr w:rsidR="00EA1F75" w:rsidTr="00B13BA5">
        <w:tc>
          <w:tcPr>
            <w:tcW w:w="2448" w:type="dxa"/>
          </w:tcPr>
          <w:p w:rsidR="00EA1F75" w:rsidRDefault="00EA1F75" w:rsidP="00EB11C5">
            <w:r>
              <w:t>zákon č. 130/2002 Sb.</w:t>
            </w:r>
          </w:p>
        </w:tc>
        <w:tc>
          <w:tcPr>
            <w:tcW w:w="7046" w:type="dxa"/>
          </w:tcPr>
          <w:p w:rsidR="00EA1F75" w:rsidRDefault="00EA1F75" w:rsidP="00EB11C5">
            <w:r w:rsidRPr="00B13BA5">
              <w:rPr>
                <w:color w:val="000000"/>
                <w:shd w:val="clear" w:color="auto" w:fill="FFFFFF"/>
              </w:rPr>
              <w:t>zákon č. 130/2002 Sb., o podpoře výzkumu, experimentálního vývoje a inovací z veřejných prostředků a o změně některých souvisejících zákonů (zákon o podpoře výzkumu, experimentálního vývoje a inovací), ve znění pozdějších předpisů</w:t>
            </w:r>
          </w:p>
        </w:tc>
      </w:tr>
    </w:tbl>
    <w:p w:rsidR="00EA1F75" w:rsidRDefault="00EA1F75" w:rsidP="00EB11C5"/>
    <w:p w:rsidR="00EA1F75" w:rsidRPr="00B51465" w:rsidRDefault="00EA1F75" w:rsidP="00B51465">
      <w:pPr>
        <w:pStyle w:val="Nadpis1"/>
      </w:pPr>
      <w:bookmarkStart w:id="40" w:name="_Toc61616897"/>
      <w:r w:rsidRPr="00B51465">
        <w:t>1</w:t>
      </w:r>
      <w:r>
        <w:t>9</w:t>
      </w:r>
      <w:r w:rsidRPr="00B51465">
        <w:t xml:space="preserve">. </w:t>
      </w:r>
      <w:r>
        <w:t>Přílohy</w:t>
      </w:r>
      <w:bookmarkEnd w:id="40"/>
    </w:p>
    <w:p w:rsidR="00EA1F75" w:rsidRDefault="00EA1F75" w:rsidP="00201320">
      <w:r>
        <w:t xml:space="preserve">Příloha č. 1: </w:t>
      </w:r>
      <w:r w:rsidRPr="00B51465">
        <w:t>Hodnocení návrhů programů účelové podpory</w:t>
      </w:r>
    </w:p>
    <w:p w:rsidR="00EA1F75" w:rsidRDefault="00EA1F75" w:rsidP="00201320">
      <w:r>
        <w:t>Příloha č. 2: Kritéria ex ante hodnocení návrhu Programu NAKI III</w:t>
      </w:r>
    </w:p>
    <w:p w:rsidR="00EA1F75" w:rsidRDefault="00EA1F75" w:rsidP="00201320">
      <w:r>
        <w:t xml:space="preserve">Příloha č. 3: </w:t>
      </w:r>
      <w:r w:rsidRPr="009E342E">
        <w:t>Ex ante hodnocení návrhu „Programu NAKI III - programu na podporu aplikovaného výzkumu v oblasti národní a kulturní identity na léta 2023 až 2030“ Radou ministra kultury pro výzkum (RMKPV)</w:t>
      </w:r>
    </w:p>
    <w:p w:rsidR="00EA1F75" w:rsidRDefault="00EA1F75" w:rsidP="001506A7">
      <w:pPr>
        <w:ind w:left="180"/>
      </w:pPr>
    </w:p>
    <w:p w:rsidR="00EA1F75" w:rsidRPr="00B51465" w:rsidRDefault="00EA1F75" w:rsidP="00494FBD">
      <w:pPr>
        <w:pStyle w:val="Nadpis1"/>
      </w:pPr>
      <w:bookmarkStart w:id="41" w:name="_Toc61616898"/>
      <w:r>
        <w:t>20</w:t>
      </w:r>
      <w:r w:rsidRPr="00B51465">
        <w:t xml:space="preserve">. </w:t>
      </w:r>
      <w:r>
        <w:t>Vysvětlivky</w:t>
      </w:r>
      <w:bookmarkEnd w:id="41"/>
    </w:p>
    <w:sectPr w:rsidR="00EA1F75" w:rsidRPr="00B51465" w:rsidSect="00712E63">
      <w:headerReference w:type="default" r:id="rId27"/>
      <w:footerReference w:type="even" r:id="rId28"/>
      <w:footerReference w:type="default" r:id="rId29"/>
      <w:endnotePr>
        <w:numFmt w:val="decimal"/>
      </w:endnotePr>
      <w:pgSz w:w="11906" w:h="16838"/>
      <w:pgMar w:top="1418" w:right="1134" w:bottom="1134"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BB8" w:rsidRDefault="00584BB8">
      <w:r>
        <w:separator/>
      </w:r>
    </w:p>
  </w:endnote>
  <w:endnote w:type="continuationSeparator" w:id="0">
    <w:p w:rsidR="00584BB8" w:rsidRDefault="00584BB8">
      <w:r>
        <w:continuationSeparator/>
      </w:r>
    </w:p>
  </w:endnote>
  <w:endnote w:id="1">
    <w:p w:rsidR="00EA1F75" w:rsidRDefault="00EA1F75" w:rsidP="007801E4">
      <w:pPr>
        <w:pStyle w:val="Textvysvtlivek"/>
        <w:ind w:left="142" w:hanging="142"/>
      </w:pPr>
      <w:r>
        <w:rPr>
          <w:rStyle w:val="Odkaznavysvtlivky"/>
        </w:rPr>
        <w:endnoteRef/>
      </w:r>
      <w:r>
        <w:t xml:space="preserve"> Program aplikovaného výzkumu a vývoje národní a kulturní identity (NAKI) byl schválen před změnami terminologie evropskými a národními právními předpisy a proto je v něm použito dnes již nesprávný pojem „aplikovaný výzkum a vývoj“.</w:t>
      </w:r>
    </w:p>
  </w:endnote>
  <w:endnote w:id="2">
    <w:p w:rsidR="00EA1F75" w:rsidRDefault="00EA1F75" w:rsidP="007801E4">
      <w:pPr>
        <w:pStyle w:val="Textvysvtlivek"/>
      </w:pPr>
      <w:r>
        <w:rPr>
          <w:rStyle w:val="Odkaznavysvtlivky"/>
        </w:rPr>
        <w:endnoteRef/>
      </w:r>
      <w:r>
        <w:t xml:space="preserve"> Materiál </w:t>
      </w:r>
      <w:hyperlink r:id="rId1" w:history="1">
        <w:r>
          <w:rPr>
            <w:rStyle w:val="Hypertextovodkaz"/>
          </w:rPr>
          <w:t>339 A5 Návrh stanoviska k Závěrečnému hodnocení NAKI a usnesení RVVI k němu</w:t>
        </w:r>
      </w:hyperlink>
      <w:r>
        <w:t>.</w:t>
      </w:r>
    </w:p>
  </w:endnote>
  <w:endnote w:id="3">
    <w:p w:rsidR="00EA1F75" w:rsidRDefault="00EA1F75" w:rsidP="009B0C31">
      <w:pPr>
        <w:pStyle w:val="Textvysvtlivek"/>
        <w:ind w:left="180" w:hanging="180"/>
      </w:pPr>
      <w:r>
        <w:rPr>
          <w:rStyle w:val="Odkaznavysvtlivky"/>
        </w:rPr>
        <w:endnoteRef/>
      </w:r>
      <w:r>
        <w:t xml:space="preserve"> U návrhů na změny projektu převažují změny v osobních nákladech (od mateřských dovolených až po dílčí přesuny kapacit vyvolané řešením projektu). Změny v dalších druzích nákladů projektu budou řešeny podle principu, že</w:t>
      </w:r>
      <w:r w:rsidRPr="009B0C31">
        <w:t xml:space="preserve"> za změny projektu vyžadující změnu smlouvy v dalším období považovat jen změny struktury uznaných nákladů, tj. u změny v rámci dané položky by byla jen informační povinnost příjemce</w:t>
      </w:r>
      <w:r>
        <w:t>.</w:t>
      </w:r>
    </w:p>
  </w:endnote>
  <w:endnote w:id="4">
    <w:p w:rsidR="00EA1F75" w:rsidRDefault="00EA1F75" w:rsidP="00665127">
      <w:pPr>
        <w:pStyle w:val="Textvysvtlivek"/>
        <w:ind w:left="180" w:hanging="180"/>
      </w:pPr>
      <w:r>
        <w:rPr>
          <w:rStyle w:val="Odkaznavysvtlivky"/>
        </w:rPr>
        <w:endnoteRef/>
      </w:r>
      <w:r>
        <w:t xml:space="preserve"> Viz např. usnesení vlády ze dne 20. července 2020 č. 769, k</w:t>
      </w:r>
      <w:r w:rsidRPr="00386F05">
        <w:t xml:space="preserve"> Programu podpory podnikatelských subjektů v</w:t>
      </w:r>
      <w:r>
        <w:t> </w:t>
      </w:r>
      <w:r w:rsidRPr="00386F05">
        <w:t>oblasti kultur</w:t>
      </w:r>
      <w:r>
        <w:t>y</w:t>
      </w:r>
      <w:r w:rsidRPr="00386F05">
        <w:t xml:space="preserve"> postižených celosvětovým šířením onemocnění COVID-19 způsobeného virem SARS-CoV-19</w:t>
      </w:r>
      <w:r>
        <w:t xml:space="preserve"> „COVID – KULTURA“.</w:t>
      </w:r>
    </w:p>
  </w:endnote>
  <w:endnote w:id="5">
    <w:p w:rsidR="00EA1F75" w:rsidRDefault="00EA1F75" w:rsidP="000F3D34">
      <w:pPr>
        <w:pStyle w:val="Textvysvtlivek"/>
        <w:ind w:left="180" w:hanging="180"/>
      </w:pPr>
      <w:r>
        <w:rPr>
          <w:rStyle w:val="Odkaznavysvtlivky"/>
        </w:rPr>
        <w:endnoteRef/>
      </w:r>
      <w:r>
        <w:t xml:space="preserve"> </w:t>
      </w:r>
      <w:r w:rsidRPr="00386F05">
        <w:t>V současné době probíhá příprava nového nařízení Komise, kterým se v souladu s články 107 a 108 Smlouvy o</w:t>
      </w:r>
      <w:r>
        <w:t> </w:t>
      </w:r>
      <w:r w:rsidRPr="00386F05">
        <w:t>fungování EU prohlašují určité kategorie podpory za slučitelné s vnitřním trhem (tzv. „Obecného nařízení o</w:t>
      </w:r>
      <w:r>
        <w:t> </w:t>
      </w:r>
      <w:r w:rsidRPr="00386F05">
        <w:t>blokových výjimkách / GBER“). S ohledem na tuto probíhající novelizaci nařízení Komise č. 651/2014</w:t>
      </w:r>
      <w:r>
        <w:rPr>
          <w:color w:val="000000"/>
          <w:sz w:val="22"/>
          <w:szCs w:val="22"/>
          <w:shd w:val="clear" w:color="auto" w:fill="FFFFFF"/>
        </w:rPr>
        <w:t xml:space="preserve"> </w:t>
      </w:r>
      <w:r w:rsidRPr="00386F05">
        <w:t>bude Program dán do souladu s novou právní úpravou, až tato vstoupí v platnost, po konzultaci nezbytnosti změny programu a jeho oznámení s ÚOHS.</w:t>
      </w:r>
    </w:p>
  </w:endnote>
  <w:endnote w:id="6">
    <w:p w:rsidR="00EA1F75" w:rsidRDefault="00EA1F75" w:rsidP="00333FB5">
      <w:pPr>
        <w:pStyle w:val="Textvysvtlivek"/>
        <w:ind w:left="142" w:hanging="142"/>
      </w:pPr>
      <w:r>
        <w:rPr>
          <w:rStyle w:val="Odkaznavysvtlivky"/>
        </w:rPr>
        <w:endnoteRef/>
      </w:r>
      <w:r>
        <w:t xml:space="preserve"> Součástí využití výsledku může být i vzdělávání odborných pracovníků v daném oboru oblasti (tj. nikoliv jen pracovníků příjemce), ale nesmí jít o akreditované vzdělávání, tj. výsledek druhu NmetA.</w:t>
      </w:r>
    </w:p>
  </w:endnote>
  <w:endnote w:id="7">
    <w:p w:rsidR="00EA1F75" w:rsidRDefault="00EA1F75" w:rsidP="002D73E0">
      <w:pPr>
        <w:pStyle w:val="Textvysvtlivek"/>
        <w:ind w:left="180" w:hanging="180"/>
      </w:pPr>
      <w:r>
        <w:rPr>
          <w:rStyle w:val="Odkaznavysvtlivky"/>
        </w:rPr>
        <w:endnoteRef/>
      </w:r>
      <w:r>
        <w:t xml:space="preserve"> V programu NAKI II již byly některé výsledky, které by splnily definici výsledku </w:t>
      </w:r>
      <w:proofErr w:type="spellStart"/>
      <w:r>
        <w:t>Akrit</w:t>
      </w:r>
      <w:proofErr w:type="spellEnd"/>
      <w:r>
        <w:t xml:space="preserve"> jako vedlejší výsledky uplatněny, a jak z odborného hlediska, tak z hlediska společenské relevance jde o významnější výsledky, než některé hlavní výsledky.</w:t>
      </w:r>
    </w:p>
  </w:endnote>
  <w:endnote w:id="8">
    <w:p w:rsidR="00EA1F75" w:rsidRDefault="00EA1F75" w:rsidP="00283297">
      <w:pPr>
        <w:pStyle w:val="Textvysvtlivek"/>
        <w:ind w:left="284" w:hanging="284"/>
      </w:pPr>
      <w:r>
        <w:rPr>
          <w:rStyle w:val="Odkaznavysvtlivky"/>
        </w:rPr>
        <w:endnoteRef/>
      </w:r>
      <w:r>
        <w:t xml:space="preserve"> Pro stanovení absorpční kapacity Programu byly využity zejm. údaje IS VaVaI o zapojení podniků a podpoře projektů ze soukromých zdrojů u projektů humanitních věd (hlavní vědní obor 6. Humanities and the Arts) v programu TA ČR ÉTA, který má sice jiné cíle, ale jako jediný další program podporuje řešení projektů aplikovaného společenskovědního a humanitního výzkumu, experimentálního vývoje a inovací.</w:t>
      </w:r>
    </w:p>
  </w:endnote>
  <w:endnote w:id="9">
    <w:p w:rsidR="00EA1F75" w:rsidRDefault="00EA1F75" w:rsidP="001F02D4">
      <w:pPr>
        <w:pStyle w:val="Textvysvtlivek"/>
        <w:ind w:left="180" w:hanging="180"/>
      </w:pPr>
      <w:r>
        <w:rPr>
          <w:rStyle w:val="Odkaznavysvtlivky"/>
        </w:rPr>
        <w:endnoteRef/>
      </w:r>
      <w:r>
        <w:t xml:space="preserve"> Předpokládá se na základě hodnocení projektů programu NAKI a NAKI II průměrný počet 5 hlavních uplatněných výsledků na projekt (mírný pokles cca o 1 výsledek vůči programu NAKI II je dán preciznějšími </w:t>
      </w:r>
      <w:hyperlink r:id="rId2" w:history="1">
        <w:r w:rsidRPr="007614AF">
          <w:rPr>
            <w:rStyle w:val="Hypertextovodkaz"/>
            <w:shd w:val="clear" w:color="auto" w:fill="FFFFFF"/>
          </w:rPr>
          <w:t>Definic</w:t>
        </w:r>
        <w:r>
          <w:rPr>
            <w:rStyle w:val="Hypertextovodkaz"/>
            <w:shd w:val="clear" w:color="auto" w:fill="FFFFFF"/>
          </w:rPr>
          <w:t>emi</w:t>
        </w:r>
        <w:r w:rsidRPr="007614AF">
          <w:rPr>
            <w:rStyle w:val="Hypertextovodkaz"/>
            <w:shd w:val="clear" w:color="auto" w:fill="FFFFFF"/>
          </w:rPr>
          <w:t xml:space="preserve"> druhů výsledků</w:t>
        </w:r>
      </w:hyperlink>
      <w:r>
        <w:rPr>
          <w:color w:val="000000"/>
          <w:shd w:val="clear" w:color="auto" w:fill="FFFFFF"/>
        </w:rPr>
        <w:t xml:space="preserve"> platnými od r. 2018 a současně zavedením specifických výsledků programu NAKI III tak, aby se u nejčastějších výsledků zvýšila jejich kvalita). Indikátor navazuje na předchozí indikátor „</w:t>
      </w:r>
      <w:r w:rsidRPr="00F56063">
        <w:rPr>
          <w:color w:val="000000"/>
          <w:shd w:val="clear" w:color="auto" w:fill="FFFFFF"/>
        </w:rPr>
        <w:t>Minimální podíl schválených a v RIV uplatněných hlavních výsledků projektu</w:t>
      </w:r>
      <w:r>
        <w:rPr>
          <w:color w:val="000000"/>
          <w:shd w:val="clear" w:color="auto" w:fill="FFFFFF"/>
        </w:rPr>
        <w:t>“, který je jedním z klíčových kritérií pro hodnocení úspěšnosti projektu (samozřejmě projekt nemusí být úspěšný z řady dalších důvodů – viz např. riziko rozpadu řešitelského týmu uvedené v kap. 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75" w:rsidRDefault="00EA1F75" w:rsidP="00D3067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A1F75" w:rsidRDefault="00EA1F75" w:rsidP="004C427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75" w:rsidRDefault="00EA1F75" w:rsidP="00D3067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0D763A">
      <w:rPr>
        <w:rStyle w:val="slostrnky"/>
        <w:noProof/>
      </w:rPr>
      <w:t>5</w:t>
    </w:r>
    <w:r>
      <w:rPr>
        <w:rStyle w:val="slostrnky"/>
      </w:rPr>
      <w:fldChar w:fldCharType="end"/>
    </w:r>
  </w:p>
  <w:p w:rsidR="00EA1F75" w:rsidRDefault="00EA1F75" w:rsidP="004C4272">
    <w:pPr>
      <w:pStyle w:val="Zpat"/>
      <w:tabs>
        <w:tab w:val="clear" w:pos="4536"/>
        <w:tab w:val="clear" w:pos="9072"/>
        <w:tab w:val="left" w:pos="5655"/>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BB8" w:rsidRDefault="00584BB8">
      <w:r>
        <w:separator/>
      </w:r>
    </w:p>
  </w:footnote>
  <w:footnote w:type="continuationSeparator" w:id="0">
    <w:p w:rsidR="00584BB8" w:rsidRDefault="00584BB8">
      <w:r>
        <w:continuationSeparator/>
      </w:r>
    </w:p>
  </w:footnote>
  <w:footnote w:id="1">
    <w:p w:rsidR="00CA2A32" w:rsidRDefault="00CA2A32" w:rsidP="00CA2A32">
      <w:pPr>
        <w:pStyle w:val="Textpoznpodarou"/>
      </w:pPr>
      <w:r>
        <w:rPr>
          <w:rStyle w:val="Znakapoznpodarou"/>
        </w:rPr>
        <w:footnoteRef/>
      </w:r>
      <w:r>
        <w:t xml:space="preserve"> Viz </w:t>
      </w:r>
      <w:hyperlink r:id="rId1" w:history="1">
        <w:r w:rsidRPr="009807B5">
          <w:rPr>
            <w:rStyle w:val="Hypertextovodkaz"/>
          </w:rPr>
          <w:t>Konc</w:t>
        </w:r>
        <w:r w:rsidRPr="009807B5">
          <w:rPr>
            <w:rStyle w:val="Hypertextovodkaz"/>
          </w:rPr>
          <w:t>e</w:t>
        </w:r>
        <w:r w:rsidRPr="009807B5">
          <w:rPr>
            <w:rStyle w:val="Hypertextovodkaz"/>
          </w:rPr>
          <w:t>pce</w:t>
        </w:r>
      </w:hyperlink>
      <w:r>
        <w:t xml:space="preserve">, kap. </w:t>
      </w:r>
      <w:r w:rsidR="006D678D">
        <w:t xml:space="preserve">III. A. </w:t>
      </w:r>
      <w:r>
        <w:t>2</w:t>
      </w:r>
      <w:r w:rsidR="006D678D">
        <w:t>.</w:t>
      </w:r>
      <w:r>
        <w:t xml:space="preserve">2, str. </w:t>
      </w:r>
      <w:r w:rsidR="006D678D">
        <w:t>9</w:t>
      </w:r>
      <w:r>
        <w:t>.</w:t>
      </w:r>
    </w:p>
  </w:footnote>
  <w:footnote w:id="2">
    <w:p w:rsidR="008665FF" w:rsidRDefault="008665FF" w:rsidP="008665FF">
      <w:pPr>
        <w:pStyle w:val="Textpoznpodarou"/>
      </w:pPr>
      <w:r>
        <w:rPr>
          <w:rStyle w:val="Znakapoznpodarou"/>
        </w:rPr>
        <w:footnoteRef/>
      </w:r>
      <w:r>
        <w:t xml:space="preserve"> Viz </w:t>
      </w:r>
      <w:hyperlink r:id="rId2" w:history="1">
        <w:r w:rsidRPr="00AF2484">
          <w:rPr>
            <w:rStyle w:val="Hypertextovodkaz"/>
          </w:rPr>
          <w:t>Koncepce</w:t>
        </w:r>
      </w:hyperlink>
      <w:r>
        <w:t>, kap. III. B. 1, str. 14 – 15.</w:t>
      </w:r>
    </w:p>
  </w:footnote>
  <w:footnote w:id="3">
    <w:p w:rsidR="00EA1F75" w:rsidRDefault="00EA1F75" w:rsidP="00275BF2">
      <w:pPr>
        <w:pStyle w:val="Textpoznpodarou"/>
        <w:ind w:left="142" w:hanging="142"/>
      </w:pPr>
      <w:r>
        <w:rPr>
          <w:rStyle w:val="Znakapoznpodarou"/>
        </w:rPr>
        <w:footnoteRef/>
      </w:r>
      <w:r>
        <w:t xml:space="preserve"> Definice druhů výsledků. Samostatná příloha č. 4 Metodiky hodnocení výzkumných organizací a programů účelové podpory výzkumu, vývoje a inovací, schválené usnesením vlády ze dne 29. listopadu 2017 č. 837.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F75" w:rsidRPr="00C90F78" w:rsidRDefault="00EA1F75" w:rsidP="00C90F78">
    <w:pPr>
      <w:pStyle w:val="Zhlav"/>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3A8159C"/>
    <w:lvl w:ilvl="0">
      <w:numFmt w:val="bullet"/>
      <w:lvlText w:val="*"/>
      <w:lvlJc w:val="left"/>
    </w:lvl>
  </w:abstractNum>
  <w:abstractNum w:abstractNumId="1" w15:restartNumberingAfterBreak="0">
    <w:nsid w:val="003D5555"/>
    <w:multiLevelType w:val="hybridMultilevel"/>
    <w:tmpl w:val="B1848DBE"/>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6D54D7"/>
    <w:multiLevelType w:val="hybridMultilevel"/>
    <w:tmpl w:val="067404C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5A20BC"/>
    <w:multiLevelType w:val="hybridMultilevel"/>
    <w:tmpl w:val="1B04CDC4"/>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6174CC"/>
    <w:multiLevelType w:val="multilevel"/>
    <w:tmpl w:val="5BDEDE76"/>
    <w:lvl w:ilvl="0">
      <w:start w:val="1"/>
      <w:numFmt w:val="lowerLetter"/>
      <w:lvlText w:val="%1)"/>
      <w:lvlJc w:val="left"/>
      <w:pPr>
        <w:tabs>
          <w:tab w:val="num" w:pos="1065"/>
        </w:tabs>
        <w:ind w:left="1065" w:hanging="705"/>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A422A40"/>
    <w:multiLevelType w:val="hybridMultilevel"/>
    <w:tmpl w:val="3C7A8F8C"/>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06933FD"/>
    <w:multiLevelType w:val="hybridMultilevel"/>
    <w:tmpl w:val="74CEA37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F173B3"/>
    <w:multiLevelType w:val="hybridMultilevel"/>
    <w:tmpl w:val="CB46CD8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C96F63"/>
    <w:multiLevelType w:val="hybridMultilevel"/>
    <w:tmpl w:val="E30033B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7F3882"/>
    <w:multiLevelType w:val="hybridMultilevel"/>
    <w:tmpl w:val="35B829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2E4394"/>
    <w:multiLevelType w:val="hybridMultilevel"/>
    <w:tmpl w:val="8D1849C0"/>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1BD861E1"/>
    <w:multiLevelType w:val="hybridMultilevel"/>
    <w:tmpl w:val="6360C3D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1FB04D06"/>
    <w:multiLevelType w:val="hybridMultilevel"/>
    <w:tmpl w:val="9FD2C9DE"/>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0947F09"/>
    <w:multiLevelType w:val="hybridMultilevel"/>
    <w:tmpl w:val="94E489A4"/>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0E657DD"/>
    <w:multiLevelType w:val="hybridMultilevel"/>
    <w:tmpl w:val="01B4919C"/>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1D5016"/>
    <w:multiLevelType w:val="hybridMultilevel"/>
    <w:tmpl w:val="349A6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275A87"/>
    <w:multiLevelType w:val="hybridMultilevel"/>
    <w:tmpl w:val="64322E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E6003E"/>
    <w:multiLevelType w:val="hybridMultilevel"/>
    <w:tmpl w:val="E75A1BC8"/>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2926538C"/>
    <w:multiLevelType w:val="hybridMultilevel"/>
    <w:tmpl w:val="F770440A"/>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9256ED"/>
    <w:multiLevelType w:val="hybridMultilevel"/>
    <w:tmpl w:val="D1EE3B0A"/>
    <w:lvl w:ilvl="0" w:tplc="04050011">
      <w:start w:val="22"/>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CD37A5"/>
    <w:multiLevelType w:val="hybridMultilevel"/>
    <w:tmpl w:val="9B268A64"/>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B2145C2"/>
    <w:multiLevelType w:val="hybridMultilevel"/>
    <w:tmpl w:val="275A12C0"/>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1CB7477"/>
    <w:multiLevelType w:val="hybridMultilevel"/>
    <w:tmpl w:val="19D8D522"/>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4D933C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374220B2"/>
    <w:multiLevelType w:val="hybridMultilevel"/>
    <w:tmpl w:val="16B0B724"/>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ABF006D"/>
    <w:multiLevelType w:val="hybridMultilevel"/>
    <w:tmpl w:val="EF92463A"/>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C8325C6"/>
    <w:multiLevelType w:val="hybridMultilevel"/>
    <w:tmpl w:val="C39CCE4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CDA2B25"/>
    <w:multiLevelType w:val="hybridMultilevel"/>
    <w:tmpl w:val="CBFC41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0816BD"/>
    <w:multiLevelType w:val="hybridMultilevel"/>
    <w:tmpl w:val="1338928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7A836A6"/>
    <w:multiLevelType w:val="hybridMultilevel"/>
    <w:tmpl w:val="7A825E42"/>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7F848B9"/>
    <w:multiLevelType w:val="hybridMultilevel"/>
    <w:tmpl w:val="31F03434"/>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D073AF9"/>
    <w:multiLevelType w:val="hybridMultilevel"/>
    <w:tmpl w:val="2C7E5EF0"/>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07121E"/>
    <w:multiLevelType w:val="hybridMultilevel"/>
    <w:tmpl w:val="97DA0CB6"/>
    <w:lvl w:ilvl="0" w:tplc="04050017">
      <w:start w:val="1"/>
      <w:numFmt w:val="lowerLetter"/>
      <w:lvlText w:val="%1)"/>
      <w:lvlJc w:val="left"/>
      <w:pPr>
        <w:tabs>
          <w:tab w:val="num" w:pos="1429"/>
        </w:tabs>
        <w:ind w:left="1429" w:hanging="360"/>
      </w:pPr>
      <w:rPr>
        <w:rFonts w:cs="Times New Roman"/>
      </w:rPr>
    </w:lvl>
    <w:lvl w:ilvl="1" w:tplc="04050019">
      <w:start w:val="1"/>
      <w:numFmt w:val="lowerLetter"/>
      <w:lvlText w:val="%2."/>
      <w:lvlJc w:val="left"/>
      <w:pPr>
        <w:tabs>
          <w:tab w:val="num" w:pos="2149"/>
        </w:tabs>
        <w:ind w:left="2149" w:hanging="360"/>
      </w:pPr>
      <w:rPr>
        <w:rFonts w:cs="Times New Roman"/>
      </w:rPr>
    </w:lvl>
    <w:lvl w:ilvl="2" w:tplc="0405001B">
      <w:start w:val="1"/>
      <w:numFmt w:val="lowerRoman"/>
      <w:lvlText w:val="%3."/>
      <w:lvlJc w:val="right"/>
      <w:pPr>
        <w:tabs>
          <w:tab w:val="num" w:pos="2869"/>
        </w:tabs>
        <w:ind w:left="2869" w:hanging="180"/>
      </w:pPr>
      <w:rPr>
        <w:rFonts w:cs="Times New Roman"/>
      </w:rPr>
    </w:lvl>
    <w:lvl w:ilvl="3" w:tplc="0405000F">
      <w:start w:val="1"/>
      <w:numFmt w:val="decimal"/>
      <w:lvlText w:val="%4."/>
      <w:lvlJc w:val="left"/>
      <w:pPr>
        <w:tabs>
          <w:tab w:val="num" w:pos="3589"/>
        </w:tabs>
        <w:ind w:left="3589" w:hanging="360"/>
      </w:pPr>
      <w:rPr>
        <w:rFonts w:cs="Times New Roman"/>
      </w:rPr>
    </w:lvl>
    <w:lvl w:ilvl="4" w:tplc="04050019">
      <w:start w:val="1"/>
      <w:numFmt w:val="lowerLetter"/>
      <w:lvlText w:val="%5."/>
      <w:lvlJc w:val="left"/>
      <w:pPr>
        <w:tabs>
          <w:tab w:val="num" w:pos="4309"/>
        </w:tabs>
        <w:ind w:left="4309" w:hanging="360"/>
      </w:pPr>
      <w:rPr>
        <w:rFonts w:cs="Times New Roman"/>
      </w:rPr>
    </w:lvl>
    <w:lvl w:ilvl="5" w:tplc="0405001B">
      <w:start w:val="1"/>
      <w:numFmt w:val="lowerRoman"/>
      <w:lvlText w:val="%6."/>
      <w:lvlJc w:val="right"/>
      <w:pPr>
        <w:tabs>
          <w:tab w:val="num" w:pos="5029"/>
        </w:tabs>
        <w:ind w:left="5029" w:hanging="180"/>
      </w:pPr>
      <w:rPr>
        <w:rFonts w:cs="Times New Roman"/>
      </w:rPr>
    </w:lvl>
    <w:lvl w:ilvl="6" w:tplc="0405000F">
      <w:start w:val="1"/>
      <w:numFmt w:val="decimal"/>
      <w:lvlText w:val="%7."/>
      <w:lvlJc w:val="left"/>
      <w:pPr>
        <w:tabs>
          <w:tab w:val="num" w:pos="5749"/>
        </w:tabs>
        <w:ind w:left="5749" w:hanging="360"/>
      </w:pPr>
      <w:rPr>
        <w:rFonts w:cs="Times New Roman"/>
      </w:rPr>
    </w:lvl>
    <w:lvl w:ilvl="7" w:tplc="04050019">
      <w:start w:val="1"/>
      <w:numFmt w:val="lowerLetter"/>
      <w:lvlText w:val="%8."/>
      <w:lvlJc w:val="left"/>
      <w:pPr>
        <w:tabs>
          <w:tab w:val="num" w:pos="6469"/>
        </w:tabs>
        <w:ind w:left="6469" w:hanging="360"/>
      </w:pPr>
      <w:rPr>
        <w:rFonts w:cs="Times New Roman"/>
      </w:rPr>
    </w:lvl>
    <w:lvl w:ilvl="8" w:tplc="0405001B">
      <w:start w:val="1"/>
      <w:numFmt w:val="lowerRoman"/>
      <w:lvlText w:val="%9."/>
      <w:lvlJc w:val="right"/>
      <w:pPr>
        <w:tabs>
          <w:tab w:val="num" w:pos="7189"/>
        </w:tabs>
        <w:ind w:left="7189" w:hanging="180"/>
      </w:pPr>
      <w:rPr>
        <w:rFonts w:cs="Times New Roman"/>
      </w:rPr>
    </w:lvl>
  </w:abstractNum>
  <w:abstractNum w:abstractNumId="33" w15:restartNumberingAfterBreak="0">
    <w:nsid w:val="50C3173E"/>
    <w:multiLevelType w:val="hybridMultilevel"/>
    <w:tmpl w:val="9FDAE67A"/>
    <w:lvl w:ilvl="0" w:tplc="8DC2D212">
      <w:start w:val="1"/>
      <w:numFmt w:val="lowerLetter"/>
      <w:lvlText w:val="%1)"/>
      <w:lvlJc w:val="left"/>
      <w:pPr>
        <w:tabs>
          <w:tab w:val="num" w:pos="1065"/>
        </w:tabs>
        <w:ind w:left="1065" w:hanging="7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011885"/>
    <w:multiLevelType w:val="hybridMultilevel"/>
    <w:tmpl w:val="979011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6F6A8C"/>
    <w:multiLevelType w:val="hybridMultilevel"/>
    <w:tmpl w:val="B8FE700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9F3CB3"/>
    <w:multiLevelType w:val="hybridMultilevel"/>
    <w:tmpl w:val="C6C879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272BCE"/>
    <w:multiLevelType w:val="hybridMultilevel"/>
    <w:tmpl w:val="0AE0B926"/>
    <w:lvl w:ilvl="0" w:tplc="04050011">
      <w:start w:val="16"/>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A9D599C"/>
    <w:multiLevelType w:val="hybridMultilevel"/>
    <w:tmpl w:val="D8688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DD3BDD"/>
    <w:multiLevelType w:val="hybridMultilevel"/>
    <w:tmpl w:val="917A9C3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1080072"/>
    <w:multiLevelType w:val="hybridMultilevel"/>
    <w:tmpl w:val="241EFE18"/>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824618"/>
    <w:multiLevelType w:val="hybridMultilevel"/>
    <w:tmpl w:val="98486A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650CF0"/>
    <w:multiLevelType w:val="hybridMultilevel"/>
    <w:tmpl w:val="F89AEC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D959A9"/>
    <w:multiLevelType w:val="hybridMultilevel"/>
    <w:tmpl w:val="E90E4F58"/>
    <w:lvl w:ilvl="0" w:tplc="258825B4">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44" w15:restartNumberingAfterBreak="0">
    <w:nsid w:val="7B8B62AC"/>
    <w:multiLevelType w:val="hybridMultilevel"/>
    <w:tmpl w:val="754ED37E"/>
    <w:lvl w:ilvl="0" w:tplc="A994204C">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D0211D9"/>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6"/>
  </w:num>
  <w:num w:numId="2">
    <w:abstractNumId w:val="3"/>
  </w:num>
  <w:num w:numId="3">
    <w:abstractNumId w:val="42"/>
  </w:num>
  <w:num w:numId="4">
    <w:abstractNumId w:val="28"/>
  </w:num>
  <w:num w:numId="5">
    <w:abstractNumId w:val="24"/>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4"/>
  </w:num>
  <w:num w:numId="8">
    <w:abstractNumId w:val="34"/>
  </w:num>
  <w:num w:numId="9">
    <w:abstractNumId w:val="8"/>
  </w:num>
  <w:num w:numId="10">
    <w:abstractNumId w:val="13"/>
  </w:num>
  <w:num w:numId="11">
    <w:abstractNumId w:val="30"/>
  </w:num>
  <w:num w:numId="12">
    <w:abstractNumId w:val="5"/>
  </w:num>
  <w:num w:numId="13">
    <w:abstractNumId w:val="20"/>
  </w:num>
  <w:num w:numId="14">
    <w:abstractNumId w:val="29"/>
  </w:num>
  <w:num w:numId="15">
    <w:abstractNumId w:val="1"/>
  </w:num>
  <w:num w:numId="16">
    <w:abstractNumId w:val="18"/>
  </w:num>
  <w:num w:numId="17">
    <w:abstractNumId w:val="31"/>
  </w:num>
  <w:num w:numId="18">
    <w:abstractNumId w:val="25"/>
  </w:num>
  <w:num w:numId="19">
    <w:abstractNumId w:val="12"/>
  </w:num>
  <w:num w:numId="20">
    <w:abstractNumId w:val="33"/>
  </w:num>
  <w:num w:numId="21">
    <w:abstractNumId w:val="21"/>
  </w:num>
  <w:num w:numId="22">
    <w:abstractNumId w:val="11"/>
  </w:num>
  <w:num w:numId="23">
    <w:abstractNumId w:val="17"/>
  </w:num>
  <w:num w:numId="24">
    <w:abstractNumId w:val="9"/>
  </w:num>
  <w:num w:numId="25">
    <w:abstractNumId w:val="16"/>
  </w:num>
  <w:num w:numId="26">
    <w:abstractNumId w:val="45"/>
  </w:num>
  <w:num w:numId="27">
    <w:abstractNumId w:val="23"/>
  </w:num>
  <w:num w:numId="28">
    <w:abstractNumId w:val="32"/>
  </w:num>
  <w:num w:numId="29">
    <w:abstractNumId w:val="39"/>
  </w:num>
  <w:num w:numId="30">
    <w:abstractNumId w:val="7"/>
  </w:num>
  <w:num w:numId="31">
    <w:abstractNumId w:val="26"/>
  </w:num>
  <w:num w:numId="32">
    <w:abstractNumId w:val="41"/>
  </w:num>
  <w:num w:numId="33">
    <w:abstractNumId w:val="38"/>
  </w:num>
  <w:num w:numId="34">
    <w:abstractNumId w:val="2"/>
  </w:num>
  <w:num w:numId="35">
    <w:abstractNumId w:val="40"/>
  </w:num>
  <w:num w:numId="36">
    <w:abstractNumId w:val="22"/>
  </w:num>
  <w:num w:numId="37">
    <w:abstractNumId w:val="14"/>
  </w:num>
  <w:num w:numId="38">
    <w:abstractNumId w:val="10"/>
  </w:num>
  <w:num w:numId="39">
    <w:abstractNumId w:val="43"/>
  </w:num>
  <w:num w:numId="40">
    <w:abstractNumId w:val="36"/>
  </w:num>
  <w:num w:numId="41">
    <w:abstractNumId w:val="35"/>
  </w:num>
  <w:num w:numId="42">
    <w:abstractNumId w:val="37"/>
  </w:num>
  <w:num w:numId="43">
    <w:abstractNumId w:val="19"/>
  </w:num>
  <w:num w:numId="44">
    <w:abstractNumId w:val="27"/>
  </w:num>
  <w:num w:numId="45">
    <w:abstractNumId w:val="44"/>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514"/>
    <w:rsid w:val="00014D69"/>
    <w:rsid w:val="00022D6F"/>
    <w:rsid w:val="000303C0"/>
    <w:rsid w:val="00031451"/>
    <w:rsid w:val="0003631A"/>
    <w:rsid w:val="000409A3"/>
    <w:rsid w:val="00041227"/>
    <w:rsid w:val="00044E8C"/>
    <w:rsid w:val="00046011"/>
    <w:rsid w:val="000471D0"/>
    <w:rsid w:val="00051ADB"/>
    <w:rsid w:val="00051C69"/>
    <w:rsid w:val="00051DBA"/>
    <w:rsid w:val="00053B34"/>
    <w:rsid w:val="00055C40"/>
    <w:rsid w:val="00057299"/>
    <w:rsid w:val="00060AC3"/>
    <w:rsid w:val="0006611E"/>
    <w:rsid w:val="00066218"/>
    <w:rsid w:val="00067A11"/>
    <w:rsid w:val="0007039A"/>
    <w:rsid w:val="0007234E"/>
    <w:rsid w:val="00076CCF"/>
    <w:rsid w:val="00091198"/>
    <w:rsid w:val="00093639"/>
    <w:rsid w:val="00097AFE"/>
    <w:rsid w:val="000A306A"/>
    <w:rsid w:val="000A4CAF"/>
    <w:rsid w:val="000A5E1D"/>
    <w:rsid w:val="000B5C60"/>
    <w:rsid w:val="000C0084"/>
    <w:rsid w:val="000C1505"/>
    <w:rsid w:val="000C2ECD"/>
    <w:rsid w:val="000C7A49"/>
    <w:rsid w:val="000D6642"/>
    <w:rsid w:val="000D6C52"/>
    <w:rsid w:val="000D763A"/>
    <w:rsid w:val="000E01EF"/>
    <w:rsid w:val="000E0288"/>
    <w:rsid w:val="000E186F"/>
    <w:rsid w:val="000E3A19"/>
    <w:rsid w:val="000E47B3"/>
    <w:rsid w:val="000E54A0"/>
    <w:rsid w:val="000F32BA"/>
    <w:rsid w:val="000F3D34"/>
    <w:rsid w:val="000F57C4"/>
    <w:rsid w:val="001003C1"/>
    <w:rsid w:val="00100F36"/>
    <w:rsid w:val="00101E01"/>
    <w:rsid w:val="00106561"/>
    <w:rsid w:val="001108CA"/>
    <w:rsid w:val="001132AD"/>
    <w:rsid w:val="001141B7"/>
    <w:rsid w:val="00114FD4"/>
    <w:rsid w:val="0011595D"/>
    <w:rsid w:val="00121D0F"/>
    <w:rsid w:val="00122755"/>
    <w:rsid w:val="001309D4"/>
    <w:rsid w:val="00134E58"/>
    <w:rsid w:val="00145023"/>
    <w:rsid w:val="001454CF"/>
    <w:rsid w:val="00147499"/>
    <w:rsid w:val="00150366"/>
    <w:rsid w:val="001506A7"/>
    <w:rsid w:val="001541E9"/>
    <w:rsid w:val="00161FF7"/>
    <w:rsid w:val="00170AC6"/>
    <w:rsid w:val="00172B1A"/>
    <w:rsid w:val="001775A9"/>
    <w:rsid w:val="00183C43"/>
    <w:rsid w:val="00190FF0"/>
    <w:rsid w:val="001912AE"/>
    <w:rsid w:val="00191553"/>
    <w:rsid w:val="00191A6B"/>
    <w:rsid w:val="00192D1E"/>
    <w:rsid w:val="00194E60"/>
    <w:rsid w:val="001A5ECB"/>
    <w:rsid w:val="001B4185"/>
    <w:rsid w:val="001B7466"/>
    <w:rsid w:val="001C001A"/>
    <w:rsid w:val="001C61DD"/>
    <w:rsid w:val="001D42F6"/>
    <w:rsid w:val="001D4F8B"/>
    <w:rsid w:val="001D69AD"/>
    <w:rsid w:val="001D7D40"/>
    <w:rsid w:val="001E61C5"/>
    <w:rsid w:val="001F02D4"/>
    <w:rsid w:val="001F26E6"/>
    <w:rsid w:val="001F4031"/>
    <w:rsid w:val="001F4373"/>
    <w:rsid w:val="001F5948"/>
    <w:rsid w:val="002012F7"/>
    <w:rsid w:val="00201320"/>
    <w:rsid w:val="00202030"/>
    <w:rsid w:val="00207304"/>
    <w:rsid w:val="0021378A"/>
    <w:rsid w:val="00214F33"/>
    <w:rsid w:val="0021670B"/>
    <w:rsid w:val="00222DA4"/>
    <w:rsid w:val="00223E5D"/>
    <w:rsid w:val="00230ACB"/>
    <w:rsid w:val="00231CF3"/>
    <w:rsid w:val="0023473C"/>
    <w:rsid w:val="00236002"/>
    <w:rsid w:val="00244975"/>
    <w:rsid w:val="0024565C"/>
    <w:rsid w:val="00253B84"/>
    <w:rsid w:val="00254FC9"/>
    <w:rsid w:val="00255C52"/>
    <w:rsid w:val="00257D05"/>
    <w:rsid w:val="0026459C"/>
    <w:rsid w:val="00273F90"/>
    <w:rsid w:val="002750D8"/>
    <w:rsid w:val="00275BF2"/>
    <w:rsid w:val="0027630A"/>
    <w:rsid w:val="00280772"/>
    <w:rsid w:val="002826B1"/>
    <w:rsid w:val="00283297"/>
    <w:rsid w:val="0028652D"/>
    <w:rsid w:val="00291045"/>
    <w:rsid w:val="002945C1"/>
    <w:rsid w:val="002947E9"/>
    <w:rsid w:val="002974C3"/>
    <w:rsid w:val="002A0157"/>
    <w:rsid w:val="002A30D6"/>
    <w:rsid w:val="002A3BDA"/>
    <w:rsid w:val="002B061E"/>
    <w:rsid w:val="002B18C5"/>
    <w:rsid w:val="002B2339"/>
    <w:rsid w:val="002B58D6"/>
    <w:rsid w:val="002B5B6E"/>
    <w:rsid w:val="002B7959"/>
    <w:rsid w:val="002C551D"/>
    <w:rsid w:val="002D009F"/>
    <w:rsid w:val="002D0575"/>
    <w:rsid w:val="002D1A1E"/>
    <w:rsid w:val="002D4EA2"/>
    <w:rsid w:val="002D73E0"/>
    <w:rsid w:val="002E102E"/>
    <w:rsid w:val="002E24F8"/>
    <w:rsid w:val="002E4278"/>
    <w:rsid w:val="002E4F8C"/>
    <w:rsid w:val="002E5432"/>
    <w:rsid w:val="002F5BA6"/>
    <w:rsid w:val="002F639A"/>
    <w:rsid w:val="00302C39"/>
    <w:rsid w:val="003038FB"/>
    <w:rsid w:val="0030502C"/>
    <w:rsid w:val="00307055"/>
    <w:rsid w:val="00310E97"/>
    <w:rsid w:val="0031413E"/>
    <w:rsid w:val="00327095"/>
    <w:rsid w:val="00333FB5"/>
    <w:rsid w:val="0033700A"/>
    <w:rsid w:val="0034042D"/>
    <w:rsid w:val="00346C61"/>
    <w:rsid w:val="00350DAA"/>
    <w:rsid w:val="0035245A"/>
    <w:rsid w:val="00354888"/>
    <w:rsid w:val="00355CD9"/>
    <w:rsid w:val="0036167C"/>
    <w:rsid w:val="00365A09"/>
    <w:rsid w:val="00373FE6"/>
    <w:rsid w:val="00383881"/>
    <w:rsid w:val="003850A9"/>
    <w:rsid w:val="00385C59"/>
    <w:rsid w:val="00386F05"/>
    <w:rsid w:val="003A7843"/>
    <w:rsid w:val="003B2FE9"/>
    <w:rsid w:val="003B4238"/>
    <w:rsid w:val="003B73A8"/>
    <w:rsid w:val="003C1C43"/>
    <w:rsid w:val="003C373F"/>
    <w:rsid w:val="003C3D2E"/>
    <w:rsid w:val="003C3DE8"/>
    <w:rsid w:val="003C4785"/>
    <w:rsid w:val="003C47FD"/>
    <w:rsid w:val="003C4AA4"/>
    <w:rsid w:val="003C5E99"/>
    <w:rsid w:val="003C7DC9"/>
    <w:rsid w:val="003D001A"/>
    <w:rsid w:val="003D50DE"/>
    <w:rsid w:val="003D6979"/>
    <w:rsid w:val="003D775D"/>
    <w:rsid w:val="003E3F13"/>
    <w:rsid w:val="003E440F"/>
    <w:rsid w:val="003F0591"/>
    <w:rsid w:val="003F1FCF"/>
    <w:rsid w:val="003F31C8"/>
    <w:rsid w:val="00400301"/>
    <w:rsid w:val="00402649"/>
    <w:rsid w:val="004161D6"/>
    <w:rsid w:val="00431E4F"/>
    <w:rsid w:val="00432F77"/>
    <w:rsid w:val="004354D4"/>
    <w:rsid w:val="004378AD"/>
    <w:rsid w:val="00442BB2"/>
    <w:rsid w:val="00443167"/>
    <w:rsid w:val="004463A0"/>
    <w:rsid w:val="00452D67"/>
    <w:rsid w:val="00456AA4"/>
    <w:rsid w:val="00457A56"/>
    <w:rsid w:val="0046023D"/>
    <w:rsid w:val="00461B88"/>
    <w:rsid w:val="004622CC"/>
    <w:rsid w:val="00463C7D"/>
    <w:rsid w:val="0046428F"/>
    <w:rsid w:val="004643E8"/>
    <w:rsid w:val="004667BA"/>
    <w:rsid w:val="00476677"/>
    <w:rsid w:val="00477997"/>
    <w:rsid w:val="00480AF0"/>
    <w:rsid w:val="00481546"/>
    <w:rsid w:val="00485E60"/>
    <w:rsid w:val="00486DF2"/>
    <w:rsid w:val="004871D0"/>
    <w:rsid w:val="00493CCE"/>
    <w:rsid w:val="00493EF3"/>
    <w:rsid w:val="00494FBD"/>
    <w:rsid w:val="004978E7"/>
    <w:rsid w:val="004A2663"/>
    <w:rsid w:val="004A580D"/>
    <w:rsid w:val="004B3E25"/>
    <w:rsid w:val="004B693C"/>
    <w:rsid w:val="004B6B06"/>
    <w:rsid w:val="004C1165"/>
    <w:rsid w:val="004C22D7"/>
    <w:rsid w:val="004C4272"/>
    <w:rsid w:val="004D101F"/>
    <w:rsid w:val="004D24BA"/>
    <w:rsid w:val="004D2967"/>
    <w:rsid w:val="004D3570"/>
    <w:rsid w:val="004D6D0E"/>
    <w:rsid w:val="004E14D5"/>
    <w:rsid w:val="004E23EE"/>
    <w:rsid w:val="004E6E64"/>
    <w:rsid w:val="004F3E33"/>
    <w:rsid w:val="005034C6"/>
    <w:rsid w:val="00505B75"/>
    <w:rsid w:val="005117B0"/>
    <w:rsid w:val="00511AD6"/>
    <w:rsid w:val="00512F59"/>
    <w:rsid w:val="0051351C"/>
    <w:rsid w:val="00514C68"/>
    <w:rsid w:val="005155AB"/>
    <w:rsid w:val="0052183C"/>
    <w:rsid w:val="00530AE1"/>
    <w:rsid w:val="00531E5A"/>
    <w:rsid w:val="00533C9B"/>
    <w:rsid w:val="00535839"/>
    <w:rsid w:val="00537064"/>
    <w:rsid w:val="00550A6B"/>
    <w:rsid w:val="0055510B"/>
    <w:rsid w:val="00555D5E"/>
    <w:rsid w:val="005619EF"/>
    <w:rsid w:val="00561F62"/>
    <w:rsid w:val="005628DC"/>
    <w:rsid w:val="00564E01"/>
    <w:rsid w:val="005665D7"/>
    <w:rsid w:val="0056733C"/>
    <w:rsid w:val="005707D9"/>
    <w:rsid w:val="005729CD"/>
    <w:rsid w:val="005827C5"/>
    <w:rsid w:val="00584BB8"/>
    <w:rsid w:val="005915D0"/>
    <w:rsid w:val="00596AC6"/>
    <w:rsid w:val="005A3ED7"/>
    <w:rsid w:val="005A4D32"/>
    <w:rsid w:val="005B1BDD"/>
    <w:rsid w:val="005B5009"/>
    <w:rsid w:val="005B6EB8"/>
    <w:rsid w:val="005C3E69"/>
    <w:rsid w:val="005D0C4A"/>
    <w:rsid w:val="005D789A"/>
    <w:rsid w:val="005E048C"/>
    <w:rsid w:val="005E19CD"/>
    <w:rsid w:val="005F7C93"/>
    <w:rsid w:val="00603634"/>
    <w:rsid w:val="006061AF"/>
    <w:rsid w:val="00606A61"/>
    <w:rsid w:val="00607D4F"/>
    <w:rsid w:val="00610D7F"/>
    <w:rsid w:val="006154AA"/>
    <w:rsid w:val="00620F3F"/>
    <w:rsid w:val="00630855"/>
    <w:rsid w:val="00632DDA"/>
    <w:rsid w:val="00634A8E"/>
    <w:rsid w:val="00636CAF"/>
    <w:rsid w:val="0064132F"/>
    <w:rsid w:val="00644C98"/>
    <w:rsid w:val="006455F7"/>
    <w:rsid w:val="00645D5E"/>
    <w:rsid w:val="00646AED"/>
    <w:rsid w:val="00655434"/>
    <w:rsid w:val="00657452"/>
    <w:rsid w:val="00660718"/>
    <w:rsid w:val="00663D12"/>
    <w:rsid w:val="00665127"/>
    <w:rsid w:val="006667CF"/>
    <w:rsid w:val="006701B2"/>
    <w:rsid w:val="00675D1E"/>
    <w:rsid w:val="00676B1B"/>
    <w:rsid w:val="00676E8F"/>
    <w:rsid w:val="00681517"/>
    <w:rsid w:val="00685FE7"/>
    <w:rsid w:val="006867A6"/>
    <w:rsid w:val="006907F1"/>
    <w:rsid w:val="00692B00"/>
    <w:rsid w:val="00693651"/>
    <w:rsid w:val="006A1F05"/>
    <w:rsid w:val="006A42B6"/>
    <w:rsid w:val="006A72B6"/>
    <w:rsid w:val="006B0EAC"/>
    <w:rsid w:val="006B6935"/>
    <w:rsid w:val="006B6ECF"/>
    <w:rsid w:val="006C4526"/>
    <w:rsid w:val="006C5ADB"/>
    <w:rsid w:val="006C6309"/>
    <w:rsid w:val="006C6ECA"/>
    <w:rsid w:val="006C7F98"/>
    <w:rsid w:val="006D2039"/>
    <w:rsid w:val="006D21D9"/>
    <w:rsid w:val="006D2F03"/>
    <w:rsid w:val="006D614E"/>
    <w:rsid w:val="006D678D"/>
    <w:rsid w:val="006D7329"/>
    <w:rsid w:val="006D7E2C"/>
    <w:rsid w:val="006E2D8F"/>
    <w:rsid w:val="006E574F"/>
    <w:rsid w:val="006F5047"/>
    <w:rsid w:val="006F6364"/>
    <w:rsid w:val="0070074D"/>
    <w:rsid w:val="007010B6"/>
    <w:rsid w:val="007038B0"/>
    <w:rsid w:val="007073A6"/>
    <w:rsid w:val="00712E63"/>
    <w:rsid w:val="00713448"/>
    <w:rsid w:val="00714D1D"/>
    <w:rsid w:val="00714DB5"/>
    <w:rsid w:val="0071737B"/>
    <w:rsid w:val="00724628"/>
    <w:rsid w:val="00724ED0"/>
    <w:rsid w:val="00726457"/>
    <w:rsid w:val="00726577"/>
    <w:rsid w:val="00736B09"/>
    <w:rsid w:val="00740B3E"/>
    <w:rsid w:val="00742F66"/>
    <w:rsid w:val="007441E8"/>
    <w:rsid w:val="00744A78"/>
    <w:rsid w:val="00747B21"/>
    <w:rsid w:val="00751822"/>
    <w:rsid w:val="00754206"/>
    <w:rsid w:val="00756D0C"/>
    <w:rsid w:val="00760650"/>
    <w:rsid w:val="007614AF"/>
    <w:rsid w:val="00765B30"/>
    <w:rsid w:val="007666AC"/>
    <w:rsid w:val="007729CE"/>
    <w:rsid w:val="0077522F"/>
    <w:rsid w:val="00775F33"/>
    <w:rsid w:val="00777EFE"/>
    <w:rsid w:val="007801E4"/>
    <w:rsid w:val="00781946"/>
    <w:rsid w:val="00781D4A"/>
    <w:rsid w:val="00796381"/>
    <w:rsid w:val="00797161"/>
    <w:rsid w:val="007A3841"/>
    <w:rsid w:val="007A4665"/>
    <w:rsid w:val="007A56C1"/>
    <w:rsid w:val="007A6DDB"/>
    <w:rsid w:val="007B0894"/>
    <w:rsid w:val="007B4679"/>
    <w:rsid w:val="007B4F96"/>
    <w:rsid w:val="007B7071"/>
    <w:rsid w:val="007B772B"/>
    <w:rsid w:val="007C16C4"/>
    <w:rsid w:val="007C2B1F"/>
    <w:rsid w:val="007D1112"/>
    <w:rsid w:val="007D18A3"/>
    <w:rsid w:val="007D4669"/>
    <w:rsid w:val="007D5562"/>
    <w:rsid w:val="007E1422"/>
    <w:rsid w:val="007E2ED7"/>
    <w:rsid w:val="007E2F2D"/>
    <w:rsid w:val="007E364E"/>
    <w:rsid w:val="007E43FB"/>
    <w:rsid w:val="007F21A3"/>
    <w:rsid w:val="007F301F"/>
    <w:rsid w:val="007F3791"/>
    <w:rsid w:val="007F52DA"/>
    <w:rsid w:val="007F5A44"/>
    <w:rsid w:val="007F72E0"/>
    <w:rsid w:val="007F767A"/>
    <w:rsid w:val="00817169"/>
    <w:rsid w:val="008231FA"/>
    <w:rsid w:val="00823E6A"/>
    <w:rsid w:val="0082776A"/>
    <w:rsid w:val="00830250"/>
    <w:rsid w:val="00832029"/>
    <w:rsid w:val="00836313"/>
    <w:rsid w:val="008440F0"/>
    <w:rsid w:val="008474D7"/>
    <w:rsid w:val="00855D05"/>
    <w:rsid w:val="00857759"/>
    <w:rsid w:val="00865E99"/>
    <w:rsid w:val="008665FF"/>
    <w:rsid w:val="00866A5C"/>
    <w:rsid w:val="00870606"/>
    <w:rsid w:val="008840CA"/>
    <w:rsid w:val="0089750E"/>
    <w:rsid w:val="008A0D92"/>
    <w:rsid w:val="008A139A"/>
    <w:rsid w:val="008A64E5"/>
    <w:rsid w:val="008B5884"/>
    <w:rsid w:val="008C0450"/>
    <w:rsid w:val="008C30F8"/>
    <w:rsid w:val="008C373C"/>
    <w:rsid w:val="008D30AC"/>
    <w:rsid w:val="008D5179"/>
    <w:rsid w:val="008E2823"/>
    <w:rsid w:val="008E553B"/>
    <w:rsid w:val="008E6673"/>
    <w:rsid w:val="008E6DD4"/>
    <w:rsid w:val="008E763E"/>
    <w:rsid w:val="008F482C"/>
    <w:rsid w:val="008F53E2"/>
    <w:rsid w:val="008F59C6"/>
    <w:rsid w:val="0090054B"/>
    <w:rsid w:val="00903943"/>
    <w:rsid w:val="0090452D"/>
    <w:rsid w:val="0090772B"/>
    <w:rsid w:val="00915318"/>
    <w:rsid w:val="0092247D"/>
    <w:rsid w:val="00922BD2"/>
    <w:rsid w:val="00924455"/>
    <w:rsid w:val="00926A09"/>
    <w:rsid w:val="00932F34"/>
    <w:rsid w:val="00934A12"/>
    <w:rsid w:val="00934D6D"/>
    <w:rsid w:val="00935CB8"/>
    <w:rsid w:val="00936FAD"/>
    <w:rsid w:val="00937B28"/>
    <w:rsid w:val="00945DD4"/>
    <w:rsid w:val="00946FAF"/>
    <w:rsid w:val="0095009C"/>
    <w:rsid w:val="00952E32"/>
    <w:rsid w:val="00953607"/>
    <w:rsid w:val="009574F6"/>
    <w:rsid w:val="00961375"/>
    <w:rsid w:val="00961B94"/>
    <w:rsid w:val="0096450F"/>
    <w:rsid w:val="009663C4"/>
    <w:rsid w:val="00976B50"/>
    <w:rsid w:val="009841DE"/>
    <w:rsid w:val="00985234"/>
    <w:rsid w:val="00987E73"/>
    <w:rsid w:val="009A1128"/>
    <w:rsid w:val="009A2B80"/>
    <w:rsid w:val="009A5635"/>
    <w:rsid w:val="009A584B"/>
    <w:rsid w:val="009B0C31"/>
    <w:rsid w:val="009B403F"/>
    <w:rsid w:val="009C675D"/>
    <w:rsid w:val="009D13DF"/>
    <w:rsid w:val="009D1DA3"/>
    <w:rsid w:val="009D39A5"/>
    <w:rsid w:val="009D7EC8"/>
    <w:rsid w:val="009E0985"/>
    <w:rsid w:val="009E342E"/>
    <w:rsid w:val="009E58C2"/>
    <w:rsid w:val="009E5E65"/>
    <w:rsid w:val="009E6397"/>
    <w:rsid w:val="009F3B79"/>
    <w:rsid w:val="009F57AE"/>
    <w:rsid w:val="009F67AC"/>
    <w:rsid w:val="009F6C3B"/>
    <w:rsid w:val="00A001AC"/>
    <w:rsid w:val="00A01B2F"/>
    <w:rsid w:val="00A03CEA"/>
    <w:rsid w:val="00A03DD5"/>
    <w:rsid w:val="00A105A9"/>
    <w:rsid w:val="00A1468D"/>
    <w:rsid w:val="00A16C48"/>
    <w:rsid w:val="00A243C4"/>
    <w:rsid w:val="00A3770F"/>
    <w:rsid w:val="00A422D6"/>
    <w:rsid w:val="00A45765"/>
    <w:rsid w:val="00A57BA2"/>
    <w:rsid w:val="00A63B61"/>
    <w:rsid w:val="00A665C5"/>
    <w:rsid w:val="00A70EC1"/>
    <w:rsid w:val="00A72155"/>
    <w:rsid w:val="00A74345"/>
    <w:rsid w:val="00A8065A"/>
    <w:rsid w:val="00A85229"/>
    <w:rsid w:val="00A85554"/>
    <w:rsid w:val="00A90C5E"/>
    <w:rsid w:val="00A91FDC"/>
    <w:rsid w:val="00A96192"/>
    <w:rsid w:val="00AA13F7"/>
    <w:rsid w:val="00AA218A"/>
    <w:rsid w:val="00AB4BFB"/>
    <w:rsid w:val="00AB5FCC"/>
    <w:rsid w:val="00AD17BF"/>
    <w:rsid w:val="00AD46DB"/>
    <w:rsid w:val="00AE320A"/>
    <w:rsid w:val="00AE3EF1"/>
    <w:rsid w:val="00AE588F"/>
    <w:rsid w:val="00AE58A2"/>
    <w:rsid w:val="00AE72D0"/>
    <w:rsid w:val="00AF2C74"/>
    <w:rsid w:val="00AF5AFC"/>
    <w:rsid w:val="00AF71B5"/>
    <w:rsid w:val="00B0292B"/>
    <w:rsid w:val="00B02E1A"/>
    <w:rsid w:val="00B0461F"/>
    <w:rsid w:val="00B07892"/>
    <w:rsid w:val="00B11ECC"/>
    <w:rsid w:val="00B13BA5"/>
    <w:rsid w:val="00B174A4"/>
    <w:rsid w:val="00B21514"/>
    <w:rsid w:val="00B26D4E"/>
    <w:rsid w:val="00B277C8"/>
    <w:rsid w:val="00B339EC"/>
    <w:rsid w:val="00B41A6C"/>
    <w:rsid w:val="00B47901"/>
    <w:rsid w:val="00B51465"/>
    <w:rsid w:val="00B606F9"/>
    <w:rsid w:val="00B61790"/>
    <w:rsid w:val="00B65CE5"/>
    <w:rsid w:val="00B71FF5"/>
    <w:rsid w:val="00B720E1"/>
    <w:rsid w:val="00B80FD0"/>
    <w:rsid w:val="00B85435"/>
    <w:rsid w:val="00BA1F78"/>
    <w:rsid w:val="00BA2B5D"/>
    <w:rsid w:val="00BA72CC"/>
    <w:rsid w:val="00BA7770"/>
    <w:rsid w:val="00BB3865"/>
    <w:rsid w:val="00BB4A71"/>
    <w:rsid w:val="00BB5ABD"/>
    <w:rsid w:val="00BC2461"/>
    <w:rsid w:val="00BC41E4"/>
    <w:rsid w:val="00BC573B"/>
    <w:rsid w:val="00BC60AD"/>
    <w:rsid w:val="00BD40E3"/>
    <w:rsid w:val="00BD4D88"/>
    <w:rsid w:val="00BD600C"/>
    <w:rsid w:val="00BE4014"/>
    <w:rsid w:val="00BE7894"/>
    <w:rsid w:val="00BF0424"/>
    <w:rsid w:val="00BF296B"/>
    <w:rsid w:val="00C0201F"/>
    <w:rsid w:val="00C11BE4"/>
    <w:rsid w:val="00C13F7B"/>
    <w:rsid w:val="00C23D1F"/>
    <w:rsid w:val="00C24022"/>
    <w:rsid w:val="00C24B38"/>
    <w:rsid w:val="00C2500C"/>
    <w:rsid w:val="00C2642F"/>
    <w:rsid w:val="00C27A1C"/>
    <w:rsid w:val="00C30B03"/>
    <w:rsid w:val="00C3417B"/>
    <w:rsid w:val="00C34544"/>
    <w:rsid w:val="00C34936"/>
    <w:rsid w:val="00C40071"/>
    <w:rsid w:val="00C43721"/>
    <w:rsid w:val="00C46A0A"/>
    <w:rsid w:val="00C5575E"/>
    <w:rsid w:val="00C57FC5"/>
    <w:rsid w:val="00C63045"/>
    <w:rsid w:val="00C67B31"/>
    <w:rsid w:val="00C75174"/>
    <w:rsid w:val="00C77710"/>
    <w:rsid w:val="00C778DC"/>
    <w:rsid w:val="00C822EC"/>
    <w:rsid w:val="00C83E41"/>
    <w:rsid w:val="00C90F78"/>
    <w:rsid w:val="00C97A54"/>
    <w:rsid w:val="00CA095A"/>
    <w:rsid w:val="00CA2A32"/>
    <w:rsid w:val="00CA5507"/>
    <w:rsid w:val="00CB06CB"/>
    <w:rsid w:val="00CB6603"/>
    <w:rsid w:val="00CB6B64"/>
    <w:rsid w:val="00CB7991"/>
    <w:rsid w:val="00CC23FD"/>
    <w:rsid w:val="00CC4901"/>
    <w:rsid w:val="00CD78F0"/>
    <w:rsid w:val="00CE763F"/>
    <w:rsid w:val="00CF017A"/>
    <w:rsid w:val="00CF22B2"/>
    <w:rsid w:val="00CF2CBE"/>
    <w:rsid w:val="00CF620B"/>
    <w:rsid w:val="00D01727"/>
    <w:rsid w:val="00D01788"/>
    <w:rsid w:val="00D0340E"/>
    <w:rsid w:val="00D03A89"/>
    <w:rsid w:val="00D23D1C"/>
    <w:rsid w:val="00D2467F"/>
    <w:rsid w:val="00D25661"/>
    <w:rsid w:val="00D26FA5"/>
    <w:rsid w:val="00D3067E"/>
    <w:rsid w:val="00D32B10"/>
    <w:rsid w:val="00D33E45"/>
    <w:rsid w:val="00D366C2"/>
    <w:rsid w:val="00D37961"/>
    <w:rsid w:val="00D37C4D"/>
    <w:rsid w:val="00D40961"/>
    <w:rsid w:val="00D42683"/>
    <w:rsid w:val="00D464B4"/>
    <w:rsid w:val="00D5331B"/>
    <w:rsid w:val="00D56D17"/>
    <w:rsid w:val="00D704CA"/>
    <w:rsid w:val="00D7254B"/>
    <w:rsid w:val="00D74C25"/>
    <w:rsid w:val="00D77D2A"/>
    <w:rsid w:val="00D852F5"/>
    <w:rsid w:val="00D863C6"/>
    <w:rsid w:val="00D9280F"/>
    <w:rsid w:val="00D93E04"/>
    <w:rsid w:val="00D94513"/>
    <w:rsid w:val="00DA1058"/>
    <w:rsid w:val="00DA3ED5"/>
    <w:rsid w:val="00DA6A5C"/>
    <w:rsid w:val="00DA6E93"/>
    <w:rsid w:val="00DA7AB5"/>
    <w:rsid w:val="00DC17B4"/>
    <w:rsid w:val="00DC4B99"/>
    <w:rsid w:val="00DC5108"/>
    <w:rsid w:val="00DD0010"/>
    <w:rsid w:val="00DD0F4E"/>
    <w:rsid w:val="00DD1612"/>
    <w:rsid w:val="00DD46A8"/>
    <w:rsid w:val="00DE4CF4"/>
    <w:rsid w:val="00DE7DCE"/>
    <w:rsid w:val="00DF6966"/>
    <w:rsid w:val="00E03BFB"/>
    <w:rsid w:val="00E05CC0"/>
    <w:rsid w:val="00E07E78"/>
    <w:rsid w:val="00E117A1"/>
    <w:rsid w:val="00E128FF"/>
    <w:rsid w:val="00E14E25"/>
    <w:rsid w:val="00E2024A"/>
    <w:rsid w:val="00E238EF"/>
    <w:rsid w:val="00E25CFE"/>
    <w:rsid w:val="00E25D65"/>
    <w:rsid w:val="00E309A0"/>
    <w:rsid w:val="00E36091"/>
    <w:rsid w:val="00E367C5"/>
    <w:rsid w:val="00E40A8A"/>
    <w:rsid w:val="00E41BFF"/>
    <w:rsid w:val="00E43729"/>
    <w:rsid w:val="00E44ED5"/>
    <w:rsid w:val="00E463CF"/>
    <w:rsid w:val="00E54B00"/>
    <w:rsid w:val="00E56DAD"/>
    <w:rsid w:val="00E6387A"/>
    <w:rsid w:val="00E645D2"/>
    <w:rsid w:val="00E66F17"/>
    <w:rsid w:val="00E72B74"/>
    <w:rsid w:val="00E73048"/>
    <w:rsid w:val="00E7397D"/>
    <w:rsid w:val="00E74EF6"/>
    <w:rsid w:val="00E764A6"/>
    <w:rsid w:val="00E8177A"/>
    <w:rsid w:val="00E872B2"/>
    <w:rsid w:val="00E8779E"/>
    <w:rsid w:val="00E9162D"/>
    <w:rsid w:val="00E93D2C"/>
    <w:rsid w:val="00E94A66"/>
    <w:rsid w:val="00E95353"/>
    <w:rsid w:val="00EA0E94"/>
    <w:rsid w:val="00EA136A"/>
    <w:rsid w:val="00EA1F75"/>
    <w:rsid w:val="00EA2619"/>
    <w:rsid w:val="00EA5F93"/>
    <w:rsid w:val="00EA6B16"/>
    <w:rsid w:val="00EB0B3C"/>
    <w:rsid w:val="00EB0B9D"/>
    <w:rsid w:val="00EB11C5"/>
    <w:rsid w:val="00EB2C90"/>
    <w:rsid w:val="00EB5000"/>
    <w:rsid w:val="00EC0C69"/>
    <w:rsid w:val="00EC19D4"/>
    <w:rsid w:val="00EC5ECB"/>
    <w:rsid w:val="00ED0908"/>
    <w:rsid w:val="00ED6E0F"/>
    <w:rsid w:val="00EE4414"/>
    <w:rsid w:val="00EE60CB"/>
    <w:rsid w:val="00EF03E9"/>
    <w:rsid w:val="00EF35E5"/>
    <w:rsid w:val="00EF5A91"/>
    <w:rsid w:val="00F02CEC"/>
    <w:rsid w:val="00F03CA1"/>
    <w:rsid w:val="00F04E48"/>
    <w:rsid w:val="00F10E69"/>
    <w:rsid w:val="00F27588"/>
    <w:rsid w:val="00F31E3D"/>
    <w:rsid w:val="00F33AC3"/>
    <w:rsid w:val="00F34538"/>
    <w:rsid w:val="00F44A34"/>
    <w:rsid w:val="00F50013"/>
    <w:rsid w:val="00F50E7E"/>
    <w:rsid w:val="00F535FE"/>
    <w:rsid w:val="00F56063"/>
    <w:rsid w:val="00F64E3C"/>
    <w:rsid w:val="00F67E5E"/>
    <w:rsid w:val="00F72DA4"/>
    <w:rsid w:val="00F776AE"/>
    <w:rsid w:val="00F80C4C"/>
    <w:rsid w:val="00F8137F"/>
    <w:rsid w:val="00F81B9C"/>
    <w:rsid w:val="00F844AC"/>
    <w:rsid w:val="00F84AFE"/>
    <w:rsid w:val="00F84C1E"/>
    <w:rsid w:val="00F85AA8"/>
    <w:rsid w:val="00F86144"/>
    <w:rsid w:val="00F86814"/>
    <w:rsid w:val="00F970A0"/>
    <w:rsid w:val="00FA00D3"/>
    <w:rsid w:val="00FA2BFF"/>
    <w:rsid w:val="00FB09BF"/>
    <w:rsid w:val="00FC28F5"/>
    <w:rsid w:val="00FC3259"/>
    <w:rsid w:val="00FC6715"/>
    <w:rsid w:val="00FC7C82"/>
    <w:rsid w:val="00FD2D84"/>
    <w:rsid w:val="00FD6575"/>
    <w:rsid w:val="00FD706D"/>
    <w:rsid w:val="00FD7628"/>
    <w:rsid w:val="00FE57C2"/>
    <w:rsid w:val="00FF1B58"/>
    <w:rsid w:val="00FF372A"/>
    <w:rsid w:val="00FF72E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B2457C-A305-4ED6-9950-0E50256E3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uiPriority="0"/>
    <w:lsdException w:name="List 2" w:locked="1" w:semiHidden="1" w:unhideWhenUsed="1"/>
    <w:lsdException w:name="List 3" w:locked="1" w:semiHidden="1" w:unhideWhenUsed="1"/>
    <w:lsdException w:name="List 4" w:uiPriority="0"/>
    <w:lsdException w:name="List 5" w:uiPriority="0"/>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uiPriority="0"/>
    <w:lsdException w:name="Date" w:uiPriority="0"/>
    <w:lsdException w:name="Body Text First Indent" w:uiPriority="0"/>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40CA"/>
    <w:pPr>
      <w:spacing w:before="60" w:line="276" w:lineRule="auto"/>
      <w:jc w:val="both"/>
    </w:pPr>
    <w:rPr>
      <w:sz w:val="24"/>
      <w:szCs w:val="24"/>
    </w:rPr>
  </w:style>
  <w:style w:type="paragraph" w:styleId="Nadpis1">
    <w:name w:val="heading 1"/>
    <w:basedOn w:val="Normln"/>
    <w:next w:val="Normln"/>
    <w:link w:val="Nadpis1Char"/>
    <w:uiPriority w:val="99"/>
    <w:qFormat/>
    <w:rsid w:val="00B51465"/>
    <w:pPr>
      <w:keepNext/>
      <w:tabs>
        <w:tab w:val="left" w:pos="540"/>
      </w:tabs>
      <w:spacing w:before="240" w:after="240"/>
      <w:outlineLvl w:val="0"/>
    </w:pPr>
    <w:rPr>
      <w:b/>
      <w:bCs/>
      <w:color w:val="0000FF"/>
      <w:kern w:val="32"/>
      <w:sz w:val="28"/>
      <w:szCs w:val="28"/>
    </w:rPr>
  </w:style>
  <w:style w:type="paragraph" w:styleId="Nadpis2">
    <w:name w:val="heading 2"/>
    <w:basedOn w:val="Normln"/>
    <w:next w:val="Normln"/>
    <w:link w:val="Nadpis2Char"/>
    <w:uiPriority w:val="99"/>
    <w:qFormat/>
    <w:rsid w:val="00B51465"/>
    <w:pPr>
      <w:keepNext/>
      <w:spacing w:before="120"/>
      <w:outlineLvl w:val="1"/>
    </w:pPr>
    <w:rPr>
      <w:b/>
      <w:color w:val="0000FF"/>
      <w:shd w:val="clear" w:color="auto" w:fill="FFFFF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451F2"/>
    <w:rPr>
      <w:rFonts w:ascii="Calibri Light" w:eastAsia="Times New Roman" w:hAnsi="Calibri Light" w:cs="Times New Roman"/>
      <w:b/>
      <w:bCs/>
      <w:kern w:val="32"/>
      <w:sz w:val="32"/>
      <w:szCs w:val="32"/>
    </w:rPr>
  </w:style>
  <w:style w:type="character" w:customStyle="1" w:styleId="Nadpis2Char">
    <w:name w:val="Nadpis 2 Char"/>
    <w:link w:val="Nadpis2"/>
    <w:uiPriority w:val="9"/>
    <w:semiHidden/>
    <w:rsid w:val="00F451F2"/>
    <w:rPr>
      <w:rFonts w:ascii="Calibri Light" w:eastAsia="Times New Roman" w:hAnsi="Calibri Light" w:cs="Times New Roman"/>
      <w:b/>
      <w:bCs/>
      <w:i/>
      <w:iCs/>
      <w:sz w:val="28"/>
      <w:szCs w:val="28"/>
    </w:rPr>
  </w:style>
  <w:style w:type="paragraph" w:customStyle="1" w:styleId="Titulka">
    <w:name w:val="Titulka"/>
    <w:basedOn w:val="Normln"/>
    <w:uiPriority w:val="99"/>
    <w:rsid w:val="00B21514"/>
    <w:pPr>
      <w:jc w:val="center"/>
    </w:pPr>
    <w:rPr>
      <w:rFonts w:ascii="Arial" w:hAnsi="Arial"/>
      <w:b/>
      <w:sz w:val="52"/>
      <w:szCs w:val="52"/>
    </w:rPr>
  </w:style>
  <w:style w:type="paragraph" w:styleId="Obsah1">
    <w:name w:val="toc 1"/>
    <w:basedOn w:val="Normln"/>
    <w:next w:val="Normln"/>
    <w:autoRedefine/>
    <w:uiPriority w:val="39"/>
    <w:rsid w:val="000F3D34"/>
    <w:pPr>
      <w:tabs>
        <w:tab w:val="right" w:leader="dot" w:pos="9344"/>
      </w:tabs>
      <w:ind w:left="284" w:hanging="284"/>
    </w:pPr>
  </w:style>
  <w:style w:type="character" w:styleId="Hypertextovodkaz">
    <w:name w:val="Hyperlink"/>
    <w:uiPriority w:val="99"/>
    <w:rsid w:val="00BA72CC"/>
    <w:rPr>
      <w:rFonts w:cs="Times New Roman"/>
      <w:color w:val="0000FF"/>
      <w:u w:val="single"/>
    </w:rPr>
  </w:style>
  <w:style w:type="paragraph" w:styleId="Zhlav">
    <w:name w:val="header"/>
    <w:basedOn w:val="Normln"/>
    <w:link w:val="ZhlavChar"/>
    <w:uiPriority w:val="99"/>
    <w:rsid w:val="00AD17BF"/>
    <w:pPr>
      <w:tabs>
        <w:tab w:val="center" w:pos="4536"/>
        <w:tab w:val="right" w:pos="9072"/>
      </w:tabs>
    </w:pPr>
  </w:style>
  <w:style w:type="character" w:customStyle="1" w:styleId="ZhlavChar">
    <w:name w:val="Záhlaví Char"/>
    <w:link w:val="Zhlav"/>
    <w:uiPriority w:val="99"/>
    <w:semiHidden/>
    <w:rsid w:val="00F451F2"/>
    <w:rPr>
      <w:sz w:val="24"/>
      <w:szCs w:val="24"/>
    </w:rPr>
  </w:style>
  <w:style w:type="paragraph" w:styleId="Zpat">
    <w:name w:val="footer"/>
    <w:basedOn w:val="Normln"/>
    <w:link w:val="ZpatChar"/>
    <w:uiPriority w:val="99"/>
    <w:rsid w:val="00AD17BF"/>
    <w:pPr>
      <w:tabs>
        <w:tab w:val="center" w:pos="4536"/>
        <w:tab w:val="right" w:pos="9072"/>
      </w:tabs>
    </w:pPr>
  </w:style>
  <w:style w:type="character" w:customStyle="1" w:styleId="ZpatChar">
    <w:name w:val="Zápatí Char"/>
    <w:link w:val="Zpat"/>
    <w:uiPriority w:val="99"/>
    <w:locked/>
    <w:rsid w:val="008A64E5"/>
    <w:rPr>
      <w:sz w:val="24"/>
      <w:lang w:val="cs-CZ" w:eastAsia="cs-CZ"/>
    </w:rPr>
  </w:style>
  <w:style w:type="table" w:styleId="Mkatabulky">
    <w:name w:val="Table Grid"/>
    <w:basedOn w:val="Normlntabulka"/>
    <w:uiPriority w:val="99"/>
    <w:rsid w:val="00AD17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ln"/>
    <w:uiPriority w:val="99"/>
    <w:rsid w:val="00DA3ED5"/>
    <w:pPr>
      <w:spacing w:after="160" w:line="240" w:lineRule="exact"/>
      <w:jc w:val="left"/>
    </w:pPr>
    <w:rPr>
      <w:rFonts w:ascii="Tahoma" w:hAnsi="Tahoma"/>
      <w:sz w:val="20"/>
      <w:szCs w:val="20"/>
      <w:lang w:val="en-US" w:eastAsia="en-US"/>
    </w:rPr>
  </w:style>
  <w:style w:type="character" w:styleId="Odkaznakoment">
    <w:name w:val="annotation reference"/>
    <w:uiPriority w:val="99"/>
    <w:semiHidden/>
    <w:rsid w:val="00C2642F"/>
    <w:rPr>
      <w:rFonts w:cs="Times New Roman"/>
      <w:sz w:val="16"/>
    </w:rPr>
  </w:style>
  <w:style w:type="paragraph" w:styleId="Textkomente">
    <w:name w:val="annotation text"/>
    <w:basedOn w:val="Normln"/>
    <w:link w:val="TextkomenteChar"/>
    <w:uiPriority w:val="99"/>
    <w:semiHidden/>
    <w:rsid w:val="00C2642F"/>
    <w:rPr>
      <w:sz w:val="20"/>
      <w:szCs w:val="20"/>
    </w:rPr>
  </w:style>
  <w:style w:type="character" w:customStyle="1" w:styleId="TextkomenteChar">
    <w:name w:val="Text komentáře Char"/>
    <w:link w:val="Textkomente"/>
    <w:uiPriority w:val="99"/>
    <w:semiHidden/>
    <w:rsid w:val="00F451F2"/>
    <w:rPr>
      <w:sz w:val="20"/>
      <w:szCs w:val="20"/>
    </w:rPr>
  </w:style>
  <w:style w:type="paragraph" w:styleId="Pedmtkomente">
    <w:name w:val="annotation subject"/>
    <w:basedOn w:val="Textkomente"/>
    <w:next w:val="Textkomente"/>
    <w:link w:val="PedmtkomenteChar"/>
    <w:uiPriority w:val="99"/>
    <w:semiHidden/>
    <w:rsid w:val="00C2642F"/>
    <w:rPr>
      <w:b/>
      <w:bCs/>
    </w:rPr>
  </w:style>
  <w:style w:type="character" w:customStyle="1" w:styleId="PedmtkomenteChar">
    <w:name w:val="Předmět komentáře Char"/>
    <w:link w:val="Pedmtkomente"/>
    <w:uiPriority w:val="99"/>
    <w:semiHidden/>
    <w:rsid w:val="00F451F2"/>
    <w:rPr>
      <w:b/>
      <w:bCs/>
      <w:sz w:val="20"/>
      <w:szCs w:val="20"/>
    </w:rPr>
  </w:style>
  <w:style w:type="paragraph" w:styleId="Textbubliny">
    <w:name w:val="Balloon Text"/>
    <w:basedOn w:val="Normln"/>
    <w:link w:val="TextbublinyChar"/>
    <w:uiPriority w:val="99"/>
    <w:semiHidden/>
    <w:rsid w:val="00C2642F"/>
    <w:rPr>
      <w:rFonts w:ascii="Tahoma" w:hAnsi="Tahoma" w:cs="Tahoma"/>
      <w:sz w:val="16"/>
      <w:szCs w:val="16"/>
    </w:rPr>
  </w:style>
  <w:style w:type="character" w:customStyle="1" w:styleId="TextbublinyChar">
    <w:name w:val="Text bubliny Char"/>
    <w:link w:val="Textbubliny"/>
    <w:uiPriority w:val="99"/>
    <w:semiHidden/>
    <w:rsid w:val="00F451F2"/>
    <w:rPr>
      <w:sz w:val="18"/>
      <w:szCs w:val="18"/>
    </w:rPr>
  </w:style>
  <w:style w:type="character" w:styleId="slostrnky">
    <w:name w:val="page number"/>
    <w:uiPriority w:val="99"/>
    <w:rsid w:val="004C4272"/>
    <w:rPr>
      <w:rFonts w:cs="Times New Roman"/>
    </w:rPr>
  </w:style>
  <w:style w:type="paragraph" w:styleId="Textpoznpodarou">
    <w:name w:val="footnote text"/>
    <w:basedOn w:val="Normln"/>
    <w:link w:val="TextpoznpodarouChar1"/>
    <w:uiPriority w:val="99"/>
    <w:semiHidden/>
    <w:rsid w:val="00350DAA"/>
    <w:rPr>
      <w:sz w:val="20"/>
      <w:szCs w:val="20"/>
    </w:rPr>
  </w:style>
  <w:style w:type="character" w:customStyle="1" w:styleId="LucieChroustov">
    <w:name w:val="Lucie Chroustová"/>
    <w:uiPriority w:val="99"/>
    <w:semiHidden/>
    <w:rsid w:val="00114FD4"/>
    <w:rPr>
      <w:rFonts w:ascii="Arial" w:hAnsi="Arial"/>
      <w:color w:val="auto"/>
      <w:sz w:val="20"/>
    </w:rPr>
  </w:style>
  <w:style w:type="character" w:styleId="Znakapoznpodarou">
    <w:name w:val="footnote reference"/>
    <w:uiPriority w:val="99"/>
    <w:semiHidden/>
    <w:rsid w:val="00350DAA"/>
    <w:rPr>
      <w:rFonts w:cs="Times New Roman"/>
      <w:vertAlign w:val="superscript"/>
    </w:rPr>
  </w:style>
  <w:style w:type="character" w:customStyle="1" w:styleId="value">
    <w:name w:val="value"/>
    <w:uiPriority w:val="99"/>
    <w:rsid w:val="00A57BA2"/>
    <w:rPr>
      <w:rFonts w:cs="Times New Roman"/>
    </w:rPr>
  </w:style>
  <w:style w:type="character" w:customStyle="1" w:styleId="Tabulka10b">
    <w:name w:val="Tabulka 10 b"/>
    <w:uiPriority w:val="99"/>
    <w:rsid w:val="008A64E5"/>
    <w:rPr>
      <w:sz w:val="20"/>
    </w:rPr>
  </w:style>
  <w:style w:type="character" w:customStyle="1" w:styleId="TextpoznpodarouChar1">
    <w:name w:val="Text pozn. pod čarou Char1"/>
    <w:link w:val="Textpoznpodarou"/>
    <w:uiPriority w:val="99"/>
    <w:locked/>
    <w:rsid w:val="008A64E5"/>
    <w:rPr>
      <w:lang w:val="cs-CZ" w:eastAsia="cs-CZ"/>
    </w:rPr>
  </w:style>
  <w:style w:type="paragraph" w:customStyle="1" w:styleId="CharCharCharCharCharCharCharChar1CharCharCharCharCharCharCharCharChar">
    <w:name w:val="Char Char Char Char Char Char Char Char1 Char Char Char Char Char Char Char Char Char"/>
    <w:basedOn w:val="Normln"/>
    <w:uiPriority w:val="99"/>
    <w:rsid w:val="00B277C8"/>
    <w:pPr>
      <w:spacing w:after="160" w:line="240" w:lineRule="exact"/>
      <w:jc w:val="left"/>
    </w:pPr>
    <w:rPr>
      <w:rFonts w:ascii="Tahoma" w:hAnsi="Tahoma"/>
      <w:sz w:val="20"/>
      <w:szCs w:val="20"/>
      <w:lang w:val="en-US" w:eastAsia="en-US"/>
    </w:rPr>
  </w:style>
  <w:style w:type="paragraph" w:customStyle="1" w:styleId="Default">
    <w:name w:val="Default"/>
    <w:uiPriority w:val="99"/>
    <w:rsid w:val="00B0461F"/>
    <w:pPr>
      <w:autoSpaceDE w:val="0"/>
      <w:autoSpaceDN w:val="0"/>
      <w:adjustRightInd w:val="0"/>
    </w:pPr>
    <w:rPr>
      <w:color w:val="000000"/>
      <w:sz w:val="24"/>
      <w:szCs w:val="24"/>
    </w:rPr>
  </w:style>
  <w:style w:type="paragraph" w:styleId="Prosttext">
    <w:name w:val="Plain Text"/>
    <w:basedOn w:val="Normln"/>
    <w:link w:val="ProsttextChar"/>
    <w:uiPriority w:val="99"/>
    <w:rsid w:val="004B3E25"/>
    <w:pPr>
      <w:jc w:val="left"/>
    </w:pPr>
    <w:rPr>
      <w:rFonts w:ascii="Courier New" w:hAnsi="Courier New" w:cs="Courier New"/>
      <w:sz w:val="20"/>
      <w:szCs w:val="20"/>
    </w:rPr>
  </w:style>
  <w:style w:type="character" w:customStyle="1" w:styleId="ProsttextChar">
    <w:name w:val="Prostý text Char"/>
    <w:link w:val="Prosttext"/>
    <w:uiPriority w:val="99"/>
    <w:semiHidden/>
    <w:rsid w:val="00F451F2"/>
    <w:rPr>
      <w:rFonts w:ascii="Courier New" w:hAnsi="Courier New" w:cs="Courier New"/>
      <w:sz w:val="20"/>
      <w:szCs w:val="20"/>
    </w:rPr>
  </w:style>
  <w:style w:type="paragraph" w:styleId="Normlnweb">
    <w:name w:val="Normal (Web)"/>
    <w:basedOn w:val="Normln"/>
    <w:uiPriority w:val="99"/>
    <w:rsid w:val="007441E8"/>
    <w:pPr>
      <w:spacing w:before="100" w:beforeAutospacing="1" w:after="100" w:afterAutospacing="1"/>
      <w:jc w:val="left"/>
    </w:pPr>
  </w:style>
  <w:style w:type="character" w:customStyle="1" w:styleId="TextvysvtlivekChar">
    <w:name w:val="Text vysvětlivek Char"/>
    <w:link w:val="Textvysvtlivek"/>
    <w:uiPriority w:val="99"/>
    <w:semiHidden/>
    <w:locked/>
    <w:rsid w:val="007801E4"/>
    <w:rPr>
      <w:lang w:val="cs-CZ" w:eastAsia="cs-CZ"/>
    </w:rPr>
  </w:style>
  <w:style w:type="paragraph" w:styleId="Textvysvtlivek">
    <w:name w:val="endnote text"/>
    <w:basedOn w:val="Normln"/>
    <w:link w:val="TextvysvtlivekChar"/>
    <w:uiPriority w:val="99"/>
    <w:semiHidden/>
    <w:rsid w:val="007801E4"/>
    <w:rPr>
      <w:sz w:val="20"/>
      <w:szCs w:val="20"/>
    </w:rPr>
  </w:style>
  <w:style w:type="character" w:customStyle="1" w:styleId="TextvysvtlivekChar1">
    <w:name w:val="Text vysvětlivek Char1"/>
    <w:uiPriority w:val="99"/>
    <w:semiHidden/>
    <w:rsid w:val="00F451F2"/>
    <w:rPr>
      <w:sz w:val="20"/>
      <w:szCs w:val="20"/>
    </w:rPr>
  </w:style>
  <w:style w:type="paragraph" w:customStyle="1" w:styleId="Normlnodsazen">
    <w:name w:val="Normální odsazené"/>
    <w:basedOn w:val="Normln"/>
    <w:uiPriority w:val="99"/>
    <w:rsid w:val="007801E4"/>
    <w:pPr>
      <w:spacing w:after="60" w:line="288" w:lineRule="auto"/>
      <w:ind w:left="360" w:firstLine="540"/>
    </w:pPr>
    <w:rPr>
      <w:sz w:val="22"/>
      <w:szCs w:val="20"/>
    </w:rPr>
  </w:style>
  <w:style w:type="character" w:styleId="Odkaznavysvtlivky">
    <w:name w:val="endnote reference"/>
    <w:uiPriority w:val="99"/>
    <w:semiHidden/>
    <w:rsid w:val="007801E4"/>
    <w:rPr>
      <w:rFonts w:ascii="Times New Roman" w:hAnsi="Times New Roman" w:cs="Times New Roman"/>
      <w:vertAlign w:val="superscript"/>
    </w:rPr>
  </w:style>
  <w:style w:type="character" w:customStyle="1" w:styleId="Styl1-NzevmateriluChar">
    <w:name w:val="Styl1 - Název materiálu Char"/>
    <w:link w:val="Styl1-Nzevmaterilu"/>
    <w:uiPriority w:val="99"/>
    <w:locked/>
    <w:rsid w:val="00386F05"/>
    <w:rPr>
      <w:rFonts w:ascii="Arial" w:hAnsi="Arial"/>
      <w:b/>
      <w:noProof/>
      <w:sz w:val="24"/>
    </w:rPr>
  </w:style>
  <w:style w:type="paragraph" w:customStyle="1" w:styleId="Styl1-Nzevmaterilu">
    <w:name w:val="Styl1 - Název materiálu"/>
    <w:basedOn w:val="Normln"/>
    <w:link w:val="Styl1-NzevmateriluChar"/>
    <w:uiPriority w:val="99"/>
    <w:rsid w:val="00386F05"/>
    <w:pPr>
      <w:overflowPunct w:val="0"/>
      <w:autoSpaceDE w:val="0"/>
      <w:autoSpaceDN w:val="0"/>
      <w:adjustRightInd w:val="0"/>
      <w:jc w:val="center"/>
    </w:pPr>
    <w:rPr>
      <w:rFonts w:ascii="Arial" w:hAnsi="Arial"/>
      <w:b/>
      <w:noProof/>
      <w:sz w:val="22"/>
    </w:rPr>
  </w:style>
  <w:style w:type="character" w:customStyle="1" w:styleId="TextpoznpodarouChar">
    <w:name w:val="Text pozn. pod čarou Char"/>
    <w:uiPriority w:val="99"/>
    <w:semiHidden/>
    <w:locked/>
    <w:rsid w:val="00122755"/>
    <w:rPr>
      <w:lang w:val="cs-CZ" w:eastAsia="cs-CZ"/>
    </w:rPr>
  </w:style>
  <w:style w:type="paragraph" w:styleId="Obsah2">
    <w:name w:val="toc 2"/>
    <w:basedOn w:val="Normln"/>
    <w:next w:val="Normln"/>
    <w:autoRedefine/>
    <w:uiPriority w:val="39"/>
    <w:rsid w:val="00A03CEA"/>
    <w:pPr>
      <w:ind w:left="240"/>
    </w:pPr>
  </w:style>
  <w:style w:type="character" w:styleId="Sledovanodkaz">
    <w:name w:val="FollowedHyperlink"/>
    <w:basedOn w:val="Standardnpsmoodstavce"/>
    <w:uiPriority w:val="99"/>
    <w:semiHidden/>
    <w:unhideWhenUsed/>
    <w:locked/>
    <w:rsid w:val="006D67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66726">
      <w:marLeft w:val="0"/>
      <w:marRight w:val="0"/>
      <w:marTop w:val="0"/>
      <w:marBottom w:val="0"/>
      <w:divBdr>
        <w:top w:val="none" w:sz="0" w:space="0" w:color="auto"/>
        <w:left w:val="none" w:sz="0" w:space="0" w:color="auto"/>
        <w:bottom w:val="none" w:sz="0" w:space="0" w:color="auto"/>
        <w:right w:val="none" w:sz="0" w:space="0" w:color="auto"/>
      </w:divBdr>
    </w:div>
    <w:div w:id="99766727">
      <w:marLeft w:val="0"/>
      <w:marRight w:val="0"/>
      <w:marTop w:val="0"/>
      <w:marBottom w:val="0"/>
      <w:divBdr>
        <w:top w:val="none" w:sz="0" w:space="0" w:color="auto"/>
        <w:left w:val="none" w:sz="0" w:space="0" w:color="auto"/>
        <w:bottom w:val="none" w:sz="0" w:space="0" w:color="auto"/>
        <w:right w:val="none" w:sz="0" w:space="0" w:color="auto"/>
      </w:divBdr>
    </w:div>
    <w:div w:id="99766731">
      <w:marLeft w:val="0"/>
      <w:marRight w:val="0"/>
      <w:marTop w:val="0"/>
      <w:marBottom w:val="0"/>
      <w:divBdr>
        <w:top w:val="none" w:sz="0" w:space="0" w:color="auto"/>
        <w:left w:val="none" w:sz="0" w:space="0" w:color="auto"/>
        <w:bottom w:val="none" w:sz="0" w:space="0" w:color="auto"/>
        <w:right w:val="none" w:sz="0" w:space="0" w:color="auto"/>
      </w:divBdr>
    </w:div>
    <w:div w:id="99766732">
      <w:marLeft w:val="0"/>
      <w:marRight w:val="0"/>
      <w:marTop w:val="0"/>
      <w:marBottom w:val="0"/>
      <w:divBdr>
        <w:top w:val="none" w:sz="0" w:space="0" w:color="auto"/>
        <w:left w:val="none" w:sz="0" w:space="0" w:color="auto"/>
        <w:bottom w:val="none" w:sz="0" w:space="0" w:color="auto"/>
        <w:right w:val="none" w:sz="0" w:space="0" w:color="auto"/>
      </w:divBdr>
    </w:div>
    <w:div w:id="99766735">
      <w:marLeft w:val="0"/>
      <w:marRight w:val="0"/>
      <w:marTop w:val="0"/>
      <w:marBottom w:val="0"/>
      <w:divBdr>
        <w:top w:val="none" w:sz="0" w:space="0" w:color="auto"/>
        <w:left w:val="none" w:sz="0" w:space="0" w:color="auto"/>
        <w:bottom w:val="none" w:sz="0" w:space="0" w:color="auto"/>
        <w:right w:val="none" w:sz="0" w:space="0" w:color="auto"/>
      </w:divBdr>
    </w:div>
    <w:div w:id="99766736">
      <w:marLeft w:val="0"/>
      <w:marRight w:val="0"/>
      <w:marTop w:val="0"/>
      <w:marBottom w:val="0"/>
      <w:divBdr>
        <w:top w:val="none" w:sz="0" w:space="0" w:color="auto"/>
        <w:left w:val="none" w:sz="0" w:space="0" w:color="auto"/>
        <w:bottom w:val="none" w:sz="0" w:space="0" w:color="auto"/>
        <w:right w:val="none" w:sz="0" w:space="0" w:color="auto"/>
      </w:divBdr>
      <w:divsChild>
        <w:div w:id="99766728">
          <w:marLeft w:val="0"/>
          <w:marRight w:val="0"/>
          <w:marTop w:val="0"/>
          <w:marBottom w:val="0"/>
          <w:divBdr>
            <w:top w:val="none" w:sz="0" w:space="0" w:color="auto"/>
            <w:left w:val="none" w:sz="0" w:space="0" w:color="auto"/>
            <w:bottom w:val="none" w:sz="0" w:space="0" w:color="auto"/>
            <w:right w:val="none" w:sz="0" w:space="0" w:color="auto"/>
          </w:divBdr>
        </w:div>
        <w:div w:id="99766729">
          <w:marLeft w:val="0"/>
          <w:marRight w:val="0"/>
          <w:marTop w:val="0"/>
          <w:marBottom w:val="0"/>
          <w:divBdr>
            <w:top w:val="none" w:sz="0" w:space="0" w:color="auto"/>
            <w:left w:val="none" w:sz="0" w:space="0" w:color="auto"/>
            <w:bottom w:val="none" w:sz="0" w:space="0" w:color="auto"/>
            <w:right w:val="none" w:sz="0" w:space="0" w:color="auto"/>
          </w:divBdr>
        </w:div>
        <w:div w:id="99766730">
          <w:marLeft w:val="0"/>
          <w:marRight w:val="0"/>
          <w:marTop w:val="0"/>
          <w:marBottom w:val="0"/>
          <w:divBdr>
            <w:top w:val="none" w:sz="0" w:space="0" w:color="auto"/>
            <w:left w:val="none" w:sz="0" w:space="0" w:color="auto"/>
            <w:bottom w:val="none" w:sz="0" w:space="0" w:color="auto"/>
            <w:right w:val="none" w:sz="0" w:space="0" w:color="auto"/>
          </w:divBdr>
        </w:div>
        <w:div w:id="99766733">
          <w:marLeft w:val="0"/>
          <w:marRight w:val="0"/>
          <w:marTop w:val="0"/>
          <w:marBottom w:val="0"/>
          <w:divBdr>
            <w:top w:val="none" w:sz="0" w:space="0" w:color="auto"/>
            <w:left w:val="none" w:sz="0" w:space="0" w:color="auto"/>
            <w:bottom w:val="none" w:sz="0" w:space="0" w:color="auto"/>
            <w:right w:val="none" w:sz="0" w:space="0" w:color="auto"/>
          </w:divBdr>
        </w:div>
        <w:div w:id="99766734">
          <w:marLeft w:val="0"/>
          <w:marRight w:val="0"/>
          <w:marTop w:val="0"/>
          <w:marBottom w:val="0"/>
          <w:divBdr>
            <w:top w:val="none" w:sz="0" w:space="0" w:color="auto"/>
            <w:left w:val="none" w:sz="0" w:space="0" w:color="auto"/>
            <w:bottom w:val="none" w:sz="0" w:space="0" w:color="auto"/>
            <w:right w:val="none" w:sz="0" w:space="0" w:color="auto"/>
          </w:divBdr>
        </w:div>
        <w:div w:id="99766737">
          <w:marLeft w:val="0"/>
          <w:marRight w:val="0"/>
          <w:marTop w:val="0"/>
          <w:marBottom w:val="0"/>
          <w:divBdr>
            <w:top w:val="none" w:sz="0" w:space="0" w:color="auto"/>
            <w:left w:val="none" w:sz="0" w:space="0" w:color="auto"/>
            <w:bottom w:val="none" w:sz="0" w:space="0" w:color="auto"/>
            <w:right w:val="none" w:sz="0" w:space="0" w:color="auto"/>
          </w:divBdr>
        </w:div>
        <w:div w:id="99766740">
          <w:marLeft w:val="0"/>
          <w:marRight w:val="0"/>
          <w:marTop w:val="0"/>
          <w:marBottom w:val="0"/>
          <w:divBdr>
            <w:top w:val="none" w:sz="0" w:space="0" w:color="auto"/>
            <w:left w:val="none" w:sz="0" w:space="0" w:color="auto"/>
            <w:bottom w:val="none" w:sz="0" w:space="0" w:color="auto"/>
            <w:right w:val="none" w:sz="0" w:space="0" w:color="auto"/>
          </w:divBdr>
        </w:div>
        <w:div w:id="99766741">
          <w:marLeft w:val="0"/>
          <w:marRight w:val="0"/>
          <w:marTop w:val="0"/>
          <w:marBottom w:val="0"/>
          <w:divBdr>
            <w:top w:val="none" w:sz="0" w:space="0" w:color="auto"/>
            <w:left w:val="none" w:sz="0" w:space="0" w:color="auto"/>
            <w:bottom w:val="none" w:sz="0" w:space="0" w:color="auto"/>
            <w:right w:val="none" w:sz="0" w:space="0" w:color="auto"/>
          </w:divBdr>
        </w:div>
        <w:div w:id="99766742">
          <w:marLeft w:val="0"/>
          <w:marRight w:val="0"/>
          <w:marTop w:val="0"/>
          <w:marBottom w:val="0"/>
          <w:divBdr>
            <w:top w:val="none" w:sz="0" w:space="0" w:color="auto"/>
            <w:left w:val="none" w:sz="0" w:space="0" w:color="auto"/>
            <w:bottom w:val="none" w:sz="0" w:space="0" w:color="auto"/>
            <w:right w:val="none" w:sz="0" w:space="0" w:color="auto"/>
          </w:divBdr>
        </w:div>
        <w:div w:id="99766746">
          <w:marLeft w:val="0"/>
          <w:marRight w:val="0"/>
          <w:marTop w:val="0"/>
          <w:marBottom w:val="0"/>
          <w:divBdr>
            <w:top w:val="none" w:sz="0" w:space="0" w:color="auto"/>
            <w:left w:val="none" w:sz="0" w:space="0" w:color="auto"/>
            <w:bottom w:val="none" w:sz="0" w:space="0" w:color="auto"/>
            <w:right w:val="none" w:sz="0" w:space="0" w:color="auto"/>
          </w:divBdr>
        </w:div>
        <w:div w:id="99766749">
          <w:marLeft w:val="0"/>
          <w:marRight w:val="0"/>
          <w:marTop w:val="0"/>
          <w:marBottom w:val="0"/>
          <w:divBdr>
            <w:top w:val="none" w:sz="0" w:space="0" w:color="auto"/>
            <w:left w:val="none" w:sz="0" w:space="0" w:color="auto"/>
            <w:bottom w:val="none" w:sz="0" w:space="0" w:color="auto"/>
            <w:right w:val="none" w:sz="0" w:space="0" w:color="auto"/>
          </w:divBdr>
        </w:div>
        <w:div w:id="99766751">
          <w:marLeft w:val="0"/>
          <w:marRight w:val="0"/>
          <w:marTop w:val="0"/>
          <w:marBottom w:val="0"/>
          <w:divBdr>
            <w:top w:val="none" w:sz="0" w:space="0" w:color="auto"/>
            <w:left w:val="none" w:sz="0" w:space="0" w:color="auto"/>
            <w:bottom w:val="none" w:sz="0" w:space="0" w:color="auto"/>
            <w:right w:val="none" w:sz="0" w:space="0" w:color="auto"/>
          </w:divBdr>
        </w:div>
        <w:div w:id="99766752">
          <w:marLeft w:val="0"/>
          <w:marRight w:val="0"/>
          <w:marTop w:val="0"/>
          <w:marBottom w:val="0"/>
          <w:divBdr>
            <w:top w:val="none" w:sz="0" w:space="0" w:color="auto"/>
            <w:left w:val="none" w:sz="0" w:space="0" w:color="auto"/>
            <w:bottom w:val="none" w:sz="0" w:space="0" w:color="auto"/>
            <w:right w:val="none" w:sz="0" w:space="0" w:color="auto"/>
          </w:divBdr>
        </w:div>
        <w:div w:id="99766753">
          <w:marLeft w:val="0"/>
          <w:marRight w:val="0"/>
          <w:marTop w:val="0"/>
          <w:marBottom w:val="0"/>
          <w:divBdr>
            <w:top w:val="none" w:sz="0" w:space="0" w:color="auto"/>
            <w:left w:val="none" w:sz="0" w:space="0" w:color="auto"/>
            <w:bottom w:val="none" w:sz="0" w:space="0" w:color="auto"/>
            <w:right w:val="none" w:sz="0" w:space="0" w:color="auto"/>
          </w:divBdr>
        </w:div>
        <w:div w:id="99766755">
          <w:marLeft w:val="0"/>
          <w:marRight w:val="0"/>
          <w:marTop w:val="0"/>
          <w:marBottom w:val="0"/>
          <w:divBdr>
            <w:top w:val="none" w:sz="0" w:space="0" w:color="auto"/>
            <w:left w:val="none" w:sz="0" w:space="0" w:color="auto"/>
            <w:bottom w:val="none" w:sz="0" w:space="0" w:color="auto"/>
            <w:right w:val="none" w:sz="0" w:space="0" w:color="auto"/>
          </w:divBdr>
        </w:div>
        <w:div w:id="99766758">
          <w:marLeft w:val="0"/>
          <w:marRight w:val="0"/>
          <w:marTop w:val="0"/>
          <w:marBottom w:val="0"/>
          <w:divBdr>
            <w:top w:val="none" w:sz="0" w:space="0" w:color="auto"/>
            <w:left w:val="none" w:sz="0" w:space="0" w:color="auto"/>
            <w:bottom w:val="none" w:sz="0" w:space="0" w:color="auto"/>
            <w:right w:val="none" w:sz="0" w:space="0" w:color="auto"/>
          </w:divBdr>
        </w:div>
        <w:div w:id="99766760">
          <w:marLeft w:val="0"/>
          <w:marRight w:val="0"/>
          <w:marTop w:val="0"/>
          <w:marBottom w:val="0"/>
          <w:divBdr>
            <w:top w:val="none" w:sz="0" w:space="0" w:color="auto"/>
            <w:left w:val="none" w:sz="0" w:space="0" w:color="auto"/>
            <w:bottom w:val="none" w:sz="0" w:space="0" w:color="auto"/>
            <w:right w:val="none" w:sz="0" w:space="0" w:color="auto"/>
          </w:divBdr>
        </w:div>
        <w:div w:id="99766763">
          <w:marLeft w:val="0"/>
          <w:marRight w:val="0"/>
          <w:marTop w:val="0"/>
          <w:marBottom w:val="0"/>
          <w:divBdr>
            <w:top w:val="none" w:sz="0" w:space="0" w:color="auto"/>
            <w:left w:val="none" w:sz="0" w:space="0" w:color="auto"/>
            <w:bottom w:val="none" w:sz="0" w:space="0" w:color="auto"/>
            <w:right w:val="none" w:sz="0" w:space="0" w:color="auto"/>
          </w:divBdr>
        </w:div>
      </w:divsChild>
    </w:div>
    <w:div w:id="99766738">
      <w:marLeft w:val="0"/>
      <w:marRight w:val="0"/>
      <w:marTop w:val="0"/>
      <w:marBottom w:val="0"/>
      <w:divBdr>
        <w:top w:val="none" w:sz="0" w:space="0" w:color="auto"/>
        <w:left w:val="none" w:sz="0" w:space="0" w:color="auto"/>
        <w:bottom w:val="none" w:sz="0" w:space="0" w:color="auto"/>
        <w:right w:val="none" w:sz="0" w:space="0" w:color="auto"/>
      </w:divBdr>
    </w:div>
    <w:div w:id="99766739">
      <w:marLeft w:val="0"/>
      <w:marRight w:val="0"/>
      <w:marTop w:val="0"/>
      <w:marBottom w:val="0"/>
      <w:divBdr>
        <w:top w:val="none" w:sz="0" w:space="0" w:color="auto"/>
        <w:left w:val="none" w:sz="0" w:space="0" w:color="auto"/>
        <w:bottom w:val="none" w:sz="0" w:space="0" w:color="auto"/>
        <w:right w:val="none" w:sz="0" w:space="0" w:color="auto"/>
      </w:divBdr>
    </w:div>
    <w:div w:id="99766743">
      <w:marLeft w:val="0"/>
      <w:marRight w:val="0"/>
      <w:marTop w:val="0"/>
      <w:marBottom w:val="0"/>
      <w:divBdr>
        <w:top w:val="none" w:sz="0" w:space="0" w:color="auto"/>
        <w:left w:val="none" w:sz="0" w:space="0" w:color="auto"/>
        <w:bottom w:val="none" w:sz="0" w:space="0" w:color="auto"/>
        <w:right w:val="none" w:sz="0" w:space="0" w:color="auto"/>
      </w:divBdr>
    </w:div>
    <w:div w:id="99766744">
      <w:marLeft w:val="0"/>
      <w:marRight w:val="0"/>
      <w:marTop w:val="0"/>
      <w:marBottom w:val="0"/>
      <w:divBdr>
        <w:top w:val="none" w:sz="0" w:space="0" w:color="auto"/>
        <w:left w:val="none" w:sz="0" w:space="0" w:color="auto"/>
        <w:bottom w:val="none" w:sz="0" w:space="0" w:color="auto"/>
        <w:right w:val="none" w:sz="0" w:space="0" w:color="auto"/>
      </w:divBdr>
    </w:div>
    <w:div w:id="99766745">
      <w:marLeft w:val="0"/>
      <w:marRight w:val="0"/>
      <w:marTop w:val="0"/>
      <w:marBottom w:val="0"/>
      <w:divBdr>
        <w:top w:val="none" w:sz="0" w:space="0" w:color="auto"/>
        <w:left w:val="none" w:sz="0" w:space="0" w:color="auto"/>
        <w:bottom w:val="none" w:sz="0" w:space="0" w:color="auto"/>
        <w:right w:val="none" w:sz="0" w:space="0" w:color="auto"/>
      </w:divBdr>
    </w:div>
    <w:div w:id="99766747">
      <w:marLeft w:val="0"/>
      <w:marRight w:val="0"/>
      <w:marTop w:val="0"/>
      <w:marBottom w:val="0"/>
      <w:divBdr>
        <w:top w:val="none" w:sz="0" w:space="0" w:color="auto"/>
        <w:left w:val="none" w:sz="0" w:space="0" w:color="auto"/>
        <w:bottom w:val="none" w:sz="0" w:space="0" w:color="auto"/>
        <w:right w:val="none" w:sz="0" w:space="0" w:color="auto"/>
      </w:divBdr>
    </w:div>
    <w:div w:id="99766748">
      <w:marLeft w:val="0"/>
      <w:marRight w:val="0"/>
      <w:marTop w:val="0"/>
      <w:marBottom w:val="0"/>
      <w:divBdr>
        <w:top w:val="none" w:sz="0" w:space="0" w:color="auto"/>
        <w:left w:val="none" w:sz="0" w:space="0" w:color="auto"/>
        <w:bottom w:val="none" w:sz="0" w:space="0" w:color="auto"/>
        <w:right w:val="none" w:sz="0" w:space="0" w:color="auto"/>
      </w:divBdr>
    </w:div>
    <w:div w:id="99766750">
      <w:marLeft w:val="0"/>
      <w:marRight w:val="0"/>
      <w:marTop w:val="0"/>
      <w:marBottom w:val="0"/>
      <w:divBdr>
        <w:top w:val="none" w:sz="0" w:space="0" w:color="auto"/>
        <w:left w:val="none" w:sz="0" w:space="0" w:color="auto"/>
        <w:bottom w:val="none" w:sz="0" w:space="0" w:color="auto"/>
        <w:right w:val="none" w:sz="0" w:space="0" w:color="auto"/>
      </w:divBdr>
    </w:div>
    <w:div w:id="99766754">
      <w:marLeft w:val="0"/>
      <w:marRight w:val="0"/>
      <w:marTop w:val="0"/>
      <w:marBottom w:val="0"/>
      <w:divBdr>
        <w:top w:val="none" w:sz="0" w:space="0" w:color="auto"/>
        <w:left w:val="none" w:sz="0" w:space="0" w:color="auto"/>
        <w:bottom w:val="none" w:sz="0" w:space="0" w:color="auto"/>
        <w:right w:val="none" w:sz="0" w:space="0" w:color="auto"/>
      </w:divBdr>
    </w:div>
    <w:div w:id="99766756">
      <w:marLeft w:val="0"/>
      <w:marRight w:val="0"/>
      <w:marTop w:val="0"/>
      <w:marBottom w:val="0"/>
      <w:divBdr>
        <w:top w:val="none" w:sz="0" w:space="0" w:color="auto"/>
        <w:left w:val="none" w:sz="0" w:space="0" w:color="auto"/>
        <w:bottom w:val="none" w:sz="0" w:space="0" w:color="auto"/>
        <w:right w:val="none" w:sz="0" w:space="0" w:color="auto"/>
      </w:divBdr>
    </w:div>
    <w:div w:id="99766757">
      <w:marLeft w:val="0"/>
      <w:marRight w:val="0"/>
      <w:marTop w:val="0"/>
      <w:marBottom w:val="0"/>
      <w:divBdr>
        <w:top w:val="none" w:sz="0" w:space="0" w:color="auto"/>
        <w:left w:val="none" w:sz="0" w:space="0" w:color="auto"/>
        <w:bottom w:val="none" w:sz="0" w:space="0" w:color="auto"/>
        <w:right w:val="none" w:sz="0" w:space="0" w:color="auto"/>
      </w:divBdr>
    </w:div>
    <w:div w:id="99766759">
      <w:marLeft w:val="0"/>
      <w:marRight w:val="0"/>
      <w:marTop w:val="0"/>
      <w:marBottom w:val="0"/>
      <w:divBdr>
        <w:top w:val="none" w:sz="0" w:space="0" w:color="auto"/>
        <w:left w:val="none" w:sz="0" w:space="0" w:color="auto"/>
        <w:bottom w:val="none" w:sz="0" w:space="0" w:color="auto"/>
        <w:right w:val="none" w:sz="0" w:space="0" w:color="auto"/>
      </w:divBdr>
    </w:div>
    <w:div w:id="99766761">
      <w:marLeft w:val="0"/>
      <w:marRight w:val="0"/>
      <w:marTop w:val="0"/>
      <w:marBottom w:val="0"/>
      <w:divBdr>
        <w:top w:val="none" w:sz="0" w:space="0" w:color="auto"/>
        <w:left w:val="none" w:sz="0" w:space="0" w:color="auto"/>
        <w:bottom w:val="none" w:sz="0" w:space="0" w:color="auto"/>
        <w:right w:val="none" w:sz="0" w:space="0" w:color="auto"/>
      </w:divBdr>
    </w:div>
    <w:div w:id="997667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kcr.cz/meziresortni-koncepce-aplikovaneho-vyzkumu-a-vyvoje-narodni-a-kulturni-identity-na-leta-2023-2030-2440.html" TargetMode="External"/><Relationship Id="rId13" Type="http://schemas.openxmlformats.org/officeDocument/2006/relationships/hyperlink" Target="http://www.vyzkum.cz/FrontClanek.aspx?idsekce=799796" TargetMode="External"/><Relationship Id="rId18" Type="http://schemas.openxmlformats.org/officeDocument/2006/relationships/hyperlink" Target="http://www.vyzkum.cz/FrontClanek.aspx?idsekce=799796" TargetMode="External"/><Relationship Id="rId26" Type="http://schemas.openxmlformats.org/officeDocument/2006/relationships/hyperlink" Target="http://www.vyzkum.cz/FrontClanek.aspx?idsekce=799796" TargetMode="External"/><Relationship Id="rId3" Type="http://schemas.openxmlformats.org/officeDocument/2006/relationships/settings" Target="settings.xml"/><Relationship Id="rId21" Type="http://schemas.openxmlformats.org/officeDocument/2006/relationships/hyperlink" Target="https://cs.wikipedia.org/wiki/N%C3%A1rod" TargetMode="External"/><Relationship Id="rId7" Type="http://schemas.openxmlformats.org/officeDocument/2006/relationships/image" Target="media/image1.emf"/><Relationship Id="rId12" Type="http://schemas.openxmlformats.org/officeDocument/2006/relationships/hyperlink" Target="http://www.vyzkum.cz/FrontClanek.aspx?idsekce=799796" TargetMode="External"/><Relationship Id="rId17" Type="http://schemas.openxmlformats.org/officeDocument/2006/relationships/hyperlink" Target="http://www.vyzkum.cz/FrontClanek.aspx?idsekce=799796" TargetMode="External"/><Relationship Id="rId25" Type="http://schemas.openxmlformats.org/officeDocument/2006/relationships/hyperlink" Target="https://www.mkcr.cz/postup-certifikace-metodik-pamatkovych-postupu-a-special-map-s-odbor-obsahem-jako-uznatelnych-vysledku-vavai-z-podpory-mk-862.html" TargetMode="External"/><Relationship Id="rId2" Type="http://schemas.openxmlformats.org/officeDocument/2006/relationships/styles" Target="styles.xml"/><Relationship Id="rId16" Type="http://schemas.openxmlformats.org/officeDocument/2006/relationships/hyperlink" Target="https://www.mkcr.cz/postup-certifikace-metodik-pamatkovych-postupu-a-special-map-s-odbor-obsahem-jako-uznatelnych-vysledku-vavai-z-podpory-mk-862.html" TargetMode="External"/><Relationship Id="rId20" Type="http://schemas.openxmlformats.org/officeDocument/2006/relationships/hyperlink" Target="http://www.vyzkum.cz/FrontClanek.aspx?idsekce=799796"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yzkum.cz/FrontClanek.aspx?idsekce=799796" TargetMode="External"/><Relationship Id="rId24" Type="http://schemas.openxmlformats.org/officeDocument/2006/relationships/hyperlink" Target="http://www.vyzkum.cz/FrontClanek.aspx?idsekce=799796" TargetMode="External"/><Relationship Id="rId5" Type="http://schemas.openxmlformats.org/officeDocument/2006/relationships/footnotes" Target="footnotes.xml"/><Relationship Id="rId15" Type="http://schemas.openxmlformats.org/officeDocument/2006/relationships/hyperlink" Target="https://www.mkcr.cz/postup-certifikace-metodik-pamatkovych-postupu-a-special-map-s-odbor-obsahem-jako-uznatelnych-vysledku-vavai-z-podpory-mk-862.html" TargetMode="External"/><Relationship Id="rId23" Type="http://schemas.openxmlformats.org/officeDocument/2006/relationships/hyperlink" Target="https://www.mkcr.cz/doc/cms_library/rozhodnuti_mk-vs-2020-naki-ii_15-11-2019_aprobovano-ministrem-mk-11459.docx" TargetMode="External"/><Relationship Id="rId28" Type="http://schemas.openxmlformats.org/officeDocument/2006/relationships/footer" Target="footer1.xml"/><Relationship Id="rId10" Type="http://schemas.openxmlformats.org/officeDocument/2006/relationships/hyperlink" Target="http://www.vyzkum.cz/FrontClanek.aspx?idsekce=799796" TargetMode="External"/><Relationship Id="rId19" Type="http://schemas.openxmlformats.org/officeDocument/2006/relationships/hyperlink" Target="http://www.vyzkum.cz/FrontClanek.aspx?idsekce=79979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smt.cz/vyzkum-a-vyvoj-2/seznam-vyzkumnych-organizaci" TargetMode="External"/><Relationship Id="rId14" Type="http://schemas.openxmlformats.org/officeDocument/2006/relationships/hyperlink" Target="http://www.vyzkum.cz/FrontClanek.aspx?idsekce=799796" TargetMode="External"/><Relationship Id="rId22" Type="http://schemas.openxmlformats.org/officeDocument/2006/relationships/hyperlink" Target="https://www.mkcr.cz/doc/cms_library/rozhodnuti_mk-vs-2020-naki-ii_15-11-2019_aprobovano-ministrem-mk-11459.docx" TargetMode="External"/><Relationship Id="rId27" Type="http://schemas.openxmlformats.org/officeDocument/2006/relationships/header" Target="header1.xml"/><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http://www.vyzkum.cz/FrontClanek.aspx?idsekce=799796" TargetMode="External"/><Relationship Id="rId1" Type="http://schemas.openxmlformats.org/officeDocument/2006/relationships/hyperlink" Target="https://www.vyzkum.cz/FrontClanek.aspx?idsekce=822293"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mkcr.cz/meziresortni-koncepce-aplikovaneho-vyzkumu-a-vyvoje-narodni-a-kulturni-identity-na-leta-2023-2030-2440.html" TargetMode="External"/><Relationship Id="rId1" Type="http://schemas.openxmlformats.org/officeDocument/2006/relationships/hyperlink" Target="https://www.mkcr.cz/meziresortni-koncepce-aplikovaneho-vyzkumu-a-vyvoje-narodni-a-kulturni-identity-na-leta-2023-2030-244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9497</Words>
  <Characters>56033</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2013-11-13T06:48:00Z</cp:lastPrinted>
  <dcterms:created xsi:type="dcterms:W3CDTF">2021-01-15T14:26:00Z</dcterms:created>
  <dcterms:modified xsi:type="dcterms:W3CDTF">2021-01-15T14:27:00Z</dcterms:modified>
</cp:coreProperties>
</file>